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101E6" w14:textId="4265992E" w:rsidR="005A1AC5" w:rsidRPr="005A1AC5" w:rsidRDefault="005A1AC5" w:rsidP="005A1AC5">
      <w:pPr>
        <w:pStyle w:val="MDPI11articletype"/>
        <w:rPr>
          <w:b/>
          <w:bCs/>
          <w:sz w:val="24"/>
          <w:szCs w:val="24"/>
        </w:rPr>
      </w:pPr>
      <w:r w:rsidRPr="005A1AC5">
        <w:t xml:space="preserve">Systematic Review </w:t>
      </w:r>
    </w:p>
    <w:p w14:paraId="79B014E4" w14:textId="3EA2AE35" w:rsidR="001E66EE" w:rsidRPr="005A1AC5" w:rsidRDefault="001E66EE" w:rsidP="005A1AC5">
      <w:pPr>
        <w:pStyle w:val="MDPI12title"/>
      </w:pPr>
      <w:r w:rsidRPr="005A1AC5">
        <w:t>Genotype-phenotype correlations in human diseases caused by mutations of LINC complex-associated genes: a systematic review and meta-summary</w:t>
      </w:r>
    </w:p>
    <w:p w14:paraId="731E5840" w14:textId="77777777" w:rsidR="001E66EE" w:rsidRPr="005A1AC5" w:rsidRDefault="001E66EE" w:rsidP="005A1AC5">
      <w:pPr>
        <w:pStyle w:val="MDPI13authornames"/>
      </w:pPr>
      <w:r w:rsidRPr="005A1AC5">
        <w:t>Emily C Storey</w:t>
      </w:r>
      <w:r w:rsidRPr="005A1AC5">
        <w:rPr>
          <w:vertAlign w:val="superscript"/>
        </w:rPr>
        <w:t xml:space="preserve">1,2 </w:t>
      </w:r>
      <w:r w:rsidRPr="005A1AC5">
        <w:t>and Heidi R Fuller</w:t>
      </w:r>
      <w:r w:rsidRPr="005A1AC5">
        <w:rPr>
          <w:vertAlign w:val="superscript"/>
        </w:rPr>
        <w:t xml:space="preserve">1,2 </w:t>
      </w:r>
      <w:r w:rsidRPr="005A1AC5">
        <w:t>*</w:t>
      </w:r>
    </w:p>
    <w:p w14:paraId="3C0FC357" w14:textId="0201EB11" w:rsidR="001E66EE" w:rsidRPr="005A1AC5" w:rsidRDefault="001E66EE" w:rsidP="005A1AC5">
      <w:pPr>
        <w:pStyle w:val="MDPI16affiliation"/>
        <w:ind w:left="2608" w:firstLine="0"/>
      </w:pPr>
      <w:r w:rsidRPr="005A1AC5">
        <w:rPr>
          <w:vertAlign w:val="superscript"/>
        </w:rPr>
        <w:t>1</w:t>
      </w:r>
      <w:r w:rsidRPr="005A1AC5">
        <w:t xml:space="preserve">School of Pharmacy and Bioengineering, </w:t>
      </w:r>
      <w:proofErr w:type="spellStart"/>
      <w:r w:rsidRPr="005A1AC5">
        <w:t>Keele</w:t>
      </w:r>
      <w:proofErr w:type="spellEnd"/>
      <w:r w:rsidRPr="005A1AC5">
        <w:t xml:space="preserve"> University, Staffordshire, UK; </w:t>
      </w:r>
      <w:r w:rsidRPr="005A1AC5">
        <w:rPr>
          <w:vertAlign w:val="superscript"/>
        </w:rPr>
        <w:t>2</w:t>
      </w:r>
      <w:r w:rsidRPr="005A1AC5">
        <w:t xml:space="preserve">Wolfson Centre for Inherited Neuromuscular Disease, TORCH Building, RJAH </w:t>
      </w:r>
      <w:proofErr w:type="spellStart"/>
      <w:r w:rsidRPr="005A1AC5">
        <w:t>Orthopaedic</w:t>
      </w:r>
      <w:proofErr w:type="spellEnd"/>
      <w:r w:rsidRPr="005A1AC5">
        <w:t xml:space="preserve"> Hospital, </w:t>
      </w:r>
      <w:proofErr w:type="spellStart"/>
      <w:r w:rsidRPr="005A1AC5">
        <w:t>Oswestry</w:t>
      </w:r>
      <w:proofErr w:type="spellEnd"/>
      <w:r w:rsidRPr="005A1AC5">
        <w:t xml:space="preserve"> SY10 7AG, UK</w:t>
      </w:r>
    </w:p>
    <w:p w14:paraId="418499B4" w14:textId="77777777" w:rsidR="005A1AC5" w:rsidRPr="005A1AC5" w:rsidRDefault="005A1AC5" w:rsidP="005A1AC5">
      <w:pPr>
        <w:pStyle w:val="MDPI16affiliation"/>
        <w:rPr>
          <w:rFonts w:eastAsia="SimSun" w:cs="SimSun"/>
          <w:lang w:eastAsia="zh-CN"/>
        </w:rPr>
      </w:pPr>
      <w:r w:rsidRPr="005A1AC5">
        <w:rPr>
          <w:b/>
        </w:rPr>
        <w:t>*</w:t>
      </w:r>
      <w:r w:rsidRPr="005A1AC5">
        <w:tab/>
        <w:t xml:space="preserve">Correspondence: </w:t>
      </w:r>
      <w:proofErr w:type="gramStart"/>
      <w:r w:rsidR="001E66EE" w:rsidRPr="005A1AC5">
        <w:t>author</w:t>
      </w:r>
      <w:r w:rsidRPr="005A1AC5">
        <w:rPr>
          <w:rFonts w:eastAsia="SimSun" w:cs="SimSun"/>
          <w:lang w:eastAsia="zh-CN"/>
        </w:rPr>
        <w:t>；</w:t>
      </w:r>
      <w:proofErr w:type="gramEnd"/>
    </w:p>
    <w:p w14:paraId="126F0606" w14:textId="5A491A58" w:rsidR="001E66EE" w:rsidRPr="005A1AC5" w:rsidRDefault="001E66EE" w:rsidP="005A1AC5">
      <w:pPr>
        <w:pStyle w:val="MDPI16affiliation"/>
        <w:rPr>
          <w:sz w:val="24"/>
          <w:szCs w:val="24"/>
        </w:rPr>
      </w:pPr>
      <w:r w:rsidRPr="005A1AC5">
        <w:rPr>
          <w:sz w:val="24"/>
          <w:szCs w:val="24"/>
          <w:vertAlign w:val="superscript"/>
        </w:rPr>
        <w:t>Email: h.r.fuller@keele.ac.uk</w:t>
      </w:r>
      <w:r w:rsidRPr="005A1AC5">
        <w:rPr>
          <w:sz w:val="24"/>
          <w:szCs w:val="24"/>
        </w:rPr>
        <w:tab/>
      </w:r>
      <w:r w:rsidRPr="005A1AC5">
        <w:rPr>
          <w:sz w:val="24"/>
          <w:szCs w:val="24"/>
          <w:vertAlign w:val="superscript"/>
        </w:rPr>
        <w:t xml:space="preserve"> </w:t>
      </w:r>
    </w:p>
    <w:p w14:paraId="4846BD51" w14:textId="77777777" w:rsidR="001E66EE" w:rsidRPr="005A1AC5" w:rsidRDefault="001E66EE" w:rsidP="005A1AC5">
      <w:pPr>
        <w:pStyle w:val="MDPI16affiliation"/>
        <w:ind w:left="2608" w:firstLine="0"/>
      </w:pPr>
      <w:r w:rsidRPr="005A1AC5">
        <w:t xml:space="preserve">Telephone: +44(0)1691 404693 </w:t>
      </w:r>
    </w:p>
    <w:p w14:paraId="5CD99B8C" w14:textId="77777777" w:rsidR="001E66EE" w:rsidRPr="005A1AC5" w:rsidRDefault="001E66EE" w:rsidP="001E66EE">
      <w:pPr>
        <w:rPr>
          <w:sz w:val="24"/>
          <w:szCs w:val="24"/>
        </w:rPr>
      </w:pPr>
    </w:p>
    <w:p w14:paraId="502A167A" w14:textId="76B2082F" w:rsidR="00D51997" w:rsidRPr="003322B7" w:rsidRDefault="001E66EE" w:rsidP="005A1AC5">
      <w:pPr>
        <w:pStyle w:val="MDPI17abstract"/>
        <w:rPr>
          <w:rFonts w:eastAsia="SimSun" w:cs="SimSun"/>
          <w:u w:val="single"/>
        </w:rPr>
      </w:pPr>
      <w:r w:rsidRPr="005A1AC5">
        <w:rPr>
          <w:b/>
          <w:bCs/>
          <w:u w:val="single"/>
        </w:rPr>
        <w:t>Abstract</w:t>
      </w:r>
      <w:r w:rsidRPr="005A1AC5">
        <w:rPr>
          <w:b/>
          <w:u w:val="single"/>
        </w:rPr>
        <w:t xml:space="preserve"> </w:t>
      </w:r>
      <w:r w:rsidR="005A1AC5" w:rsidRPr="0063445C">
        <w:rPr>
          <w:rFonts w:ascii="SimSun" w:eastAsia="SimSun" w:hAnsi="SimSun" w:cs="SimSun" w:hint="eastAsia"/>
        </w:rPr>
        <w:t>：</w:t>
      </w:r>
      <w:r w:rsidR="00587FCB" w:rsidRPr="00B4582E">
        <w:rPr>
          <w:szCs w:val="18"/>
        </w:rPr>
        <w:t xml:space="preserve">Mutations in genes encoding </w:t>
      </w:r>
      <w:r w:rsidR="00C33A0A">
        <w:rPr>
          <w:szCs w:val="18"/>
        </w:rPr>
        <w:t xml:space="preserve">proteins associated with </w:t>
      </w:r>
      <w:r w:rsidR="00587FCB" w:rsidRPr="00B4582E">
        <w:rPr>
          <w:szCs w:val="18"/>
        </w:rPr>
        <w:t xml:space="preserve">the linker of </w:t>
      </w:r>
      <w:proofErr w:type="spellStart"/>
      <w:r w:rsidR="00587FCB" w:rsidRPr="00B4582E">
        <w:rPr>
          <w:szCs w:val="18"/>
        </w:rPr>
        <w:t>nucleoskeleton</w:t>
      </w:r>
      <w:proofErr w:type="spellEnd"/>
      <w:r w:rsidR="00587FCB" w:rsidRPr="00B4582E">
        <w:rPr>
          <w:szCs w:val="18"/>
        </w:rPr>
        <w:t xml:space="preserve"> and cytoskeleton (LINC) complex within the nuclear envelope </w:t>
      </w:r>
      <w:r w:rsidR="003477C9" w:rsidRPr="00B4582E">
        <w:rPr>
          <w:szCs w:val="18"/>
        </w:rPr>
        <w:t>cause</w:t>
      </w:r>
      <w:r w:rsidR="00587FCB" w:rsidRPr="00B4582E">
        <w:rPr>
          <w:szCs w:val="18"/>
        </w:rPr>
        <w:t xml:space="preserve"> different diseases with varying phenotypes including skeletal muscle, </w:t>
      </w:r>
      <w:r w:rsidR="00640DDC" w:rsidRPr="00B4582E">
        <w:rPr>
          <w:szCs w:val="18"/>
        </w:rPr>
        <w:t xml:space="preserve">cardiac, </w:t>
      </w:r>
      <w:r w:rsidR="00587FCB" w:rsidRPr="00B4582E">
        <w:rPr>
          <w:szCs w:val="18"/>
        </w:rPr>
        <w:t>metabolic, or nervous system pathologies.</w:t>
      </w:r>
      <w:r w:rsidR="00587FCB" w:rsidRPr="00B4582E">
        <w:rPr>
          <w:sz w:val="24"/>
          <w:szCs w:val="24"/>
        </w:rPr>
        <w:t xml:space="preserve"> </w:t>
      </w:r>
      <w:r w:rsidR="00D246C0" w:rsidRPr="00B4582E">
        <w:t>There is some understanding of the structure of LINC complex</w:t>
      </w:r>
      <w:r w:rsidR="00DF6686">
        <w:t>-associated</w:t>
      </w:r>
      <w:r w:rsidR="00D246C0" w:rsidRPr="00B4582E">
        <w:t xml:space="preserve"> proteins and how they interact,</w:t>
      </w:r>
      <w:r w:rsidR="00DE22D7" w:rsidRPr="00B4582E">
        <w:t xml:space="preserve"> but</w:t>
      </w:r>
      <w:r w:rsidR="00D246C0" w:rsidRPr="00B4582E">
        <w:t xml:space="preserve"> it is unclear how mutations in genes encoding them can cause the same disease, and different diseases with different phenotypes</w:t>
      </w:r>
      <w:r w:rsidR="00D51997" w:rsidRPr="00B4582E">
        <w:rPr>
          <w:rFonts w:eastAsia="SimSun" w:cs="SimSun"/>
        </w:rPr>
        <w:t>. Here, published mutations in LINC complex</w:t>
      </w:r>
      <w:r w:rsidR="00C33A0A">
        <w:rPr>
          <w:rFonts w:eastAsia="SimSun" w:cs="SimSun"/>
        </w:rPr>
        <w:t>-associated</w:t>
      </w:r>
      <w:r w:rsidR="00D51997" w:rsidRPr="00B4582E">
        <w:rPr>
          <w:rFonts w:eastAsia="SimSun" w:cs="SimSun"/>
        </w:rPr>
        <w:t xml:space="preserve"> proteins were systematically reviewed and </w:t>
      </w:r>
      <w:r w:rsidR="00911797" w:rsidRPr="00B4582E">
        <w:rPr>
          <w:rFonts w:eastAsia="SimSun" w:cs="SimSun"/>
        </w:rPr>
        <w:t>analyzed</w:t>
      </w:r>
      <w:r w:rsidR="00D51997" w:rsidRPr="00B4582E">
        <w:rPr>
          <w:rFonts w:eastAsia="SimSun" w:cs="SimSun"/>
        </w:rPr>
        <w:t xml:space="preserve"> to ascertain whether patterns exist between the genetic sequence variants and clinical phenotypes. </w:t>
      </w:r>
      <w:r w:rsidR="006419F6" w:rsidRPr="00B4582E">
        <w:rPr>
          <w:rFonts w:eastAsia="SimSun" w:cs="SimSun"/>
        </w:rPr>
        <w:t xml:space="preserve">This revealed </w:t>
      </w:r>
      <w:r w:rsidR="00977422" w:rsidRPr="00B4582E">
        <w:rPr>
          <w:rFonts w:eastAsia="SimSun" w:cs="SimSun"/>
          <w:i/>
          <w:iCs/>
        </w:rPr>
        <w:t>LMNA</w:t>
      </w:r>
      <w:r w:rsidR="00977422" w:rsidRPr="00B4582E">
        <w:rPr>
          <w:rFonts w:eastAsia="SimSun" w:cs="SimSun"/>
        </w:rPr>
        <w:t xml:space="preserve"> is</w:t>
      </w:r>
      <w:r w:rsidR="006419F6" w:rsidRPr="00B4582E">
        <w:rPr>
          <w:rFonts w:eastAsia="SimSun" w:cs="SimSun"/>
        </w:rPr>
        <w:t xml:space="preserve"> the only LINC complex-associated gene </w:t>
      </w:r>
      <w:r w:rsidR="00977422" w:rsidRPr="00B4582E">
        <w:rPr>
          <w:rFonts w:eastAsia="SimSun" w:cs="SimSun"/>
        </w:rPr>
        <w:t>in which mutations</w:t>
      </w:r>
      <w:r w:rsidR="006419F6" w:rsidRPr="00B4582E">
        <w:rPr>
          <w:rFonts w:eastAsia="SimSun" w:cs="SimSun"/>
        </w:rPr>
        <w:t xml:space="preserve"> commonly cause distinct condition</w:t>
      </w:r>
      <w:r w:rsidR="00977422" w:rsidRPr="00B4582E">
        <w:rPr>
          <w:rFonts w:eastAsia="SimSun" w:cs="SimSun"/>
          <w:i/>
          <w:iCs/>
        </w:rPr>
        <w:t>s</w:t>
      </w:r>
      <w:r w:rsidR="006419F6" w:rsidRPr="00B4582E">
        <w:rPr>
          <w:rFonts w:eastAsia="SimSun" w:cs="SimSun"/>
        </w:rPr>
        <w:t xml:space="preserve">, and there are no clear genotype-phenotype correlations. </w:t>
      </w:r>
      <w:r w:rsidR="00233DFE" w:rsidRPr="00B4582E">
        <w:rPr>
          <w:rFonts w:eastAsia="SimSun" w:cs="SimSun"/>
        </w:rPr>
        <w:t>C</w:t>
      </w:r>
      <w:r w:rsidR="008F5B35" w:rsidRPr="00B4582E">
        <w:rPr>
          <w:rFonts w:eastAsia="SimSun" w:cs="SimSun"/>
        </w:rPr>
        <w:t>l</w:t>
      </w:r>
      <w:r w:rsidR="006419F6" w:rsidRPr="00B4582E">
        <w:rPr>
          <w:rFonts w:eastAsia="SimSun" w:cs="SimSun"/>
        </w:rPr>
        <w:t xml:space="preserve">usters of </w:t>
      </w:r>
      <w:r w:rsidR="006419F6" w:rsidRPr="00B4582E">
        <w:rPr>
          <w:rFonts w:eastAsia="SimSun" w:cs="SimSun"/>
          <w:i/>
          <w:iCs/>
        </w:rPr>
        <w:t xml:space="preserve">LMNA </w:t>
      </w:r>
      <w:r w:rsidR="006419F6" w:rsidRPr="00B4582E">
        <w:rPr>
          <w:rFonts w:eastAsia="SimSun" w:cs="SimSun"/>
        </w:rPr>
        <w:t xml:space="preserve">variants causing striated muscle disease </w:t>
      </w:r>
      <w:proofErr w:type="gramStart"/>
      <w:r w:rsidR="00233DFE" w:rsidRPr="00B4582E">
        <w:rPr>
          <w:rFonts w:eastAsia="SimSun" w:cs="SimSun"/>
        </w:rPr>
        <w:t xml:space="preserve">are </w:t>
      </w:r>
      <w:r w:rsidR="006419F6" w:rsidRPr="00B4582E">
        <w:rPr>
          <w:rFonts w:eastAsia="SimSun" w:cs="SimSun"/>
        </w:rPr>
        <w:t>located in</w:t>
      </w:r>
      <w:proofErr w:type="gramEnd"/>
      <w:r w:rsidR="006419F6" w:rsidRPr="00B4582E">
        <w:rPr>
          <w:rFonts w:eastAsia="SimSun" w:cs="SimSun"/>
        </w:rPr>
        <w:t xml:space="preserve"> exons 1 and 6, and metabolic disease-associated </w:t>
      </w:r>
      <w:r w:rsidR="006419F6" w:rsidRPr="00B4582E">
        <w:rPr>
          <w:rFonts w:eastAsia="SimSun" w:cs="SimSun"/>
          <w:i/>
          <w:iCs/>
        </w:rPr>
        <w:t xml:space="preserve">LMNA </w:t>
      </w:r>
      <w:r w:rsidR="006419F6" w:rsidRPr="00B4582E">
        <w:rPr>
          <w:rFonts w:eastAsia="SimSun" w:cs="SimSun"/>
        </w:rPr>
        <w:t xml:space="preserve">variants </w:t>
      </w:r>
      <w:r w:rsidR="00233DFE" w:rsidRPr="00B4582E">
        <w:rPr>
          <w:rFonts w:eastAsia="SimSun" w:cs="SimSun"/>
        </w:rPr>
        <w:t>are</w:t>
      </w:r>
      <w:r w:rsidR="006419F6" w:rsidRPr="00B4582E">
        <w:rPr>
          <w:rFonts w:eastAsia="SimSun" w:cs="SimSun"/>
        </w:rPr>
        <w:t xml:space="preserve"> frequently found in the tail of </w:t>
      </w:r>
      <w:proofErr w:type="spellStart"/>
      <w:r w:rsidR="006419F6" w:rsidRPr="00B4582E">
        <w:rPr>
          <w:rFonts w:eastAsia="SimSun" w:cs="SimSun"/>
        </w:rPr>
        <w:t>lamin</w:t>
      </w:r>
      <w:proofErr w:type="spellEnd"/>
      <w:r w:rsidR="006419F6" w:rsidRPr="00B4582E">
        <w:rPr>
          <w:rFonts w:eastAsia="SimSun" w:cs="SimSun"/>
        </w:rPr>
        <w:t xml:space="preserve"> A/C. </w:t>
      </w:r>
      <w:r w:rsidR="007F69B9" w:rsidRPr="00B4582E">
        <w:rPr>
          <w:rFonts w:eastAsia="SimSun" w:cs="SimSun"/>
        </w:rPr>
        <w:t>Additionally</w:t>
      </w:r>
      <w:r w:rsidR="006419F6" w:rsidRPr="00B4582E">
        <w:rPr>
          <w:rFonts w:eastAsia="SimSun" w:cs="SimSun"/>
        </w:rPr>
        <w:t xml:space="preserve">, exon 6 </w:t>
      </w:r>
      <w:r w:rsidR="00327521" w:rsidRPr="00B4582E">
        <w:rPr>
          <w:rFonts w:eastAsia="SimSun" w:cs="SimSun"/>
        </w:rPr>
        <w:t xml:space="preserve">of the </w:t>
      </w:r>
      <w:proofErr w:type="spellStart"/>
      <w:r w:rsidR="00327521" w:rsidRPr="00B4582E">
        <w:rPr>
          <w:rFonts w:eastAsia="SimSun" w:cs="SimSun"/>
        </w:rPr>
        <w:t>emerin</w:t>
      </w:r>
      <w:proofErr w:type="spellEnd"/>
      <w:r w:rsidR="00327521" w:rsidRPr="00B4582E">
        <w:rPr>
          <w:rFonts w:eastAsia="SimSun" w:cs="SimSun"/>
        </w:rPr>
        <w:t xml:space="preserve"> gene, </w:t>
      </w:r>
      <w:r w:rsidR="00327521" w:rsidRPr="00B4582E">
        <w:rPr>
          <w:rFonts w:eastAsia="SimSun" w:cs="SimSun"/>
          <w:i/>
          <w:iCs/>
        </w:rPr>
        <w:t xml:space="preserve">EMD, </w:t>
      </w:r>
      <w:r w:rsidR="00091E0C" w:rsidRPr="00B4582E">
        <w:rPr>
          <w:rFonts w:eastAsia="SimSun" w:cs="SimSun"/>
        </w:rPr>
        <w:t>may be</w:t>
      </w:r>
      <w:r w:rsidR="006419F6" w:rsidRPr="00B4582E">
        <w:rPr>
          <w:rFonts w:eastAsia="SimSun" w:cs="SimSun"/>
        </w:rPr>
        <w:t xml:space="preserve"> </w:t>
      </w:r>
      <w:r w:rsidR="00327521" w:rsidRPr="00B4582E">
        <w:rPr>
          <w:rFonts w:eastAsia="SimSun" w:cs="SimSun"/>
        </w:rPr>
        <w:t>a</w:t>
      </w:r>
      <w:r w:rsidR="006419F6" w:rsidRPr="00B4582E">
        <w:rPr>
          <w:rFonts w:eastAsia="SimSun" w:cs="SimSun"/>
          <w:i/>
          <w:iCs/>
        </w:rPr>
        <w:t xml:space="preserve"> </w:t>
      </w:r>
      <w:r w:rsidR="006419F6" w:rsidRPr="00B4582E">
        <w:rPr>
          <w:rFonts w:eastAsia="SimSun" w:cs="SimSun"/>
        </w:rPr>
        <w:t>mutation “hot-spot</w:t>
      </w:r>
      <w:r w:rsidR="00327521" w:rsidRPr="00B4582E">
        <w:rPr>
          <w:rFonts w:eastAsia="SimSun" w:cs="SimSun"/>
        </w:rPr>
        <w:t xml:space="preserve">”, and diseases related to </w:t>
      </w:r>
      <w:r w:rsidR="00327521" w:rsidRPr="00B4582E">
        <w:rPr>
          <w:rFonts w:eastAsia="SimSun" w:cs="SimSun"/>
          <w:i/>
          <w:iCs/>
        </w:rPr>
        <w:t>SYNE1</w:t>
      </w:r>
      <w:r w:rsidR="00327521" w:rsidRPr="00B4582E">
        <w:rPr>
          <w:rFonts w:eastAsia="SimSun" w:cs="SimSun"/>
        </w:rPr>
        <w:t xml:space="preserve">, encoding nesprin-1, </w:t>
      </w:r>
      <w:r w:rsidR="00125D86" w:rsidRPr="00B4582E">
        <w:rPr>
          <w:rFonts w:eastAsia="SimSun" w:cs="SimSun"/>
        </w:rPr>
        <w:t>are</w:t>
      </w:r>
      <w:r w:rsidR="00327521" w:rsidRPr="00B4582E">
        <w:rPr>
          <w:rFonts w:eastAsia="SimSun" w:cs="SimSun"/>
        </w:rPr>
        <w:t xml:space="preserve"> most often caused by nonsense type </w:t>
      </w:r>
      <w:r w:rsidR="005D6B39" w:rsidRPr="00B4582E">
        <w:rPr>
          <w:rFonts w:eastAsia="SimSun" w:cs="SimSun"/>
        </w:rPr>
        <w:t>mutations</w:t>
      </w:r>
      <w:r w:rsidR="00327521" w:rsidRPr="00B4582E">
        <w:rPr>
          <w:rFonts w:eastAsia="SimSun" w:cs="SimSun"/>
        </w:rPr>
        <w:t xml:space="preserve">. </w:t>
      </w:r>
      <w:r w:rsidR="00327521" w:rsidRPr="00B4582E">
        <w:t>These results provide insight into the diverse roles of LINC-complex proteins in human disease and provide direction for future gene-targeted therapy development.</w:t>
      </w:r>
    </w:p>
    <w:p w14:paraId="12BDCDF0" w14:textId="18CDBE70" w:rsidR="001E66EE" w:rsidRPr="005A1AC5" w:rsidRDefault="001E66EE" w:rsidP="005A1AC5">
      <w:pPr>
        <w:pStyle w:val="MDPI17abstract"/>
        <w:rPr>
          <w:u w:val="single"/>
        </w:rPr>
      </w:pPr>
    </w:p>
    <w:p w14:paraId="64E82ECC" w14:textId="024BA90C" w:rsidR="001E66EE" w:rsidRPr="005A1AC5" w:rsidRDefault="005A1AC5" w:rsidP="005A1AC5">
      <w:pPr>
        <w:pStyle w:val="MDPI18keywords"/>
      </w:pPr>
      <w:r w:rsidRPr="005A1AC5">
        <w:rPr>
          <w:b/>
        </w:rPr>
        <w:t>Keywords:</w:t>
      </w:r>
      <w:r w:rsidR="00B4582E">
        <w:rPr>
          <w:b/>
        </w:rPr>
        <w:t xml:space="preserve"> </w:t>
      </w:r>
      <w:r w:rsidR="001E66EE" w:rsidRPr="00B4582E">
        <w:rPr>
          <w:bCs/>
        </w:rPr>
        <w:t>LINC</w:t>
      </w:r>
      <w:r w:rsidR="001E66EE" w:rsidRPr="005A1AC5">
        <w:rPr>
          <w:b/>
        </w:rPr>
        <w:t xml:space="preserve"> </w:t>
      </w:r>
      <w:r w:rsidR="001E66EE" w:rsidRPr="005A1AC5">
        <w:t>complex</w:t>
      </w:r>
      <w:r w:rsidRPr="005A1AC5">
        <w:t xml:space="preserve">; </w:t>
      </w:r>
      <w:r w:rsidR="001E66EE" w:rsidRPr="005A1AC5">
        <w:t>Nuclear envelope</w:t>
      </w:r>
      <w:r w:rsidRPr="005A1AC5">
        <w:t xml:space="preserve">; </w:t>
      </w:r>
      <w:r w:rsidR="001E66EE" w:rsidRPr="005A1AC5">
        <w:t>Laminopathies</w:t>
      </w:r>
      <w:r w:rsidRPr="005A1AC5">
        <w:t xml:space="preserve">; </w:t>
      </w:r>
      <w:r w:rsidR="001E66EE" w:rsidRPr="005A1AC5">
        <w:t>Lamin A/C</w:t>
      </w:r>
      <w:r w:rsidRPr="005A1AC5">
        <w:t xml:space="preserve">; </w:t>
      </w:r>
      <w:r w:rsidR="001E66EE" w:rsidRPr="005A1AC5">
        <w:t>LMNA</w:t>
      </w:r>
      <w:r w:rsidRPr="005A1AC5">
        <w:t xml:space="preserve">; </w:t>
      </w:r>
      <w:r w:rsidR="001E66EE" w:rsidRPr="005A1AC5">
        <w:t>SYNE1</w:t>
      </w:r>
      <w:r w:rsidRPr="005A1AC5">
        <w:t xml:space="preserve">; </w:t>
      </w:r>
      <w:r w:rsidR="001E66EE" w:rsidRPr="005A1AC5">
        <w:t>EMD</w:t>
      </w:r>
      <w:r w:rsidRPr="005A1AC5">
        <w:t xml:space="preserve">; </w:t>
      </w:r>
      <w:proofErr w:type="spellStart"/>
      <w:r w:rsidR="001E66EE" w:rsidRPr="005A1AC5">
        <w:t>nesprin</w:t>
      </w:r>
      <w:proofErr w:type="spellEnd"/>
      <w:r w:rsidRPr="005A1AC5">
        <w:t xml:space="preserve">; </w:t>
      </w:r>
      <w:proofErr w:type="spellStart"/>
      <w:r w:rsidR="001E66EE" w:rsidRPr="005A1AC5">
        <w:t>emerin</w:t>
      </w:r>
      <w:proofErr w:type="spellEnd"/>
    </w:p>
    <w:p w14:paraId="3A583521" w14:textId="77777777" w:rsidR="001E66EE" w:rsidRPr="005A1AC5" w:rsidRDefault="001E66EE" w:rsidP="005A1AC5">
      <w:pPr>
        <w:pStyle w:val="MDPI19line"/>
        <w:pBdr>
          <w:bottom w:val="single" w:sz="4" w:space="1" w:color="000000"/>
        </w:pBdr>
      </w:pPr>
    </w:p>
    <w:p w14:paraId="64FB17D7" w14:textId="2D1434FD" w:rsidR="001E66EE" w:rsidRPr="005A1AC5" w:rsidRDefault="001E66EE" w:rsidP="005A1AC5">
      <w:pPr>
        <w:pStyle w:val="MDPI21heading1"/>
      </w:pPr>
      <w:r w:rsidRPr="005A1AC5">
        <w:t>Introduction</w:t>
      </w:r>
    </w:p>
    <w:p w14:paraId="0004F142" w14:textId="7B418880" w:rsidR="001E66EE" w:rsidRPr="005A1AC5" w:rsidRDefault="001E66EE" w:rsidP="005A1AC5">
      <w:pPr>
        <w:pStyle w:val="MDPI31text"/>
      </w:pPr>
      <w:r w:rsidRPr="005A1AC5">
        <w:t xml:space="preserve">Mutations in genes encoding nuclear envelope (NE) proteins have been associated with a range of human disorders that are collectively known as “nuclear </w:t>
      </w:r>
      <w:proofErr w:type="spellStart"/>
      <w:r w:rsidRPr="005A1AC5">
        <w:t>envelopathies</w:t>
      </w:r>
      <w:proofErr w:type="spellEnd"/>
      <w:r w:rsidRPr="005A1AC5">
        <w:t xml:space="preserve">” </w:t>
      </w:r>
      <w:r w:rsidRPr="005A1AC5">
        <w:rPr>
          <w:color w:val="2B579A"/>
        </w:rPr>
        <w:fldChar w:fldCharType="begin" w:fldLock="1"/>
      </w:r>
      <w:r w:rsidRPr="005A1AC5">
        <w:instrText>ADDIN CSL_CITATION {"citationItems":[{"id":"ITEM-1","itemData":{"DOI":"10.1097/00019052-200010000-00005","ISSN":"1350-7540","abstract":"There is a growing body of evidence in favour of the presence of human diseases caused by mutations in genes that encode the nuclear envelope proteins emerin and lamin A/C (lamin A and C are alternatively spliced variants of the same gene). Emerin deficiency results in X-linked Emery-Dreifuss muscular dystrophy (EDMD). Lamin A/C mutations cause the autosomal-dominant form of EDMD, limb-girdle muscular dystrophy with atrioventricular conduction disturbances (type 1B), hypertrophic cardiomyopathy and Dunnigan-type familial partial lipodystrophy. In the targeted mouse model of lamin A gene deficiency, loss of lamin A/C is associated with mislocalization of emerin. Thus, one plausible pathomechanism for EDMD, limb-girdle muscular dystrophy type 1B, hypertrophic cardiomyopathy and familial partial lipodystrophy is the presence of specific abnormalities of the nuclear envelope. Therefore, a group of markedly heterogeneous disorders can be classified as 'nuclear envelopathies'. The present review summarizes recent findings on nuclear envelope proteins and diseases.","author":[{"dropping-particle":"","family":"Nagano","given":"Atsushi","non-dropping-particle":"","parse-names":false,"suffix":""},{"dropping-particle":"","family":"Arahata","given":"Kiichi","non-dropping-particle":"","parse-names":false,"suffix":""}],"container-title":"Current Opinion in Neurology","id":"ITEM-1","issue":"5","issued":{"date-parts":[["2000"]]},"page":"533-539","title":"Nuclear envelope proteins and associated diseases.","type":"article-journal","volume":"13"},"uris":["http://www.mendeley.com/documents/?uuid=8be9cab0-5125-4bc2-8ca0-06440b91095d"]},{"id":"ITEM-2","itemData":{"DOI":"10.1186/1423-0127-16-96","ISSN":"10217770","abstract":"The nuclear envelope (NE) consists of two membrane layers that segregate the nuclear from the cytoplasmic contents. Recent progress in our understanding of nuclear-lamina associated diseases has revealed intriguing connections between the envelope components and nuclear processes. Here, we review the functions of the nuclear envelope in chromosome organization, gene expression, DNA repair and cell cycle progression, and correlate deficiencies in envelope function with human pathologies.","author":[{"dropping-particle":"","family":"Chi","given":"Ya Hui","non-dropping-particle":"","parse-names":false,"suffix":""},{"dropping-particle":"","family":"Chen","given":"Zi Jie","non-dropping-particle":"","parse-names":false,"suffix":""},{"dropping-particle":"","family":"Jeang","given":"Kuan Teh","non-dropping-particle":"","parse-names":false,"suffix":""}],"container-title":"Journal of Biomedical Science","id":"ITEM-2","issue":"1","issued":{"date-parts":[["2009"]]},"page":"96","title":"The nuclear envelopathies and human diseases","type":"article-journal","volume":"16"},"uris":["http://www.mendeley.com/documents/?uuid=9a090bbd-1fcc-31b1-ac86-2c05198290f6"]},{"id":"ITEM-3","itemData":{"DOI":"10.1203/01.PDR.0000159566.54287.6C","ISSN":"0031-3998","abstract":"The nuclear envelope separates the chromosomes from cytoplasm in eukaryotic cells and consists of three main domains: inner and outer nuclear membranes and nuclear pore complexes. The inner nuclear membrane maintains close associations with the underlying chromatin and nuclear lamina. For many years, the nuclear envelope was thought to function mainly as an architectural stabilizer of the nucleus, participating in assembly and disassembly processes during mitosis. However, recent findings demonstrate that nuclear envelope proteins are involved in fundamental nuclear functions, such as gene transcription and DNA replication, and that inherited or de novo mutated proteins cause human diseases, termed \"nuclear envelopathies.\" These findings emphasize the importance of understanding the functions of this cellular domain, in both physiologic and pathologic states. To date, mutations in the genes encoding the nuclear envelope proteins emerin, MAN1, lamin A/C, and lamin B receptor were found to cause nuclear envelopathies. The diseases that are caused by mutations in LMNA gene are collectively called \"laminopathies.\" Nuclear envelopathies have diverse clinical phenotypes, ranging from cardiac and skeletal myopathies to partial lipodystrophy, peripheral neuropathy, and premature aging. This raises the question of how do such ubiquitously expressed proteins give rise to tissue-specific disease phenotypes. One possible explanation is the involvement of nuclear envelope proteins in the regulation of gene transcription, a novel mechanism that has been the focus of research in our lab in recent years. In this review, we describe recent discoveries in the field of nuclear envelopathies and discuss current proposed pathophysiological mechanisms underlying these diseases.","author":[{"dropping-particle":"","family":"Somech","given":"Raz","non-dropping-particle":"","parse-names":false,"suffix":""},{"dropping-particle":"","family":"Shaklai","given":"Sigal","non-dropping-particle":"","parse-names":false,"suffix":""},{"dropping-particle":"","family":"Amariglio","given":"Ninette","non-dropping-particle":"","parse-names":false,"suffix":""},{"dropping-particle":"","family":"Rechavi","given":"Gideon","non-dropping-particle":"","parse-names":false,"suffix":""},{"dropping-particle":"","family":"Simon","given":"Amos J","non-dropping-particle":"","parse-names":false,"suffix":""}],"container-title":"Pediatric research","id":"ITEM-3","issued":{"date-parts":[["2005"]]},"page":"8-15","title":"Nuclear envelopathies--raising the nuclear veil","type":"article-journal","volume":"57"},"uris":["http://www.mendeley.com/documents/?uuid=4a2499c5-198b-4960-8038-d8cccf3e764f"]}],"mendeley":{"formattedCitation":"[1–3]","plainTextFormattedCitation":"[1–3]","previouslyFormattedCitation":"[1–3]"},"properties":{"noteIndex":0},"schema":"https://github.com/citation-style-language/schema/raw/master/csl-citation.json"}</w:instrText>
      </w:r>
      <w:r w:rsidRPr="005A1AC5">
        <w:rPr>
          <w:color w:val="2B579A"/>
        </w:rPr>
        <w:fldChar w:fldCharType="separate"/>
      </w:r>
      <w:r w:rsidRPr="005A1AC5">
        <w:rPr>
          <w:noProof/>
        </w:rPr>
        <w:t>[1–3]</w:t>
      </w:r>
      <w:r w:rsidRPr="005A1AC5">
        <w:rPr>
          <w:color w:val="2B579A"/>
        </w:rPr>
        <w:fldChar w:fldCharType="end"/>
      </w:r>
      <w:r w:rsidRPr="005A1AC5">
        <w:t xml:space="preserve">, additionally, the multiple diseases caused by mutations in the nuclear </w:t>
      </w:r>
      <w:proofErr w:type="spellStart"/>
      <w:r w:rsidRPr="005A1AC5">
        <w:t>lamins</w:t>
      </w:r>
      <w:proofErr w:type="spellEnd"/>
      <w:r w:rsidRPr="005A1AC5">
        <w:t xml:space="preserve"> are termed “laminopathies” </w:t>
      </w:r>
      <w:r w:rsidRPr="005A1AC5">
        <w:rPr>
          <w:color w:val="2B579A"/>
        </w:rPr>
        <w:fldChar w:fldCharType="begin" w:fldLock="1"/>
      </w:r>
      <w:r w:rsidRPr="005A1AC5">
        <w:instrText>ADDIN CSL_CITATION {"citationItems":[{"id":"ITEM-1","itemData":{"DOI":"10.1016/j.yexcr.2007.03.028","ISSN":"00144827","PMID":"17467691","abstract":"Mutations in genes encoding the intermediate filament nuclear lamins and associated proteins cause a wide spectrum of diseases sometimes called \"laminopathies.\" Diseases caused by mutations in LMNA encoding A-type lamins include autosomal dominant Emery-Dreifuss muscular dystrophy and related myopathies, Dunnigan-type familial partial lipodystrophy, Charcot-Marie-Tooth disease type 2B1 and developmental and accelerated aging disorders. Duplication in LMNB1 encoding lamin B1 causes autosomal dominant leukodystrophy and mutations in LMNB2 encoding lamin B2 are associated with acquired partial lipodystrophy. Disorders caused by mutations in genes encoding lamin-associated integral inner nuclear membrane proteins include X-linked Emery-Dreifuss muscular dystrophy, sclerosing bone dysplasias, HEM/Greenberg skeletal dysplasia and Pelger-Huet anomaly. While mutations and clinical phenotypes of \"laminopathies\" have been carefully described, data explaining pathogenic mechanisms are only emerging. Future investigations will likely identify new \"laminopathies\" and a combination of basic and clinical research will lead to a better understanding of pathophysiology and the development of therapies.","author":[{"dropping-particle":"","family":"Worman","given":"Howard J.","non-dropping-particle":"","parse-names":false,"suffix":""},{"dropping-particle":"","family":"Bonne","given":"Gisèle","non-dropping-particle":"","parse-names":false,"suffix":""}],"container-title":"Experimental Cell Research","id":"ITEM-1","issue":"10","issued":{"date-parts":[["2007","6","10"]]},"page":"2121-2133","title":"“Laminopathies”: A wide spectrum of human diseases","type":"article-journal","volume":"313"},"uris":["http://www.mendeley.com/documents/?uuid=8e4ff8e9-1216-34bb-a5ae-bbc299529505"]},{"id":"ITEM-2","itemData":{"ISSN":"1671-167X","abstract":"Laminopathies are genetic diseases that encompass a wide spectrum of phenotypes with diverse tissue pathologies and result mainly from mutations in the LMNA gene encoding nuclear lamin A/C. To date, at least 9 different human diseases, which superficially seem to share little with one another, result from LMNA mutations. The position of the mutation within LMNA appears to be associated with the phenotypes. This review gives an overview of genotype-phenotype relationship and describes recent advances in animal models and pathogenic mechanisms.","author":[{"dropping-particle":"","family":"Song","given":"Shu-juan","non-dropping-particle":"","parse-names":false,"suffix":""},{"dropping-particle":"","family":"Zhang","given":"Yuan-zhi","non-dropping-particle":"","parse-names":false,"suffix":""},{"dropping-particle":"","family":"Zhong","given":"Nanbert","non-dropping-particle":"","parse-names":false,"suffix":""}],"container-title":"Beijing da xue xue bao. Yi xue ban = Journal of Peking University. Health sciences","id":"ITEM-2","issue":"1","issued":{"date-parts":[["2005"]]},"page":"96-99","title":"Laminopathies--one gene, multiple diseases","type":"article-journal","volume":"37"},"uris":["http://www.mendeley.com/documents/?uuid=8cbc9b83-b096-4423-81e4-3b603dc76c79"]}],"mendeley":{"formattedCitation":"[4,5]","plainTextFormattedCitation":"[4,5]","previouslyFormattedCitation":"[4,5]"},"properties":{"noteIndex":0},"schema":"https://github.com/citation-style-language/schema/raw/master/csl-citation.json"}</w:instrText>
      </w:r>
      <w:r w:rsidRPr="005A1AC5">
        <w:rPr>
          <w:color w:val="2B579A"/>
        </w:rPr>
        <w:fldChar w:fldCharType="separate"/>
      </w:r>
      <w:r w:rsidRPr="005A1AC5">
        <w:rPr>
          <w:noProof/>
        </w:rPr>
        <w:t>[4,5]</w:t>
      </w:r>
      <w:r w:rsidRPr="005A1AC5">
        <w:rPr>
          <w:color w:val="2B579A"/>
        </w:rPr>
        <w:fldChar w:fldCharType="end"/>
      </w:r>
      <w:r w:rsidRPr="005A1AC5">
        <w:t>. Mutations in these genes give rise to diseases affecting skeletal and cardiac muscle (such as Emery-</w:t>
      </w:r>
      <w:proofErr w:type="spellStart"/>
      <w:r w:rsidRPr="005A1AC5">
        <w:t>Dreifuss</w:t>
      </w:r>
      <w:proofErr w:type="spellEnd"/>
      <w:r w:rsidRPr="005A1AC5">
        <w:t xml:space="preserve"> muscular dystrophy (EDMD), limb-girdle muscular dystrophy (LGMD), congenital muscular dystrophy (L-CMD) and dilated cardiomyopathy with conduction </w:t>
      </w:r>
      <w:r w:rsidRPr="005A1AC5">
        <w:lastRenderedPageBreak/>
        <w:t>defects (DCM)), nervous system diseases (including Charcot-Marie tooth disease (CMT), cerebellar ataxia (SCAR8) and amyotrophic lateral sclerosis (ALS)), and metabolic diseases (such as lipodystrophies), amongst others, as shown in (</w:t>
      </w:r>
      <w:r w:rsidRPr="005A1AC5">
        <w:rPr>
          <w:b/>
          <w:bCs/>
        </w:rPr>
        <w:t>Fig 1)</w:t>
      </w:r>
      <w:r w:rsidRPr="005A1AC5">
        <w:t xml:space="preserve">. </w:t>
      </w:r>
    </w:p>
    <w:p w14:paraId="58A8298C" w14:textId="77777777" w:rsidR="001E66EE" w:rsidRPr="005A1AC5" w:rsidRDefault="001E66EE" w:rsidP="001E66EE">
      <w:pPr>
        <w:rPr>
          <w:sz w:val="24"/>
          <w:szCs w:val="24"/>
        </w:rPr>
      </w:pPr>
    </w:p>
    <w:p w14:paraId="464EBF05" w14:textId="77777777" w:rsidR="001E66EE" w:rsidRPr="005A1AC5" w:rsidRDefault="001E66EE" w:rsidP="001E66EE">
      <w:pPr>
        <w:rPr>
          <w:sz w:val="24"/>
          <w:szCs w:val="24"/>
        </w:rPr>
      </w:pPr>
      <w:r w:rsidRPr="005A1AC5">
        <w:rPr>
          <w:noProof/>
          <w:sz w:val="24"/>
          <w:szCs w:val="24"/>
        </w:rPr>
        <w:drawing>
          <wp:inline distT="0" distB="0" distL="0" distR="0" wp14:anchorId="7A70F547" wp14:editId="5A7E91D0">
            <wp:extent cx="5731510" cy="4709160"/>
            <wp:effectExtent l="0" t="0" r="254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709160"/>
                    </a:xfrm>
                    <a:prstGeom prst="rect">
                      <a:avLst/>
                    </a:prstGeom>
                  </pic:spPr>
                </pic:pic>
              </a:graphicData>
            </a:graphic>
          </wp:inline>
        </w:drawing>
      </w:r>
    </w:p>
    <w:p w14:paraId="5602FE61" w14:textId="58F85539" w:rsidR="001E66EE" w:rsidRPr="005A1AC5" w:rsidRDefault="005A1AC5" w:rsidP="005A1AC5">
      <w:pPr>
        <w:pStyle w:val="MDPI51figurecaption"/>
      </w:pPr>
      <w:r w:rsidRPr="005A1AC5">
        <w:rPr>
          <w:b/>
          <w:bCs/>
        </w:rPr>
        <w:t xml:space="preserve">Figure 1. </w:t>
      </w:r>
      <w:r w:rsidR="001E66EE" w:rsidRPr="005A1AC5">
        <w:rPr>
          <w:b/>
          <w:bCs/>
        </w:rPr>
        <w:t xml:space="preserve">The Linker of </w:t>
      </w:r>
      <w:proofErr w:type="spellStart"/>
      <w:r w:rsidR="001E66EE" w:rsidRPr="005A1AC5">
        <w:rPr>
          <w:b/>
          <w:bCs/>
        </w:rPr>
        <w:t>Nucleoskeleton</w:t>
      </w:r>
      <w:proofErr w:type="spellEnd"/>
      <w:r w:rsidR="001E66EE" w:rsidRPr="005A1AC5">
        <w:rPr>
          <w:b/>
          <w:bCs/>
        </w:rPr>
        <w:t xml:space="preserve"> and Cytoskeleton (LINC) complex and associated human diseases.</w:t>
      </w:r>
      <w:r w:rsidR="001E66EE" w:rsidRPr="005A1AC5">
        <w:t xml:space="preserve"> The Linker of </w:t>
      </w:r>
      <w:proofErr w:type="spellStart"/>
      <w:r w:rsidR="001E66EE" w:rsidRPr="005A1AC5">
        <w:t>Nucleoskeleton</w:t>
      </w:r>
      <w:proofErr w:type="spellEnd"/>
      <w:r w:rsidR="001E66EE" w:rsidRPr="005A1AC5">
        <w:t xml:space="preserve"> and Cytoskeleton (LINC) complex primarily consists of SUN1/SUN2 and </w:t>
      </w:r>
      <w:proofErr w:type="spellStart"/>
      <w:r w:rsidR="001E66EE" w:rsidRPr="005A1AC5">
        <w:t>nesprin</w:t>
      </w:r>
      <w:proofErr w:type="spellEnd"/>
      <w:r w:rsidR="001E66EE" w:rsidRPr="005A1AC5">
        <w:t xml:space="preserve"> proteins, </w:t>
      </w:r>
      <w:r w:rsidR="0039361C">
        <w:t xml:space="preserve">that are located </w:t>
      </w:r>
      <w:r w:rsidR="001E66EE" w:rsidRPr="005A1AC5">
        <w:t>at the inner nuclear membrane (INM) and outer nuclear membrane (ONM), respectively. The</w:t>
      </w:r>
      <w:r w:rsidR="0039361C">
        <w:t xml:space="preserve"> respective proteins interact via their</w:t>
      </w:r>
      <w:r w:rsidR="001E66EE" w:rsidRPr="005A1AC5">
        <w:t xml:space="preserve"> Sad-UNC-84 and </w:t>
      </w:r>
      <w:proofErr w:type="spellStart"/>
      <w:r w:rsidR="001E66EE" w:rsidRPr="005A1AC5">
        <w:t>Klarsicht</w:t>
      </w:r>
      <w:proofErr w:type="spellEnd"/>
      <w:r w:rsidR="001E66EE" w:rsidRPr="005A1AC5">
        <w:t>/Anc-1/Syne homology</w:t>
      </w:r>
      <w:r w:rsidR="0039361C">
        <w:t xml:space="preserve"> (KASH)</w:t>
      </w:r>
      <w:r w:rsidR="001E66EE" w:rsidRPr="005A1AC5">
        <w:t xml:space="preserve"> domains in the </w:t>
      </w:r>
      <w:r w:rsidR="0039361C">
        <w:t xml:space="preserve">lumen of the NE, </w:t>
      </w:r>
      <w:r w:rsidR="001E66EE" w:rsidRPr="005A1AC5">
        <w:t xml:space="preserve">creating a physical connection between the nuclear lamina (NL) and the cytoskeleton. The NL comprises of type-V intermediate filament proteins, the nuclear </w:t>
      </w:r>
      <w:proofErr w:type="spellStart"/>
      <w:r w:rsidR="001E66EE" w:rsidRPr="005A1AC5">
        <w:t>lamins</w:t>
      </w:r>
      <w:proofErr w:type="spellEnd"/>
      <w:r w:rsidR="001E66EE" w:rsidRPr="005A1AC5">
        <w:t xml:space="preserve">. Lamins A/C are A-type nuclear </w:t>
      </w:r>
      <w:proofErr w:type="spellStart"/>
      <w:r w:rsidR="001E66EE" w:rsidRPr="005A1AC5">
        <w:t>lamins</w:t>
      </w:r>
      <w:proofErr w:type="spellEnd"/>
      <w:r w:rsidR="001E66EE" w:rsidRPr="005A1AC5">
        <w:t xml:space="preserve">, whilst </w:t>
      </w:r>
      <w:proofErr w:type="spellStart"/>
      <w:r w:rsidR="001E66EE" w:rsidRPr="005A1AC5">
        <w:t>lamin</w:t>
      </w:r>
      <w:proofErr w:type="spellEnd"/>
      <w:r w:rsidR="001E66EE" w:rsidRPr="005A1AC5">
        <w:t xml:space="preserve"> B1/B2 are B-type </w:t>
      </w:r>
      <w:proofErr w:type="spellStart"/>
      <w:r w:rsidR="001E66EE" w:rsidRPr="005A1AC5">
        <w:t>lamins</w:t>
      </w:r>
      <w:proofErr w:type="spellEnd"/>
      <w:r w:rsidR="001E66EE" w:rsidRPr="005A1AC5">
        <w:t xml:space="preserve">. Various other NE proteins interact with the LINC complex including integral INM protein </w:t>
      </w:r>
      <w:proofErr w:type="spellStart"/>
      <w:r w:rsidR="001E66EE" w:rsidRPr="005A1AC5">
        <w:t>emerin</w:t>
      </w:r>
      <w:proofErr w:type="spellEnd"/>
      <w:r w:rsidR="001E66EE" w:rsidRPr="005A1AC5">
        <w:t>, TMEM43/LUMA and isoforms of four-and-a-half LIM domain protein 1 (FHL1). Mutations in the genes encoding these proteins have been associated with a range of diseases exhibiting different phenotypes. Abbreviations: Emery-</w:t>
      </w:r>
      <w:proofErr w:type="spellStart"/>
      <w:r w:rsidR="001E66EE" w:rsidRPr="005A1AC5">
        <w:t>Dreifuss</w:t>
      </w:r>
      <w:proofErr w:type="spellEnd"/>
      <w:r w:rsidR="001E66EE" w:rsidRPr="005A1AC5">
        <w:t xml:space="preserve"> muscular dystrophy (EDMD), cerebellar ataxia (SCAR8), dilated cardiomyopathy (DCM), limb-girdle muscular dystrophy (LGMD), familial partial lipodystrophy (FPLD), congenital muscular dystrophy (L-CMD), Charcot-Marie-Tooth disease (CMT), Hutchinson-Gilford progeria syndrome (HGPS), </w:t>
      </w:r>
      <w:proofErr w:type="spellStart"/>
      <w:r w:rsidR="001E66EE" w:rsidRPr="005A1AC5">
        <w:t>mandibuloacral</w:t>
      </w:r>
      <w:proofErr w:type="spellEnd"/>
      <w:r w:rsidR="001E66EE" w:rsidRPr="005A1AC5">
        <w:t xml:space="preserve"> dysplasia (MADA), atypical Werner syndrome (WS). Created with BioRender.com.</w:t>
      </w:r>
    </w:p>
    <w:p w14:paraId="4BE5A7BA" w14:textId="77777777" w:rsidR="001E66EE" w:rsidRPr="005A1AC5" w:rsidRDefault="001E66EE" w:rsidP="001E66EE">
      <w:pPr>
        <w:rPr>
          <w:sz w:val="24"/>
          <w:szCs w:val="24"/>
        </w:rPr>
      </w:pPr>
    </w:p>
    <w:p w14:paraId="44607844" w14:textId="375E1BB8" w:rsidR="001E66EE" w:rsidRPr="005A1AC5" w:rsidRDefault="001E66EE" w:rsidP="005A1AC5">
      <w:pPr>
        <w:pStyle w:val="MDPI31text"/>
      </w:pPr>
      <w:r w:rsidRPr="005A1AC5">
        <w:lastRenderedPageBreak/>
        <w:t xml:space="preserve">The NE is a lipid bilayer structure, functioning to separate the nuclear contents from the cytoplasm. It consists of two lipid bilayer membranes, the inner nuclear membrane (INM) and the outer nuclear membrane (ONM), </w:t>
      </w:r>
      <w:r w:rsidR="0039361C">
        <w:t xml:space="preserve">which are separated </w:t>
      </w:r>
      <w:r w:rsidRPr="005A1AC5">
        <w:t xml:space="preserve">by a gap known as the perinuclear space (PNS ) </w:t>
      </w:r>
      <w:r w:rsidRPr="005A1AC5">
        <w:rPr>
          <w:color w:val="2B579A"/>
        </w:rPr>
        <w:fldChar w:fldCharType="begin" w:fldLock="1"/>
      </w:r>
      <w:r w:rsidRPr="005A1AC5">
        <w:instrText>ADDIN CSL_CITATION {"citationItems":[{"id":"ITEM-1","itemData":{"DOI":"10.1146/ANNUREV.CB.04.110188.002003","ISSN":"07434634","PMID":"2461721","author":[{"dropping-particle":"","family":"Gerace","given":"L.","non-dropping-particle":"","parse-names":false,"suffix":""},{"dropping-particle":"","family":"Burke","given":"B.","non-dropping-particle":"","parse-names":false,"suffix":""}],"container-title":"Annual Review of Cell Biology","id":"ITEM-1","issued":{"date-parts":[["2003","11","28"]]},"page":"335-374","publisher":"Annual Reviews 4139 El Camino Way, P.O. Box 10139, Palo Alto, CA 94303-0139, USA","title":"Functional Organization of the Nuclear Envelope","type":"article-journal","volume":"4"},"uris":["http://www.mendeley.com/documents/?uuid=4b43bace-c740-34a4-869c-0ed83972287b"]}],"mendeley":{"formattedCitation":"[6]","plainTextFormattedCitation":"[6]","previouslyFormattedCitation":"[6]"},"properties":{"noteIndex":0},"schema":"https://github.com/citation-style-language/schema/raw/master/csl-citation.json"}</w:instrText>
      </w:r>
      <w:r w:rsidRPr="005A1AC5">
        <w:rPr>
          <w:color w:val="2B579A"/>
        </w:rPr>
        <w:fldChar w:fldCharType="separate"/>
      </w:r>
      <w:r w:rsidRPr="005A1AC5">
        <w:rPr>
          <w:noProof/>
        </w:rPr>
        <w:t>[6]</w:t>
      </w:r>
      <w:r w:rsidRPr="005A1AC5">
        <w:rPr>
          <w:color w:val="2B579A"/>
        </w:rPr>
        <w:fldChar w:fldCharType="end"/>
      </w:r>
      <w:r w:rsidRPr="005A1AC5">
        <w:t xml:space="preserve">. The ONM is a continuation of the rough endoplasmic reticulum, whilst the INM interacts with chromatin and the nuclear lamina (NL), a protein meshwork that composes the nuclear skeleton </w:t>
      </w:r>
      <w:r w:rsidRPr="005A1AC5">
        <w:rPr>
          <w:color w:val="2B579A"/>
        </w:rPr>
        <w:fldChar w:fldCharType="begin" w:fldLock="1"/>
      </w:r>
      <w:r w:rsidRPr="005A1AC5">
        <w:instrText>ADDIN CSL_CITATION {"citationItems":[{"id":"ITEM-1","itemData":{"DOI":"10.1083/JCB.1.3.257","ISSN":"0095-9901","PMID":"13242591","author":[{"dropping-particle":"","family":"Watson","given":"M. L.","non-dropping-particle":"","parse-names":false,"suffix":""}],"container-title":"The Journal of biophysical and biochemical cytology","id":"ITEM-1","issue":"3","issued":{"date-parts":[["1955","5","25"]]},"page":"257-270","publisher":"J Biophys Biochem Cytol","title":"The nuclear envelope; its structure and relation to cytoplasmic membranes","type":"article-journal","volume":"1"},"uris":["http://www.mendeley.com/documents/?uuid=d500dfaf-435f-3986-8db4-3ae7a3bbb159"]}],"mendeley":{"formattedCitation":"[7]","plainTextFormattedCitation":"[7]","previouslyFormattedCitation":"[7]"},"properties":{"noteIndex":0},"schema":"https://github.com/citation-style-language/schema/raw/master/csl-citation.json"}</w:instrText>
      </w:r>
      <w:r w:rsidRPr="005A1AC5">
        <w:rPr>
          <w:color w:val="2B579A"/>
        </w:rPr>
        <w:fldChar w:fldCharType="separate"/>
      </w:r>
      <w:r w:rsidRPr="005A1AC5">
        <w:rPr>
          <w:noProof/>
        </w:rPr>
        <w:t>[7]</w:t>
      </w:r>
      <w:r w:rsidRPr="005A1AC5">
        <w:rPr>
          <w:color w:val="2B579A"/>
        </w:rPr>
        <w:fldChar w:fldCharType="end"/>
      </w:r>
      <w:r w:rsidRPr="005A1AC5">
        <w:t xml:space="preserve">. Type V-intermediate filament proteins, nuclear </w:t>
      </w:r>
      <w:proofErr w:type="spellStart"/>
      <w:r w:rsidRPr="005A1AC5">
        <w:t>lamins</w:t>
      </w:r>
      <w:proofErr w:type="spellEnd"/>
      <w:r w:rsidRPr="005A1AC5">
        <w:t xml:space="preserve">, are the major components of the NL </w:t>
      </w:r>
      <w:r w:rsidRPr="005A1AC5">
        <w:rPr>
          <w:color w:val="2B579A"/>
        </w:rPr>
        <w:fldChar w:fldCharType="begin" w:fldLock="1"/>
      </w:r>
      <w:r w:rsidRPr="005A1AC5">
        <w:instrText>ADDIN CSL_CITATION {"citationItems":[{"id":"ITEM-1","itemData":{"DOI":"10.4161/nucl.1.4.12352","ISSN":"19491042","abstract":"Association of nuclear lamins with the inner nuclear membrane (INM) is mediated by lipid modifications: either by C-terminal isoprenylation or N-terminal myristoylation. Overexpression of lamins or other lipidated nuclear proteins induces the formation of intranuclear membrane-like arrays. Lamin-induced intranuclear array formation has been observed in Xenopus oocytes as well as in mammalian tissue culture cells. With the use of a membrane-specific fluorescence dye we show here that these arrays are made up of typical lipid membranes. While continuity between these intranuclear membranes and the INM has not been observed so far the presence of integral as well as luminal marker proteins of the endoplasmic reticulum (ER) indicates that these membranes are derived from the nuclear membrane/ER compartment. Earlier studies demonstrated that overexpression of integral membrane proteins of the INM can induce formation of intranuclear membranes, which bud from the INM. Integral membrane proteins reach the INM via the pore membranes while lipidated proteins are imported into the nucleoplasm via the classical NLS pathway where they interact with the INM via their lipid moieties. Together with the previously published data our results show that the formation of intranuclear membranes follows similar routes irrespective of whether the proteins triggering membrane formation are integral membrane or lipidated proteins. © 2010 Landes Bioscience.","author":[{"dropping-particle":"","family":"Linde","given":"Nina","non-dropping-particle":"","parse-names":false,"suffix":""},{"dropping-particle":"","family":"Stick","given":"Reimer","non-dropping-particle":"","parse-names":false,"suffix":""}],"container-title":"Nucleus","id":"ITEM-1","issue":"4","issued":{"date-parts":[["2010"]]},"page":"343-353","publisher":"Taylor and Francis Inc.","title":"Intranuclear membranes induced by lipidated proteins are derived from the nuclear envelope","type":"article-journal","volume":"1"},"uris":["http://www.mendeley.com/documents/?uuid=fe6ef933-9f21-320b-8947-6e662b312126"]},{"id":"ITEM-2","itemData":{"DOI":"10.1038/nrm2641","ISSN":"14710072","abstract":"Cell division in eukaryotes requires extensive architectural changes of the nuclear envelope (NE) to ensure that segregated DNA is finally enclosed in a single cell nucleus in each daughter cell. Higher eukaryotic cells have evolved 'open' mitosis, the most extreme mechanism to solve the problem of nuclear division, in which the NE is initially completely disassembled and then reassembled in coordination with DNA segregation. Recent progress in the field has now started to uncover mechanistic and molecular details that underlie the changes in NE reorganization during open mitosis. These studies reveal a tight interplay between NE components and the mitotic machinery. © 2009 Macmillan Publishers Limited. All rights reserved.","author":[{"dropping-particle":"","family":"Güttinger","given":"Stephan","non-dropping-particle":"","parse-names":false,"suffix":""},{"dropping-particle":"","family":"Laurell","given":"Eva","non-dropping-particle":"","parse-names":false,"suffix":""},{"dropping-particle":"","family":"Kutay","given":"Ulrike","non-dropping-particle":"","parse-names":false,"suffix":""}],"container-title":"Nature Reviews Molecular Cell Biology","id":"ITEM-2","issue":"3","issued":{"date-parts":[["2009","3"]]},"page":"178-191","publisher":"Nature Publishing Group","title":"Orchestrating nuclear envelope disassembly and reassembly during mitosis","type":"article-journal","volume":"10"},"uris":["http://www.mendeley.com/documents/?uuid=750eafe8-4f55-32a6-b6d5-f62c9f52381f"]},{"id":"ITEM-3","itemData":{"DOI":"10.1146/annurev.genet.37.110801.142705","ISSN":"0066-4197","PMID":"15568979","abstract":"Eukaryotic genomes are distributed on linear chromosomes that are grouped together in the nucleus, an organelle separated from the cytoplasm by a characteristic double membrane studded with large proteinaceous pores. The chromatin within chromosomes has an as yet poorly characterized higher-order structure, but in addition to this, chromosomes and specific subchromosomal domains are nonrandomly positioned in nuclei. This review examines functional implications of the long-range organization of the genome in interphase nuclei. A rigorous test of the physiological importance of nuclear architecture is achieved by introducing mutations that compromise both structure and function. Focussing on such genetic approaches, we address general concepts of interphase nuclear order, the role of the nuclear envelope (NE) and lamins, and finally the importance of spatial organization for DNA replication and heritable gene expression.","author":[{"dropping-particle":"","family":"Taddei","given":"Angela","non-dropping-particle":"","parse-names":false,"suffix":""},{"dropping-particle":"","family":"Hediger","given":"Florence","non-dropping-particle":"","parse-names":false,"suffix":""},{"dropping-particle":"","family":"Neumann","given":"Frank R","non-dropping-particle":"","parse-names":false,"suffix":""},{"dropping-particle":"","family":"Gasser","given":"Susan M","non-dropping-particle":"","parse-names":false,"suffix":""}],"container-title":"Annual review of genetics","id":"ITEM-3","issued":{"date-parts":[["2004"]]},"page":"305-45","title":"The function of nuclear architecture: a genetic approach","type":"article-journal","volume":"38"},"uris":["http://www.mendeley.com/documents/?uuid=b66b8831-2fdf-3bae-8c25-54a7b50765dc"]}],"mendeley":{"formattedCitation":"[8–10]","plainTextFormattedCitation":"[8–10]","previouslyFormattedCitation":"[8–10]"},"properties":{"noteIndex":0},"schema":"https://github.com/citation-style-language/schema/raw/master/csl-citation.json"}</w:instrText>
      </w:r>
      <w:r w:rsidRPr="005A1AC5">
        <w:rPr>
          <w:color w:val="2B579A"/>
        </w:rPr>
        <w:fldChar w:fldCharType="separate"/>
      </w:r>
      <w:r w:rsidRPr="005A1AC5">
        <w:rPr>
          <w:noProof/>
        </w:rPr>
        <w:t>[8–10]</w:t>
      </w:r>
      <w:r w:rsidRPr="005A1AC5">
        <w:rPr>
          <w:color w:val="2B579A"/>
        </w:rPr>
        <w:fldChar w:fldCharType="end"/>
      </w:r>
      <w:r w:rsidRPr="005A1AC5">
        <w:t xml:space="preserve">. </w:t>
      </w:r>
      <w:r w:rsidR="0039361C">
        <w:t>L</w:t>
      </w:r>
      <w:r w:rsidRPr="005A1AC5">
        <w:t>amins A and C, are</w:t>
      </w:r>
      <w:r w:rsidR="0039361C">
        <w:t xml:space="preserve"> A-type </w:t>
      </w:r>
      <w:proofErr w:type="spellStart"/>
      <w:r w:rsidR="0039361C">
        <w:t>lamins</w:t>
      </w:r>
      <w:proofErr w:type="spellEnd"/>
      <w:r w:rsidR="0039361C">
        <w:t xml:space="preserve"> and are</w:t>
      </w:r>
      <w:r w:rsidRPr="005A1AC5">
        <w:t xml:space="preserve"> the alternatively spliced products of the </w:t>
      </w:r>
      <w:r w:rsidRPr="005A1AC5">
        <w:rPr>
          <w:i/>
          <w:iCs/>
        </w:rPr>
        <w:t>LMNA</w:t>
      </w:r>
      <w:r w:rsidRPr="005A1AC5">
        <w:t xml:space="preserve"> </w:t>
      </w:r>
      <w:proofErr w:type="spellStart"/>
      <w:r w:rsidRPr="005A1AC5">
        <w:t>gene</w:t>
      </w:r>
      <w:r w:rsidR="0039361C">
        <w:t>.</w:t>
      </w:r>
      <w:r w:rsidRPr="005A1AC5">
        <w:t>B</w:t>
      </w:r>
      <w:proofErr w:type="spellEnd"/>
      <w:r w:rsidRPr="005A1AC5">
        <w:t xml:space="preserve">-type </w:t>
      </w:r>
      <w:proofErr w:type="spellStart"/>
      <w:r w:rsidRPr="005A1AC5">
        <w:t>lamins</w:t>
      </w:r>
      <w:proofErr w:type="spellEnd"/>
      <w:r w:rsidRPr="005A1AC5">
        <w:t xml:space="preserve">, </w:t>
      </w:r>
      <w:proofErr w:type="spellStart"/>
      <w:r w:rsidRPr="005A1AC5">
        <w:t>lamin</w:t>
      </w:r>
      <w:proofErr w:type="spellEnd"/>
      <w:r w:rsidRPr="005A1AC5">
        <w:t xml:space="preserve"> B1 and </w:t>
      </w:r>
      <w:proofErr w:type="spellStart"/>
      <w:r w:rsidRPr="005A1AC5">
        <w:t>lamin</w:t>
      </w:r>
      <w:proofErr w:type="spellEnd"/>
      <w:r w:rsidRPr="005A1AC5">
        <w:t xml:space="preserve"> B2, </w:t>
      </w:r>
      <w:r w:rsidR="0039361C">
        <w:t xml:space="preserve">on the other hand, </w:t>
      </w:r>
      <w:r w:rsidRPr="005A1AC5">
        <w:t xml:space="preserve">are encoded by two different genes, </w:t>
      </w:r>
      <w:r w:rsidRPr="005A1AC5">
        <w:rPr>
          <w:i/>
          <w:iCs/>
        </w:rPr>
        <w:t xml:space="preserve">LMNB1 </w:t>
      </w:r>
      <w:r w:rsidRPr="005A1AC5">
        <w:t xml:space="preserve">and </w:t>
      </w:r>
      <w:r w:rsidRPr="005A1AC5">
        <w:rPr>
          <w:i/>
          <w:iCs/>
        </w:rPr>
        <w:t xml:space="preserve">LMNB2 </w:t>
      </w:r>
      <w:r w:rsidRPr="005A1AC5">
        <w:rPr>
          <w:i/>
          <w:color w:val="2B579A"/>
        </w:rPr>
        <w:fldChar w:fldCharType="begin" w:fldLock="1"/>
      </w:r>
      <w:r w:rsidRPr="005A1AC5">
        <w:rPr>
          <w:i/>
          <w:iCs/>
        </w:rPr>
        <w:instrText>ADDIN CSL_CITATION {"citationItems":[{"id":"ITEM-1","itemData":{"DOI":"10.1006/JSBI.1998.3987","ISSN":"10478477","PMID":"9724605","abstract":"Nuclear lamins are intermediate filament-type proteins that are the major building blocks of the nuclear lamina, a fibrous proteinaceous meshwork underlying the inner nuclear membrane. Lamins can also be localized in the nuclear interior, in a diffuse or spotted pattern. Nuclei assembled in vitro in the absence of lamins are fragile, indicating that lamins mechanically stabilize the cell nucleus. Available evidence also indicates a role for lamins in DNA replication, chromatin organization, spatial arrangement of nuclear pore complexes, nuclear growth, and anchorage of nuclear envelope proteins. In this review we summarize the current state of knowledge on the structure, assembly, and possible functional roles of nuclear lamins, emphasizing the information concerning the ability of nuclear lamins to self- assemble into distinct oligomers and polymers.","author":[{"dropping-particle":"","family":"Stuurman","given":"Nico","non-dropping-particle":"","parse-names":false,"suffix":""},{"dropping-particle":"","family":"Heins","given":"Susanne","non-dropping-particle":"","parse-names":false,"suffix":""},{"dropping-particle":"","family":"Aebi","given":"Ueli","non-dropping-particle":"","parse-names":false,"suffix":""}],"container-title":"Journal of Structural Biology","id":"ITEM-1","issue":"1-2","issued":{"date-parts":[["1998"]]},"page":"42-66","publisher":"Academic Press Inc.","title":"Nuclear lamins: Their structure, assembly, and interactions","type":"article-journal","volume":"122"},"uris":["http://www.mendeley.com/documents/?uuid=fef8ce5f-1265-334d-8f4d-809f16bd246b"]}],"mendeley":{"formattedCitation":"[11]","plainTextFormattedCitation":"[11]","previouslyFormattedCitation":"[11]"},"properties":{"noteIndex":0},"schema":"https://github.com/citation-style-language/schema/raw/master/csl-citation.json"}</w:instrText>
      </w:r>
      <w:r w:rsidRPr="005A1AC5">
        <w:rPr>
          <w:i/>
          <w:color w:val="2B579A"/>
        </w:rPr>
        <w:fldChar w:fldCharType="separate"/>
      </w:r>
      <w:r w:rsidRPr="005A1AC5">
        <w:rPr>
          <w:iCs/>
          <w:noProof/>
        </w:rPr>
        <w:t>[11]</w:t>
      </w:r>
      <w:r w:rsidRPr="005A1AC5">
        <w:rPr>
          <w:i/>
          <w:color w:val="2B579A"/>
        </w:rPr>
        <w:fldChar w:fldCharType="end"/>
      </w:r>
      <w:r w:rsidRPr="005A1AC5">
        <w:t xml:space="preserve">. The NL is connected to the cytoskeleton through a network called the Linker of </w:t>
      </w:r>
      <w:proofErr w:type="spellStart"/>
      <w:r w:rsidRPr="005A1AC5">
        <w:t>Nucleoskeleton</w:t>
      </w:r>
      <w:proofErr w:type="spellEnd"/>
      <w:r w:rsidRPr="005A1AC5">
        <w:t xml:space="preserve"> and Cytoskeleton (LINC) complex </w:t>
      </w:r>
      <w:r w:rsidRPr="005A1AC5">
        <w:rPr>
          <w:color w:val="2B579A"/>
        </w:rPr>
        <w:fldChar w:fldCharType="begin" w:fldLock="1"/>
      </w:r>
      <w:r w:rsidRPr="005A1AC5">
        <w:instrText>ADDIN CSL_CITATION {"citationItems":[{"id":"ITEM-1","itemData":{"DOI":"10.1083/JCB.200509124","ISSN":"0021-9525","abstract":"The nuclear envelope defines the barrier between the nucleus and cytoplasm and features inner and outer membranes separated by a perinuclear space (PNS). The inner nuclear membrane contains specific integral proteins that include Sun1 and Sun2. Although the outer nuclear membrane (ONM) is continuous with the endoplasmic reticulum, it is nevertheless enriched in several integral membrane proteins, including nesprin 2 Giant (nesp2G), an 800-kD protein featuring an NH2-terminal actin-binding domain. A recent study (Padmakumar, V.C., T. Libotte, W. Lu, H. Zaim, S. Abraham, A.A. Noegel, J. Gotzmann, R. Foisner, and I. Karakesisoglou. 2005. J. Cell Sci. 118:3419-3430) has shown that localization of nesp2G to the ONM is dependent upon an interaction with Sun1. In this study, we confirm and extend these results by demonstrating that both Sun1 and Sun2 contribute to nesp2G localization. Codepletion of both of these proteins in HeLa cells leads to the loss of ONM-associated nesp2G, as does overexpression of the Sun1 lumenal domain. Both treatments result in the expansion of the PNS. These data, together with those of Padmakumar et al. (2005), support a model in which Sun proteins tether nesprins in the ONM via interactions spanning the PNS. In this way, Sun proteins and nesprins form a complex that links the nucleoskeleton and cytoskeleton (the LINC complex). © The Rockefeller University Press.","author":[{"dropping-particle":"","family":"Crisp","given":"Melissa","non-dropping-particle":"","parse-names":false,"suffix":""},{"dropping-particle":"","family":"Liu","given":"Qian","non-dropping-particle":"","parse-names":false,"suffix":""},{"dropping-particle":"","family":"Roux","given":"Kyle","non-dropping-particle":"","parse-names":false,"suffix":""},{"dropping-particle":"","family":"Rattner","given":"J.B.","non-dropping-particle":"","parse-names":false,"suffix":""},{"dropping-particle":"","family":"Shanahan","given":"Catherine","non-dropping-particle":"","parse-names":false,"suffix":""},{"dropping-particle":"","family":"Burke","given":"Brian","non-dropping-particle":"","parse-names":false,"suffix":""},{"dropping-particle":"","family":"Stahl","given":"Phillip D.","non-dropping-particle":"","parse-names":false,"suffix":""},{"dropping-particle":"","family":"Hodzic","given":"Didier","non-dropping-particle":"","parse-names":false,"suffix":""}],"container-title":"Journal of Cell Biology","id":"ITEM-1","issue":"1","issued":{"date-parts":[["2006","1","2"]]},"page":"41-53","publisher":"The Rockefeller University Press","title":"Coupling of the nucleus and cytoplasm: Role of the LINC complex","type":"article-journal","volume":"172"},"uris":["http://www.mendeley.com/documents/?uuid=9783ab64-ef04-3f10-8b8e-5aa13aa43b17"]}],"mendeley":{"formattedCitation":"[12]","plainTextFormattedCitation":"[12]","previouslyFormattedCitation":"[12]"},"properties":{"noteIndex":0},"schema":"https://github.com/citation-style-language/schema/raw/master/csl-citation.json"}</w:instrText>
      </w:r>
      <w:r w:rsidRPr="005A1AC5">
        <w:rPr>
          <w:color w:val="2B579A"/>
        </w:rPr>
        <w:fldChar w:fldCharType="separate"/>
      </w:r>
      <w:r w:rsidRPr="005A1AC5">
        <w:rPr>
          <w:noProof/>
        </w:rPr>
        <w:t>[12]</w:t>
      </w:r>
      <w:r w:rsidRPr="005A1AC5">
        <w:rPr>
          <w:color w:val="2B579A"/>
        </w:rPr>
        <w:fldChar w:fldCharType="end"/>
      </w:r>
      <w:r w:rsidRPr="005A1AC5">
        <w:t xml:space="preserve">. The central components of the LINC complex are SUN1/SUN2, encoded by </w:t>
      </w:r>
      <w:r w:rsidRPr="005A1AC5">
        <w:rPr>
          <w:i/>
          <w:iCs/>
        </w:rPr>
        <w:t>SUN1/SUN2,</w:t>
      </w:r>
      <w:r w:rsidRPr="005A1AC5">
        <w:t xml:space="preserve"> and </w:t>
      </w:r>
      <w:proofErr w:type="spellStart"/>
      <w:r w:rsidRPr="005A1AC5">
        <w:t>nesprin</w:t>
      </w:r>
      <w:proofErr w:type="spellEnd"/>
      <w:r w:rsidRPr="005A1AC5">
        <w:t xml:space="preserve"> proteins, derived from </w:t>
      </w:r>
      <w:r w:rsidRPr="005A1AC5">
        <w:rPr>
          <w:i/>
          <w:iCs/>
        </w:rPr>
        <w:t xml:space="preserve">SYNE1/SYNE2 </w:t>
      </w:r>
      <w:r w:rsidRPr="005A1AC5">
        <w:rPr>
          <w:color w:val="2B579A"/>
        </w:rPr>
        <w:fldChar w:fldCharType="begin" w:fldLock="1"/>
      </w:r>
      <w:r w:rsidRPr="005A1AC5">
        <w:instrText>ADDIN CSL_CITATION {"citationItems":[{"id":"ITEM-1","itemData":{"DOI":"10.1242/JCS.114.24.4485","ISSN":"0021-9533","PMID":"11792814","abstract":"In search of vascular smooth muscle cell differentiation markers, we identified two genes encoding members of a new family of type II integral membrane proteins. Both are ubiquitously expressed, and tissue-specific alternative mRNA initiation and splicing generate at least two major isoforms of each protein, with the smaller isoforms being truncated at the N-terminus. We have named these proteins nesprin-1 and -2 for nuclear envelope spectrin repeat, as they are characterized by the presence of multiple, clustered spectrin repeats, bipartite nuclear localization sequences and a conserved C-terminal, single transmembrane domain. Transient transfection of EGFP-fusion expression constructs demonstrated their localization to the nuclear membrane with a novel C-terminal, TM-domain-containing sequence essential for perinuclear localization. Using antibodies to nesprin-1, we documented its colocalization with LAP1, emerin and lamins at the nuclear envelope, and immunogold labeling confirmed its presence at the nuclear envelope and in the nucleus where it colocalized with heterochromatin. Nesprin-1 is developmentally regulated in both smooth and skeletal muscle and is relocalized from the nuclear envelope to the nucleus and cytoplasm during C2C12 myoblast differentiation. These data and structural analogies with other proteins suggest that nesprins may function as 'dystrophins of the nucleus' to maintain nuclear organization and structural integrity.","author":[{"dropping-particle":"","family":"Zhang","given":"Quiping","non-dropping-particle":"","parse-names":false,"suffix":""},{"dropping-particle":"","family":"Skepper","given":"Jeremy N.","non-dropping-particle":"","parse-names":false,"suffix":""},{"dropping-particle":"","family":"Yang","given":"Fangtang","non-dropping-particle":"","parse-names":false,"suffix":""},{"dropping-particle":"","family":"Davies","given":"John D.","non-dropping-particle":"","parse-names":false,"suffix":""},{"dropping-particle":"","family":"Hegyi","given":"Laszlo","non-dropping-particle":"","parse-names":false,"suffix":""},{"dropping-particle":"","family":"Roberts","given":"Roland G.","non-dropping-particle":"","parse-names":false,"suffix":""},{"dropping-particle":"","family":"Weissberg","given":"Peter L.","non-dropping-particle":"","parse-names":false,"suffix":""},{"dropping-particle":"","family":"Ellis","given":"Juliet A.","non-dropping-particle":"","parse-names":false,"suffix":""},{"dropping-particle":"","family":"Shanahan","given":"Catherine M.","non-dropping-particle":"","parse-names":false,"suffix":""}],"container-title":"Journal of Cell Science","id":"ITEM-1","issue":"24","issued":{"date-parts":[["2001","12","15"]]},"page":"4485-4498","publisher":"The Company of Biologists","title":"Nesprins: a novel family of spectrin-repeat-containing proteins that localize to the nuclear membrane in multiple tissues","type":"article-journal","volume":"114"},"uris":["http://www.mendeley.com/documents/?uuid=efe391ee-650b-3935-8bff-c17c8039170a"]}],"mendeley":{"formattedCitation":"[13]","plainTextFormattedCitation":"[13]","previouslyFormattedCitation":"[13]"},"properties":{"noteIndex":0},"schema":"https://github.com/citation-style-language/schema/raw/master/csl-citation.json"}</w:instrText>
      </w:r>
      <w:r w:rsidRPr="005A1AC5">
        <w:rPr>
          <w:color w:val="2B579A"/>
        </w:rPr>
        <w:fldChar w:fldCharType="separate"/>
      </w:r>
      <w:r w:rsidRPr="005A1AC5">
        <w:rPr>
          <w:noProof/>
        </w:rPr>
        <w:t>[13]</w:t>
      </w:r>
      <w:r w:rsidRPr="005A1AC5">
        <w:rPr>
          <w:color w:val="2B579A"/>
        </w:rPr>
        <w:fldChar w:fldCharType="end"/>
      </w:r>
      <w:r w:rsidRPr="005A1AC5">
        <w:rPr>
          <w:i/>
          <w:iCs/>
        </w:rPr>
        <w:t xml:space="preserve">. </w:t>
      </w:r>
      <w:r w:rsidRPr="005A1AC5">
        <w:t xml:space="preserve">These proteins are situated in the INM and ONM, respectively </w:t>
      </w:r>
      <w:r w:rsidRPr="005A1AC5">
        <w:rPr>
          <w:color w:val="2B579A"/>
        </w:rPr>
        <w:fldChar w:fldCharType="begin" w:fldLock="1"/>
      </w:r>
      <w:r w:rsidRPr="005A1AC5">
        <w:instrText>ADDIN CSL_CITATION {"citationItems":[{"id":"ITEM-1","itemData":{"DOI":"10.1242/JCS.114.24.4485","ISSN":"0021-9533","PMID":"11792814","abstract":"In search of vascular smooth muscle cell differentiation markers, we identified two genes encoding members of a new family of type II integral membrane proteins. Both are ubiquitously expressed, and tissue-specific alternative mRNA initiation and splicing generate at least two major isoforms of each protein, with the smaller isoforms being truncated at the N-terminus. We have named these proteins nesprin-1 and -2 for nuclear envelope spectrin repeat, as they are characterized by the presence of multiple, clustered spectrin repeats, bipartite nuclear localization sequences and a conserved C-terminal, single transmembrane domain. Transient transfection of EGFP-fusion expression constructs demonstrated their localization to the nuclear membrane with a novel C-terminal, TM-domain-containing sequence essential for perinuclear localization. Using antibodies to nesprin-1, we documented its colocalization with LAP1, emerin and lamins at the nuclear envelope, and immunogold labeling confirmed its presence at the nuclear envelope and in the nucleus where it colocalized with heterochromatin. Nesprin-1 is developmentally regulated in both smooth and skeletal muscle and is relocalized from the nuclear envelope to the nucleus and cytoplasm during C2C12 myoblast differentiation. These data and structural analogies with other proteins suggest that nesprins may function as 'dystrophins of the nucleus' to maintain nuclear organization and structural integrity.","author":[{"dropping-particle":"","family":"Zhang","given":"Quiping","non-dropping-particle":"","parse-names":false,"suffix":""},{"dropping-particle":"","family":"Skepper","given":"Jeremy N.","non-dropping-particle":"","parse-names":false,"suffix":""},{"dropping-particle":"","family":"Yang","given":"Fangtang","non-dropping-particle":"","parse-names":false,"suffix":""},{"dropping-particle":"","family":"Davies","given":"John D.","non-dropping-particle":"","parse-names":false,"suffix":""},{"dropping-particle":"","family":"Hegyi","given":"Laszlo","non-dropping-particle":"","parse-names":false,"suffix":""},{"dropping-particle":"","family":"Roberts","given":"Roland G.","non-dropping-particle":"","parse-names":false,"suffix":""},{"dropping-particle":"","family":"Weissberg","given":"Peter L.","non-dropping-particle":"","parse-names":false,"suffix":""},{"dropping-particle":"","family":"Ellis","given":"Juliet A.","non-dropping-particle":"","parse-names":false,"suffix":""},{"dropping-particle":"","family":"Shanahan","given":"Catherine M.","non-dropping-particle":"","parse-names":false,"suffix":""}],"container-title":"Journal of Cell Science","id":"ITEM-1","issue":"24","issued":{"date-parts":[["2001","12","15"]]},"page":"4485-4498","publisher":"The Company of Biologists","title":"Nesprins: a novel family of spectrin-repeat-containing proteins that localize to the nuclear membrane in multiple tissues","type":"article-journal","volume":"114"},"uris":["http://www.mendeley.com/documents/?uuid=efe391ee-650b-3935-8bff-c17c8039170a"]}],"mendeley":{"formattedCitation":"[13]","plainTextFormattedCitation":"[13]","previouslyFormattedCitation":"[13]"},"properties":{"noteIndex":0},"schema":"https://github.com/citation-style-language/schema/raw/master/csl-citation.json"}</w:instrText>
      </w:r>
      <w:r w:rsidRPr="005A1AC5">
        <w:rPr>
          <w:color w:val="2B579A"/>
        </w:rPr>
        <w:fldChar w:fldCharType="separate"/>
      </w:r>
      <w:r w:rsidRPr="005A1AC5">
        <w:rPr>
          <w:noProof/>
        </w:rPr>
        <w:t>[13]</w:t>
      </w:r>
      <w:r w:rsidRPr="005A1AC5">
        <w:rPr>
          <w:color w:val="2B579A"/>
        </w:rPr>
        <w:fldChar w:fldCharType="end"/>
      </w:r>
      <w:r w:rsidRPr="005A1AC5">
        <w:t xml:space="preserve">. The Sad1 and UNC-84 (SUN) and </w:t>
      </w:r>
      <w:proofErr w:type="spellStart"/>
      <w:r w:rsidRPr="005A1AC5">
        <w:t>Klarsicht</w:t>
      </w:r>
      <w:proofErr w:type="spellEnd"/>
      <w:r w:rsidRPr="005A1AC5">
        <w:t xml:space="preserve">/Anc-1/Syne Homology (KASH) domains of the respective proteins interact in the PNS to form a </w:t>
      </w:r>
      <w:r w:rsidR="0039361C">
        <w:t xml:space="preserve">connection </w:t>
      </w:r>
      <w:r w:rsidRPr="005A1AC5">
        <w:t xml:space="preserve"> that spans the INM, PNS and ONM </w:t>
      </w:r>
      <w:r w:rsidRPr="005A1AC5">
        <w:rPr>
          <w:color w:val="2B579A"/>
        </w:rPr>
        <w:fldChar w:fldCharType="begin" w:fldLock="1"/>
      </w:r>
      <w:r w:rsidRPr="005A1AC5">
        <w:instrText>ADDIN CSL_CITATION {"citationItems":[{"id":"ITEM-1","itemData":{"DOI":"10.1016/j.cub.2018.08.001","ISSN":"09609822","abstract":"Many nuclear positioning events involve linker of nucleoskeleton and cytoskeleton (LINC) complexes, which transmit forces generated by the cytoskeleton across the nuclear envelope. LINC complexes are formed by trans-luminal interactions between inner nuclear membrane SUN proteins and outer nuclear membrane KASH proteins, but how these interactions are regulated is poorly understood. We combine in vivo C. elegans genetics, in vitro wounded fibroblast polarization, and in silico molecular dynamics simulations to elucidate mechanisms of LINC complexes. The extension of the KASH domain by a single alanine residue or the mutation of the conserved tyrosine at −7 completely blocked the nuclear migration function of C. elegans UNC-83. Analogous mutations at −7 of mouse nesprin-2 disrupted rearward nuclear movements in NIH 3T3 cells, but did not disrupt ANC-1 in nuclear anchorage. Furthermore, conserved cysteines predicted to form a disulfide bond between SUN and KASH proteins are important for the function of certain LINC complexes, and might promote a developmental switch between nuclear migration and nuclear anchorage. Mutations of conserved cysteines in SUN or KASH disrupted ANC-1-dependent nuclear anchorage in C. elegans and Nesprin-2G-dependent nuclear movements in polarizing fibroblasts. However, the SUN cysteine mutation did not disrupt nuclear migration. Moreover, molecular dynamics simulations showed that a disulfide bond is necessary for the maximal transmission of cytoskeleton-generated forces by LINC complexes in silico. Thus, we have demonstrated functions for SUN-KASH binding interfaces, including a predicted intermolecular disulfide bond, as mechanistic determinants of nuclear positioning that may represent targets for regulation. Cain et al. test the function of mutant SUN and KASH proteins in C. elegans nuclear positioning, NIH 3T3 fibroblast polarization, and simulations of LINC complexes under mechanical strain to gain mechanistic insights into how SUN-KASH interactions might be regulated to transfer forces from the cytoskeleton to the nucleus.","author":[{"dropping-particle":"","family":"Cain","given":"Natalie E.","non-dropping-particle":"","parse-names":false,"suffix":""},{"dropping-particle":"","family":"Jahed","given":"Zeinab","non-dropping-particle":"","parse-names":false,"suffix":""},{"dropping-particle":"","family":"Schoenhofen","given":"Amy","non-dropping-particle":"","parse-names":false,"suffix":""},{"dropping-particle":"","family":"Valdez","given":"Venecia A.","non-dropping-particle":"","parse-names":false,"suffix":""},{"dropping-particle":"","family":"Elkin","given":"Baila","non-dropping-particle":"","parse-names":false,"suffix":""},{"dropping-particle":"","family":"Hao","given":"Hongyan","non-dropping-particle":"","parse-names":false,"suffix":""},{"dropping-particle":"","family":"Harris","given":"Nathan J.","non-dropping-particle":"","parse-names":false,"suffix":""},{"dropping-particle":"","family":"Herrera","given":"Leslie A.","non-dropping-particle":"","parse-names":false,"suffix":""},{"dropping-particle":"","family":"Woolums","given":"Brian M.","non-dropping-particle":"","parse-names":false,"suffix":""},{"dropping-particle":"","family":"Mofrad","given":"Mohammad R.K.","non-dropping-particle":"","parse-names":false,"suffix":""},{"dropping-particle":"","family":"Luxton","given":"G. W.Gant","non-dropping-particle":"","parse-names":false,"suffix":""},{"dropping-particle":"","family":"Starr","given":"Daniel A.","non-dropping-particle":"","parse-names":false,"suffix":""}],"container-title":"Current Biology","id":"ITEM-1","issue":"19","issued":{"date-parts":[["2018","10","8"]]},"page":"3086-97.e4","publisher":"Cell Press","title":"Conserved SUN-KASH Interfaces Mediate LINC Complex-Dependent Nuclear Movement and Positioning","type":"article-journal","volume":"28"},"uris":["http://www.mendeley.com/documents/?uuid=54d5bf4a-ca08-3893-9051-95169dd3aa48"]},{"id":"ITEM-2","itemData":{"DOI":"10.1016/j.ceb.2012.10.014","ISSN":"18790410","abstract":"The nuclear-cytoskeleton connection influences many aspects of cellular architecture, including nuclear positioning, the stiffness of the global cytoskeleton, and mechanotransduction. Central to all of these processes is the assembly and function of conserved SUN-KASH bridges, or LINC complexes, that span the nuclear envelope. Recent studies provide details of the higher order assembly and targeting of SUN proteins to the inner nuclear membrane. Structural studies characterize SUN-KASH interactions that form the central link of the nuclear-envelope bridge. KASH proteins at the outer nuclear membrane link the nuclear envelope to the cytoskeleton where forces are generated to move nuclei. Significantly, SUN proteins were recently shown to contribute to the progression of laminopathies. © 2012 Elsevier Ltd.","author":[{"dropping-particle":"","family":"Tapley","given":"Erin C.","non-dropping-particle":"","parse-names":false,"suffix":""},{"dropping-particle":"","family":"Starr","given":"Daniel A.","non-dropping-particle":"","parse-names":false,"suffix":""}],"container-title":"Current Opinion in Cell Biology","id":"ITEM-2","issue":"1","issued":{"date-parts":[["2013"]]},"page":"57-62","publisher":"Elsevier Ltd","title":"Connecting the nucleus to the cytoskeleton by SUN-KASH bridges across the nuclear envelope","type":"article-journal","volume":"25"},"uris":["http://www.mendeley.com/documents/?uuid=0d7f8c4a-3df8-3773-a1fb-992ad31c144a"]}],"mendeley":{"formattedCitation":"[14,15]","plainTextFormattedCitation":"[14,15]","previouslyFormattedCitation":"[14,15]"},"properties":{"noteIndex":0},"schema":"https://github.com/citation-style-language/schema/raw/master/csl-citation.json"}</w:instrText>
      </w:r>
      <w:r w:rsidRPr="005A1AC5">
        <w:rPr>
          <w:color w:val="2B579A"/>
        </w:rPr>
        <w:fldChar w:fldCharType="separate"/>
      </w:r>
      <w:r w:rsidRPr="005A1AC5">
        <w:rPr>
          <w:noProof/>
        </w:rPr>
        <w:t>[14,15]</w:t>
      </w:r>
      <w:r w:rsidRPr="005A1AC5">
        <w:rPr>
          <w:color w:val="2B579A"/>
        </w:rPr>
        <w:fldChar w:fldCharType="end"/>
      </w:r>
      <w:r w:rsidRPr="005A1AC5">
        <w:t>. SUN proteins</w:t>
      </w:r>
      <w:r w:rsidR="0039361C">
        <w:t xml:space="preserve"> are anchored to the NL by their N-termini</w:t>
      </w:r>
      <w:r w:rsidRPr="005A1AC5">
        <w:t xml:space="preserve">, </w:t>
      </w:r>
      <w:r w:rsidR="0079378A">
        <w:t>attaching</w:t>
      </w:r>
      <w:r w:rsidRPr="005A1AC5">
        <w:t xml:space="preserve"> the LINC complex </w:t>
      </w:r>
      <w:r w:rsidR="0079378A">
        <w:t>to</w:t>
      </w:r>
      <w:r w:rsidRPr="005A1AC5">
        <w:t xml:space="preserve"> the NE, whilst the cytoplasmic domains of the </w:t>
      </w:r>
      <w:proofErr w:type="spellStart"/>
      <w:r w:rsidRPr="005A1AC5">
        <w:t>nesprins</w:t>
      </w:r>
      <w:proofErr w:type="spellEnd"/>
      <w:r w:rsidRPr="005A1AC5">
        <w:t xml:space="preserve"> connect to the cytoskeleton </w:t>
      </w:r>
      <w:r w:rsidRPr="005A1AC5">
        <w:rPr>
          <w:color w:val="2B579A"/>
        </w:rPr>
        <w:fldChar w:fldCharType="begin" w:fldLock="1"/>
      </w:r>
      <w:r w:rsidRPr="005A1AC5">
        <w:instrText>ADDIN CSL_CITATION {"citationItems":[{"id":"ITEM-1","itemData":{"DOI":"10.1074/jbc.M111.304543","ISSN":"00219258","abstract":"The SUN (Sad1-UNC-84 homology) domain is conserved in a number of nuclear envelope proteins involved in nuclear migration, meiotic telomere tethering, and antiviral responses. The LINC (linker of nucleoskeleton and cytoskeleton) complex, formed by the SUN and the nesprin proteins at the nuclear envelope, serves as a mechanical linkage across the nuclear envelope. Here we report the crystal structure of the SUN2 protein SUN domain, which reveals a homotrimer. The SUN domain is sufficient to mediate binding to the KASH (Klarsicht, ANC-1, and Syne homology) domain of nesprin 2, and the regions involved in the interaction have been identified. Binding of the SUN domain to the KASH domain is abolished by deletion of a region important for trimerization or by point mutations associated with nuclear migration failure. We propose a model of the LINC complex, where the SUN and the KASH domains form a higher ordered oligomeric network in the nuclear envelope. These findings provide the structural basis for understanding the function and the regulation of the LINC complex. © 2012 by The American Society for Biochemistry and Molecular Biology, Inc.","author":[{"dropping-particle":"","family":"Zhou","given":"Zhaocai","non-dropping-particle":"","parse-names":false,"suffix":""},{"dropping-particle":"","family":"Du","given":"Xiulian","non-dropping-particle":"","parse-names":false,"suffix":""},{"dropping-particle":"","family":"Cai","given":"Zheng","non-dropping-particle":"","parse-names":false,"suffix":""},{"dropping-particle":"","family":"Song","given":"Xiaomin","non-dropping-particle":"","parse-names":false,"suffix":""},{"dropping-particle":"","family":"Zhang","given":"Hongtao","non-dropping-particle":"","parse-names":false,"suffix":""},{"dropping-particle":"","family":"Mizuno","given":"Takako","non-dropping-particle":"","parse-names":false,"suffix":""},{"dropping-particle":"","family":"Suzuki","given":"Emi","non-dropping-particle":"","parse-names":false,"suffix":""},{"dropping-particle":"","family":"Yee","given":"Marla Rosanne","non-dropping-particle":"","parse-names":false,"suffix":""},{"dropping-particle":"","family":"Berezov","given":"Alan","non-dropping-particle":"","parse-names":false,"suffix":""},{"dropping-particle":"","family":"Murali","given":"Ramachandran","non-dropping-particle":"","parse-names":false,"suffix":""},{"dropping-particle":"","family":"Wu","given":"Shiaw Lin","non-dropping-particle":"","parse-names":false,"suffix":""},{"dropping-particle":"","family":"Karger","given":"Barry L.","non-dropping-particle":"","parse-names":false,"suffix":""},{"dropping-particle":"","family":"Greene","given":"Mark I.","non-dropping-particle":"","parse-names":false,"suffix":""},{"dropping-particle":"","family":"Wang","given":"Qiang","non-dropping-particle":"","parse-names":false,"suffix":""}],"container-title":"Journal of Biological Chemistry","id":"ITEM-1","issue":"8","issued":{"date-parts":[["2012","2","17"]]},"page":"5317-5326","title":"Structure of Sad1-UNC84 homology (SUN) domain defines features of molecular bridge in nuclear envelope","type":"article-journal","volume":"287"},"uris":["http://www.mendeley.com/documents/?uuid=a6f404ab-3341-3a67-85fa-4af5f7f41e03"]},{"id":"ITEM-2","itemData":{"DOI":"10.1083/JCB.200506083","ISSN":"00219525","PMID":"16330710","abstract":"Despite their importance in cell biology, the mechanisms that maintain the nucleus in its proper position in the cell are not well understood. This is primarily the result of an incomplete knowledge of the proteins in the outer nuclear membrane (ONM) that are able to associate with the different cytoskeletal systems. Two related ONM proteins, nuclear envelope spectrin repeat (nesprin)-1 and -2, are known to make direct connections with the actin cytoskeleton through their NH2-terminal actin-binding domain (ABD). We have now isolated a third member of the nesprin family that lacks an ABD and instead binds to the plakin family member plectin, which can associate with the intermediate filament (IF) system. Overexpression of nesprin-3 results in a dramatic recruitment of plectin to the nuclear perimeter, which is where these two molecules are colocalized with both keratin-6 and -14. Importantly, plectin binds to the integrin α6β4 at the cell surface and to nesprin-3 at the ONM in keratinocytes, suggesting that there is a continuous connection between the nucleus and the extracellular matrix through the IF cytoskeleton. © The Rockefeller University Press.","author":[{"dropping-particle":"","family":"Wilhelmsen","given":"Kevin","non-dropping-particle":"","parse-names":false,"suffix":""},{"dropping-particle":"","family":"Litjens","given":"Sandy H.M.","non-dropping-particle":"","parse-names":false,"suffix":""},{"dropping-particle":"","family":"Kuikman","given":"Ingrid","non-dropping-particle":"","parse-names":false,"suffix":""},{"dropping-particle":"","family":"Tshimbalanga","given":"Ntambua","non-dropping-particle":"","parse-names":false,"suffix":""},{"dropping-particle":"","family":"Janssen","given":"Hans","non-dropping-particle":"","parse-names":false,"suffix":""},{"dropping-particle":"Den","family":"Bout","given":"Iman","non-dropping-particle":"Van","parse-names":false,"suffix":""},{"dropping-particle":"","family":"Raymond","given":"Karine","non-dropping-particle":"","parse-names":false,"suffix":""},{"dropping-particle":"","family":"Sonnenberg","given":"Arnoud","non-dropping-particle":"","parse-names":false,"suffix":""}],"container-title":"The Journal of Cell Biology","id":"ITEM-2","issue":"5","issued":{"date-parts":[["2005","12","5"]]},"page":"799","publisher":"The Rockefeller University Press","title":"Nesprin-3, a novel outer nuclear membrane protein, associates with the cytoskeletal linker protein plectin","type":"article-journal","volume":"171"},"uris":["http://www.mendeley.com/documents/?uuid=85d05a8d-31be-3e07-ae93-cd976fbe1c14"]},{"id":"ITEM-3","itemData":{"DOI":"10.1006/GENO.2002.6859","ISSN":"0888-7543","abstract":"Nesprin-1 and nesprin-2 (also known as Syne-1 and Syne-2,) are large (similar to 3300-residue) vertebrate proteins associated with emerin and lamin A at the nuclear envelope of muscle cells and other cell types. We show that the previously described nesprins are short isoforms of giant proteins comprising an actin-binding amino-terminus connected to a carboxy-terminal klarsicht-related transmembrane domain by a massive (similar to 6000-8000 amino acid) spectrin-like rod domain, making full-length nesprin-1, at one megadalton, the largest non-titin protein hitherto described in humans. We find that MSP-300, a 7000-residue Drosophila melanogaster protein whose disruption results in defects of muscle development, corresponds to the N-terminal two-thirds of the Drosophila nesprin ortholog.:A nesprin-like protein is also encoded by the nematode genome. Moreover, we demonstrate that the larger isoforms of nesprin-1, like MSP-300, are localized to the sarcomeric Z-line of both skeletal and cardiac muscle. The recognition that a characteristic muscle-specific mutant phenotype in the fly results from a disruption of its nesprin ortholog reinforces the candidacy of the human proteins for involvement in genetic diseases of skeletal and cardiac muscle","author":[{"dropping-particle":"","family":"Zhang","given":"Qiuping","non-dropping-particle":"","parse-names":false,"suffix":""},{"dropping-particle":"","family":"Ragnauth","given":"Cassandra","non-dropping-particle":"","parse-names":false,"suffix":""},{"dropping-particle":"","family":"Greener","given":"Marc J.","non-dropping-particle":"","parse-names":false,"suffix":""},{"dropping-particle":"","family":"Shanahan","given":"Catherine M.","non-dropping-particle":"","parse-names":false,"suffix":""},{"dropping-particle":"","family":"Roberts","given":"Roland G.","non-dropping-particle":"","parse-names":false,"suffix":""}],"container-title":"Genomics","id":"ITEM-3","issue":"5","issued":{"date-parts":[["2002","11","1"]]},"page":"473-481","publisher":"Academic Press","title":"The Nesprins Are Giant Actin-Binding Proteins, Orthologous to Drosophila melanogaster Muscle Protein MSP-300","type":"article-journal","volume":"80"},"uris":["http://www.mendeley.com/documents/?uuid=7d89a0c1-4a9e-35cc-8cf7-3169873af12e"]}],"mendeley":{"formattedCitation":"[16–18]","plainTextFormattedCitation":"[16–18]","previouslyFormattedCitation":"[16–18]"},"properties":{"noteIndex":0},"schema":"https://github.com/citation-style-language/schema/raw/master/csl-citation.json"}</w:instrText>
      </w:r>
      <w:r w:rsidRPr="005A1AC5">
        <w:rPr>
          <w:color w:val="2B579A"/>
        </w:rPr>
        <w:fldChar w:fldCharType="separate"/>
      </w:r>
      <w:r w:rsidRPr="005A1AC5">
        <w:rPr>
          <w:noProof/>
        </w:rPr>
        <w:t>[16–18]</w:t>
      </w:r>
      <w:r w:rsidRPr="005A1AC5">
        <w:rPr>
          <w:color w:val="2B579A"/>
        </w:rPr>
        <w:fldChar w:fldCharType="end"/>
      </w:r>
      <w:r w:rsidRPr="005A1AC5">
        <w:t xml:space="preserve">. Additionally, a number of other NE proteins are known to be associated with the LINC complex including INM proteins </w:t>
      </w:r>
      <w:proofErr w:type="spellStart"/>
      <w:r w:rsidRPr="005A1AC5">
        <w:t>emerin</w:t>
      </w:r>
      <w:proofErr w:type="spellEnd"/>
      <w:r w:rsidRPr="005A1AC5">
        <w:t xml:space="preserve"> and TMEM43 (also known as LUMA), and isoforms of four-and-a-half </w:t>
      </w:r>
      <w:proofErr w:type="spellStart"/>
      <w:r w:rsidRPr="005A1AC5">
        <w:t>lim</w:t>
      </w:r>
      <w:proofErr w:type="spellEnd"/>
      <w:r w:rsidRPr="005A1AC5">
        <w:t xml:space="preserve"> domain protein 1 (FHL1) which shuttle between the nucleus and the cytoplasm </w:t>
      </w:r>
      <w:r w:rsidRPr="005A1AC5">
        <w:rPr>
          <w:color w:val="2B579A"/>
        </w:rPr>
        <w:fldChar w:fldCharType="begin" w:fldLock="1"/>
      </w:r>
      <w:r w:rsidRPr="005A1AC5">
        <w:instrText>ADDIN CSL_CITATION {"citationItems":[{"id":"ITEM-1","itemData":{"DOI":"10.1042/BST20110658","ISSN":"1470-8752","abstract":"The LINC (linker of nucleoskeleton and cytoskeleton) complex is a proposed mechanical link tethering the nucleo- and cyto-skeleton via the NE (nuclear envelope). The LINC components emerin, lamin A/C, SUN1, SUN2, nesprin-1 and nesprin-2 interact with each other at the NE and also with other binding partners including actin filaments and B-type lamins. Besides the mechanostructural functions, the LINC complex is also involved in signalling pathways and gene regulation. Emerin was the first LINC component associated with a human disease, namely EDMD (Emery-Dreifuss muscular dystrophy). Later on, other components of the LINC complex, such as lamins A/C and small isoforms of nesprin-1 and nesprin-2, were found to be associated with EDMD, reflecting a genetic heterogeneity that has not been resolved so far. Only approximately 46% of the EDMD patients can be linked to genes of LINC and non-LINC components, pointing to further genes involved in the pathology of EDMD. Obvious candidates are the LINC proteins SUN1 and SUN2. Recently, screening of binding partners of LINC components as candidates identified LUMA (TMEM43), encoding a binding partner of emerin and lamins, as a gene involved in atypical EDMD. Nevertheless, such mutations contribute only to a very small fraction of EDMD patients. EDMD-causing mutations in STA/EMD (encoding emerin) that disrupt emerin binding to Btf (Bcl-2-associated transcription factor), GCL (germ cell-less) and BAF (barrier to autointegration factor) provide the first glimpses into LINC being involved in gene regulation and thus opening new avenues for functional studies. Thus the association of LINC with human disease provides tools for understanding its functions within the cell.","author":[{"dropping-particle":"","family":"Meinke","given":"Peter","non-dropping-particle":"","parse-names":false,"suffix":""},{"dropping-particle":"","family":"Nguyen","given":"Thuy Duong","non-dropping-particle":"","parse-names":false,"suffix":""},{"dropping-particle":"","family":"Wehnert","given":"Manfred S","non-dropping-particle":"","parse-names":false,"suffix":""}],"container-title":"Biochemical Society transactions","id":"ITEM-1","issue":"6","issued":{"date-parts":[["2011"]]},"page":"1693-1697","title":"The LINC complex and human disease","type":"article-journal","volume":"39"},"uris":["http://www.mendeley.com/documents/?uuid=1ad9492c-0183-4638-993e-6450aa18b111"]}],"mendeley":{"formattedCitation":"[19]","plainTextFormattedCitation":"[19]","previouslyFormattedCitation":"[19]"},"properties":{"noteIndex":0},"schema":"https://github.com/citation-style-language/schema/raw/master/csl-citation.json"}</w:instrText>
      </w:r>
      <w:r w:rsidRPr="005A1AC5">
        <w:rPr>
          <w:color w:val="2B579A"/>
        </w:rPr>
        <w:fldChar w:fldCharType="separate"/>
      </w:r>
      <w:r w:rsidRPr="005A1AC5">
        <w:rPr>
          <w:noProof/>
        </w:rPr>
        <w:t>[19]</w:t>
      </w:r>
      <w:r w:rsidRPr="005A1AC5">
        <w:rPr>
          <w:color w:val="2B579A"/>
        </w:rPr>
        <w:fldChar w:fldCharType="end"/>
      </w:r>
      <w:r w:rsidRPr="005A1AC5">
        <w:t xml:space="preserve">. </w:t>
      </w:r>
    </w:p>
    <w:p w14:paraId="43F29F8C" w14:textId="7FDF8723" w:rsidR="001E66EE" w:rsidRPr="005A1AC5" w:rsidRDefault="001E66EE" w:rsidP="005A1AC5">
      <w:pPr>
        <w:pStyle w:val="MDPI31text"/>
      </w:pPr>
      <w:r w:rsidRPr="005A1AC5">
        <w:t>Though there is some understanding of the structure of LINC complex</w:t>
      </w:r>
      <w:r w:rsidR="00C33A0A">
        <w:t>-associated</w:t>
      </w:r>
      <w:r w:rsidRPr="005A1AC5">
        <w:t xml:space="preserve"> proteins and how they interact with one another and </w:t>
      </w:r>
      <w:proofErr w:type="spellStart"/>
      <w:r w:rsidRPr="005A1AC5">
        <w:t>neighbouring</w:t>
      </w:r>
      <w:proofErr w:type="spellEnd"/>
      <w:r w:rsidRPr="005A1AC5">
        <w:t xml:space="preserve"> NE proteins </w:t>
      </w:r>
      <w:r w:rsidRPr="005A1AC5">
        <w:fldChar w:fldCharType="begin" w:fldLock="1"/>
      </w:r>
      <w:r w:rsidRPr="005A1AC5">
        <w:instrText>ADDIN CSL_CITATION {"citationItems":[{"id":"ITEM-1","itemData":{"DOI":"10.1016/j.nmd.2020.04.002","ISSN":"09608966","author":[{"dropping-particle":"","family":"Storey","given":"Emily C","non-dropping-particle":"","parse-names":false,"suffix":""},{"dropping-particle":"","family":"Holt","given":"Ian","non-dropping-particle":"","parse-names":false,"suffix":""},{"dropping-particle":"","family":"Morris","given":"Glenn E","non-dropping-particle":"","parse-names":false,"suffix":""},{"dropping-particle":"","family":"Fuller","given":"Heidi R","non-dropping-particle":"","parse-names":false,"suffix":""}],"container-title":"Neuromuscular Disorders","id":"ITEM-1","issue":"6","issued":{"date-parts":[["2020","5","11"]]},"page":"443-456","publisher":"Elsevier","title":"Muscle cell differentiation and development pathway defects in Emery-Dreifuss muscular dystrophy","type":"article-journal","volume":"30"},"uris":["http://www.mendeley.com/documents/?uuid=766673da-21ca-3019-84b2-659345500d12"]}],"mendeley":{"formattedCitation":"[20]","plainTextFormattedCitation":"[20]","previouslyFormattedCitation":"[20]"},"properties":{"noteIndex":0},"schema":"https://github.com/citation-style-language/schema/raw/master/csl-citation.json"}</w:instrText>
      </w:r>
      <w:r w:rsidRPr="005A1AC5">
        <w:fldChar w:fldCharType="separate"/>
      </w:r>
      <w:r w:rsidRPr="005A1AC5">
        <w:rPr>
          <w:noProof/>
        </w:rPr>
        <w:t>[20]</w:t>
      </w:r>
      <w:r w:rsidRPr="005A1AC5">
        <w:fldChar w:fldCharType="end"/>
      </w:r>
      <w:r w:rsidRPr="005A1AC5">
        <w:t xml:space="preserve">, it is unclear how mutations in genes encoding them can simultaneously cause the same disease, and different diseases with entirely different phenotypes. Mutations in </w:t>
      </w:r>
      <w:r w:rsidRPr="005A1AC5">
        <w:rPr>
          <w:i/>
          <w:iCs/>
        </w:rPr>
        <w:t>LMNA, EMD, SYNE1/SYNE2</w:t>
      </w:r>
      <w:r w:rsidRPr="005A1AC5">
        <w:t xml:space="preserve"> and </w:t>
      </w:r>
      <w:r w:rsidRPr="005A1AC5">
        <w:rPr>
          <w:i/>
          <w:iCs/>
        </w:rPr>
        <w:t xml:space="preserve">TMEM43 </w:t>
      </w:r>
      <w:r w:rsidRPr="005A1AC5">
        <w:t xml:space="preserve">for example, cause EDMD </w:t>
      </w:r>
      <w:r w:rsidRPr="005A1AC5">
        <w:fldChar w:fldCharType="begin" w:fldLock="1"/>
      </w:r>
      <w:r w:rsidRPr="005A1AC5">
        <w:instrText>ADDIN CSL_CITATION {"citationItems":[{"id":"ITEM-1","itemData":{"DOI":"10.1016/J.AJHG.2009.07.015","ISSN":"0002-9297","abstract":"Emery-Dreifuss muscular dystrophy (EDMD) is a rare disorder characterized by early joint contractures, muscular dystrophy, and cardiac involvement with conduction defects and arrhythmias. So far, only 35% of EDMD cases are genetically elucidated and associated with EMD or LMNA gene mutations, suggesting the existence of additional major genes. By whole-genome scan, we identified linkage to the Xq26.3 locus containing the FHL1 gene in three informative families belonging to our EMD- and LMNA-negative cohort. Analysis of the FHL1 gene identified seven mutations, in the distal exons of FHL1 in these families, three additional families, and one isolated case, which differently affect the three FHL1 protein isoforms: two missense mutations affecting highly conserved cysteines, one abolishing the termination codon, and four out-of-frame insertions or deletions. The predominant phenotype was characterized by myopathy with scapulo-peroneal and/or axial distribution, as well as joint contractures, and associated with a peculiar cardiac disease characterized by conduction defects, arrhythmias, and hypertrophic cardiomyopathy in all index cases of the seven families. Heterozygous female carriers were either asymptomatic or had cardiac disease and/or mild myopathy. Interestingly, four of the FHL1-mutated male relatives had isolated cardiac disease, and an overt hypertrophic cardiomyopathy was present in two. Expression and functional studies demonstrated that the FHL1 proteins were severely reduced in all tested patients and that this was associated with a severe delay in myotube formation in the two patients for whom myoblasts were available. In conclusion, FHL1 should be considered as a gene associated with the X-linked EDMD phenotype, as well as with hypertrophic cardiomyopathy.","author":[{"dropping-particle":"","family":"Gueneau","given":"Lucie","non-dropping-particle":"","parse-names":false,"suffix":""},{"dropping-particle":"","family":"Bertrand","given":"Anne T.","non-dropping-particle":"","parse-names":false,"suffix":""},{"dropping-particle":"","family":"Jais","given":"Jean-Philippe","non-dropping-particle":"","parse-names":false,"suffix":""},{"dropping-particle":"","family":"Salih","given":"Mustafa A.","non-dropping-particle":"","parse-names":false,"suffix":""},{"dropping-particle":"","family":"Stojkovic","given":"Tanya","non-dropping-particle":"","parse-names":false,"suffix":""},{"dropping-particle":"","family":"Wehnert","given":"Manfred","non-dropping-particle":"","parse-names":false,"suffix":""},{"dropping-particle":"","family":"Hoeltzenbein","given":"Maria","non-dropping-particle":"","parse-names":false,"suffix":""},{"dropping-particle":"","family":"Spuler","given":"Simone","non-dropping-particle":"","parse-names":false,"suffix":""},{"dropping-particle":"","family":"Saitoh","given":"Shinji","non-dropping-particle":"","parse-names":false,"suffix":""},{"dropping-particle":"","family":"Verschueren","given":"Annie","non-dropping-particle":"","parse-names":false,"suffix":""},{"dropping-particle":"","family":"Tranchant","given":"Christine","non-dropping-particle":"","parse-names":false,"suffix":""},{"dropping-particle":"","family":"Beuvin","given":"Maud","non-dropping-particle":"","parse-names":false,"suffix":""},{"dropping-particle":"","family":"Lacene","given":"Emmanuelle","non-dropping-particle":"","parse-names":false,"suffix":""},{"dropping-particle":"","family":"Romero","given":"Norma B.","non-dropping-particle":"","parse-names":false,"suffix":""},{"dropping-particle":"","family":"Heath","given":"Simon","non-dropping-particle":"","parse-names":false,"suffix":""},{"dropping-particle":"","family":"Zelenika","given":"Diana","non-dropping-particle":"","parse-names":false,"suffix":""},{"dropping-particle":"","family":"Voit","given":"Thomas","non-dropping-particle":"","parse-names":false,"suffix":""},{"dropping-particle":"","family":"Eymard","given":"Bruno","non-dropping-particle":"","parse-names":false,"suffix":""},{"dropping-particle":"","family":"Yaou","given":"Rabah","non-dropping-particle":"Ben","parse-names":false,"suffix":""},{"dropping-particle":"","family":"Bonne","given":"Gisèle","non-dropping-particle":"","parse-names":false,"suffix":""}],"container-title":"The American Journal of Human Genetics","id":"ITEM-1","issue":"3","issued":{"date-parts":[["2009","9","11"]]},"page":"338-353","publisher":"Cell Press","title":"Mutations of the FHL1 Gene Cause Emery-Dreifuss Muscular Dystrophy","type":"article-journal","volume":"85"},"uris":["http://www.mendeley.com/documents/?uuid=d30031f5-7d54-38a7-b095-3d1876617c60"]},{"id":"ITEM-2","itemData":{"DOI":"10.1038/6799","ISSN":"1061-4036","abstract":"Emery-Dreifuss muscular dystrophy (EDMD) is characterized by early contractures of elbows and Achilles tendons, slowly progressive muscle wasting and weakness, and a cardiomyopathy with conduction blocks which is life-threatening1. Two modes of inheritance exist, X-linked (OMIM 310300) and autosomal dominant (EDMD-AD; OMIM 181350). EDMD-AD is clinically identical to the X-linked forms of the disease2,3,4. Mutations in EMD, the gene encoding emerin, are responsible for the X-linked form5,6. We have mapped the locus for EDMD-AD to an 8-cM interval on chromosome 1q11-q23 in a large French pedigree, and found that the EMD phenotype in four other small families was potentially linked to this locus. This region contains the lamin A/C gene (LMNA), a candidate gene encoding two proteins of the nuclear lamina, lamins A and C, produced by alternative splicing7,8. We identified four mutations in LMNA that co-segregate with the disease phenotype in the five families: one nonsense mutation and three missense mutations. These results are the first identification of mutations in a component of the nuclear lamina as a cause of inherited muscle disorder. Together with mutations in EMD (Refs 5,6), they underscore the potential importance of the nuclear envelope components in the pathogenesis of neuromuscular disorders.","author":[{"dropping-particle":"","family":"Bonne","given":"Gisèle","non-dropping-particle":"","parse-names":false,"suffix":""},{"dropping-particle":"Di","family":"Barletta","given":"Marina Raffaele","non-dropping-particle":"","parse-names":false,"suffix":""},{"dropping-particle":"","family":"Varnous","given":"Shaida","non-dropping-particle":"","parse-names":false,"suffix":""},{"dropping-particle":"","family":"Bécane","given":"Henri-Marc","non-dropping-particle":"","parse-names":false,"suffix":""},{"dropping-particle":"","family":"Hammouda","given":"El-Hadi","non-dropping-particle":"","parse-names":false,"suffix":""},{"dropping-particle":"","family":"Merlini","given":"Luciano","non-dropping-particle":"","parse-names":false,"suffix":""},{"dropping-particle":"","family":"Muntoni","given":"Francesco","non-dropping-particle":"","parse-names":false,"suffix":""},{"dropping-particle":"","family":"Greenberg","given":"Cheryl R.","non-dropping-particle":"","parse-names":false,"suffix":""},{"dropping-particle":"","family":"Gary","given":"Françoise","non-dropping-particle":"","parse-names":false,"suffix":""},{"dropping-particle":"","family":"Urtizberea","given":"Jon-Andoni","non-dropping-particle":"","parse-names":false,"suffix":""},{"dropping-particle":"","family":"Duboc","given":"Denis","non-dropping-particle":"","parse-names":false,"suffix":""},{"dropping-particle":"","family":"Fardeau","given":"Michel","non-dropping-particle":"","parse-names":false,"suffix":""},{"dropping-particle":"","family":"Toniolo","given":"Daniela","non-dropping-particle":"","parse-names":false,"suffix":""},{"dropping-particle":"","family":"Schwartz","given":"Ketty","non-dropping-particle":"","parse-names":false,"suffix":""}],"container-title":"Nature Genetics","id":"ITEM-2","issue":"3","issued":{"date-parts":[["1999","3"]]},"page":"285-288","publisher":"Nature Publishing Group","title":"Mutations in the gene encoding lamin A/C cause autosomal dominant Emery-Dreifuss muscular dystrophy","type":"article-journal","volume":"21"},"uris":["http://www.mendeley.com/documents/?uuid=d1260fb9-3ec6-3265-894b-dfa399668c96"]},{"id":"ITEM-3","itemData":{"ISSN":"0964-6906","abstract":"Emery-Dreifuss muscular dystrophy (EDMD) is a heterogeneous late-onset disease involving skeletal muscle wasting and heart defects caused, in a minority of cases, by mutations in either of two genes encoding the inner nuclear membrane (INM) proteins, emerin and lamins A/C. Nesprin-1 and -2 are multi-isomeric, spectrin-repeat proteins that bind both emerin and lamins A/C and form a network in muscle linking the nucleoskeleton to the INM, the outer nuclear membrane, membraneous organelles, the sarcomere and the actin cytoskeleton. Thus, disruptions in nesprin/lamin/emerin interactions might play a role in the muscle-specific pathogenesis of EDMD. Screening for DNA variations in the genes encoding nesprin-1 (SYNE1) and nesprin-2 (SYNE2) in 190 probands with EDMD or EDMD-like phenotypes identified four heterozygous missense mutations. Fibroblasts from these patients exhibited nuclear morphology defects and specific patterns of emerin and SUN2 mislocalization. In addition, diminished nuclear envelope localization of nesprins and impaired nesprin/emerin/lamin binding interactions were common features of all EDMD patient fibroblasts. siRNA knockdown of nesprin-1 or -2 in normal fibroblasts reproduced the nuclear morphological changes and mislocalization of emerin and SUN2 observed in patient fibroblasts. Taken together, these data suggest that EDMD may be caused, in part, by uncoupling of the nucleoskeleton and cytoskeleton because of perturbed nesprin/emerin/lamin interactions.","author":[{"dropping-particle":"","family":"Zhang","given":"Qiuping","non-dropping-particle":"","parse-names":false,"suffix":""},{"dropping-particle":"","family":"Bethmann","given":"Cornelia","non-dropping-particle":"","parse-names":false,"suffix":""},{"dropping-particle":"","family":"Worth","given":"Nathalie F","non-dropping-particle":"","parse-names":false,"suffix":""},{"dropping-particle":"","family":"Davies","given":"John D","non-dropping-particle":"","parse-names":false,"suffix":""},{"dropping-particle":"","family":"Wasner","given":"Christina","non-dropping-particle":"","parse-names":false,"suffix":""},{"dropping-particle":"","family":"Feuer","given":"Anja","non-dropping-particle":"","parse-names":false,"suffix":""},{"dropping-particle":"","family":"Ragnauth","given":"Cassandra D","non-dropping-particle":"","parse-names":false,"suffix":""},{"dropping-particle":"","family":"Yi","given":"Qijian","non-dropping-particle":"","parse-names":false,"suffix":""},{"dropping-particle":"","family":"Mellad","given":"Jason A","non-dropping-particle":"","parse-names":false,"suffix":""},{"dropping-particle":"","family":"Warren","given":"Derek T","non-dropping-particle":"","parse-names":false,"suffix":""},{"dropping-particle":"","family":"Wheeler","given":"Matthew A","non-dropping-particle":"","parse-names":false,"suffix":""},{"dropping-particle":"","family":"Ellis","given":"Juliet A","non-dropping-particle":"","parse-names":false,"suffix":""},{"dropping-particle":"","family":"Skepper","given":"Jeremy N","non-dropping-particle":"","parse-names":false,"suffix":""},{"dropping-particle":"","family":"Vorgerd","given":"Matthias","non-dropping-particle":"","parse-names":false,"suffix":""},{"dropping-particle":"","family":"Schlotter-Weigel","given":"Beate","non-dropping-particle":"","parse-names":false,"suffix":""},{"dropping-particle":"","family":"Weissberg","given":"Peter L","non-dropping-particle":"","parse-names":false,"suffix":""},{"dropping-particle":"","family":"Roberts","given":"Roland G","non-dropping-particle":"","parse-names":false,"suffix":""},{"dropping-particle":"","family":"Wehnert","given":"Manfred","non-dropping-particle":"","parse-names":false,"suffix":""},{"dropping-particle":"","family":"Shanahan","given":"Catherine M","non-dropping-particle":"","parse-names":false,"suffix":""}],"container-title":"Human molecular genetics","id":"ITEM-3","issue":"23","issued":{"date-parts":[["2007"]]},"page":"2816-2833","title":"Nesprin-1 and -2 are involved in the pathogenesis of Emery Dreifuss muscular dystrophy and are critical for nuclear envelope integrity.","type":"article-journal","volume":"16"},"uris":["http://www.mendeley.com/documents/?uuid=335f7266-1408-47b1-ad65-ba3ea9e1e021"]},{"id":"ITEM-4","itemData":{"DOI":"10.1002/ana.22338","ISSN":"1531-8249","PMID":"21391237","abstract":"OBJECTIVE Emery-Dreifuss muscular dystrophy (EDMD) is a genetically heterogeneous muscular disease that presents with muscular dystrophy, joint contractures, and cardiomyopathy with conduction defects. Mutations in several nuclear envelope protein genes have been associated with EDMD in less than half of patients, implying the existence of other causative and modifier genes. We therefore analyzed TMEM43, which encodes LUMA, a newly identified nuclear membrane protein and also a binding partner of emerin and lamins, to investigate whether LUMA may contribute to the pathomechanism of EDMD-related myopathy. METHODS Forty-one patients with EDMD-related myopathy were enrolled. In vitro and in vivo transfection analyses were performed to assay the binding partners and oligomerization of mutant LUMA. RESULTS We identified heterozygous missense mutations, p.Glu85Lys and p.Ile91Val in TMEM43, in 2 EDMD-related myopathy patients. Reduced nuclear staining of LUMA was observed in the muscle from the patient with p.Glu85Lys mutation. By in vitro transfection analysis, p.Glu85Lys mutant LUMA resulted to failure in oligomerization, a process that may be important for protein complex formation on nuclear membrane. Furthermore, we demonstrated for the first time that LUMA can interact with another nuclear membrane protein, SUN2, in addition to emerin. Cells expressing mutant LUMA revealed reduced nuclear staining with or without aggregates of emerin and SUN2 together with a higher proportion of abnormally shaped nuclei. In vivo expression of mutant LUMA by electroporation in mouse tibialis anterior muscles likewise demonstrated the decreased staining of emerin and SUN2 on myonuclei. INTERPRETATION Our results suggest that mutant LUMAs may be associated with EDMD-related myopathy.","author":[{"dropping-particle":"","family":"Liang","given":"Wen-Chen","non-dropping-particle":"","parse-names":false,"suffix":""},{"dropping-particle":"","family":"Mitsuhashi","given":"Hiroaki","non-dropping-particle":"","parse-names":false,"suffix":""},{"dropping-particle":"","family":"Keduka","given":"Etsuko","non-dropping-particle":"","parse-names":false,"suffix":""},{"dropping-particle":"","family":"Nonaka","given":"Ikuya","non-dropping-particle":"","parse-names":false,"suffix":""},{"dropping-particle":"","family":"Noguchi","given":"Satoru","non-dropping-particle":"","parse-names":false,"suffix":""},{"dropping-particle":"","family":"Nishino","given":"Ichizo","non-dropping-particle":"","parse-names":false,"suffix":""},{"dropping-particle":"","family":"Hayashi","given":"Yukiko K","non-dropping-particle":"","parse-names":false,"suffix":""}],"container-title":"Annals of neurology","id":"ITEM-4","issue":"6","issued":{"date-parts":[["2011","6"]]},"page":"1005-13","title":"TMEM43 mutations in Emery-Dreifuss muscular dystrophy-related myopathy.","type":"article-journal","volume":"69"},"uris":["http://www.mendeley.com/documents/?uuid=9580320b-ee79-31a8-9e7d-81db8736efbc"]},{"id":"ITEM-5","itemData":{"DOI":"10.1038/ng1294-323","ISSN":"1061-4036","abstract":"Emery-Dreifuss muscular dystrophy (EDMD) is an X-linked recessive disorder characterized by slowly progressing contractures, wasting of skeletal muscle and cardiomyopathy. Heart block is a frequent cause of death. The disease gene has been mapped to distal Xq28. Among many genes in this region, we selected eight transcripts expressed at high levels in skeletal muscle, heart and/or brain as the best candidates for the disease. We now report, in all five patients studied, unique mutations in one of the genes, STA: these mutations result in the loss of all or part of the protein. The EDMD gene encodes a novel serine-rich protein termed emerin, which contains a 20 amino acid hydrophobic domain at the C terminus, similar to that described for many membrane proteins of the secretory pathway involved in vesicular transport.","author":[{"dropping-particle":"","family":"Bione","given":"Silvia","non-dropping-particle":"","parse-names":false,"suffix":""},{"dropping-particle":"","family":"Maestrini","given":"Elena","non-dropping-particle":"","parse-names":false,"suffix":""},{"dropping-particle":"","family":"Rivella","given":"Stefano","non-dropping-particle":"","parse-names":false,"suffix":""},{"dropping-particle":"","family":"Mancini","given":"Mita","non-dropping-particle":"","parse-names":false,"suffix":""},{"dropping-particle":"","family":"Regis","given":"Stefano","non-dropping-particle":"","parse-names":false,"suffix":""},{"dropping-particle":"","family":"Romeo","given":"Giovanni","non-dropping-particle":"","parse-names":false,"suffix":""},{"dropping-particle":"","family":"Toniolo","given":"Daniela","non-dropping-particle":"","parse-names":false,"suffix":""}],"container-title":"Nature Genetics","id":"ITEM-5","issue":"4","issued":{"date-parts":[["1994","12"]]},"page":"323-327","publisher":"Nature Publishing Group","title":"Identification of a novel X-linked gene responsible for Emery-Dreifuss muscular dystrophy","type":"article-journal","volume":"8"},"uris":["http://www.mendeley.com/documents/?uuid=5e0d4619-1a8a-347b-ae91-d0853e7a2a9d"]}],"mendeley":{"formattedCitation":"[21–25]","plainTextFormattedCitation":"[21–25]","previouslyFormattedCitation":"[21–25]"},"properties":{"noteIndex":0},"schema":"https://github.com/citation-style-language/schema/raw/master/csl-citation.json"}</w:instrText>
      </w:r>
      <w:r w:rsidRPr="005A1AC5">
        <w:fldChar w:fldCharType="separate"/>
      </w:r>
      <w:r w:rsidRPr="005A1AC5">
        <w:rPr>
          <w:noProof/>
        </w:rPr>
        <w:t>[21–25]</w:t>
      </w:r>
      <w:r w:rsidRPr="005A1AC5">
        <w:fldChar w:fldCharType="end"/>
      </w:r>
      <w:r w:rsidRPr="005A1AC5">
        <w:t xml:space="preserve">, while mutations in </w:t>
      </w:r>
      <w:r w:rsidRPr="005A1AC5">
        <w:rPr>
          <w:i/>
          <w:iCs/>
        </w:rPr>
        <w:t>LMNA</w:t>
      </w:r>
      <w:r w:rsidRPr="005A1AC5">
        <w:t xml:space="preserve"> affecting the ubiquitously expressed </w:t>
      </w:r>
      <w:proofErr w:type="spellStart"/>
      <w:r w:rsidRPr="005A1AC5">
        <w:t>lamin</w:t>
      </w:r>
      <w:proofErr w:type="spellEnd"/>
      <w:r w:rsidRPr="005A1AC5">
        <w:t xml:space="preserve"> A/C protein</w:t>
      </w:r>
      <w:r w:rsidRPr="005A1AC5">
        <w:rPr>
          <w:i/>
          <w:iCs/>
        </w:rPr>
        <w:t xml:space="preserve"> </w:t>
      </w:r>
      <w:r w:rsidRPr="005A1AC5">
        <w:t>lead to more than 15 distinct tissue-specific diseases (</w:t>
      </w:r>
      <w:r w:rsidRPr="005A1AC5">
        <w:rPr>
          <w:b/>
          <w:bCs/>
        </w:rPr>
        <w:t>Fig 1.</w:t>
      </w:r>
      <w:r w:rsidRPr="005A1AC5">
        <w:t xml:space="preserve">) </w:t>
      </w:r>
      <w:r w:rsidRPr="005A1AC5">
        <w:fldChar w:fldCharType="begin" w:fldLock="1"/>
      </w:r>
      <w:r w:rsidRPr="005A1AC5">
        <w:instrText>ADDIN CSL_CITATION {"citationItems":[{"id":"ITEM-1","itemData":{"DOI":"10.3389/fphys.2020.00761","ISSN":"1664-042X","abstract":"Mutations of Lamin A/C gene ( LMNA ) cause laminopathies, a group of disorders associated with a wide spectrum of clinically distinct phenotypes, affecting different tissues and organs. Heart involvement is frequent and leads to cardiolaminopathy LMNA-dependent cardiomyopathy (LMNA-CMP), a form of dilated cardiomyopathy (DCM) typically associated with conduction disorders and arrhythmias, that can manifest either as an isolated event or as part of a multisystem phenotype. Despite the recent clinical and molecular developments in the field, there is still lack of knowledge linking specific LMNA gene mutations to the distinct clinical manifestations. Indeed, the severity and progression of the disease have marked interindividual variability, even amongst members of the same family. Studies conducted so far have described Lamin A/C proteins involved in diverse biological processes, that span from a structural role in the nucleus to the regulation of response to mechanical stress and gene expression, proposing various mechanistic hypotheses. However, none of those is per se able to fully justify functional and clinical phenotypes of LMNA-CMP; therefore, the role of Lamin A/C in cardiac pathophysiology still represents an open question. In this review we provide an update on the state-of-the-art studies on cardiolaminopathy, in the attempt to draw a line connecting molecular mechanisms to clinical manifestations. While investigators in this field still wonder about a clear genotype/phenotype correlation in LMNA-CMP, our intent here is to recapitulate common mechanistic hypotheses that link different mutations to similar clinical presentations. (Copyright © 2020 Crasto, My and Di Pasquale.)","author":[{"dropping-particle":"","family":"Crasto","given":"Silvia","non-dropping-particle":"","parse-names":false,"suffix":""},{"dropping-particle":"","family":"My","given":"Ilaria","non-dropping-particle":"","parse-names":false,"suffix":""},{"dropping-particle":"","family":"Pasquale","given":"Elisa","non-dropping-particle":"Di","parse-names":false,"suffix":""}],"container-title":"Frontiers in physiology","id":"ITEM-1","issued":{"date-parts":[["2020"]]},"page":"761","title":"The Broad Spectrum of LMNA Cardiac Diseases: From Molecular Mechanisms to Clinical Phenotype.","type":"article-journal","volume":"11"},"uris":["http://www.mendeley.com/documents/?uuid=fbb191aa-ee58-4ebb-b3a0-98cc6be8c621"]}],"mendeley":{"formattedCitation":"[26]","plainTextFormattedCitation":"[26]","previouslyFormattedCitation":"[26]"},"properties":{"noteIndex":0},"schema":"https://github.com/citation-style-language/schema/raw/master/csl-citation.json"}</w:instrText>
      </w:r>
      <w:r w:rsidRPr="005A1AC5">
        <w:fldChar w:fldCharType="separate"/>
      </w:r>
      <w:r w:rsidRPr="005A1AC5">
        <w:rPr>
          <w:noProof/>
        </w:rPr>
        <w:t>[26]</w:t>
      </w:r>
      <w:r w:rsidRPr="005A1AC5">
        <w:fldChar w:fldCharType="end"/>
      </w:r>
      <w:r w:rsidRPr="005A1AC5">
        <w:t xml:space="preserve">. Two hypotheses attempt to explain how one protein could cause entirely different diseases: the structural hypothesis and the gene expression hypothesis. The structural hypothesis proposes that a mutated lamina may result in the nucleus being unable to resist high mechanical strain within cells, particularly within tissues exposed to high mechanical strain </w:t>
      </w:r>
      <w:r w:rsidRPr="005A1AC5">
        <w:fldChar w:fldCharType="begin" w:fldLock="1"/>
      </w:r>
      <w:r w:rsidRPr="005A1AC5">
        <w:instrText>ADDIN CSL_CITATION {"citationItems":[{"id":"ITEM-1","itemData":{"DOI":"10.1083/jcb.147.5.913","ISSN":"00219525","PMID":"10579712","abstract":"The nuclear lamina is a protein meshwork lining the nucleoplasmic face of the inner nuclear membrane and represents an important determinant of interphase nuclear architecture. Its major components are the A- and B-type lamins. Whereas B-type lamins are found in all mammalian cells, A-type lamin expression is developmentally regulated. In the mouse, A-type lamins do not appear until midway through embryonic development, suggesting that these proteins may be involved in the regulation of terminal differentiation. Here we show that mice lacking A-type lamins develop to term with no overt abnormalities. However, their postnatal growth is severely retarded and is characterized by the appearance of muscular dystrophy. This phenotype is associated with ultrastructural perturbations to the nuclear envelope. These include the mislocalization of emerin, an inner nuclear membrane protein, defects in which are implicated in Emery-Dreifuss muscular dystrophy (EDMD), one of the three major X-linked dystrophies. Mice lacking the A-type lamins exhibit tissue-specific alterations to their nuclear envelope integrity and emerin distribution. In skeletal and cardiac muscles, this is manifest as a dystrophic condition related to EDMD.","author":[{"dropping-particle":"","family":"Sullivan","given":"Teresa","non-dropping-particle":"","parse-names":false,"suffix":""},{"dropping-particle":"","family":"Escalante-Alcalde","given":"Diana","non-dropping-particle":"","parse-names":false,"suffix":""},{"dropping-particle":"","family":"Bhatt","given":"Harshida","non-dropping-particle":"","parse-names":false,"suffix":""},{"dropping-particle":"","family":"Anver","given":"Miriam","non-dropping-particle":"","parse-names":false,"suffix":""},{"dropping-particle":"","family":"Bhat","given":"Narayan","non-dropping-particle":"","parse-names":false,"suffix":""},{"dropping-particle":"","family":"Nagashima","given":"Kunio","non-dropping-particle":"","parse-names":false,"suffix":""},{"dropping-particle":"","family":"Stewart","given":"Colin L.","non-dropping-particle":"","parse-names":false,"suffix":""},{"dropping-particle":"","family":"Burke","given":"Brian","non-dropping-particle":"","parse-names":false,"suffix":""}],"container-title":"Journal of Cell Biology","id":"ITEM-1","issue":"5","issued":{"date-parts":[["1999","11","29"]]},"page":"913-919","publisher":"The Rockefeller University Press","title":"Loss of A-type lamin expression compromises nuclear envelope integrity leading to muscular dystrophy","type":"article-journal","volume":"147"},"uris":["http://www.mendeley.com/documents/?uuid=6d958b86-9da1-306e-a116-8e585b3287e9"]}],"mendeley":{"formattedCitation":"[27]","plainTextFormattedCitation":"[27]","previouslyFormattedCitation":"[27]"},"properties":{"noteIndex":0},"schema":"https://github.com/citation-style-language/schema/raw/master/csl-citation.json"}</w:instrText>
      </w:r>
      <w:r w:rsidRPr="005A1AC5">
        <w:fldChar w:fldCharType="separate"/>
      </w:r>
      <w:r w:rsidRPr="005A1AC5">
        <w:rPr>
          <w:noProof/>
        </w:rPr>
        <w:t>[27]</w:t>
      </w:r>
      <w:r w:rsidRPr="005A1AC5">
        <w:fldChar w:fldCharType="end"/>
      </w:r>
      <w:r w:rsidRPr="005A1AC5">
        <w:t xml:space="preserve">. The gene expression hypothesis suggests that </w:t>
      </w:r>
      <w:r w:rsidRPr="005A1AC5">
        <w:rPr>
          <w:i/>
          <w:iCs/>
        </w:rPr>
        <w:t xml:space="preserve">LMNA </w:t>
      </w:r>
      <w:r w:rsidRPr="005A1AC5">
        <w:t xml:space="preserve">mutations affect the regulation of gene expression </w:t>
      </w:r>
      <w:r w:rsidRPr="005A1AC5">
        <w:fldChar w:fldCharType="begin" w:fldLock="1"/>
      </w:r>
      <w:r w:rsidRPr="005A1AC5">
        <w:instrText>ADDIN CSL_CITATION {"citationItems":[{"id":"ITEM-1","itemData":{"DOI":"10.1006/JSBI.1998.3987","ISSN":"10478477","PMID":"9724605","abstract":"Nuclear lamins are intermediate filament-type proteins that are the major building blocks of the nuclear lamina, a fibrous proteinaceous meshwork underlying the inner nuclear membrane. Lamins can also be localized in the nuclear interior, in a diffuse or spotted pattern. Nuclei assembled in vitro in the absence of lamins are fragile, indicating that lamins mechanically stabilize the cell nucleus. Available evidence also indicates a role for lamins in DNA replication, chromatin organization, spatial arrangement of nuclear pore complexes, nuclear growth, and anchorage of nuclear envelope proteins. In this review we summarize the current state of knowledge on the structure, assembly, and possible functional roles of nuclear lamins, emphasizing the information concerning the ability of nuclear lamins to self- assemble into distinct oligomers and polymers.","author":[{"dropping-particle":"","family":"Stuurman","given":"Nico","non-dropping-particle":"","parse-names":false,"suffix":""},{"dropping-particle":"","family":"Heins","given":"Susanne","non-dropping-particle":"","parse-names":false,"suffix":""},{"dropping-particle":"","family":"Aebi","given":"Ueli","non-dropping-particle":"","parse-names":false,"suffix":""}],"container-title":"Journal of Structural Biology","id":"ITEM-1","issue":"1-2","issued":{"date-parts":[["1998"]]},"page":"42-66","publisher":"Academic Press Inc.","title":"Nuclear lamins: Their structure, assembly, and interactions","type":"article-journal","volume":"122"},"uris":["http://www.mendeley.com/documents/?uuid=fef8ce5f-1265-334d-8f4d-809f16bd246b"]},{"id":"ITEM-2","itemData":{"DOI":"10.1007/S00412-013-0399-8","ISSN":"1432-0886","PMID":"23475188","abstract":"Nuclear intermediate filament networks formed by A- and B-type lamins are major components of the nucleoskeleton that are required for nuclear structure and function, with many links to human physiology. Mutations in lamins cause diverse human diseases (‘laminopathies’). At least 54 partners interact with human A-type lamins directly or indirectly. The less studied human lamins B1 and B2 have 23 and seven reported partners, respectively. These interactions are likely to be regulated at least in part by lamin post-translational modifications. This review summarizes the binding partners and post-translational modifications of human lamins and discusses their known or potential implications for lamin function.","author":[{"dropping-particle":"","family":"Simon","given":"Dan N.","non-dropping-particle":"","parse-names":false,"suffix":""},{"dropping-particle":"","family":"Wilson","given":"Katherine L.","non-dropping-particle":"","parse-names":false,"suffix":""}],"container-title":"Chromosoma","id":"ITEM-2","issue":"1","issued":{"date-parts":[["2013","3","12"]]},"page":"13-31","publisher":"Springer","title":"Partners and post-translational modifications of nuclear lamins","type":"article-journal","volume":"122"},"uris":["http://www.mendeley.com/documents/?uuid=8e62aac3-9a6a-3b36-9c0e-893d5c2e5525"]}],"mendeley":{"formattedCitation":"[11,28]","plainTextFormattedCitation":"[11,28]","previouslyFormattedCitation":"[11,28]"},"properties":{"noteIndex":0},"schema":"https://github.com/citation-style-language/schema/raw/master/csl-citation.json"}</w:instrText>
      </w:r>
      <w:r w:rsidRPr="005A1AC5">
        <w:fldChar w:fldCharType="separate"/>
      </w:r>
      <w:r w:rsidRPr="005A1AC5">
        <w:rPr>
          <w:noProof/>
        </w:rPr>
        <w:t>[11,28]</w:t>
      </w:r>
      <w:r w:rsidRPr="005A1AC5">
        <w:fldChar w:fldCharType="end"/>
      </w:r>
      <w:r w:rsidRPr="005A1AC5">
        <w:t xml:space="preserve">. Accumulating evidence suggests these two may not be mutually exclusive. Further complicating the situation, identical mutations in </w:t>
      </w:r>
      <w:r w:rsidRPr="005A1AC5">
        <w:rPr>
          <w:i/>
          <w:iCs/>
        </w:rPr>
        <w:t xml:space="preserve">LMNA </w:t>
      </w:r>
      <w:r w:rsidRPr="005A1AC5">
        <w:t xml:space="preserve">have been found to cause different conditions </w:t>
      </w:r>
      <w:r w:rsidRPr="005A1AC5">
        <w:fldChar w:fldCharType="begin" w:fldLock="1"/>
      </w:r>
      <w:r w:rsidRPr="005A1AC5">
        <w:instrText>ADDIN CSL_CITATION {"citationItems":[{"id":"ITEM-1","itemData":{"DOI":"10.1001/archneur.61.5.690","ISSN":"0003-9942","abstract":"Background: Mutations of the LMNA gene, encoding the nuclear envelope proteins lamins A and C, have been associated with 7 distinct pathologic conditions.; Objective: To report 5 cases with the same missense mutation in exon 6 of the LMNA gene, resulting in an E358K substitution in the central rod domain.; Design: Case report.; Setting: Three muscle centers in England.; Patients: Five patients with missense mutations of the LMNA gene.; Results: All 5 individuals had muscle involvement, but the onset, severity, distribution of muscle weakness, and presence of associated features were highly variable. Three patients had humeroperoneal distribution of weakness and typical features of Emery-Dreifuss muscular dystrophy. Two other patients showed additional novel features. One had congenital onset and predominant axial weakness, with poor neck control and inability to sit independently at the age of 21 months. Another patient presented in childhood with an unusual pattern of muscle weakness, short stature, and midface hypoplasia with striking fat accumulation around the face and neck, in contrast to wasting of adipose tissue and muscle in the limbs. She developed both respiratory failure and cardiac arrhythmias in her late 20s.; Conclusion: Our cases expand the clinical spectrum associated with mutations in the LMNA gene and further illustrate the overlapping phenotypes of the laminopathies.","author":[{"dropping-particle":"","family":"Mercuri","given":"Eugenio","non-dropping-particle":"","parse-names":false,"suffix":""},{"dropping-particle":"","family":"Poppe","given":"Maja","non-dropping-particle":"","parse-names":false,"suffix":""},{"dropping-particle":"","family":"Quinlivan","given":"Ros","non-dropping-particle":"","parse-names":false,"suffix":""},{"dropping-particle":"","family":"Messina","given":"Sonia","non-dropping-particle":"","parse-names":false,"suffix":""},{"dropping-particle":"","family":"Kinali","given":"Maria","non-dropping-particle":"","parse-names":false,"suffix":""},{"dropping-particle":"","family":"Demay","given":"Laurence","non-dropping-particle":"","parse-names":false,"suffix":""},{"dropping-particle":"","family":"Bourke","given":"John","non-dropping-particle":"","parse-names":false,"suffix":""},{"dropping-particle":"","family":"Richard","given":"Pascale","non-dropping-particle":"","parse-names":false,"suffix":""},{"dropping-particle":"","family":"Sewry","given":"Caroline","non-dropping-particle":"","parse-names":false,"suffix":""},{"dropping-particle":"","family":"Pike","given":"Mike","non-dropping-particle":"","parse-names":false,"suffix":""},{"dropping-particle":"","family":"Bonne","given":"Gisèle","non-dropping-particle":"","parse-names":false,"suffix":""},{"dropping-particle":"","family":"Muntoni","given":"Francesco","non-dropping-particle":"","parse-names":false,"suffix":""},{"dropping-particle":"","family":"Bushby","given":"Kate","non-dropping-particle":"","parse-names":false,"suffix":""}],"container-title":"Archives of neurology","id":"ITEM-1","issue":"5","issued":{"date-parts":[["2004"]]},"page":"690-694","title":"Extreme variability of phenotype in patients with an identical missense mutation in the lamin A/C gene: from congenital onset with severe phenotype to milder classic Emery-Dreifuss variant.","type":"article-journal","volume":"61"},"uris":["http://www.mendeley.com/documents/?uuid=a20060d4-7e65-4390-bd90-cefdc853df86"]},{"id":"ITEM-2","itemData":{"DOI":"10.1002/ajmg.a.32331","ISSN":"1552-4833","abstract":"Mutations in the LMNA gene result in diverse phenotypes including Emery Dreifuss muscular dystrophy, limb girdle muscular dystrophy, dilated cardiomyopathy with conduction system disease, Dunnigan type familial partial lipodystrophy, mandibulo acral dysplasia, Hutchinson Gilford progeria syndrome, restrictive dermopathy and autosomal recessive Charcot Marie Tooth type 2. The c.1930C &gt; T (R644C) missense mutation has previously been reported in eight unrelated patients with variable features including left ventricular hypertrophy, limb girdle muscle weakness, dilated cardiomyopathy and atypical progeria. Here we report on the details of nine additional patients in eight families with this mutation. Patients 1 and 2 presented with lipodystrophy and insulin resistance, Patient 1 having in addition focal segmental glomerulosclerosis. Patient 3 presented with motor neuropathy, Patient 4 with arthrogryposis and dilated cardiomyopathy with left ventricular non-compaction, Patient 5 with severe scoliosis and contractures, Patient 6 with limb girdle weakness and Patient 7 with hepatic steatosis and insulin resistance. Patients 8 and 9 are brothers with proximal weakness and contractures. Nonpenetrance was observed frequently in first degree relatives. This report provides further evidence of the extreme phenotypic diversity and low penetrance associated with the R644C mutation. Possible explanations for these observations are discussed. (2008 Wiley-Liss, Inc.)","author":[{"dropping-particle":"","family":"Rankin","given":"Julia","non-dropping-particle":"","parse-names":false,"suffix":""},{"dropping-particle":"","family":"Auer-Grumbach","given":"Michaela","non-dropping-particle":"","parse-names":false,"suffix":""},{"dropping-particle":"","family":"Bagg","given":"Warwick","non-dropping-particle":"","parse-names":false,"suffix":""},{"dropping-particle":"","family":"Colclough","given":"Kevin","non-dropping-particle":"","parse-names":false,"suffix":""},{"dropping-particle":"","family":"Nguyen","given":"Thuy Duong","non-dropping-particle":"","parse-names":false,"suffix":""},{"dropping-particle":"","family":"Fenton-May","given":"Jane","non-dropping-particle":"","parse-names":false,"suffix":""},{"dropping-particle":"","family":"Hattersley","given":"Andrew","non-dropping-particle":"","parse-names":false,"suffix":""},{"dropping-particle":"","family":"Hudson","given":"Judith","non-dropping-particle":"","parse-names":false,"suffix":""},{"dropping-particle":"","family":"Jardine","given":"Philip","non-dropping-particle":"","parse-names":false,"suffix":""},{"dropping-particle":"","family":"Josifova","given":"Dragana","non-dropping-particle":"","parse-names":false,"suffix":""},{"dropping-particle":"","family":"Longman","given":"Cheryl","non-dropping-particle":"","parse-names":false,"suffix":""},{"dropping-particle":"","family":"McWilliam","given":"Robert","non-dropping-particle":"","parse-names":false,"suffix":""},{"dropping-particle":"","family":"Owen","given":"Katharine","non-dropping-particle":"","parse-names":false,"suffix":""},{"dropping-particle":"","family":"Walker","given":"Mark","non-dropping-particle":"","parse-names":false,"suffix":""},{"dropping-particle":"","family":"Wehnert","given":"Manfred","non-dropping-particle":"","parse-names":false,"suffix":""},{"dropping-particle":"","family":"Ellard","given":"Sian","non-dropping-particle":"","parse-names":false,"suffix":""}],"container-title":"American journal of medical genetics. Part A","id":"ITEM-2","issue":"12","issued":{"date-parts":[["2008"]]},"page":"1530-1542","title":"Extreme phenotypic diversity and nonpenetrance in families with the LMNA gene mutation R644C.","type":"article-journal","volume":"146A"},"uris":["http://www.mendeley.com/documents/?uuid=980206ce-e675-4e83-82cd-272d213a3ac7"]}],"mendeley":{"formattedCitation":"[29,30]","plainTextFormattedCitation":"[29,30]","previouslyFormattedCitation":"[29,30]"},"properties":{"noteIndex":0},"schema":"https://github.com/citation-style-language/schema/raw/master/csl-citation.json"}</w:instrText>
      </w:r>
      <w:r w:rsidRPr="005A1AC5">
        <w:fldChar w:fldCharType="separate"/>
      </w:r>
      <w:r w:rsidRPr="005A1AC5">
        <w:rPr>
          <w:noProof/>
        </w:rPr>
        <w:t>[29,30]</w:t>
      </w:r>
      <w:r w:rsidRPr="005A1AC5">
        <w:fldChar w:fldCharType="end"/>
      </w:r>
      <w:r w:rsidRPr="005A1AC5">
        <w:t xml:space="preserve">. While there has been intensive investigation into laminopathies, it is still largely unknown why mutations in the same protein, and especially, why identical mutations can cause different diseases. This hugely complicates the development of therapies for </w:t>
      </w:r>
      <w:r w:rsidRPr="005A1AC5">
        <w:rPr>
          <w:i/>
          <w:iCs/>
        </w:rPr>
        <w:t>LMNA-</w:t>
      </w:r>
      <w:r w:rsidRPr="005A1AC5">
        <w:t>related diseases.</w:t>
      </w:r>
    </w:p>
    <w:p w14:paraId="130B3F63" w14:textId="54637F43" w:rsidR="001E66EE" w:rsidRPr="005A1AC5" w:rsidRDefault="001E66EE" w:rsidP="005A1AC5">
      <w:pPr>
        <w:pStyle w:val="MDPI31text"/>
      </w:pPr>
      <w:r w:rsidRPr="005A1AC5">
        <w:t>Whilst research attempting to provide insight into laminopathies has been thorough, studies surrounding the development of diseases associated with mutations affecting other LINC complex</w:t>
      </w:r>
      <w:r w:rsidR="001469F1">
        <w:t>-associated</w:t>
      </w:r>
      <w:r w:rsidRPr="005A1AC5">
        <w:t xml:space="preserve"> proteins and their relation to human diseases is mostly dispersed across many articles and has not been recently </w:t>
      </w:r>
      <w:proofErr w:type="spellStart"/>
      <w:r w:rsidRPr="005A1AC5">
        <w:t>synthesised</w:t>
      </w:r>
      <w:proofErr w:type="spellEnd"/>
      <w:r w:rsidRPr="005A1AC5">
        <w:t xml:space="preserve">. The aim of this study was to conduct a systematic review into published mutations of genes encoding </w:t>
      </w:r>
      <w:r w:rsidRPr="005A1AC5">
        <w:lastRenderedPageBreak/>
        <w:t xml:space="preserve">NE proteins associated with the LINC complex: </w:t>
      </w:r>
      <w:r w:rsidRPr="005A1AC5">
        <w:rPr>
          <w:i/>
          <w:iCs/>
        </w:rPr>
        <w:t>LMNA</w:t>
      </w:r>
      <w:r w:rsidRPr="005A1AC5">
        <w:t xml:space="preserve">, </w:t>
      </w:r>
      <w:r w:rsidRPr="005A1AC5">
        <w:rPr>
          <w:i/>
          <w:iCs/>
        </w:rPr>
        <w:t>LMNB1</w:t>
      </w:r>
      <w:r w:rsidRPr="005A1AC5">
        <w:t xml:space="preserve">, </w:t>
      </w:r>
      <w:r w:rsidRPr="005A1AC5">
        <w:rPr>
          <w:i/>
          <w:iCs/>
        </w:rPr>
        <w:t>LMNB2</w:t>
      </w:r>
      <w:r w:rsidRPr="005A1AC5">
        <w:t xml:space="preserve">, </w:t>
      </w:r>
      <w:r w:rsidRPr="005A1AC5">
        <w:rPr>
          <w:i/>
          <w:iCs/>
        </w:rPr>
        <w:t>EMD</w:t>
      </w:r>
      <w:r w:rsidRPr="005A1AC5">
        <w:t xml:space="preserve">, </w:t>
      </w:r>
      <w:r w:rsidRPr="005A1AC5">
        <w:rPr>
          <w:i/>
          <w:iCs/>
        </w:rPr>
        <w:t>TMEM43</w:t>
      </w:r>
      <w:r w:rsidRPr="005A1AC5">
        <w:t xml:space="preserve"> and </w:t>
      </w:r>
      <w:r w:rsidRPr="005A1AC5">
        <w:rPr>
          <w:i/>
          <w:iCs/>
        </w:rPr>
        <w:t>SYNE1/SYNE2</w:t>
      </w:r>
      <w:r w:rsidRPr="005A1AC5">
        <w:t xml:space="preserve">, and to </w:t>
      </w:r>
      <w:proofErr w:type="spellStart"/>
      <w:r w:rsidRPr="005A1AC5">
        <w:t>analyse</w:t>
      </w:r>
      <w:proofErr w:type="spellEnd"/>
      <w:r w:rsidRPr="005A1AC5">
        <w:t xml:space="preserve"> the list of mutations to determine whether any patterns exist between genetic sequence variants and clinical aspects of the disease. </w:t>
      </w:r>
    </w:p>
    <w:p w14:paraId="318B7835" w14:textId="77777777" w:rsidR="001E66EE" w:rsidRPr="005A1AC5" w:rsidRDefault="001E66EE" w:rsidP="001E66EE">
      <w:pPr>
        <w:rPr>
          <w:sz w:val="24"/>
          <w:szCs w:val="24"/>
        </w:rPr>
      </w:pPr>
    </w:p>
    <w:p w14:paraId="4E8F486B" w14:textId="77777777" w:rsidR="001E66EE" w:rsidRPr="005A1AC5" w:rsidRDefault="001E66EE" w:rsidP="005A1AC5">
      <w:pPr>
        <w:pStyle w:val="MDPI21heading1"/>
      </w:pPr>
      <w:r w:rsidRPr="005A1AC5">
        <w:t>Methods</w:t>
      </w:r>
    </w:p>
    <w:p w14:paraId="69DA0F6E" w14:textId="77777777" w:rsidR="001E66EE" w:rsidRPr="005A1AC5" w:rsidRDefault="001E66EE" w:rsidP="005A1AC5">
      <w:pPr>
        <w:pStyle w:val="MDPI22heading2"/>
      </w:pPr>
      <w:r w:rsidRPr="005A1AC5">
        <w:t>Overview of Methods</w:t>
      </w:r>
    </w:p>
    <w:p w14:paraId="1B0D62E3" w14:textId="0D550F4E" w:rsidR="001E66EE" w:rsidRPr="005A1AC5" w:rsidRDefault="001E66EE" w:rsidP="005A1AC5">
      <w:pPr>
        <w:pStyle w:val="MDPI31text"/>
      </w:pPr>
      <w:r w:rsidRPr="005A1AC5">
        <w:t xml:space="preserve">This systematic review of mutations in NE proteins associated with the LINC complex was conducted following Preferred Reporting Items for Systematic Reviews and Meta-Analyses (PRISMA) guidelines </w:t>
      </w:r>
      <w:r w:rsidRPr="005A1AC5">
        <w:rPr>
          <w:color w:val="2B579A"/>
        </w:rPr>
        <w:fldChar w:fldCharType="begin" w:fldLock="1"/>
      </w:r>
      <w:r w:rsidRPr="005A1AC5">
        <w:instrText>ADDIN CSL_CITATION {"citationItems":[{"id":"ITEM-1","itemData":{"DOI":"10.1136/bmj.b2700","ISSN":"14685833","PMID":"19622552","abstract":"Systematic reviews and meta-analyses are essential to summarise evidence relating to efficacy and safety of healthcare interventions accurately and reliably. The clarity and transparency of these reports, however, are not optimal. Poor reporting of systematic reviews diminishes their value to clinicians, policy makers, and other users. Since the development of the QUOROM (quality of reporting of meta-analysis) statement-a reporting guideline published in 1999-there have been several conceptual, methodological, and practical advances regarding the conduct and reporting of systematic reviews and meta-analyses. Also, reviews of published systematic reviews have found that key information about these studies is often poorly reported. Realising these issues, an international group that included experienced authors and methodologists developed PRISMA (preferred reporting items for systematic reviews and meta-analyses) as an evolution of the original QUOROM guideline for systematic reviews and meta-analyses of evaluations of health care interventions. The PRISMA statement consists of a 27-item checklist and a four-phase flow diagram. The checklist includes items deemed essential for transparent reporting of a systematic review. In this explanation and elaboration document, we explain the meaning and rationale for each checklist item. For each item, we include an example of good reporting and, where possible, references to relevant empirical studies and methodological literature. The PRISMA statement, this document, and the associated website (www.prisma-statement.org/) should be helpful resources to improve reporting of systematic reviews and meta-analyses.","author":[{"dropping-particle":"","family":"Liberati","given":"Alessandro","non-dropping-particle":"","parse-names":false,"suffix":""},{"dropping-particle":"","family":"Altman","given":"Douglas G.","non-dropping-particle":"","parse-names":false,"suffix":""},{"dropping-particle":"","family":"Tetzlaff","given":"Jennifer","non-dropping-particle":"","parse-names":false,"suffix":""},{"dropping-particle":"","family":"Mulrow","given":"Cynthia","non-dropping-particle":"","parse-names":false,"suffix":""},{"dropping-particle":"","family":"Gøtzsche","given":"Peter C.","non-dropping-particle":"","parse-names":false,"suffix":""},{"dropping-particle":"","family":"Ioannidis","given":"John P.A.","non-dropping-particle":"","parse-names":false,"suffix":""},{"dropping-particle":"","family":"Clarke","given":"Mike","non-dropping-particle":"","parse-names":false,"suffix":""},{"dropping-particle":"","family":"Devereaux","given":"P. J.","non-dropping-particle":"","parse-names":false,"suffix":""},{"dropping-particle":"","family":"Kleijnen","given":"Jos","non-dropping-particle":"","parse-names":false,"suffix":""},{"dropping-particle":"","family":"Moher","given":"David","non-dropping-particle":"","parse-names":false,"suffix":""}],"container-title":"BMJ (Clinical research ed.)","id":"ITEM-1","issued":{"date-parts":[["2009","7","21"]]},"publisher":"British Medical Journal Publishing Group","title":"The PRISMA statement for reporting systematic reviews and meta-analyses of studies that evaluate healthcare interventions: explanation and elaboration.","type":"article-journal","volume":"339"},"uris":["http://www.mendeley.com/documents/?uuid=1596ae5a-942a-396e-afc6-b7c3088c62bf"]}],"mendeley":{"formattedCitation":"[31]","plainTextFormattedCitation":"[31]","previouslyFormattedCitation":"[31]"},"properties":{"noteIndex":0},"schema":"https://github.com/citation-style-language/schema/raw/master/csl-citation.json"}</w:instrText>
      </w:r>
      <w:r w:rsidRPr="005A1AC5">
        <w:rPr>
          <w:color w:val="2B579A"/>
        </w:rPr>
        <w:fldChar w:fldCharType="separate"/>
      </w:r>
      <w:r w:rsidRPr="005A1AC5">
        <w:rPr>
          <w:noProof/>
        </w:rPr>
        <w:t>[31]</w:t>
      </w:r>
      <w:r w:rsidRPr="005A1AC5">
        <w:rPr>
          <w:color w:val="2B579A"/>
        </w:rPr>
        <w:fldChar w:fldCharType="end"/>
      </w:r>
      <w:r w:rsidRPr="005A1AC5">
        <w:t xml:space="preserve">. </w:t>
      </w:r>
      <w:r w:rsidR="0079378A">
        <w:t xml:space="preserve">This guidance was </w:t>
      </w:r>
      <w:r w:rsidRPr="005A1AC5">
        <w:t xml:space="preserve">developed </w:t>
      </w:r>
      <w:r w:rsidR="0079378A">
        <w:t>to ensure</w:t>
      </w:r>
      <w:r w:rsidRPr="005A1AC5">
        <w:t xml:space="preserve"> the transparent and complete reporting of systematic reviews and meta-analyses. </w:t>
      </w:r>
    </w:p>
    <w:p w14:paraId="6B975DED" w14:textId="77777777" w:rsidR="001E66EE" w:rsidRPr="005A1AC5" w:rsidRDefault="001E66EE" w:rsidP="005A1AC5">
      <w:pPr>
        <w:pStyle w:val="MDPI22heading2"/>
        <w:spacing w:before="240"/>
      </w:pPr>
      <w:r w:rsidRPr="005A1AC5">
        <w:t>Eligibility Criteria</w:t>
      </w:r>
    </w:p>
    <w:p w14:paraId="28FB4788" w14:textId="77777777" w:rsidR="001E66EE" w:rsidRPr="005A1AC5" w:rsidRDefault="001E66EE" w:rsidP="005A1AC5">
      <w:pPr>
        <w:pStyle w:val="MDPI23heading3"/>
      </w:pPr>
      <w:r w:rsidRPr="005A1AC5">
        <w:t>Inclusion Criteria</w:t>
      </w:r>
    </w:p>
    <w:p w14:paraId="4AF3FEC1" w14:textId="1338D624" w:rsidR="001E66EE" w:rsidRPr="005A1AC5" w:rsidRDefault="001E66EE" w:rsidP="005A1AC5">
      <w:pPr>
        <w:pStyle w:val="MDPI31text"/>
      </w:pPr>
      <w:r w:rsidRPr="005A1AC5">
        <w:t>Articles were selected if they clearly described a human mutation in a gene encoding a NE protein associated with the LINC complex (</w:t>
      </w:r>
      <w:r w:rsidRPr="005A1AC5">
        <w:rPr>
          <w:i/>
          <w:iCs/>
        </w:rPr>
        <w:t>LMNA, LMNB1, LMNB2, EMD, TMEM43, SYNE1/SYNE2</w:t>
      </w:r>
      <w:r w:rsidRPr="005A1AC5">
        <w:t xml:space="preserve">) using the standard nomenclature for describing genetic sequence variants (i.e., describing the nucleotide base pair change and/or amino acid change). Cases where there were multiple mutations in the same gene were included. As identical mutations </w:t>
      </w:r>
      <w:r w:rsidR="005F2806">
        <w:t>affecting</w:t>
      </w:r>
      <w:r w:rsidRPr="005A1AC5">
        <w:t xml:space="preserve"> certain proteins, notably </w:t>
      </w:r>
      <w:proofErr w:type="spellStart"/>
      <w:r w:rsidRPr="005A1AC5">
        <w:t>lamin</w:t>
      </w:r>
      <w:proofErr w:type="spellEnd"/>
      <w:r w:rsidRPr="005A1AC5">
        <w:t xml:space="preserve"> A, are known to cause entirely different diseases, multiple reports of the same mutation were included so that the disease phenotype in different cases could be recorded and compared. Both single and multiple case reports were included. </w:t>
      </w:r>
    </w:p>
    <w:p w14:paraId="0D80FD7F" w14:textId="77777777" w:rsidR="001E66EE" w:rsidRPr="005A1AC5" w:rsidRDefault="001E66EE" w:rsidP="005A1AC5">
      <w:pPr>
        <w:pStyle w:val="MDPI22heading2"/>
        <w:spacing w:before="240"/>
      </w:pPr>
      <w:r w:rsidRPr="005A1AC5">
        <w:t>Exclusion Criteria</w:t>
      </w:r>
    </w:p>
    <w:p w14:paraId="41F03E8E" w14:textId="098E960D" w:rsidR="001E66EE" w:rsidRPr="005A1AC5" w:rsidRDefault="001E66EE" w:rsidP="005A1AC5">
      <w:pPr>
        <w:pStyle w:val="MDPI31text"/>
      </w:pPr>
      <w:r w:rsidRPr="005A1AC5">
        <w:t>Articles were excluded if they did not report a mutation in a gene encoding a NE protein associated with the LINC complex, along with articles that mentioned relevant NE proteins in the title or abstract but failed to describe a mutation in the main body of the article. Cases where more than one mutation was reported in different genes were not included, as it is unclear which is the causative mutation.  Asymptomatic carriers were excluded as they do not reflect the patient population that are affected by disease and do not fall within the scope of this study. Non-human or man-made mutations that were created in a laboratory setting were also excluded. It is known that the accumulation of pre-</w:t>
      </w:r>
      <w:proofErr w:type="spellStart"/>
      <w:r w:rsidRPr="005A1AC5">
        <w:t>lamin</w:t>
      </w:r>
      <w:proofErr w:type="spellEnd"/>
      <w:r w:rsidRPr="005A1AC5">
        <w:t xml:space="preserve"> A induces premature senescence within cells, and this is attributed to the development of the following premature aging disorders </w:t>
      </w:r>
      <w:r w:rsidRPr="005A1AC5">
        <w:fldChar w:fldCharType="begin" w:fldLock="1"/>
      </w:r>
      <w:r w:rsidRPr="005A1AC5">
        <w:instrText>ADDIN CSL_CITATION {"citationItems":[{"id":"ITEM-1","itemData":{"DOI":"10.1016/J.ATHEROSCLEROSIS.2014.08.036","ISSN":"0021-9150","PMID":"25200614","abstract":"Background: Defects in lamin A maturation result in premature aging syndromes and severe atherosclerosis as observed in the Hutchinson-Gilford Progeria Syndrome. In age-related atherosclerosis, several features of cellular senescence have been characterized in endothelial cells including telomere shortening and increased oxidative stress. However, to date, very little is known about lamin A alterations in these cells. Objectives: To study lamin A-related senescence and its consequences in the activation status of primary endothelial cells. Methods: Healthy primary endothelial cells and progenitors issued from human umbilical vein or cord blood were used. Lamin A defects were induced by protease inhibitor (Atazanavir) treatment for 48h. Results: We show that protease inhibitor treatment leads to the accumulation of farnesylated prelamin A, inducing nuclear shape abnormalities and premature senescence in both differentiated and progenitor endothelial cells. ICAM-1-dependent activation and monocytes adhesion was increased in mature endothelial cells. In parallel, the ability to generate microvascular networks in matrigel was decreased for endothelial progenitors. The effects of protease inhibitor treatment on nuclear shapes were reversed when cells were treated in combination with Pravastatin and Zoledronate in both mature and progenitor endothelial cells. Reversion was also demonstrated with a morpholino antisense-oligonucleotide targeting lamin A-specific splice site. Discussion: This study shows that protease inhibitor treatment reproduces premature senescence due to lamin A defects in primary endothelial cells and progenitors after 48h exposure. The cells used were non-aged as extracted from cord blood or umbilical vein, allowing one to consider that other senescence pathways were not activated and that the observed alterations were specific of prelamin A accumulation. Both mature endothelial cells and precursors were sensitive to prelamin accumulation and thus, could be used in the future as a valuable model to test different approaches aimed at specifically reversing lamin A-related cells senescence.","author":[{"dropping-particle":"","family":"Bonello-Palot","given":"Nathalie","non-dropping-particle":"","parse-names":false,"suffix":""},{"dropping-particle":"","family":"Simoncini","given":"Stéphanie","non-dropping-particle":"","parse-names":false,"suffix":""},{"dropping-particle":"","family":"Robert","given":"Stéphane","non-dropping-particle":"","parse-names":false,"suffix":""},{"dropping-particle":"","family":"Bourgeois","given":"Patrice","non-dropping-particle":"","parse-names":false,"suffix":""},{"dropping-particle":"","family":"Sabatier","given":"Florence","non-dropping-particle":"","parse-names":false,"suffix":""},{"dropping-particle":"","family":"Levy","given":"Nicolas","non-dropping-particle":"","parse-names":false,"suffix":""},{"dropping-particle":"","family":"Dignat-George","given":"Françoise","non-dropping-particle":"","parse-names":false,"suffix":""},{"dropping-particle":"","family":"Badens","given":"Catherine","non-dropping-particle":"","parse-names":false,"suffix":""}],"container-title":"Atherosclerosis","id":"ITEM-1","issue":"1","issued":{"date-parts":[["2014","11","1"]]},"page":"45-52","publisher":"Elsevier","title":"Prelamin A accumulation in endothelial cells induces premature senescence and functional impairment","type":"article-journal","volume":"237"},"uris":["http://www.mendeley.com/documents/?uuid=726dbb8e-eafb-32fc-b8b3-7611db5623e3"]}],"mendeley":{"formattedCitation":"[32]","plainTextFormattedCitation":"[32]","previouslyFormattedCitation":"[32]"},"properties":{"noteIndex":0},"schema":"https://github.com/citation-style-language/schema/raw/master/csl-citation.json"}</w:instrText>
      </w:r>
      <w:r w:rsidRPr="005A1AC5">
        <w:fldChar w:fldCharType="separate"/>
      </w:r>
      <w:r w:rsidRPr="005A1AC5">
        <w:rPr>
          <w:noProof/>
        </w:rPr>
        <w:t>[32]</w:t>
      </w:r>
      <w:r w:rsidRPr="005A1AC5">
        <w:fldChar w:fldCharType="end"/>
      </w:r>
      <w:r w:rsidRPr="005A1AC5">
        <w:t xml:space="preserve">: </w:t>
      </w:r>
      <w:bookmarkStart w:id="0" w:name="_Hlk107216479"/>
      <w:r w:rsidRPr="005A1AC5">
        <w:t xml:space="preserve">Hutchinson-Guilford progeria syndrome (HGPS), atypical Werner syndrome/ atypical progeria, </w:t>
      </w:r>
      <w:proofErr w:type="spellStart"/>
      <w:r w:rsidRPr="005A1AC5">
        <w:t>mandibuloacral</w:t>
      </w:r>
      <w:proofErr w:type="spellEnd"/>
      <w:r w:rsidRPr="005A1AC5">
        <w:t xml:space="preserve"> dysplasia and restrictive dermopathy. These diseases were excluded as they are caused by the expression of truncated forms of pre-</w:t>
      </w:r>
      <w:proofErr w:type="spellStart"/>
      <w:r w:rsidRPr="005A1AC5">
        <w:t>lamin</w:t>
      </w:r>
      <w:proofErr w:type="spellEnd"/>
      <w:r w:rsidRPr="005A1AC5">
        <w:t xml:space="preserve"> A that remain </w:t>
      </w:r>
      <w:proofErr w:type="spellStart"/>
      <w:r w:rsidRPr="005A1AC5">
        <w:t>farnesylated</w:t>
      </w:r>
      <w:proofErr w:type="spellEnd"/>
      <w:r w:rsidRPr="005A1AC5">
        <w:t xml:space="preserve"> within cells due to specific mutations that are known to result in the deletion of the ZMPSTE24 protease site </w:t>
      </w:r>
      <w:r w:rsidRPr="005A1AC5">
        <w:fldChar w:fldCharType="begin" w:fldLock="1"/>
      </w:r>
      <w:r w:rsidRPr="005A1AC5">
        <w:instrText>ADDIN CSL_CITATION {"citationItems":[{"id":"ITEM-1","itemData":{"DOI":"10.3390/cells5020021.","ISSN":"2073-4409","abstract":"ZMPSTE24 encodes the only metalloprotease, which transforms prelamin into mature lamin A. Up to now, mutations in ZMPSTE24 have been linked to Restrictive Dermopathy (RD), Progeria or Mandibulo-Acral Dysplasia (MAD). We report here the phenotype of a patient referred for severe metabolic syndrome and cardiomyopathy, carrying a mutation in ZMPSTE24. The patient presented with a partial lipodystrophic syndrome associating hypertriglyceridemia, early onset type 2 diabetes, and android obesity with truncal and abdominal fat accumulation but without subcutaneous lipoatrophy. Other clinical features included acanthosis nigricans, liver steatosis, dilated cardiomyopathy, and high myocardial and hepatic triglycerides content. Mutated fibroblasts from the patient showed increased nuclear shape abnormalities and premature senescence as demonstrated by a decreased Population Doubling Level, an increased beta-galactosidase activity and a decreased BrdU incorporation rate. Reduced prelamin A expression by siRNA targeted toward LMNA transcripts resulted in decreased nuclear anomalies. We show here that a central obesity without subcutaneous lipoatrophy is associated with a laminopathy due to a heterozygous missense mutation in ZMPSTE24. Given the high prevalence of metabolic syndrome and android obesity in the general population, and in the absence of familial study, the causative link between mutation and phenotype cannot be formally established. Nevertheless, altered lamina architecture observed in mutated fibroblasts are responsible for premature cellular senescence and could contribute to the phenotype observed in this patient.","author":[{"dropping-particle":"","family":"Galant","given":"Damien","non-dropping-particle":"","parse-names":false,"suffix":""},{"dropping-particle":"","family":"Gaborit","given":"Bénédicte","non-dropping-particle":"","parse-names":false,"suffix":""},{"dropping-particle":"","family":"Desgrouas","given":"Camille","non-dropping-particle":"","parse-names":false,"suffix":""},{"dropping-particle":"","family":"Abdesselam","given":"Ines","non-dropping-particle":"","parse-names":false,"suffix":""},{"dropping-particle":"","family":"Bernard","given":"Monique","non-dropping-particle":"","parse-names":false,"suffix":""},{"dropping-particle":"","family":"Levy","given":"Nicolas","non-dropping-particle":"","parse-names":false,"suffix":""},{"dropping-particle":"","family":"Merono","given":"Françoise","non-dropping-particle":"","parse-names":false,"suffix":""},{"dropping-particle":"","family":"Coirault","given":"Catherine","non-dropping-particle":"","parse-names":false,"suffix":""},{"dropping-particle":"","family":"Roll","given":"Patrice","non-dropping-particle":"","parse-names":false,"suffix":""},{"dropping-particle":"","family":"Lagarde","given":"Arnaud","non-dropping-particle":"","parse-names":false,"suffix":""},{"dropping-particle":"","family":"Bonello-Palot","given":"Nathalie","non-dropping-particle":"","parse-names":false,"suffix":""},{"dropping-particle":"","family":"Bourgeois","given":"Patrice","non-dropping-particle":"","parse-names":false,"suffix":""},{"dropping-particle":"","family":"Dutour","given":"Anne","non-dropping-particle":"","parse-names":false,"suffix":""},{"dropping-particle":"","family":"Badens","given":"Catherine","non-dropping-particle":"","parse-names":false,"suffix":""}],"container-title":"Cells","id":"ITEM-1","issue":"2","issued":{"date-parts":[["2016"]]},"page":"21","title":"A Heterozygous ZMPSTE24 Mutation Associated with Severe Metabolic Syndrome, Ectopic Fat Accumulation, and Dilated Cardiomyopathy.","type":"article-journal","volume":"5"},"uris":["http://www.mendeley.com/documents/?uuid=c338f103-f9d4-49c0-a183-6ce11ae32eaa"]},{"id":"ITEM-2","itemData":{"DOI":"10.1038/ng871","ISSN":"1546-1718","PMID":"11923874","abstract":"The mouse ortholog of human FACE-1, Zmpste24, is a multispanning membrane protein widely distributed in mammalian tissues1,2 and structurally related to Afc1p/ste24p, a yeast metalloproteinase involved in the maturation of fungal pheromones3. Disruption of the gene Zmpste24 caused severe growth retardation and premature death in homozygous-null mice. Histopathological analysis of the mutant mice revealed several abnormalities, including dilated cardiomyopathy, muscular dystrophy and lipodystrophy. These alterations are similar to those developed by mice deficient in A-type lamin4, a major component of the nuclear lamina5, and phenocopy most defects observed in humans with diverse congenital laminopathies6,7,8. In agreement with this finding, Zmpste24-null mice are defective in the proteolytic processing of prelamin A. This deficiency in prelamin A maturation leads to the generation of abnormalities in nuclear architecture that probably underlie the many phenotypes observed in both mice and humans with mutations in the lamin A gene. These results indicate that prelamin A is a specific substrate for Zmpste24 and demonstrate the usefulness of genetic approaches for identifying the in vivo substrates of proteolytic enzymes.","author":[{"dropping-particle":"","family":"Pendás","given":"Alberto M.","non-dropping-particle":"","parse-names":false,"suffix":""},{"dropping-particle":"","family":"Zhou","given":"Zhongjun","non-dropping-particle":"","parse-names":false,"suffix":""},{"dropping-particle":"","family":"Cadiñanos","given":"Juan","non-dropping-particle":"","parse-names":false,"suffix":""},{"dropping-particle":"","family":"Freije","given":"José M.P.","non-dropping-particle":"","parse-names":false,"suffix":""},{"dropping-particle":"","family":"Wang","given":"Jianming","non-dropping-particle":"","parse-names":false,"suffix":""},{"dropping-particle":"","family":"Hultenby","given":"Kjell","non-dropping-particle":"","parse-names":false,"suffix":""},{"dropping-particle":"","family":"Astudillo","given":"Aurora","non-dropping-particle":"","parse-names":false,"suffix":""},{"dropping-particle":"","family":"Wernerson","given":"Annika","non-dropping-particle":"","parse-names":false,"suffix":""},{"dropping-particle":"","family":"Rodríguez","given":"Francisco","non-dropping-particle":"","parse-names":false,"suffix":""},{"dropping-particle":"","family":"Tryggvason","given":"Karl","non-dropping-particle":"","parse-names":false,"suffix":""},{"dropping-particle":"","family":"López-Otín","given":"Carlos","non-dropping-particle":"","parse-names":false,"suffix":""}],"container-title":"Nature Genetics 2002 31:1","id":"ITEM-2","issue":"1","issued":{"date-parts":[["2002","4","1"]]},"page":"94-99","publisher":"Nature Publishing Group","title":"Defective prelamin A processing and muscular and adipocyte alterations in Zmpste24 metalloproteinase–deficient mice","type":"article-journal","volume":"31"},"uris":["http://www.mendeley.com/documents/?uuid=c4c77dfb-e563-30e7-8f24-7a3eea2f836b"]},{"id":"ITEM-3","itemData":{"ISSN":"0370-629X","abstract":"Hutchinson-Gilford progeria syndrome (HGPS) is an extremely rare genetic disease characterized by an early onset of several clinical features including premature ageing in children. Approximately 80% of HGPS cases are caused by a de novo single-base pair substitution c.1824 C&gt;T (GGC &gt; GGT, p.Gly608Gly) within the exon 11 of the LMNA gene which codes for lamins A and C proteins. This mutation creates an abnormal splice donor site, leading to the formation of a truncated lamin A protein. Only a very few cases of African patients with HGPS have been reported, but none of them has been characterized at the molecular level. We report here a 12 year-old-girl African patient with HGPS, in whom the p.Gly608Gly heterozygous disease-causing mutation was found.","author":[{"dropping-particle":"","family":"Mutesa","given":"L","non-dropping-particle":"","parse-names":false,"suffix":""},{"dropping-particle":"","family":"Pierquin","given":"G","non-dropping-particle":"","parse-names":false,"suffix":""},{"dropping-particle":"","family":"Cwiny-Ay","given":"N","non-dropping-particle":"","parse-names":false,"suffix":""},{"dropping-particle":"","family":"Buzizi","given":"P","non-dropping-particle":"","parse-names":false,"suffix":""},{"dropping-particle":"","family":"Bours","given":"V","non-dropping-particle":"","parse-names":false,"suffix":""}],"container-title":"Revue medicale de Liege","id":"ITEM-3","issue":"3","issued":{"date-parts":[["2007"]]},"page":"155-158","title":"Hutchinson-Gilford progeria syndrome: clinical and molecular analysis in an African patient","type":"article-journal","volume":"62"},"uris":["http://www.mendeley.com/documents/?uuid=6f09504a-902c-41c7-8abe-23305d7b9fc2"]}],"mendeley":{"formattedCitation":"[33–35]","plainTextFormattedCitation":"[33–35]","previouslyFormattedCitation":"[33–35]"},"properties":{"noteIndex":0},"schema":"https://github.com/citation-style-language/schema/raw/master/csl-citation.json"}</w:instrText>
      </w:r>
      <w:r w:rsidRPr="005A1AC5">
        <w:fldChar w:fldCharType="separate"/>
      </w:r>
      <w:r w:rsidRPr="005A1AC5">
        <w:rPr>
          <w:noProof/>
        </w:rPr>
        <w:t>[33–35]</w:t>
      </w:r>
      <w:r w:rsidRPr="005A1AC5">
        <w:fldChar w:fldCharType="end"/>
      </w:r>
      <w:r w:rsidRPr="005A1AC5">
        <w:t>.</w:t>
      </w:r>
      <w:bookmarkEnd w:id="0"/>
      <w:r w:rsidRPr="005A1AC5">
        <w:t xml:space="preserve"> Additionally, for the same reasons, articles were also excluded if they only mentioned mutations in pre-</w:t>
      </w:r>
      <w:proofErr w:type="spellStart"/>
      <w:r w:rsidRPr="005A1AC5">
        <w:t>lamin</w:t>
      </w:r>
      <w:proofErr w:type="spellEnd"/>
      <w:r w:rsidRPr="005A1AC5">
        <w:t xml:space="preserve"> A. Adult onset autosomal dominant leukodystrophy (ADLD) was excluded as it is known that this disease is caused by a genomic deletion upstream of the </w:t>
      </w:r>
      <w:proofErr w:type="spellStart"/>
      <w:r w:rsidRPr="005A1AC5">
        <w:t>lamin</w:t>
      </w:r>
      <w:proofErr w:type="spellEnd"/>
      <w:r w:rsidRPr="005A1AC5">
        <w:t xml:space="preserve"> B1 gene causing overexpression of </w:t>
      </w:r>
      <w:r w:rsidRPr="005A1AC5">
        <w:rPr>
          <w:i/>
          <w:iCs/>
        </w:rPr>
        <w:t>LMNB1</w:t>
      </w:r>
      <w:r w:rsidRPr="005A1AC5">
        <w:t xml:space="preserve">. The causation of this disease is entirely different to other nuclear </w:t>
      </w:r>
      <w:proofErr w:type="spellStart"/>
      <w:r w:rsidRPr="005A1AC5">
        <w:t>envelopathies</w:t>
      </w:r>
      <w:proofErr w:type="spellEnd"/>
      <w:r w:rsidRPr="005A1AC5">
        <w:t xml:space="preserve"> as ADLD is caused by genomic copy number variants as opposed to point or </w:t>
      </w:r>
      <w:r w:rsidRPr="005A1AC5">
        <w:lastRenderedPageBreak/>
        <w:t xml:space="preserve">frameshift mutations. Articles were not included if they were not published in English. </w:t>
      </w:r>
    </w:p>
    <w:p w14:paraId="389CA03C" w14:textId="77777777" w:rsidR="001E66EE" w:rsidRPr="005A1AC5" w:rsidRDefault="001E66EE" w:rsidP="005A1AC5">
      <w:pPr>
        <w:pStyle w:val="MDPI22heading2"/>
        <w:spacing w:before="240"/>
      </w:pPr>
      <w:r w:rsidRPr="005A1AC5">
        <w:t>Information Sources</w:t>
      </w:r>
    </w:p>
    <w:p w14:paraId="215AC4F4" w14:textId="3E1F20D4" w:rsidR="001E66EE" w:rsidRPr="005A1AC5" w:rsidRDefault="001E66EE" w:rsidP="005A1AC5">
      <w:pPr>
        <w:pStyle w:val="MDPI31text"/>
      </w:pPr>
      <w:r w:rsidRPr="005A1AC5">
        <w:t>Only bibliographic databases that were deemed relevant to the systematic review topic were searched including Medline (EBSCO) (18</w:t>
      </w:r>
      <w:r w:rsidRPr="005A1AC5">
        <w:rPr>
          <w:vertAlign w:val="superscript"/>
        </w:rPr>
        <w:t>th</w:t>
      </w:r>
      <w:r w:rsidRPr="005A1AC5">
        <w:t xml:space="preserve"> May 2022), </w:t>
      </w:r>
      <w:proofErr w:type="spellStart"/>
      <w:r w:rsidRPr="005A1AC5">
        <w:t>CINAHPlus</w:t>
      </w:r>
      <w:proofErr w:type="spellEnd"/>
      <w:r w:rsidRPr="005A1AC5">
        <w:t xml:space="preserve"> (EBSCO) (18</w:t>
      </w:r>
      <w:r w:rsidRPr="005A1AC5">
        <w:rPr>
          <w:vertAlign w:val="superscript"/>
        </w:rPr>
        <w:t>th</w:t>
      </w:r>
      <w:r w:rsidRPr="005A1AC5">
        <w:t xml:space="preserve"> May 2022) and AMED (EBSCO) (18</w:t>
      </w:r>
      <w:r w:rsidRPr="005A1AC5">
        <w:rPr>
          <w:vertAlign w:val="superscript"/>
        </w:rPr>
        <w:t>th</w:t>
      </w:r>
      <w:r w:rsidRPr="005A1AC5">
        <w:t xml:space="preserve"> May 2022). </w:t>
      </w:r>
      <w:proofErr w:type="spellStart"/>
      <w:r w:rsidRPr="005A1AC5">
        <w:t>UniProt</w:t>
      </w:r>
      <w:proofErr w:type="spellEnd"/>
      <w:r w:rsidRPr="005A1AC5">
        <w:t xml:space="preserve">, </w:t>
      </w:r>
      <w:proofErr w:type="spellStart"/>
      <w:r w:rsidRPr="005A1AC5">
        <w:t>neXtProt</w:t>
      </w:r>
      <w:proofErr w:type="spellEnd"/>
      <w:r w:rsidRPr="005A1AC5">
        <w:t xml:space="preserve"> and The Human Protein Atlas were accessed as knowledge sources to aid with the analysis of the results yielded in this review.</w:t>
      </w:r>
    </w:p>
    <w:p w14:paraId="32429557" w14:textId="77777777" w:rsidR="001E66EE" w:rsidRPr="005A1AC5" w:rsidRDefault="001E66EE" w:rsidP="005A1AC5">
      <w:pPr>
        <w:pStyle w:val="MDPI22heading2"/>
        <w:spacing w:before="240"/>
      </w:pPr>
      <w:r w:rsidRPr="005A1AC5">
        <w:t>Search Strategy</w:t>
      </w:r>
    </w:p>
    <w:p w14:paraId="125A53CA" w14:textId="4B3B3005" w:rsidR="001E66EE" w:rsidRPr="005A1AC5" w:rsidRDefault="001E66EE" w:rsidP="005A1AC5">
      <w:pPr>
        <w:pStyle w:val="MDPI31text"/>
        <w:rPr>
          <w:b/>
          <w:bCs/>
        </w:rPr>
      </w:pPr>
      <w:r w:rsidRPr="005A1AC5">
        <w:t xml:space="preserve">No limits or restrictions on date or time-period were applied to the search strategy, however searches were restricted to only include articles that were published in English. No published search filters were used. The database searching yielded a total of 2218 results. There were 875 duplications that were removed using Mendeley Reference Manager and manually, leaving a total of 1343 articles to be screened. The search strategy, including search terms and a full breakdown of search results, can be viewed in detail in the </w:t>
      </w:r>
      <w:r w:rsidRPr="005A1AC5">
        <w:rPr>
          <w:b/>
          <w:bCs/>
        </w:rPr>
        <w:t>Supplementary File (1).</w:t>
      </w:r>
    </w:p>
    <w:p w14:paraId="2E4D3344" w14:textId="77777777" w:rsidR="001E66EE" w:rsidRPr="005A1AC5" w:rsidRDefault="001E66EE" w:rsidP="005A1AC5">
      <w:pPr>
        <w:pStyle w:val="MDPI22heading2"/>
        <w:spacing w:before="240"/>
      </w:pPr>
      <w:r w:rsidRPr="005A1AC5">
        <w:t>Selection Process</w:t>
      </w:r>
    </w:p>
    <w:p w14:paraId="43491E4A" w14:textId="38AE02D6" w:rsidR="001E66EE" w:rsidRPr="005A1AC5" w:rsidRDefault="001E66EE" w:rsidP="005A1AC5">
      <w:pPr>
        <w:pStyle w:val="MDPI31text"/>
      </w:pPr>
      <w:r w:rsidRPr="005A1AC5">
        <w:t xml:space="preserve">Two reviewers blind screened the articles gathered from the searches using the eligibility criteria outlined above. The web-based application Rayyan was used for this process </w:t>
      </w:r>
      <w:r w:rsidRPr="005A1AC5">
        <w:rPr>
          <w:color w:val="2B579A"/>
        </w:rPr>
        <w:fldChar w:fldCharType="begin" w:fldLock="1"/>
      </w:r>
      <w:r w:rsidRPr="005A1AC5">
        <w:instrText>ADDIN CSL_CITATION {"citationItems":[{"id":"ITEM-1","itemData":{"DOI":"10.1186/S13643-016-0384-4","ISSN":"20464053","PMID":"27919275","abstract":"Background: Synthesis of multiple randomized controlled trials (RCTs) in a systematic review can summarize the effects of individual outcomes and provide numerical answers about the effectiveness of interventions. Filtering of searches is time consuming, and no single method fulfills the principal requirements of speed with accuracy. Automation of systematic reviews is driven by a necessity to expedite the availability of current best evidence for policy and clinical decision-making. We developed Rayyan (http://rayyan.qcri.org), a free web and mobile app, that helps expedite the initial screening of abstracts and titles using a process of semi-automation while incorporating a high level of usability. For the beta testing phase, we used two published Cochrane reviews in which included studies had been selected manually. Their searches, with 1030 records and 273 records, were uploaded to Rayyan. Different features of Rayyan were tested using these two reviews. We also conducted a survey of Rayyan's users and collected feedback through a built-in feature. Results: Pilot testing of Rayyan focused on usability, accuracy against manual methods, and the added value of the prediction feature. The \"taster\" review (273 records) allowed a quick overview of Rayyan for early comments on usability. The second review (1030 records) required several iterations to identify the previously identified 11 trials. The \"suggestions\" and \"hints,\" based on the \"prediction model,\" appeared as testing progressed beyond five included studies. Post rollout user experiences and a reflexive response by the developers enabled real-time modifications and improvements. The survey respondents reported 40% average time savings when using Rayyan compared to others tools, with 34% of the respondents reporting more than 50% time savings. In addition, around 75% of the respondents mentioned that screening and labeling studies as well as collaborating on reviews to be the two most important features of Rayyan. As of November 2016, Rayyan users exceed 2000 from over 60 countries conducting hundreds of reviews totaling more than 1.6M citations. Feedback from users, obtained mostly through the app web site and a recent survey, has highlighted the ease in exploration of searches, the time saved, and simplicity in sharing and comparing include-exclude decisions. The strongest features of the app, identified and reported in user feedback, were its ability to help in screening and collaboration as we…","author":[{"dropping-particle":"","family":"Ouzzani","given":"Mourad","non-dropping-particle":"","parse-names":false,"suffix":""},{"dropping-particle":"","family":"Hammady","given":"Hossam","non-dropping-particle":"","parse-names":false,"suffix":""},{"dropping-particle":"","family":"Fedorowicz","given":"Zbys","non-dropping-particle":"","parse-names":false,"suffix":""},{"dropping-particle":"","family":"Elmagarmid","given":"Ahmed","non-dropping-particle":"","parse-names":false,"suffix":""}],"container-title":"Systematic Reviews","id":"ITEM-1","issue":"1","issued":{"date-parts":[["2016","12","5"]]},"publisher":"BioMed Central Ltd.","title":"Rayyan—a web and mobile app for systematic reviews","type":"article-journal","volume":"5"},"uris":["http://www.mendeley.com/documents/?uuid=260973ff-457d-361c-9014-cf7f9d71f8fa"]}],"mendeley":{"formattedCitation":"[36]","plainTextFormattedCitation":"[36]","previouslyFormattedCitation":"[36]"},"properties":{"noteIndex":0},"schema":"https://github.com/citation-style-language/schema/raw/master/csl-citation.json"}</w:instrText>
      </w:r>
      <w:r w:rsidRPr="005A1AC5">
        <w:rPr>
          <w:color w:val="2B579A"/>
        </w:rPr>
        <w:fldChar w:fldCharType="separate"/>
      </w:r>
      <w:r w:rsidRPr="005A1AC5">
        <w:rPr>
          <w:noProof/>
        </w:rPr>
        <w:t>[36]</w:t>
      </w:r>
      <w:r w:rsidRPr="005A1AC5">
        <w:rPr>
          <w:color w:val="2B579A"/>
        </w:rPr>
        <w:fldChar w:fldCharType="end"/>
      </w:r>
      <w:r w:rsidRPr="005A1AC5">
        <w:t xml:space="preserve">. Any conflicts were recorded and discussed further between the two reviewers until a consensus was reached. </w:t>
      </w:r>
    </w:p>
    <w:p w14:paraId="671BDF69" w14:textId="77777777" w:rsidR="001E66EE" w:rsidRPr="005A1AC5" w:rsidRDefault="001E66EE" w:rsidP="005A1AC5">
      <w:pPr>
        <w:pStyle w:val="MDPI22heading2"/>
        <w:spacing w:before="240"/>
      </w:pPr>
      <w:r w:rsidRPr="005A1AC5">
        <w:t>Data Collection Process</w:t>
      </w:r>
    </w:p>
    <w:p w14:paraId="2125B472" w14:textId="06AFAF7A" w:rsidR="001E66EE" w:rsidRPr="005A1AC5" w:rsidRDefault="001E66EE" w:rsidP="005A1AC5">
      <w:pPr>
        <w:pStyle w:val="MDPI31text"/>
      </w:pPr>
      <w:r w:rsidRPr="005A1AC5">
        <w:t xml:space="preserve">One reviewer independently collected data from each report manually. Data was tabulated and recorded using Microsoft Excel. For each NE protein, mutations were recorded using HGVS cDNA nomenclature and protein nomenclature. In some instances, if this information was not available (i.e., cDNA nomenclature was stated, but protein nomenclature was not or vice-versa), this was manually determined where possible. The type of mutation (i.e., missense, nonsense, insertion, deletion, duplication, frameshift) was also noted using HGVS nomenclature. The exon, </w:t>
      </w:r>
      <w:proofErr w:type="gramStart"/>
      <w:r w:rsidRPr="005A1AC5">
        <w:t>codon</w:t>
      </w:r>
      <w:proofErr w:type="gramEnd"/>
      <w:r w:rsidRPr="005A1AC5">
        <w:t xml:space="preserve"> and protein structure where the mutation is located were recorded or determined based on other information. The number of reports associated with each mutation were recorded if this information was stated in the article (this was therefore recorded as “minimum number of reports of mutation” as this was not always available). Diseases reported as being associated with each mutation were documented and if clinical details were available, disease severity was ranked (either mild, </w:t>
      </w:r>
      <w:proofErr w:type="gramStart"/>
      <w:r w:rsidRPr="005A1AC5">
        <w:t>moderate</w:t>
      </w:r>
      <w:proofErr w:type="gramEnd"/>
      <w:r w:rsidRPr="005A1AC5">
        <w:t xml:space="preserve"> or severe).</w:t>
      </w:r>
    </w:p>
    <w:p w14:paraId="3E884CBC" w14:textId="77777777" w:rsidR="001E66EE" w:rsidRPr="005A1AC5" w:rsidRDefault="001E66EE" w:rsidP="005A1AC5">
      <w:pPr>
        <w:pStyle w:val="MDPI22heading2"/>
        <w:spacing w:before="240"/>
      </w:pPr>
      <w:r w:rsidRPr="005A1AC5">
        <w:t>Risk of Bias and Certainty Assessment</w:t>
      </w:r>
    </w:p>
    <w:p w14:paraId="0DF4A18A" w14:textId="77777777" w:rsidR="001E66EE" w:rsidRPr="005A1AC5" w:rsidRDefault="001E66EE" w:rsidP="005A1AC5">
      <w:pPr>
        <w:pStyle w:val="MDPI31text"/>
      </w:pPr>
      <w:r w:rsidRPr="005A1AC5">
        <w:t xml:space="preserve">Articles were rejected in the screening process if the reviewers determined that the information on the mutation was questionable, recorded incorrectly or unclearly. Examples include those where the mutation was not reported using standard nomenclature, or if the position of the mutation on the codon did not align with the cDNA position. Due to the nature of this systematic review, it was possible to manually check whether </w:t>
      </w:r>
      <w:r w:rsidRPr="005A1AC5">
        <w:lastRenderedPageBreak/>
        <w:t>mutations were correctly recorded by looking at the mutation (the nucleotide or protein change) on the FASTA genetic sequence available on The National Center for Biotechnology Information database.</w:t>
      </w:r>
    </w:p>
    <w:p w14:paraId="7CE5EB6B" w14:textId="77777777" w:rsidR="001E66EE" w:rsidRPr="005A1AC5" w:rsidRDefault="001E66EE" w:rsidP="005A1AC5">
      <w:pPr>
        <w:pStyle w:val="MDPI22heading2"/>
        <w:spacing w:before="240"/>
      </w:pPr>
      <w:r w:rsidRPr="005A1AC5">
        <w:t>Limitations of The Study</w:t>
      </w:r>
    </w:p>
    <w:p w14:paraId="57ADB743" w14:textId="1CEB85BB" w:rsidR="001E66EE" w:rsidRPr="005A1AC5" w:rsidRDefault="001E66EE" w:rsidP="005A1AC5">
      <w:pPr>
        <w:pStyle w:val="MDPI31text"/>
      </w:pPr>
      <w:bookmarkStart w:id="1" w:name="_Hlk107301724"/>
      <w:r w:rsidRPr="005A1AC5">
        <w:t xml:space="preserve">Some mutations are reported directly to genetic databases and as a result are not published in journal articles. This may be a limitation to this study, as </w:t>
      </w:r>
      <w:proofErr w:type="gramStart"/>
      <w:r w:rsidRPr="005A1AC5">
        <w:t>a number of</w:t>
      </w:r>
      <w:proofErr w:type="gramEnd"/>
      <w:r w:rsidRPr="005A1AC5">
        <w:t xml:space="preserve"> variants may not have been recorded. There are, however, also limitations to database searching. Therefore, we believe that a systematic review was the most appropriate method to use to conduct this study.</w:t>
      </w:r>
      <w:bookmarkEnd w:id="1"/>
    </w:p>
    <w:p w14:paraId="3E5C58F6" w14:textId="77777777" w:rsidR="001E66EE" w:rsidRPr="005A1AC5" w:rsidRDefault="001E66EE" w:rsidP="005A1AC5">
      <w:pPr>
        <w:pStyle w:val="MDPI21heading1"/>
      </w:pPr>
      <w:r w:rsidRPr="005A1AC5">
        <w:t>Results</w:t>
      </w:r>
    </w:p>
    <w:p w14:paraId="77CDA41D" w14:textId="77777777" w:rsidR="001E66EE" w:rsidRPr="005A1AC5" w:rsidRDefault="001E66EE" w:rsidP="005A1AC5">
      <w:pPr>
        <w:pStyle w:val="MDPI22heading2"/>
      </w:pPr>
      <w:r w:rsidRPr="005A1AC5">
        <w:t>Study Selection</w:t>
      </w:r>
    </w:p>
    <w:p w14:paraId="271DE911" w14:textId="4DDD1BD6" w:rsidR="001E66EE" w:rsidRPr="005A1AC5" w:rsidRDefault="001E66EE" w:rsidP="005A1AC5">
      <w:pPr>
        <w:pStyle w:val="MDPI31text"/>
      </w:pPr>
      <w:r w:rsidRPr="005A1AC5">
        <w:t xml:space="preserve">Bibliographic databases Medline (n=2048), </w:t>
      </w:r>
      <w:proofErr w:type="spellStart"/>
      <w:r w:rsidRPr="005A1AC5">
        <w:t>CINAHLPlus</w:t>
      </w:r>
      <w:proofErr w:type="spellEnd"/>
      <w:r w:rsidRPr="005A1AC5">
        <w:t xml:space="preserve"> (n=165) and AMED (n=5) were searched, yielding a total of 2218 records. Before screening, duplicate records (n=875) were removed. The remaining 1342 records were subjected to blind screening by two reviewers, based on the inclusion and exclusion criteria previously outlined. There were 878 records that were excluded during the first round of screening, this left 464 records that were sought for retrieval. In the final round of screening, </w:t>
      </w:r>
      <w:r w:rsidR="00003AEE">
        <w:t>464</w:t>
      </w:r>
      <w:r w:rsidRPr="005A1AC5">
        <w:t xml:space="preserve"> reports were assessed for eligibility. Records were excluded due to one of the following reasons: the article was in a foreign language (n=12), multiple mutations in different proteins were described as causing the same disease in the report (n=6), the mutation was not specified, was unrelated to the study or unclear (n=42), the disease type was excluded as stated in the exclusion criteria (n=2). As a result, 402 records were included in the review. (</w:t>
      </w:r>
      <w:r w:rsidRPr="005A1AC5">
        <w:rPr>
          <w:b/>
          <w:bCs/>
        </w:rPr>
        <w:t>Fig. 2</w:t>
      </w:r>
      <w:r w:rsidRPr="005A1AC5">
        <w:t>).</w:t>
      </w:r>
    </w:p>
    <w:p w14:paraId="418306D2" w14:textId="77777777" w:rsidR="001E66EE" w:rsidRPr="005A1AC5" w:rsidRDefault="001E66EE" w:rsidP="001E66EE">
      <w:pPr>
        <w:rPr>
          <w:sz w:val="24"/>
          <w:szCs w:val="24"/>
        </w:rPr>
      </w:pPr>
    </w:p>
    <w:p w14:paraId="5AA9715E" w14:textId="6329C8AE" w:rsidR="001E66EE" w:rsidRPr="005A1AC5" w:rsidRDefault="00003AEE" w:rsidP="001E66EE">
      <w:pPr>
        <w:rPr>
          <w:b/>
          <w:bCs/>
          <w:sz w:val="24"/>
          <w:szCs w:val="24"/>
        </w:rPr>
      </w:pPr>
      <w:r>
        <w:rPr>
          <w:b/>
          <w:bCs/>
          <w:noProof/>
          <w:sz w:val="24"/>
          <w:szCs w:val="24"/>
        </w:rPr>
        <w:lastRenderedPageBreak/>
        <w:drawing>
          <wp:inline distT="0" distB="0" distL="0" distR="0" wp14:anchorId="5504A6BC" wp14:editId="5B6B2FD6">
            <wp:extent cx="5731510" cy="7609840"/>
            <wp:effectExtent l="0" t="0" r="254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609840"/>
                    </a:xfrm>
                    <a:prstGeom prst="rect">
                      <a:avLst/>
                    </a:prstGeom>
                  </pic:spPr>
                </pic:pic>
              </a:graphicData>
            </a:graphic>
          </wp:inline>
        </w:drawing>
      </w:r>
    </w:p>
    <w:p w14:paraId="09F20754" w14:textId="3681CC31" w:rsidR="001E66EE" w:rsidRPr="005A1AC5" w:rsidRDefault="005A1AC5" w:rsidP="005A1AC5">
      <w:pPr>
        <w:pStyle w:val="MDPI51figurecaption"/>
      </w:pPr>
      <w:r w:rsidRPr="005A1AC5">
        <w:rPr>
          <w:b/>
          <w:bCs/>
        </w:rPr>
        <w:t xml:space="preserve">Figure 2. </w:t>
      </w:r>
      <w:r w:rsidR="001E66EE" w:rsidRPr="005A1AC5">
        <w:rPr>
          <w:b/>
          <w:bCs/>
        </w:rPr>
        <w:t xml:space="preserve">PRISMA flow diagram outlining the search and selection process of identifying records for the systematic review. </w:t>
      </w:r>
      <w:r w:rsidR="001E66EE" w:rsidRPr="005A1AC5">
        <w:t xml:space="preserve">The databases that were searched were Medline (n=2048), </w:t>
      </w:r>
      <w:proofErr w:type="spellStart"/>
      <w:r w:rsidR="001E66EE" w:rsidRPr="005A1AC5">
        <w:t>CINAHPlus</w:t>
      </w:r>
      <w:proofErr w:type="spellEnd"/>
      <w:r w:rsidR="001E66EE" w:rsidRPr="005A1AC5">
        <w:t xml:space="preserve"> (n=165) and AMED (n=5), yielding a total of 2218 records. Duplicate records (n=875) were removed prior to screening, then 1254 records were subjected to blind screening by two independent reviewers. 878 reports were excluded, and 464 records were retrieved. This left a total of 464 reports that were assessed for eligibility. There were 402 studies that were included in the review, whilst 62 were excluded. Reports were excluded for the </w:t>
      </w:r>
      <w:r w:rsidR="001E66EE" w:rsidRPr="005A1AC5">
        <w:lastRenderedPageBreak/>
        <w:t>following reasons: foreign language (n=12), multiple mutations (n=6), mutations were not specified, unclear or unrelated (n=42) or contained a disease type that was listed within the exclusion criteria (n=2). Created with BioRender.com.</w:t>
      </w:r>
    </w:p>
    <w:p w14:paraId="250FCC4D" w14:textId="77777777" w:rsidR="001E66EE" w:rsidRPr="005A1AC5" w:rsidRDefault="001E66EE" w:rsidP="001E66EE">
      <w:pPr>
        <w:rPr>
          <w:b/>
          <w:bCs/>
          <w:sz w:val="24"/>
          <w:szCs w:val="24"/>
        </w:rPr>
      </w:pPr>
    </w:p>
    <w:p w14:paraId="6A1D74F2" w14:textId="77777777" w:rsidR="001E66EE" w:rsidRPr="005A1AC5" w:rsidRDefault="001E66EE" w:rsidP="005A1AC5">
      <w:pPr>
        <w:pStyle w:val="MDPI22heading2"/>
        <w:spacing w:before="240"/>
      </w:pPr>
      <w:r w:rsidRPr="005A1AC5">
        <w:t>Nuclear Lamins</w:t>
      </w:r>
    </w:p>
    <w:p w14:paraId="071C52FE" w14:textId="77777777" w:rsidR="001E66EE" w:rsidRPr="005A1AC5" w:rsidRDefault="001E66EE" w:rsidP="005A1AC5">
      <w:pPr>
        <w:pStyle w:val="MDPI23heading3"/>
      </w:pPr>
      <w:r w:rsidRPr="005A1AC5">
        <w:t xml:space="preserve">A high density of </w:t>
      </w:r>
      <w:r w:rsidRPr="005A1AC5">
        <w:rPr>
          <w:iCs/>
        </w:rPr>
        <w:t>LMNA</w:t>
      </w:r>
      <w:r w:rsidRPr="005A1AC5">
        <w:t xml:space="preserve"> mutations at exons 1 and 6 cause striated muscle disease, whilst mutations causing metabolic disease </w:t>
      </w:r>
      <w:proofErr w:type="gramStart"/>
      <w:r w:rsidRPr="005A1AC5">
        <w:t>increase</w:t>
      </w:r>
      <w:proofErr w:type="gramEnd"/>
      <w:r w:rsidRPr="005A1AC5">
        <w:t xml:space="preserve"> in frequency from exon 7 onwards</w:t>
      </w:r>
    </w:p>
    <w:p w14:paraId="64A87D0A" w14:textId="77777777" w:rsidR="001E66EE" w:rsidRPr="005A1AC5" w:rsidRDefault="001E66EE" w:rsidP="005A1AC5">
      <w:pPr>
        <w:pStyle w:val="MDPI31text"/>
      </w:pPr>
      <w:r w:rsidRPr="005A1AC5">
        <w:t xml:space="preserve">In total, 519 unique mutations in </w:t>
      </w:r>
      <w:r w:rsidRPr="005A1AC5">
        <w:rPr>
          <w:i/>
          <w:iCs/>
        </w:rPr>
        <w:t>LMNA</w:t>
      </w:r>
      <w:r w:rsidRPr="005A1AC5">
        <w:t xml:space="preserve">, the gene that encodes the alternatively spliced products, </w:t>
      </w:r>
      <w:proofErr w:type="spellStart"/>
      <w:r w:rsidRPr="005A1AC5">
        <w:t>lamins</w:t>
      </w:r>
      <w:proofErr w:type="spellEnd"/>
      <w:r w:rsidRPr="005A1AC5">
        <w:t xml:space="preserve"> A and C, were identified. Four mutations were found to be </w:t>
      </w:r>
      <w:proofErr w:type="spellStart"/>
      <w:r w:rsidRPr="005A1AC5">
        <w:t>lamin</w:t>
      </w:r>
      <w:proofErr w:type="spellEnd"/>
      <w:r w:rsidRPr="005A1AC5">
        <w:t xml:space="preserve"> C specific. Lamin C is derived from </w:t>
      </w:r>
      <w:r w:rsidRPr="005A1AC5">
        <w:rPr>
          <w:i/>
          <w:iCs/>
        </w:rPr>
        <w:t xml:space="preserve">LMNA </w:t>
      </w:r>
      <w:r w:rsidRPr="005A1AC5">
        <w:t xml:space="preserve">using an alternative splice site located in intron 10, therefore the C-terminus of </w:t>
      </w:r>
      <w:proofErr w:type="spellStart"/>
      <w:r w:rsidRPr="005A1AC5">
        <w:t>lamin</w:t>
      </w:r>
      <w:proofErr w:type="spellEnd"/>
      <w:r w:rsidRPr="005A1AC5">
        <w:t xml:space="preserve"> C differs to that of </w:t>
      </w:r>
      <w:proofErr w:type="spellStart"/>
      <w:r w:rsidRPr="005A1AC5">
        <w:t>lamin</w:t>
      </w:r>
      <w:proofErr w:type="spellEnd"/>
      <w:r w:rsidRPr="005A1AC5">
        <w:t xml:space="preserve"> A </w:t>
      </w:r>
      <w:r w:rsidRPr="005A1AC5">
        <w:fldChar w:fldCharType="begin" w:fldLock="1"/>
      </w:r>
      <w:r w:rsidRPr="005A1AC5">
        <w:instrText>ADDIN CSL_CITATION {"citationItems":[{"id":"ITEM-1","itemData":{"DOI":"10.1016/S0021-9258(19)85424-8","ISSN":"0021-9258","PMID":"8344919","abstract":"We have determined the structural organization of the human gene that encodes nuclear lamins A and C, intermediate filament proteins of the nuclear lamina. Sequencing and restriction mapping show that the coding region spans approximately 24 kilobases. The 5'-proximal promoter region contains several GC-rich stretches, a CCAAT box, and a TATA-like element of sequence TATTA. The lamin A/C gene contains 12 exons. Alternative splicing within exon 10 gives rise to two different mRNAs that code for pre-lamin A and lamin C. Consequently, two proteins are generated, only one of which, pre-lamin A, can be modified by isoprenylation. The intron positions in the human lamin A/C gene are generally conserved in the previously characterized genes for Xenopus lamin LIII and mouse lamin B2, but differ from those in a Drosophila lamin gene. In the regions coding for the central rod domains, the intron positions are also conserved when compared with the intron positions in the genes for most cytoplasmic intermediate filament proteins except those for nestin and neurofilaments. Analysis of the intron positions in these genes supports the hypothesis that the nuclear lamins and other intermediate filament proteins arose from a common ancestor.","author":[{"dropping-particle":"","family":"Lin","given":"F.","non-dropping-particle":"","parse-names":false,"suffix":""},{"dropping-particle":"","family":"Worman","given":"H. J.","non-dropping-particle":"","parse-names":false,"suffix":""}],"container-title":"Journal of Biological Chemistry","id":"ITEM-1","issue":"22","issued":{"date-parts":[["1993","8","5"]]},"page":"16321-16326","publisher":"Elsevier","title":"Structural organization of the human gene encoding nuclear lamin A and nuclear lamin C","type":"article-journal","volume":"268"},"uris":["http://www.mendeley.com/documents/?uuid=2e0d9af7-bce4-3b2d-8de7-485b079012ea"]}],"mendeley":{"formattedCitation":"[37]","plainTextFormattedCitation":"[37]","previouslyFormattedCitation":"[37]"},"properties":{"noteIndex":0},"schema":"https://github.com/citation-style-language/schema/raw/master/csl-citation.json"}</w:instrText>
      </w:r>
      <w:r w:rsidRPr="005A1AC5">
        <w:fldChar w:fldCharType="separate"/>
      </w:r>
      <w:r w:rsidRPr="005A1AC5">
        <w:rPr>
          <w:noProof/>
        </w:rPr>
        <w:t>[37]</w:t>
      </w:r>
      <w:r w:rsidRPr="005A1AC5">
        <w:fldChar w:fldCharType="end"/>
      </w:r>
      <w:r w:rsidRPr="005A1AC5">
        <w:t>.</w:t>
      </w:r>
    </w:p>
    <w:p w14:paraId="2ED1CD43" w14:textId="77777777" w:rsidR="001E66EE" w:rsidRPr="005A1AC5" w:rsidRDefault="001E66EE" w:rsidP="005A1AC5">
      <w:pPr>
        <w:pStyle w:val="MDPI31text"/>
      </w:pPr>
      <w:r w:rsidRPr="005A1AC5">
        <w:t xml:space="preserve">While mutations in </w:t>
      </w:r>
      <w:r w:rsidRPr="005A1AC5">
        <w:rPr>
          <w:i/>
          <w:iCs/>
        </w:rPr>
        <w:t>LMNA</w:t>
      </w:r>
      <w:r w:rsidRPr="005A1AC5">
        <w:t xml:space="preserve"> have already been associated with more than 15 different phenotypes </w:t>
      </w:r>
      <w:r w:rsidRPr="005A1AC5">
        <w:fldChar w:fldCharType="begin" w:fldLock="1"/>
      </w:r>
      <w:r w:rsidRPr="005A1AC5">
        <w:instrText>ADDIN CSL_CITATION {"citationItems":[{"id":"ITEM-1","itemData":{"DOI":"10.3389/fphys.2020.00761","ISSN":"1664-042X","abstract":"Mutations of Lamin A/C gene ( LMNA ) cause laminopathies, a group of disorders associated with a wide spectrum of clinically distinct phenotypes, affecting different tissues and organs. Heart involvement is frequent and leads to cardiolaminopathy LMNA-dependent cardiomyopathy (LMNA-CMP), a form of dilated cardiomyopathy (DCM) typically associated with conduction disorders and arrhythmias, that can manifest either as an isolated event or as part of a multisystem phenotype. Despite the recent clinical and molecular developments in the field, there is still lack of knowledge linking specific LMNA gene mutations to the distinct clinical manifestations. Indeed, the severity and progression of the disease have marked interindividual variability, even amongst members of the same family. Studies conducted so far have described Lamin A/C proteins involved in diverse biological processes, that span from a structural role in the nucleus to the regulation of response to mechanical stress and gene expression, proposing various mechanistic hypotheses. However, none of those is per se able to fully justify functional and clinical phenotypes of LMNA-CMP; therefore, the role of Lamin A/C in cardiac pathophysiology still represents an open question. In this review we provide an update on the state-of-the-art studies on cardiolaminopathy, in the attempt to draw a line connecting molecular mechanisms to clinical manifestations. While investigators in this field still wonder about a clear genotype/phenotype correlation in LMNA-CMP, our intent here is to recapitulate common mechanistic hypotheses that link different mutations to similar clinical presentations. (Copyright © 2020 Crasto, My and Di Pasquale.)","author":[{"dropping-particle":"","family":"Crasto","given":"Silvia","non-dropping-particle":"","parse-names":false,"suffix":""},{"dropping-particle":"","family":"My","given":"Ilaria","non-dropping-particle":"","parse-names":false,"suffix":""},{"dropping-particle":"","family":"Pasquale","given":"Elisa","non-dropping-particle":"Di","parse-names":false,"suffix":""}],"container-title":"Frontiers in physiology","id":"ITEM-1","issued":{"date-parts":[["2020"]]},"page":"761","title":"The Broad Spectrum of LMNA Cardiac Diseases: From Molecular Mechanisms to Clinical Phenotype.","type":"article-journal","volume":"11"},"uris":["http://www.mendeley.com/documents/?uuid=fbb191aa-ee58-4ebb-b3a0-98cc6be8c621"]}],"mendeley":{"formattedCitation":"[26]","plainTextFormattedCitation":"[26]","previouslyFormattedCitation":"[26]"},"properties":{"noteIndex":0},"schema":"https://github.com/citation-style-language/schema/raw/master/csl-citation.json"}</w:instrText>
      </w:r>
      <w:r w:rsidRPr="005A1AC5">
        <w:fldChar w:fldCharType="separate"/>
      </w:r>
      <w:r w:rsidRPr="005A1AC5">
        <w:rPr>
          <w:noProof/>
        </w:rPr>
        <w:t>[26]</w:t>
      </w:r>
      <w:r w:rsidRPr="005A1AC5">
        <w:fldChar w:fldCharType="end"/>
      </w:r>
      <w:r w:rsidRPr="005A1AC5">
        <w:t xml:space="preserve">, this study revealed 37 conditions related to </w:t>
      </w:r>
      <w:r w:rsidRPr="005A1AC5">
        <w:rPr>
          <w:i/>
          <w:iCs/>
        </w:rPr>
        <w:t xml:space="preserve">LMNA </w:t>
      </w:r>
      <w:r w:rsidRPr="005A1AC5">
        <w:t>variants (</w:t>
      </w:r>
      <w:r w:rsidRPr="005A1AC5">
        <w:rPr>
          <w:b/>
          <w:bCs/>
        </w:rPr>
        <w:t>Fig. 3A</w:t>
      </w:r>
      <w:r w:rsidRPr="005A1AC5">
        <w:t xml:space="preserve">). Moreover, identical mutations were found to give rise to different conditions. An astonishing 201 mutations were associated with more than one phenotype, and 99 mutations were linked to disorders affecting entirely different tissues and/or organ systems. Notorious examples of this include the variants </w:t>
      </w:r>
      <w:proofErr w:type="gramStart"/>
      <w:r w:rsidRPr="005A1AC5">
        <w:t>p.Arg</w:t>
      </w:r>
      <w:proofErr w:type="gramEnd"/>
      <w:r w:rsidRPr="005A1AC5">
        <w:t>644Cys, p,Arg453Trp, p.Arg527Pro and p.Ser573Leu which were associated with 11, 6, 5 and 5 different diseases, respectively, each affecting multiple tissues (</w:t>
      </w:r>
      <w:r w:rsidRPr="005A1AC5">
        <w:rPr>
          <w:b/>
          <w:bCs/>
        </w:rPr>
        <w:t>Table 1.</w:t>
      </w:r>
      <w:r w:rsidRPr="005A1AC5">
        <w:t xml:space="preserve">). One of the widest ranging examples among these is the p.Arg644Cys variant which has been linked to EDMD, LGMD, L-CMD, </w:t>
      </w:r>
      <w:bookmarkStart w:id="2" w:name="OLE_LINK4"/>
      <w:r w:rsidRPr="005A1AC5">
        <w:t>atrioventricular block</w:t>
      </w:r>
      <w:bookmarkEnd w:id="2"/>
      <w:r w:rsidRPr="005A1AC5">
        <w:t xml:space="preserve"> (AVB), DCM, arrhythmogenic right ventricular cardiomyopathy, left ventricular noncompaction, insulin resistance, FPLD, and CMT </w:t>
      </w:r>
      <w:r w:rsidRPr="005A1AC5">
        <w:fldChar w:fldCharType="begin" w:fldLock="1"/>
      </w:r>
      <w:r w:rsidRPr="005A1AC5">
        <w:instrText>ADDIN CSL_CITATION {"citationItems":[{"id":"ITEM-1","itemData":{"DOI":"10.4103/0028-3886.333448","ISSN":"1998-4022","abstract":"Background: Laminopathies are a group of diseases caused by mutations in the LMNA gene. Congenital dystrophy of the LMN is a rare disease, with less than 100 cases described in the literature.; Objectives and Materials and Methods: We present the clinical case of a patient with congenital muscular dystrophy associated with an undescribed mutation in the LMNA gene.; Results: The patient presented progressive motor delay from 10 months with a physical examination consisting of global hypotonia, bilateral winged scapula, areflexia, hip and knee flexion posture, and positive Gowers. The patient developed progressive weakness with neck tone loss, functional impairment, and loss of gait at 5 years.; Conclusions: To date, more than 20 mutations associated with congenital LMNA muscular dystrophy have been identified, most due to a single amino acid change (aa), few due to the gain or loss of several aa as in our patient.","author":[{"dropping-particle":"","family":"Avila","given":"Guillermo Martin","non-dropping-particle":"","parse-names":false,"suffix":""},{"dropping-particle":"","family":"González","given":"Ana Pinel","non-dropping-particle":"","parse-names":false,"suffix":""},{"dropping-particle":"","family":"Abad","given":"Araceli","non-dropping-particle":"","parse-names":false,"suffix":""},{"dropping-particle":"","family":"Fournier","given":"Belén Gil","non-dropping-particle":"","parse-names":false,"suffix":""},{"dropping-particle":"","family":"León","given":"Soraya Ramiro","non-dropping-particle":"","parse-names":false,"suffix":""},{"dropping-particle":"","family":"Corral","given":"Jaime Antonio Medranda","non-dropping-particle":"","parse-names":false,"suffix":""},{"dropping-particle":"","family":"Fernández","given":"Carlos Piquero","non-dropping-particle":"","parse-names":false,"suffix":""}],"container-title":"Neurology India","id":"ITEM-1","issue":"6","issued":{"date-parts":[["2021"]]},"page":"1835-1837","title":"Is the Next Generation Sequencing the Essential Tool for the Early Diagnostic Approach in Congenital Muscular Dystrophy? New Mutation in the Gen LMNA Associated with Serious Phenotype.","type":"article-journal","volume":"69"},"uris":["http://www.mendeley.com/documents/?uuid=55c524e6-f7f4-4e9f-bbe1-22259dc778da"]},{"id":"ITEM-2","itemData":{"DOI":"10.1002/mus.20293","ISSN":"0148-639X","abstract":"Mutations of the LMNA gene, encoding the nuclear envelope proteins lamins A and C, give rise to Emery-Dreifuss muscular dystrophy and to limb-girdle muscular dystrophy 1B (EDMD and LGMD1B). With one exception, all the reported EDMD and LGMD1B mutations are confined to the first 10 exons of the gene. We report four separate cases, with mutations in the same codon of LMNA exon 11, characterized by remarkable variability of clinical findings, in addition to features not previously reported. One patient had congenital weakness and died in early childhood. In two other patients, severe cardiac problems arose early and, in one of these, cardiac signs preceded by many years the onset of skeletal muscle weakness. The fourth case had a mild and late-onset LGMD1B phenotype. Our cases further expand the clinical spectrum associated with mutations in the LMNA gene and provide new evidence of the role played by the C-terminal domain of lamin A.","author":[{"dropping-particle":"","family":"Mercuri","given":"E","non-dropping-particle":"","parse-names":false,"suffix":""},{"dropping-particle":"","family":"Brown","given":"S C","non-dropping-particle":"","parse-names":false,"suffix":""},{"dropping-particle":"","family":"Nihoyannopoulos","given":"P","non-dropping-particle":"","parse-names":false,"suffix":""},{"dropping-particle":"","family":"Poulton","given":"J","non-dropping-particle":"","parse-names":false,"suffix":""},{"dropping-particle":"","family":"Kinali","given":"M","non-dropping-particle":"","parse-names":false,"suffix":""},{"dropping-particle":"","family":"Richard","given":"P","non-dropping-particle":"","parse-names":false,"suffix":""},{"dropping-particle":"","family":"Piercy","given":"R J","non-dropping-particle":"","parse-names":false,"suffix":""},{"dropping-particle":"","family":"Messina","given":"S","non-dropping-particle":"","parse-names":false,"suffix":""},{"dropping-particle":"","family":"Sewry","given":"C","non-dropping-particle":"","parse-names":false,"suffix":""},{"dropping-particle":"","family":"Burke","given":"M M","non-dropping-particle":"","parse-names":false,"suffix":""},{"dropping-particle":"","family":"McKenna","given":"W","non-dropping-particle":"","parse-names":false,"suffix":""},{"dropping-particle":"","family":"Bonne","given":"G","non-dropping-particle":"","parse-names":false,"suffix":""},{"dropping-particle":"","family":"Muntoni","given":"F","non-dropping-particle":"","parse-names":false,"suffix":""}],"container-title":"Muscle &amp; nerve","id":"ITEM-2","issue":"5","issued":{"date-parts":[["2005"]]},"page":"602-609","title":"Extreme variability of skeletal and cardiac muscle involvement in patients with mutations in exon 11 of the lamin A/C gene.","type":"article-journal","volume":"31"},"uris":["http://www.mendeley.com/documents/?uuid=f786fc56-0731-479b-bb57-9d7ba17f3807"]},{"id":"ITEM-3","itemData":{"DOI":"10.1007/s00395-008-0748-6","ISSN":"1435-1803","abstract":"The familial form of dilated cardiomyopathy (DCM) occurs in about 20%-50% of DCM cases. It is a heterogeneous genetic disease: mutations in more than 20 different genes have been shown to cause familial DCM. LMNA, encoding the nuclear membrane protein lamin A/C, is one of the most important disease gene for that disease. Therefore, we analyzed the LMNA gene in a large cohort of 73 patients with familial DCM. Clinical examination (ECG, echocardiography, and catheterization) was followed by genetic characterization of LMNA by direct sequencing. We detected five heterozygous missense mutations (prevalence 7%) in five different families characterized by severe DCM and heart failure with conduction system disease necessitating pacemaker implantation and heart transplantation. Four of these variants clustered in the protein domain coil 1B, which is important for lamin B interaction and lamin A/C dimerization. Although we identified two novel mutations (E203V, K219T) besides three known ones (E161K, R190Q, R644C), it was remarkable that four mutations represent LMNA hot spots. DCM patients with LMNA mutations show a notable homogenous severe phenotype as we could confirm in our study. Testing LMNA in such families seems to be recommended because genotype information in an individual could definitely be useful for the clinician.","author":[{"dropping-particle":"","family":"Perrot","given":"Andreas","non-dropping-particle":"","parse-names":false,"suffix":""},{"dropping-particle":"","family":"Hussein","given":"Shwan","non-dropping-particle":"","parse-names":false,"suffix":""},{"dropping-particle":"","family":"Ruppert","given":"Volker","non-dropping-particle":"","parse-names":false,"suffix":""},{"dropping-particle":"","family":"Schmidt","given":"Hartmut H J","non-dropping-particle":"","parse-names":false,"suffix":""},{"dropping-particle":"","family":"Wehnert","given":"Manfred S","non-dropping-particle":"","parse-names":false,"suffix":""},{"dropping-particle":"","family":"Duong","given":"Nguyen Thuy","non-dropping-particle":"","parse-names":false,"suffix":""},{"dropping-particle":"","family":"Posch","given":"Maximilian G","non-dropping-particle":"","parse-names":false,"suffix":""},{"dropping-particle":"","family":"Panek","given":"Anna","non-dropping-particle":"","parse-names":false,"suffix":""},{"dropping-particle":"","family":"Dietz","given":"Rainer","non-dropping-particle":"","parse-names":false,"suffix":""},{"dropping-particle":"","family":"Kindermann","given":"Ingrid","non-dropping-particle":"","parse-names":false,"suffix":""},{"dropping-particle":"","family":"Böhm","given":"Michael","non-dropping-particle":"","parse-names":false,"suffix":""},{"dropping-particle":"","family":"Michalewska-Wludarczyk","given":"Aleksandra","non-dropping-particle":"","parse-names":false,"suffix":""},{"dropping-particle":"","family":"Richter","given":"Anette","non-dropping-particle":"","parse-names":false,"suffix":""},{"dropping-particle":"","family":"Maisch","given":"Bernhard","non-dropping-particle":"","parse-names":false,"suffix":""},{"dropping-particle":"","family":"Pankuweit","given":"Sabine","non-dropping-particle":"","parse-names":false,"suffix":""},{"dropping-particle":"","family":"Ozcelik","given":"Cemil","non-dropping-particle":"","parse-names":false,"suffix":""}],"container-title":"Basic research in cardiology","id":"ITEM-3","issue":"1","issued":{"date-parts":[["2009"]]},"page":"90-99","title":"Identification of mutational hot spots in LMNA encoding lamin A/C in patients with familial dilated cardiomyopathy.","type":"article-journal","volume":"104"},"uris":["http://www.mendeley.com/documents/?uuid=5e0b4827-7761-48f8-a8a0-1a571c838684"]},{"id":"ITEM-4","itemData":{"DOI":"10.1093/eurheartj/ehr451","ISSN":"1522-9645","abstract":"Aims: Arrhythmogenic right ventricular cardiomyopathy (ARVC) is an inherited heart muscle disease predominantly caused by mutations in desmosomal protein genes. Lamin A/C gene (LMNA) mutations are associated with dilated cardiomyopathy, conduction abnormalities and high incidence of sudden cardiac death. In this study, we screened a large cohort of ARVC patients for LMNA mutations.; Methods and Results: One hundred and eight patients from unrelated families with borderline (n = 27) or definite (n = 81) diagnosis of ARVC were genetically tested for five desmosomal genes and LMNA. Sixty-one (56.5%) were positive for desmosomal gene mutations. Standard polymerase chain reaction (PCR) amplification of the 12 protein-coding LMNA exons was performed and mutational screening performed by direct sequencing. Four patients (4%) without desmosomal gene mutations carried LMNA variants. Three had severe right ventricular involvement, and during follow-up three died (two suddenly and one from congestive heart failure); all three had conduction abnormalities on resting 12-lead electrocardiogram (ECG). Myocardial tissue from two patients showed myocyte loss and fibro-fatty replacement. In one of these, immunohistochemical staining with antibody to plakoglobin showed reduced/absent staining of the intercalated discs in the myocardium.; Conclusion: Lamin A/C gene mutations can be found in severe forms of ARVC. Lamin A/C gene should be added to desmosomal genes when genetically testing patients with suspected ARVC, particularly when they also have ECG evidence for conduction disease.","author":[{"dropping-particle":"","family":"Quarta","given":"Giovanni","non-dropping-particle":"","parse-names":false,"suffix":""},{"dropping-particle":"","family":"Syrris","given":"Petros","non-dropping-particle":"","parse-names":false,"suffix":""},{"dropping-particle":"","family":"Ashworth","given":"Michael","non-dropping-particle":"","parse-names":false,"suffix":""},{"dropping-particle":"","family":"Jenkins","given":"Sharon","non-dropping-particle":"","parse-names":false,"suffix":""},{"dropping-particle":"","family":"Zuborne Alapi","given":"Krisztina","non-dropping-particle":"","parse-names":false,"suffix":""},{"dropping-particle":"","family":"Morgan","given":"John","non-dropping-particle":"","parse-names":false,"suffix":""},{"dropping-particle":"","family":"Muir","given":"Alison","non-dropping-particle":"","parse-names":false,"suffix":""},{"dropping-particle":"","family":"Pantazis","given":"Antonios","non-dropping-particle":"","parse-names":false,"suffix":""},{"dropping-particle":"","family":"McKenna","given":"William J","non-dropping-particle":"","parse-names":false,"suffix":""},{"dropping-particle":"","family":"Elliott","given":"Perry M","non-dropping-particle":"","parse-names":false,"suffix":""}],"container-title":"European heart journal","id":"ITEM-4","issue":"9","issued":{"date-parts":[["2012"]]},"page":"1128-1136","title":"Mutations in the Lamin A/C gene mimic arrhythmogenic right ventricular cardiomyopathy.","type":"article-journal","volume":"33"},"uris":["http://www.mendeley.com/documents/?uuid=5b50c1b9-20c8-40f7-88d3-d87de2811627"]},{"id":"ITEM-5","itemData":{"DOI":"10.14503/THIJ-13-3843","ISSN":"1526-6702","abstract":"Left ventricular noncompaction is a rare type of cardiomyopathy, the genetics of which are poorly understood to date. Lamin A/C gene mutations have been associated with dilated cardiomyopathy and diseases of the conduction system, but rarely in left ventricular noncompaction cardiomyopathy. This report describes the cases of 4 family members with a lamin A/C gene mutation, 3 of whom had phenotypic expression of left ventricular noncompaction.","author":[{"dropping-particle":"","family":"Parent","given":"John J","non-dropping-particle":"","parse-names":false,"suffix":""},{"dropping-particle":"","family":"Towbin","given":"Jeffrey A","non-dropping-particle":"","parse-names":false,"suffix":""},{"dropping-particle":"","family":"Jefferies","given":"John L","non-dropping-particle":"","parse-names":false,"suffix":""}],"container-title":"Texas Heart Institute journal","id":"ITEM-5","issue":"1","issued":{"date-parts":[["2015"]]},"page":"73-76","title":"Left ventricular noncompaction in a family with lamin A/C gene mutation.","type":"article-journal","volume":"42"},"uris":["http://www.mendeley.com/documents/?uuid=17b22f48-b500-418a-a0d1-1683613c8de5"]},{"id":"ITEM-6","itemData":{"DOI":"10.1111/jnc.14217","ISSN":"1471-4159","abstract":"Hereditary neuropathies comprise a wide variety of chronic diseases associated to more than 80 genes identified to date. We herein examined 612 index patients with either a Charcot-Marie-Tooth phenotype, hereditary sensory neuropathy, familial amyloid neuropathy, or small fiber neuropathy using a customized multigene panel based on the next generation sequencing technique. In 121 cases (19.8%), we identified at least one putative pathogenic mutation. Of these, 54.4% showed an autosomal dominant, 33.9% an autosomal recessive, and 11.6% an X-linked inheritance. The most frequently affected genes were PMP22 (16.4%), GJB1 (10.7%), MPZ, and SH3TC2 (both 9.9%), and MFN2 (8.3%). We further detected likely or known pathogenic variants in HINT1, HSPB1, NEFL, PRX, IGHMBP2, NDRG1, TTR, EGR2, FIG4, GDAP1, LMNA, LRSAM1, POLG, TRPV4, AARS, BIC2, DHTKD1, FGD4, HK1, INF2, KIF5A, PDK3, REEP1, SBF1, SBF2, SCN9A, and SPTLC2 with a declining frequency. Thirty-four novel variants were considered likely pathogenic not having previously been described in association with any disorder in the literature. In one patient, two homozygous mutations in HK1 were detected in the multigene panel, but not by whole exome sequencing. A novel missense mutation in KIF5A was considered pathogenic because of the highly compatible phenotype. In one patient, the plasma sphingolipid profile could functionally prove the pathogenicity of a mutation in SPTLC2. One pathogenic mutation in MPZ was identified after being previously missed by Sanger sequencing. We conclude that panel based next generation sequencing is a useful, time- and cost-effective approach to assist clinicians in identifying the correct diagnosis and enable causative treatment considerations. (© 2017 International Society for Neurochemistry.)","author":[{"dropping-particle":"","family":"Dohrn","given":"Maike F","non-dropping-particle":"","parse-names":false,"suffix":""},{"dropping-particle":"","family":"Glöckle","given":"Nicola","non-dropping-particle":"","parse-names":false,"suffix":""},{"dropping-particle":"","family":"Mulahasanovic","given":"Lejla","non-dropping-particle":"","parse-names":false,"suffix":""},{"dropping-particle":"","family":"Heller","given":"Corina","non-dropping-particle":"","parse-names":false,"suffix":""},{"dropping-particle":"","family":"Mohr","given":"Julia","non-dropping-particle":"","parse-names":false,"suffix":""},{"dropping-particle":"","family":"Bauer","given":"Christine","non-dropping-particle":"","parse-names":false,"suffix":""},{"dropping-particle":"","family":"Riesch","given":"Erik","non-dropping-particle":"","parse-names":false,"suffix":""},{"dropping-particle":"","family":"Becker","given":"Andrea","non-dropping-particle":"","parse-names":false,"suffix":""},{"dropping-particle":"","family":"Battke","given":"Florian","non-dropping-particle":"","parse-names":false,"suffix":""},{"dropping-particle":"","family":"Hörtnagel","given":"Konstanze","non-dropping-particle":"","parse-names":false,"suffix":""},{"dropping-particle":"","family":"Hornemann","given":"Thorsten","non-dropping-particle":"","parse-names":false,"suffix":""},{"dropping-particle":"","family":"Suriyanarayanan","given":"Saranya","non-dropping-particle":"","parse-names":false,"suffix":""},{"dropping-particle":"","family":"Blankenburg","given":"Markus","non-dropping-particle":"","parse-names":false,"suffix":""},{"dropping-particle":"","family":"Schulz","given":"Jörg B","non-dropping-particle":"","parse-names":false,"suffix":""},{"dropping-particle":"","family":"Claeys","given":"Kristl G","non-dropping-particle":"","parse-names":false,"suffix":""},{"dropping-particle":"","family":"Gess","given":"Burkhard","non-dropping-particle":"","parse-names":false,"suffix":""},{"dropping-particle":"","family":"Katona","given":"Istvan","non-dropping-particle":"","parse-names":false,"suffix":""},{"dropping-particle":"","family":"Ferbert","given":"Andreas","non-dropping-particle":"","parse-names":false,"suffix":""},{"dropping-particle":"","family":"Vittore","given":"Debora","non-dropping-particle":"","parse-names":false,"suffix":""},{"dropping-particle":"","family":"Grimm","given":"Alexander","non-dropping-particle":"","parse-names":false,"suffix":""},{"dropping-particle":"","family":"Wolking","given":"Stefan","non-dropping-particle":"","parse-names":false,"suffix":""},{"dropping-particle":"","family":"Schöls","given":"Ludger","non-dropping-particle":"","parse-names":false,"suffix":""},{"dropping-particle":"","family":"Lerche","given":"Holger","non-dropping-particle":"","parse-names":false,"suffix":""},{"dropping-particle":"","family":"Korenke","given":"G Christoph","non-dropping-particle":"","parse-names":false,"suffix":""},{"dropping-particle":"","family":"Fischer","given":"Dirk","non-dropping-particle":"","parse-names":false,"suffix":""},{"dropping-particle":"","family":"Schrank","given":"Bertold","non-dropping-particle":"","parse-names":false,"suffix":""},{"dropping-particle":"","family":"Kotzaeridou","given":"Urania","non-dropping-particle":"","parse-names":false,"suffix":""},{"dropping-particle":"","family":"Kurlemann","given":"Gerhard","non-dropping-particle":"","parse-names":false,"suffix":""},{"dropping-particle":"","family":"Dräger","given":"Bianca","non-dropping-particle":"","parse-names":false,"suffix":""},{"dropping-particle":"","family":"Schirmacher","given":"Anja","non-dropping-particle":"","parse-names":false,"suffix":""},{"dropping-particle":"","family":"Young","given":"Peter","non-dropping-particle":"","parse-names":false,"suffix":""},{"dropping-particle":"","family":"Schlotter-Weigel","given":"Beate","non-dropping-particle":"","parse-names":false,"suffix":""},{"dropping-particle":"","family":"Biskup","given":"Saskia","non-dropping-particle":"","parse-names":false,"suffix":""}],"container-title":"Journal of neurochemistry","id":"ITEM-6","issue":"5","issued":{"date-parts":[["2017"]]},"page":"507-522","title":"Frequent genes in rare diseases: panel-based next generation sequencing to disclose causal mutations in hereditary neuropathies.","type":"article-journal","volume":"143"},"uris":["http://www.mendeley.com/documents/?uuid=4c21bc8a-b7ac-41a6-8203-2f91f0f9ed68"]},{"id":"ITEM-7","itemData":{"DOI":"10.1002/ajmg.a.32331","ISSN":"1552-4833","abstract":"Mutations in the LMNA gene result in diverse phenotypes including Emery Dreifuss muscular dystrophy, limb girdle muscular dystrophy, dilated cardiomyopathy with conduction system disease, Dunnigan type familial partial lipodystrophy, mandibulo acral dysplasia, Hutchinson Gilford progeria syndrome, restrictive dermopathy and autosomal recessive Charcot Marie Tooth type 2. The c.1930C &gt; T (R644C) missense mutation has previously been reported in eight unrelated patients with variable features including left ventricular hypertrophy, limb girdle muscle weakness, dilated cardiomyopathy and atypical progeria. Here we report on the details of nine additional patients in eight families with this mutation. Patients 1 and 2 presented with lipodystrophy and insulin resistance, Patient 1 having in addition focal segmental glomerulosclerosis. Patient 3 presented with motor neuropathy, Patient 4 with arthrogryposis and dilated cardiomyopathy with left ventricular non-compaction, Patient 5 with severe scoliosis and contractures, Patient 6 with limb girdle weakness and Patient 7 with hepatic steatosis and insulin resistance. Patients 8 and 9 are brothers with proximal weakness and contractures. Nonpenetrance was observed frequently in first degree relatives. This report provides further evidence of the extreme phenotypic diversity and low penetrance associated with the R644C mutation. Possible explanations for these observations are discussed. (2008 Wiley-Liss, Inc.)","author":[{"dropping-particle":"","family":"Rankin","given":"Julia","non-dropping-particle":"","parse-names":false,"suffix":""},{"dropping-particle":"","family":"Auer-Grumbach","given":"Michaela","non-dropping-particle":"","parse-names":false,"suffix":""},{"dropping-particle":"","family":"Bagg","given":"Warwick","non-dropping-particle":"","parse-names":false,"suffix":""},{"dropping-particle":"","family":"Colclough","given":"Kevin","non-dropping-particle":"","parse-names":false,"suffix":""},{"dropping-particle":"","family":"Nguyen","given":"Thuy Duong","non-dropping-particle":"","parse-names":false,"suffix":""},{"dropping-particle":"","family":"Fenton-May","given":"Jane","non-dropping-particle":"","parse-names":false,"suffix":""},{"dropping-particle":"","family":"Hattersley","given":"Andrew","non-dropping-particle":"","parse-names":false,"suffix":""},{"dropping-particle":"","family":"Hudson","given":"Judith","non-dropping-particle":"","parse-names":false,"suffix":""},{"dropping-particle":"","family":"Jardine","given":"Philip","non-dropping-particle":"","parse-names":false,"suffix":""},{"dropping-particle":"","family":"Josifova","given":"Dragana","non-dropping-particle":"","parse-names":false,"suffix":""},{"dropping-particle":"","family":"Longman","given":"Cheryl","non-dropping-particle":"","parse-names":false,"suffix":""},{"dropping-particle":"","family":"McWilliam","given":"Robert","non-dropping-particle":"","parse-names":false,"suffix":""},{"dropping-particle":"","family":"Owen","given":"Katharine","non-dropping-particle":"","parse-names":false,"suffix":""},{"dropping-particle":"","family":"Walker","given":"Mark","non-dropping-particle":"","parse-names":false,"suffix":""},{"dropping-particle":"","family":"Wehnert","given":"Manfred","non-dropping-particle":"","parse-names":false,"suffix":""},{"dropping-particle":"","family":"Ellard","given":"Sian","non-dropping-particle":"","parse-names":false,"suffix":""}],"container-title":"American journal of medical genetics. Part A","id":"ITEM-7","issue":"12","issued":{"date-parts":[["2008"]]},"page":"1530-1542","title":"Extreme phenotypic diversity and nonpenetrance in families with the LMNA gene mutation R644C.","type":"article-journal","volume":"146A"},"uris":["http://www.mendeley.com/documents/?uuid=980206ce-e675-4e83-82cd-272d213a3ac7"]}],"mendeley":{"formattedCitation":"[30,38–43]","plainTextFormattedCitation":"[30,38–43]","previouslyFormattedCitation":"[30,38–43]"},"properties":{"noteIndex":0},"schema":"https://github.com/citation-style-language/schema/raw/master/csl-citation.json"}</w:instrText>
      </w:r>
      <w:r w:rsidRPr="005A1AC5">
        <w:fldChar w:fldCharType="separate"/>
      </w:r>
      <w:r w:rsidRPr="005A1AC5">
        <w:rPr>
          <w:noProof/>
        </w:rPr>
        <w:t>[30,38–43]</w:t>
      </w:r>
      <w:r w:rsidRPr="005A1AC5">
        <w:fldChar w:fldCharType="end"/>
      </w:r>
      <w:r w:rsidRPr="005A1AC5">
        <w:t>.</w:t>
      </w:r>
    </w:p>
    <w:p w14:paraId="41BC5B02" w14:textId="77777777" w:rsidR="001E66EE" w:rsidRPr="005A1AC5" w:rsidRDefault="001E66EE" w:rsidP="001E66EE">
      <w:pPr>
        <w:rPr>
          <w:sz w:val="24"/>
          <w:szCs w:val="24"/>
        </w:rPr>
        <w:sectPr w:rsidR="001E66EE" w:rsidRPr="005A1AC5" w:rsidSect="001E66EE">
          <w:headerReference w:type="default" r:id="rId10"/>
          <w:footerReference w:type="default" r:id="rId11"/>
          <w:type w:val="continuous"/>
          <w:pgSz w:w="11906" w:h="16838"/>
          <w:pgMar w:top="1440" w:right="1440" w:bottom="1440" w:left="1440" w:header="708" w:footer="708" w:gutter="0"/>
          <w:cols w:space="708"/>
          <w:docGrid w:linePitch="360"/>
        </w:sectPr>
      </w:pPr>
    </w:p>
    <w:p w14:paraId="71FC2321" w14:textId="429F582F" w:rsidR="001E66EE" w:rsidRPr="005A1AC5" w:rsidRDefault="005A1AC5" w:rsidP="005A1AC5">
      <w:pPr>
        <w:pStyle w:val="MDPI41tablecaption"/>
      </w:pPr>
      <w:r w:rsidRPr="005A1AC5">
        <w:rPr>
          <w:b/>
          <w:bCs/>
        </w:rPr>
        <w:lastRenderedPageBreak/>
        <w:t xml:space="preserve">Table 1. </w:t>
      </w:r>
      <w:r w:rsidR="001E66EE" w:rsidRPr="005A1AC5">
        <w:rPr>
          <w:b/>
          <w:bCs/>
        </w:rPr>
        <w:t>Examples of LMNA mutations known to cause distinct phenotypes.</w:t>
      </w:r>
      <w:r w:rsidR="001E66EE" w:rsidRPr="005A1AC5">
        <w:t xml:space="preserve"> The Arg644Cys variant was associated with 11 phenotypes affecting skeletal and cardiac muscle, metabolism, and the nervous system. Whilst the Arg453Trp, Arg527Pro and Ser537Leu mutations each caused diseases associated with three different tissue or organ systems. Abbreviations: Emery-</w:t>
      </w:r>
      <w:proofErr w:type="spellStart"/>
      <w:r w:rsidR="001E66EE" w:rsidRPr="005A1AC5">
        <w:t>Dreifuss</w:t>
      </w:r>
      <w:proofErr w:type="spellEnd"/>
      <w:r w:rsidR="001E66EE" w:rsidRPr="005A1AC5">
        <w:t xml:space="preserve"> muscular dystrophy (EDMD), limb-girdle muscular dystrophy (LGMD), congenital muscular dystrophy (L-CMD), atrioventricular block (AVB), dilated cardiomyopathy (DCM), arrhythmogenic right ventricular cardiomyopathy (ARVC), left ventricular noncompaction (LVNC), insulin resistance (IR), familial partial lipodystrophy (FPLD), Charcot-Marie-Tooth disease (CMT), congenital </w:t>
      </w:r>
      <w:proofErr w:type="spellStart"/>
      <w:r w:rsidR="001E66EE" w:rsidRPr="005A1AC5">
        <w:t>fibre</w:t>
      </w:r>
      <w:proofErr w:type="spellEnd"/>
      <w:r w:rsidR="001E66EE" w:rsidRPr="005A1AC5">
        <w:t xml:space="preserve"> type disproportion myopathy (CFTD).</w:t>
      </w:r>
    </w:p>
    <w:tbl>
      <w:tblPr>
        <w:tblStyle w:val="TableGrid"/>
        <w:tblW w:w="9214" w:type="dxa"/>
        <w:tblInd w:w="-5" w:type="dxa"/>
        <w:tblLayout w:type="fixed"/>
        <w:tblLook w:val="04A0" w:firstRow="1" w:lastRow="0" w:firstColumn="1" w:lastColumn="0" w:noHBand="0" w:noVBand="1"/>
      </w:tblPr>
      <w:tblGrid>
        <w:gridCol w:w="1418"/>
        <w:gridCol w:w="1417"/>
        <w:gridCol w:w="1095"/>
        <w:gridCol w:w="851"/>
        <w:gridCol w:w="1134"/>
        <w:gridCol w:w="992"/>
        <w:gridCol w:w="1134"/>
        <w:gridCol w:w="1173"/>
      </w:tblGrid>
      <w:tr w:rsidR="001E66EE" w:rsidRPr="005A1AC5" w14:paraId="56AABD9C" w14:textId="77777777" w:rsidTr="00EF7EB9">
        <w:trPr>
          <w:trHeight w:val="304"/>
        </w:trPr>
        <w:tc>
          <w:tcPr>
            <w:tcW w:w="1418" w:type="dxa"/>
            <w:vMerge w:val="restart"/>
          </w:tcPr>
          <w:p w14:paraId="70DCAD29" w14:textId="77777777" w:rsidR="001E66EE" w:rsidRPr="005A1AC5" w:rsidRDefault="001E66EE" w:rsidP="00EF7EB9">
            <w:pPr>
              <w:spacing w:after="160" w:line="259" w:lineRule="auto"/>
              <w:rPr>
                <w:b/>
                <w:bCs/>
              </w:rPr>
            </w:pPr>
            <w:r w:rsidRPr="005A1AC5">
              <w:rPr>
                <w:b/>
                <w:bCs/>
              </w:rPr>
              <w:t>Protein nomenclature</w:t>
            </w:r>
          </w:p>
        </w:tc>
        <w:tc>
          <w:tcPr>
            <w:tcW w:w="1417" w:type="dxa"/>
            <w:vMerge w:val="restart"/>
          </w:tcPr>
          <w:p w14:paraId="5CEBE79E" w14:textId="77777777" w:rsidR="001E66EE" w:rsidRPr="005A1AC5" w:rsidRDefault="001E66EE" w:rsidP="00EF7EB9">
            <w:pPr>
              <w:spacing w:after="160" w:line="259" w:lineRule="auto"/>
              <w:rPr>
                <w:b/>
                <w:bCs/>
              </w:rPr>
            </w:pPr>
            <w:proofErr w:type="spellStart"/>
            <w:r w:rsidRPr="005A1AC5">
              <w:rPr>
                <w:b/>
                <w:bCs/>
              </w:rPr>
              <w:t>c.DNA</w:t>
            </w:r>
            <w:proofErr w:type="spellEnd"/>
            <w:r w:rsidRPr="005A1AC5">
              <w:rPr>
                <w:b/>
                <w:bCs/>
              </w:rPr>
              <w:t xml:space="preserve"> nomenclature</w:t>
            </w:r>
          </w:p>
        </w:tc>
        <w:tc>
          <w:tcPr>
            <w:tcW w:w="4072" w:type="dxa"/>
            <w:gridSpan w:val="4"/>
          </w:tcPr>
          <w:p w14:paraId="61217DA0" w14:textId="77777777" w:rsidR="001E66EE" w:rsidRPr="005A1AC5" w:rsidRDefault="001E66EE" w:rsidP="00EF7EB9">
            <w:pPr>
              <w:spacing w:after="160" w:line="259" w:lineRule="auto"/>
              <w:rPr>
                <w:b/>
                <w:bCs/>
              </w:rPr>
            </w:pPr>
            <w:r w:rsidRPr="005A1AC5">
              <w:rPr>
                <w:b/>
                <w:bCs/>
              </w:rPr>
              <w:t>Associated diseases</w:t>
            </w:r>
          </w:p>
        </w:tc>
        <w:tc>
          <w:tcPr>
            <w:tcW w:w="1134" w:type="dxa"/>
            <w:vMerge w:val="restart"/>
          </w:tcPr>
          <w:p w14:paraId="5CDD4C2C" w14:textId="77777777" w:rsidR="001E66EE" w:rsidRPr="005A1AC5" w:rsidRDefault="001E66EE" w:rsidP="00EF7EB9">
            <w:pPr>
              <w:spacing w:after="160" w:line="259" w:lineRule="auto"/>
              <w:rPr>
                <w:b/>
                <w:bCs/>
              </w:rPr>
            </w:pPr>
            <w:r w:rsidRPr="005A1AC5">
              <w:rPr>
                <w:b/>
                <w:bCs/>
              </w:rPr>
              <w:t>Min. number of reports of variant</w:t>
            </w:r>
          </w:p>
        </w:tc>
        <w:tc>
          <w:tcPr>
            <w:tcW w:w="1173" w:type="dxa"/>
            <w:vMerge w:val="restart"/>
          </w:tcPr>
          <w:p w14:paraId="30C02727" w14:textId="77777777" w:rsidR="001E66EE" w:rsidRPr="005A1AC5" w:rsidRDefault="001E66EE" w:rsidP="00EF7EB9">
            <w:pPr>
              <w:spacing w:after="160" w:line="259" w:lineRule="auto"/>
              <w:rPr>
                <w:b/>
                <w:bCs/>
              </w:rPr>
            </w:pPr>
            <w:r w:rsidRPr="005A1AC5">
              <w:rPr>
                <w:b/>
                <w:bCs/>
              </w:rPr>
              <w:t>References</w:t>
            </w:r>
          </w:p>
        </w:tc>
      </w:tr>
      <w:tr w:rsidR="001E66EE" w:rsidRPr="005A1AC5" w14:paraId="332B86AC" w14:textId="77777777" w:rsidTr="00EF7EB9">
        <w:trPr>
          <w:trHeight w:val="1016"/>
        </w:trPr>
        <w:tc>
          <w:tcPr>
            <w:tcW w:w="1418" w:type="dxa"/>
            <w:vMerge/>
          </w:tcPr>
          <w:p w14:paraId="6F38FD95" w14:textId="77777777" w:rsidR="001E66EE" w:rsidRPr="005A1AC5" w:rsidRDefault="001E66EE" w:rsidP="00EF7EB9">
            <w:pPr>
              <w:spacing w:after="160" w:line="259" w:lineRule="auto"/>
            </w:pPr>
          </w:p>
        </w:tc>
        <w:tc>
          <w:tcPr>
            <w:tcW w:w="1417" w:type="dxa"/>
            <w:vMerge/>
          </w:tcPr>
          <w:p w14:paraId="78653D41" w14:textId="77777777" w:rsidR="001E66EE" w:rsidRPr="005A1AC5" w:rsidRDefault="001E66EE" w:rsidP="00EF7EB9">
            <w:pPr>
              <w:spacing w:after="160" w:line="259" w:lineRule="auto"/>
              <w:rPr>
                <w:b/>
                <w:bCs/>
              </w:rPr>
            </w:pPr>
          </w:p>
        </w:tc>
        <w:tc>
          <w:tcPr>
            <w:tcW w:w="1095" w:type="dxa"/>
          </w:tcPr>
          <w:p w14:paraId="5EEBD7D4" w14:textId="77777777" w:rsidR="001E66EE" w:rsidRPr="005A1AC5" w:rsidRDefault="001E66EE" w:rsidP="00EF7EB9">
            <w:pPr>
              <w:spacing w:after="160" w:line="259" w:lineRule="auto"/>
              <w:rPr>
                <w:b/>
                <w:bCs/>
              </w:rPr>
            </w:pPr>
            <w:r w:rsidRPr="005A1AC5">
              <w:rPr>
                <w:b/>
                <w:bCs/>
              </w:rPr>
              <w:t>Skeletal Muscle</w:t>
            </w:r>
          </w:p>
        </w:tc>
        <w:tc>
          <w:tcPr>
            <w:tcW w:w="851" w:type="dxa"/>
          </w:tcPr>
          <w:p w14:paraId="18C3CB8A" w14:textId="77777777" w:rsidR="001E66EE" w:rsidRPr="005A1AC5" w:rsidRDefault="001E66EE" w:rsidP="00EF7EB9">
            <w:pPr>
              <w:spacing w:after="160" w:line="259" w:lineRule="auto"/>
              <w:rPr>
                <w:b/>
                <w:bCs/>
              </w:rPr>
            </w:pPr>
            <w:r w:rsidRPr="005A1AC5">
              <w:rPr>
                <w:b/>
                <w:bCs/>
              </w:rPr>
              <w:t>Cardiac</w:t>
            </w:r>
          </w:p>
        </w:tc>
        <w:tc>
          <w:tcPr>
            <w:tcW w:w="1134" w:type="dxa"/>
          </w:tcPr>
          <w:p w14:paraId="2A6439B6" w14:textId="77777777" w:rsidR="001E66EE" w:rsidRPr="005A1AC5" w:rsidRDefault="001E66EE" w:rsidP="00EF7EB9">
            <w:pPr>
              <w:spacing w:after="160" w:line="259" w:lineRule="auto"/>
              <w:rPr>
                <w:b/>
                <w:bCs/>
              </w:rPr>
            </w:pPr>
            <w:r w:rsidRPr="005A1AC5">
              <w:rPr>
                <w:b/>
                <w:bCs/>
              </w:rPr>
              <w:t>Metabolic</w:t>
            </w:r>
          </w:p>
        </w:tc>
        <w:tc>
          <w:tcPr>
            <w:tcW w:w="992" w:type="dxa"/>
          </w:tcPr>
          <w:p w14:paraId="6206C705" w14:textId="77777777" w:rsidR="001E66EE" w:rsidRPr="005A1AC5" w:rsidRDefault="001E66EE" w:rsidP="00EF7EB9">
            <w:pPr>
              <w:spacing w:after="160" w:line="259" w:lineRule="auto"/>
              <w:rPr>
                <w:b/>
                <w:bCs/>
              </w:rPr>
            </w:pPr>
            <w:r w:rsidRPr="005A1AC5">
              <w:rPr>
                <w:b/>
                <w:bCs/>
              </w:rPr>
              <w:t>Nervous system</w:t>
            </w:r>
          </w:p>
        </w:tc>
        <w:tc>
          <w:tcPr>
            <w:tcW w:w="1134" w:type="dxa"/>
            <w:vMerge/>
          </w:tcPr>
          <w:p w14:paraId="390DE4BB" w14:textId="77777777" w:rsidR="001E66EE" w:rsidRPr="005A1AC5" w:rsidRDefault="001E66EE" w:rsidP="00EF7EB9">
            <w:pPr>
              <w:spacing w:after="160" w:line="259" w:lineRule="auto"/>
            </w:pPr>
          </w:p>
        </w:tc>
        <w:tc>
          <w:tcPr>
            <w:tcW w:w="1173" w:type="dxa"/>
            <w:vMerge/>
          </w:tcPr>
          <w:p w14:paraId="650CB292" w14:textId="77777777" w:rsidR="001E66EE" w:rsidRPr="005A1AC5" w:rsidRDefault="001E66EE" w:rsidP="00EF7EB9">
            <w:pPr>
              <w:spacing w:after="160" w:line="259" w:lineRule="auto"/>
            </w:pPr>
          </w:p>
        </w:tc>
      </w:tr>
      <w:tr w:rsidR="001E66EE" w:rsidRPr="005A1AC5" w14:paraId="7A3EABDA" w14:textId="77777777" w:rsidTr="00EF7EB9">
        <w:trPr>
          <w:trHeight w:val="936"/>
        </w:trPr>
        <w:tc>
          <w:tcPr>
            <w:tcW w:w="1418" w:type="dxa"/>
          </w:tcPr>
          <w:p w14:paraId="27DA4316" w14:textId="77777777" w:rsidR="001E66EE" w:rsidRPr="005A1AC5" w:rsidRDefault="001E66EE" w:rsidP="00EF7EB9">
            <w:pPr>
              <w:spacing w:after="160" w:line="259" w:lineRule="auto"/>
            </w:pPr>
            <w:r w:rsidRPr="005A1AC5">
              <w:t>Arg644Cys</w:t>
            </w:r>
          </w:p>
        </w:tc>
        <w:tc>
          <w:tcPr>
            <w:tcW w:w="1417" w:type="dxa"/>
          </w:tcPr>
          <w:p w14:paraId="7B4C6B38" w14:textId="77777777" w:rsidR="001E66EE" w:rsidRPr="005A1AC5" w:rsidRDefault="001E66EE" w:rsidP="00EF7EB9">
            <w:pPr>
              <w:spacing w:after="160" w:line="259" w:lineRule="auto"/>
            </w:pPr>
            <w:r w:rsidRPr="005A1AC5">
              <w:t>1930C&gt;T</w:t>
            </w:r>
          </w:p>
        </w:tc>
        <w:tc>
          <w:tcPr>
            <w:tcW w:w="1095" w:type="dxa"/>
          </w:tcPr>
          <w:p w14:paraId="3DBA4771" w14:textId="77777777" w:rsidR="001E66EE" w:rsidRPr="005A1AC5" w:rsidRDefault="001E66EE" w:rsidP="00EF7EB9">
            <w:pPr>
              <w:spacing w:after="160" w:line="259" w:lineRule="auto"/>
            </w:pPr>
            <w:r w:rsidRPr="005A1AC5">
              <w:t>EDMD, muscular dystrophy, LGMD, L-CMD</w:t>
            </w:r>
          </w:p>
        </w:tc>
        <w:tc>
          <w:tcPr>
            <w:tcW w:w="851" w:type="dxa"/>
          </w:tcPr>
          <w:p w14:paraId="2E539CE2" w14:textId="77777777" w:rsidR="001E66EE" w:rsidRPr="005A1AC5" w:rsidRDefault="001E66EE" w:rsidP="00EF7EB9">
            <w:pPr>
              <w:spacing w:after="160" w:line="259" w:lineRule="auto"/>
            </w:pPr>
            <w:r w:rsidRPr="005A1AC5">
              <w:t>AVB, DCM, ARVC, LVNC</w:t>
            </w:r>
          </w:p>
        </w:tc>
        <w:tc>
          <w:tcPr>
            <w:tcW w:w="1134" w:type="dxa"/>
          </w:tcPr>
          <w:p w14:paraId="58B653FB" w14:textId="77777777" w:rsidR="001E66EE" w:rsidRPr="005A1AC5" w:rsidRDefault="001E66EE" w:rsidP="00EF7EB9">
            <w:pPr>
              <w:spacing w:after="160" w:line="259" w:lineRule="auto"/>
            </w:pPr>
            <w:r w:rsidRPr="005A1AC5">
              <w:t>IR, FPLD</w:t>
            </w:r>
          </w:p>
        </w:tc>
        <w:tc>
          <w:tcPr>
            <w:tcW w:w="992" w:type="dxa"/>
          </w:tcPr>
          <w:p w14:paraId="65C0A1C4" w14:textId="77777777" w:rsidR="001E66EE" w:rsidRPr="005A1AC5" w:rsidRDefault="001E66EE" w:rsidP="00EF7EB9">
            <w:pPr>
              <w:spacing w:after="160" w:line="259" w:lineRule="auto"/>
            </w:pPr>
            <w:r w:rsidRPr="005A1AC5">
              <w:t>CMT</w:t>
            </w:r>
          </w:p>
        </w:tc>
        <w:tc>
          <w:tcPr>
            <w:tcW w:w="1134" w:type="dxa"/>
          </w:tcPr>
          <w:p w14:paraId="2A0AD763" w14:textId="77777777" w:rsidR="001E66EE" w:rsidRPr="005A1AC5" w:rsidRDefault="001E66EE" w:rsidP="00EF7EB9">
            <w:pPr>
              <w:spacing w:after="160" w:line="259" w:lineRule="auto"/>
            </w:pPr>
            <w:r w:rsidRPr="005A1AC5">
              <w:t>23</w:t>
            </w:r>
          </w:p>
        </w:tc>
        <w:tc>
          <w:tcPr>
            <w:tcW w:w="1173" w:type="dxa"/>
          </w:tcPr>
          <w:p w14:paraId="7CF5BC1D" w14:textId="77189355" w:rsidR="001E66EE" w:rsidRPr="005A1AC5" w:rsidRDefault="001E66EE" w:rsidP="00EF7EB9">
            <w:pPr>
              <w:spacing w:after="160" w:line="259" w:lineRule="auto"/>
            </w:pPr>
            <w:r w:rsidRPr="005A1AC5">
              <w:fldChar w:fldCharType="begin" w:fldLock="1"/>
            </w:r>
            <w:r w:rsidR="00843E38">
              <w:instrText>ADDIN CSL_CITATION {"citationItems":[{"id":"ITEM-1","itemData":{"DOI":"10.1016/j.jacc.2008.06.044","ISSN":"1558-3597","abstract":"Objectives: The aim of this study was to analyze the long-term follow-up of dilated cardiolaminopathies.; Background: Lamin A/C (LMNA) gene mutations cause a variety of phenotypes. In the cardiology setting, patients diagnosed with idiopathic dilated cardiomyopathy (DCM) plus atrioventricular block (AVB) constitute the majority of reported cases.; Methods: Longitudinal retrospective observational studies were conducted with 27 consecutive families in which LMNA gene defects were identified in the probands, all sharing the DCM phenotype.; Results: Of the 164 family members, 94 had LMNA gene mutations. Sixty of 94 (64%) were phenotypically affected whereas 34 were only genotypically affected, including 5 with pre-clinical signs. Of the 60 patients, 40 had DCM with AVB, 12 had DCM with ventricular tachycardia/fibrillation, 6 had DCM with AVB and Emery-Dreifuss muscular dystrophy type 2 (EDMD2), and 2 had AVB plus EDMD2. During a median of 57 months (interquartile range 36 to 107 months), we observed 49 events in 43 DCM patients (6 had a later event, excluded from the analysis). The events were related to heart failure (15 heart transplants, 1 death from end-stage heart failure) and ventricular arrhythmias (15 sudden cardiac deaths and 12 appropriate implantable cardioverter-defibrillator interventions). By multivariable analysis, New York Heart Association functional class III to IV and highly dynamic competitive sports for &gt;or=10 years were independent predictors of total events. By a bivariable Cox model, splice site mutations and competitive sport predicted sudden cardiac death.; Conclusions: Dilated cardiomyopathies caused by LMNA gene defects are highly penetrant, adult onset, malignant diseases characterized by a high rate of heart failure and life-threatening arrhythmias, predicted by New York Heart Association functional class, competitive sport activity, and type of mutation.","author":[{"dropping-particle":"","family":"Pasotti","given":"Michele","non-dropping-particle":"","parse-names":false,"suffix":""},{"dropping-particle":"","family":"Klersy","given":"Catherine","non-dropping-particle":"","parse-names":false,"suffix":""},{"dropping-particle":"","family":"Pilotto","given":"Andrea","non-dropping-particle":"","parse-names":false,"suffix":""},{"dropping-particle":"","family":"Marziliano","given":"Nicola","non-dropping-particle":"","parse-names":false,"suffix":""},{"dropping-particle":"","family":"Rapezzi","given":"Claudio","non-dropping-particle":"","parse-names":false,"suffix":""},{"dropping-particle":"","family":"Serio","given":"Alessandra","non-dropping-particle":"","parse-names":false,"suffix":""},{"dropping-particle":"","family":"Mannarino","given":"Savina","non-dropping-particle":"","parse-names":false,"suffix":""},{"dropping-particle":"","family":"Gambarin","given":"Fabiana","non-dropping-particle":"","parse-names":false,"suffix":""},{"dropping-particle":"","family":"Favalli","given":"Valentina","non-dropping-particle":"","parse-names":false,"suffix":""},{"dropping-particle":"","family":"Grasso","given":"Maurizia","non-dropping-particle":"","parse-names":false,"suffix":""},{"dropping-particle":"","family":"Agozzino","given":"Manuela","non-dropping-particle":"","parse-names":false,"suffix":""},{"dropping-particle":"","family":"Campana","given":"Carlo","non-dropping-particle":"","parse-names":false,"suffix":""},{"dropping-particle":"","family":"Gavazzi","given":"Antonello","non-dropping-particle":"","parse-names":false,"suffix":""},{"dropping-particle":"","family":"Febo","given":"Oreste","non-dropping-particle":"","parse-names":false,"suffix":""},{"dropping-particle":"","family":"Marini","given":"Massimiliano","non-dropping-particle":"","parse-names":false,"suffix":""},{"dropping-particle":"","family":"Landolina","given":"Maurizio","non-dropping-particle":"","parse-names":false,"suffix":""},{"dropping-particle":"","family":"Mortara","given":"Andrea","non-dropping-particle":"","parse-names":false,"suffix":""},{"dropping-particle":"","family":"Piccolo","given":"Giovanni","non-dropping-particle":"","parse-names":false,"suffix":""},{"dropping-particle":"","family":"Viganò","given":"Mario","non-dropping-particle":"","parse-names":false,"suffix":""},{"dropping-particle":"","family":"Tavazzi","given":"Luigi","non-dropping-particle":"","parse-names":false,"suffix":""},{"dropping-particle":"","family":"Arbustini","given":"Eloisa","non-dropping-particle":"","parse-names":false,"suffix":""}],"container-title":"Journal of the American College of Cardiology","id":"ITEM-1","issue":"15","issued":{"date-parts":[["2008"]]},"page":"1250-1260","title":"Long-term outcome and risk stratification in dilated cardiolaminopathies.","type":"article-journal","volume":"52"},"uris":["http://www.mendeley.com/documents/?uuid=e565cd06-c7db-4fdd-86ca-0bc92ec8b1fc"]},{"id":"ITEM-2","itemData":{"DOI":"10.1007/s00395-008-0748-6","ISSN":"1435-1803","abstract":"The familial form of dilated cardiomyopathy (DCM) occurs in about 20%-50% of DCM cases. It is a heterogeneous genetic disease: mutations in more than 20 different genes have been shown to cause familial DCM. LMNA, encoding the nuclear membrane protein lamin A/C, is one of the most important disease gene for that disease. Therefore, we analyzed the LMNA gene in a large cohort of 73 patients with familial DCM. Clinical examination (ECG, echocardiography, and catheterization) was followed by genetic characterization of LMNA by direct sequencing. We detected five heterozygous missense mutations (prevalence 7%) in five different families characterized by severe DCM and heart failure with conduction system disease necessitating pacemaker implantation and heart transplantation. Four of these variants clustered in the protein domain coil 1B, which is important for lamin B interaction and lamin A/C dimerization. Although we identified two novel mutations (E203V, K219T) besides three known ones (E161K, R190Q, R644C), it was remarkable that four mutations represent LMNA hot spots. DCM patients with LMNA mutations show a notable homogenous severe phenotype as we could confirm in our study. Testing LMNA in such families seems to be recommended because genotype information in an individual could definitely be useful for the clinician.","author":[{"dropping-particle":"","family":"Perrot","given":"Andreas","non-dropping-particle":"","parse-names":false,"suffix":""},{"dropping-particle":"","family":"Hussein","given":"Shwan","non-dropping-particle":"","parse-names":false,"suffix":""},{"dropping-particle":"","family":"Ruppert","given":"Volker","non-dropping-particle":"","parse-names":false,"suffix":""},{"dropping-particle":"","family":"Schmidt","given":"Hartmut H J","non-dropping-particle":"","parse-names":false,"suffix":""},{"dropping-particle":"","family":"Wehnert","given":"Manfred S","non-dropping-particle":"","parse-names":false,"suffix":""},{"dropping-particle":"","family":"Duong","given":"Nguyen Thuy","non-dropping-particle":"","parse-names":false,"suffix":""},{"dropping-particle":"","family":"Posch","given":"Maximilian G","non-dropping-particle":"","parse-names":false,"suffix":""},{"dropping-particle":"","family":"Panek","given":"Anna","non-dropping-particle":"","parse-names":false,"suffix":""},{"dropping-particle":"","family":"Dietz","given":"Rainer","non-dropping-particle":"","parse-names":false,"suffix":""},{"dropping-particle":"","family":"Kindermann","given":"Ingrid","non-dropping-particle":"","parse-names":false,"suffix":""},{"dropping-particle":"","family":"Böhm","given":"Michael","non-dropping-particle":"","parse-names":false,"suffix":""},{"dropping-particle":"","family":"Michalewska-Wludarczyk","given":"Aleksandra","non-dropping-particle":"","parse-names":false,"suffix":""},{"dropping-particle":"","family":"Richter","given":"Anette","non-dropping-particle":"","parse-names":false,"suffix":""},{"dropping-particle":"","family":"Maisch","given":"Bernhard","non-dropping-particle":"","parse-names":false,"suffix":""},{"dropping-particle":"","family":"Pankuweit","given":"Sabine","non-dropping-particle":"","parse-names":false,"suffix":""},{"dropping-particle":"","family":"Ozcelik","given":"Cemil","non-dropping-particle":"","parse-names":false,"suffix":""}],"container-title":"Basic research in cardiology","id":"ITEM-2","issue":"1","issued":{"date-parts":[["2009"]]},"page":"90-99","title":"Identification of mutational hot spots in LMNA encoding lamin A/C in patients with familial dilated cardiomyopathy.","type":"article-journal","volume":"104"},"uris":["http://www.mendeley.com/documents/?uuid=5e0b4827-7761-48f8-a8a0-1a571c838684"]},{"id":"ITEM-3","itemData":{"DOI":"10.1093/eurheartj/ehr451","ISSN":"1522-9645","abstract":"Aims: Arrhythmogenic right ventricular cardiomyopathy (ARVC) is an inherited heart muscle disease predominantly caused by mutations in desmosomal protein genes. Lamin A/C gene (LMNA) mutations are associated with dilated cardiomyopathy, conduction abnormalities and high incidence of sudden cardiac death. In this study, we screened a large cohort of ARVC patients for LMNA mutations.; Methods and Results: One hundred and eight patients from unrelated families with borderline (n = 27) or definite (n = 81) diagnosis of ARVC were genetically tested for five desmosomal genes and LMNA. Sixty-one (56.5%) were positive for desmosomal gene mutations. Standard polymerase chain reaction (PCR) amplification of the 12 protein-coding LMNA exons was performed and mutational screening performed by direct sequencing. Four patients (4%) without desmosomal gene mutations carried LMNA variants. Three had severe right ventricular involvement, and during follow-up three died (two suddenly and one from congestive heart failure); all three had conduction abnormalities on resting 12-lead electrocardiogram (ECG). Myocardial tissue from two patients showed myocyte loss and fibro-fatty replacement. In one of these, immunohistochemical staining with antibody to plakoglobin showed reduced/absent staining of the intercalated discs in the myocardium.; Conclusion: Lamin A/C gene mutations can be found in severe forms of ARVC. Lamin A/C gene should be added to desmosomal genes when genetically testing patients with suspected ARVC, particularly when they also have ECG evidence for conduction disease.","author":[{"dropping-particle":"","family":"Quarta","given":"Giovanni","non-dropping-particle":"","parse-names":false,"suffix":""},{"dropping-particle":"","family":"Syrris","given":"Petros","non-dropping-particle":"","parse-names":false,"suffix":""},{"dropping-particle":"","family":"Ashworth","given":"Michael","non-dropping-particle":"","parse-names":false,"suffix":""},{"dropping-particle":"","family":"Jenkins","given":"Sharon","non-dropping-particle":"","parse-names":false,"suffix":""},{"dropping-particle":"","family":"Zuborne Alapi","given":"Krisztina","non-dropping-particle":"","parse-names":false,"suffix":""},{"dropping-particle":"","family":"Morgan","given":"John","non-dropping-particle":"","parse-names":false,"suffix":""},{"dropping-particle":"","family":"Muir","given":"Alison","non-dropping-particle":"","parse-names":false,"suffix":""},{"dropping-particle":"","family":"Pantazis","given":"Antonios","non-dropping-particle":"","parse-names":false,"suffix":""},{"dropping-particle":"","family":"McKenna","given":"William J","non-dropping-particle":"","parse-names":false,"suffix":""},{"dropping-particle":"","family":"Elliott","given":"Perry M","non-dropping-particle":"","parse-names":false,"suffix":""}],"container-title":"European heart journal","id":"ITEM-3","issue":"9","issued":{"date-parts":[["2012"]]},"page":"1128-1136","title":"Mutations in the Lamin A/C gene mimic arrhythmogenic right ventricular cardiomyopathy.","type":"article-journal","volume":"33"},"uris":["http://www.mendeley.com/documents/?uuid=5b50c1b9-20c8-40f7-88d3-d87de2811627"]},{"id":"ITEM-4","itemData":{"DOI":"10.1111/jnc.14217","ISSN":"1471-4159","abstract":"Hereditary neuropathies comprise a wide variety of chronic diseases associated to more than 80 genes identified to date. We herein examined 612 index patients with either a Charcot-Marie-Tooth phenotype, hereditary sensory neuropathy, familial amyloid neuropathy, or small fiber neuropathy using a customized multigene panel based on the next generation sequencing technique. In 121 cases (19.8%), we identified at least one putative pathogenic mutation. Of these, 54.4% showed an autosomal dominant, 33.9% an autosomal recessive, and 11.6% an X-linked inheritance. The most frequently affected genes were PMP22 (16.4%), GJB1 (10.7%), MPZ, and SH3TC2 (both 9.9%), and MFN2 (8.3%). We further detected likely or known pathogenic variants in HINT1, HSPB1, NEFL, PRX, IGHMBP2, NDRG1, TTR, EGR2, FIG4, GDAP1, LMNA, LRSAM1, POLG, TRPV4, AARS, BIC2, DHTKD1, FGD4, HK1, INF2, KIF5A, PDK3, REEP1, SBF1, SBF2, SCN9A, and SPTLC2 with a declining frequency. Thirty-four novel variants were considered likely pathogenic not having previously been described in association with any disorder in the literature. In one patient, two homozygous mutations in HK1 were detected in the multigene panel, but not by whole exome sequencing. A novel missense mutation in KIF5A was considered pathogenic because of the highly compatible phenotype. In one patient, the plasma sphingolipid profile could functionally prove the pathogenicity of a mutation in SPTLC2. One pathogenic mutation in MPZ was identified after being previously missed by Sanger sequencing. We conclude that panel based next generation sequencing is a useful, time- and cost-effective approach to assist clinicians in identifying the correct diagnosis and enable causative treatment considerations. (© 2017 International Society for Neurochemistry.)","author":[{"dropping-particle":"","family":"Dohrn","given":"Maike F","non-dropping-particle":"","parse-names":false,"suffix":""},{"dropping-particle":"","family":"Glöckle","given":"Nicola","non-dropping-particle":"","parse-names":false,"suffix":""},{"dropping-particle":"","family":"Mulahasanovic","given":"Lejla","non-dropping-particle":"","parse-names":false,"suffix":""},{"dropping-particle":"","family":"Heller","given":"Corina","non-dropping-particle":"","parse-names":false,"suffix":""},{"dropping-particle":"","family":"Mohr","given":"Julia","non-dropping-particle":"","parse-names":false,"suffix":""},{"dropping-particle":"","family":"Bauer","given":"Christine","non-dropping-particle":"","parse-names":false,"suffix":""},{"dropping-particle":"","family":"Riesch","given":"Erik","non-dropping-particle":"","parse-names":false,"suffix":""},{"dropping-particle":"","family":"Becker","given":"Andrea","non-dropping-particle":"","parse-names":false,"suffix":""},{"dropping-particle":"","family":"Battke","given":"Florian","non-dropping-particle":"","parse-names":false,"suffix":""},{"dropping-particle":"","family":"Hörtnagel","given":"Konstanze","non-dropping-particle":"","parse-names":false,"suffix":""},{"dropping-particle":"","family":"Hornemann","given":"Thorsten","non-dropping-particle":"","parse-names":false,"suffix":""},{"dropping-particle":"","family":"Suriyanarayanan","given":"Saranya","non-dropping-particle":"","parse-names":false,"suffix":""},{"dropping-particle":"","family":"Blankenburg","given":"Markus","non-dropping-particle":"","parse-names":false,"suffix":""},{"dropping-particle":"","family":"Schulz","given":"Jörg B","non-dropping-particle":"","parse-names":false,"suffix":""},{"dropping-particle":"","family":"Claeys","given":"Kristl G","non-dropping-particle":"","parse-names":false,"suffix":""},{"dropping-particle":"","family":"Gess","given":"Burkhard","non-dropping-particle":"","parse-names":false,"suffix":""},{"dropping-particle":"","family":"Katona","given":"Istvan","non-dropping-particle":"","parse-names":false,"suffix":""},{"dropping-particle":"","family":"Ferbert","given":"Andreas","non-dropping-particle":"","parse-names":false,"suffix":""},{"dropping-particle":"","family":"Vittore","given":"Debora","non-dropping-particle":"","parse-names":false,"suffix":""},{"dropping-particle":"","family":"Grimm","given":"Alexander","non-dropping-particle":"","parse-names":false,"suffix":""},{"dropping-particle":"","family":"Wolking","given":"Stefan","non-dropping-particle":"","parse-names":false,"suffix":""},{"dropping-particle":"","family":"Schöls","given":"Ludger","non-dropping-particle":"","parse-names":false,"suffix":""},{"dropping-particle":"","family":"Lerche","given":"Holger","non-dropping-particle":"","parse-names":false,"suffix":""},{"dropping-particle":"","family":"Korenke","given":"G Christoph","non-dropping-particle":"","parse-names":false,"suffix":""},{"dropping-particle":"","family":"Fischer","given":"Dirk","non-dropping-particle":"","parse-names":false,"suffix":""},{"dropping-particle":"","family":"Schrank","given":"Bertold","non-dropping-particle":"","parse-names":false,"suffix":""},{"dropping-particle":"","family":"Kotzaeridou","given":"Urania","non-dropping-particle":"","parse-names":false,"suffix":""},{"dropping-particle":"","family":"Kurlemann","given":"Gerhard","non-dropping-particle":"","parse-names":false,"suffix":""},{"dropping-particle":"","family":"Dräger","given":"Bianca","non-dropping-particle":"","parse-names":false,"suffix":""},{"dropping-particle":"","family":"Schirmacher","given":"Anja","non-dropping-particle":"","parse-names":false,"suffix":""},{"dropping-particle":"","family":"Young","given":"Peter","non-dropping-particle":"","parse-names":false,"suffix":""},{"dropping-particle":"","family":"Schlotter-Weigel","given":"Beate","non-dropping-particle":"","parse-names":false,"suffix":""},{"dropping-particle":"","family":"Biskup","given":"Saskia","non-dropping-particle":"","parse-names":false,"suffix":""}],"container-title":"Journal of neurochemistry","id":"ITEM-4","issue":"5","issued":{"date-parts":[["2017"]]},"page":"507-522","title":"Frequent genes in rare diseases: panel-based next generation sequencing to disclose causal mutations in hereditary neuropathies.","type":"article-journal","volume":"143"},"uris":["http://www.mendeley.com/documents/?uuid=4c21bc8a-b7ac-41a6-8203-2f91f0f9ed68"]},{"id":"ITEM-5","itemData":{"DOI":"10.1186/s13023-019-1245-8","ISSN":"1750-1172","abstract":"Objective: To investigate differences in cardiac manifestations of patients affected by laminopathy, according to the presence or absence of neuromuscular involvement at presentation.; Methods: We prospectively analyzed 40 consecutive patients with a diagnosis of laminopathy followed at a single centre between 1998 and 2017. Additionally, reports of clinical evaluations and tests prior to referral at our centre were retrospectively evaluated.; Results: Clinical onset was cardiac in 26 cases and neuromuscular in 14. Patients with neuromuscular presentation experienced first symptoms earlier in life (11 vs 39 years; p &lt; 0.0001) and developed atrial fibrillation/flutter (AF) and required pacemaker implantation at a younger age (28 vs 41 years [p = 0.013] and 30 vs 44 years [p = 0.086] respectively), despite a similar overall prevalence of AF (57% vs 65%; p = 0.735) and atrio-ventricular (A-V) block (50% vs 65%; p = 0.500). Those with a neuromuscular presentation developed a cardiomyopathy less frequently (43% vs 73%; p = 0.089) and had a lower rate of sustained ventricular tachyarrhythmias (7% vs 23%; p = 0.387). In patients with neuromuscular onset rhythm disturbances occurred usually before evidence of cardiomyopathy. Despite these differences, the need for heart transplantation and median age at intervention were similar in the two groups (29% vs 23% [p = 0.717] and 43 vs 46 years [p = 0.593] respectively).; Conclusions: In patients with laminopathy, the type of disease onset was a marker for a different natural history. Specifically, patients with neuromuscular presentation had an earlier cardiac involvement, characterized by a linear and progressive evolution from rhythm disorders (AF and/or A-V block) to cardiomyopathy.","author":[{"dropping-particle":"","family":"Ditaranto","given":"Raffaello","non-dropping-particle":"","parse-names":false,"suffix":""},{"dropping-particle":"","family":"Boriani","given":"Giuseppe","non-dropping-particle":"","parse-names":false,"suffix":""},{"dropping-particle":"","family":"Biffi","given":"Mauro","non-dropping-particle":"","parse-names":false,"suffix":""},{"dropping-particle":"","family":"Lorenzini","given":"Massimiliano","non-dropping-particle":"","parse-names":false,"suffix":""},{"dropping-particle":"","family":"Graziosi","given":"Maddalena","non-dropping-particle":"","parse-names":false,"suffix":""},{"dropping-particle":"","family":"Ziacchi","given":"Matteo","non-dropping-particle":"","parse-names":false,"suffix":""},{"dropping-particle":"","family":"Pasquale","given":"Ferdinando","non-dropping-particle":"","parse-names":false,"suffix":""},{"dropping-particle":"","family":"Vitale","given":"Giovanni","non-dropping-particle":"","parse-names":false,"suffix":""},{"dropping-particle":"","family":"Berardini","given":"Alessandra","non-dropping-particle":"","parse-names":false,"suffix":""},{"dropping-particle":"","family":"Rinaldi","given":"Rita","non-dropping-particle":"","parse-names":false,"suffix":""},{"dropping-particle":"","family":"Lattanzi","given":"Giovanna","non-dropping-particle":"","parse-names":false,"suffix":""},{"dropping-particle":"","family":"Potena","given":"Luciano","non-dropping-particle":"","parse-names":false,"suffix":""},{"dropping-particle":"","family":"Martin Suarez","given":"Sofia","non-dropping-particle":"","parse-names":false,"suffix":""},{"dropping-particle":"","family":"Bacchi Reggiani","given":"Maria Letizia","non-dropping-particle":"","parse-names":false,"suffix":""},{"dropping-particle":"","family":"Rapezzi","given":"Claudio","non-dropping-particle":"","parse-names":false,"suffix":""},{"dropping-particle":"","family":"Biagini","given":"Elena","non-dropping-particle":"","parse-names":false,"suffix":""}],"container-title":"Orphanet journal of rare diseases","id":"ITEM-5","issue":"1","issued":{"date-parts":[["2019"]]},"page":"263","title":"Differences in cardiac phenotype and natural history of laminopathies with and without neuromuscular onset.","type":"article-journal","volume":"14"},"uris":["http://www.mendeley.com/documents/?uuid=856aeb58-5125-48c7-95a7-46e6268f8548"]},{"id":"ITEM-6","itemData":{"DOI":"10.14503/THIJ-13-3843","ISSN":"1526-6702","abstract":"Left ventricular noncompaction is a rare type of cardiomyopathy, the genetics of which are poorly understood to date. Lamin A/C gene mutations have been associated with dilated cardiomyopathy and diseases of the conduction system, but rarely in left ventricular noncompaction cardiomyopathy. This report describes the cases of 4 family members with a lamin A/C gene mutation, 3 of whom had phenotypic expression of left ventricular noncompaction.","author":[{"dropping-particle":"","family":"Parent","given":"John J","non-dropping-particle":"","parse-names":false,"suffix":""},{"dropping-particle":"","family":"Towbin","given":"Jeffrey A","non-dropping-particle":"","parse-names":false,"suffix":""},{"dropping-particle":"","family":"Jefferies","given":"John L","non-dropping-particle":"","parse-names":false,"suffix":""}],"container-title":"Texas Heart Institute journal","id":"ITEM-6","issue":"1","issued":{"date-parts":[["2015"]]},"page":"73-76","title":"Left ventricular noncompaction in a family with lamin A/C gene mutation.","type":"article-journal","volume":"42"},"uris":["http://www.mendeley.com/documents/?uuid=17b22f48-b500-418a-a0d1-1683613c8de5"]},{"id":"ITEM-7","itemData":{"DOI":"10.1002/ajmg.a.32331","ISSN":"1552-4833","abstract":"Mutations in the LMNA gene result in diverse phenotypes including Emery Dreifuss muscular dystrophy, limb girdle muscular dystrophy, dilated cardiomyopathy with conduction system disease, Dunnigan type familial partial lipodystrophy, mandibulo acral dysplasia, Hutchinson Gilford progeria syndrome, restrictive dermopathy and autosomal recessive Charcot Marie Tooth type 2. The c.1930C &gt; T (R644C) missense mutation has previously been reported in eight unrelated patients with variable features including left ventricular hypertrophy, limb girdle muscle weakness, dilated cardiomyopathy and atypical progeria. Here we report on the details of nine additional patients in eight families with this mutation. Patients 1 and 2 presented with lipodystrophy and insulin resistance, Patient 1 having in addition focal segmental glomerulosclerosis. Patient 3 presented with motor neuropathy, Patient 4 with arthrogryposis and dilated cardiomyopathy with left ventricular non-compaction, Patient 5 with severe scoliosis and contractures, Patient 6 with limb girdle weakness and Patient 7 with hepatic steatosis and insulin resistance. Patients 8 and 9 are brothers with proximal weakness and contractures. Nonpenetrance was observed frequently in first degree relatives. This report provides further evidence of the extreme phenotypic diversity and low penetrance associated with the R644C mutation. Possible explanations for these observations are discussed. (2008 Wiley-Liss, Inc.)","author":[{"dropping-particle":"","family":"Rankin","given":"Julia","non-dropping-particle":"","parse-names":false,"suffix":""},{"dropping-particle":"","family":"Auer-Grumbach","given":"Michaela","non-dropping-particle":"","parse-names":false,"suffix":""},{"dropping-particle":"","family":"Bagg","given":"Warwick","non-dropping-particle":"","parse-names":false,"suffix":""},{"dropping-particle":"","family":"Colclough","given":"Kevin","non-dropping-particle":"","parse-names":false,"suffix":""},{"dropping-particle":"","family":"Nguyen","given":"Thuy Duong","non-dropping-particle":"","parse-names":false,"suffix":""},{"dropping-particle":"","family":"Fenton-May","given":"Jane","non-dropping-particle":"","parse-names":false,"suffix":""},{"dropping-particle":"","family":"Hattersley","given":"Andrew","non-dropping-particle":"","parse-names":false,"suffix":""},{"dropping-particle":"","family":"Hudson","given":"Judith","non-dropping-particle":"","parse-names":false,"suffix":""},{"dropping-particle":"","family":"Jardine","given":"Philip","non-dropping-particle":"","parse-names":false,"suffix":""},{"dropping-particle":"","family":"Josifova","given":"Dragana","non-dropping-particle":"","parse-names":false,"suffix":""},{"dropping-particle":"","family":"Longman","given":"Cheryl","non-dropping-particle":"","parse-names":false,"suffix":""},{"dropping-particle":"","family":"McWilliam","given":"Robert","non-dropping-particle":"","parse-names":false,"suffix":""},{"dropping-particle":"","family":"Owen","given":"Katharine","non-dropping-particle":"","parse-names":false,"suffix":""},{"dropping-particle":"","family":"Walker","given":"Mark","non-dropping-particle":"","parse-names":false,"suffix":""},{"dropping-particle":"","family":"Wehnert","given":"Manfred","non-dropping-particle":"","parse-names":false,"suffix":""},{"dropping-particle":"","family":"Ellard","given":"Sian","non-dropping-particle":"","parse-names":false,"suffix":""}],"container-title":"American journal of medical genetics. Part A","id":"ITEM-7","issue":"12","issued":{"date-parts":[["2008"]]},"page":"1530-1542","title":"Extreme phenotypic diversity and nonpenetrance in families with the LMNA gene mutation R644C.","type":"article-journal","volume":"146A"},"uris":["http://www.mendeley.com/documents/?uuid=980206ce-e675-4e83-82cd-272d213a3ac7"]},{"id":"ITEM-8","itemData":{"DOI":"10.1002/ana.22338","ISSN":"1531-8249","PMID":"21391237","abstract":"OBJECTIVE Emery-Dreifuss muscular dystrophy (EDMD) is a genetically heterogeneous muscular disease that presents with muscular dystrophy, joint contractures, and cardiomyopathy with conduction defects. Mutations in several nuclear envelope protein genes have been associated with EDMD in less than half of patients, implying the existence of other causative and modifier genes. We therefore analyzed TMEM43, which encodes LUMA, a newly identified nuclear membrane protein and also a binding partner of emerin and lamins, to investigate whether LUMA may contribute to the pathomechanism of EDMD-related myopathy. METHODS Forty-one patients with EDMD-related myopathy were enrolled. In vitro and in vivo transfection analyses were performed to assay the binding partners and oligomerization of mutant LUMA. RESULTS We identified heterozygous missense mutations, p.Glu85Lys and p.Ile91Val in TMEM43, in 2 EDMD-related myopathy patients. Reduced nuclear staining of LUMA was observed in the muscle from the patient with p.Glu85Lys mutation. By in vitro transfection analysis, p.Glu85Lys mutant LUMA resulted to failure in oligomerization, a process that may be important for protein complex formation on nuclear membrane. Furthermore, we demonstrated for the first time that LUMA can interact with another nuclear membrane protein, SUN2, in addition to emerin. Cells expressing mutant LUMA revealed reduced nuclear staining with or without aggregates of emerin and SUN2 together with a higher proportion of abnormally shaped nuclei. In vivo expression of mutant LUMA by electroporation in mouse tibialis anterior muscles likewise demonstrated the decreased staining of emerin and SUN2 on myonuclei. INTERPRETATION Our results suggest that mutant LUMAs may be associated with EDMD-related myopathy.","author":[{"dropping-particle":"","family":"Liang","given":"Wen-Chen","non-dropping-particle":"","parse-names":false,"suffix":""},{"dropping-particle":"","family":"Mitsuhashi","given":"Hiroaki","non-dropping-particle":"","parse-names":false,"suffix":""},{"dropping-particle":"","family":"Keduka","given":"Etsuko","non-dropping-particle":"","parse-names":false,"suffix":""},{"dropping-particle":"","family":"Nonaka","given":"Ikuya","non-dropping-particle":"","parse-names":false,"suffix":""},{"dropping-particle":"","family":"Noguchi","given":"Satoru","non-dropping-particle":"","parse-names":false,"suffix":""},{"dropping-particle":"","family":"Nishino","given":"Ichizo","non-dropping-particle":"","parse-names":false,"suffix":""},{"dropping-particle":"","family":"Hayashi","given":"Yukiko K","non-dropping-particle":"","parse-names":false,"suffix":""}],"container-title":"Annals of neurology","id":"ITEM-8","issue":"6","issued":{"date-parts":[["2011","6"]]},"page":"1005-13","title":"TMEM43 mutations in Emery-Dreifuss muscular dystrophy-related myopathy.","type":"article-journal","volume":"69"},"uris":["http://www.mendeley.com/documents/?uuid=9580320b-ee79-31a8-9e7d-81db8736efbc"]},{"id":"ITEM-9","itemData":{"DOI":"10.1093/eurjhf/hfp134","ISSN":"1879-0844","author":[{"dropping-particle":"","family":"Møller","given":"Daniel Vega","non-dropping-particle":"","parse-names":false,"suffix":""},{"dropping-particle":"","family":"Pham","given":"Tam Thanh","non-dropping-particle":"","parse-names":false,"suffix":""},{"dropping-particle":"","family":"Gustafsson","given":"Finn","non-dropping-particle":"","parse-names":false,"suffix":""},{"dropping-particle":"","family":"Hedley","given":"Paula","non-dropping-particle":"","parse-names":false,"suffix":""},{"dropping-particle":"","family":"Ersbøll","given":"Mads Kristian","non-dropping-particle":"","parse-names":false,"suffix":""},{"dropping-particle":"","family":"Bundgaard","given":"Henning","non-dropping-particle":"","parse-names":false,"suffix":""},{"dropping-particle":"","family":"Andersen","given":"Claus B","non-dropping-particle":"","parse-names":false,"suffix":""},{"dropping-particle":"","family":"Torp-Pedersen","given":"Christian","non-dropping-particle":"","parse-names":false,"suffix":""},{"dropping-particle":"","family":"Køber","given":"Lars","non-dropping-particle":"","parse-names":false,"suffix":""},{"dropping-particle":"","family":"Christiansen","given":"Michael","non-dropping-particle":"","parse-names":false,"suffix":""}],"container-title":"European journal of heart failure","id":"ITEM-9","issue":"11","issued":{"date-parts":[["2009"]]},"page":"1031-1035","title":"The role of Lamin A/C mutations in Danish patients with idiopathic dilated cardiomyopathy.","type":"article-journal","volume":"11"},"uris":["http://www.mendeley.com/documents/?uuid=8fc94408-9b1c-4445-8e91-2eaa71106d09"]},{"id":"ITEM-10","itemData":{"DOI":"10.1002/mus.20293","ISSN":"0148-639X","abstract":"Mutations of the LMNA gene, encoding the nuclear envelope proteins lamins A and C, give rise to Emery-Dreifuss muscular dystrophy and to limb-girdle muscular dystrophy 1B (EDMD and LGMD1B). With one exception, all the reported EDMD and LGMD1B mutations are confined to the first 10 exons of the gene. We report four separate cases, with mutations in the same codon of LMNA exon 11, characterized by remarkable variability of clinical findings, in addition to features not previously reported. One patient had congenital weakness and died in early childhood. In two other patients, severe cardiac problems arose early and, in one of these, cardiac signs preceded by many years the onset of skeletal muscle weakness. The fourth case had a mild and late-onset LGMD1B phenotype. Our cases further expand the clinical spectrum associated with mutations in the LMNA gene and provide new evidence of the role played by the C-terminal domain of lamin A.","author":[{"dropping-particle":"","family":"Mercuri","given":"E","non-dropping-particle":"","parse-names":false,"suffix":""},{"dropping-particle":"","family":"Brown","given":"S C","non-dropping-particle":"","parse-names":false,"suffix":""},{"dropping-particle":"","family":"Nihoyannopoulos","given":"P","non-dropping-particle":"","parse-names":false,"suffix":""},{"dropping-particle":"","family":"Poulton","given":"J","non-dropping-particle":"","parse-names":false,"suffix":""},{"dropping-particle":"","family":"Kinali","given":"M","non-dropping-particle":"","parse-names":false,"suffix":""},{"dropping-particle":"","family":"Richard","given":"P","non-dropping-particle":"","parse-names":false,"suffix":""},{"dropping-particle":"","family":"Piercy","given":"R J","non-dropping-particle":"","parse-names":false,"suffix":""},{"dropping-particle":"","family":"Messina","given":"S","non-dropping-particle":"","parse-names":false,"suffix":""},{"dropping-particle":"","family":"Sewry","given":"C","non-dropping-particle":"","parse-names":false,"suffix":""},{"dropping-particle":"","family":"Burke","given":"M M","non-dropping-particle":"","parse-names":false,"suffix":""},{"dropping-particle":"","family":"McKenna","given":"W","non-dropping-particle":"","parse-names":false,"suffix":""},{"dropping-particle":"","family":"Bonne","given":"G","non-dropping-particle":"","parse-names":false,"suffix":""},{"dropping-particle":"","family":"Muntoni","given":"F","non-dropping-particle":"","parse-names":false,"suffix":""}],"container-title":"Muscle &amp; nerve","id":"ITEM-10","issue":"5","issued":{"date-parts":[["2005"]]},"page":"602-609","title":"Extreme variability of skeletal and cardiac muscle involvement in patients with mutations in exon 11 of the lamin A/C gene.","type":"article-journal","volume":"31"},"uris":["http://www.mendeley.com/documents/?uuid=f786fc56-0731-479b-bb57-9d7ba17f3807"]},{"id":"ITEM-11","itemData":{"DOI":"10.1096/fj.202000500R","ISSN":"1530-6860","abstract":"Laminopathies are rare diseases associated with mutations in LMNA, which encodes nuclear lamin A/C. LMNA variants lead to diverse tissue-specific phenotypes including cardiomyopathy, lipodystrophy, myopathy, neuropathy, progeria, bone/skin disorders, and overlap syndromes. The mechanisms underlying these heterogeneous phenotypes remain poorly understood, although post-translational modifications, including phosphorylation, are postulated as regulators of lamin function. We catalogued all known lamin A/C human mutations and their associated phenotypes, and systematically examined the putative role of phosphorylation in laminopathies. In silico prediction of specific LMNA mutant-driven changes to lamin A phosphorylation and protein structure was performed using machine learning methods. Some of the predictions we generated were validated via assessment of ectopically expressed wild-type and mutant LMNA. Our findings indicate phenotype- and mutant-specific alterations in lamin phosphorylation, and that some changes in phosphorylation may occur independently of predicted changes in lamin protein structure. Therefore, therapeutic targeting of phosphorylation in the context of laminopathies will likely require mutant- and kinase-specific approaches. (© 2020 Federation of American Societies for Experimental Biology.)","author":[{"dropping-particle":"","family":"Lin","given":"Eric W","non-dropping-particle":"","parse-names":false,"suffix":""},{"dropping-particle":"","family":"Brady","given":"Graham F","non-dropping-particle":"","parse-names":false,"suffix":""},{"dropping-particle":"","family":"Kwan","given":"Raymond","non-dropping-particle":"","parse-names":false,"suffix":""},{"dropping-particle":"","family":"Nesvizhskii","given":"Alexey I","non-dropping-particle":"","parse-names":false,"suffix":""},{"dropping-particle":"","family":"Omary","given":"M Bishr","non-dropping-particle":"","parse-names":false,"suffix":""}],"container-title":"FASEB journal : official publication of the Federation of American Societies for Experimental Biology","id":"ITEM-11","issue":"7","issued":{"date-parts":[["2020"]]},"page":"9051-9073","title":"Genotype-phenotype analysis of LMNA-related diseases predicts phenotype-selective alterations in lamin phosphorylation.","type":"article-journal","volume":"34"},"uris":["http://www.mendeley.com/documents/?uuid=b5cfdf75-7e74-4fa4-b514-72e76c9f0b1a"]}],"mendeley":{"formattedCitation":"[24,30,39–47]","plainTextFormattedCitation":"[24,30,39–47]","previouslyFormattedCitation":"[24,30,47,39–46]"},"properties":{"noteIndex":0},"schema":"https://github.com/citation-style-language/schema/raw/master/csl-citation.json"}</w:instrText>
            </w:r>
            <w:r w:rsidRPr="005A1AC5">
              <w:fldChar w:fldCharType="separate"/>
            </w:r>
            <w:r w:rsidR="00843E38" w:rsidRPr="00843E38">
              <w:rPr>
                <w:noProof/>
              </w:rPr>
              <w:t>[24,30,39–47]</w:t>
            </w:r>
            <w:r w:rsidRPr="005A1AC5">
              <w:fldChar w:fldCharType="end"/>
            </w:r>
          </w:p>
        </w:tc>
      </w:tr>
      <w:tr w:rsidR="001E66EE" w:rsidRPr="005A1AC5" w14:paraId="0007A07C" w14:textId="77777777" w:rsidTr="00EF7EB9">
        <w:trPr>
          <w:trHeight w:val="761"/>
        </w:trPr>
        <w:tc>
          <w:tcPr>
            <w:tcW w:w="1418" w:type="dxa"/>
          </w:tcPr>
          <w:p w14:paraId="5153CC32" w14:textId="77777777" w:rsidR="001E66EE" w:rsidRPr="005A1AC5" w:rsidRDefault="001E66EE" w:rsidP="00EF7EB9">
            <w:pPr>
              <w:spacing w:after="160" w:line="259" w:lineRule="auto"/>
            </w:pPr>
            <w:r w:rsidRPr="005A1AC5">
              <w:t>Arg453Trp</w:t>
            </w:r>
          </w:p>
        </w:tc>
        <w:tc>
          <w:tcPr>
            <w:tcW w:w="1417" w:type="dxa"/>
          </w:tcPr>
          <w:p w14:paraId="16CD79B3" w14:textId="77777777" w:rsidR="001E66EE" w:rsidRPr="005A1AC5" w:rsidRDefault="001E66EE" w:rsidP="00EF7EB9">
            <w:pPr>
              <w:spacing w:after="160" w:line="259" w:lineRule="auto"/>
            </w:pPr>
            <w:r w:rsidRPr="005A1AC5">
              <w:t>1357C&gt;T</w:t>
            </w:r>
          </w:p>
        </w:tc>
        <w:tc>
          <w:tcPr>
            <w:tcW w:w="1095" w:type="dxa"/>
          </w:tcPr>
          <w:p w14:paraId="63C29234" w14:textId="77777777" w:rsidR="001E66EE" w:rsidRPr="005A1AC5" w:rsidRDefault="001E66EE" w:rsidP="00EF7EB9">
            <w:pPr>
              <w:spacing w:after="160" w:line="259" w:lineRule="auto"/>
            </w:pPr>
            <w:r w:rsidRPr="005A1AC5">
              <w:t>EDMD, LGMD, L-CMD, CFTD</w:t>
            </w:r>
          </w:p>
        </w:tc>
        <w:tc>
          <w:tcPr>
            <w:tcW w:w="851" w:type="dxa"/>
          </w:tcPr>
          <w:p w14:paraId="3A6FCE5A" w14:textId="77777777" w:rsidR="001E66EE" w:rsidRPr="005A1AC5" w:rsidRDefault="001E66EE" w:rsidP="00EF7EB9">
            <w:pPr>
              <w:spacing w:after="160" w:line="259" w:lineRule="auto"/>
            </w:pPr>
            <w:r w:rsidRPr="005A1AC5">
              <w:t>DCM</w:t>
            </w:r>
          </w:p>
        </w:tc>
        <w:tc>
          <w:tcPr>
            <w:tcW w:w="1134" w:type="dxa"/>
          </w:tcPr>
          <w:p w14:paraId="6E4C1707" w14:textId="77777777" w:rsidR="001E66EE" w:rsidRPr="005A1AC5" w:rsidRDefault="001E66EE" w:rsidP="00EF7EB9">
            <w:pPr>
              <w:spacing w:after="160" w:line="259" w:lineRule="auto"/>
            </w:pPr>
            <w:r w:rsidRPr="005A1AC5">
              <w:t>FPLD</w:t>
            </w:r>
          </w:p>
        </w:tc>
        <w:tc>
          <w:tcPr>
            <w:tcW w:w="992" w:type="dxa"/>
          </w:tcPr>
          <w:p w14:paraId="781C5A8E" w14:textId="77777777" w:rsidR="001E66EE" w:rsidRPr="005A1AC5" w:rsidRDefault="001E66EE" w:rsidP="00EF7EB9">
            <w:pPr>
              <w:spacing w:after="160" w:line="259" w:lineRule="auto"/>
            </w:pPr>
          </w:p>
        </w:tc>
        <w:tc>
          <w:tcPr>
            <w:tcW w:w="1134" w:type="dxa"/>
          </w:tcPr>
          <w:p w14:paraId="72CAF2E4" w14:textId="77777777" w:rsidR="001E66EE" w:rsidRPr="005A1AC5" w:rsidRDefault="001E66EE" w:rsidP="00EF7EB9">
            <w:pPr>
              <w:spacing w:after="160" w:line="259" w:lineRule="auto"/>
            </w:pPr>
            <w:r w:rsidRPr="005A1AC5">
              <w:t>37</w:t>
            </w:r>
          </w:p>
        </w:tc>
        <w:tc>
          <w:tcPr>
            <w:tcW w:w="1173" w:type="dxa"/>
          </w:tcPr>
          <w:p w14:paraId="6ED51806" w14:textId="30091D77" w:rsidR="001E66EE" w:rsidRPr="005A1AC5" w:rsidRDefault="001E66EE" w:rsidP="00EF7EB9">
            <w:pPr>
              <w:spacing w:after="160" w:line="259" w:lineRule="auto"/>
            </w:pPr>
            <w:r w:rsidRPr="005A1AC5">
              <w:fldChar w:fldCharType="begin" w:fldLock="1"/>
            </w:r>
            <w:r w:rsidR="00843E38">
              <w:instrText>ADDIN CSL_CITATION {"citationItems":[{"id":"ITEM-1","itemData":{"DOI":"10.1186/s12920-019-0478-7","ISSN":"1755-8794","abstract":"Background: Cardiomyopathies affect more than 0.5% of the general population. They are associated with high risk of sudden cardiac death, which can result from either heart failure or electrical abnormalities. Although different mechanisms underlie the various types of cardiomyopathies, a principal pathology is common to all and is usually at the level of the cardiac muscle. With a relatively high incidence rate in most countries, and a subsequent major health burden on both the families and governments, cardiomyopathies are gaining more attention by researchers and pharmaceutical companies as well as health government bodies. In Lebanon, there is no official data about the spectrum of the diseases in terms of their respective prevalence, clinical, or genetic profiles.; Methods: We used exome sequencing to unravel the genetic basis of idiopathic cases of cardiomyopathies in Lebanon, a relatively small country with high rates of consanguineous marriages.; Results: Five cases were diagnosed with different forms of cardiomyopathies, and exome sequencing revealed the presence of already documented or novel mutations in known genes in three cases: LMNA for an Emery Dreifuss Muscular Dystrophy case, PKP2 for an arrhythmogenic right ventricle dysplasia case, and MYPN for a dilated cardiomyopathy case. Interestingly two brothers with hypertrophic cardiomyopathy have a novel missense variation in NPR1, the gene encoding the natriuretic peptides receptor type I, not reported previously to be causing cardiomyopathies.; Conclusion: Our results unravel novel mutations in known genes implicated in cardiomyopathies in Lebanon. Changes in clinical management however, require genetic profiling of a larger cohort of patients.","author":[{"dropping-particle":"","family":"Refaat","given":"Marwan M","non-dropping-particle":"","parse-names":false,"suffix":""},{"dropping-particle":"","family":"Hassanieh","given":"Sylvana","non-dropping-particle":"","parse-names":false,"suffix":""},{"dropping-particle":"","family":"Ballout","given":"Jad A","non-dropping-particle":"","parse-names":false,"suffix":""},{"dropping-particle":"","family":"Zakka","given":"Patrick","non-dropping-particle":"","parse-names":false,"suffix":""},{"dropping-particle":"","family":"Hotait","given":"Mostafa","non-dropping-particle":"","parse-names":false,"suffix":""},{"dropping-particle":"","family":"Khalil","given":"Athar","non-dropping-particle":"","parse-names":false,"suffix":""},{"dropping-particle":"","family":"Bitar","given":"Fadi","non-dropping-particle":"","parse-names":false,"suffix":""},{"dropping-particle":"","family":"Arabi","given":"Mariam","non-dropping-particle":"","parse-names":false,"suffix":""},{"dropping-particle":"","family":"Arnaout","given":"Samir","non-dropping-particle":"","parse-names":false,"suffix":""},{"dropping-particle":"","family":"Skouri","given":"Hadi","non-dropping-particle":"","parse-names":false,"suffix":""},{"dropping-particle":"","family":"Abchee","given":"Antoine","non-dropping-particle":"","parse-names":false,"suffix":""},{"dropping-particle":"","family":"Abi-Saleh","given":"Bernard","non-dropping-particle":"","parse-names":false,"suffix":""},{"dropping-particle":"","family":"Khoury","given":"Maurice","non-dropping-particle":"","parse-names":false,"suffix":""},{"dropping-particle":"","family":"Massouras","given":"Andreas","non-dropping-particle":"","parse-names":false,"suffix":""},{"dropping-particle":"","family":"Nemer","given":"Georges","non-dropping-particle":"","parse-names":false,"suffix":""}],"container-title":"BMC medical genomics","id":"ITEM-1","issue":"1","issued":{"date-parts":[["2019"]]},"page":"33","title":"Non-familial cardiomyopathies in Lebanon: exome sequencing results for five idiopathic cases.","type":"article-journal","volume":"12"},"uris":["http://www.mendeley.com/documents/?uuid=bb53d207-b26d-4078-98a9-dc59a99289cc"]},{"id":"ITEM-2","itemData":{"DOI":"10.1002/1531-8249(200008)48:2&lt;170::AID-ANA6&gt;3.0.CO;2-J","ISSN":"0364-5134","author":[{"dropping-particle":"","family":"Bonne","given":"G.","non-dropping-particle":"","parse-names":false,"suffix":""},{"dropping-particle":"","family":"Mercuri","given":"E.","non-dropping-particle":"","parse-names":false,"suffix":""},{"dropping-particle":"","family":"Muchir","given":"A.","non-dropping-particle":"","parse-names":false,"suffix":""},{"dropping-particle":"","family":"Urtizberea","given":"A.","non-dropping-particle":"","parse-names":false,"suffix":""},{"dropping-particle":"","family":"Bécane","given":"H. M.","non-dropping-particle":"","parse-names":false,"suffix":""},{"dropping-particle":"","family":"Recan","given":"D.","non-dropping-particle":"","parse-names":false,"suffix":""},{"dropping-particle":"","family":"Merlini","given":"L.","non-dropping-particle":"","parse-names":false,"suffix":""},{"dropping-particle":"","family":"Wehnert","given":"M.","non-dropping-particle":"","parse-names":false,"suffix":""},{"dropping-particle":"","family":"Boor","given":"R.","non-dropping-particle":"","parse-names":false,"suffix":""},{"dropping-particle":"","family":"Reuner","given":"U.","non-dropping-particle":"","parse-names":false,"suffix":""},{"dropping-particle":"","family":"Vorgerd","given":"M.","non-dropping-particle":"","parse-names":false,"suffix":""},{"dropping-particle":"","family":"Wicklein","given":"E. M.","non-dropping-particle":"","parse-names":false,"suffix":""},{"dropping-particle":"","family":"Eymard","given":"B.","non-dropping-particle":"","parse-names":false,"suffix":""},{"dropping-particle":"","family":"Duboc","given":"D.","non-dropping-particle":"","parse-names":false,"suffix":""},{"dropping-particle":"","family":"Penisson-Besnier","given":"I.","non-dropping-particle":"","parse-names":false,"suffix":""},{"dropping-particle":"","family":"Cuisset","given":"J. M.","non-dropping-particle":"","parse-names":false,"suffix":""},{"dropping-particle":"","family":"Ferrer","given":"X.","non-dropping-particle":"","parse-names":false,"suffix":""},{"dropping-particle":"","family":"Desguerre","given":"I.","non-dropping-particle":"","parse-names":false,"suffix":""},{"dropping-particle":"","family":"Lacombe","given":"D.","non-dropping-particle":"","parse-names":false,"suffix":""},{"dropping-particle":"","family":"Bushby","given":"K.","non-dropping-particle":"","parse-names":false,"suffix":""},{"dropping-particle":"","family":"Pollitt","given":"C.","non-dropping-particle":"","parse-names":false,"suffix":""},{"dropping-particle":"","family":"Toniolo","given":"D.","non-dropping-particle":"","parse-names":false,"suffix":""},{"dropping-particle":"","family":"Fardeau","given":"M.","non-dropping-particle":"","parse-names":false,"suffix":""},{"dropping-particle":"","family":"Schwartz","given":"K.","non-dropping-particle":"","parse-names":false,"suffix":""},{"dropping-particle":"","family":"Muntoni","given":"F.","non-dropping-particle":"","parse-names":false,"suffix":""}],"container-title":"Annals of Neurology","id":"ITEM-2","issue":"2","issued":{"date-parts":[["2000","8","1"]]},"page":"170-180","publisher":"John Wiley &amp; Sons, Ltd","title":"Clinical and molecular genetic spectrum of autosomal dominant Emery-Dreifuss muscular dystrophy due to mutations of the lamin A/C gene","type":"article-journal","volume":"48"},"uris":["http://www.mendeley.com/documents/?uuid=cb1fa76b-c474-334c-bd72-fb724f830dae"]},{"id":"ITEM-3","itemData":{"DOI":"10.1111/j.1468-1331.2004.00825.x","ISSN":"1351-5101","abstract":"The X-linked Emery-Dreifuss muscular dystrophy (X-EDMD) is a hereditary muscle disorder associated with cardiac involvement. Sinus node dysfunction and atrioventricular conduction defects, typical of X-EDMD, occur in both males and females and may result in sudden cardiac death unless treated by permanent pacing. The objective of the study was to determine the frequency and relevance of X-EDMD in heart conduction system disease in young individuals treated with a pacemaker implant. The medical history of 3450 paced individuals in the region of South Moravia, Czech republic, was reviewed. Thirty-five patients, 20 males and 15 females, with idiopathic heart conduction disease of onset before age 40 were identified and screened for X-EDMD. Within these 35 individuals, only one male was found to carry a mutation in X-EDMD gene. We conclude that the clinical relevance of X-EDMD in heart conduction system disease is very low. It should, however, be included into the diagnostic work-up of young male individuals with idiopathic cardiac conduction disturbances.","author":[{"dropping-particle":"","family":"Vytopil","given":"M","non-dropping-particle":"","parse-names":false,"suffix":""},{"dropping-particle":"","family":"Vohanka","given":"S","non-dropping-particle":"","parse-names":false,"suffix":""},{"dropping-particle":"","family":"Vlasinova","given":"J","non-dropping-particle":"","parse-names":false,"suffix":""},{"dropping-particle":"","family":"Toman","given":"J","non-dropping-particle":"","parse-names":false,"suffix":""},{"dropping-particle":"","family":"Novak","given":"M","non-dropping-particle":"","parse-names":false,"suffix":""},{"dropping-particle":"","family":"Toniolo","given":"D","non-dropping-particle":"","parse-names":false,"suffix":""},{"dropping-particle":"","family":"Ricotti","given":"R","non-dropping-particle":"","parse-names":false,"suffix":""},{"dropping-particle":"","family":"Lukas","given":"Z","non-dropping-particle":"","parse-names":false,"suffix":""}],"container-title":"European journal of neurology","id":"ITEM-3","issue":"8","issued":{"date-parts":[["2004"]]},"page":"531-534","title":"The screening for X-linked Emery-Dreifuss muscular dystrophy amongst young patients with idiopathic heart conduction system disease treated by a pacemaker implant.","type":"article-journal","volume":"11"},"uris":["http://www.mendeley.com/documents/?uuid=fa0187cc-28f3-4784-a695-408b4e8f5fe4"]},{"id":"ITEM-4","itemData":{"DOI":"10.1186/s13023-020-01445-1","ISSN":"1750-1172","abstract":"Background: Limb-girdle muscular dystrophy (LGMD) is a genetically heterogeneous, hereditary disease characterized by limb-girdle weakness and histologically dystrophic changes. The prevalence of each subtype of LGMD varies among different ethnic populations. This study for the first time analyzed the phenotypes and genotypes in Taiwanese patients with LGMD in a referral center for neuromuscular diseases (NMDs).; Results: We enrolled 102 patients clinically suspected of having LGMD who underwent muscle biopsy with subsequent genetic analysis in the previous 10 years. On the basis of different pathological categories, we performed sequencing of target genes or panel for NMDs and then identified patients with type 1B, 1E, 2A, 2B, 2D, 2I, 2G, 2 N, and 2Q. The 1B patients with LMNA mutation presented with mild limb-girdle weakness but no conduction defect at the time. All 1E patients with DES mutation exhibited predominantly proximal weakness along with distal weakness. In our cohort, 2B and 2I were the most frequent forms of LGMD; several common or founder mutations were identified, including c.1097_1099delACA (p.Asn366del) in DES, homozygous c.101G &gt; T (p.Arg34Leu) in SGCA, homozygous c.26_33dup (p.Glu12Argfs*20) in TCAP, c.545A &gt; G (p.Tyr182Cys), and c.948delC (p.Cys317Alafs*111) in FKRP. Clinically, the prevalence of dilated cardiomyopathy in our patients with LGMD2I aged &gt; 18 years was 100%, much higher than that in European cohorts. The only patient with LGMD2Q with PLEC mutation did not exhibit skin lesions or gastrointestinal abnormalities but had mild facial weakness. Muscle imaging of LGMD1E and 2G revealed a more uniform involvement than did other LGMD types.; Conclusion: Our study revealed that detailed clinical manifestation together with muscle pathology and imaging remain critical in guiding further molecular analyses and are crucial for establishing genotype-phenotype correlations. We also determined the common mutations and prevalence for different subtypes of LGMD in our cohort, which could be useful when providing specific care and personalized therapy to patients with LGMD.","author":[{"dropping-particle":"","family":"Liang","given":"Wen-Chen","non-dropping-particle":"","parse-names":false,"suffix":""},{"dropping-particle":"","family":"Jong","given":"Yuh-Jyh","non-dropping-particle":"","parse-names":false,"suffix":""},{"dropping-particle":"","family":"Wang","given":"Chien-Hua","non-dropping-particle":"","parse-names":false,"suffix":""},{"dropping-particle":"","family":"Wang","given":"Chen-Hua","non-dropping-particle":"","parse-names":false,"suffix":""},{"dropping-particle":"","family":"Tian","given":"Xia","non-dropping-particle":"","parse-names":false,"suffix":""},{"dropping-particle":"","family":"Chen","given":"Wan-Zi","non-dropping-particle":"","parse-names":false,"suffix":""},{"dropping-particle":"","family":"Kan","given":"Tzu-Min","non-dropping-particle":"","parse-names":false,"suffix":""},{"dropping-particle":"","family":"Minami","given":"Narihiro","non-dropping-particle":"","parse-names":false,"suffix":""},{"dropping-particle":"","family":"Nishino","given":"Ichizo","non-dropping-particle":"","parse-names":false,"suffix":""},{"dropping-particle":"","family":"Wong","given":"Lee-Jun C","non-dropping-particle":"","parse-names":false,"suffix":""}],"container-title":"Orphanet journal of rare diseases","id":"ITEM-4","issue":"1","issued":{"date-parts":[["2020"]]},"page":"160","title":"Clinical, pathological, imaging, and genetic characterization in a Taiwanese cohort with limb-girdle muscular dystrophy.","type":"article-journal","volume":"15"},"uris":["http://www.mendeley.com/documents/?uuid=193867e4-ce13-4561-b9cb-c28acffcf5be"]},{"id":"ITEM-5","itemData":{"DOI":"10.1111/ene.14616","ISSN":"1468-1331","abstract":"Background and Purpose: Congenital muscular dystrophies (CMDs) and congenital myopathies (CMs) are a group of genetically and clinically heterogeneous degenerative primary muscle disorders with onset at birth or during infancy. Due to vast heterogeneity, clinical examination and protein-based analyses often fail to identify the genetic causes of these diseases. The aim of this study was to genetically diagnose a cohort of 36 difficult-to-diagnose CMD and CM cases of Indian origin using next-generation sequencing methods.; Methods: Whole-exome sequencing (WES) was performed to identify pathogenic mutations in previously reported CMD and CM-related genes using variant calling and stringent variant filtration process. Subsequently, in silico homology modelling and molecular dynamics simulations (MDS) studies were undertaken for a number of novel and missense variants.; Results: A total of 33 and 21 rare and deleterious mutations were identified in 28 genes previously reported in CMD and CM based on OMIM, ClinVar and Orphanet, respectively. We could accurately diagnose 54% patients (n = 12/22) in the CMD group and 35% patients (n = 5/14) in the CM group. Furthermore, MDS studies for mutations located in LMNA, LAMA2 and RYR1 suggest that the wild-type proteins are more stable than their mutant counterparts, implying a potential mechanism of pathogenesis.; Conclusion: The WES findings led us to identify reported as well as novel variants for the first time in Indian patients with CMD and CM. This allowed us to achieve an accurate genetic diagnosis, which was difficult using conventional diagnostic tools. Transferring these WES findings to clinical practice will help guide clinical care of the affected patients and inform genetic counselling. (© 2020 European Academy of Neurology.)","author":[{"dropping-particle":"","family":"Sanga","given":"Shamita","non-dropping-particle":"","parse-names":false,"suffix":""},{"dropping-particle":"","family":"Ghosh","given":"Arnab","non-dropping-particle":"","parse-names":false,"suffix":""},{"dropping-particle":"","family":"Kumar","given":"Krishna","non-dropping-particle":"","parse-names":false,"suffix":""},{"dropping-particle":"","family":"Polavarapu","given":"Kiran","non-dropping-particle":"","parse-names":false,"suffix":""},{"dropping-particle":"","family":"Preethish-Kumar","given":"Veeramani","non-dropping-particle":"","parse-names":false,"suffix":""},{"dropping-particle":"","family":"Vengalil","given":"Seena","non-dropping-particle":"","parse-names":false,"suffix":""},{"dropping-particle":"","family":"Nashi","given":"Saraswati","non-dropping-particle":"","parse-names":false,"suffix":""},{"dropping-particle":"","family":"Bardhan","given":"Mainak","non-dropping-particle":"","parse-names":false,"suffix":""},{"dropping-particle":"","family":"Arunachal","given":"Gautham","non-dropping-particle":"","parse-names":false,"suffix":""},{"dropping-particle":"","family":"Raju","given":"Sanita","non-dropping-particle":"","parse-names":false,"suffix":""},{"dropping-particle":"","family":"Gayathri","given":"Narayanappa","non-dropping-particle":"","parse-names":false,"suffix":""},{"dropping-particle":"","family":"Biswas","given":"Nidhan K","non-dropping-particle":"","parse-names":false,"suffix":""},{"dropping-particle":"","family":"Chakrabarti","given":"Saikat","non-dropping-particle":"","parse-names":false,"suffix":""},{"dropping-particle":"","family":"Nalini","given":"Atchayaram","non-dropping-particle":"","parse-names":false,"suffix":""},{"dropping-particle":"","family":"Roy","given":"Sudipto","non-dropping-particle":"","parse-names":false,"suffix":""},{"dropping-particle":"","family":"Acharya","given":"Moulinath","non-dropping-particle":"","parse-names":false,"suffix":""}],"container-title":"European journal of neurology","id":"ITEM-5","issue":"3","issued":{"date-parts":[["2021"]]},"page":"992-1003","title":"Whole-exome analyses of congenital muscular dystrophy and congenital myopathy patients from India reveal a wide spectrum of known and novel mutations.","type":"article-journal","volume":"28"},"uris":["http://www.mendeley.com/documents/?uuid=07f73802-483c-4367-a30d-3827f3132b13"]},{"id":"ITEM-6","itemData":{"DOI":"10.1002/mus.20122","ISSN":"0148-639X","abstract":"Mutations in LMNA, the gene that encodes nuclear lamins A and C, cause up to eight different diseases collectively referred to as \"laminopathies.\" These diseases affect striated muscle, adipose tissue, peripheral nerve, and bone, or cause features of premature aging. We investigated the consequences of LMNA mutations on nuclear architecture in skin fibroblasts from 13 patients with different laminopathies. Western-blotting showed that none of the mutations examined led to a decrease in cellular levels of lamin A or C. Regardless of the disease, we observed honeycomb nuclear structures and nuclear envelope blebs in cells examined by immunofluorescence microscopy. Concentrated foci of lamin A/C in the nucleoplasm were also observed. Only mutations in the head and tail domains of lamins A and C significantly altered the nuclear architecture of patient fibroblasts. These results confirm that mutations in lamins A and C may lead to a weakening of a structural support network in the nuclear envelope in fibroblasts and that nuclear architecture changes depend upon the location of the mutation in different domains of lamin A/C.","author":[{"dropping-particle":"","family":"Muchir","given":"A","non-dropping-particle":"","parse-names":false,"suffix":""},{"dropping-particle":"","family":"Medioni","given":"J","non-dropping-particle":"","parse-names":false,"suffix":""},{"dropping-particle":"","family":"Laluc","given":"M","non-dropping-particle":"","parse-names":false,"suffix":""},{"dropping-particle":"","family":"Massart","given":"C","non-dropping-particle":"","parse-names":false,"suffix":""},{"dropping-particle":"","family":"Arimura","given":"T","non-dropping-particle":"","parse-names":false,"suffix":""},{"dropping-particle":"","family":"Kooi","given":"A J","non-dropping-particle":"van der","parse-names":false,"suffix":""},{"dropping-particle":"","family":"Desguerre","given":"I","non-dropping-particle":"","parse-names":false,"suffix":""},{"dropping-particle":"","family":"Mayer","given":"M","non-dropping-particle":"","parse-names":false,"suffix":""},{"dropping-particle":"","family":"Ferrer","given":"X","non-dropping-particle":"","parse-names":false,"suffix":""},{"dropping-particle":"","family":"Briault","given":"S","non-dropping-particle":"","parse-names":false,"suffix":""},{"dropping-particle":"","family":"Hirano","given":"M","non-dropping-particle":"","parse-names":false,"suffix":""},{"dropping-particle":"","family":"Worman","given":"H J","non-dropping-particle":"","parse-names":false,"suffix":""},{"dropping-particle":"","family":"Mallet","given":"A","non-dropping-particle":"","parse-names":false,"suffix":""},{"dropping-particle":"","family":"Wehnert","given":"M","non-dropping-particle":"","parse-names":false,"suffix":""},{"dropping-particle":"","family":"Schwartz","given":"K","non-dropping-particle":"","parse-names":false,"suffix":""},{"dropping-particle":"","family":"Bonne","given":"G","non-dropping-particle":"","parse-names":false,"suffix":""}],"container-title":"Muscle &amp; nerve","id":"ITEM-6","issue":"4","issued":{"date-parts":[["2004"]]},"page":"444-450","title":"Nuclear envelope alterations in fibroblasts from patients with muscular dystrophy, cardiomyopathy, and partial lipodystrophy carrying lamin A/C gene mutations.","type":"article-journal","volume":"30"},"uris":["http://www.mendeley.com/documents/?uuid=b6d2c571-ff47-4325-a804-7b276e6e73bd"]},{"id":"ITEM-7","itemData":{"ISSN":"1468-6244","abstract":"Background: LMNA -related muscular dystrophy is caused by mutations in LMNA gene. We aimed to identify genetic variations and clinical features in a large cohort of Chinese patients with LMNA mutations in an attempt to establish genotype-phenotype correlation.; Methods: The clinical presentations of patients with LMNA -related muscular dystrophy were recorded using retrospective and prospective cohort study. LMNA mutation analysis was performed by Sanger sequencing or next-generation sequencing. Mosaicism was detected by personal genome machine amplicon deep sequencing for mosaicism.; Results: Eighty-four patients were identified to harbour LMNA mutations. Forty-one of those were diagnosed with LMNA -related congenital muscular dystrophy (L-CMD), 32 with Emery-Dreifuss muscular dystrophy (EDMD) and 11 with limb-girdle muscular dystrophy type 1B (LGMD1B). We identified 21 novel and 29 known LMNA mutations. Two frequent mutations were identified: c.745C&gt;T and c.1357C&gt;T. A correlation between the location of mutation and the clinical phenotype was observed: mutations affecting the head and coil 2A domains mainly occurred in L-CMD, while the coil 2B and Ig-like domains mainly related to EDMD and LGMD1B. We found somatic mosaicism in one parent of four probands. Muscle biopsies revealed 11 of 20 biopsied L-CMD exhibited inflammatory changes, and muscle cell ultrastructure showed abnormal nuclear morphology.; Conclusions: Our detailed clinical and genetic analysis of 84 patients with LMNA -related muscular dystrophy expands clinical spectrum and broadens genetic variations caused by LMNA mutations. We identified 21 novel and 29 known LMNA mutations and found two frequent mutations. A correlation between the location of mutation and the clinical severity was observed. Preliminary data suggested that low-dose corticosteroid treatment may be effective. (© Author(s) (or their employer(s)) 2020. Re-use permitted under CC BY-NC. No commercial re-use. See rights and permissions. Published by BMJ.)","author":[{"dropping-particle":"","family":"Fan","given":"Yanbin","non-dropping-particle":"","parse-names":false,"suffix":""},{"dropping-particle":"","family":"Tan","given":"Dandan","non-dropping-particle":"","parse-names":false,"suffix":""},{"dropping-particle":"","family":"Song","given":"Danyu","non-dropping-particle":"","parse-names":false,"suffix":""},{"dropping-particle":"","family":"Zhang","given":"Xu","non-dropping-particle":"","parse-names":false,"suffix":""},{"dropping-particle":"","family":"Chang","given":"Xingzhi","non-dropping-particle":"","parse-names":false,"suffix":""},{"dropping-particle":"","family":"Wang","given":"Zhaoxia","non-dropping-particle":"","parse-names":false,"suffix":""},{"dropping-particle":"","family":"Zhang","given":"Cheng","non-dropping-particle":"","parse-names":false,"suffix":""},{"dropping-particle":"","family":"Chan","given":"Sophelia Hoi-Shan","non-dropping-particle":"","parse-names":false,"suffix":""},{"dropping-particle":"","family":"Wu","given":"Qixi","non-dropping-particle":"","parse-names":false,"suffix":""},{"dropping-particle":"","family":"Wu","given":"Liwen","non-dropping-particle":"","parse-names":false,"suffix":""},{"dropping-particle":"","family":"Wang","given":"Shuang","non-dropping-particle":"","parse-names":false,"suffix":""},{"dropping-particle":"","family":"Yan","given":"Hui","non-dropping-particle":"","parse-names":false,"suffix":""},{"dropping-particle":"","family":"Ge","given":"Lin","non-dropping-particle":"","parse-names":false,"suffix":""},{"dropping-particle":"","family":"Yang","given":"Haipo","non-dropping-particle":"","parse-names":false,"suffix":""},{"dropping-particle":"","family":"Mao","given":"Bing","non-dropping-particle":"","parse-names":false,"suffix":""},{"dropping-particle":"","family":"Bönnemann","given":"Carsten","non-dropping-particle":"","parse-names":false,"suffix":""},{"dropping-particle":"","family":"Liu","given":"Jingying","non-dropping-particle":"","parse-names":false,"suffix":""},{"dropping-particle":"","family":"Wang","given":"Suxia","non-dropping-particle":"","parse-names":false,"suffix":""},{"dropping-particle":"","family":"Yuan","given":"Yun","non-dropping-particle":"","parse-names":false,"suffix":""},{"dropping-particle":"","family":"Wu","given":"Xiru","non-dropping-particle":"","parse-names":false,"suffix":""},{"dropping-particle":"","family":"Zhang","given":"Hong","non-dropping-particle":"","parse-names":false,"suffix":""},{"dropping-particle":"","family":"Xiong","given":"Hui","non-dropping-particle":"","parse-names":false,"suffix":""}],"container-title":"Journal of medical genetics","id":"ITEM-7","issued":{"date-parts":[["2020"]]},"title":"Clinical spectrum and genetic variations of LMNA -related muscular dystrophes in a large cohort of Chinese patients.","type":"article-journal"},"uris":["http://www.mendeley.com/documents/?uuid=7b022de2-ce2a-4965-982c-995925f2b120"]},{"id":"ITEM-8","itemData":{"DOI":"10.1016/j.bbadis.2012.01.01","ISSN":"0006-3002","abstract":"Nuclear envelope-related muscular dystrophies, in particular those referred to as laminopathies, are relatively novel and unclear diseases, also considering the increasing number of mutations identified so far in genes of the nuclear envelope. As regard LMNA gene, only tentative relations between phenotype, type and localization of the mutations have been established in striated muscle diseases, while laminopathies affecting adipose tissue, peripheral nerves or progerioid syndromes could be linked to specific genetic variants. This study describes the biochemical phenotype of neuromuscular laminopathies in samples derived from LMNA mutant patients. Since it has been reported that nuclear alterations, due to LMNA defects, are present also in fibroblasts from Emery-Dreifuss muscular dystrophy and familial partial lipodystrophy patients, we analyzed 2D-maps of skin fibroblasts of patients carrying 12 different LMNA mutations spread along the entire gene. To recognize distinctive proteins underlying affected biochemical pathways, we compared them with fibroblasts from healthy controls and, more importantly, fibroblasts from patients with non-lamin related neuromuscular disorders. We found less abundance of cytoskeletal/structural proteins, confirming a dominant role for Lamin A/C in structural support of nuclear architecture. Interestingly, we also established significant changes in the expression of proteins involved in cellular energy production and oxidative stress response. To our knowledge, this is the first report where proteomics was applied to characterize ex-vivo cells from LMNA patients, suggesting that this may represent a new approach to better understand the molecular mechanisms of these rare diseases and facilitate the development of novel therapeutic treatments. (© 2012 Elsevier B.V. All rights reserved.)","author":[{"dropping-particle":"","family":"Magagnotti","given":"Cinzia","non-dropping-particle":"","parse-names":false,"suffix":""},{"dropping-particle":"","family":"Bachi","given":"Angela","non-dropping-particle":"","parse-names":false,"suffix":""},{"dropping-particle":"","family":"Zerbini","given":"Gianpaolo","non-dropping-particle":"","parse-names":false,"suffix":""},{"dropping-particle":"","family":"Fattore","given":"Elena","non-dropping-particle":"","parse-names":false,"suffix":""},{"dropping-particle":"","family":"Fermo","given":"Isabella","non-dropping-particle":"","parse-names":false,"suffix":""},{"dropping-particle":"","family":"Riba","given":"Michela","non-dropping-particle":"","parse-names":false,"suffix":""},{"dropping-particle":"","family":"Previtali","given":"Stefano C","non-dropping-particle":"","parse-names":false,"suffix":""},{"dropping-particle":"","family":"Ferrari","given":"Maurizio","non-dropping-particle":"","parse-names":false,"suffix":""},{"dropping-particle":"","family":"Andolfo","given":"Annapaola","non-dropping-particle":"","parse-names":false,"suffix":""},{"dropping-particle":"","family":"Benedetti","given":"Sara","non-dropping-particle":"","parse-names":false,"suffix":""}],"container-title":"Biochimica et biophysica acta","id":"ITEM-8","issue":"6","issued":{"date-parts":[["2012"]]},"page":"970-979","title":"Protein profiling reveals energy metabolism and cytoskeletal protein alterations in LMNA mutation carriers.","type":"article-journal","volume":"1822"},"uris":["http://www.mendeley.com/documents/?uuid=f7deafcc-44eb-4c82-b46a-a11a12117d07"]},{"id":"ITEM-9","itemData":{"DOI":"10.1002/mus.26700","ISSN":"1097-4598","abstract":"Introduction: The identification of LMNA-related muscular dystrophy is important because it poses life-threatening cardiac complications. However, diagnosis of LMNA-related muscular dystrophy based on clinical features is challenging.; Methods: We reviewed the clinical phenotypes of 14 children with LMNA variants, focusing on the cardiac function and genotypes.; Results: Most patients presented with motor developmental delay or gait abnormalities. Eight (57%) patients had prominent neck extensor weakness or contractures. All patients showed ankle contractures at an early stage. Regular cardiac surveillance allowed for the detection of dysrhythmias in 57% of patients at a mean age of 14 years (range, 5-26). All patients had missense variants; however, there were no clear phenotype-genotype correlations.; Discussion: Early diagnosis of LMNA-related muscular dystrophy provides an opportunity for cardiac surveillance, potentially leading to the prevention of cardiac mortality in children. (© 2019 Wiley Periodicals, Inc.)","author":[{"dropping-particle":"","family":"Choi","given":"Sun Ah","non-dropping-particle":"","parse-names":false,"suffix":""},{"dropping-particle":"","family":"Cho","given":"Anna","non-dropping-particle":"","parse-names":false,"suffix":""},{"dropping-particle":"","family":"Kim","given":"Soo Yeon","non-dropping-particle":"","parse-names":false,"suffix":""},{"dropping-particle":"","family":"Kim","given":"Woo Joong","non-dropping-particle":"","parse-names":false,"suffix":""},{"dropping-particle":"","family":"Shim","given":"Young Kyu","non-dropping-particle":"","parse-names":false,"suffix":""},{"dropping-particle":"","family":"Lee","given":"Jin Sook","non-dropping-particle":"","parse-names":false,"suffix":""},{"dropping-particle":"","family":"Jang","given":"Se Song","non-dropping-particle":"","parse-names":false,"suffix":""},{"dropping-particle":"","family":"Lim","given":"Byung Chan","non-dropping-particle":"","parse-names":false,"suffix":""},{"dropping-particle":"","family":"Kim","given":"Hunmin","non-dropping-particle":"","parse-names":false,"suffix":""},{"dropping-particle":"","family":"Hwang","given":"Hee","non-dropping-particle":"","parse-names":false,"suffix":""},{"dropping-particle":"","family":"Choi","given":"Ji Eun","non-dropping-particle":"","parse-names":false,"suffix":""},{"dropping-particle":"","family":"Kim","given":"Ki Joong","non-dropping-particle":"","parse-names":false,"suffix":""},{"dropping-particle":"","family":"Kim","given":"Man Jin","non-dropping-particle":"","parse-names":false,"suffix":""},{"dropping-particle":"","family":"Seong","given":"Moon-Woo","non-dropping-particle":"","parse-names":false,"suffix":""},{"dropping-particle":"","family":"Chae","given":"Jong-Hee","non-dropping-particle":"","parse-names":false,"suffix":""}],"container-title":"Muscle &amp; nerve","id":"ITEM-9","issue":"6","issued":{"date-parts":[["2019"]]},"page":"668-672","title":"Importance of early diagnosis in LMNA-related muscular dystrophy for cardiac surveillance.","type":"article-journal","volume":"60"},"uris":["http://www.mendeley.com/documents/?uuid=92a226c3-5876-41ae-bfbb-5330d33395a2"]},{"id":"ITEM-10","itemData":{"DOI":"10.1016/j.ehj.2003.09.020","ISSN":"0195-668X","abstract":"Aims: Retrospective studies have identified a mutation in the lamin A/C (LMNA) gene in patients selected on the basis of a phenotype characterized by dilated cardiomyopathy, atrioventricular conduction disturbances and sudden death. However, the features of cardiac abnormalities in patients with an initial diagnosis of Emery-Dreifuss muscular dystrophy (EDMD) are poorly known. Aim of the present study was to investigate the spectrum of cardiac disease in patients with an initial diagnosis of EDMD caused by a mutation in the LMNA gene.; Methods and Results: Ten consecutive patients with EDMD and a LMNA gene mutation were evaluated with structured medical interview, physical examination, ECG, echocardiogram and 24-h Holter monitoring. Electrophysiological testing and cardiac catheterization were performed if a class 1 or 2 American Heart Association guidelines indication was present. Cardiac disease was found in eight of 10 patients and consisted in the variable combination of supraventricular arrhythmias, disorders of atrioventricular conduction, ventricular arrhythmias, dilated cardiomyopathy, non-dilated cardiomyopathy, restrictive cardiomyopathy and sudden death despite pacemaker implant.; Conclusions: Cardiac disease is common in patients with an initial diagnosis of EDMD caused by a mutation in the LMNA gene and consists of arrhythmias, disorders of atrioventricular conduction, cardiomyopathies and sudden death despite pacemaker implant.","author":[{"dropping-particle":"","family":"Sanna","given":"Tommaso","non-dropping-particle":"","parse-names":false,"suffix":""},{"dropping-particle":"","family":"Russo","given":"Antonio","non-dropping-particle":"Dello","parse-names":false,"suffix":""},{"dropping-particle":"","family":"Toniolo","given":"Daniela","non-dropping-particle":"","parse-names":false,"suffix":""},{"dropping-particle":"","family":"Vytopil","given":"Michal","non-dropping-particle":"","parse-names":false,"suffix":""},{"dropping-particle":"","family":"Pelargonio","given":"Gemma","non-dropping-particle":"","parse-names":false,"suffix":""},{"dropping-particle":"","family":"Martino","given":"Giuseppe","non-dropping-particle":"De","parse-names":false,"suffix":""},{"dropping-particle":"","family":"Ricci","given":"Enzo","non-dropping-particle":"","parse-names":false,"suffix":""},{"dropping-particle":"","family":"Silvestri","given":"Gabriella","non-dropping-particle":"","parse-names":false,"suffix":""},{"dropping-particle":"","family":"Giglio","given":"Vincenzo","non-dropping-particle":"","parse-names":false,"suffix":""},{"dropping-particle":"","family":"Messano","given":"Loredana","non-dropping-particle":"","parse-names":false,"suffix":""},{"dropping-particle":"","family":"Zachara","given":"Elisabetta","non-dropping-particle":"","parse-names":false,"suffix":""},{"dropping-particle":"","family":"Bellocci","given":"Fulvio","non-dropping-particle":"","parse-names":false,"suffix":""}],"container-title":"European heart journal","id":"ITEM-10","issue":"24","issued":{"date-parts":[["2003"]]},"page":"2227-2236","title":"Cardiac features of Emery-Dreifuss muscular dystrophy caused by lamin A/C gene mutations.","type":"article-journal","volume":"24"},"uris":["http://www.mendeley.com/documents/?uuid=e7e2b7f8-6ea7-4fb7-8a1a-a460a244c6f5"]},{"id":"ITEM-11","itemData":{"DOI":"10.1016/J.EJCB.2009.06.002","ISSN":"0171-9335","abstract":"We have studied myoblasts from a patient with a severe autosomal dominant Emery-Dreifuss muscular dystrophy (AD-EDMD) caused by an arginine 545 to cystein point mutation (p.R545C) in the carboxy-terminal domain of the lamin A/C gene. This mutation has pleiotropic cellular effects on these myoblasts as demonstrated by nuclear structural defects, exhibiting lobulations which increase with cell passages in culture. The organization of both lamin A/C and its inner nuclear membrane partner emerin are altered, eventually showing a honeycomb pattern upon immunofluorescence microscopy. In addition, the distribution of histone H3 trimethylated at lysine 27 and of phosphorylated RNA polymerase II, markers of inactive and active chromatin domains, respectively, are altered suggesting an impact on gene expression. Patient myoblasts also presented a high index of senescence in ex vivo culture. Moreover, our data show for the first time in an AD-EDMD context that the 20S core particle of the proteasome was inactivated. With cell passages, the 20S core protein progressively accumulated into discrete nuclear foci that largely colocalized with promyelocytic leukemia (PML) bodies while p21 accumulated throughout the nuclear compartment. Proteasome inactivation has been linked to normal cellular ageing. Our data indicate that it may also contribute to premature senescence in AD-EDMD patient myoblasts. Finally, when transferred to low-serum medium, patient myoblasts were deficient in ex vivo differentiation, as assessed by the absence of myotube formation and myogenin induction. Altogether, these data suggest that the LMNA mutation p.R545C impairs both proliferation and differentiation capacities of myoblasts as part of the pathogenesis of AD-EDMD.","author":[{"dropping-particle":"","family":"Kandert","given":"Sebastian","non-dropping-particle":"","parse-names":false,"suffix":""},{"dropping-particle":"","family":"Wehnert","given":"Manfred","non-dropping-particle":"","parse-names":false,"suffix":""},{"dropping-particle":"","family":"Müller","given":"Clemens R.","non-dropping-particle":"","parse-names":false,"suffix":""},{"dropping-particle":"","family":"Buendia","given":"Brigitte","non-dropping-particle":"","parse-names":false,"suffix":""},{"dropping-particle":"","family":"Dabauvalle","given":"Marie-Christine","non-dropping-particle":"","parse-names":false,"suffix":""}],"container-title":"European Journal of Cell Biology","id":"ITEM-11","issue":"10","issued":{"date-parts":[["2009","10","1"]]},"page":"593-608","publisher":"Urban &amp; Fischer","title":"Impaired nuclear functions lead to increased senescence and inefficient differentiation in human myoblasts with a dominant p.R545C mutation in the LMNA gene","type":"article-journal","volume":"88"},"uris":["http://www.mendeley.com/documents/?uuid=9bdb51d4-c83d-33ae-8e35-2f3e662bf9ca"]},{"id":"ITEM-12","itemData":{"DOI":"10.1006/EXCR.2002.5669","ISSN":"0014-4827","PMID":"12490190","abstract":"Autosomal dominantly inherited missense mutations in lamins A and C cause familial partial lipodystrophy of the Dunnigan-type (FPLD), and myopathies including Emery-Dreifuss muscular dystrophy (EDMD). While mutations responsible for FPLD are restricted to the carboxyl-terminal tails, those responsible for EDMD are spread throughout the molecules. We observed here the same structural abnormalities in the nuclear envelope and chromatin of fibroblasts from patients with FPLD and EDMD, harboring missense mutations at codons 482 and 453, respectively. Similar nuclear alterations were generated in fibroblasts, myoblasts, and preadipocytes mouse cell lines overexpressing lamin A harboring either of these two mutations. A large variation in sensitivity to lamin A overexpression was observed among the three cell lines, which was correlated with their variable endogenous content in A-type lamins and emerin. The occurrence of nuclear abnormalities was reduced when lamin B1 was coexpressed with mutant lamin A, emphasizing the functional interaction of the two types of lamins. Transfected cells therefore develop similar phenotypes when expressing lamins mutated in the carboxyl-terminal tail at sites responsible for FPLD or EDMD. © 2003 Elsevier Science (USA).","author":[{"dropping-particle":"","family":"Favreau","given":"Catherine","non-dropping-particle":"","parse-names":false,"suffix":""},{"dropping-particle":"","family":"Dubosclard","given":"Emmanuelle","non-dropping-particle":"","parse-names":false,"suffix":""},{"dropping-particle":"","family":"Östlund","given":"Cecilia","non-dropping-particle":"","parse-names":false,"suffix":""},{"dropping-particle":"","family":"Vigouroux","given":"Corinne","non-dropping-particle":"","parse-names":false,"suffix":""},{"dropping-particle":"","family":"Capeau","given":"Jacqueline","non-dropping-particle":"","parse-names":false,"suffix":""},{"dropping-particle":"","family":"Wehnert","given":"Manfred","non-dropping-particle":"","parse-names":false,"suffix":""},{"dropping-particle":"","family":"Higuet","given":"Dominique","non-dropping-particle":"","parse-names":false,"suffix":""},{"dropping-particle":"","family":"Worman","given":"Howard J.","non-dropping-particle":"","parse-names":false,"suffix":""},{"dropping-particle":"","family":"Courvalin","given":"Jean Claude","non-dropping-particle":"","parse-names":false,"suffix":""},{"dropping-particle":"","family":"Buendia","given":"Brigitte","non-dropping-particle":"","parse-names":false,"suffix":""}],"container-title":"Experimental cell research","id":"ITEM-12","issue":"1","issued":{"date-parts":[["2003"]]},"page":"14-23","publisher":"Exp Cell Res","title":"Expression of lamin A mutated in the carboxyl-terminal tail generates an aberrant nuclear phenotype similar to that observed in cells from patients with Dunnigan-type partial lipodystrophy and Emery-Dreifuss muscular dystrophy","type":"article-journal","volume":"282"},"uris":["http://www.mendeley.com/documents/?uuid=ac30be3a-e7b6-3346-844b-0cac8424ea20"]},{"id":"ITEM-13","itemData":{"DOI":"10.1016/j.nmd.2008.09.018","ISSN":"0960-8966","abstract":"Autosomal forms of Emery-Dreifuss muscular dystrophy (AD-/AR-EDMD) and limb-girdle muscular dystrophy type 1B (LGMD1B) are caused by mutations in the gene encoding A-type lamins (LMNA). A-type lamins are major components of nuclear lamina and known to have important roles in maintaining nuclear integrity. LMNA mutations are also suggested to cause reduced myogenic differentiation potentials, implying that satellite cell nuclei in AD-EDMD/LGMD1B are likewise affected. We examined nuclear changes of skeletal muscles including satellite cells from four patients with AD-EDMD/LGMD1B by light and electron microscopy. We found that 92.5+/-5.0% of myonuclei had structural abnormalities, including shape irregularity and/or chromatin disorganization, and the presence of peri-/intranuclear vacuoles. Chromatin changes were also observed in 50% of the satellite cell nuclei. Increased number of Pax7-positive nuclei, but fewer number of MyoD-positive nuclei were seen on immunohistochemical analyses, suggesting functional alteration of satellite cells in addition to the nuclear morphological changes in AD-EDMD/LGMD1B.","author":[{"dropping-particle":"","family":"Park","given":"Young-Eun","non-dropping-particle":"","parse-names":false,"suffix":""},{"dropping-particle":"","family":"Hayashi","given":"Yukiko K","non-dropping-particle":"","parse-names":false,"suffix":""},{"dropping-particle":"","family":"Goto","given":"Kanako","non-dropping-particle":"","parse-names":false,"suffix":""},{"dropping-particle":"","family":"Komaki","given":"Hirofumi","non-dropping-particle":"","parse-names":false,"suffix":""},{"dropping-particle":"","family":"Hayashi","given":"Yuichi","non-dropping-particle":"","parse-names":false,"suffix":""},{"dropping-particle":"","family":"Inuzuka","given":"Takashi","non-dropping-particle":"","parse-names":false,"suffix":""},{"dropping-particle":"","family":"Noguchi","given":"Satoru","non-dropping-particle":"","parse-names":false,"suffix":""},{"dropping-particle":"","family":"Nonaka","given":"Ikuya","non-dropping-particle":"","parse-names":false,"suffix":""},{"dropping-particle":"","family":"Nishino","given":"Ichizo","non-dropping-particle":"","parse-names":false,"suffix":""}],"container-title":"Neuromuscular disorders : NMD","id":"ITEM-13","issue":"1","issued":{"date-parts":[["2009"]]},"page":"29-36","title":"Nuclear changes in skeletal muscle extend to satellite cells in autosomal dominant Emery-Dreifuss muscular dystrophy/limb-girdle muscular dystrophy 1B.","type":"article-journal","volume":"19"},"uris":["http://www.mendeley.com/documents/?uuid=48a675d5-616f-4645-a2d4-13dafbc3be91"]},{"id":"ITEM-14","itemData":{"DOI":"10.1016/j.nmd.2015.10.001","ISSN":"1873-2364","abstract":"Identifying the mutated gene that produces a particular muscle dystrophy is difficult because different genotypes may share a phenotype and vice versa. Muscle MRI is a useful tool to recognize patterns of muscle involvement in patients with muscle dystrophies and to guide the diagnosis process. The radiologic pattern of muscle involvement in patients with mutations in the EMD and LMNA genes has not been completely established. Our objective is to describe the pattern of muscle fatty infiltration in patients with mutations in the EMD and in the LMNA genes and to search for differences between the two genotypes that could be helpful to guide the genetic tests. We conducted a national multicenter study in 42 patients, 10 with mutations in the EMD gene and 32 with mutations in the LMNA gene. MRI or CT was used to study the muscles from trunk to legs. Patients had a similar pattern of fatty infiltration regardless of whether they had the mutation in the EMD or LMNA gene. The main muscles involved were the paravertebral, glutei, quadriceps, biceps, semitendinosus, semimembranosus, adductor major, soleus, and gastrocnemius. Involvement of peroneus muscle, which was more frequently affected in patients with mutations in the EMD gene, was useful to differentiate between the two genotypes. Muscle MRI/CT identifies a similar pattern of muscle fatty infiltration in patients with mutations in the EMD or the LMNA genes. The involvement of peroneus muscles could be useful to conduct genetic analysis in patients with an EDMD phenotype. (Copyright © 2015 Elsevier B.V. All rights reserved.)","author":[{"dropping-particle":"","family":"Díaz-Manera","given":"Jordi","non-dropping-particle":"","parse-names":false,"suffix":""},{"dropping-particle":"","family":"Alejaldre","given":"Aida","non-dropping-particle":"","parse-names":false,"suffix":""},{"dropping-particle":"","family":"González","given":"Laura","non-dropping-particle":"","parse-names":false,"suffix":""},{"dropping-particle":"","family":"Olivé","given":"Montse","non-dropping-particle":"","parse-names":false,"suffix":""},{"dropping-particle":"","family":"Gómez-Andrés","given":"David","non-dropping-particle":"","parse-names":false,"suffix":""},{"dropping-particle":"","family":"Muelas","given":"Nuria","non-dropping-particle":"","parse-names":false,"suffix":""},{"dropping-particle":"","family":"Vílchez","given":"Juan José","non-dropping-particle":"","parse-names":false,"suffix":""},{"dropping-particle":"","family":"Llauger","given":"Jaume","non-dropping-particle":"","parse-names":false,"suffix":""},{"dropping-particle":"","family":"Carbonell","given":"Pilar","non-dropping-particle":"","parse-names":false,"suffix":""},{"dropping-particle":"","family":"Márquez-Infante","given":"Celedonio","non-dropping-particle":"","parse-names":false,"suffix":""},{"dropping-particle":"","family":"Fernández-Torrón","given":"Roberto","non-dropping-particle":"","parse-names":false,"suffix":""},{"dropping-particle":"","family":"Poza","given":"Juan José","non-dropping-particle":"","parse-names":false,"suffix":""},{"dropping-particle":"","family":"Munáin","given":"Adolfo","non-dropping-particle":"de","parse-names":false,"suffix":""},{"dropping-particle":"","family":"González-Quereda","given":"Lidia","non-dropping-particle":"","parse-names":false,"suffix":""},{"dropping-particle":"","family":"Mirabet","given":"Sonia","non-dropping-particle":"","parse-names":false,"suffix":""},{"dropping-particle":"","family":"Clarimon","given":"Jordi","non-dropping-particle":"","parse-names":false,"suffix":""},{"dropping-particle":"","family":"Gallano","given":"Pía","non-dropping-particle":"","parse-names":false,"suffix":""},{"dropping-particle":"","family":"Rojas-García","given":"Ricard","non-dropping-particle":"","parse-names":false,"suffix":""},{"dropping-particle":"","family":"Gallardo","given":"Eduard","non-dropping-particle":"","parse-names":false,"suffix":""},{"dropping-particle":"","family":"Illa","given":"Isabel","non-dropping-particle":"","parse-names":false,"suffix":""}],"container-title":"Neuromuscular disorders : NMD","id":"ITEM-14","issue":"1","issued":{"date-parts":[["2016"]]},"page":"33-40","title":"Muscle imaging in muscle dystrophies produced by mutations in the EMD and LMNA genes.","type":"article-journal","volume":"26"},"uris":["http://www.mendeley.com/documents/?uuid=63ca67ce-c365-4a54-bce4-3db9e06dbaec"]},{"id":"ITEM-15","itemData":{"DOI":"10.1046/j.0305-1846.2001.00323.x","ISSN":"0305-1846","abstract":"We present our observations on the skeletal muscle pathology of nine cases from seven families of autosomal dominant Emery-Dreifuss muscular dystrophy (ADEDMD) with identified mutations in the lamin A/C gene, aged 2-35 years at the time of biopsy. The severity of pathological change was moderate and the most common features were variation in fibre size (hypertrophy and atrophy), an increase in internal nuclei and smaller diameter fibres with high oxidative enzyme activity. Only one case showed necrosis, which was present in two separate samples taken from the quadriceps and tibialis anterior, at different ages. Immunocytochemistry detected an age-related reduction of laminin beta1 on the muscle fibres in adolescent and adult cases. Antibodies to lamins A and A/C, and emerin did not reveal any detectable differences from controls. Electron microscopy of two out of three cases showed an abnormal distribution of heterochromatin in many fibre nuclei. Our results show that dystrophic changes in skeletal muscle are not a major feature of ADEDMD, and that nuclear abnormalities may be detected with electron microscopy. Immunodetection of reduced laminin beta1 may be a useful secondary marker in adults with this disorder, as immunocytochemistry of lamins is not yet of diagnostic use.","author":[{"dropping-particle":"","family":"Sewry","given":"C A","non-dropping-particle":"","parse-names":false,"suffix":""},{"dropping-particle":"","family":"Brown","given":"S C","non-dropping-particle":"","parse-names":false,"suffix":""},{"dropping-particle":"","family":"Mercuri","given":"E","non-dropping-particle":"","parse-names":false,"suffix":""},{"dropping-particle":"","family":"Bonne","given":"G","non-dropping-particle":"","parse-names":false,"suffix":""},{"dropping-particle":"","family":"Feng","given":"L","non-dropping-particle":"","parse-names":false,"suffix":""},{"dropping-particle":"","family":"Camici","given":"G","non-dropping-particle":"","parse-names":false,"suffix":""},{"dropping-particle":"","family":"Morris","given":"G E","non-dropping-particle":"","parse-names":false,"suffix":""},{"dropping-particle":"","family":"Muntoni","given":"F","non-dropping-particle":"","parse-names":false,"suffix":""}],"container-title":"Neuropathology and applied neurobiology","id":"ITEM-15","issue":"4","issued":{"date-parts":[["2001"]]},"page":"281-290","title":"Skeletal muscle pathology in autosomal dominant Emery-Dreifuss muscular dystrophy with lamin A/C mutations.","type":"article-journal","volume":"27"},"uris":["http://www.mendeley.com/documents/?uuid=a7bba5c4-10dc-4ffa-a733-b12031122fa5"]},{"id":"ITEM-16","itemData":{"DOI":"10.1096/fj.202000500R","ISSN":"1530-6860","abstract":"Laminopathies are rare diseases associated with mutations in LMNA, which encodes nuclear lamin A/C. LMNA variants lead to diverse tissue-specific phenotypes including cardiomyopathy, lipodystrophy, myopathy, neuropathy, progeria, bone/skin disorders, and overlap syndromes. The mechanisms underlying these heterogeneous phenotypes remain poorly understood, although post-translational modifications, including phosphorylation, are postulated as regulators of lamin function. We catalogued all known lamin A/C human mutations and their associated phenotypes, and systematically examined the putative role of phosphorylation in laminopathies. In silico prediction of specific LMNA mutant-driven changes to lamin A phosphorylation and protein structure was performed using machine learning methods. Some of the predictions we generated were validated via assessment of ectopically expressed wild-type and mutant LMNA. Our findings indicate phenotype- and mutant-specific alterations in lamin phosphorylation, and that some changes in phosphorylation may occur independently of predicted changes in lamin protein structure. Therefore, therapeutic targeting of phosphorylation in the context of laminopathies will likely require mutant- and kinase-specific approaches. (© 2020 Federation of American Societies for Experimental Biology.)","author":[{"dropping-particle":"","family":"Lin","given":"Eric W","non-dropping-particle":"","parse-names":false,"suffix":""},{"dropping-particle":"","family":"Brady","given":"Graham F","non-dropping-particle":"","parse-names":false,"suffix":""},{"dropping-particle":"","family":"Kwan","given":"Raymond","non-dropping-particle":"","parse-names":false,"suffix":""},{"dropping-particle":"","family":"Nesvizhskii","given":"Alexey I","non-dropping-particle":"","parse-names":false,"suffix":""},{"dropping-particle":"","family":"Omary","given":"M Bishr","non-dropping-particle":"","parse-names":false,"suffix":""}],"container-title":"FASEB journal : official publication of the Federation of American Societies for Experimental Biology","id":"ITEM-16","issue":"7","issued":{"date-parts":[["2020"]]},"page":"9051-9073","title":"Genotype-phenotype analysis of LMNA-related diseases predicts phenotype-selective alterations in lamin phosphorylation.","type":"article-journal","volume":"34"},"uris":["http://www.mendeley.com/documents/?uuid=b5cfdf75-7e74-4fa4-b514-72e76c9f0b1a"]},{"id":"ITEM-17","itemData":{"DOI":"10.1136/jmg.40.12.e132","ISSN":"1468-6244","author":[{"dropping-particle":"","family":"Vytopil","given":"M","non-dropping-particle":"","parse-names":false,"suffix":""},{"dropping-particle":"","family":"Benedetti","given":"S","non-dropping-particle":"","parse-names":false,"suffix":""},{"dropping-particle":"","family":"Ricci","given":"E","non-dropping-particle":"","parse-names":false,"suffix":""},{"dropping-particle":"","family":"Galluzzi","given":"G","non-dropping-particle":"","parse-names":false,"suffix":""},{"dropping-particle":"","family":"Russo","given":"A","non-dropping-particle":"Dello","parse-names":false,"suffix":""},{"dropping-particle":"","family":"Merlini","given":"L","non-dropping-particle":"","parse-names":false,"suffix":""},{"dropping-particle":"","family":"Boriani","given":"G","non-dropping-particle":"","parse-names":false,"suffix":""},{"dropping-particle":"","family":"Gallina","given":"M","non-dropping-particle":"","parse-names":false,"suffix":""},{"dropping-particle":"","family":"Morandi","given":"L","non-dropping-particle":"","parse-names":false,"suffix":""},{"dropping-particle":"","family":"Politano","given":"L","non-dropping-particle":"","parse-names":false,"suffix":""},{"dropping-particle":"","family":"Moggio","given":"M","non-dropping-particle":"","parse-names":false,"suffix":""},{"dropping-particle":"","family":"Chiveri","given":"L","non-dropping-particle":"","parse-names":false,"suffix":""},{"dropping-particle":"","family":"Hausmanova-Petrusewicz","given":"I","non-dropping-particle":"","parse-names":false,"suffix":""},{"dropping-particle":"","family":"Ricotti","given":"R","non-dropping-particle":"","parse-names":false,"suffix":""},{"dropping-particle":"","family":"Vohanka","given":"S","non-dropping-particle":"","parse-names":false,"suffix":""},{"dropping-particle":"","family":"Toman","given":"J","non-dropping-particle":"","parse-names":false,"suffix":""},{"dropping-particle":"","family":"Toniolo","given":"D","non-dropping-particle":"","parse-names":false,"suffix":""}],"container-title":"Journal of medical genetics","id":"ITEM-17","issue":"12","issued":{"date-parts":[["2003"]]},"page":"e132","title":"Mutation analysis of the lamin A/C gene (LMNA) among patients with different cardiomuscular phenotypes.","type":"article-journal","volume":"40"},"uris":["http://www.mendeley.com/documents/?uuid=e5e7196e-c62a-4b8f-a232-401c23fc5020"]},{"id":"ITEM-18","itemData":{"ISSN":"1128-2460","abstract":"Mutations in the genes for nuclear envelope proteins of emerin (EMD) and lamin A/C (LMNA) are known to cause Emery-Dreifuss muscular dystrophy (EDMD) and limb girdle muscular dystrophy (LGMD). We compared clinical features of the muscular dystrophy patients associated with mutations in EMD (emerinopathy) and LMNA (laminopathy) in our series. The incidence of laminopathy was slightly higher than that of emerinopathy. The age at onset of the disease in emerinopathy was variable and significantly older than in laminopathy. The initial symptom of emerinopathy was also variable, whereas nearly all laminopathy patients presented initially with muscle weakness. Calf hypertrophy was often seen in laminopathy, underscoring the importance of mutation screening for LMNA in childhood muscular dystrophy with calf hypertrophy. The clinical spectrum of emerinopathy is actually wider than previously known including EDMD, LGMD, conduction defects with minimal muscle/joint involvement, and their intermittent forms. Pathologically, no marked difference was observed between emerinopathy and laminopathy. Increased number and variation in size of myonuclei were detected. More precise observations using electron microscopy is warranted to characterize the detailed nuclear changes in nuclear envelopathy.","author":[{"dropping-particle":"","family":"Astejada","given":"M N","non-dropping-particle":"","parse-names":false,"suffix":""},{"dropping-particle":"","family":"Goto","given":"K","non-dropping-particle":"","parse-names":false,"suffix":""},{"dropping-particle":"","family":"Nagano","given":"A","non-dropping-particle":"","parse-names":false,"suffix":""},{"dropping-particle":"","family":"Ura","given":"S","non-dropping-particle":"","parse-names":false,"suffix":""},{"dropping-particle":"","family":"Noguchi","given":"S","non-dropping-particle":"","parse-names":false,"suffix":""},{"dropping-particle":"","family":"Nonaka","given":"I","non-dropping-particle":"","parse-names":false,"suffix":""},{"dropping-particle":"","family":"Nishino","given":"I","non-dropping-particle":"","parse-names":false,"suffix":""},{"dropping-particle":"","family":"Hayashi","given":"Y K","non-dropping-particle":"","parse-names":false,"suffix":""}],"container-title":"Acta myologica : myopathies and cardiomyopathies : official journal of the Mediterranean Society of Myology","id":"ITEM-18","issue":"3","issued":{"date-parts":[["2007"]]},"page":"159-164","title":"Emerinopathy and laminopathy clinical, pathological and molecular features of muscular dystrophy with nuclear envelopathy in Japan.","type":"article-journal","volume":"26"},"uris":["http://www.mendeley.com/documents/?uuid=148e2157-a229-4924-bdd1-e17fbe72f3bf"]},{"id":"ITEM-19","itemData":{"DOI":"10.1016/s0960-8966(01)00239-5","ISSN":"0960-8966","abstract":"Emery-Dreifuss muscular dystrophy is characterized by the clinical triad of early onset contractures of elbows, Achilles tendons and spine, wasting and weakness with a predominantly humero-peroneal distribution and life-threatening cardiac conduction defects and/or cardiomyopathy. Two main types of inheritance have been described: the X-linked form is caused by mutations in the STA gene on locus Xq28 and the gene for the autosomal dominant form (LMNA gene) has been localized on chromosome 1q11-q23. Recently, mutations in this LMNA gene have been also found to be responsible for the less frequent autosomal recessive form of the disease. Although all forms share a similar clinical presentation, some differences appear to exist between them as has been described recently in a large number of patients. We present the first documented Spanish family genetically confirmed to have autosomal dominant Emery-Dreifuss muscular dystrophy. Clinical, pathological and genetic data are described. We emphasize the difficulties in diagnosis, especially in sporadic cases or young patients in whom the clinical picture is not completely established.","author":[{"dropping-particle":"","family":"Colomer","given":"J","non-dropping-particle":"","parse-names":false,"suffix":""},{"dropping-particle":"","family":"Iturriaga","given":"C","non-dropping-particle":"","parse-names":false,"suffix":""},{"dropping-particle":"","family":"Bonne","given":"G","non-dropping-particle":"","parse-names":false,"suffix":""},{"dropping-particle":"","family":"Schwartz","given":"K","non-dropping-particle":"","parse-names":false,"suffix":""},{"dropping-particle":"","family":"Manilal","given":"S","non-dropping-particle":"","parse-names":false,"suffix":""},{"dropping-particle":"","family":"Morris","given":"G E","non-dropping-particle":"","parse-names":false,"suffix":""},{"dropping-particle":"","family":"Puche","given":"M","non-dropping-particle":"","parse-names":false,"suffix":""},{"dropping-particle":"","family":"Fernández-Alvarez","given":"E","non-dropping-particle":"","parse-names":false,"suffix":""}],"container-title":"Neuromuscular disorders : NMD","id":"ITEM-19","issue":"1","issued":{"date-parts":[["2002"]]},"page":"19-25","title":"Autosomal dominant Emery-Dreifuss muscular dystrophy: a new family with late diagnosis.","type":"article-journal","volume":"12"},"uris":["http://www.mendeley.com/documents/?uuid=aa841a49-4638-4b34-9224-524169355745"]},{"id":"ITEM-20","itemData":{"DOI":"10.1038/6799","ISSN":"1061-4036","PMID":"10080180","abstract":"Emery-Dreifuss muscular dystrophy (EDMD) is characterized by early contractures of elbows and Achilles tendons, slowly progressive muscle wasting and weakness, and a cardiomyopathy with conduction blocks which is life-threatening. Two modes of inheritance exist, X-linked (OMIM 310300) and autosomal dominant (EDMD-AD; OMIM 181350). EDMD-AD is clinically identical to the X-linked forms of the disease. Mutations in EMD, the gene encoding emerin, are responsible for the X-linked form. We have mapped the locus for EDMD-AD to an 8-cM interval on chromosome 1q11-q23 in a large French pedigree, and found that the EMD phenotype in four other small families was potentially linked to this locus. This region contains the lamin A/C gene (LMNA), a candidate gene encoding two proteins of the nuclear lamina, lamins A and C, produced by alternative splicing. We identified four mutations in LMNA that co-segregate with the disease phenotype in the five families: one nonsense mutation and three missense mutations. These results are the first identification of mutations in a component of the nuclear lamina as a cause of inherited muscle disorder. Together with mutations in EMD (refs 5,6), they underscore the potential importance of the nuclear envelope components in the pathogenesis of neuromuscular disorders.","author":[{"dropping-particle":"","family":"Bonne","given":"Gisèle","non-dropping-particle":"","parse-names":false,"suffix":""},{"dropping-particle":"Di","family":"Barletta","given":"Marina Raffaele","non-dropping-particle":"","parse-names":false,"suffix":""},{"dropping-particle":"","family":"Varnous","given":"Shaida","non-dropping-particle":"","parse-names":false,"suffix":""},{"dropping-particle":"","family":"Bécane","given":"Henri-Marc","non-dropping-particle":"","parse-names":false,"suffix":""},{"dropping-particle":"","family":"Hammouda","given":"El-Hadi","non-dropping-particle":"","parse-names":false,"suffix":""},{"dropping-particle":"","family":"Merlini","given":"Luciano","non-dropping-particle":"","parse-names":false,"suffix":""},{"dropping-particle":"","family":"Muntoni","given":"Francesco","non-dropping-particle":"","parse-names":false,"suffix":""},{"dropping-particle":"","family":"Greenberg","given":"Cheryl R.","non-dropping-particle":"","parse-names":false,"suffix":""},{"dropping-particle":"","family":"Gary","given":"Françoise","non-dropping-particle":"","parse-names":false,"suffix":""},{"dropping-particle":"","family":"Urtizberea","given":"Jon-Andoni","non-dropping-particle":"","parse-names":false,"suffix":""},{"dropping-particle":"","family":"Duboc","given":"Denis","non-dropping-particle":"","parse-names":false,"suffix":""},{"dropping-particle":"","family":"Fardeau","given":"Michel","non-dropping-particle":"","parse-names":false,"suffix":""},{"dropping-particle":"","family":"Toniolo","given":"Daniela","non-dropping-particle":"","parse-names":false,"suffix":""},{"dropping-particle":"","family":"Schwartz","given":"Ketty","non-dropping-particle":"","parse-names":false,"suffix":""}],"container-title":"Nature Genetics","id":"ITEM-20","issue":"3","issued":{"date-parts":[["1999","3"]]},"page":"285-288","title":"Mutations in the gene encoding lamin A/C cause autosomal dominant Emery-Dreifuss muscular dystrophy","type":"article-journal","volume":"21"},"uris":["http://www.mendeley.com/documents/?uuid=267cb0a0-a67a-3ca0-a928-87e0f92ec8c7"]},{"id":"ITEM-21","itemData":{"DOI":"10.1016/j.jns.2014.02.036","ISSN":"1878-5883","abstract":"A boy, who had shown muscle weakness and hypotonia from early childhood and fiber type disproportion (FTD) with no dystrophic changes on muscle biopsy, was initially diagnosed as having congenital fiber type disproportion (CFTD). Subsequently, he developed cardiac conduction blocks. We reconsidered the diagnosis as possible LMNA-myopathy and found a heterozygous mutation in the LMNA gene. This encouraged us to search for LMNA mutations on 80 patients who met the diagnostic criteria of CFTD with unknown cause. Two patients including the above index case had heterozygous in-frame deletion mutations of c.367_369delAAG and c.99_101delGGA in LMNA, respectively. Four of 23 muscular dystrophy patients with LMNA mutation also showed fiber type disproportion (FTD). Importantly, all FTD associated with LMNA-myopathy were caused by hypertrophy of type 2 fibers as compared with age-matched controls, whereas CFTD with mutations in ACTA1 or TPM3 showed selective type 1 fiber atrophy but no type 2 fiber hypertrophy. Although FTD is not a constant pathological feature of LMNA-myopathy, we should consider the possibility of LMNA-myopathy whenever a diagnosis of CFTD is made and take steps to prevent cardiac insufficiency. (Copyright © 2014 Elsevier B.V. All rights reserved.)","author":[{"dropping-particle":"","family":"Kajino","given":"Sachiko","non-dropping-particle":"","parse-names":false,"suffix":""},{"dropping-particle":"","family":"Ishihara","given":"Kayo","non-dropping-particle":"","parse-names":false,"suffix":""},{"dropping-particle":"","family":"Goto","given":"Kanako","non-dropping-particle":"","parse-names":false,"suffix":""},{"dropping-particle":"","family":"Ishigaki","given":"Keiko","non-dropping-particle":"","parse-names":false,"suffix":""},{"dropping-particle":"","family":"Noguchi","given":"Satoru","non-dropping-particle":"","parse-names":false,"suffix":""},{"dropping-particle":"","family":"Nonaka","given":"Ikuya","non-dropping-particle":"","parse-names":false,"suffix":""},{"dropping-particle":"","family":"Osawa","given":"Makiko","non-dropping-particle":"","parse-names":false,"suffix":""},{"dropping-particle":"","family":"Nishino","given":"Ichizo","non-dropping-particle":"","parse-names":false,"suffix":""},{"dropping-particle":"","family":"Hayashi","given":"Yukiko K","non-dropping-particle":"","parse-names":false,"suffix":""}],"container-title":"Journal of the neurological sciences","id":"ITEM-21","issue":"1-2","issued":{"date-parts":[["2014"]]},"page":"94-98","title":"Congenital fiber type disproportion myopathy caused by LMNA mutations.","type":"article-journal","volume":"340"},"uris":["http://www.mendeley.com/documents/?uuid=a6c5cf0d-e981-436e-8387-f0ed4dd51253"]},{"id":"ITEM-22","itemData":{"DOI":"10.1111/cge.13560","ISSN":"1399-0004","abstract":"Congenital muscular dystrophies (CMDs) are clinically and genetically heterogeneous conditions. We launched a nationwide study to determine the frequency of CMD in the Chinese population and assess the status of diagnosis and disease management for CMD in China. Cases were chosen from databases in 34 tertiary academic hospitals from 29 first-level administrative divisions (provinces, municipalities, autonomous regions, and special administrative regions), and medical records were reviewed to confirm the diagnoses. The study included 409 patients, of those patients who consented to genetic testing (n = 340), mutations were identified in 286 of them. The most common forms identified were LAMA2-related CMD (36.4%), followed by COL6-related CMD (23.2%) and α-dystroglycanopathy (21.0%). The forms of CMD related to mutations in LMNA and SEPN1 were less frequent (12.5% and 2.4%, respectively). We also recorded a significant difference in the diagnostic capabilities and disease management of CMD, with this being relatively backward in research centers from less developed regions. We provide, for the first time, comprehensive epidemiologic information of CMD in a large cohort of Chinese people. To our knowledge, this is the largest sample size of its kind so far highlighting the prevalence of CMD in China. (© 2019 John Wiley &amp; Sons A/S. Published by John Wiley &amp; Sons Ltd.)","author":[{"dropping-particle":"","family":"Ge","given":"Lin","non-dropping-particle":"","parse-names":false,"suffix":""},{"dropping-particle":"","family":"Zhang","given":"Cheng","non-dropping-particle":"","parse-names":false,"suffix":""},{"dropping-particle":"","family":"Wang","given":"Zhaoxia","non-dropping-particle":"","parse-names":false,"suffix":""},{"dropping-particle":"","family":"Chan","given":"Sophelia H S","non-dropping-particle":"","parse-names":false,"suffix":""},{"dropping-particle":"","family":"Zhu","given":"Wenhua","non-dropping-particle":"","parse-names":false,"suffix":""},{"dropping-particle":"","family":"Han","given":"Chunxi","non-dropping-particle":"","parse-names":false,"suffix":""},{"dropping-particle":"","family":"Zhang","given":"Xiaoli","non-dropping-particle":"","parse-names":false,"suffix":""},{"dropping-particle":"","family":"Zheng","given":"Hong","non-dropping-particle":"","parse-names":false,"suffix":""},{"dropping-particle":"","family":"Wu","given":"Liwen","non-dropping-particle":"","parse-names":false,"suffix":""},{"dropping-particle":"","family":"Jin","given":"Bo","non-dropping-particle":"","parse-names":false,"suffix":""},{"dropping-particle":"","family":"Shan","given":"Jingli","non-dropping-particle":"","parse-names":false,"suffix":""},{"dropping-particle":"","family":"Mao","given":"Bing","non-dropping-particle":"","parse-names":false,"suffix":""},{"dropping-particle":"","family":"Zhong","given":"Jianmin","non-dropping-particle":"","parse-names":false,"suffix":""},{"dropping-particle":"","family":"Peng","given":"Xiaoyin","non-dropping-particle":"","parse-names":false,"suffix":""},{"dropping-particle":"","family":"Cheng","given":"Yaying","non-dropping-particle":"","parse-names":false,"suffix":""},{"dropping-particle":"","family":"Hu","given":"Jun","non-dropping-particle":"","parse-names":false,"suffix":""},{"dropping-particle":"","family":"Sun","given":"Yan","non-dropping-particle":"","parse-names":false,"suffix":""},{"dropping-particle":"","family":"Lu","given":"Junlan","non-dropping-particle":"","parse-names":false,"suffix":""},{"dropping-particle":"","family":"Hua","given":"Ying","non-dropping-particle":"","parse-names":false,"suffix":""},{"dropping-particle":"","family":"Zhu","given":"Sainan","non-dropping-particle":"","parse-names":false,"suffix":""},{"dropping-particle":"","family":"Wei","given":"Cuijie","non-dropping-particle":"","parse-names":false,"suffix":""},{"dropping-particle":"","family":"Wang","given":"Shuo","non-dropping-particle":"","parse-names":false,"suffix":""},{"dropping-particle":"","family":"Jiao","given":"Hui","non-dropping-particle":"","parse-names":false,"suffix":""},{"dropping-particle":"","family":"Yang","given":"Haipo","non-dropping-particle":"","parse-names":false,"suffix":""},{"dropping-particle":"","family":"Fu","given":"Xiaona","non-dropping-particle":"","parse-names":false,"suffix":""},{"dropping-particle":"","family":"Fan","given":"Yanbin","non-dropping-particle":"","parse-names":false,"suffix":""},{"dropping-particle":"","family":"Chang","given":"Xingzhi","non-dropping-particle":"","parse-names":false,"suffix":""},{"dropping-particle":"","family":"Wang","given":"Shuang","non-dropping-particle":"","parse-names":false,"suffix":""},{"dropping-particle":"","family":"Bao","given":"Xinhua","non-dropping-particle":"","parse-names":false,"suffix":""},{"dropping-particle":"","family":"Zhang","given":"Yuehua","non-dropping-particle":"","parse-names":false,"suffix":""},{"dropping-particle":"","family":"Wang","given":"Jingmin","non-dropping-particle":"","parse-names":false,"suffix":""},{"dropping-particle":"","family":"Wu","given":"Ye","non-dropping-particle":"","parse-names":false,"suffix":""},{"dropping-particle":"","family":"Jiang","given":"Yuwu","non-dropping-particle":"","parse-names":false,"suffix":""},{"dropping-particle":"","family":"Yuan","given":"Yun","non-dropping-particle":"","parse-names":false,"suffix":""},{"dropping-particle":"","family":"Rutkowski","given":"Anne","non-dropping-particle":"","parse-names":false,"suffix":""},{"dropping-particle":"","family":"Bönnemann","given":"Carsten G","non-dropping-particle":"","parse-names":false,"suffix":""},{"dropping-particle":"","family":"Wei","given":"Wei","non-dropping-particle":"","parse-names":false,"suffix":""},{"dropping-particle":"","family":"Wu","given":"Xiru","non-dropping-particle":"","parse-names":false,"suffix":""},{"dropping-particle":"","family":"Xiong","given":"Hui","non-dropping-particle":"","parse-names":false,"suffix":""}],"container-title":"Clinical genetics","id":"ITEM-22","issue":"3","issued":{"date-parts":[["2019"]]},"page":"207-215","title":"Congenital muscular dystrophies in China.","type":"article-journal","volume":"96"},"uris":["http://www.mendeley.com/documents/?uuid=4c506b55-eaad-442e-b4e6-adc396202a5c"]},{"id":"ITEM-23","itemData":{"DOI":"10.1016/j.jacep.2020.04.025","ISSN":"2405-5018","abstract":"Objectives: This study aimed to assess the frequency of (likely) pathogenic variants (LP/Pv) among dilated cardiomyopathy (DCM) ventricular tachycardia (VT) patients referred for CA and their impact on procedural outcome and long-term prognosis.; Background: The prevalence of genetic variants associated with monomorphic VT amo</w:instrText>
            </w:r>
            <w:r w:rsidR="00843E38">
              <w:rPr>
                <w:rFonts w:hint="eastAsia"/>
              </w:rPr>
              <w:instrText xml:space="preserve">ng DCM is unknown.; Methods: Ninety-eight consecutive patients (age 56 </w:instrText>
            </w:r>
            <w:r w:rsidR="00843E38">
              <w:rPr>
                <w:rFonts w:hint="eastAsia"/>
              </w:rPr>
              <w:instrText>±</w:instrText>
            </w:r>
            <w:r w:rsidR="00843E38">
              <w:rPr>
                <w:rFonts w:hint="eastAsia"/>
              </w:rPr>
              <w:instrText xml:space="preserve"> 15 years; 84% men, left ventricular ejection fraction [LVEF] 39 </w:instrText>
            </w:r>
            <w:r w:rsidR="00843E38">
              <w:rPr>
                <w:rFonts w:hint="eastAsia"/>
              </w:rPr>
              <w:instrText>±</w:instrText>
            </w:r>
            <w:r w:rsidR="00843E38">
              <w:rPr>
                <w:rFonts w:hint="eastAsia"/>
              </w:rPr>
              <w:instrText xml:space="preserve"> 12%) referred for DCM-VT ablation were included. Patients underwent electroanatomical mapping and testing of </w:instrText>
            </w:r>
            <w:r w:rsidR="00843E38">
              <w:rPr>
                <w:rFonts w:hint="eastAsia"/>
              </w:rPr>
              <w:instrText>≥</w:instrText>
            </w:r>
            <w:r w:rsidR="00843E38">
              <w:rPr>
                <w:rFonts w:hint="eastAsia"/>
              </w:rPr>
              <w:instrText>55 car</w:instrText>
            </w:r>
            <w:r w:rsidR="00843E38">
              <w:instrText>diomyopathy-related genes. Mapping data were analyzed for low-voltage areas and abnormal potentials. LP/Pv-positive (LP/Pv+) patients were compared with LP/Pv-negative (LP/Pv-) patients and followed for VT recurrence and mortality.; Results: In 37 (38%) patients, LP/Pv were identified, most frequently LMNA (n = 11 of 37, [30%]), TTN (n = 6 of 37, [16%]), PLN (n = 6 of 37, [16%]), SCN5A (n = 3 of 37, [8%]), RBM20 (n = 2 of 37, [5%]) and DSP (n = 2 of 37, [5%]). LP/Pv+ carriers had lower LVEF (35 ± 13% vs. LP/Pv-: 42 ± 11%; p = 0.005) and were less often men (n = 27 [73%] vs. n = 55 [90%]; p = 0.03). After a median follow-up of 2.4 years (interquartile range: 0.9 to 4.4 years), 63 (64%) patients had VT recurrence (LP/Pv+: 30 of 37 [81%] vs. LP/Pv-: 33 of 61 [54%]; p = 0.007). Twenty-eight patients (29%) died (LP/Pv+: 19 of 37 [51%] vs. LP/Pv-: 9 of 61 [15%]; p &lt; 0.001). The cumulative 2-year VT-free survival was 41% in the total cohort (LP/Pv+: 16% vs. LP/Pv-: 54%; p = 0.001). The presence of LP/Pv (hazard ratio: 1.9; 95% confidence interval: 1.1 to 3.4; p = 0.02) and unipolar low-voltage area size/cm 2 increase (hazard ratio: 2.5; 95% confidence interval: 1.6 to 4.0; p &lt; 0.001) were associated with a decreased 2-year VT-free survival.; Conclusions: In patients with DCM-VT, a genetic cause is frequently identified. LP/Pv+ patients have a lower LVEF and more extensive VT substrates, which, in combination with disease progression, may contribute to the poor prognosis. Genetic testing in patients with DCM-VT should therefore be recommended. (Copyright © 2020 American College of Cardiology Foundation. Published by Elsevier Inc. All rights reserved.)","author":[{"dropping-particle":"","family":"Ebert","given":"Micaela","non-dropping-particle":"","parse-names":false,"suffix":""},{"dropping-particle":"","family":"Wijnmaalen","given":"Adrianus P","non-dropping-particle":"","parse-names":false,"suffix":""},{"dropping-particle":"","family":"Riva","given":"Marta","non-dropping-particle":"de","parse-names":false,"suffix":""},{"dropping-particle":"","family":"Trines","given":"Serge A","non-dropping-particle":"","parse-names":false,"suffix":""},{"dropping-particle":"","family":"Androulakis","given":"Alexander F A","non-dropping-particle":"","parse-names":false,"suffix":""},{"dropping-particle":"","family":"Glashan","given":"Claire A","non-dropping-particle":"","parse-names":false,"suffix":""},{"dropping-particle":"","family":"Schalij","given":"Martin J","non-dropping-particle":"","parse-names":false,"suffix":""},{"dropping-particle":"","family":"Tintelen","given":"J","non-dropping-particle":"van","parse-names":false,"suffix":""},{"dropping-particle":"","family":"Jongbloed","given":"Jan D H","non-dropping-particle":"","parse-names":false,"suffix":""},{"dropping-particle":"","family":"Zeppenfeld","given":"Katja","non-dropping-particle":"","parse-names":false,"suffix":""}],"container-title":"JACC. Clinical electrophysiology","id":"ITEM-23","issue":"9","issued":{"date-parts":[["2020"]]},"page":"1103-1114","title":"Prevalence and Prognostic Impact of Pathogenic Variants in Patients With Dilated Cardiomyopathy Referred for Ventricular Tachycardia Ablation.","type":"article-journal","volume":"6"},"uris":["http://www.mendeley.com/documents/?uuid=68a3c860-b617-4882-9d44-3efacac571ee"]}],"mendeley":{"formattedCitation":"[44,48–69]","plainTextFormattedCitation":"[44,48–69]","previouslyFormattedCitation":"[47,48,57–66,49,67–69,50–56]"},"properties":{"noteIndex":0},"schema":"https://github.com/citation-style-language/schema/raw/master/csl-citation.json"}</w:instrText>
            </w:r>
            <w:r w:rsidRPr="005A1AC5">
              <w:fldChar w:fldCharType="separate"/>
            </w:r>
            <w:r w:rsidR="00843E38" w:rsidRPr="00843E38">
              <w:rPr>
                <w:noProof/>
              </w:rPr>
              <w:t>[44,48–69]</w:t>
            </w:r>
            <w:r w:rsidRPr="005A1AC5">
              <w:fldChar w:fldCharType="end"/>
            </w:r>
          </w:p>
        </w:tc>
      </w:tr>
      <w:tr w:rsidR="001E66EE" w:rsidRPr="005A1AC5" w14:paraId="26BEB9E6" w14:textId="77777777" w:rsidTr="00EF7EB9">
        <w:trPr>
          <w:trHeight w:val="618"/>
        </w:trPr>
        <w:tc>
          <w:tcPr>
            <w:tcW w:w="1418" w:type="dxa"/>
          </w:tcPr>
          <w:p w14:paraId="3FA463BA" w14:textId="77777777" w:rsidR="001E66EE" w:rsidRPr="005A1AC5" w:rsidRDefault="001E66EE" w:rsidP="00EF7EB9">
            <w:pPr>
              <w:spacing w:after="160" w:line="259" w:lineRule="auto"/>
            </w:pPr>
            <w:r w:rsidRPr="005A1AC5">
              <w:t>Arg527Pro</w:t>
            </w:r>
          </w:p>
        </w:tc>
        <w:tc>
          <w:tcPr>
            <w:tcW w:w="1417" w:type="dxa"/>
          </w:tcPr>
          <w:p w14:paraId="2092B6A2" w14:textId="77777777" w:rsidR="001E66EE" w:rsidRPr="005A1AC5" w:rsidRDefault="001E66EE" w:rsidP="00EF7EB9">
            <w:pPr>
              <w:spacing w:after="160" w:line="259" w:lineRule="auto"/>
            </w:pPr>
            <w:r w:rsidRPr="005A1AC5">
              <w:t>1580G&gt;C</w:t>
            </w:r>
          </w:p>
        </w:tc>
        <w:tc>
          <w:tcPr>
            <w:tcW w:w="1095" w:type="dxa"/>
          </w:tcPr>
          <w:p w14:paraId="377520B8" w14:textId="77777777" w:rsidR="001E66EE" w:rsidRPr="005A1AC5" w:rsidRDefault="001E66EE" w:rsidP="00EF7EB9">
            <w:pPr>
              <w:spacing w:after="160" w:line="259" w:lineRule="auto"/>
            </w:pPr>
            <w:r w:rsidRPr="005A1AC5">
              <w:t>EDMD, LGMD, L-CMD</w:t>
            </w:r>
          </w:p>
        </w:tc>
        <w:tc>
          <w:tcPr>
            <w:tcW w:w="851" w:type="dxa"/>
          </w:tcPr>
          <w:p w14:paraId="237511B4" w14:textId="77777777" w:rsidR="001E66EE" w:rsidRPr="005A1AC5" w:rsidRDefault="001E66EE" w:rsidP="00EF7EB9">
            <w:pPr>
              <w:spacing w:after="160" w:line="259" w:lineRule="auto"/>
            </w:pPr>
            <w:r w:rsidRPr="005A1AC5">
              <w:t>DCM</w:t>
            </w:r>
          </w:p>
        </w:tc>
        <w:tc>
          <w:tcPr>
            <w:tcW w:w="1134" w:type="dxa"/>
          </w:tcPr>
          <w:p w14:paraId="5D34FE94" w14:textId="77777777" w:rsidR="001E66EE" w:rsidRPr="005A1AC5" w:rsidRDefault="001E66EE" w:rsidP="00EF7EB9">
            <w:pPr>
              <w:spacing w:after="160" w:line="259" w:lineRule="auto"/>
            </w:pPr>
            <w:r w:rsidRPr="005A1AC5">
              <w:t>FPLD</w:t>
            </w:r>
          </w:p>
        </w:tc>
        <w:tc>
          <w:tcPr>
            <w:tcW w:w="992" w:type="dxa"/>
          </w:tcPr>
          <w:p w14:paraId="55176BF3" w14:textId="77777777" w:rsidR="001E66EE" w:rsidRPr="005A1AC5" w:rsidRDefault="001E66EE" w:rsidP="00EF7EB9">
            <w:pPr>
              <w:spacing w:after="160" w:line="259" w:lineRule="auto"/>
            </w:pPr>
          </w:p>
        </w:tc>
        <w:tc>
          <w:tcPr>
            <w:tcW w:w="1134" w:type="dxa"/>
          </w:tcPr>
          <w:p w14:paraId="7E95309A" w14:textId="77777777" w:rsidR="001E66EE" w:rsidRPr="005A1AC5" w:rsidRDefault="001E66EE" w:rsidP="00EF7EB9">
            <w:pPr>
              <w:spacing w:after="160" w:line="259" w:lineRule="auto"/>
            </w:pPr>
            <w:r w:rsidRPr="005A1AC5">
              <w:t>21</w:t>
            </w:r>
          </w:p>
        </w:tc>
        <w:tc>
          <w:tcPr>
            <w:tcW w:w="1173" w:type="dxa"/>
          </w:tcPr>
          <w:p w14:paraId="3C76704B" w14:textId="30722097" w:rsidR="001E66EE" w:rsidRPr="005A1AC5" w:rsidRDefault="001E66EE" w:rsidP="00EF7EB9">
            <w:pPr>
              <w:spacing w:after="160" w:line="259" w:lineRule="auto"/>
            </w:pPr>
            <w:r w:rsidRPr="005A1AC5">
              <w:fldChar w:fldCharType="begin" w:fldLock="1"/>
            </w:r>
            <w:r w:rsidR="00843E38">
              <w:instrText>ADDIN CSL_CITATION {"citationItems":[{"id":"ITEM-1","itemData":{"DOI":"10.1186/s13023-019-1245-8","ISSN":"1750-1172","abstract":"Objective: To investigate differences in cardiac manifestations of patients affected by laminopathy, according to the presence or absence of neuromuscular involvement at presentation.; Methods: We prospectively analyzed 40 consecutive patients with a diagnosis of laminopathy followed at a single centre between 1998 and 2017. Additionally, reports of clinical evaluations and tests prior to referral at our centre were retrospectively evaluated.; Results: Clinical onset was cardiac in 26 cases and neuromuscular in 14. Patients with neuromuscular presentation experienced first symptoms earlier in life (11 vs 39 years; p &lt; 0.0001) and developed atrial fibrillation/flutter (AF) and required pacemaker implantation at a younger age (28 vs 41 years [p = 0.013] and 30 vs 44 years [p = 0.086] respectively), despite a similar overall prevalence of AF (57% vs 65%; p = 0.735) and atrio-ventricular (A-V) block (50% vs 65%; p = 0.500). Those with a neuromuscular presentation developed a cardiomyopathy less frequently (43% vs 73%; p = 0.089) and had a lower rate of sustained ventricular tachyarrhythmias (7% vs 23%; p = 0.387). In patients with neuromuscular onset rhythm disturbances occurred usually before evidence of cardiomyopathy. Despite these differences, the need for heart transplantation and median age at intervention were similar in the two groups (29% vs 23% [p = 0.717] and 43 vs 46 years [p = 0.593] respectively).; Conclusions: In patients with laminopathy, the type of disease onset was a marker for a different natural history. Specifically, patients with neuromuscular presentation had an earlier cardiac involvement, characterized by a linear and progressive evolution from rhythm disorders (AF and/or A-V block) to cardiomyopathy.","author":[{"dropping-particle":"","family":"Ditaranto","given":"Raffaello","non-dropping-particle":"","parse-names":false,"suffix":""},{"dropping-particle":"","family":"Boriani","given":"Giuseppe","non-dropping-particle":"","parse-names":false,"suffix":""},{"dropping-particle":"","family":"Biffi","given":"Mauro","non-dropping-particle":"","parse-names":false,"suffix":""},{"dropping-particle":"","family":"Lorenzini","given":"Massimiliano","non-dropping-particle":"","parse-names":false,"suffix":""},{"dropping-particle":"","family":"Graziosi","given":"Maddalena","non-dropping-particle":"","parse-names":false,"suffix":""},{"dropping-particle":"","family":"Ziacchi","given":"Matteo","non-dropping-particle":"","parse-names":false,"suffix":""},{"dropping-particle":"","family":"Pasquale","given":"Ferdinando","non-dropping-particle":"","parse-names":false,"suffix":""},{"dropping-particle":"","family":"Vitale","given":"Giovanni","non-dropping-particle":"","parse-names":false,"suffix":""},{"dropping-particle":"","family":"Berardini","given":"Alessandra","non-dropping-particle":"","parse-names":false,"suffix":""},{"dropping-particle":"","family":"Rinaldi","given":"Rita","non-dropping-particle":"","parse-names":false,"suffix":""},{"dropping-particle":"","family":"Lattanzi","given":"Giovanna","non-dropping-particle":"","parse-names":false,"suffix":""},{"dropping-particle":"","family":"Potena","given":"Luciano","non-dropping-particle":"","parse-names":false,"suffix":""},{"dropping-particle":"","family":"Martin Suarez","given":"Sofia","non-dropping-particle":"","parse-names":false,"suffix":""},{"dropping-particle":"","family":"Bacchi Reggiani","given":"Maria Letizia","non-dropping-particle":"","parse-names":false,"suffix":""},{"dropping-particle":"","family":"Rapezzi","given":"Claudio","non-dropping-particle":"","parse-names":false,"suffix":""},{"dropping-particle":"","family":"Biagini","given":"Elena","non-dropping-particle":"","parse-names":false,"suffix":""}],"container-title":"Orphanet journal of rare diseases","id":"ITEM-1","issue":"1","issued":{"date-parts":[["2019"]]},"page":"263","title":"Differences in cardiac phenotype and natural history of laminopathies with and without neuromuscular onset.","type":"article-journal","volume":"14"},"uris":["http://www.mendeley.com/documents/?uuid=856aeb58-5125-48c7-95a7-46e6268f8548"]},{"id":"ITEM-2","itemData":{"DOI":"10.1002/mus.26700","ISSN":"1097-4598","abstract":"Introduction: The identification of LMNA-related muscular dystrophy is important because it poses life-threatening cardiac complications. However, diagnosis of LMNA-related muscular dystrophy based on clinical features is challenging.; Methods: We reviewed the clinical phenotypes of 14 children with LMNA variants, focusing on the cardiac function and genotypes.; Results: Most patients presented with motor developmental delay or gait abnormalities. Eight (57%) patients had prominent neck extensor weakness or contractures. All patients showed ankle contractures at an early stage. Regular cardiac surveillance allowed for the detection of dysrhythmias in 57% of patients at a mean age of 14 years (range, 5-26). All patients had missense variants; however, there were no clear phenotype-genotype correlations.; Discussion: Early diagnosis of LMNA-related muscular dystrophy provides an opportunity for cardiac surveillance, potentially leading to the prevention of cardiac mortality in children. (© 2019 Wiley Periodicals, Inc.)","author":[{"dropping-particle":"","family":"Choi","given":"Sun Ah","non-dropping-particle":"","parse-names":false,"suffix":""},{"dropping-particle":"","family":"Cho","given":"Anna","non-dropping-particle":"","parse-names":false,"suffix":""},{"dropping-particle":"","family":"Kim","given":"Soo Yeon","non-dropping-particle":"","parse-names":false,"suffix":""},{"dropping-particle":"","family":"Kim","given":"Woo Joong","non-dropping-particle":"","parse-names":false,"suffix":""},{"dropping-particle":"","family":"Shim","given":"Young Kyu","non-dropping-particle":"","parse-names":false,"suffix":""},{"dropping-particle":"","family":"Lee","given":"Jin Sook","non-dropping-particle":"","parse-names":false,"suffix":""},{"dropping-particle":"","family":"Jang","given":"Se Song","non-dropping-particle":"","parse-names":false,"suffix":""},{"dropping-particle":"","family":"Lim","given":"Byung Chan","non-dropping-particle":"","parse-names":false,"suffix":""},{"dropping-particle":"","family":"Kim","given":"Hunmin","non-dropping-particle":"","parse-names":false,"suffix":""},{"dropping-particle":"","family":"Hwang","given":"Hee","non-dropping-particle":"","parse-names":false,"suffix":""},{"dropping-particle":"","family":"Choi","given":"Ji Eun","non-dropping-particle":"","parse-names":false,"suffix":""},{"dropping-particle":"","family":"Kim","given":"Ki Joong","non-dropping-particle":"","parse-names":false,"suffix":""},{"dropping-particle":"","family":"Kim","given":"Man Jin","non-dropping-particle":"","parse-names":false,"suffix":""},{"dropping-particle":"","family":"Seong","given":"Moon-Woo","non-dropping-particle":"","parse-names":false,"suffix":""},{"dropping-particle":"","family":"Chae","given":"Jong-Hee","non-dropping-particle":"","parse-names":false,"suffix":""}],"container-title":"Muscle &amp; nerve","id":"ITEM-2","issue":"6","issued":{"date-parts":[["2019"]]},"page":"668-672","title":"Importance of early diagnosis in LMNA-related muscular dystrophy for cardiac surveillance.","type":"article-journal","volume":"60"},"uris":["http://www.mendeley.com/documents/?uuid=92a226c3-5876-41ae-bfbb-5330d33395a2"]},{"id":"ITEM-3","itemData":{"ISSN":"1128-2460","abstract":"Mutations in the genes for nuclear envelope proteins of emerin (EMD) and lamin A/C (LMNA) are known to cause Emery-Dreifuss muscular dystrophy (EDMD) and limb girdle muscular dystrophy (LGMD). We compared clinical features of the muscular dystrophy patients associated with mutations in EMD (emerinopathy) and LMNA (laminopathy) in our series. The incidence of laminopathy was slightly higher than that of emerinopathy. The age at onset of the disease in emerinopathy was variable and significantly older than in laminopathy. The initial symptom of emerinopathy was also variable, whereas nearly all laminopathy patients presented initially with muscle weakness. Calf hypertrophy was often seen in laminopathy, underscoring the importance of mutation screening for LMNA in childhood muscular dystrophy with calf hypertrophy. The clinical spectrum of emerinopathy is actually wider than previously known including EDMD, LGMD, conduction defects with minimal muscle/joint involvement, and their intermittent forms. Pathologically, no marked difference was observed between emerinopathy and laminopathy. Increased number and variation in size of myonuclei were detected. More precise observations using electron microscopy is warranted to characterize the detailed nuclear changes in nuclear envelopathy.","author":[{"dropping-particle":"","family":"Astejada","given":"M N","non-dropping-particle":"","parse-names":false,"suffix":""},{"dropping-particle":"","family":"Goto","given":"K","non-dropping-particle":"","parse-names":false,"suffix":""},{"dropping-particle":"","family":"Nagano","given":"A","non-dropping-particle":"","parse-names":false,"suffix":""},{"dropping-particle":"","family":"Ura","given":"S","non-dropping-particle":"","parse-names":false,"suffix":""},{"dropping-particle":"","family":"Noguchi","given":"S","non-dropping-particle":"","parse-names":false,"suffix":""},{"dropping-particle":"","family":"Nonaka","given":"I","non-dropping-particle":"","parse-names":false,"suffix":""},{"dropping-particle":"","family":"Nishino","given":"I","non-dropping-particle":"","parse-names":false,"suffix":""},{"dropping-particle":"","family":"Hayashi","given":"Y K","non-dropping-particle":"","parse-names":false,"suffix":""}],"container-title":"Acta myologica : myopathies and cardiomyopathies : official journal of the Mediterranean Society of Myology","id":"ITEM-3","issue":"3","issued":{"date-parts":[["2007"]]},"page":"159-164","title":"Emerinopathy and laminopathy clinical, pathological and molecular features of muscular dystrophy with nuclear envelopathy in Japan.","type":"article-journal","volume":"26"},"uris":["http://www.mendeley.com/documents/?uuid=148e2157-a229-4924-bdd1-e17fbe72f3bf"]},{"id":"ITEM-4","itemData":{"DOI":"10.1086/302869","ISSN":"0002-9297","abstract":"Emery-Dreifuss muscular dystrophy (EMD) is a condition characterized by the clinical triad of early-onset contractures, progressive weakness in humeroperoneal muscles, and cardiomyopathy with conduction block. The disease was described for the first time as an X-linked muscular dystrophy, but autosomal dominant and autosomal recessive forms were reported. The genes for X-linked EMD and autosomal dominant EMD (AD-EMD) were identified. We report here that heterozygote mutations in LMNA, the gene for AD-EMD, may cause diverse phenotypes ranging from typical EMD to no phenotypic effect. Our results show that LMNA mutations are also responsible for the recessive form of the disease. Our results give further support to the notion that different genetic forms of EMD have a common pathophysiological background. The distribution of the mutations in AD-EMD patients (in the tail and in the 2A rod domain) suggests that unique interactions between lamin A/C and other nuclear components exist that have an important role in cardiac and skeletal muscle function.","author":[{"dropping-particle":"","family":"Raffaele Di Barletta","given":"M","non-dropping-particle":"","parse-names":false,"suffix":""},{"dropping-particle":"","family":"Ricci","given":"E","non-dropping-particle":"","parse-names":false,"suffix":""},{"dropping-particle":"","family":"Galluzzi","given":"G","non-dropping-particle":"","parse-names":false,"suffix":""},{"dropping-particle":"","family":"Tonali","given":"P","non-dropping-particle":"","parse-names":false,"suffix":""},{"dropping-particle":"","family":"Mora","given":"M","non-dropping-particle":"","parse-names":false,"suffix":""},{"dropping-particle":"","family":"Morandi","given":"L","non-dropping-particle":"","parse-names":false,"suffix":""},{"dropping-particle":"","family":"Romorini","given":"A","non-dropping-particle":"","parse-names":false,"suffix":""},{"dropping-particle":"","family":"Voit","given":"T","non-dropping-particle":"","parse-names":false,"suffix":""},{"dropping-particle":"","family":"Orstavik","given":"K H","non-dropping-particle":"","parse-names":false,"suffix":""},{"dropping-particle":"","family":"Merlini","given":"L","non-dropping-particle":"","parse-names":false,"suffix":""},{"dropping-particle":"","family":"Trevisan","given":"C","non-dropping-particle":"","parse-names":false,"suffix":""},{"dropping-particle":"","family":"Biancalana","given":"V","non-dropping-particle":"","parse-names":false,"suffix":""},{"dropping-particle":"","family":"Housmanowa-Petrusewicz","given":"I","non-dropping-particle":"","parse-names":false,"suffix":""},{"dropping-particle":"","family":"Bione","given":"S","non-dropping-particle":"","parse-names":false,"suffix":""},{"dropping-particle":"","family":"Ricotti","given":"R","non-dropping-particle":"","parse-names":false,"suffix":""},{"dropping-particle":"","family":"Schwartz","given":"K","non-dropping-particle":"","parse-names":false,"suffix":""},{"dropping-particle":"","family":"Bonne","given":"G","non-dropping-particle":"","parse-names":false,"suffix":""},{"dropping-particle":"","family":"Toniolo","given":"D","non-dropping-particle":"","parse-names":false,"suffix":""}],"container-title":"American journal of human genetics","id":"ITEM-4","issue":"4","issued":{"date-parts":[["2000"]]},"page":"1407-1412","title":"Different mutations in the LMNA gene cause autosomal dominant and autosomal recessive Emery-Dreifuss muscular dystrophy.","type":"article-journal","volume":"66"},"uris":["http://www.mendeley.com/documents/?uuid=7a33f657-2221-4a8d-973e-fea94fa1c530"]},{"id":"ITEM-5","itemData":{"DOI":"10.1111/cge.13560","ISSN":"1399-0004","abstract":"Congenital muscular dystrophies (CMDs) are clinically and genetically heterogeneous conditions. We launched a nationwide study to determine the frequency of CMD in the Chinese population and assess the status of diagnosis and disease management for CMD in China. Cases were chosen from databases in 34 tertiary academic hospitals from 29 first-level administrative divisions (provinces, municipalities, autonomous regions, and special administrative regions), and medical records were reviewed to confirm the diagnoses. The study included 409 patients, of those patients who consented to genetic testing (n = 340), mutations were identified in 286 of them. The most common forms identified were LAMA2-related CMD (36.4%), followed by COL6-related CMD (23.2%) and α-dystroglycanopathy (21.0%). The forms of CMD related to mutations in LMNA and SEPN1 were less frequent (12.5% and 2.4%, respectively). We also recorded a significant difference in the diagnostic capabilities and disease management of CMD, with this being relatively backward in research centers from less developed regions. We provide, for the first time, comprehensive epidemiologic information of CMD in a large cohort of Chinese people. To our knowledge, this is the largest sample size of its kind so far highlighting the prevalence of CMD in China. (© 2019 John Wiley &amp; Sons A/S. Published by John Wiley &amp; Sons Ltd.)","author":[{"dropping-particle":"","family":"Ge","given":"Lin","non-dropping-particle":"","parse-names":false,"suffix":""},{"dropping-particle":"","family":"Zhang","given":"Cheng","non-dropping-particle":"","parse-names":false,"suffix":""},{"dropping-particle":"","family":"Wang","given":"Zhaoxia","non-dropping-particle":"","parse-names":false,"suffix":""},{"dropping-particle":"","family":"Chan","given":"Sophelia H S","non-dropping-particle":"","parse-names":false,"suffix":""},{"dropping-particle":"","family":"Zhu","given":"Wenhua","non-dropping-particle":"","parse-names":false,"suffix":""},{"dropping-particle":"","family":"Han","given":"Chunxi","non-dropping-particle":"","parse-names":false,"suffix":""},{"dropping-particle":"","family":"Zhang","given":"Xiaoli","non-dropping-particle":"","parse-names":false,"suffix":""},{"dropping-particle":"","family":"Zheng","given":"Hong","non-dropping-particle":"","parse-names":false,"suffix":""},{"dropping-particle":"","family":"Wu","given":"Liwen","non-dropping-particle":"","parse-names":false,"suffix":""},{"dropping-particle":"","family":"Jin","given":"Bo","non-dropping-particle":"","parse-names":false,"suffix":""},{"dropping-particle":"","family":"Shan","given":"Jingli","non-dropping-particle":"","parse-names":false,"suffix":""},{"dropping-particle":"","family":"Mao","given":"Bing","non-dropping-particle":"","parse-names":false,"suffix":""},{"dropping-particle":"","family":"Zhong","given":"Jianmin","non-dropping-particle":"","parse-names":false,"suffix":""},{"dropping-particle":"","family":"Peng","given":"Xiaoyin","non-dropping-particle":"","parse-names":false,"suffix":""},{"dropping-particle":"","family":"Cheng","given":"Yaying","non-dropping-particle":"","parse-names":false,"suffix":""},{"dropping-particle":"","family":"Hu","given":"Jun","non-dropping-particle":"","parse-names":false,"suffix":""},{"dropping-particle":"","family":"Sun","given":"Yan","non-dropping-particle":"","parse-names":false,"suffix":""},{"dropping-particle":"","family":"Lu","given":"Junlan","non-dropping-particle":"","parse-names":false,"suffix":""},{"dropping-particle":"","family":"Hua","given":"Ying","non-dropping-particle":"","parse-names":false,"suffix":""},{"dropping-particle":"","family":"Zhu","given":"Sainan","non-dropping-particle":"","parse-names":false,"suffix":""},{"dropping-particle":"","family":"Wei","given":"Cuijie","non-dropping-particle":"","parse-names":false,"suffix":""},{"dropping-particle":"","family":"Wang","given":"Shuo","non-dropping-particle":"","parse-names":false,"suffix":""},{"dropping-particle":"","family":"Jiao","given":"Hui","non-dropping-particle":"","parse-names":false,"suffix":""},{"dropping-particle":"","family":"Yang","given":"Haipo","non-dropping-particle":"","parse-names":false,"suffix":""},{"dropping-particle":"","family":"Fu","given":"Xiaona","non-dropping-particle":"","parse-names":false,"suffix":""},{"dropping-particle":"","family":"Fan","given":"Yanbin","non-dropping-particle":"","parse-names":false,"suffix":""},{"dropping-particle":"","family":"Chang","given":"Xingzhi","non-dropping-particle":"","parse-names":false,"suffix":""},{"dropping-particle":"","family":"Wang","given":"Shuang","non-dropping-particle":"","parse-names":false,"suffix":""},{"dropping-particle":"","family":"Bao","given":"Xinhua","non-dropping-particle":"","parse-names":false,"suffix":""},{"dropping-particle":"","family":"Zhang","given":"Yuehua","non-dropping-particle":"","parse-names":false,"suffix":""},{"dropping-particle":"","family":"Wang","given":"Jingmin","non-dropping-particle":"","parse-names":false,"suffix":""},{"dropping-particle":"","family":"Wu","given":"Ye","non-dropping-particle":"","parse-names":false,"suffix":""},{"dropping-particle":"","family":"Jiang","given":"Yuwu","non-dropping-particle":"","parse-names":false,"suffix":""},{"dropping-particle":"","family":"Yuan","given":"Yun","non-dropping-particle":"","parse-names":false,"suffix":""},{"dropping-particle":"","family":"Rutkowski","given":"Anne","non-dropping-particle":"","parse-names":false,"suffix":""},{"dropping-particle":"","family":"Bönnemann","given":"Carsten G","non-dropping-particle":"","parse-names":false,"suffix":""},{"dropping-particle":"","family":"Wei","given":"Wei","non-dropping-particle":"","parse-names":false,"suffix":""},{"dropping-particle":"","family":"Wu","given":"Xiru","non-dropping-particle":"","parse-names":false,"suffix":""},{"dropping-particle":"","family":"Xiong","given":"Hui","non-dropping-particle":"","parse-names":false,"suffix":""}],"container-title":"Clinical genetics","id":"ITEM-5","issue":"3","issued":{"date-parts":[["2019"]]},"page":"207-215","title":"Congenital muscular dystrophies in China.","type":"article-journal","volume":"96"},"uris":["http://www.mendeley.com/documents/?uuid=4c506b55-eaad-442e-b4e6-adc396202a5c"]},{"id":"ITEM-6","itemData":{"DOI":"10.1002/1531-8249(200008)48:2&lt;170::AID-ANA6&gt;3.0.CO;2-J","ISSN":"0364-5134","author":[{"dropping-particle":"","family":"Bonne","given":"G.","non-dropping-particle":"","parse-names":false,"suffix":""},{"dropping-particle":"","family":"Mercuri","given":"E.","non-dropping-particle":"","parse-names":false,"suffix":""},{"dropping-particle":"","family":"Muchir","given":"A.","non-dropping-particle":"","parse-names":false,"suffix":""},{"dropping-particle":"","family":"Urtizberea","given":"A.","non-dropping-particle":"","parse-names":false,"suffix":""},{"dropping-particle":"","family":"Bécane","given":"H. M.","non-dropping-particle":"","parse-names":false,"suffix":""},{"dropping-particle":"","family":"Recan","given":"D.","non-dropping-particle":"","parse-names":false,"suffix":""},{"dropping-particle":"","family":"Merlini","given":"L.","non-dropping-particle":"","parse-names":false,"suffix":""},{"dropping-particle":"","family":"Wehnert","given":"M.","non-dropping-particle":"","parse-names":false,"suffix":""},{"dropping-particle":"","family":"Boor","given":"R.","non-dropping-particle":"","parse-names":false,"suffix":""},{"dropping-particle":"","family":"Reuner","given":"U.","non-dropping-particle":"","parse-names":false,"suffix":""},{"dropping-particle":"","family":"Vorgerd","given":"M.","non-dropping-particle":"","parse-names":false,"suffix":""},{"dropping-particle":"","family":"Wicklein","given":"E. M.","non-dropping-particle":"","parse-names":false,"suffix":""},{"dropping-particle":"","family":"Eymard","given":"B.","non-dropping-particle":"","parse-names":false,"suffix":""},{"dropping-particle":"","family":"Duboc","given":"D.","non-dropping-particle":"","parse-names":false,"suffix":""},{"dropping-particle":"","family":"Penisson-Besnier","given":"I.","non-dropping-particle":"","parse-names":false,"suffix":""},{"dropping-particle":"","family":"Cuisset","given":"J. M.","non-dropping-particle":"","parse-names":false,"suffix":""},{"dropping-particle":"","family":"Ferrer","given":"X.","non-dropping-particle":"","parse-names":false,"suffix":""},{"dropping-particle":"","family":"Desguerre","given":"I.","non-dropping-particle":"","parse-names":false,"suffix":""},{"dropping-particle":"","family":"Lacombe","given":"D.","non-dropping-particle":"","parse-names":false,"suffix":""},{"dropping-particle":"","family":"Bushby","given":"K.","non-dropping-particle":"","parse-names":false,"suffix":""},{"dropping-particle":"","family":"Pollitt","given":"C.","non-dropping-particle":"","parse-names":false,"suffix":""},{"dropping-particle":"","family":"Toniolo","given":"D.","non-dropping-particle":"","parse-names":false,"suffix":""},{"dropping-particle":"","family":"Fardeau","given":"M.","non-dropping-particle":"","parse-names":false,"suffix":""},{"dropping-particle":"","family":"Schwartz","given":"K.","non-dropping-particle":"","parse-names":false,"suffix":""},{"dropping-particle":"","family":"Muntoni","given":"F.","non-dropping-particle":"","parse-names":false,"suffix":""}],"container-title":"Annals of Neurology","id":"ITEM-6","issue":"2","issued":{"date-parts":[["2000","8","1"]]},"page":"170-180","publisher":"John Wiley &amp; Sons, Ltd","title":"Clinical and molecular genetic spectrum of autosomal dominant Emery-Dreifuss muscular dystrophy due to mutations of the lamin A/C gene","type":"article-journal","volume":"48"},"uris":["http://www.mendeley.com/documents/?uuid=cb1fa76b-c474-334c-bd72-fb724f830dae"]},{"id":"ITEM-7","itemData":{"DOI":"10.1002/mus.20122","ISSN":"0148-639X","abstract":"Mutations in LMNA, the gene that encodes nuclear lamins A and C, cause up to eight different diseases collectively referred to as \"laminopathies.\" These diseases affect striated muscle, adipose tissue, peripheral nerve, and bone, or cause features of premature aging. We investigated the consequences of LMNA mutations on nuclear architecture in skin fibroblasts from 13 patients with different laminopathies. Western-blotting showed that none of the mutations examined led to a decrease in cellular levels of lamin A or C. Regardless of the disease, we observed honeycomb nuclear structures and nuclear envelope blebs in cells examined by immunofluorescence microscopy. Concentrated foci of lamin A/C in the nucleoplasm were also observed. Only mutations in the head and tail domains of lamins A and C significantly altered the nuclear architecture of patient fibroblasts. These results confirm that mutations in lamins A and C may lead to a weakening of a structural support network in the nuclear envelope in fibroblasts and that nuclear architecture changes depend upon the location of the mutation in different domains of lamin A/C.","author":[{"dropping-particle":"","family":"Muchir","given":"A","non-dropping-particle":"","parse-names":false,"suffix":""},{"dropping-particle":"","family":"Medioni","given":"J","non-dropping-particle":"","parse-names":false,"suffix":""},{"dropping-particle":"","family":"Laluc","given":"M","non-dropping-particle":"","parse-names":false,"suffix":""},{"dropping-particle":"","family":"Massart","given":"C","non-dropping-particle":"","parse-names":false,"suffix":""},{"dropping-particle":"","family":"Arimura","given":"T","non-dropping-particle":"","parse-names":false,"suffix":""},{"dropping-particle":"","family":"Kooi","given":"A J","non-dropping-particle":"van der","parse-names":false,"suffix":""},{"dropping-particle":"","family":"Desguerre","given":"I","non-dropping-particle":"","parse-names":false,"suffix":""},{"dropping-particle":"","family":"Mayer","given":"M","non-dropping-particle":"","parse-names":false,"suffix":""},{"dropping-particle":"","family":"Ferrer","given":"X","non-dropping-particle":"","parse-names":false,"suffix":""},{"dropping-particle":"","family":"Briault","given":"S","non-dropping-particle":"","parse-names":false,"suffix":""},{"dropping-particle":"","family":"Hirano","given":"M","non-dropping-particle":"","parse-names":false,"suffix":""},{"dropping-particle":"","family":"Worman","given":"H J","non-dropping-particle":"","parse-names":false,"suffix":""},{"dropping-particle":"","family":"Mallet","given":"A","non-dropping-particle":"","parse-names":false,"suffix":""},{"dropping-particle":"","family":"Wehnert","given":"M","non-dropping-particle":"","parse-names":false,"suffix":""},{"dropping-particle":"","family":"Schwartz","given":"K","non-dropping-particle":"","parse-names":false,"suffix":""},{"dropping-particle":"","family":"Bonne","given":"G","non-dropping-particle":"","parse-names":false,"suffix":""}],"container-title":"Muscle &amp; nerve","id":"ITEM-7","issue":"4","issued":{"date-parts":[["2004"]]},"page":"444-450","title":"Nuclear envelope alterations in fibroblasts from patients with muscular dystrophy, cardiomyopathy, and partial lipodystrophy carrying lamin A/C gene mutations.","type":"article-journal","volume":"30"},"uris":["http://www.mendeley.com/documents/?uuid=b6d2c571-ff47-4325-a804-7b276e6e73bd"]},{"id":"ITEM-8","itemData":{"ISSN":"1468-6244","abstract":"Background: LMNA -related muscular dystrophy is caused by mutations in LMNA gene. We aimed to identify genetic variations and clinical features in a large cohort of Chinese patients with LMNA mutations in an attempt to establish genotype-phenotype correlation.; Methods: The clinical presentations of patients with LMNA -related muscular dystrophy were recorded using retrospective and prospective cohort study. LMNA mutation analysis was performed by Sanger sequencing or next-generation sequencing. Mosaicism was detected by personal genome machine amplicon deep sequencing for mosaicism.; Results: Eighty-four patients were identified to harbour LMNA mutations. Forty-one of those were diagnosed with LMNA -related congenital muscular dystrophy (L-CMD), 32 with Emery-Dreifuss muscular dystrophy (EDMD) and 11 with limb-girdle muscular dystrophy type 1B (LGMD1B). We identified 21 novel and 29 known LMNA mutations. Two frequent mutations were identified: c.745C&gt;T and c.1357C&gt;T. A correlation between the location of mutation and the clinical phenotype was observed: mutations affecting the head and coil 2A domains mainly occurred in L-CMD, while the coil 2B and Ig-like domains mainly related to EDMD and LGMD1B. We found somatic mosaicism in one parent of four probands. Muscle biopsies revealed 11 of 20 biopsied L-CMD exhibited inflammatory changes, and muscle cell ultrastructure showed abnormal nuclear morphology.; Conclusions: Our detailed clinical and genetic analysis of 84 patients with LMNA -related muscular dystrophy expands clinical spectrum and broadens genetic variations caused by LMNA mutations. We identified 21 novel and 29 known LMNA mutations and found two frequent mutations. A correlation between the location of mutation and the clinical severity was observed. Preliminary data suggested that low-dose corticosteroid treatment may be effective. (© Author(s) (or their employer(s)) 2020. Re-use permitted under CC BY-NC. No commercial re-use. See rights and permissions. Published by BMJ.)","author":[{"dropping-particle":"","family":"Fan","given":"Yanbin","non-dropping-particle":"","parse-names":false,"suffix":""},{"dropping-particle":"","family":"Tan","given":"Dandan","non-dropping-particle":"","parse-names":false,"suffix":""},{"dropping-particle":"","family":"Song","given":"Danyu","non-dropping-particle":"","parse-names":false,"suffix":""},{"dropping-particle":"","family":"Zhang","given":"Xu","non-dropping-particle":"","parse-names":false,"suffix":""},{"dropping-particle":"","family":"Chang","given":"Xingzhi","non-dropping-particle":"","parse-names":false,"suffix":""},{"dropping-particle":"","family":"Wang","given":"Zhaoxia","non-dropping-particle":"","parse-names":false,"suffix":""},{"dropping-particle":"","family":"Zhang","given":"Cheng","non-dropping-particle":"","parse-names":false,"suffix":""},{"dropping-particle":"","family":"Chan","given":"Sophelia Hoi-Shan","non-dropping-particle":"","parse-names":false,"suffix":""},{"dropping-particle":"","family":"Wu","given":"Qixi","non-dropping-particle":"","parse-names":false,"suffix":""},{"dropping-particle":"","family":"Wu","given":"Liwen","non-dropping-particle":"","parse-names":false,"suffix":""},{"dropping-particle":"","family":"Wang","given":"Shuang","non-dropping-particle":"","parse-names":false,"suffix":""},{"dropping-particle":"","family":"Yan","given":"Hui","non-dropping-particle":"","parse-names":false,"suffix":""},{"dropping-particle":"","family":"Ge","given":"Lin","non-dropping-particle":"","parse-names":false,"suffix":""},{"dropping-particle":"","family":"Yang","given":"Haipo","non-dropping-particle":"","parse-names":false,"suffix":""},{"dropping-particle":"","family":"Mao","given":"Bing","non-dropping-particle":"","parse-names":false,"suffix":""},{"dropping-particle":"","family":"Bönnemann","given":"Carsten","non-dropping-particle":"","parse-names":false,"suffix":""},{"dropping-particle":"","family":"Liu","given":"Jingying","non-dropping-particle":"","parse-names":false,"suffix":""},{"dropping-particle":"","family":"Wang","given":"Suxia","non-dropping-particle":"","parse-names":false,"suffix":""},{"dropping-particle":"","family":"Yuan","given":"Yun","non-dropping-particle":"","parse-names":false,"suffix":""},{"dropping-particle":"","family":"Wu","given":"Xiru","non-dropping-particle":"","parse-names":false,"suffix":""},{"dropping-particle":"","family":"Zhang","given":"Hong","non-dropping-particle":"","parse-names":false,"suffix":""},{"dropping-particle":"","family":"Xiong","given":"Hui","non-dropping-particle":"","parse-names":false,"suffix":""}],"container-title":"Journal of medical genetics","id":"ITEM-8","issued":{"date-parts":[["2020"]]},"title":"Clinical spectrum and genetic variations of LMNA -related muscular dystrophes in a large cohort of Chinese patients.","type":"article-journal"},"uris":["http://www.mendeley.com/documents/?uuid=7b022de2-ce2a-4965-982c-995925f2b120"]},{"id":"ITEM-9","itemData":{"DOI":"10.1016/j.nmd.2008.09.016","ISSN":"09608966","abstract":"Life-threatening cardiac and respiratory complications are common in LMNA-related myopathies and early diagnosis is important for optimal patient care. Lamin A/C related congenital muscular dystrophy (L-CMD) is often caused by de novo mutation in LMNA, affecting a single child in a family. Germinal mosaicism is a rarer variant that can lead to two children inheriting the same new heterozygous mutation from a clinically unaffected parent. Both patterns mimic autosomal recessive (AR) inheritance and the possibility of de novo L-CMD may be forgotten since most causes of congenital muscular dystrophy follow AR inheritance. To illustrate the challenge of diagnosing L-CMD, we present a consanguineous family in which two children have early onset LMNA-related myopathy likely due to paternal germinal mosaicism. This emphasises that germinal mosaicism (and de novo mutations) for LMNA can arise in any family and direct gene sequencing is required to confirm or exclude the diagnosis. © 2008 Elsevier B.V. All rights reserved.","author":[{"dropping-particle":"","family":"Makri","given":"Samira","non-dropping-particle":"","parse-names":false,"suffix":""},{"dropping-particle":"","family":"Clarke","given":"Nigel F.","non-dropping-particle":"","parse-names":false,"suffix":""},{"dropping-particle":"","family":"Richard","given":"Pascale","non-dropping-particle":"","parse-names":false,"suffix":""},{"dropping-particle":"","family":"Maugenre","given":"Svetlana","non-dropping-particle":"","parse-names":false,"suffix":""},{"dropping-particle":"","family":"Demay","given":"Laurence","non-dropping-particle":"","parse-names":false,"suffix":""},{"dropping-particle":"","family":"Bonne","given":"Gisèle","non-dropping-particle":"","parse-names":false,"suffix":""},{"dropping-particle":"","family":"Guicheney","given":"Pascale","non-dropping-particle":"","parse-names":false,"suffix":""}],"container-title":"Neuromuscular Disorders","id":"ITEM-9","issue":"1","issued":{"date-parts":[["2009","1","1"]]},"page":"26-28","publisher":"Elsevier Ltd","title":"Germinal mosaicism for LMNA mimics autosomal recessive congenital muscular dystrophy","type":"article-journal","volume":"19"},"uris":["http://www.mendeley.com/documents/?uuid=7ce1baef-7a58-3f0c-bb6e-df376f3339e8"]},{"id":"ITEM-10","itemData":{"DOI":"10.1371/journal.pone.0129699","ISSN":"1932-6203","abstract":"This study aimed to analyze the correlation between the phenotype and genotype of Chinese patients with early-onset lamin A (LMNA)-related muscular dystrophy (MD). The clinical and myopathological data of 21 Chinese pediatric patients with early-onset LMNA-related MD were collected and analyzed. LMNA gene mutation analysis was performed by direct sequencing of genomic DNA. Sublocalization of wild-type and mutant proteins were observed by immunofluorescence using cultured fibroblasts and human embryonic kidney 293 (HEK 293) cell. Seven patients were diagnosed with Emery-Dreifuss muscular dystrophy (EDMD) and 14 were diagnosed with LMNA-associated congenital muscular dystrophy (L-CMD). Four biopsy specimens from the L-CMD cases exhibited inflammatory changes. Abnormal nuclear morphology was observed with both transmission electron microscopy and lamin A/C staining. We identified 10 novel and nine known LMNA gene mutations in the 21 patients. Some mutations (c.91G&gt;A, c.94_96delAAG, c.116A&gt;G, c.745C&gt;T, c.746G&gt;A, and c.1580G&gt;C) were well correlated with EDMD or L-CMD. LMNA-related MD has a common symptom triad of muscle weakness, joint contractures, and cardiac involvement, but the severity of symptoms and disease progression differ greatly. Inflammatory change in biopsied muscle is a characteristic of early-stage L-CMD. Phenotype-genotype analysis determines that some mutations are well correlated with LMNA-related MD.","author":[{"dropping-particle":"","family":"Tan","given":"Dandan","non-dropping-particle":"","parse-names":false,"suffix":""},{"dropping-particle":"","family":"Yang","given":"Haipo","non-dropping-particle":"","parse-names":false,"suffix":""},{"dropping-particle":"","family":"Yuan","given":"Yun","non-dropping-particle":"","parse-names":false,"suffix":""},{"dropping-particle":"","family":"Bonnemann","given":"Carsten","non-dropping-particle":"","parse-names":false,"suffix":""},{"dropping-particle":"","family":"Chang","given":"Xingzhi","non-dropping-particle":"","parse-names":false,"suffix":""},{"dropping-particle":"","family":"Wang","given":"Shuang","non-dropping-particle":"","parse-names":false,"suffix":""},{"dropping-particle":"","family":"Wu","given":"Yuchen","non-dropping-particle":"","parse-names":false,"suffix":""},{"dropping-particle":"","family":"Wu","given":"Xiru","non-dropping-particle":"","parse-names":false,"suffix":""},{"dropping-particle":"","family":"Xiong","given":"Hui","non-dropping-particle":"","parse-names":false,"suffix":""}],"container-title":"PloS one","id":"ITEM-10","issue":"6","issued":{"date-parts":[["2015"]]},"page":"e0129699","title":"Phenotype-Genotype Analysis of Chinese Patients with Early-Onset LMNA-Related Muscular Dystrophy.","type":"article-journal","volume":"10"},"uris":["http://www.mendeley.com/documents/?uuid=ae849e45-ebcb-419c-8bb5-9f6cca400dc1"]},{"id":"ITEM-11","itemData":{"DOI":"10.1038/6799","ISSN":"1061-4036","PMID":"10080180","abstract":"Emery-Dreifuss muscular dystrophy (EDMD) is characterized by early contractures of elbows and Achilles tendons, slowly progressive muscle wasting and weakness, and a cardiomyopathy with conduction blocks which is life-threatening. Two modes of inheritance exist, X-linked (OMIM 310300) and autosomal dominant (EDMD-AD; OMIM 181350). EDMD-AD is clinically identical to the X-linked forms of the disease. Mutations in EMD, the gene encoding emerin, are responsible for the X-linked form. We have mapped the locus for EDMD-AD to an 8-cM interval on chromosome 1q11-q23 in a large French pedigree, and found that the EMD phenotype in four other small families was potentially linked to this locus. This region contains the lamin A/C gene (LMNA), a candidate gene encoding two proteins of the nuclear lamina, lamins A and C, produced by alternative splicing. We identified four mutations in LMNA that co-segregate with the disease phenotype in the five families: one nonsense mutation and three missense mutations. These results are the first identification of mutations in a component of the nuclear lamina as a cause of inherited muscle disorder. Together with mutations in EMD (refs 5,6), they underscore the potential importance of the nuclear envelope components in the pathogenesis of neuromuscular disorders.","author":[{"dropping-particle":"","family":"Bonne","given":"Gisèle","non-dropping-particle":"","parse-names":false,"suffix":""},{"dropping-particle":"Di","family":"Barletta","given":"Marina Raffaele","non-dropping-particle":"","parse-names":false,"suffix":""},{"dropping-particle":"","family":"Varnous","given":"Shaida","non-dropping-particle":"","parse-names":false,"suffix":""},{"dropping-particle":"","family":"Bécane","given":"Henri-Marc","non-dropping-particle":"","parse-names":false,"suffix":""},{"dropping-particle":"","family":"Hammouda","given":"El-Hadi","non-dropping-particle":"","parse-names":false,"suffix":""},{"dropping-particle":"","family":"Merlini","given":"Luciano","non-dropping-particle":"","parse-names":false,"suffix":""},{"dropping-particle":"","family":"Muntoni","given":"Francesco","non-dropping-particle":"","parse-names":false,"suffix":""},{"dropping-particle":"","family":"Greenberg","given":"Cheryl R.","non-dropping-particle":"","parse-names":false,"suffix":""},{"dropping-particle":"","family":"Gary","given":"Françoise","non-dropping-particle":"","parse-names":false,"suffix":""},{"dropping-particle":"","family":"Urtizberea","given":"Jon-Andoni","non-dropping-particle":"","parse-names":false,"suffix":""},{"dropping-particle":"","family":"Duboc","given":"Denis","non-dropping-particle":"","parse-names":false,"suffix":""},{"dropping-particle":"","family":"Fardeau","given":"Michel","non-dropping-particle":"","parse-names":false,"suffix":""},{"dropping-particle":"","family":"Toniolo","given":"Daniela","non-dropping-particle":"","parse-names":false,"suffix":""},{"dropping-particle":"","family":"Schwartz","given":"Ketty","non-dropping-particle":"","parse-names":false,"suffix":""}],"container-title":"Nature Genetics","id":"ITEM-11","issue":"3","issued":{"date-parts":[["1999","3"]]},"page":"285-288","title":"Mutations in the gene encoding lamin A/C cause autosomal dominant Emery-Dreifuss muscular dystrophy","type":"article-journal","volume":"21"},"uris":["http://www.mendeley.com/documents/?uuid=267cb0a0-a67a-3ca0-a928-87e0f92ec8c7"]},{"id":"ITEM-12","itemData":{"DOI":"10.1096/fj.202000500R","ISSN":"1530-6860","abstract":"Laminopathies are rare diseases associated with mutations in LMNA, which encodes nuclear lamin A/C. LMNA variants lead to diverse tissue-specific phenotypes including cardiomyopathy, lipodystrophy, myopathy, neuropathy, progeria, bone/skin disorders, and overlap syndromes. The mechanisms underlying these heterogeneous phenotypes remain poorly understood, although post-translational modifications, including phosphorylation, are postulated as regulators of lamin function. We catalogued all known lamin A/C human mutations and their associated phenotypes, and systematically examined the putative role of phosphorylation in laminopathies. In silico prediction of specific LMNA mutant-driven changes to lamin A phosphorylation and protein structure was performed using machine learning methods. Some of the predictions we generated were validated via assessment of ectopically expressed wild-type and mutant LMNA. Our findings indicate phenotype- and mutant-specific alterations in lamin phosphorylation, and that some changes in phosphorylation may occur independently of predicted changes in lamin protein structure. Therefore, therapeutic targeting of phosphorylation in the context of laminopathies will likely require mutant- and kinase-specific approaches. (© 2020 Federation of American Societies for Experimental Biology.)","author":[{"dropping-particle":"","family":"Lin","given":"Eric W","non-dropping-particle":"","parse-names":false,"suffix":""},{"dropping-particle":"","family":"Brady","given":"Graham F","non-dropping-particle":"","parse-names":false,"suffix":""},{"dropping-particle":"","family":"Kwan","given":"Raymond","non-dropping-particle":"","parse-names":false,"suffix":""},{"dropping-particle":"","family":"Nesvizhskii","given":"Alexey I","non-dropping-particle":"","parse-names":false,"suffix":""},{"dropping-particle":"","family":"Omary","given":"M Bishr","non-dropping-particle":"","parse-names":false,"suffix":""}],"container-title":"FASEB journal : official publication of the Federation of American Societies for Experimental Biology","id":"ITEM-12","issue":"7","issued":{"date-parts":[["2020"]]},"page":"9051-9073","title":"Genotype-phenotype analysis of LMNA-related diseases predicts phenotype-selective alterations in lamin phosphorylation.","type":"article-journal","volume":"34"},"uris":["http://www.mendeley.com/documents/?uuid=b5cfdf75-7e74-4fa4-b514-72e76c9f0b1a"]}],"mendeley":{"formattedCitation":"[44,46,56,58,59,61,66,67,69–72]","plainTextFormattedCitation":"[44,46,56,58,59,61,66,67,69–72]","previouslyFormattedCitation":"[45,47,71,72,49,53,54,56,64,66,68,70]"},"properties":{"noteIndex":0},"schema":"https://github.com/citation-style-language/schema/raw/master/csl-citation.json"}</w:instrText>
            </w:r>
            <w:r w:rsidRPr="005A1AC5">
              <w:fldChar w:fldCharType="separate"/>
            </w:r>
            <w:r w:rsidR="00843E38" w:rsidRPr="00843E38">
              <w:rPr>
                <w:noProof/>
              </w:rPr>
              <w:t>[44,46,56,58,59,61,66,67,69–72]</w:t>
            </w:r>
            <w:r w:rsidRPr="005A1AC5">
              <w:fldChar w:fldCharType="end"/>
            </w:r>
          </w:p>
        </w:tc>
      </w:tr>
      <w:tr w:rsidR="001E66EE" w:rsidRPr="005A1AC5" w14:paraId="7B31171A" w14:textId="77777777" w:rsidTr="00EF7EB9">
        <w:trPr>
          <w:trHeight w:val="610"/>
        </w:trPr>
        <w:tc>
          <w:tcPr>
            <w:tcW w:w="1418" w:type="dxa"/>
          </w:tcPr>
          <w:p w14:paraId="7DEE7F6C" w14:textId="77777777" w:rsidR="001E66EE" w:rsidRPr="005A1AC5" w:rsidRDefault="001E66EE" w:rsidP="00EF7EB9">
            <w:pPr>
              <w:spacing w:after="160" w:line="259" w:lineRule="auto"/>
            </w:pPr>
            <w:r w:rsidRPr="005A1AC5">
              <w:t>Ser573Leu</w:t>
            </w:r>
          </w:p>
        </w:tc>
        <w:tc>
          <w:tcPr>
            <w:tcW w:w="1417" w:type="dxa"/>
          </w:tcPr>
          <w:p w14:paraId="419B4E64" w14:textId="77777777" w:rsidR="001E66EE" w:rsidRPr="005A1AC5" w:rsidRDefault="001E66EE" w:rsidP="00EF7EB9">
            <w:pPr>
              <w:spacing w:after="160" w:line="259" w:lineRule="auto"/>
            </w:pPr>
            <w:r w:rsidRPr="005A1AC5">
              <w:t>1718C&gt;T</w:t>
            </w:r>
          </w:p>
        </w:tc>
        <w:tc>
          <w:tcPr>
            <w:tcW w:w="1095" w:type="dxa"/>
          </w:tcPr>
          <w:p w14:paraId="7E1B2B6A" w14:textId="77777777" w:rsidR="001E66EE" w:rsidRPr="005A1AC5" w:rsidRDefault="001E66EE" w:rsidP="00EF7EB9">
            <w:pPr>
              <w:spacing w:after="160" w:line="259" w:lineRule="auto"/>
            </w:pPr>
            <w:r w:rsidRPr="005A1AC5">
              <w:t>LGMD</w:t>
            </w:r>
          </w:p>
        </w:tc>
        <w:tc>
          <w:tcPr>
            <w:tcW w:w="851" w:type="dxa"/>
          </w:tcPr>
          <w:p w14:paraId="735D8095" w14:textId="77777777" w:rsidR="001E66EE" w:rsidRPr="005A1AC5" w:rsidRDefault="001E66EE" w:rsidP="00EF7EB9">
            <w:pPr>
              <w:spacing w:after="160" w:line="259" w:lineRule="auto"/>
            </w:pPr>
            <w:r w:rsidRPr="005A1AC5">
              <w:t>DCM, AVB</w:t>
            </w:r>
          </w:p>
        </w:tc>
        <w:tc>
          <w:tcPr>
            <w:tcW w:w="1134" w:type="dxa"/>
          </w:tcPr>
          <w:p w14:paraId="651AD6BA" w14:textId="77777777" w:rsidR="001E66EE" w:rsidRPr="005A1AC5" w:rsidRDefault="001E66EE" w:rsidP="00EF7EB9">
            <w:pPr>
              <w:spacing w:after="160" w:line="259" w:lineRule="auto"/>
            </w:pPr>
            <w:r w:rsidRPr="005A1AC5">
              <w:t>Diabetes, FPLD</w:t>
            </w:r>
          </w:p>
        </w:tc>
        <w:tc>
          <w:tcPr>
            <w:tcW w:w="992" w:type="dxa"/>
          </w:tcPr>
          <w:p w14:paraId="51AC8E7D" w14:textId="77777777" w:rsidR="001E66EE" w:rsidRPr="005A1AC5" w:rsidRDefault="001E66EE" w:rsidP="00EF7EB9">
            <w:pPr>
              <w:spacing w:after="160" w:line="259" w:lineRule="auto"/>
            </w:pPr>
          </w:p>
        </w:tc>
        <w:tc>
          <w:tcPr>
            <w:tcW w:w="1134" w:type="dxa"/>
          </w:tcPr>
          <w:p w14:paraId="63E320FB" w14:textId="77777777" w:rsidR="001E66EE" w:rsidRPr="005A1AC5" w:rsidRDefault="001E66EE" w:rsidP="00EF7EB9">
            <w:pPr>
              <w:spacing w:after="160" w:line="259" w:lineRule="auto"/>
            </w:pPr>
            <w:r w:rsidRPr="005A1AC5">
              <w:t>14</w:t>
            </w:r>
          </w:p>
        </w:tc>
        <w:tc>
          <w:tcPr>
            <w:tcW w:w="1173" w:type="dxa"/>
          </w:tcPr>
          <w:p w14:paraId="1B7539A4" w14:textId="27D948AF" w:rsidR="001E66EE" w:rsidRPr="005A1AC5" w:rsidRDefault="001E66EE" w:rsidP="00EF7EB9">
            <w:pPr>
              <w:spacing w:after="160" w:line="259" w:lineRule="auto"/>
            </w:pPr>
            <w:r w:rsidRPr="005A1AC5">
              <w:fldChar w:fldCharType="begin" w:fldLock="1"/>
            </w:r>
            <w:r w:rsidR="00843E38">
              <w:instrText>ADDIN CSL_CITATION {"citationItems":[{"id":"ITEM-1","itemData":{"DOI":"10.1016/j.jacc.2008.06.044","ISSN":"1558-3597","abstract":"Objectives: The aim of this study was to analyze the long-term follow-up of dilated cardiolaminopathies.; Background: Lamin A/C (LMNA) gene mutations cause a variety of phenotypes. In the cardiology setting, patients diagnosed with idiopathic dilated cardiomyopathy (DCM) plus atrioventricular block (AVB) constitute the majority of reported cases.; Methods: Longitudinal retrospective observational studies were conducted with 27 consecutive families in which LMNA gene defects were identified in the probands, all sharing the DCM phenotype.; Results: Of the 164 family members, 94 had LMNA gene mutations. Sixty of 94 (64%) were phenotypically affected whereas 34 were only genotypically affected, including 5 with pre-clinical signs. Of the 60 patients, 40 had DCM with AVB, 12 had DCM with ventricular tachycardia/fibrillation, 6 had DCM with AVB and Emery-Dreifuss muscular dystrophy type 2 (EDMD2), and 2 had AVB plus EDMD2. During a median of 57 months (interquartile range 36 to 107 months), we observed 49 events in 43 DCM patients (6 had a later event, excluded from the analysis). The events were related to heart failure (15 heart transplants, 1 death from end-stage heart failure) and ventricular arrhythmias (15 sudden cardiac deaths and 12 appropriate implantable cardioverter-defibrillator interventions). By multivariable analysis, New York Heart Association functional class III to IV and highly dynamic competitive sports for &gt;or=10 years were independent predictors of total events. By a bivariable Cox model, splice site mutations and competitive sport predicted sudden cardiac death.; Conclusions: Dilated cardiomyopathies caused by LMNA gene defects are highly penetrant, adult onset, malignant diseases characterized by a high rate of heart failure and life-threatening arrhythmias, predicted by New York Heart Association functional class, competitive sport activity, and type of mutation.","author":[{"dropping-particle":"","family":"Pasotti","given":"Michele","non-dropping-particle":"","parse-names":false,"suffix":""},{"dropping-particle":"","family":"Klersy","given":"Catherine","non-dropping-particle":"","parse-names":false,"suffix":""},{"dropping-particle":"","family":"Pilotto","given":"Andrea","non-dropping-particle":"","parse-names":false,"suffix":""},{"dropping-particle":"","family":"Marziliano","given":"Nicola","non-dropping-particle":"","parse-names":false,"suffix":""},{"dropping-particle":"","family":"Rapezzi","given":"Claudio","non-dropping-particle":"","parse-names":false,"suffix":""},{"dropping-particle":"","family":"Serio","given":"Alessandra","non-dropping-particle":"","parse-names":false,"suffix":""},{"dropping-particle":"","family":"Mannarino","given":"Savina","non-dropping-particle":"","parse-names":false,"suffix":""},{"dropping-particle":"","family":"Gambarin","given":"Fabiana","non-dropping-particle":"","parse-names":false,"suffix":""},{"dropping-particle":"","family":"Favalli","given":"Valentina","non-dropping-particle":"","parse-names":false,"suffix":""},{"dropping-particle":"","family":"Grasso","given":"Maurizia","non-dropping-particle":"","parse-names":false,"suffix":""},{"dropping-particle":"","family":"Agozzino","given":"Manuela","non-dropping-particle":"","parse-names":false,"suffix":""},{"dropping-particle":"","family":"Campana","given":"Carlo","non-dropping-particle":"","parse-names":false,"suffix":""},{"dropping-particle":"","family":"Gavazzi","given":"Antonello","non-dropping-particle":"","parse-names":false,"suffix":""},{"dropping-particle":"","family":"Febo","given":"Oreste","non-dropping-particle":"","parse-names":false,"suffix":""},{"dropping-particle":"","family":"Marini","given":"Massimiliano","non-dropping-particle":"","parse-names":false,"suffix":""},{"dropping-particle":"","family":"Landolina","given":"Maurizio","non-dropping-particle":"","parse-names":false,"suffix":""},{"dropping-particle":"","family":"Mortara","given":"Andrea","non-dropping-particle":"","parse-names":false,"suffix":""},{"dropping-particle":"","family":"Piccolo","given":"Giovanni","non-dropping-particle":"","parse-names":false,"suffix":""},{"dropping-particle":"","family":"Viganò","given":"Mario","non-dropping-particle":"","parse-names":false,"suffix":""},{"dropping-particle":"","family":"Tavazzi","given":"Luigi","non-dropping-particle":"","parse-names":false,"suffix":""},{"dropping-particle":"","family":"Arbustini","given":"Eloisa","non-dropping-particle":"","parse-names":false,"suffix":""}],"container-title":"Journal of the American College of Cardiology","id":"ITEM-1","issue":"15","issued":{"date-parts":[["2008"]]},"page":"1250-1260","title":"Long-term outcome and risk stratification in dilated cardiolaminopathies.","type":"article-journal","volume":"52"},"uris":["http://www.mendeley.com/documents/?uuid=e565cd06-c7db-4fdd-86ca-0bc92ec8b1fc"]},{"id":"ITEM-2","itemData":{"DOI":"10.1007/s10048-006-0070-0","ISSN":"1364-6745","abstract":"The molecular basis of autosomal dominant spinal muscular atrophy (AD-SMA) is largely unknown. Because the phenotypic spectrum of diseases caused by LMNA mutations is extremely broad and includes myopathies, neuropathies, and cardiomyopathies designated as class 1 laminopathies, we sequenced the LMNA gene in index patients with the clinical picture of proximal SMA, who had a family history suggestive of autosomal dominant inheritance. Among the 19 families investigated, two showed pathogenic mutations of the LMNA gene, resulting in the diagnosis of a class 1 laminopathy in about 10% of our series. We found one novel truncating mutation (c.1477C &gt; T, Q493X) and one previously described missense mutation (c.1130G &gt; T, R377H) in the LMNA gene of two unrelated patients with adult-onset proximal SMA followed by cardiac involvement 14 and 22 years after the onset of weakness. The pedigrees of both families revealed a high frequency of cardiac abnormalities or sudden deaths. Our findings extend the spectrum of laminopathies and are of relevance for genetic counseling and clinical care of families presenting with adult-onset proximal SMA. Particularly, if neurogenic atrophy is combined with a cardiac disease in a family, this should prompt LMNA mutation analysis.","author":[{"dropping-particle":"","family":"Rudnik-Schöneborn","given":"Sabine","non-dropping-particle":"","parse-names":false,"suffix":""},{"dropping-particle":"","family":"Botzenhart","given":"Elke","non-dropping-particle":"","parse-names":false,"suffix":""},{"dropping-particle":"","family":"Eggermann","given":"Thomas","non-dropping-particle":"","parse-names":false,"suffix":""},{"dropping-particle":"","family":"Senderek","given":"Jan","non-dropping-particle":"","parse-names":false,"suffix":""},{"dropping-particle":"","family":"Schoser","given":"Benedikt G H","non-dropping-particle":"","parse-names":false,"suffix":""},{"dropping-particle":"","family":"Schröder","given":"Rolf","non-dropping-particle":"","parse-names":false,"suffix":""},{"dropping-particle":"","family":"Wehnert","given":"Manfred","non-dropping-particle":"","parse-names":false,"suffix":""},{"dropping-particle":"","family":"Wirth","given":"Brunhilde","non-dropping-particle":"","parse-names":false,"suffix":""},{"dropping-particle":"","family":"Zerres","given":"Klaus","non-dropping-particle":"","parse-names":false,"suffix":""}],"container-title":"Neurogenetics","id":"ITEM-2","issue":"2","issued":{"date-parts":[["2007"]]},"page":"137-142","title":"Mutations of the LMNA gene can mimic autosomal dominant proximal spinal muscular atrophy.","type":"article-journal","volume":"8"},"uris":["http://www.mendeley.com/documents/?uuid=f9859ccb-46bf-4621-9016-264bb81f71a2"]},{"id":"ITEM-3","itemData":{"DOI":"10.1016/j.repc.2016.07.018","ISSN":"2174-2030","abstract":"The lamin A/C (LMNA) gene encodes lamins A and C, which have an important role in nuclear cohesion and chromatin organization. Mutations in this gene usually lead to the so-called laminopathies, the primary cardiac manifestations of which are dilated cardiomyopathy and intracardiac conduction defects. Some mutations, associated with lipodystrophy but not cardiomyopathy, have been linked to metabolic abnormalities such as diabetes and severe dyslipidemia. Herein we describe a new phenotype associated with a mutation in exon 11 of the LMNA gene: hypertrophic cardiomyopathy, atrioventricular block, severe dyslipidemia and diabetes. A 64-year-old woman with hypertrophic cardiomyopathy and a point mutation in exon 11 of the LMNA gene (c.1718C&gt;T, Ser573Leu) presented with severe symptomatic ventricular hypertrophy and left ventricular outflow tract obstruction. She underwent septal alcohol ablation, followed by Morrow myectomy. The patient was also diagnosed with severe dyslipidemia, diabetes and obesity, and fulfilled diagnostic criteria for metabolic syndrome. No other characteristics of LMNA mutation-related phenotypes were identified. The development of type III atrioventricular block with no apparent cause, and mildly depressed systolic function, prompted referral for cardiac resynchronization therapy. In conclusion, the association between LMNA mutations and different phenotypes is complex and not fully understood, and can present with a broad spectrum of severity. (Copyright © 2017 Sociedade Portuguesa de Cardiologia. Publicado por Elsevier España, S.L.U. All rights reserved.)","author":[{"dropping-particle":"","family":"Francisco","given":"Ana Rita G","non-dropping-particle":"","parse-names":false,"suffix":""},{"dropping-particle":"","family":"Santos Gonçalves","given":"Inês","non-dropping-particle":"","parse-names":false,"suffix":""},{"dropping-particle":"","family":"Veiga","given":"Fátima","non-dropping-particle":"","parse-names":false,"suffix":""},{"dropping-particle":"","family":"Mendes Pedro","given":"Mónica","non-dropping-particle":"","parse-names":false,"suffix":""},{"dropping-particle":"","family":"Pinto","given":"Fausto J","non-dropping-particle":"","parse-names":false,"suffix":""},{"dropping-particle":"","family":"Brito","given":"Dulce","non-dropping-particle":"","parse-names":false,"suffix":""}],"container-title":"Revista portuguesa de cardiologia : orgao oficial da Sociedade Portuguesa de Cardiologia = Portuguese journal of cardiology : an official journal of the Portuguese Society of Cardiology","id":"ITEM-3","issue":"9","issued":{"date-parts":[["2017"]]},"page":"669.e1-669.e4","title":"Complex phenotype linked to a mutation in exon 11 of the lamin A/C gene: Hypertrophic cardiomyopathy, atrioventricular block, severe dyslipidemia and diabetes.","type":"article-journal","volume":"36"},"uris":["http://www.mendeley.com/documents/?uuid=befffc88-da94-4f6f-bb2e-b605bcde714e"]},{"id":"ITEM-4","itemData":{"DOI":"10.1016/j.jacc.2019.06.072","ISSN":"1558-3597","abstract":"Background: Genotype-phenotype correlations in dilated cardiomyopathy (DCM) and, in particular, the effects of gene variants on clinical outcomes remain poorly understood.; Objectives: The purpose of this study was to investigate the prognostic role of genetic variant carrier status in a large cohort of DCM patients.; Methods: A total of 487 DCM patients were analyzed by next-generation sequencing and categorized the disease genes into functional gene groups. The following composite outcome measures were assessed: 1) all-cause mortality; 2) heart failure-related death, heart transplantation, or destination left ventricular assist device implantation (DHF/HTx/VAD); and 3) sudden cardiac death/sustained ventricular tachycardia/ventricular fibrillation (SCD/VT/VF).; Results: A total of 183 pathogenic/likely pathogenic variants were found in 178 patients (37%): 54 (11%) Titin; 19 (4%) Lamin A/C (LMNA); 24 (5%) structural cytoskeleton-Z disk genes; 16 (3.5%) desmosomal genes; 46 (9.5%) sarcomeric genes; 8 (1.6%) ion channel genes; and 11 (2.5%) other genes. All-cause mortality was no different between variant carriers and noncarriers (p = 0.99). A trend toward worse SCD/VT/VF (p = 0.062) and DHF/HTx/VAD (p = 0.061) was found in carriers. Carriers of desmosomal and LMNA variants experienced the highest rate of SCD/VT/VF, which was independent of the left ventricular ejection fraction.; Conclusions: Desmosomal and LMNA gene variants identify the subset of DCM patients who are at greatest risk for SCD and life-threatening ventricular arrhythmias, regardless of the left ventricular ejection fraction. (Copyright © 2019 American College of Cardiology Foundation. Published by Elsevier Inc. All rights reserved.)","author":[{"dropping-particle":"","family":"Gigli","given":"Marta","non-dropping-particle":"","parse-names":false,"suffix":""},{"dropping-particle":"","family":"Merlo","given":"Marco","non-dropping-particle":"","parse-names":false,"suffix":""},{"dropping-particle":"","family":"Graw","given":"Sharon L","non-dropping-particle":"","parse-names":false,"suffix":""},{"dropping-particle":"","family":"Barbati","given":"Giulia","non-dropping-particle":"","parse-names":false,"suffix":""},{"dropping-particle":"","family":"Rowland","given":"Teisha J","non-dropping-particle":"","parse-names":false,"suffix":""},{"dropping-particle":"","family":"Slavov","given":"Dobromir B","non-dropping-particle":"","parse-names":false,"suffix":""},{"dropping-particle":"","family":"Stolfo","given":"Davide","non-dropping-particle":"","parse-names":false,"suffix":""},{"dropping-particle":"","family":"Haywood","given":"Mary E","non-dropping-particle":"","parse-names":false,"suffix":""},{"dropping-particle":"","family":"Dal Ferro","given":"Matteo","non-dropping-particle":"","parse-names":false,"suffix":""},{"dropping-particle":"","family":"Altinier","given":"Alessandro","non-dropping-particle":"","parse-names":false,"suffix":""},{"dropping-particle":"","family":"Ramani","given":"Federica","non-dropping-particle":"","parse-names":false,"suffix":""},{"dropping-particle":"","family":"Brun","given":"Francesca","non-dropping-particle":"","parse-names":false,"suffix":""},{"dropping-particle":"","family":"Cocciolo","given":"Andrea","non-dropping-particle":"","parse-names":false,"suffix":""},{"dropping-particle":"","family":"Puggia","given":"Ilaria","non-dropping-particle":"","parse-names":false,"suffix":""},{"dropping-particle":"","family":"Morea","given":"Gaetano","non-dropping-particle":"","parse-names":false,"suffix":""},{"dropping-particle":"","family":"McKenna","given":"William J","non-dropping-particle":"","parse-names":false,"suffix":""},{"dropping-particle":"","family":"Rosa","given":"Francisco G","non-dropping-particle":"La","parse-names":false,"suffix":""},{"dropping-particle":"","family":"Taylor","given":"Matthew R G","non-dropping-particle":"","parse-names":false,"suffix":""},{"dropping-particle":"","family":"Sinagra","given":"Gianfranco","non-dropping-particle":"","parse-names":false,"suffix":""},{"dropping-particle":"","family":"Mestroni","given":"Luisa","non-dropping-particle":"","parse-names":false,"suffix":""}],"container-title":"Journal of the American College of Cardiology","id":"ITEM-4","issue":"11","issued":{"date-parts":[["2019"]]},"page":"1480-1490","title":"Genetic Risk of Arrhythmic Phenotypes in Patients With Dilated Cardiomyopathy.","type":"article-journal","volume":"74"},"uris":["http://www.mendeley.com/documents/?uuid=b867377a-ba86-420b-ab5e-3f1c230cf6dd"]},{"id":"ITEM-5","itemData":{"DOI":"10.1096/fj.202000500R","ISSN":"1530-6860","abstract":"Laminopathies are rare diseases associated with mutations in LMNA, which encodes nuclear lamin A/C. LMNA variants lead to diverse tissue-specific phenotypes including cardiomyopathy, lipodystrophy, myopathy, neuropathy, progeria, bone/skin disorders, and overlap syndromes. The mechanisms underlying these heterogeneous phenotypes remain poorly understood, although post-translational modifications, including phosphorylation, are postulated as regulators of lamin function. We catalogued all known lamin A/C human mutations and their associated phenotypes, and systematically examined the putative role of phosphorylation in laminopathies. In silico prediction of specific LMNA mutant-driven changes to lamin A phosphorylation and protein structure was performed using machine learning methods. Some of the predictions we generated were validated via assessment of ectopically expressed wild-type and mutant LMNA. Our findings indicate phenotype- and mutant-specific alterations in lamin phosphorylation, and that some changes in phosphorylation may occur independently of predicted changes in lamin protein structure. Therefore, therapeutic targeting of phosphorylation in the context of laminopathies will likely require mutant- and kinase-specific approaches. (© 2020 Federation of American Societies for Experimental Biology.)","author":[{"dropping-particle":"","family":"Lin","given":"Eric W","non-dropping-particle":"","parse-names":false,"suffix":""},{"dropping-particle":"","family":"Brady","given":"Graham F","non-dropping-particle":"","parse-names":false,"suffix":""},{"dropping-particle":"","family":"Kwan","given":"Raymond","non-dropping-particle":"","parse-names":false,"suffix":""},{"dropping-particle":"","family":"Nesvizhskii","given":"Alexey I","non-dropping-particle":"","parse-names":false,"suffix":""},{"dropping-particle":"","family":"Omary","given":"M Bishr","non-dropping-particle":"","parse-names":false,"suffix":""}],"container-title":"FASEB journal : official publication of the Federation of American Societies for Experimental Biology","id":"ITEM-5","issue":"7","issued":{"date-parts":[["2020"]]},"page":"9051-9073","title":"Genotype-phenotype analysis of LMNA-related diseases predicts phenotype-selective alterations in lamin phosphorylation.","type":"article-journal","volume":"34"},"uris":["http://www.mendeley.com/documents/?uuid=b5cfdf75-7e74-4fa4-b514-72e76c9f0b1a"]}],"mendeley":{"formattedCitation":"[44,45,73–75]","plainTextFormattedCitation":"[44,45,73–75]","previouslyFormattedCitation":"[44,47,73–75]"},"properties":{"noteIndex":0},"schema":"https://github.com/citation-style-language/schema/raw/master/csl-citation.json"}</w:instrText>
            </w:r>
            <w:r w:rsidRPr="005A1AC5">
              <w:fldChar w:fldCharType="separate"/>
            </w:r>
            <w:r w:rsidR="00843E38" w:rsidRPr="00843E38">
              <w:rPr>
                <w:noProof/>
              </w:rPr>
              <w:t>[44,45,73–75]</w:t>
            </w:r>
            <w:r w:rsidRPr="005A1AC5">
              <w:fldChar w:fldCharType="end"/>
            </w:r>
          </w:p>
        </w:tc>
      </w:tr>
    </w:tbl>
    <w:p w14:paraId="25502813" w14:textId="77777777" w:rsidR="001E66EE" w:rsidRPr="005A1AC5" w:rsidRDefault="001E66EE" w:rsidP="001E66EE">
      <w:pPr>
        <w:rPr>
          <w:sz w:val="24"/>
          <w:szCs w:val="24"/>
        </w:rPr>
      </w:pPr>
    </w:p>
    <w:p w14:paraId="0F1E1C79" w14:textId="77777777" w:rsidR="001E66EE" w:rsidRPr="005A1AC5" w:rsidRDefault="001E66EE" w:rsidP="001E66EE">
      <w:pPr>
        <w:rPr>
          <w:sz w:val="24"/>
          <w:szCs w:val="24"/>
        </w:rPr>
        <w:sectPr w:rsidR="001E66EE" w:rsidRPr="005A1AC5" w:rsidSect="00EF7EB9">
          <w:pgSz w:w="11906" w:h="16838"/>
          <w:pgMar w:top="1440" w:right="1440" w:bottom="1440" w:left="1440" w:header="709" w:footer="709" w:gutter="0"/>
          <w:cols w:space="708"/>
          <w:docGrid w:linePitch="360"/>
        </w:sectPr>
      </w:pPr>
    </w:p>
    <w:p w14:paraId="113710F2" w14:textId="77777777" w:rsidR="001E66EE" w:rsidRPr="005A1AC5" w:rsidRDefault="001E66EE" w:rsidP="005A1AC5">
      <w:pPr>
        <w:pStyle w:val="MDPI31text"/>
      </w:pPr>
      <w:r w:rsidRPr="005A1AC5">
        <w:lastRenderedPageBreak/>
        <w:t xml:space="preserve">There were 477 mutations located in the coding region of the </w:t>
      </w:r>
      <w:r w:rsidRPr="005A1AC5">
        <w:rPr>
          <w:i/>
          <w:iCs/>
        </w:rPr>
        <w:t xml:space="preserve">LMNA </w:t>
      </w:r>
      <w:r w:rsidRPr="005A1AC5">
        <w:t>gene (91.92%), and 42 intronic splice-site mutations (8.09%) (</w:t>
      </w:r>
      <w:r w:rsidRPr="005A1AC5">
        <w:rPr>
          <w:b/>
          <w:bCs/>
        </w:rPr>
        <w:t>Fig. 3B</w:t>
      </w:r>
      <w:r w:rsidRPr="005A1AC5">
        <w:t xml:space="preserve">). The most frequently occurring type of mutations were missense mutations (n=342), accounting for 71.70% of the mutations found in the coding region of </w:t>
      </w:r>
      <w:r w:rsidRPr="005A1AC5">
        <w:rPr>
          <w:i/>
          <w:iCs/>
        </w:rPr>
        <w:t xml:space="preserve">LMNA. </w:t>
      </w:r>
      <w:bookmarkStart w:id="3" w:name="OLE_LINK1"/>
      <w:r w:rsidRPr="005A1AC5">
        <w:t xml:space="preserve">Frameshift (n=59, 12.37), nonsense (n=30, 6.29%), deletion (28, 5.87%), deletion/insertion (n=7, 1.47%), insertion (n=6, 1.26%) and duplication (n=5, 1.05%%) mutations were also identified </w:t>
      </w:r>
      <w:bookmarkEnd w:id="3"/>
      <w:r w:rsidRPr="005A1AC5">
        <w:t>(</w:t>
      </w:r>
      <w:r w:rsidRPr="005A1AC5">
        <w:rPr>
          <w:b/>
          <w:bCs/>
        </w:rPr>
        <w:t>Fig. 3C</w:t>
      </w:r>
      <w:r w:rsidRPr="005A1AC5">
        <w:t xml:space="preserve">). Arginine residues were found to be mutated more often than other amino acids, with 24.32% (n=116) of coding region mutations being the result of arginine mutations. Mutations were distributed across all 12 exons of the </w:t>
      </w:r>
      <w:r w:rsidRPr="005A1AC5">
        <w:rPr>
          <w:i/>
          <w:iCs/>
        </w:rPr>
        <w:t xml:space="preserve">LMNA </w:t>
      </w:r>
      <w:r w:rsidRPr="005A1AC5">
        <w:t xml:space="preserve">gene. The most mutations were found to be located on exon 1, (n=105, 22.01%) and exon 6 (n=75, 15.72%). Very few mutations (n=8) were found within exons 12 and 10. Only one (0.22%) mutation was found to be situated in exon 12, and seven mutations were found in exon 10 (1.51%). </w:t>
      </w:r>
    </w:p>
    <w:p w14:paraId="0891D63B" w14:textId="77777777" w:rsidR="001E66EE" w:rsidRPr="005A1AC5" w:rsidRDefault="001E66EE" w:rsidP="001E66EE">
      <w:pPr>
        <w:rPr>
          <w:sz w:val="24"/>
          <w:szCs w:val="24"/>
        </w:rPr>
      </w:pPr>
    </w:p>
    <w:p w14:paraId="5DD43F64" w14:textId="77777777" w:rsidR="001E66EE" w:rsidRPr="005A1AC5" w:rsidRDefault="001E66EE" w:rsidP="001E66EE">
      <w:pPr>
        <w:pStyle w:val="Caption"/>
        <w:rPr>
          <w:i w:val="0"/>
          <w:iCs w:val="0"/>
        </w:rPr>
      </w:pPr>
      <w:r w:rsidRPr="005A1AC5">
        <w:rPr>
          <w:i w:val="0"/>
          <w:iCs w:val="0"/>
          <w:noProof/>
        </w:rPr>
        <w:lastRenderedPageBreak/>
        <w:drawing>
          <wp:inline distT="0" distB="0" distL="0" distR="0" wp14:anchorId="1FB0E291" wp14:editId="5FF08D9F">
            <wp:extent cx="5731510" cy="7609840"/>
            <wp:effectExtent l="0" t="0" r="254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609840"/>
                    </a:xfrm>
                    <a:prstGeom prst="rect">
                      <a:avLst/>
                    </a:prstGeom>
                  </pic:spPr>
                </pic:pic>
              </a:graphicData>
            </a:graphic>
          </wp:inline>
        </w:drawing>
      </w:r>
    </w:p>
    <w:p w14:paraId="793E48B3" w14:textId="33AF1543" w:rsidR="001E66EE" w:rsidRPr="005A1AC5" w:rsidRDefault="005A1AC5" w:rsidP="005A1AC5">
      <w:pPr>
        <w:pStyle w:val="MDPI51figurecaption"/>
      </w:pPr>
      <w:r w:rsidRPr="005A1AC5">
        <w:rPr>
          <w:b/>
          <w:bCs/>
        </w:rPr>
        <w:t xml:space="preserve">Figure 3. </w:t>
      </w:r>
      <w:r w:rsidR="001E66EE" w:rsidRPr="005A1AC5">
        <w:rPr>
          <w:b/>
          <w:bCs/>
          <w:i/>
          <w:iCs/>
        </w:rPr>
        <w:t>LMNA</w:t>
      </w:r>
      <w:r w:rsidR="001E66EE" w:rsidRPr="005A1AC5">
        <w:rPr>
          <w:b/>
          <w:bCs/>
        </w:rPr>
        <w:t xml:space="preserve"> mutations. (A) Phenotypes associated with </w:t>
      </w:r>
      <w:r w:rsidR="001E66EE" w:rsidRPr="005A1AC5">
        <w:rPr>
          <w:b/>
          <w:bCs/>
          <w:i/>
          <w:iCs/>
        </w:rPr>
        <w:t xml:space="preserve">LMNA </w:t>
      </w:r>
      <w:r w:rsidR="001E66EE" w:rsidRPr="005A1AC5">
        <w:rPr>
          <w:b/>
          <w:bCs/>
        </w:rPr>
        <w:t xml:space="preserve">mutations. </w:t>
      </w:r>
      <w:r w:rsidR="001E66EE" w:rsidRPr="005A1AC5">
        <w:t xml:space="preserve">There were 37 different conditions that were found to be associated with </w:t>
      </w:r>
      <w:r w:rsidR="001E66EE" w:rsidRPr="005A1AC5">
        <w:rPr>
          <w:i/>
          <w:iCs/>
        </w:rPr>
        <w:t xml:space="preserve">LMNA </w:t>
      </w:r>
      <w:r w:rsidR="001E66EE" w:rsidRPr="005A1AC5">
        <w:t xml:space="preserve">mutations, some which were caused by identical </w:t>
      </w:r>
      <w:r w:rsidR="001E66EE" w:rsidRPr="005A1AC5">
        <w:rPr>
          <w:i/>
          <w:iCs/>
        </w:rPr>
        <w:t xml:space="preserve">LMNA </w:t>
      </w:r>
      <w:r w:rsidR="001E66EE" w:rsidRPr="005A1AC5">
        <w:t xml:space="preserve">variants. These can be broadly classified into diseases affecting cardiac muscle, skeletal muscle, the metabolic </w:t>
      </w:r>
      <w:proofErr w:type="gramStart"/>
      <w:r w:rsidR="001E66EE" w:rsidRPr="005A1AC5">
        <w:t>system</w:t>
      </w:r>
      <w:proofErr w:type="gramEnd"/>
      <w:r w:rsidR="001E66EE" w:rsidRPr="005A1AC5">
        <w:t xml:space="preserve"> and the nervous system. A few variants caused diseases that fell into other categories. </w:t>
      </w:r>
      <w:r w:rsidR="001E66EE" w:rsidRPr="005A1AC5">
        <w:rPr>
          <w:b/>
          <w:bCs/>
        </w:rPr>
        <w:t xml:space="preserve">(B) Coding vs intronic mutations. </w:t>
      </w:r>
      <w:r w:rsidR="001E66EE" w:rsidRPr="005A1AC5">
        <w:t xml:space="preserve">A total of 519 </w:t>
      </w:r>
      <w:r w:rsidR="001E66EE" w:rsidRPr="005A1AC5">
        <w:rPr>
          <w:i/>
          <w:iCs/>
        </w:rPr>
        <w:t xml:space="preserve">LMNA </w:t>
      </w:r>
      <w:r w:rsidR="001E66EE" w:rsidRPr="005A1AC5">
        <w:t xml:space="preserve">mutations were identified. 477 (91.91%) were coding mutations, whilst 42 (8.09%) </w:t>
      </w:r>
      <w:r w:rsidR="001E66EE" w:rsidRPr="005A1AC5">
        <w:lastRenderedPageBreak/>
        <w:t xml:space="preserve">were splice-site variants. </w:t>
      </w:r>
      <w:r w:rsidR="001E66EE" w:rsidRPr="005A1AC5">
        <w:rPr>
          <w:b/>
          <w:bCs/>
        </w:rPr>
        <w:t xml:space="preserve">(C) Coding region mutations. </w:t>
      </w:r>
      <w:r w:rsidR="001E66EE" w:rsidRPr="005A1AC5">
        <w:t xml:space="preserve">Missense mutations were the most frequently occurring type of </w:t>
      </w:r>
      <w:r w:rsidR="001E66EE" w:rsidRPr="005A1AC5">
        <w:rPr>
          <w:i/>
          <w:iCs/>
        </w:rPr>
        <w:t xml:space="preserve">LMNA </w:t>
      </w:r>
      <w:r w:rsidR="001E66EE" w:rsidRPr="005A1AC5">
        <w:t xml:space="preserve">mutations (342, 71.70%). Frameshift (59, 12.37%), nonsense (30, 6.29%), deletion (28, 5.87%), deletion/insertion (7, 1.47%), insertion (6, 1.26%) and duplication (5, 1.05%) mutations were also identified. </w:t>
      </w:r>
      <w:r w:rsidR="001E66EE" w:rsidRPr="005A1AC5">
        <w:rPr>
          <w:b/>
          <w:bCs/>
        </w:rPr>
        <w:t xml:space="preserve">(D) Mutations associated with different disease types and their frequency in </w:t>
      </w:r>
      <w:r w:rsidR="001E66EE" w:rsidRPr="005A1AC5">
        <w:rPr>
          <w:b/>
          <w:bCs/>
          <w:i/>
          <w:iCs/>
        </w:rPr>
        <w:t xml:space="preserve">LMNA </w:t>
      </w:r>
      <w:r w:rsidR="001E66EE" w:rsidRPr="005A1AC5">
        <w:rPr>
          <w:b/>
          <w:bCs/>
        </w:rPr>
        <w:t xml:space="preserve">exons. </w:t>
      </w:r>
      <w:r w:rsidR="001E66EE" w:rsidRPr="005A1AC5">
        <w:t xml:space="preserve">The most commonly occurring disease types arising from </w:t>
      </w:r>
      <w:r w:rsidR="001E66EE" w:rsidRPr="005A1AC5">
        <w:rPr>
          <w:i/>
          <w:iCs/>
        </w:rPr>
        <w:t xml:space="preserve">LMNA </w:t>
      </w:r>
      <w:r w:rsidR="001E66EE" w:rsidRPr="005A1AC5">
        <w:t>mutations were diseases affecting skeletal (262) and cardiac (260) muscle. These disease types clustered at exons 1 and 6. A total of 55 mutations were associated with metabolic disease, and these mostly appeared to increase in frequency from exon 7 onwards. Only 16 mutations caused nervous system disease and four caused other conditions which fell into different disease categories. Created with GraphPad Prism.</w:t>
      </w:r>
    </w:p>
    <w:p w14:paraId="6577E666" w14:textId="77777777" w:rsidR="001E66EE" w:rsidRPr="005A1AC5" w:rsidRDefault="001E66EE" w:rsidP="005A1AC5">
      <w:pPr>
        <w:pStyle w:val="MDPI31text"/>
      </w:pPr>
      <w:r w:rsidRPr="005A1AC5">
        <w:t xml:space="preserve">Given that </w:t>
      </w:r>
      <w:r w:rsidRPr="005A1AC5">
        <w:rPr>
          <w:i/>
          <w:iCs/>
        </w:rPr>
        <w:t xml:space="preserve">LMNA </w:t>
      </w:r>
      <w:r w:rsidRPr="005A1AC5">
        <w:t xml:space="preserve">mutations cause a broad range of diseases, analysis was next performed to determine whether genotype influenced disease phenotype. Using </w:t>
      </w:r>
      <w:proofErr w:type="spellStart"/>
      <w:r w:rsidRPr="005A1AC5">
        <w:t>MeSH</w:t>
      </w:r>
      <w:proofErr w:type="spellEnd"/>
      <w:r w:rsidRPr="005A1AC5">
        <w:t xml:space="preserve"> terms, each laminopathy identified in this study was classified into one of the following </w:t>
      </w:r>
      <w:proofErr w:type="gramStart"/>
      <w:r w:rsidRPr="005A1AC5">
        <w:t>disease</w:t>
      </w:r>
      <w:proofErr w:type="gramEnd"/>
      <w:r w:rsidRPr="005A1AC5">
        <w:t xml:space="preserve"> categories; skeletal muscle disease, cardiac disease, metabolic disease, nervous system disease or other. Each individual </w:t>
      </w:r>
      <w:r w:rsidRPr="005A1AC5">
        <w:rPr>
          <w:i/>
          <w:iCs/>
        </w:rPr>
        <w:t xml:space="preserve">LMNA </w:t>
      </w:r>
      <w:r w:rsidRPr="005A1AC5">
        <w:t xml:space="preserve">mutation was then assigned a disease category, based on the disease(s) that it was found to cause. If a mutation caused more than one disease type, it was counted in more than one category (for example, if a mutation caused DCM and EDMD, it would be </w:t>
      </w:r>
      <w:proofErr w:type="spellStart"/>
      <w:r w:rsidRPr="005A1AC5">
        <w:t>categorised</w:t>
      </w:r>
      <w:proofErr w:type="spellEnd"/>
      <w:r w:rsidRPr="005A1AC5">
        <w:t xml:space="preserve"> as causing skeletal muscle disease and cardiac disease). Disease phenotype was then examined in relation to the position of the causative mutation on the </w:t>
      </w:r>
      <w:r w:rsidRPr="005A1AC5">
        <w:rPr>
          <w:i/>
          <w:iCs/>
        </w:rPr>
        <w:t xml:space="preserve">LMNA </w:t>
      </w:r>
      <w:r w:rsidRPr="005A1AC5">
        <w:t xml:space="preserve">gene, and consequently the affected protein structures and domains. </w:t>
      </w:r>
    </w:p>
    <w:p w14:paraId="43CEBC22" w14:textId="77777777" w:rsidR="001E66EE" w:rsidRPr="005A1AC5" w:rsidRDefault="001E66EE" w:rsidP="005A1AC5">
      <w:pPr>
        <w:pStyle w:val="MDPI31text"/>
      </w:pPr>
      <w:r w:rsidRPr="005A1AC5">
        <w:t xml:space="preserve">The most frequently occurring disease categories associated with </w:t>
      </w:r>
      <w:r w:rsidRPr="005A1AC5">
        <w:rPr>
          <w:i/>
          <w:iCs/>
        </w:rPr>
        <w:t xml:space="preserve">LMNA </w:t>
      </w:r>
      <w:r w:rsidRPr="005A1AC5">
        <w:t>mutations were skeletal muscle diseases (n=262 mutations) and cardiac diseases (n=260 mutations). These two disease types seemed to occur most often in exons 1 and 6 (</w:t>
      </w:r>
      <w:r w:rsidRPr="005A1AC5">
        <w:rPr>
          <w:b/>
          <w:bCs/>
        </w:rPr>
        <w:t>Fig. 3D)</w:t>
      </w:r>
      <w:r w:rsidRPr="005A1AC5">
        <w:t xml:space="preserve">. It was found that 67 mutations causing skeletal muscle disease were in </w:t>
      </w:r>
      <w:proofErr w:type="gramStart"/>
      <w:r w:rsidRPr="005A1AC5">
        <w:t>exon</w:t>
      </w:r>
      <w:proofErr w:type="gramEnd"/>
      <w:r w:rsidRPr="005A1AC5">
        <w:t xml:space="preserve"> 1, and 47 were found to be within exon 6, whilst 48 cardiac disease-associated mutations were located in exon 1, and exon 6 also </w:t>
      </w:r>
      <w:proofErr w:type="spellStart"/>
      <w:r w:rsidRPr="005A1AC5">
        <w:t>harboured</w:t>
      </w:r>
      <w:proofErr w:type="spellEnd"/>
      <w:r w:rsidRPr="005A1AC5">
        <w:t xml:space="preserve"> 48 variants (</w:t>
      </w:r>
      <w:r w:rsidRPr="005A1AC5">
        <w:rPr>
          <w:b/>
          <w:bCs/>
        </w:rPr>
        <w:t>Fig. 3D and Fig. 4</w:t>
      </w:r>
      <w:r w:rsidRPr="005A1AC5">
        <w:t xml:space="preserve">). Interestingly, in cases where a single mutation caused multiple disease types, most commonly cardiac and skeletal muscle diseases were found to be caused by the same mutation. It is important to also consider that skeletal muscle diseases including EDMD, L-CMD and LGMD do also often cause cardiac abnormalities, therefore there may be some crossover between skeletal and cardiac disease phenotypes. Of 99 mutations known to cause diseases affecting multiple tissues or organ systems, 63 (64.29%) were found to cause both cardiac and skeletal muscle disease, whilst 11 (11.22%) mutations caused cardiac and skeletal muscle disease along with another type of disease(s). There were 55 mutations associated with diseases of the metabolic system. These mutations were distributed throughout the 12 exons of the </w:t>
      </w:r>
      <w:r w:rsidRPr="005A1AC5">
        <w:rPr>
          <w:i/>
          <w:iCs/>
        </w:rPr>
        <w:t xml:space="preserve">LMNA </w:t>
      </w:r>
      <w:r w:rsidRPr="005A1AC5">
        <w:t>gene (</w:t>
      </w:r>
      <w:r w:rsidRPr="005A1AC5">
        <w:rPr>
          <w:b/>
          <w:bCs/>
        </w:rPr>
        <w:t>Fig. 3D and Fig. 4</w:t>
      </w:r>
      <w:r w:rsidRPr="005A1AC5">
        <w:t xml:space="preserve">). The frequency of metabolic disease mutations, however, generally appears to increase from exon 7 onwards (besides the mutations found in exon 1). Exon 7 through to 12 encode the tail region of </w:t>
      </w:r>
      <w:proofErr w:type="spellStart"/>
      <w:r w:rsidRPr="005A1AC5">
        <w:t>lamin</w:t>
      </w:r>
      <w:proofErr w:type="spellEnd"/>
      <w:r w:rsidRPr="005A1AC5">
        <w:t xml:space="preserve"> A (</w:t>
      </w:r>
      <w:r w:rsidRPr="005A1AC5">
        <w:rPr>
          <w:b/>
          <w:bCs/>
        </w:rPr>
        <w:t>Fig. 4</w:t>
      </w:r>
      <w:r w:rsidRPr="005A1AC5">
        <w:t>). Only 16 mutations were found to cause nervous system disease, whilst 4 mutations caused other conditions which fell into other disease categories.</w:t>
      </w:r>
    </w:p>
    <w:p w14:paraId="6D143F76" w14:textId="77777777" w:rsidR="001E66EE" w:rsidRPr="005A1AC5" w:rsidRDefault="001E66EE" w:rsidP="001E66EE">
      <w:pPr>
        <w:rPr>
          <w:sz w:val="24"/>
          <w:szCs w:val="24"/>
        </w:rPr>
      </w:pPr>
      <w:r w:rsidRPr="005A1AC5">
        <w:rPr>
          <w:noProof/>
          <w:sz w:val="24"/>
          <w:szCs w:val="24"/>
        </w:rPr>
        <w:lastRenderedPageBreak/>
        <w:drawing>
          <wp:inline distT="0" distB="0" distL="0" distR="0" wp14:anchorId="2A75E867" wp14:editId="08617084">
            <wp:extent cx="5731510" cy="4090670"/>
            <wp:effectExtent l="0" t="0" r="2540" b="508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090670"/>
                    </a:xfrm>
                    <a:prstGeom prst="rect">
                      <a:avLst/>
                    </a:prstGeom>
                  </pic:spPr>
                </pic:pic>
              </a:graphicData>
            </a:graphic>
          </wp:inline>
        </w:drawing>
      </w:r>
    </w:p>
    <w:p w14:paraId="1ADF9691" w14:textId="240FF3F3" w:rsidR="001E66EE" w:rsidRPr="005A1AC5" w:rsidRDefault="005A1AC5" w:rsidP="005A1AC5">
      <w:pPr>
        <w:pStyle w:val="MDPI51figurecaption"/>
      </w:pPr>
      <w:r w:rsidRPr="005A1AC5">
        <w:rPr>
          <w:b/>
          <w:bCs/>
        </w:rPr>
        <w:t xml:space="preserve">Figure 4. </w:t>
      </w:r>
      <w:r w:rsidR="001E66EE" w:rsidRPr="005A1AC5">
        <w:rPr>
          <w:b/>
          <w:bCs/>
        </w:rPr>
        <w:t xml:space="preserve">The structure of the </w:t>
      </w:r>
      <w:r w:rsidR="001E66EE" w:rsidRPr="005A1AC5">
        <w:rPr>
          <w:b/>
          <w:bCs/>
          <w:i/>
          <w:iCs/>
        </w:rPr>
        <w:t xml:space="preserve">LMNA </w:t>
      </w:r>
      <w:r w:rsidR="001E66EE" w:rsidRPr="005A1AC5">
        <w:rPr>
          <w:b/>
          <w:bCs/>
        </w:rPr>
        <w:t xml:space="preserve">gene and protein product </w:t>
      </w:r>
      <w:proofErr w:type="spellStart"/>
      <w:r w:rsidR="001E66EE" w:rsidRPr="005A1AC5">
        <w:rPr>
          <w:b/>
          <w:bCs/>
        </w:rPr>
        <w:t>lamin</w:t>
      </w:r>
      <w:proofErr w:type="spellEnd"/>
      <w:r w:rsidR="001E66EE" w:rsidRPr="005A1AC5">
        <w:rPr>
          <w:b/>
          <w:bCs/>
        </w:rPr>
        <w:t xml:space="preserve"> A. </w:t>
      </w:r>
      <w:r w:rsidR="001E66EE" w:rsidRPr="005A1AC5">
        <w:rPr>
          <w:i/>
          <w:iCs/>
        </w:rPr>
        <w:t xml:space="preserve">LMNA </w:t>
      </w:r>
      <w:r w:rsidR="001E66EE" w:rsidRPr="005A1AC5">
        <w:t xml:space="preserve">encodes </w:t>
      </w:r>
      <w:proofErr w:type="spellStart"/>
      <w:r w:rsidR="001E66EE" w:rsidRPr="005A1AC5">
        <w:t>lamin</w:t>
      </w:r>
      <w:proofErr w:type="spellEnd"/>
      <w:r w:rsidR="001E66EE" w:rsidRPr="005A1AC5">
        <w:t xml:space="preserve"> A/C. Lamin C is produced via a splice site located at intron 10 and therefore it’s C-terminus differs to </w:t>
      </w:r>
      <w:proofErr w:type="spellStart"/>
      <w:r w:rsidR="001E66EE" w:rsidRPr="005A1AC5">
        <w:t>lamin</w:t>
      </w:r>
      <w:proofErr w:type="spellEnd"/>
      <w:r w:rsidR="001E66EE" w:rsidRPr="005A1AC5">
        <w:t xml:space="preserve"> A. </w:t>
      </w:r>
      <w:r w:rsidR="001E66EE" w:rsidRPr="005A1AC5">
        <w:rPr>
          <w:i/>
          <w:iCs/>
        </w:rPr>
        <w:t xml:space="preserve">LMNA </w:t>
      </w:r>
      <w:r w:rsidR="001E66EE" w:rsidRPr="005A1AC5">
        <w:t xml:space="preserve">consists of 12 exons. Each coding region </w:t>
      </w:r>
      <w:r w:rsidR="001E66EE" w:rsidRPr="005A1AC5">
        <w:rPr>
          <w:i/>
          <w:iCs/>
        </w:rPr>
        <w:t xml:space="preserve">LMNA </w:t>
      </w:r>
      <w:r w:rsidR="001E66EE" w:rsidRPr="005A1AC5">
        <w:t xml:space="preserve">mutation was assigned to a disease category based on the disease type it caused. If it caused more than one type of disease, it was considered in multiple categories. These mutations were then marked below the </w:t>
      </w:r>
      <w:r w:rsidR="001E66EE" w:rsidRPr="005A1AC5">
        <w:rPr>
          <w:i/>
          <w:iCs/>
        </w:rPr>
        <w:t xml:space="preserve">LMNA </w:t>
      </w:r>
      <w:r w:rsidR="001E66EE" w:rsidRPr="005A1AC5">
        <w:t xml:space="preserve">gene at the appropriate codon, in a </w:t>
      </w:r>
      <w:proofErr w:type="spellStart"/>
      <w:r w:rsidR="001E66EE" w:rsidRPr="005A1AC5">
        <w:t>colour</w:t>
      </w:r>
      <w:proofErr w:type="spellEnd"/>
      <w:r w:rsidR="001E66EE" w:rsidRPr="005A1AC5">
        <w:t xml:space="preserve"> that corresponds to its related disease type(s). Above the </w:t>
      </w:r>
      <w:r w:rsidR="001E66EE" w:rsidRPr="005A1AC5">
        <w:rPr>
          <w:i/>
          <w:iCs/>
        </w:rPr>
        <w:t xml:space="preserve">LMNA </w:t>
      </w:r>
      <w:r w:rsidR="001E66EE" w:rsidRPr="005A1AC5">
        <w:t xml:space="preserve">gene is the structure of </w:t>
      </w:r>
      <w:proofErr w:type="spellStart"/>
      <w:r w:rsidR="001E66EE" w:rsidRPr="005A1AC5">
        <w:t>lamin</w:t>
      </w:r>
      <w:proofErr w:type="spellEnd"/>
      <w:r w:rsidR="001E66EE" w:rsidRPr="005A1AC5">
        <w:t xml:space="preserve"> A, consisting of a head, central </w:t>
      </w:r>
      <w:proofErr w:type="gramStart"/>
      <w:r w:rsidR="001E66EE" w:rsidRPr="005A1AC5">
        <w:t>rod</w:t>
      </w:r>
      <w:proofErr w:type="gramEnd"/>
      <w:r w:rsidR="001E66EE" w:rsidRPr="005A1AC5">
        <w:t xml:space="preserve"> and tail domain. Created with BioRender.com.</w:t>
      </w:r>
    </w:p>
    <w:p w14:paraId="0E9FEDE1" w14:textId="77777777" w:rsidR="001E66EE" w:rsidRPr="005A1AC5" w:rsidRDefault="001E66EE" w:rsidP="005A1AC5">
      <w:pPr>
        <w:pStyle w:val="MDPI22heading2"/>
        <w:spacing w:before="240"/>
      </w:pPr>
      <w:r w:rsidRPr="005A1AC5">
        <w:t>Fewer mutations are reported in B-type lamins compared to lamin A/C</w:t>
      </w:r>
    </w:p>
    <w:p w14:paraId="287582DE" w14:textId="77777777" w:rsidR="001E66EE" w:rsidRPr="005A1AC5" w:rsidRDefault="001E66EE" w:rsidP="005A1AC5">
      <w:pPr>
        <w:pStyle w:val="MDPI31text"/>
      </w:pPr>
      <w:r w:rsidRPr="005A1AC5">
        <w:t xml:space="preserve">Despite their relatively similar size, very few mutations were found in B-type </w:t>
      </w:r>
      <w:proofErr w:type="spellStart"/>
      <w:r w:rsidRPr="005A1AC5">
        <w:t>lamins</w:t>
      </w:r>
      <w:proofErr w:type="spellEnd"/>
      <w:r w:rsidRPr="005A1AC5">
        <w:t xml:space="preserve"> compared to </w:t>
      </w:r>
      <w:proofErr w:type="spellStart"/>
      <w:r w:rsidRPr="005A1AC5">
        <w:t>lamins</w:t>
      </w:r>
      <w:proofErr w:type="spellEnd"/>
      <w:r w:rsidRPr="005A1AC5">
        <w:t xml:space="preserve"> A and C. There were 13 mutations associated with </w:t>
      </w:r>
      <w:r w:rsidRPr="005A1AC5">
        <w:rPr>
          <w:i/>
          <w:iCs/>
        </w:rPr>
        <w:t>LMNB1</w:t>
      </w:r>
      <w:r w:rsidRPr="005A1AC5">
        <w:t xml:space="preserve">, all causing neural tube defects (NTDs) including microcephaly (n=5), spina bifida (n=7) and anencephaly (n=1). Only 4 mutations were identified in </w:t>
      </w:r>
      <w:r w:rsidRPr="005A1AC5">
        <w:rPr>
          <w:i/>
          <w:iCs/>
        </w:rPr>
        <w:t>LMNB2</w:t>
      </w:r>
      <w:r w:rsidRPr="005A1AC5">
        <w:t>, and these were associated with acquired partial lipodystrophy.</w:t>
      </w:r>
    </w:p>
    <w:p w14:paraId="43883BF5" w14:textId="77777777" w:rsidR="001E66EE" w:rsidRPr="005A1AC5" w:rsidRDefault="001E66EE" w:rsidP="005A1AC5">
      <w:pPr>
        <w:pStyle w:val="MDPI22heading2"/>
        <w:spacing w:before="240"/>
      </w:pPr>
      <w:r w:rsidRPr="005A1AC5">
        <w:t>Inner Nuclear Membrane</w:t>
      </w:r>
    </w:p>
    <w:p w14:paraId="5C710B9B" w14:textId="0C56E82A" w:rsidR="001E66EE" w:rsidRPr="005A1AC5" w:rsidRDefault="001E66EE" w:rsidP="005A1AC5">
      <w:pPr>
        <w:pStyle w:val="MDPI23heading3"/>
      </w:pPr>
      <w:r w:rsidRPr="005A1AC5">
        <w:rPr>
          <w:iCs/>
        </w:rPr>
        <w:t>EMD</w:t>
      </w:r>
      <w:r w:rsidRPr="005A1AC5">
        <w:t xml:space="preserve"> is implicated in diseases other than Emery-</w:t>
      </w:r>
      <w:proofErr w:type="spellStart"/>
      <w:r w:rsidRPr="005A1AC5">
        <w:t>Dreifuss</w:t>
      </w:r>
      <w:proofErr w:type="spellEnd"/>
      <w:r w:rsidRPr="005A1AC5">
        <w:t xml:space="preserve"> muscular dystrophy </w:t>
      </w:r>
    </w:p>
    <w:p w14:paraId="77D71ED5" w14:textId="7D15490E" w:rsidR="001E66EE" w:rsidRPr="005A1AC5" w:rsidRDefault="001E66EE" w:rsidP="005A1AC5">
      <w:pPr>
        <w:pStyle w:val="MDPI31text"/>
      </w:pPr>
      <w:r w:rsidRPr="005A1AC5">
        <w:t xml:space="preserve">There were 83 mutations found in </w:t>
      </w:r>
      <w:r w:rsidRPr="005A1AC5">
        <w:rPr>
          <w:i/>
          <w:iCs/>
        </w:rPr>
        <w:t>EMD</w:t>
      </w:r>
      <w:r w:rsidRPr="005A1AC5">
        <w:t xml:space="preserve">, the gene encoding </w:t>
      </w:r>
      <w:proofErr w:type="spellStart"/>
      <w:r w:rsidRPr="005A1AC5">
        <w:t>emerin</w:t>
      </w:r>
      <w:proofErr w:type="spellEnd"/>
      <w:r w:rsidRPr="005A1AC5">
        <w:t xml:space="preserve">. We found that 92.86% (n=78) of </w:t>
      </w:r>
      <w:r w:rsidRPr="005A1AC5">
        <w:rPr>
          <w:i/>
          <w:iCs/>
        </w:rPr>
        <w:t xml:space="preserve">EMD </w:t>
      </w:r>
      <w:r w:rsidRPr="005A1AC5">
        <w:t xml:space="preserve">mutations were attributed to EDMD. This study also found that mutations in </w:t>
      </w:r>
      <w:proofErr w:type="spellStart"/>
      <w:r w:rsidRPr="005A1AC5">
        <w:t>emerin</w:t>
      </w:r>
      <w:proofErr w:type="spellEnd"/>
      <w:r w:rsidRPr="005A1AC5">
        <w:t xml:space="preserve"> have been linked to the development of </w:t>
      </w:r>
      <w:bookmarkStart w:id="4" w:name="_Hlk92450927"/>
      <w:r w:rsidRPr="005A1AC5">
        <w:t xml:space="preserve">DCM, cardiac conduction disease (CCD), atrial fibrillation (AF), LGMD and rigid spine syndrome (RSS). </w:t>
      </w:r>
      <w:bookmarkEnd w:id="4"/>
      <w:r w:rsidRPr="005A1AC5">
        <w:t xml:space="preserve">It is important to note that DCM, </w:t>
      </w:r>
      <w:proofErr w:type="gramStart"/>
      <w:r w:rsidRPr="005A1AC5">
        <w:t>CCD</w:t>
      </w:r>
      <w:proofErr w:type="gramEnd"/>
      <w:r w:rsidRPr="005A1AC5">
        <w:t xml:space="preserve"> and AF are often manifestations of EDMD, although in these cases they have been recorded as isolated diseases, not symptoms of EDMD. Only eleven </w:t>
      </w:r>
      <w:r w:rsidRPr="005A1AC5">
        <w:rPr>
          <w:i/>
          <w:iCs/>
        </w:rPr>
        <w:t xml:space="preserve">EMD </w:t>
      </w:r>
      <w:r w:rsidRPr="005A1AC5">
        <w:t xml:space="preserve">mutations were splice site variants, the </w:t>
      </w:r>
      <w:r w:rsidRPr="005A1AC5">
        <w:lastRenderedPageBreak/>
        <w:t>remaining 72 (86.25%) mutations were found in the coding region (</w:t>
      </w:r>
      <w:r w:rsidRPr="005A1AC5">
        <w:rPr>
          <w:b/>
          <w:bCs/>
        </w:rPr>
        <w:t>Fig. 5A</w:t>
      </w:r>
      <w:r w:rsidRPr="005A1AC5">
        <w:t>). Within the coding region of the gene, many mutations were frameshift (n=32, 44.44%), deletion (n=9, 12.50%) and nonsense (n=15, 20.83%) variants. A notable proportion of missense mutations (n=14, 19.44%) were also identified (</w:t>
      </w:r>
      <w:r w:rsidRPr="005A1AC5">
        <w:rPr>
          <w:b/>
          <w:bCs/>
        </w:rPr>
        <w:t>Fig. 5B</w:t>
      </w:r>
      <w:r w:rsidRPr="005A1AC5">
        <w:t xml:space="preserve">). </w:t>
      </w:r>
      <w:r w:rsidRPr="005A1AC5">
        <w:rPr>
          <w:i/>
          <w:iCs/>
        </w:rPr>
        <w:t xml:space="preserve">EMD </w:t>
      </w:r>
      <w:r w:rsidRPr="005A1AC5">
        <w:t xml:space="preserve">consists of 6 exons, and mutations were found throughout the </w:t>
      </w:r>
      <w:proofErr w:type="spellStart"/>
      <w:r w:rsidRPr="005A1AC5">
        <w:t>emerin</w:t>
      </w:r>
      <w:proofErr w:type="spellEnd"/>
      <w:r w:rsidRPr="005A1AC5">
        <w:t xml:space="preserve"> gene. However, 39.75%</w:t>
      </w:r>
      <w:r w:rsidR="00211B04">
        <w:t xml:space="preserve"> </w:t>
      </w:r>
      <w:r w:rsidRPr="005A1AC5">
        <w:t xml:space="preserve">(n=33) mutations were found in exon 6, suggesting that this region </w:t>
      </w:r>
      <w:r w:rsidR="00211B04">
        <w:t>may be a</w:t>
      </w:r>
      <w:r w:rsidR="00211B04" w:rsidRPr="005A1AC5">
        <w:t xml:space="preserve"> </w:t>
      </w:r>
      <w:r w:rsidRPr="005A1AC5">
        <w:t xml:space="preserve">mutation </w:t>
      </w:r>
      <w:proofErr w:type="gramStart"/>
      <w:r w:rsidRPr="005A1AC5">
        <w:t>hot-spot</w:t>
      </w:r>
      <w:proofErr w:type="gramEnd"/>
      <w:r w:rsidRPr="005A1AC5">
        <w:t xml:space="preserve"> (</w:t>
      </w:r>
      <w:r w:rsidRPr="005A1AC5">
        <w:rPr>
          <w:b/>
          <w:bCs/>
        </w:rPr>
        <w:t>Fig. 5C</w:t>
      </w:r>
      <w:r w:rsidRPr="005A1AC5">
        <w:t xml:space="preserve">). </w:t>
      </w:r>
    </w:p>
    <w:p w14:paraId="12C6D64E" w14:textId="0C909E13" w:rsidR="001E66EE" w:rsidRPr="005A1AC5" w:rsidRDefault="001E66EE" w:rsidP="001E66EE">
      <w:pPr>
        <w:rPr>
          <w:sz w:val="24"/>
          <w:szCs w:val="24"/>
        </w:rPr>
      </w:pPr>
    </w:p>
    <w:p w14:paraId="71182ACD" w14:textId="77777777" w:rsidR="001E66EE" w:rsidRPr="005A1AC5" w:rsidRDefault="001E66EE" w:rsidP="001E66EE">
      <w:pPr>
        <w:rPr>
          <w:sz w:val="24"/>
          <w:szCs w:val="24"/>
        </w:rPr>
      </w:pPr>
      <w:r w:rsidRPr="005A1AC5">
        <w:rPr>
          <w:noProof/>
          <w:sz w:val="24"/>
          <w:szCs w:val="24"/>
        </w:rPr>
        <w:drawing>
          <wp:inline distT="0" distB="0" distL="0" distR="0" wp14:anchorId="1D263B2B" wp14:editId="5EB89179">
            <wp:extent cx="5731510" cy="3683635"/>
            <wp:effectExtent l="0" t="0" r="2540" b="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683635"/>
                    </a:xfrm>
                    <a:prstGeom prst="rect">
                      <a:avLst/>
                    </a:prstGeom>
                  </pic:spPr>
                </pic:pic>
              </a:graphicData>
            </a:graphic>
          </wp:inline>
        </w:drawing>
      </w:r>
      <w:r w:rsidRPr="005A1AC5">
        <w:rPr>
          <w:sz w:val="24"/>
          <w:szCs w:val="24"/>
        </w:rPr>
        <w:t xml:space="preserve"> </w:t>
      </w:r>
    </w:p>
    <w:p w14:paraId="6DEF4C37" w14:textId="6C9327CA" w:rsidR="001E66EE" w:rsidRPr="005A1AC5" w:rsidRDefault="005A1AC5" w:rsidP="005A1AC5">
      <w:pPr>
        <w:pStyle w:val="MDPI51figurecaption"/>
      </w:pPr>
      <w:r w:rsidRPr="005A1AC5">
        <w:rPr>
          <w:b/>
          <w:bCs/>
        </w:rPr>
        <w:t xml:space="preserve">Figure 5. </w:t>
      </w:r>
      <w:r w:rsidR="001E66EE" w:rsidRPr="005A1AC5">
        <w:rPr>
          <w:b/>
          <w:bCs/>
          <w:i/>
          <w:iCs/>
        </w:rPr>
        <w:t xml:space="preserve">EMD </w:t>
      </w:r>
      <w:r w:rsidR="001E66EE" w:rsidRPr="005A1AC5">
        <w:rPr>
          <w:b/>
          <w:bCs/>
        </w:rPr>
        <w:t xml:space="preserve">mutations. (A) Coding vs intronic mutations. </w:t>
      </w:r>
      <w:r w:rsidR="001E66EE" w:rsidRPr="005A1AC5">
        <w:t xml:space="preserve">A total of 83 </w:t>
      </w:r>
      <w:r w:rsidR="001E66EE" w:rsidRPr="005A1AC5">
        <w:rPr>
          <w:i/>
          <w:iCs/>
        </w:rPr>
        <w:t xml:space="preserve">EMD </w:t>
      </w:r>
      <w:r w:rsidR="001E66EE" w:rsidRPr="005A1AC5">
        <w:t xml:space="preserve">mutations were identified. 73 (86.75%) were coding region mutations and eleven (13.25%) were intronic variants. </w:t>
      </w:r>
      <w:r w:rsidR="001E66EE" w:rsidRPr="005A1AC5">
        <w:rPr>
          <w:b/>
          <w:bCs/>
        </w:rPr>
        <w:t xml:space="preserve">(B) Coding region mutations. </w:t>
      </w:r>
      <w:r w:rsidR="001E66EE" w:rsidRPr="005A1AC5">
        <w:t xml:space="preserve">The largest percentage of coding region mutations were frameshift (32, 44.44%), deletion (9, 12.50%) and nonsense (15, 20.83%) variants. Missense mutations (14, 19.44%) also accounted for a considerable proportion of the mutations identified. A couple of insertion (2, 2.78%) mutations were also identified. </w:t>
      </w:r>
      <w:r w:rsidR="001E66EE" w:rsidRPr="005A1AC5">
        <w:rPr>
          <w:b/>
          <w:bCs/>
        </w:rPr>
        <w:t xml:space="preserve">(C) Mutation frequency in </w:t>
      </w:r>
      <w:r w:rsidR="001E66EE" w:rsidRPr="005A1AC5">
        <w:rPr>
          <w:b/>
          <w:bCs/>
          <w:i/>
          <w:iCs/>
        </w:rPr>
        <w:t xml:space="preserve">EMD </w:t>
      </w:r>
      <w:r w:rsidR="001E66EE" w:rsidRPr="005A1AC5">
        <w:rPr>
          <w:b/>
          <w:bCs/>
        </w:rPr>
        <w:t xml:space="preserve">exons. </w:t>
      </w:r>
      <w:r w:rsidR="001E66EE" w:rsidRPr="005A1AC5">
        <w:t xml:space="preserve">Mutations most frequently occurred within exon 6, accounting for 45.21% (33) of total coding region mutations. Exon 2 contained the second highest proportion of mutations (17, 23.29%), followed by exons 3 (7, 9.59%) and 4 (6, 8.22%). Exon 1 and 5 contained the fewest </w:t>
      </w:r>
      <w:r w:rsidR="001E66EE" w:rsidRPr="005A1AC5">
        <w:rPr>
          <w:i/>
          <w:iCs/>
        </w:rPr>
        <w:t xml:space="preserve">EMD </w:t>
      </w:r>
      <w:r w:rsidR="001E66EE" w:rsidRPr="005A1AC5">
        <w:t>variants (5, 6.85% and 4, 5.48%, respectively). Created with GraphPad Prism.</w:t>
      </w:r>
    </w:p>
    <w:p w14:paraId="104BBCBD" w14:textId="77777777" w:rsidR="001E66EE" w:rsidRPr="005A1AC5" w:rsidRDefault="001E66EE" w:rsidP="001E66EE">
      <w:pPr>
        <w:rPr>
          <w:sz w:val="24"/>
          <w:szCs w:val="24"/>
        </w:rPr>
      </w:pPr>
    </w:p>
    <w:p w14:paraId="449461B9" w14:textId="34A087F6" w:rsidR="001E66EE" w:rsidRPr="005A1AC5" w:rsidRDefault="001E66EE" w:rsidP="005A1AC5">
      <w:pPr>
        <w:pStyle w:val="MDPI22heading2"/>
        <w:spacing w:before="240"/>
      </w:pPr>
      <w:r w:rsidRPr="005A1AC5">
        <w:t>Mutations in inner nuclear membrane protein, TMEM43</w:t>
      </w:r>
      <w:r w:rsidR="00355D6E">
        <w:t>, and integral LINC complex components SUN1/SUN2,</w:t>
      </w:r>
      <w:r w:rsidRPr="005A1AC5">
        <w:t xml:space="preserve"> </w:t>
      </w:r>
      <w:r w:rsidR="00355D6E">
        <w:t>are</w:t>
      </w:r>
      <w:r w:rsidRPr="005A1AC5">
        <w:t xml:space="preserve"> also linked to Emery-Dreifuss muscular dystrophy</w:t>
      </w:r>
    </w:p>
    <w:p w14:paraId="3F3FEA9D" w14:textId="73D0BA83" w:rsidR="001E66EE" w:rsidRPr="00355D6E" w:rsidRDefault="001E66EE" w:rsidP="005A1AC5">
      <w:pPr>
        <w:pStyle w:val="MDPI31text"/>
      </w:pPr>
      <w:r w:rsidRPr="005A1AC5">
        <w:t xml:space="preserve">In this study, mutations in the INM protein TMEM43 were also found to be linked to the development of EDMD. Only two mutations in </w:t>
      </w:r>
      <w:r w:rsidRPr="005A1AC5">
        <w:rPr>
          <w:i/>
          <w:iCs/>
        </w:rPr>
        <w:t xml:space="preserve">TMEM43 </w:t>
      </w:r>
      <w:r w:rsidRPr="005A1AC5">
        <w:t xml:space="preserve">were identified in the literature, however the evidence linking the mutations to EDMD is weak. No other diseases were found to be </w:t>
      </w:r>
      <w:r w:rsidRPr="005A1AC5">
        <w:lastRenderedPageBreak/>
        <w:t>associated with mutations in this gene.</w:t>
      </w:r>
      <w:r w:rsidR="00355D6E">
        <w:t xml:space="preserve"> Although we found no mutations in </w:t>
      </w:r>
      <w:r w:rsidR="00355D6E">
        <w:rPr>
          <w:i/>
          <w:iCs/>
        </w:rPr>
        <w:t xml:space="preserve">SUN1/SUN2 </w:t>
      </w:r>
      <w:r w:rsidR="00355D6E">
        <w:t xml:space="preserve">that were directly found to cause disease, </w:t>
      </w:r>
      <w:r w:rsidR="00355D6E">
        <w:rPr>
          <w:i/>
          <w:iCs/>
        </w:rPr>
        <w:t xml:space="preserve">SUN1/SUN2 </w:t>
      </w:r>
      <w:r w:rsidR="00355D6E">
        <w:t xml:space="preserve">variants have been identified as disease severity modifiers in EDMD when mutations in </w:t>
      </w:r>
      <w:r w:rsidR="00355D6E">
        <w:rPr>
          <w:i/>
          <w:iCs/>
        </w:rPr>
        <w:t xml:space="preserve">LMNA </w:t>
      </w:r>
      <w:r w:rsidR="00355D6E">
        <w:t xml:space="preserve">or </w:t>
      </w:r>
      <w:r w:rsidR="00355D6E">
        <w:rPr>
          <w:i/>
          <w:iCs/>
        </w:rPr>
        <w:t xml:space="preserve">EMD </w:t>
      </w:r>
      <w:r w:rsidR="00355D6E">
        <w:t>are present</w:t>
      </w:r>
      <w:r w:rsidR="003D7446">
        <w:t xml:space="preserve"> </w:t>
      </w:r>
      <w:r w:rsidR="003D7446">
        <w:fldChar w:fldCharType="begin" w:fldLock="1"/>
      </w:r>
      <w:r w:rsidR="00EE0616">
        <w:instrText>ADDIN CSL_CITATION {"citationItems":[{"id":"ITEM-1","itemData":{"DOI":"10.1371/journal.pgen.1004605","ISSN":"1553-7404","PMID":"25210889","abstract":"Proteins of the nuclear envelope (NE) are associated with a range of inherited disorders, most commonly involving muscular dystrophy and cardiomyopathy, as exemplified by Emery-Dreifuss muscular dystrophy (EDMD). EDMD is both genetically and phenotypically variable, and some evidence of modifier genes has been reported. Six genes have so far been linked to EDMD, four encoding proteins associated with the LINC complex that connects the nucleus to the cytoskeleton. However, 50% of patients have no identifiable mutations in these genes. Using a candidate approach, we have identified putative disease-causing variants in the SUN1 and SUN2 genes, also encoding LINC complex components, in patients with EDMD and related myopathies. Our data also suggest that SUN1 and SUN2 can act as disease modifier genes in individuals with co-segregating mutations in other EDMD genes. Five SUN1/SUN2 variants examined impaired rearward nuclear repositioning in fibroblasts, confirming defective LINC complex function in nuclear-cytoskeletal coupling. Furthermore, myotubes from a patient carrying compound heterozygous SUN1 mutations displayed gross defects in myonuclear organization. This was accompanied by loss of recruitment of centrosomal marker, pericentrin, to the NE and impaired microtubule nucleation at the NE, events that are required for correct myonuclear arrangement. These defects were recapitulated in C2C12 myotubes expressing exogenous SUN1 variants, demonstrating a direct link between SUN1 mutation and impairment of nuclear-microtubule coupling and myonuclear positioning. Our findings strongly support an important role for SUN1 and SUN2 in muscle disease pathogenesis and support the hypothesis that defects in the LINC complex contribute to disease pathology through disruption of nuclear-microtubule association, resulting in defective myonuclear positioning.","author":[{"dropping-particle":"","family":"Meinke","given":"Peter","non-dropping-particle":"","parse-names":false,"suffix":""},{"dropping-particle":"","family":"Mattioli","given":"Elisabetta","non-dropping-particle":"","parse-names":false,"suffix":""},{"dropping-particle":"","family":"Haque","given":"Farhana","non-dropping-particle":"","parse-names":false,"suffix":""},{"dropping-particle":"","family":"Antoku","given":"Susumu","non-dropping-particle":"","parse-names":false,"suffix":""},{"dropping-particle":"","family":"Columbaro","given":"Marta","non-dropping-particle":"","parse-names":false,"suffix":""},{"dropping-particle":"","family":"Straatman","given":"Kees R.","non-dropping-particle":"","parse-names":false,"suffix":""},{"dropping-particle":"","family":"Worman","given":"Howard J.","non-dropping-particle":"","parse-names":false,"suffix":""},{"dropping-particle":"","family":"Gundersen","given":"Gregg G.","non-dropping-particle":"","parse-names":false,"suffix":""},{"dropping-particle":"","family":"Lattanzi","given":"Giovanna","non-dropping-particle":"","parse-names":false,"suffix":""},{"dropping-particle":"","family":"Wehnert","given":"Manfred","non-dropping-particle":"","parse-names":false,"suffix":""},{"dropping-particle":"","family":"Shackleton","given":"Sue","non-dropping-particle":"","parse-names":false,"suffix":""}],"container-title":"PLoS Genetics","editor":[{"dropping-particle":"","family":"Cox","given":"Gregory A.","non-dropping-particle":"","parse-names":false,"suffix":""}],"id":"ITEM-1","issue":"9","issued":{"date-parts":[["2014","9","11"]]},"page":"e1004605","title":"Muscular Dystrophy-Associated SUN1 and SUN2 Variants Disrupt Nuclear-Cytoskeletal Connections and Myonuclear Organization","type":"article-journal","volume":"10"},"uris":["http://www.mendeley.com/documents/?uuid=3a14efbc-91dc-348c-9778-bebbdbfea0e9"]}],"mendeley":{"formattedCitation":"[76]","plainTextFormattedCitation":"[76]","previouslyFormattedCitation":"[76]"},"properties":{"noteIndex":0},"schema":"https://github.com/citation-style-language/schema/raw/master/csl-citation.json"}</w:instrText>
      </w:r>
      <w:r w:rsidR="003D7446">
        <w:fldChar w:fldCharType="separate"/>
      </w:r>
      <w:r w:rsidR="003D7446" w:rsidRPr="003D7446">
        <w:rPr>
          <w:noProof/>
        </w:rPr>
        <w:t>[76]</w:t>
      </w:r>
      <w:r w:rsidR="003D7446">
        <w:fldChar w:fldCharType="end"/>
      </w:r>
      <w:r w:rsidR="00355D6E">
        <w:t>.</w:t>
      </w:r>
    </w:p>
    <w:p w14:paraId="12185876" w14:textId="77777777" w:rsidR="001E66EE" w:rsidRPr="005A1AC5" w:rsidRDefault="001E66EE" w:rsidP="001E66EE">
      <w:pPr>
        <w:rPr>
          <w:sz w:val="24"/>
          <w:szCs w:val="24"/>
        </w:rPr>
      </w:pPr>
    </w:p>
    <w:p w14:paraId="4B066F06" w14:textId="77777777" w:rsidR="001E66EE" w:rsidRPr="005A1AC5" w:rsidRDefault="001E66EE" w:rsidP="005A1AC5">
      <w:pPr>
        <w:pStyle w:val="MDPI22heading2"/>
        <w:spacing w:before="240"/>
      </w:pPr>
      <w:r w:rsidRPr="005A1AC5">
        <w:t>Outer Nuclear Membrane</w:t>
      </w:r>
    </w:p>
    <w:p w14:paraId="50DE0FF2" w14:textId="77777777" w:rsidR="001E66EE" w:rsidRPr="005A1AC5" w:rsidRDefault="001E66EE" w:rsidP="005A1AC5">
      <w:pPr>
        <w:pStyle w:val="MDPI23heading3"/>
      </w:pPr>
      <w:r w:rsidRPr="005A1AC5">
        <w:t>Most often, nesprin-1 nonsense mutations cause nervous system disorders, particularly spinocerebellar ataxia 8 (SCAR8)</w:t>
      </w:r>
    </w:p>
    <w:p w14:paraId="68B03748" w14:textId="6103CC88" w:rsidR="001E66EE" w:rsidRPr="005A1AC5" w:rsidRDefault="001E66EE" w:rsidP="005A1AC5">
      <w:pPr>
        <w:pStyle w:val="MDPI31text"/>
      </w:pPr>
      <w:r w:rsidRPr="005A1AC5">
        <w:t xml:space="preserve">In total, 141 mutations in </w:t>
      </w:r>
      <w:r w:rsidRPr="005A1AC5">
        <w:rPr>
          <w:i/>
          <w:iCs/>
        </w:rPr>
        <w:t xml:space="preserve">SYNE1 </w:t>
      </w:r>
      <w:r w:rsidRPr="005A1AC5">
        <w:t>were identified. Out of these, four mutations were found to specifically affect the expression of short isoform nesprin-1</w:t>
      </w:r>
      <w:r w:rsidRPr="005A1AC5">
        <w:rPr>
          <w:rFonts w:cstheme="minorHAnsi"/>
        </w:rPr>
        <w:t>α.</w:t>
      </w:r>
      <w:r w:rsidRPr="005A1AC5">
        <w:t xml:space="preserve"> Only three mutations were identified in </w:t>
      </w:r>
      <w:r w:rsidRPr="005A1AC5">
        <w:rPr>
          <w:i/>
          <w:iCs/>
        </w:rPr>
        <w:t xml:space="preserve">SYNE2. </w:t>
      </w:r>
      <w:r w:rsidRPr="005A1AC5">
        <w:t>Most of the</w:t>
      </w:r>
      <w:r w:rsidRPr="005A1AC5">
        <w:rPr>
          <w:i/>
          <w:iCs/>
        </w:rPr>
        <w:t xml:space="preserve"> SYNE1 </w:t>
      </w:r>
      <w:r w:rsidRPr="005A1AC5">
        <w:t>mutations were coding region mutations (n=127, 90.07%), with only 14 intronic mutations being identified (9.93%) (</w:t>
      </w:r>
      <w:r w:rsidRPr="005A1AC5">
        <w:rPr>
          <w:b/>
          <w:bCs/>
        </w:rPr>
        <w:t>Fig. 6A</w:t>
      </w:r>
      <w:r w:rsidRPr="005A1AC5">
        <w:t>). 48.82% (n=62) of mutations in the coding region of the gene were nonsense (</w:t>
      </w:r>
      <w:r w:rsidRPr="005A1AC5">
        <w:rPr>
          <w:b/>
          <w:bCs/>
        </w:rPr>
        <w:t>Fig. 6B</w:t>
      </w:r>
      <w:r w:rsidRPr="005A1AC5">
        <w:t>). Additionally, missense (n=32, 25.20%), frameshift (n=30, 23.62%) and deletion (n=3, 2.36%) mutations were identified (</w:t>
      </w:r>
      <w:r w:rsidRPr="005A1AC5">
        <w:rPr>
          <w:b/>
          <w:bCs/>
        </w:rPr>
        <w:t>Fig. 6B</w:t>
      </w:r>
      <w:r w:rsidRPr="005A1AC5">
        <w:t xml:space="preserve">). No duplication or insertion mutations were discovered. These mutations were found to be distributed mostly throughout the region of the gene that encodes the </w:t>
      </w:r>
      <w:proofErr w:type="spellStart"/>
      <w:r w:rsidRPr="005A1AC5">
        <w:t>spectrin</w:t>
      </w:r>
      <w:proofErr w:type="spellEnd"/>
      <w:r w:rsidRPr="005A1AC5">
        <w:t xml:space="preserve"> repeats (SRs), with seven mutations being found in the N-terminal calponin homology (CH) domain and three in the KASH domain. </w:t>
      </w:r>
    </w:p>
    <w:p w14:paraId="4B45AA62" w14:textId="77777777" w:rsidR="001E66EE" w:rsidRPr="005A1AC5" w:rsidRDefault="001E66EE" w:rsidP="001E66EE">
      <w:pPr>
        <w:rPr>
          <w:b/>
          <w:bCs/>
          <w:sz w:val="24"/>
          <w:szCs w:val="24"/>
        </w:rPr>
      </w:pPr>
      <w:r w:rsidRPr="005A1AC5">
        <w:rPr>
          <w:b/>
          <w:bCs/>
          <w:noProof/>
          <w:sz w:val="24"/>
          <w:szCs w:val="24"/>
        </w:rPr>
        <w:drawing>
          <wp:inline distT="0" distB="0" distL="0" distR="0" wp14:anchorId="69B1B947" wp14:editId="621DCF54">
            <wp:extent cx="5731510" cy="4034790"/>
            <wp:effectExtent l="0" t="0" r="2540" b="3810"/>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034790"/>
                    </a:xfrm>
                    <a:prstGeom prst="rect">
                      <a:avLst/>
                    </a:prstGeom>
                  </pic:spPr>
                </pic:pic>
              </a:graphicData>
            </a:graphic>
          </wp:inline>
        </w:drawing>
      </w:r>
    </w:p>
    <w:p w14:paraId="4AA65AA7" w14:textId="168F8EE0" w:rsidR="001E66EE" w:rsidRPr="005A1AC5" w:rsidRDefault="005A1AC5" w:rsidP="005A1AC5">
      <w:pPr>
        <w:pStyle w:val="MDPI51figurecaption"/>
      </w:pPr>
      <w:r w:rsidRPr="005A1AC5">
        <w:rPr>
          <w:b/>
          <w:bCs/>
        </w:rPr>
        <w:t xml:space="preserve">Figure 6. </w:t>
      </w:r>
      <w:r w:rsidR="001E66EE" w:rsidRPr="005A1AC5">
        <w:rPr>
          <w:b/>
          <w:bCs/>
          <w:i/>
          <w:iCs/>
        </w:rPr>
        <w:t xml:space="preserve">SYNE1 </w:t>
      </w:r>
      <w:r w:rsidR="001E66EE" w:rsidRPr="005A1AC5">
        <w:rPr>
          <w:b/>
          <w:bCs/>
        </w:rPr>
        <w:t xml:space="preserve">mutations. (A) Coding vs intronic mutations. </w:t>
      </w:r>
      <w:r w:rsidR="001E66EE" w:rsidRPr="005A1AC5">
        <w:t xml:space="preserve">There were 127 (90.07%) mutations identified in the coding region of </w:t>
      </w:r>
      <w:r w:rsidR="001E66EE" w:rsidRPr="005A1AC5">
        <w:rPr>
          <w:i/>
          <w:iCs/>
        </w:rPr>
        <w:t>SYNE1</w:t>
      </w:r>
      <w:r w:rsidR="001E66EE" w:rsidRPr="005A1AC5">
        <w:t xml:space="preserve"> and 14 (9.93%) were intronic. </w:t>
      </w:r>
      <w:r w:rsidR="001E66EE" w:rsidRPr="005A1AC5">
        <w:rPr>
          <w:b/>
          <w:bCs/>
        </w:rPr>
        <w:t xml:space="preserve">(B) Coding region mutations. </w:t>
      </w:r>
      <w:r w:rsidR="001E66EE" w:rsidRPr="005A1AC5">
        <w:t xml:space="preserve">Almost half (48.82%, 62) of coding region mutations were nonsense. Many mutations were also missense (32, 25.20%) and frameshift (30, 23.62%) variants. Three (2.36%) deletion mutations were also identified. </w:t>
      </w:r>
      <w:r w:rsidR="001E66EE" w:rsidRPr="005A1AC5">
        <w:rPr>
          <w:b/>
          <w:bCs/>
        </w:rPr>
        <w:t xml:space="preserve">(C) Diseases associated with </w:t>
      </w:r>
      <w:r w:rsidR="001E66EE" w:rsidRPr="005A1AC5">
        <w:rPr>
          <w:b/>
          <w:bCs/>
          <w:i/>
          <w:iCs/>
        </w:rPr>
        <w:t xml:space="preserve">SYNE1 </w:t>
      </w:r>
      <w:r w:rsidR="001E66EE" w:rsidRPr="005A1AC5">
        <w:rPr>
          <w:b/>
          <w:bCs/>
        </w:rPr>
        <w:t xml:space="preserve">variants. </w:t>
      </w:r>
      <w:r w:rsidR="001E66EE" w:rsidRPr="005A1AC5">
        <w:t xml:space="preserve">The most common disease resulting from </w:t>
      </w:r>
      <w:r w:rsidR="001E66EE" w:rsidRPr="005A1AC5">
        <w:rPr>
          <w:i/>
          <w:iCs/>
        </w:rPr>
        <w:t xml:space="preserve">SYNE1 </w:t>
      </w:r>
      <w:r w:rsidR="001E66EE" w:rsidRPr="005A1AC5">
        <w:t xml:space="preserve">variants was autosomal recessive spinocerebellar ataxia (SCAR8). 122 (85.82%) mutations were related to this disease. Amyotrophic </w:t>
      </w:r>
      <w:r w:rsidR="001E66EE" w:rsidRPr="005A1AC5">
        <w:lastRenderedPageBreak/>
        <w:t xml:space="preserve">lateral sclerosis was also found to be frequently caused by </w:t>
      </w:r>
      <w:r w:rsidR="001E66EE" w:rsidRPr="005A1AC5">
        <w:rPr>
          <w:i/>
          <w:iCs/>
        </w:rPr>
        <w:t xml:space="preserve">SYNE1 </w:t>
      </w:r>
      <w:r w:rsidR="001E66EE" w:rsidRPr="005A1AC5">
        <w:t>mutations (19, 13.48%). Seven cases of Emery-</w:t>
      </w:r>
      <w:proofErr w:type="spellStart"/>
      <w:r w:rsidR="001E66EE" w:rsidRPr="005A1AC5">
        <w:t>Dreifuss</w:t>
      </w:r>
      <w:proofErr w:type="spellEnd"/>
      <w:r w:rsidR="001E66EE" w:rsidRPr="005A1AC5">
        <w:t xml:space="preserve"> muscular dystrophy (EDMD) were related to </w:t>
      </w:r>
      <w:r w:rsidR="001E66EE" w:rsidRPr="005A1AC5">
        <w:rPr>
          <w:i/>
          <w:iCs/>
        </w:rPr>
        <w:t xml:space="preserve">SYNE1 </w:t>
      </w:r>
      <w:r w:rsidR="001E66EE" w:rsidRPr="005A1AC5">
        <w:t>variants, and a handful of mutations were associated with myopathic arthrogryposis (2), dilated cardiomyopathy (DCM) (5) and general muscle weakness (1). Created with GraphPad Prism.</w:t>
      </w:r>
    </w:p>
    <w:p w14:paraId="283D2D67" w14:textId="1C68E2DF" w:rsidR="001E66EE" w:rsidRPr="005A1AC5" w:rsidRDefault="001E66EE" w:rsidP="005A1AC5">
      <w:pPr>
        <w:pStyle w:val="MDPI31text"/>
      </w:pPr>
      <w:r w:rsidRPr="005A1AC5">
        <w:t xml:space="preserve">Mutations in </w:t>
      </w:r>
      <w:r w:rsidRPr="005A1AC5">
        <w:rPr>
          <w:i/>
          <w:iCs/>
        </w:rPr>
        <w:t xml:space="preserve">SYNE1 </w:t>
      </w:r>
      <w:r w:rsidRPr="005A1AC5">
        <w:t>predominantly cause diseases of the nervous system. Of the mutations identified, 122 were associated with SCAR8, whilst 19 mutations were found to cause ALS (</w:t>
      </w:r>
      <w:r w:rsidRPr="005A1AC5">
        <w:rPr>
          <w:b/>
          <w:bCs/>
        </w:rPr>
        <w:t>Fig. 6C</w:t>
      </w:r>
      <w:r w:rsidRPr="005A1AC5">
        <w:t xml:space="preserve">). Fewer mutations were related to the development of EDMD (n=7), </w:t>
      </w:r>
      <w:bookmarkStart w:id="5" w:name="OLE_LINK3"/>
      <w:r w:rsidRPr="005A1AC5">
        <w:t xml:space="preserve">myopathic arthrogryposis </w:t>
      </w:r>
      <w:bookmarkEnd w:id="5"/>
      <w:r w:rsidRPr="005A1AC5">
        <w:t>(n=1), generalized muscle weakness (n=1), and DCM (n=5) (</w:t>
      </w:r>
      <w:r w:rsidRPr="005A1AC5">
        <w:rPr>
          <w:b/>
          <w:bCs/>
        </w:rPr>
        <w:t>Fig. 6C</w:t>
      </w:r>
      <w:r w:rsidRPr="005A1AC5">
        <w:t xml:space="preserve">). Two of the </w:t>
      </w:r>
      <w:r w:rsidRPr="005A1AC5">
        <w:rPr>
          <w:i/>
          <w:iCs/>
        </w:rPr>
        <w:t xml:space="preserve">SYNE2 </w:t>
      </w:r>
      <w:r w:rsidRPr="005A1AC5">
        <w:t>mutations caused EDMD, whilst a single mutation was found to cause ALS.</w:t>
      </w:r>
    </w:p>
    <w:p w14:paraId="4E0395F8" w14:textId="77777777" w:rsidR="001E66EE" w:rsidRPr="005A1AC5" w:rsidRDefault="001E66EE" w:rsidP="005A1AC5">
      <w:pPr>
        <w:pStyle w:val="MDPI21heading1"/>
      </w:pPr>
      <w:r w:rsidRPr="005A1AC5">
        <w:t>Discussion</w:t>
      </w:r>
    </w:p>
    <w:p w14:paraId="7A9D24DB" w14:textId="0D8CB52C" w:rsidR="001E66EE" w:rsidRPr="005A1AC5" w:rsidRDefault="001E66EE" w:rsidP="005A1AC5">
      <w:pPr>
        <w:pStyle w:val="MDPI31text"/>
      </w:pPr>
      <w:r w:rsidRPr="005A1AC5">
        <w:t xml:space="preserve">In this study we systematically reviewed and </w:t>
      </w:r>
      <w:proofErr w:type="spellStart"/>
      <w:r w:rsidRPr="005A1AC5">
        <w:t>summarised</w:t>
      </w:r>
      <w:proofErr w:type="spellEnd"/>
      <w:r w:rsidRPr="005A1AC5">
        <w:t xml:space="preserve"> known mutations in genes encoding LINC complex-associated proteins that are related to human disease, providing a useful resource for researchers in this field. We have demonstrated that there appear to be no obvious correlations between the position of </w:t>
      </w:r>
      <w:proofErr w:type="spellStart"/>
      <w:r w:rsidRPr="005A1AC5">
        <w:t>lamin</w:t>
      </w:r>
      <w:proofErr w:type="spellEnd"/>
      <w:r w:rsidRPr="005A1AC5">
        <w:t xml:space="preserve"> A/C mutations on the </w:t>
      </w:r>
      <w:r w:rsidRPr="005A1AC5">
        <w:rPr>
          <w:i/>
          <w:iCs/>
        </w:rPr>
        <w:t xml:space="preserve">LMNA </w:t>
      </w:r>
      <w:r w:rsidRPr="005A1AC5">
        <w:t xml:space="preserve">gene and different disease phenotypes. However, we found a high frequency of striated muscle disease-causing </w:t>
      </w:r>
      <w:r w:rsidRPr="005A1AC5">
        <w:rPr>
          <w:i/>
          <w:iCs/>
        </w:rPr>
        <w:t xml:space="preserve">LMNA </w:t>
      </w:r>
      <w:r w:rsidRPr="005A1AC5">
        <w:t>variants located within exons 1 and 6, whilst mutations associated with metabolic diseases often occurred in exon 7 onwards. A</w:t>
      </w:r>
      <w:r w:rsidR="00096B09">
        <w:t xml:space="preserve"> potential</w:t>
      </w:r>
      <w:r w:rsidRPr="005A1AC5">
        <w:t xml:space="preserve"> </w:t>
      </w:r>
      <w:proofErr w:type="spellStart"/>
      <w:r w:rsidRPr="005A1AC5">
        <w:t>emerin</w:t>
      </w:r>
      <w:proofErr w:type="spellEnd"/>
      <w:r w:rsidRPr="005A1AC5">
        <w:t xml:space="preserve"> mutation “hot-spot” was also identified within exon 6 of </w:t>
      </w:r>
      <w:r w:rsidRPr="005A1AC5">
        <w:rPr>
          <w:i/>
          <w:iCs/>
        </w:rPr>
        <w:t>EMD</w:t>
      </w:r>
      <w:r w:rsidRPr="005A1AC5">
        <w:t xml:space="preserve">. We have also observed that most often </w:t>
      </w:r>
      <w:r w:rsidRPr="005A1AC5">
        <w:rPr>
          <w:i/>
          <w:iCs/>
        </w:rPr>
        <w:t xml:space="preserve">SYNE1 </w:t>
      </w:r>
      <w:r w:rsidRPr="005A1AC5">
        <w:t xml:space="preserve">nonsense variants lead to the development of nervous system disease. </w:t>
      </w:r>
    </w:p>
    <w:p w14:paraId="799BD69F" w14:textId="5F693083" w:rsidR="001E66EE" w:rsidRPr="005A1AC5" w:rsidRDefault="001E66EE" w:rsidP="005A1AC5">
      <w:pPr>
        <w:pStyle w:val="MDPI31text"/>
      </w:pPr>
      <w:r w:rsidRPr="005A1AC5">
        <w:rPr>
          <w:i/>
          <w:iCs/>
        </w:rPr>
        <w:t xml:space="preserve">LMNA </w:t>
      </w:r>
      <w:r w:rsidRPr="005A1AC5">
        <w:t xml:space="preserve">variants were associated with 35 different conditions, and in some cases, identical mutations caused diseases with entirely different phenotypes. A notorious example of this is the mutation p.Arg644Cys, which causes 11 different disease phenotypes affecting skeletal and cardiac muscle </w:t>
      </w:r>
      <w:r w:rsidRPr="005A1AC5">
        <w:fldChar w:fldCharType="begin" w:fldLock="1"/>
      </w:r>
      <w:r w:rsidRPr="005A1AC5">
        <w:instrText>ADDIN CSL_CITATION {"citationItems":[{"id":"ITEM-1","itemData":{"DOI":"10.1007/s00395-008-0748-6","ISSN":"1435-1803","abstract":"The familial form of dilated cardiomyopathy (DCM) occurs in about 20%-50% of DCM cases. It is a heterogeneous genetic disease: mutations in more than 20 different genes have been shown to cause familial DCM. LMNA, encoding the nuclear membrane protein lamin A/C, is one of the most important disease gene for that disease. Therefore, we analyzed the LMNA gene in a large cohort of 73 patients with familial DCM. Clinical examination (ECG, echocardiography, and catheterization) was followed by genetic characterization of LMNA by direct sequencing. We detected five heterozygous missense mutations (prevalence 7%) in five different families characterized by severe DCM and heart failure with conduction system disease necessitating pacemaker implantation and heart transplantation. Four of these variants clustered in the protein domain coil 1B, which is important for lamin B interaction and lamin A/C dimerization. Although we identified two novel mutations (E203V, K219T) besides three known ones (E161K, R190Q, R644C), it was remarkable that four mutations represent LMNA hot spots. DCM patients with LMNA mutations show a notable homogenous severe phenotype as we could confirm in our study. Testing LMNA in such families seems to be recommended because genotype information in an individual could definitely be useful for the clinician.","author":[{"dropping-particle":"","family":"Perrot","given":"Andreas","non-dropping-particle":"","parse-names":false,"suffix":""},{"dropping-particle":"","family":"Hussein","given":"Shwan","non-dropping-particle":"","parse-names":false,"suffix":""},{"dropping-particle":"","family":"Ruppert","given":"Volker","non-dropping-particle":"","parse-names":false,"suffix":""},{"dropping-particle":"","family":"Schmidt","given":"Hartmut H J","non-dropping-particle":"","parse-names":false,"suffix":""},{"dropping-particle":"","family":"Wehnert","given":"Manfred S","non-dropping-particle":"","parse-names":false,"suffix":""},{"dropping-particle":"","family":"Duong","given":"Nguyen Thuy","non-dropping-particle":"","parse-names":false,"suffix":""},{"dropping-particle":"","family":"Posch","given":"Maximilian G","non-dropping-particle":"","parse-names":false,"suffix":""},{"dropping-particle":"","family":"Panek","given":"Anna","non-dropping-particle":"","parse-names":false,"suffix":""},{"dropping-particle":"","family":"Dietz","given":"Rainer","non-dropping-particle":"","parse-names":false,"suffix":""},{"dropping-particle":"","family":"Kindermann","given":"Ingrid","non-dropping-particle":"","parse-names":false,"suffix":""},{"dropping-particle":"","family":"Böhm","given":"Michael","non-dropping-particle":"","parse-names":false,"suffix":""},{"dropping-particle":"","family":"Michalewska-Wludarczyk","given":"Aleksandra","non-dropping-particle":"","parse-names":false,"suffix":""},{"dropping-particle":"","family":"Richter","given":"Anette","non-dropping-particle":"","parse-names":false,"suffix":""},{"dropping-particle":"","family":"Maisch","given":"Bernhard","non-dropping-particle":"","parse-names":false,"suffix":""},{"dropping-particle":"","family":"Pankuweit","given":"Sabine","non-dropping-particle":"","parse-names":false,"suffix":""},{"dropping-particle":"","family":"Ozcelik","given":"Cemil","non-dropping-particle":"","parse-names":false,"suffix":""}],"container-title":"Basic research in cardiology","id":"ITEM-1","issue":"1","issued":{"date-parts":[["2009"]]},"page":"90-99","title":"Identification of mutational hot spots in LMNA encoding lamin A/C in patients with familial dilated cardiomyopathy.","type":"article-journal","volume":"104"},"uris":["http://www.mendeley.com/documents/?uuid=5e0b4827-7761-48f8-a8a0-1a571c838684"]},{"id":"ITEM-2","itemData":{"DOI":"10.1093/eurheartj/ehr451","ISSN":"1522-9645","abstract":"Aims: Arrhythmogenic right ventricular cardiomyopathy (ARVC) is an inherited heart muscle disease predominantly caused by mutations in desmosomal protein genes. Lamin A/C gene (LMNA) mutations are associated with dilated cardiomyopathy, conduction abnormalities and high incidence of sudden cardiac death. In this study, we screened a large cohort of ARVC patients for LMNA mutations.; Methods and Results: One hundred and eight patients from unrelated families with borderline (n = 27) or definite (n = 81) diagnosis of ARVC were genetically tested for five desmosomal genes and LMNA. Sixty-one (56.5%) were positive for desmosomal gene mutations. Standard polymerase chain reaction (PCR) amplification of the 12 protein-coding LMNA exons was performed and mutational screening performed by direct sequencing. Four patients (4%) without desmosomal gene mutations carried LMNA variants. Three had severe right ventricular involvement, and during follow-up three died (two suddenly and one from congestive heart failure); all three had conduction abnormalities on resting 12-lead electrocardiogram (ECG). Myocardial tissue from two patients showed myocyte loss and fibro-fatty replacement. In one of these, immunohistochemical staining with antibody to plakoglobin showed reduced/absent staining of the intercalated discs in the myocardium.; Conclusion: Lamin A/C gene mutations can be found in severe forms of ARVC. Lamin A/C gene should be added to desmosomal genes when genetically testing patients with suspected ARVC, particularly when they also have ECG evidence for conduction disease.","author":[{"dropping-particle":"","family":"Quarta","given":"Giovanni","non-dropping-particle":"","parse-names":false,"suffix":""},{"dropping-particle":"","family":"Syrris","given":"Petros","non-dropping-particle":"","parse-names":false,"suffix":""},{"dropping-particle":"","family":"Ashworth","given":"Michael","non-dropping-particle":"","parse-names":false,"suffix":""},{"dropping-particle":"","family":"Jenkins","given":"Sharon","non-dropping-particle":"","parse-names":false,"suffix":""},{"dropping-particle":"","family":"Zuborne Alapi","given":"Krisztina","non-dropping-particle":"","parse-names":false,"suffix":""},{"dropping-particle":"","family":"Morgan","given":"John","non-dropping-particle":"","parse-names":false,"suffix":""},{"dropping-particle":"","family":"Muir","given":"Alison","non-dropping-particle":"","parse-names":false,"suffix":""},{"dropping-particle":"","family":"Pantazis","given":"Antonios","non-dropping-particle":"","parse-names":false,"suffix":""},{"dropping-particle":"","family":"McKenna","given":"William J","non-dropping-particle":"","parse-names":false,"suffix":""},{"dropping-particle":"","family":"Elliott","given":"Perry M","non-dropping-particle":"","parse-names":false,"suffix":""}],"container-title":"European heart journal","id":"ITEM-2","issue":"9","issued":{"date-parts":[["2012"]]},"page":"1128-1136","title":"Mutations in the Lamin A/C gene mimic arrhythmogenic right ventricular cardiomyopathy.","type":"article-journal","volume":"33"},"uris":["http://www.mendeley.com/documents/?uuid=5b50c1b9-20c8-40f7-88d3-d87de2811627"]},{"id":"ITEM-3","itemData":{"DOI":"10.14503/THIJ-13-3843","ISSN":"1526-6702","abstract":"Left ventricular noncompaction is a rare type of cardiomyopathy, the genetics of which are poorly understood to date. Lamin A/C gene mutations have been associated with dilated cardiomyopathy and diseases of the conduction system, but rarely in left ventricular noncompaction cardiomyopathy. This report describes the cases of 4 family members with a lamin A/C gene mutation, 3 of whom had phenotypic expression of left ventricular noncompaction.","author":[{"dropping-particle":"","family":"Parent","given":"John J","non-dropping-particle":"","parse-names":false,"suffix":""},{"dropping-particle":"","family":"Towbin","given":"Jeffrey A","non-dropping-particle":"","parse-names":false,"suffix":""},{"dropping-particle":"","family":"Jefferies","given":"John L","non-dropping-particle":"","parse-names":false,"suffix":""}],"container-title":"Texas Heart Institute journal","id":"ITEM-3","issue":"1","issued":{"date-parts":[["2015"]]},"page":"73-76","title":"Left ventricular noncompaction in a family with lamin A/C gene mutation.","type":"article-journal","volume":"42"},"uris":["http://www.mendeley.com/documents/?uuid=17b22f48-b500-418a-a0d1-1683613c8de5"]},{"id":"ITEM-4","itemData":{"DOI":"10.1002/mus.20293","ISSN":"0148-639X","abstract":"Mutations of the LMNA gene, encoding the nuclear envelope proteins lamins A and C, give rise to Emery-Dreifuss muscular dystrophy and to limb-girdle muscular dystrophy 1B (EDMD and LGMD1B). With one exception, all the reported EDMD and LGMD1B mutations are confined to the first 10 exons of the gene. We report four separate cases, with mutations in the same codon of LMNA exon 11, characterized by remarkable variability of clinical findings, in addition to features not previously reported. One patient had congenital weakness and died in early childhood. In two other patients, severe cardiac problems arose early and, in one of these, cardiac signs preceded by many years the onset of skeletal muscle weakness. The fourth case had a mild and late-onset LGMD1B phenotype. Our cases further expand the clinical spectrum associated with mutations in the LMNA gene and provide new evidence of the role played by the C-terminal domain of lamin A.","author":[{"dropping-particle":"","family":"Mercuri","given":"E","non-dropping-particle":"","parse-names":false,"suffix":""},{"dropping-particle":"","family":"Brown","given":"S C","non-dropping-particle":"","parse-names":false,"suffix":""},{"dropping-particle":"","family":"Nihoyannopoulos","given":"P","non-dropping-particle":"","parse-names":false,"suffix":""},{"dropping-particle":"","family":"Poulton","given":"J","non-dropping-particle":"","parse-names":false,"suffix":""},{"dropping-particle":"","family":"Kinali","given":"M","non-dropping-particle":"","parse-names":false,"suffix":""},{"dropping-particle":"","family":"Richard","given":"P","non-dropping-particle":"","parse-names":false,"suffix":""},{"dropping-particle":"","family":"Piercy","given":"R J","non-dropping-particle":"","parse-names":false,"suffix":""},{"dropping-particle":"","family":"Messina","given":"S","non-dropping-particle":"","parse-names":false,"suffix":""},{"dropping-particle":"","family":"Sewry","given":"C","non-dropping-particle":"","parse-names":false,"suffix":""},{"dropping-particle":"","family":"Burke","given":"M M","non-dropping-particle":"","parse-names":false,"suffix":""},{"dropping-particle":"","family":"McKenna","given":"W","non-dropping-particle":"","parse-names":false,"suffix":""},{"dropping-particle":"","family":"Bonne","given":"G","non-dropping-particle":"","parse-names":false,"suffix":""},{"dropping-particle":"","family":"Muntoni","given":"F","non-dropping-particle":"","parse-names":false,"suffix":""}],"container-title":"Muscle &amp; nerve","id":"ITEM-4","issue":"5","issued":{"date-parts":[["2005"]]},"page":"602-609","title":"Extreme variability of skeletal and cardiac muscle involvement in patients with mutations in exon 11 of the lamin A/C gene.","type":"article-journal","volume":"31"},"uris":["http://www.mendeley.com/documents/?uuid=f786fc56-0731-479b-bb57-9d7ba17f3807"]},{"id":"ITEM-5","itemData":{"DOI":"10.4103/0028-3886.333448","ISSN":"1998-4022","abstract":"Background: Laminopathies are a group of diseases caused by mutations in the LMNA gene. Congenital dystrophy of the LMN is a rare disease, with less than 100 cases described in the literature.; Objectives and Materials and Methods: We present the clinical case of a patient with congenital muscular dystrophy associated with an undescribed mutation in the LMNA gene.; Results: The patient presented progressive motor delay from 10 months with a physical examination consisting of global hypotonia, bilateral winged scapula, areflexia, hip and knee flexion posture, and positive Gowers. The patient developed progressive weakness with neck tone loss, functional impairment, and loss of gait at 5 years.; Conclusions: To date, more than 20 mutations associated with congenital LMNA muscular dystrophy have been identified, most due to a single amino acid change (aa), few due to the gain or loss of several aa as in our patient.","author":[{"dropping-particle":"","family":"Avila","given":"Guillermo Martin","non-dropping-particle":"","parse-names":false,"suffix":""},{"dropping-particle":"","family":"González","given":"Ana Pinel","non-dropping-particle":"","parse-names":false,"suffix":""},{"dropping-particle":"","family":"Abad","given":"Araceli","non-dropping-particle":"","parse-names":false,"suffix":""},{"dropping-particle":"","family":"Fournier","given":"Belén Gil","non-dropping-particle":"","parse-names":false,"suffix":""},{"dropping-particle":"","family":"León","given":"Soraya Ramiro","non-dropping-particle":"","parse-names":false,"suffix":""},{"dropping-particle":"","family":"Corral","given":"Jaime Antonio Medranda","non-dropping-particle":"","parse-names":false,"suffix":""},{"dropping-particle":"","family":"Fernández","given":"Carlos Piquero","non-dropping-particle":"","parse-names":false,"suffix":""}],"container-title":"Neurology India","id":"ITEM-5","issue":"6","issued":{"date-parts":[["2021"]]},"page":"1835-1837","title":"Is the Next Generation Sequencing the Essential Tool for the Early Diagnostic Approach in Congenital Muscular Dystrophy? New Mutation in the Gen LMNA Associated with Serious Phenotype.","type":"article-journal","volume":"69"},"uris":["http://www.mendeley.com/documents/?uuid=55c524e6-f7f4-4e9f-bbe1-22259dc778da"]}],"mendeley":{"formattedCitation":"[38–42]","plainTextFormattedCitation":"[38–42]","previouslyFormattedCitation":"[38–42]"},"properties":{"noteIndex":0},"schema":"https://github.com/citation-style-language/schema/raw/master/csl-citation.json"}</w:instrText>
      </w:r>
      <w:r w:rsidRPr="005A1AC5">
        <w:fldChar w:fldCharType="separate"/>
      </w:r>
      <w:r w:rsidRPr="005A1AC5">
        <w:rPr>
          <w:noProof/>
        </w:rPr>
        <w:t>[38–42]</w:t>
      </w:r>
      <w:r w:rsidRPr="005A1AC5">
        <w:fldChar w:fldCharType="end"/>
      </w:r>
      <w:r w:rsidRPr="005A1AC5">
        <w:t xml:space="preserve">, the metabolic system </w:t>
      </w:r>
      <w:r w:rsidRPr="005A1AC5">
        <w:fldChar w:fldCharType="begin" w:fldLock="1"/>
      </w:r>
      <w:r w:rsidRPr="005A1AC5">
        <w:instrText>ADDIN CSL_CITATION {"citationItems":[{"id":"ITEM-1","itemData":{"DOI":"10.1002/ajmg.a.32331","ISSN":"1552-4833","abstract":"Mutations in the LMNA gene result in diverse phenotypes including Emery Dreifuss muscular dystrophy, limb girdle muscular dystrophy, dilated cardiomyopathy with conduction system disease, Dunnigan type familial partial lipodystrophy, mandibulo acral dysplasia, Hutchinson Gilford progeria syndrome, restrictive dermopathy and autosomal recessive Charcot Marie Tooth type 2. The c.1930C &gt; T (R644C) missense mutation has previously been reported in eight unrelated patients with variable features including left ventricular hypertrophy, limb girdle muscle weakness, dilated cardiomyopathy and atypical progeria. Here we report on the details of nine additional patients in eight families with this mutation. Patients 1 and 2 presented with lipodystrophy and insulin resistance, Patient 1 having in addition focal segmental glomerulosclerosis. Patient 3 presented with motor neuropathy, Patient 4 with arthrogryposis and dilated cardiomyopathy with left ventricular non-compaction, Patient 5 with severe scoliosis and contractures, Patient 6 with limb girdle weakness and Patient 7 with hepatic steatosis and insulin resistance. Patients 8 and 9 are brothers with proximal weakness and contractures. Nonpenetrance was observed frequently in first degree relatives. This report provides further evidence of the extreme phenotypic diversity and low penetrance associated with the R644C mutation. Possible explanations for these observations are discussed. (2008 Wiley-Liss, Inc.)","author":[{"dropping-particle":"","family":"Rankin","given":"Julia","non-dropping-particle":"","parse-names":false,"suffix":""},{"dropping-particle":"","family":"Auer-Grumbach","given":"Michaela","non-dropping-particle":"","parse-names":false,"suffix":""},{"dropping-particle":"","family":"Bagg","given":"Warwick","non-dropping-particle":"","parse-names":false,"suffix":""},{"dropping-particle":"","family":"Colclough","given":"Kevin","non-dropping-particle":"","parse-names":false,"suffix":""},{"dropping-particle":"","family":"Nguyen","given":"Thuy Duong","non-dropping-particle":"","parse-names":false,"suffix":""},{"dropping-particle":"","family":"Fenton-May","given":"Jane","non-dropping-particle":"","parse-names":false,"suffix":""},{"dropping-particle":"","family":"Hattersley","given":"Andrew","non-dropping-particle":"","parse-names":false,"suffix":""},{"dropping-particle":"","family":"Hudson","given":"Judith","non-dropping-particle":"","parse-names":false,"suffix":""},{"dropping-particle":"","family":"Jardine","given":"Philip","non-dropping-particle":"","parse-names":false,"suffix":""},{"dropping-particle":"","family":"Josifova","given":"Dragana","non-dropping-particle":"","parse-names":false,"suffix":""},{"dropping-particle":"","family":"Longman","given":"Cheryl","non-dropping-particle":"","parse-names":false,"suffix":""},{"dropping-particle":"","family":"McWilliam","given":"Robert","non-dropping-particle":"","parse-names":false,"suffix":""},{"dropping-particle":"","family":"Owen","given":"Katharine","non-dropping-particle":"","parse-names":false,"suffix":""},{"dropping-particle":"","family":"Walker","given":"Mark","non-dropping-particle":"","parse-names":false,"suffix":""},{"dropping-particle":"","family":"Wehnert","given":"Manfred","non-dropping-particle":"","parse-names":false,"suffix":""},{"dropping-particle":"","family":"Ellard","given":"Sian","non-dropping-particle":"","parse-names":false,"suffix":""}],"container-title":"American journal of medical genetics. Part A","id":"ITEM-1","issue":"12","issued":{"date-parts":[["2008"]]},"page":"1530-1542","title":"Extreme phenotypic diversity and nonpenetrance in families with the LMNA gene mutation R644C.","type":"article-journal","volume":"146A"},"uris":["http://www.mendeley.com/documents/?uuid=980206ce-e675-4e83-82cd-272d213a3ac7"]}],"mendeley":{"formattedCitation":"[30]","plainTextFormattedCitation":"[30]","previouslyFormattedCitation":"[30]"},"properties":{"noteIndex":0},"schema":"https://github.com/citation-style-language/schema/raw/master/csl-citation.json"}</w:instrText>
      </w:r>
      <w:r w:rsidRPr="005A1AC5">
        <w:fldChar w:fldCharType="separate"/>
      </w:r>
      <w:r w:rsidRPr="005A1AC5">
        <w:rPr>
          <w:noProof/>
        </w:rPr>
        <w:t>[30]</w:t>
      </w:r>
      <w:r w:rsidRPr="005A1AC5">
        <w:fldChar w:fldCharType="end"/>
      </w:r>
      <w:r w:rsidRPr="005A1AC5">
        <w:t xml:space="preserve">, and the nervous system </w:t>
      </w:r>
      <w:r w:rsidRPr="005A1AC5">
        <w:fldChar w:fldCharType="begin" w:fldLock="1"/>
      </w:r>
      <w:r w:rsidRPr="005A1AC5">
        <w:instrText>ADDIN CSL_CITATION {"citationItems":[{"id":"ITEM-1","itemData":{"DOI":"10.1111/jnc.14217","ISSN":"1471-4159","abstract":"Hereditary neuropathies comprise a wide variety of chronic diseases associated to more than 80 genes identified to date. We herein examined 612 index patients with either a Charcot-Marie-Tooth phenotype, hereditary sensory neuropathy, familial amyloid neuropathy, or small fiber neuropathy using a customized multigene panel based on the next generation sequencing technique. In 121 cases (19.8%), we identified at least one putative pathogenic mutation. Of these, 54.4% showed an autosomal dominant, 33.9% an autosomal recessive, and 11.6% an X-linked inheritance. The most frequently affected genes were PMP22 (16.4%), GJB1 (10.7%), MPZ, and SH3TC2 (both 9.9%), and MFN2 (8.3%). We further detected likely or known pathogenic variants in HINT1, HSPB1, NEFL, PRX, IGHMBP2, NDRG1, TTR, EGR2, FIG4, GDAP1, LMNA, LRSAM1, POLG, TRPV4, AARS, BIC2, DHTKD1, FGD4, HK1, INF2, KIF5A, PDK3, REEP1, SBF1, SBF2, SCN9A, and SPTLC2 with a declining frequency. Thirty-four novel variants were considered likely pathogenic not having previously been described in association with any disorder in the literature. In one patient, two homozygous mutations in HK1 were detected in the multigene panel, but not by whole exome sequencing. A novel missense mutation in KIF5A was considered pathogenic because of the highly compatible phenotype. In one patient, the plasma sphingolipid profile could functionally prove the pathogenicity of a mutation in SPTLC2. One pathogenic mutation in MPZ was identified after being previously missed by Sanger sequencing. We conclude that panel based next generation sequencing is a useful, time- and cost-effective approach to assist clinicians in identifying the correct diagnosis and enable causative treatment considerations. (© 2017 International Society for Neurochemistry.)","author":[{"dropping-particle":"","family":"Dohrn","given":"Maike F","non-dropping-particle":"","parse-names":false,"suffix":""},{"dropping-particle":"","family":"Glöckle","given":"Nicola","non-dropping-particle":"","parse-names":false,"suffix":""},{"dropping-particle":"","family":"Mulahasanovic","given":"Lejla","non-dropping-particle":"","parse-names":false,"suffix":""},{"dropping-particle":"","family":"Heller","given":"Corina","non-dropping-particle":"","parse-names":false,"suffix":""},{"dropping-particle":"","family":"Mohr","given":"Julia","non-dropping-particle":"","parse-names":false,"suffix":""},{"dropping-particle":"","family":"Bauer","given":"Christine","non-dropping-particle":"","parse-names":false,"suffix":""},{"dropping-particle":"","family":"Riesch","given":"Erik","non-dropping-particle":"","parse-names":false,"suffix":""},{"dropping-particle":"","family":"Becker","given":"Andrea","non-dropping-particle":"","parse-names":false,"suffix":""},{"dropping-particle":"","family":"Battke","given":"Florian","non-dropping-particle":"","parse-names":false,"suffix":""},{"dropping-particle":"","family":"Hörtnagel","given":"Konstanze","non-dropping-particle":"","parse-names":false,"suffix":""},{"dropping-particle":"","family":"Hornemann","given":"Thorsten","non-dropping-particle":"","parse-names":false,"suffix":""},{"dropping-particle":"","family":"Suriyanarayanan","given":"Saranya","non-dropping-particle":"","parse-names":false,"suffix":""},{"dropping-particle":"","family":"Blankenburg","given":"Markus","non-dropping-particle":"","parse-names":false,"suffix":""},{"dropping-particle":"","family":"Schulz","given":"Jörg B","non-dropping-particle":"","parse-names":false,"suffix":""},{"dropping-particle":"","family":"Claeys","given":"Kristl G","non-dropping-particle":"","parse-names":false,"suffix":""},{"dropping-particle":"","family":"Gess","given":"Burkhard","non-dropping-particle":"","parse-names":false,"suffix":""},{"dropping-particle":"","family":"Katona","given":"Istvan","non-dropping-particle":"","parse-names":false,"suffix":""},{"dropping-particle":"","family":"Ferbert","given":"Andreas","non-dropping-particle":"","parse-names":false,"suffix":""},{"dropping-particle":"","family":"Vittore","given":"Debora","non-dropping-particle":"","parse-names":false,"suffix":""},{"dropping-particle":"","family":"Grimm","given":"Alexander","non-dropping-particle":"","parse-names":false,"suffix":""},{"dropping-particle":"","family":"Wolking","given":"Stefan","non-dropping-particle":"","parse-names":false,"suffix":""},{"dropping-particle":"","family":"Schöls","given":"Ludger","non-dropping-particle":"","parse-names":false,"suffix":""},{"dropping-particle":"","family":"Lerche","given":"Holger","non-dropping-particle":"","parse-names":false,"suffix":""},{"dropping-particle":"","family":"Korenke","given":"G Christoph","non-dropping-particle":"","parse-names":false,"suffix":""},{"dropping-particle":"","family":"Fischer","given":"Dirk","non-dropping-particle":"","parse-names":false,"suffix":""},{"dropping-particle":"","family":"Schrank","given":"Bertold","non-dropping-particle":"","parse-names":false,"suffix":""},{"dropping-particle":"","family":"Kotzaeridou","given":"Urania","non-dropping-particle":"","parse-names":false,"suffix":""},{"dropping-particle":"","family":"Kurlemann","given":"Gerhard","non-dropping-particle":"","parse-names":false,"suffix":""},{"dropping-particle":"","family":"Dräger","given":"Bianca","non-dropping-particle":"","parse-names":false,"suffix":""},{"dropping-particle":"","family":"Schirmacher","given":"Anja","non-dropping-particle":"","parse-names":false,"suffix":""},{"dropping-particle":"","family":"Young","given":"Peter","non-dropping-particle":"","parse-names":false,"suffix":""},{"dropping-particle":"","family":"Schlotter-Weigel","given":"Beate","non-dropping-particle":"","parse-names":false,"suffix":""},{"dropping-particle":"","family":"Biskup","given":"Saskia","non-dropping-particle":"","parse-names":false,"suffix":""}],"container-title":"Journal of neurochemistry","id":"ITEM-1","issue":"5","issued":{"date-parts":[["2017"]]},"page":"507-522","title":"Frequent genes in rare diseases: panel-based next generation sequencing to disclose causal mutations in hereditary neuropathies.","type":"article-journal","volume":"143"},"uris":["http://www.mendeley.com/documents/?uuid=4c21bc8a-b7ac-41a6-8203-2f91f0f9ed68"]}],"mendeley":{"formattedCitation":"[43]","plainTextFormattedCitation":"[43]","previouslyFormattedCitation":"[43]"},"properties":{"noteIndex":0},"schema":"https://github.com/citation-style-language/schema/raw/master/csl-citation.json"}</w:instrText>
      </w:r>
      <w:r w:rsidRPr="005A1AC5">
        <w:fldChar w:fldCharType="separate"/>
      </w:r>
      <w:r w:rsidRPr="005A1AC5">
        <w:rPr>
          <w:noProof/>
        </w:rPr>
        <w:t>[43]</w:t>
      </w:r>
      <w:r w:rsidRPr="005A1AC5">
        <w:fldChar w:fldCharType="end"/>
      </w:r>
      <w:r w:rsidRPr="005A1AC5">
        <w:t xml:space="preserve">. It remains unclear how this could be, and no answers have arisen from studying the position of known mutations on the </w:t>
      </w:r>
      <w:r w:rsidRPr="005A1AC5">
        <w:rPr>
          <w:i/>
          <w:iCs/>
        </w:rPr>
        <w:t xml:space="preserve">LMNA </w:t>
      </w:r>
      <w:r w:rsidRPr="005A1AC5">
        <w:t xml:space="preserve">gene in relation to different disease phenotypes. This study has, however, revealed that there are no instances in which an identical mutation in the other nuclear envelope genes studied here is responsible for causing so many distinct diseases. One explanation for this could be that other genetic disease modifiers are present in addition to </w:t>
      </w:r>
      <w:r w:rsidRPr="005A1AC5">
        <w:rPr>
          <w:i/>
          <w:iCs/>
        </w:rPr>
        <w:t xml:space="preserve">LMNA </w:t>
      </w:r>
      <w:r w:rsidRPr="005A1AC5">
        <w:t xml:space="preserve">mutations, which may affect the phenotypic outcome of the disease-causing variant. Expressivity modifiers which modulate disease severity have already been identified in conjunction with </w:t>
      </w:r>
      <w:r w:rsidRPr="005A1AC5">
        <w:rPr>
          <w:i/>
          <w:iCs/>
        </w:rPr>
        <w:t xml:space="preserve">LMNA </w:t>
      </w:r>
      <w:r w:rsidRPr="005A1AC5">
        <w:t xml:space="preserve">mutations. </w:t>
      </w:r>
      <w:r w:rsidR="003D14B8">
        <w:t xml:space="preserve">Whilst our searches found no mutations in the genes encoding integral LINC complex proteins </w:t>
      </w:r>
      <w:r w:rsidR="003D14B8" w:rsidRPr="002469C0">
        <w:t>SUN1/SUN2</w:t>
      </w:r>
      <w:r w:rsidR="003D14B8">
        <w:t xml:space="preserve"> were found to directly cause human disease, t</w:t>
      </w:r>
      <w:r w:rsidRPr="005A1AC5">
        <w:t xml:space="preserve">he presence of </w:t>
      </w:r>
      <w:r w:rsidRPr="005A1AC5">
        <w:rPr>
          <w:i/>
          <w:iCs/>
        </w:rPr>
        <w:t>SUN1/SUN2</w:t>
      </w:r>
      <w:r w:rsidRPr="005A1AC5">
        <w:t xml:space="preserve"> variants alongside other Emery-</w:t>
      </w:r>
      <w:proofErr w:type="spellStart"/>
      <w:r w:rsidRPr="005A1AC5">
        <w:t>Dreifuss</w:t>
      </w:r>
      <w:proofErr w:type="spellEnd"/>
      <w:r w:rsidRPr="005A1AC5">
        <w:t xml:space="preserve"> muscular dystrophy EDMD-related genes, including </w:t>
      </w:r>
      <w:r w:rsidRPr="005A1AC5">
        <w:rPr>
          <w:i/>
          <w:iCs/>
        </w:rPr>
        <w:t>LMNA,</w:t>
      </w:r>
      <w:r w:rsidRPr="005A1AC5">
        <w:t xml:space="preserve"> cause a more severe EDMD phenotype </w:t>
      </w:r>
      <w:r w:rsidRPr="005A1AC5">
        <w:fldChar w:fldCharType="begin" w:fldLock="1"/>
      </w:r>
      <w:r w:rsidR="00EE0616">
        <w:instrText>ADDIN CSL_CITATION {"citationItems":[{"id":"ITEM-1","itemData":{"DOI":"10.1371/journal.pgen.1004605","ISSN":"1553-7404","PMID":"25210889","abstract":"Proteins of the nuclear envelope (NE) are associated with a range of inherited disorders, most commonly involving muscular dystrophy and cardiomyopathy, as exemplified by Emery-Dreifuss muscular dystrophy (EDMD). EDMD is both genetically and phenotypically variable, and some evidence of modifier genes has been reported. Six genes have so far been linked to EDMD, four encoding proteins associated with the LINC complex that connects the nucleus to the cytoskeleton. However, 50% of patients have no identifiable mutations in these genes. Using a candidate approach, we have identified putative disease-causing variants in the SUN1 and SUN2 genes, also encoding LINC complex components, in patients with EDMD and related myopathies. Our data also suggest that SUN1 and SUN2 can act as disease modifier genes in individuals with co-segregating mutations in other EDMD genes. Five SUN1/SUN2 variants examined impaired rearward nuclear repositioning in fibroblasts, confirming defective LINC complex function in nuclear-cytoskeletal coupling. Furthermore, myotubes from a patient carrying compound heterozygous SUN1 mutations displayed gross defects in myonuclear organization. This was accompanied by loss of recruitment of centrosomal marker, pericentrin, to the NE and impaired microtubule nucleation at the NE, events that are required for correct myonuclear arrangement. These defects were recapitulated in C2C12 myotubes expressing exogenous SUN1 variants, demonstrating a direct link between SUN1 mutation and impairment of nuclear-microtubule coupling and myonuclear positioning. Our findings strongly support an important role for SUN1 and SUN2 in muscle disease pathogenesis and support the hypothesis that defects in the LINC complex contribute to disease pathology through disruption of nuclear-microtubule association, resulting in defective myonuclear positioning.","author":[{"dropping-particle":"","family":"Meinke","given":"Peter","non-dropping-particle":"","parse-names":false,"suffix":""},{"dropping-particle":"","family":"Mattioli","given":"Elisabetta","non-dropping-particle":"","parse-names":false,"suffix":""},{"dropping-particle":"","family":"Haque","given":"Farhana","non-dropping-particle":"","parse-names":false,"suffix":""},{"dropping-particle":"","family":"Antoku","given":"Susumu","non-dropping-particle":"","parse-names":false,"suffix":""},{"dropping-particle":"","family":"Columbaro","given":"Marta","non-dropping-particle":"","parse-names":false,"suffix":""},{"dropping-particle":"","family":"Straatman","given":"Kees R.","non-dropping-particle":"","parse-names":false,"suffix":""},{"dropping-particle":"","family":"Worman","given":"Howard J.","non-dropping-particle":"","parse-names":false,"suffix":""},{"dropping-particle":"","family":"Gundersen","given":"Gregg G.","non-dropping-particle":"","parse-names":false,"suffix":""},{"dropping-particle":"","family":"Lattanzi","given":"Giovanna","non-dropping-particle":"","parse-names":false,"suffix":""},{"dropping-particle":"","family":"Wehnert","given":"Manfred","non-dropping-particle":"","parse-names":false,"suffix":""},{"dropping-particle":"","family":"Shackleton","given":"Sue","non-dropping-particle":"","parse-names":false,"suffix":""}],"container-title":"PLoS Genetics","editor":[{"dropping-particle":"","family":"Cox","given":"Gregory A.","non-dropping-particle":"","parse-names":false,"suffix":""}],"id":"ITEM-1","issue":"9","issued":{"date-parts":[["2014","9","11"]]},"page":"e1004605","title":"Muscular Dystrophy-Associated SUN1 and SUN2 Variants Disrupt Nuclear-Cytoskeletal Connections and Myonuclear Organization","type":"article-journal","volume":"10"},"uris":["http://www.mendeley.com/documents/?uuid=3a14efbc-91dc-348c-9778-bebbdbfea0e9"]}],"mendeley":{"formattedCitation":"[76]","plainTextFormattedCitation":"[76]","previouslyFormattedCitation":"[76]"},"properties":{"noteIndex":0},"schema":"https://github.com/citation-style-language/schema/raw/master/csl-citation.json"}</w:instrText>
      </w:r>
      <w:r w:rsidRPr="005A1AC5">
        <w:fldChar w:fldCharType="separate"/>
      </w:r>
      <w:r w:rsidR="003D7446" w:rsidRPr="003D7446">
        <w:rPr>
          <w:noProof/>
        </w:rPr>
        <w:t>[76]</w:t>
      </w:r>
      <w:r w:rsidRPr="005A1AC5">
        <w:fldChar w:fldCharType="end"/>
      </w:r>
      <w:r w:rsidR="00027665">
        <w:t>.T</w:t>
      </w:r>
      <w:r w:rsidRPr="005A1AC5">
        <w:t xml:space="preserve">he synergistic effects of </w:t>
      </w:r>
      <w:r w:rsidRPr="005A1AC5">
        <w:rPr>
          <w:i/>
          <w:iCs/>
        </w:rPr>
        <w:t xml:space="preserve">LMNA </w:t>
      </w:r>
      <w:r w:rsidRPr="005A1AC5">
        <w:t xml:space="preserve">and </w:t>
      </w:r>
      <w:r w:rsidRPr="005A1AC5">
        <w:rPr>
          <w:i/>
          <w:iCs/>
        </w:rPr>
        <w:t xml:space="preserve">DES </w:t>
      </w:r>
      <w:r w:rsidRPr="005A1AC5">
        <w:t xml:space="preserve">(encoding </w:t>
      </w:r>
      <w:proofErr w:type="spellStart"/>
      <w:r w:rsidRPr="005A1AC5">
        <w:t>desmin</w:t>
      </w:r>
      <w:proofErr w:type="spellEnd"/>
      <w:r w:rsidRPr="005A1AC5">
        <w:t xml:space="preserve">) or </w:t>
      </w:r>
      <w:r w:rsidRPr="005A1AC5">
        <w:rPr>
          <w:i/>
          <w:iCs/>
        </w:rPr>
        <w:t>EMD</w:t>
      </w:r>
      <w:r w:rsidRPr="005A1AC5">
        <w:t xml:space="preserve"> mutations have also been found to alter EDMD disease severity </w:t>
      </w:r>
      <w:r w:rsidRPr="005A1AC5">
        <w:fldChar w:fldCharType="begin" w:fldLock="1"/>
      </w:r>
      <w:r w:rsidR="00EE0616">
        <w:instrText>ADDIN CSL_CITATION {"citationItems":[{"id":"ITEM-1","itemData":{"DOI":"10.1212/01.wnl.0000263138.57257.6a","ISSN":"1526-632X","abstract":"Background: Mutations in the EMD and LMNA genes, encoding emerin and lamins A and C, are responsible for the X-linked and autosomal dominant and recessive forms of Emery-Dreifuss muscular dystrophy (EDMD). LMNA mutations can also lead to several other disorders, collectively termed laminopathies, involving heart, fat, nerve, bone, and skin tissues, and some premature ageing syndromes.; Methods: Fourteen members of a single family underwent neurologic, electromyographic, and cardiologic assessment. Gene mutation and protein expression analyses were performed for lamins A/C and emerin.; Results: Clinical investigations showed various phenotypes, including isolated cardiac disease (seven patients), axonal neuropathy (one patient), and a combination of EDMD with axonal neuropathy (two patients), whereas five subjects remained asymptomatic. Genetic analyses identified the coincidence of a previously described homozygous LMNA mutation (c.892C--&gt;T, p. R298C) and a new in-frame EMD deletion (c.110-112delAGA, p. delK37), which segregate independently. Analyses of the contribution of these mutations showed 1) the EMD codon deletion acts in X-linked dominant fashion and was sufficient to induce the cardiac disease, 2) the combination of both the hemizygous EMD and the homozygous LMNA mutations was necessary to induce the EDMD phenotype, 3) emerin was present in reduced amount in EMD-mutated cells, and 4) lamin A/C and emerin expression was most dramatically affected in the doubly mutated fibroblasts.; Conclusions: This highlights the crucial role of lamin A/C-emerin interactions, with evidence for synergistic effects of these mutations that lead to Emery-Dreifuss muscular dystrophy as the worsened result of digenic mechanism in this family.","author":[{"dropping-particle":"","family":"Yaou","given":"R","non-dropping-particle":"Ben","parse-names":false,"suffix":""},{"dropping-particle":"","family":"Toutain","given":"A","non-dropping-particle":"","parse-names":false,"suffix":""},{"dropping-particle":"","family":"Arimura","given":"T","non-dropping-particle":"","parse-names":false,"suffix":""},{"dropping-particle":"","family":"Demay","given":"L","non-dropping-particle":"","parse-names":false,"suffix":""},{"dropping-particle":"","family":"Massart","given":"C","non-dropping-particle":"","parse-names":false,"suffix":""},{"dropping-particle":"","family":"Peccate","given":"C","non-dropping-particle":"","parse-names":false,"suffix":""},{"dropping-particle":"","family":"Muchir","given":"A","non-dropping-particle":"","parse-names":false,"suffix":""},{"dropping-particle":"","family":"Llense","given":"S","non-dropping-particle":"","parse-names":false,"suffix":""},{"dropping-particle":"","family":"Deburgrave","given":"N","non-dropping-particle":"","parse-names":false,"suffix":""},{"dropping-particle":"","family":"Leturcq","given":"F","non-dropping-particle":"","parse-names":false,"suffix":""},{"dropping-particle":"","family":"Litim","given":"K E","non-dropping-particle":"","parse-names":false,"suffix":""},{"dropping-particle":"","family":"Rahmoun-Chiali","given":"N","non-dropping-particle":"","parse-names":false,"suffix":""},{"dropping-particle":"","family":"Richard","given":"P","non-dropping-particle":"","parse-names":false,"suffix":""},{"dropping-particle":"","family":"Babuty","given":"D","non-dropping-particle":"","parse-names":false,"suffix":""},{"dropping-particle":"","family":"Récan-Budiartha","given":"D","non-dropping-particle":"","parse-names":false,"suffix":""},{"dropping-particle":"","family":"Bonne","given":"G","non-dropping-particle":"","parse-names":false,"suffix":""}],"container-title":"Neurology","id":"ITEM-1","issue":"22","issued":{"date-parts":[["2007"]]},"page":"1883-1894","title":"Multitissular involvement in a family with LMNA and EMD mutations: Role of digenic mechanism?","type":"article-journal","volume":"68"},"uris":["http://www.mendeley.com/documents/?uuid=0e0225e0-3233-422f-a23b-59eb16d78746"]},{"id":"ITEM-2","itemData":{"DOI":"10.1093/brain/awl062","ISSN":"0006-8950","author":[{"dropping-particle":"","family":"Muntoni","given":"F","non-dropping-particle":"","parse-names":false,"suffix":""},{"dropping-particle":"","family":"Bonne","given":"G","non-dropping-particle":"","parse-names":false,"suffix":""},{"dropping-particle":"","family":"Goldfarb","given":"LG","non-dropping-particle":"","parse-names":false,"suffix":""},{"dropping-particle":"","family":"Mercuri","given":"E","non-dropping-particle":"","parse-names":false,"suffix":""},{"dropping-particle":"","family":"Piercy","given":"RJ","non-dropping-particle":"","parse-names":false,"suffix":""},{"dropping-particle":"","family":"Burke","given":"M","non-dropping-particle":"","parse-names":false,"suffix":""},{"dropping-particle":"","family":"Yaou","given":"RB","non-dropping-particle":"","parse-names":false,"suffix":""},{"dropping-particle":"","family":"Richard","given":"P","non-dropping-particle":"","parse-names":false,"suffix":""},{"dropping-particle":"","family":"Récan","given":"D","non-dropping-particle":"","parse-names":false,"suffix":""},{"dropping-particle":"","family":"Shatunov","given":"A","non-dropping-particle":"","parse-names":false,"suffix":""},{"dropping-particle":"","family":"Sewry","given":"CA","non-dropping-particle":"","parse-names":false,"suffix":""},{"dropping-particle":"","family":"Brown","given":"SC","non-dropping-particle":"","parse-names":false,"suffix":""}],"container-title":"Brain: A Journal of Neurology","id":"ITEM-2","issue":"5","issued":{"date-parts":[["2006"]]},"page":"1260-1268","title":"Disease severity in dominant Emery Dreifuss is increased by mutations in both emerin and desmin proteins.","type":"article-journal","volume":"129"},"uris":["http://www.mendeley.com/documents/?uuid=0acddd57-59ae-47d0-bc4e-67942d3c6dbc"]},{"id":"ITEM-3","itemData":{"DOI":"10.1007/s00439-010-0909-1","ISSN":"1432-1203","abstract":"Autosomal dominant Emery-Dreifuss muscular dystrophy is caused by mutations in LMNA gene encoding lamins A and C. The disease is characterized by early onset joint contractures during childhood associated with humero-peroneal muscular wasting and weakness, and by the development of a cardiac disease in adulthood. Important intra-familial variability characterized by a wide range of age at onset of myopathic symptoms (AOMS) has been recurrently reported, suggesting the contribution of a modifier gene. Our objective was to identify a modifier locus of AOMS in relation with the LMNA mutation. To map the modifier locus, we genotyped 291 microsatellite markers in 59 individuals of a large French family, where 19 patients carrying the same LMNA mutation, exhibited wide range of AOMS. We performed Bayesian Markov Chain Monte Carlo-based joint segregation and linkage methods implemented in the Loki software, and detected a strong linkage signal on chromosome 2 between markers D2S143 and D2S2244 (211 cM) with a Bayes factor of 28.7 (empirical p value = 0.0032). The linked region harbours two main candidate genes, DES and MYL1 encoding desmin and light chain of myosin. Importantly, the impact of the genotype on the phenotype for this locus showed an overdominant effect with AOMS 2 years earlier for the homozygotes of the rare allele and 37 years earlier for the heterozygotes than the homozygotes for the common allele. These results provide important highlights for the natural history and for the physiopathology of Emery-Dreifuss muscular dystrophy.","author":[{"dropping-particle":"","family":"Granger","given":"B","non-dropping-particle":"","parse-names":false,"suffix":""},{"dropping-particle":"","family":"Gueneau","given":"L","non-dropping-particle":"","parse-names":false,"suffix":""},{"dropping-particle":"","family":"Drouin-Garraud","given":"V","non-dropping-particle":"","parse-names":false,"suffix":""},{"dropping-particle":"","family":"Pedergnana","given":"V","non-dropping-particle":"","parse-names":false,"suffix":""},{"dropping-particle":"","family":"Gagnon","given":"F","non-dropping-particle":"","parse-names":false,"suffix":""},{"dropping-particle":"","family":"Yaou","given":"R","non-dropping-particle":"Ben","parse-names":false,"suffix":""},{"dropping-particle":"","family":"Montcel","given":"S","non-dropping-particle":"du","parse-names":false,"suffix":""},{"dropping-particle":"","family":"Bonne","given":"G","non-dropping-particle":"","parse-names":false,"suffix":""}],"container-title":"Human genetics","id":"ITEM-3","issue":"2","issued":{"date-parts":[["2011"]]},"page":"149-159","title":"Modifier locus of the skeletal muscle involvement in Emery-Dreifuss muscular dystrophy.","type":"article-journal","volume":"129"},"uris":["http://www.mendeley.com/documents/?uuid=b97e8562-f9f3-4649-964b-0de1f1c06350"]}],"mendeley":{"formattedCitation":"[77–79]","plainTextFormattedCitation":"[77–79]","previouslyFormattedCitation":"[77–79]"},"properties":{"noteIndex":0},"schema":"https://github.com/citation-style-language/schema/raw/master/csl-citation.json"}</w:instrText>
      </w:r>
      <w:r w:rsidRPr="005A1AC5">
        <w:fldChar w:fldCharType="separate"/>
      </w:r>
      <w:r w:rsidR="003D7446" w:rsidRPr="003D7446">
        <w:rPr>
          <w:noProof/>
        </w:rPr>
        <w:t>[77–79]</w:t>
      </w:r>
      <w:r w:rsidRPr="005A1AC5">
        <w:fldChar w:fldCharType="end"/>
      </w:r>
      <w:r w:rsidRPr="005A1AC5">
        <w:t xml:space="preserve">. Perhaps the presence of different modifier genes in combination with </w:t>
      </w:r>
      <w:r w:rsidRPr="005A1AC5">
        <w:rPr>
          <w:i/>
          <w:iCs/>
        </w:rPr>
        <w:t xml:space="preserve">LMNA </w:t>
      </w:r>
      <w:r w:rsidRPr="005A1AC5">
        <w:t xml:space="preserve">mutations could affect </w:t>
      </w:r>
      <w:proofErr w:type="spellStart"/>
      <w:r w:rsidRPr="005A1AC5">
        <w:t>lamin</w:t>
      </w:r>
      <w:proofErr w:type="spellEnd"/>
      <w:r w:rsidRPr="005A1AC5">
        <w:t xml:space="preserve"> A/C expression in variable tissue types leading to the presentation of different diseases. Modifier effects may also influence pleiotropy, causing individuals that share the same target allele to show a range of phenotypes </w:t>
      </w:r>
      <w:r w:rsidRPr="005A1AC5">
        <w:fldChar w:fldCharType="begin" w:fldLock="1"/>
      </w:r>
      <w:r w:rsidR="00EE0616">
        <w:instrText>ADDIN CSL_CITATION {"citationItems":[{"id":"ITEM-1","itemData":{"DOI":"10.1016/J.AJHG.2017.06.004","ISSN":"15376605","PMID":"28777930","abstract":"Phenotypes are rarely consistent across genetic backgrounds and environments, but instead vary in many ways depending on allelic variants, unlinked genes, epigenetic factors, and environmental exposures. In the extreme, individuals carrying the same causal DNA sequence variant but on different backgrounds can be classified as having distinct conditions. Similarly, some individuals that carry disease alleles are nevertheless healthy despite affected family members in the same environment. These genetic background effects often result from the action of so-called “modifier genes” that modulate the phenotypic manifestation of target genes in an epistatic manner. While complicating the prospects for gene discovery and the feasibility of mechanistic studies, such effects are opportunities to gain a deeper understanding of gene interaction networks that provide organismal form and function as well as resilience to perturbation. Here, we review the principles of modifier genetics and assess progress in studies of modifier genes and their targets in both simple and complex traits. We propose that modifier effects emerge from gene interaction networks whose structure and function vary with genetic background and argue that these effects can be exploited as safe and effective ways to prevent, stabilize, and reverse disease and dysfunction.","author":[{"dropping-particle":"","family":"Riordan","given":"Jesse D.","non-dropping-particle":"","parse-names":false,"suffix":""},{"dropping-particle":"","family":"Nadeau","given":"Joseph H.","non-dropping-particle":"","parse-names":false,"suffix":""}],"container-title":"American Journal of Human Genetics","id":"ITEM-1","issue":"2","issued":{"date-parts":[["2017","8","3"]]},"page":"177","publisher":"Elsevier","title":"From Peas to Disease: Modifier Genes, Network Resilience, and the Genetics of Health","type":"article-journal","volume":"101"},"uris":["http://www.mendeley.com/documents/?uuid=2df82b9a-3a1a-321c-b784-5f799a55ef4d"]},{"id":"ITEM-2","itemData":{"DOI":"10.1161/CIRCULATIONAHA.118.035954","ISSN":"15244539","PMID":"31403841","abstract":"Inheritable cardiac disorders, which may be associated with cardiomyopathic changes, are often associated with increased risk of sudden death in the young. Early linkage analysis studies in Mendeli...","author":[{"dropping-particle":"","family":"Cerrone","given":"Marina","non-dropping-particle":"","parse-names":false,"suffix":""},{"dropping-particle":"","family":"Remme","given":"Carol Ann","non-dropping-particle":"","parse-names":false,"suffix":""},{"dropping-particle":"","family":"Tadros","given":"Rafik","non-dropping-particle":"","parse-names":false,"suffix":""},{"dropping-particle":"","family":"Bezzina","given":"Connie R.","non-dropping-particle":"","parse-names":false,"suffix":""},{"dropping-particle":"","family":"Delmar","given":"Mario","non-dropping-particle":"","parse-names":false,"suffix":""}],"container-title":"Circulation","id":"ITEM-2","issue":"7","issued":{"date-parts":[["2019","8","13"]]},"page":"595-610","publisher":"\nLippincott Williams &amp; Wilkins\nHagerstown, MD\n","title":"Beyond the One Gene–One Disease Paradigm","type":"article-journal","volume":"140"},"uris":["http://www.mendeley.com/documents/?uuid=e35ff857-8782-3b8f-bf05-840b725d4627"]}],"mendeley":{"formattedCitation":"[80,81]","plainTextFormattedCitation":"[80,81]","previouslyFormattedCitation":"[80,81]"},"properties":{"noteIndex":0},"schema":"https://github.com/citation-style-language/schema/raw/master/csl-citation.json"}</w:instrText>
      </w:r>
      <w:r w:rsidRPr="005A1AC5">
        <w:fldChar w:fldCharType="separate"/>
      </w:r>
      <w:r w:rsidR="003D7446" w:rsidRPr="003D7446">
        <w:rPr>
          <w:noProof/>
        </w:rPr>
        <w:t>[80,81]</w:t>
      </w:r>
      <w:r w:rsidRPr="005A1AC5">
        <w:fldChar w:fldCharType="end"/>
      </w:r>
      <w:r w:rsidRPr="005A1AC5">
        <w:t xml:space="preserve">, though such variation in disease phenotypes resulting from one gene, such as </w:t>
      </w:r>
      <w:r w:rsidRPr="005A1AC5">
        <w:rPr>
          <w:i/>
          <w:iCs/>
        </w:rPr>
        <w:lastRenderedPageBreak/>
        <w:t xml:space="preserve">LMNA, </w:t>
      </w:r>
      <w:r w:rsidRPr="005A1AC5">
        <w:t xml:space="preserve">has never been attributed to modifiers before. </w:t>
      </w:r>
      <w:r w:rsidRPr="005A1AC5">
        <w:rPr>
          <w:i/>
          <w:iCs/>
        </w:rPr>
        <w:t>MKS1</w:t>
      </w:r>
      <w:r w:rsidRPr="005A1AC5">
        <w:t xml:space="preserve">, the gene encoding the protein associated with Meckel syndrome type 1, has been identified as a pleiotropic modifier gene in Bardet-Biedl syndrome (BBS). BBS-patients </w:t>
      </w:r>
      <w:proofErr w:type="spellStart"/>
      <w:r w:rsidRPr="005A1AC5">
        <w:t>harbouring</w:t>
      </w:r>
      <w:proofErr w:type="spellEnd"/>
      <w:r w:rsidRPr="005A1AC5">
        <w:t xml:space="preserve"> mutations in both </w:t>
      </w:r>
      <w:proofErr w:type="gramStart"/>
      <w:r w:rsidRPr="005A1AC5">
        <w:rPr>
          <w:i/>
          <w:iCs/>
        </w:rPr>
        <w:t>MKS</w:t>
      </w:r>
      <w:proofErr w:type="gramEnd"/>
      <w:r w:rsidRPr="005A1AC5">
        <w:rPr>
          <w:i/>
          <w:iCs/>
        </w:rPr>
        <w:t xml:space="preserve"> </w:t>
      </w:r>
      <w:r w:rsidRPr="005A1AC5">
        <w:t xml:space="preserve">and </w:t>
      </w:r>
      <w:r w:rsidRPr="005A1AC5">
        <w:rPr>
          <w:i/>
          <w:iCs/>
        </w:rPr>
        <w:t xml:space="preserve">BBS </w:t>
      </w:r>
      <w:r w:rsidRPr="005A1AC5">
        <w:t xml:space="preserve">(BBS protein) were found to suffer with seizures, which are not typically associated with either MKS or BBS. Hence, the combination of the two mutations generated a completely novel phenotype </w:t>
      </w:r>
      <w:r w:rsidRPr="005A1AC5">
        <w:fldChar w:fldCharType="begin" w:fldLock="1"/>
      </w:r>
      <w:r w:rsidR="00EE0616">
        <w:instrText>ADDIN CSL_CITATION {"citationItems":[{"id":"ITEM-1","itemData":{"DOI":"10.1038/NG.97","ISSN":"10614036","PMID":"18327255","abstract":"Meckel-Gruber syndrome (MKS) is a genetically heterogeneous, neonatally lethal malformation and the most common form of syndromic neural tube defect (NTD). To date, several MKS-associated genes have been identified whose protein products affect ciliary function. Here we show that mutations in MKS1, MKS3 and CEP290 (also known as NPHP6) either can cause Bardet-Biedl syndrome (BBS) or may have a potential epistatic effect on mutations in known BBS-associated loci. Five of six families with both MKS1 and BBS mutations manifested seizures, a feature that is not a typical component of either syndrome. Functional studies in zebrafish showed that mks1 is necessary for gastrulation movements and that it interacts genetically with known bbs genes. Similarly, we found two families with missense or splice mutations in MKS3, in one of which the affected individual also bears a homozygous nonsense mutation in CEP290 that is likely to truncate the C terminus of the protein. These data extend the genetic stratification of ciliopathies and suggest that BBS and MKS, although distinct clinically, are allelic forms of the same molecular spectrum. © 2008 Nature Publishing Group.","author":[{"dropping-particle":"","family":"Leitch","given":"Carmen C.","non-dropping-particle":"","parse-names":false,"suffix":""},{"dropping-particle":"","family":"Zaghloul","given":"Norann A.","non-dropping-particle":"","parse-names":false,"suffix":""},{"dropping-particle":"","family":"Davis","given":"Erica E.","non-dropping-particle":"","parse-names":false,"suffix":""},{"dropping-particle":"","family":"Stoetzel","given":"Corinne","non-dropping-particle":"","parse-names":false,"suffix":""},{"dropping-particle":"","family":"Diaz-Font","given":"Anna","non-dropping-particle":"","parse-names":false,"suffix":""},{"dropping-particle":"","family":"Rix","given":"Suzanne","non-dropping-particle":"","parse-names":false,"suffix":""},{"dropping-particle":"","family":"Al-Fadhel","given":"Majid","non-dropping-particle":"","parse-names":false,"suffix":""},{"dropping-particle":"","family":"Lewis","given":"Richard Alan","non-dropping-particle":"","parse-names":false,"suffix":""},{"dropping-particle":"","family":"Eyaid","given":"Wafaa","non-dropping-particle":"","parse-names":false,"suffix":""},{"dropping-particle":"","family":"Banin","given":"Eyal","non-dropping-particle":"","parse-names":false,"suffix":""},{"dropping-particle":"","family":"Dollfus","given":"Helene","non-dropping-particle":"","parse-names":false,"suffix":""},{"dropping-particle":"","family":"Beales","given":"Philip L.","non-dropping-particle":"","parse-names":false,"suffix":""},{"dropping-particle":"","family":"Badano","given":"Jose L.","non-dropping-particle":"","parse-names":false,"suffix":""},{"dropping-particle":"","family":"Katsanis","given":"Nicholas","non-dropping-particle":"","parse-names":false,"suffix":""}],"container-title":"Nature Genetics","id":"ITEM-1","issue":"4","issued":{"date-parts":[["2008","4"]]},"page":"443-448","title":"Hypomorphic mutations in syndromic encephalocele genes are associated with Bardet-Biedl syndrome","type":"article-journal","volume":"40"},"uris":["http://www.mendeley.com/documents/?uuid=bce96f80-6a5b-3239-b88a-c62dcad15e53"]}],"mendeley":{"formattedCitation":"[82]","plainTextFormattedCitation":"[82]","previouslyFormattedCitation":"[82]"},"properties":{"noteIndex":0},"schema":"https://github.com/citation-style-language/schema/raw/master/csl-citation.json"}</w:instrText>
      </w:r>
      <w:r w:rsidRPr="005A1AC5">
        <w:fldChar w:fldCharType="separate"/>
      </w:r>
      <w:r w:rsidR="003D7446" w:rsidRPr="003D7446">
        <w:rPr>
          <w:noProof/>
        </w:rPr>
        <w:t>[82]</w:t>
      </w:r>
      <w:r w:rsidRPr="005A1AC5">
        <w:fldChar w:fldCharType="end"/>
      </w:r>
      <w:r w:rsidRPr="005A1AC5">
        <w:t xml:space="preserve">. Individual modifier genes with pleiotropic effects have also been found in various cystic fibrosis-related phenotypes </w:t>
      </w:r>
      <w:r w:rsidRPr="005A1AC5">
        <w:fldChar w:fldCharType="begin" w:fldLock="1"/>
      </w:r>
      <w:r w:rsidR="00EE0616">
        <w:instrText>ADDIN CSL_CITATION {"citationItems":[{"id":"ITEM-1","itemData":{"DOI":"10.1007/S00439-013-1363-7","ISSN":"03406717","PMID":"24057835","abstract":"The existence of pleiotropy in disorders with multi-organ involvement can suggest therapeutic targets that could ameliorate overall disease severity. Here we assessed pleiotropy of modifier genes in cystic fibrosis (CF). CF, caused by mutations in the cystic fibrosis transmembrane conductance regulator (CFTR) gene, affects the lungs, liver, pancreas and intestines. However, modifier genes contribute to variable disease severity across affected organs, even in individuals with the same CFTR genotype. We sought to determine whether SLC26A9, SLC9A3 and SLC6A14, that contribute to meconium ileus in CF, are pleiotropic for other early-affecting CF co-morbidities. In the Canadian CF population, we assessed evidence for pleiotropic effects on (1) pediatric lung disease severity (n = 815), (2) age at first acquisition of Pseudomonas aeruginosa (P. aeruginosa) (n = 730), and (3) prenatal pancreatic damage measured by immunoreactive trypsinogen (n = 126). A multiple-phenotype analytic strategy assessed evidence for pleiotropy in the presence of phenotypic correlation. We required the same alleles to be associated with detrimental effects. SLC26A9 was pleiotropic for meconium ileus and pancreatic damage (p = 0.002 at rs7512462), SLC9A3 for meconium ileus and lung disease (p = 1.5 × 10-6 at rs17563161), and SLC6A14 for meconium ileus and both lung disease and age at first P. aeruginosa infection (p = 0.0002 and p = 0.006 at rs3788766, respectively). The meconium ileus risk alleles in SLC26A9, SLC9A3 and SLC6A14 are pleiotropic, increasing risk for other early CF co-morbidities. Furthermore, co-morbidities affecting the same organ tended to associate with the same genes. The existence of pleiotropy within this single disorder suggests that complementary therapeutic strategies to augment solute transport will benefit multiple CF-associated tissues. © 2013 Springer-Verlag Berlin Heidelberg.","author":[{"dropping-particle":"","family":"Li","given":"Weili","non-dropping-particle":"","parse-names":false,"suffix":""},{"dropping-particle":"","family":"Soave","given":"David","non-dropping-particle":"","parse-names":false,"suffix":""},{"dropping-particle":"","family":"Miller","given":"Melissa R.","non-dropping-particle":"","parse-names":false,"suffix":""},{"dropping-particle":"","family":"Keenan","given":"Katherine","non-dropping-particle":"","parse-names":false,"suffix":""},{"dropping-particle":"","family":"Lin","given":"Fan","non-dropping-particle":"","parse-names":false,"suffix":""},{"dropping-particle":"","family":"Gong","given":"Jiafen","non-dropping-particle":"","parse-names":false,"suffix":""},{"dropping-particle":"","family":"Chiang","given":"Theodore","non-dropping-particle":"","parse-names":false,"suffix":""},{"dropping-particle":"","family":"Stephenson","given":"Anne L.","non-dropping-particle":"","parse-names":false,"suffix":""},{"dropping-particle":"","family":"Durie","given":"Peter","non-dropping-particle":"","parse-names":false,"suffix":""},{"dropping-particle":"","family":"Rommens","given":"Johanna","non-dropping-particle":"","parse-names":false,"suffix":""},{"dropping-particle":"","family":"Sun","given":"Lei","non-dropping-particle":"","parse-names":false,"suffix":""},{"dropping-particle":"","family":"Strug","given":"Lisa J.","non-dropping-particle":"","parse-names":false,"suffix":""}],"container-title":"Human Genetics","id":"ITEM-1","issue":"2","issued":{"date-parts":[["2014","2"]]},"page":"151-161","title":"Unraveling the complex genetic model for cystic fibrosis: Pleiotropic effects of modifier genes on early cystic fibrosis-related morbidities","type":"article-journal","volume":"133"},"uris":["http://www.mendeley.com/documents/?uuid=06e67640-a574-36e7-83f7-d3fdf421778c"]}],"mendeley":{"formattedCitation":"[83]","plainTextFormattedCitation":"[83]","previouslyFormattedCitation":"[83]"},"properties":{"noteIndex":0},"schema":"https://github.com/citation-style-language/schema/raw/master/csl-citation.json"}</w:instrText>
      </w:r>
      <w:r w:rsidRPr="005A1AC5">
        <w:fldChar w:fldCharType="separate"/>
      </w:r>
      <w:r w:rsidR="003D7446" w:rsidRPr="003D7446">
        <w:rPr>
          <w:noProof/>
        </w:rPr>
        <w:t>[83]</w:t>
      </w:r>
      <w:r w:rsidRPr="005A1AC5">
        <w:fldChar w:fldCharType="end"/>
      </w:r>
      <w:r w:rsidRPr="005A1AC5">
        <w:t xml:space="preserve">. </w:t>
      </w:r>
    </w:p>
    <w:p w14:paraId="6A8595B5" w14:textId="2A2FCCC4" w:rsidR="001E66EE" w:rsidRPr="005A1AC5" w:rsidRDefault="001E66EE" w:rsidP="005A1AC5">
      <w:pPr>
        <w:pStyle w:val="MDPI31text"/>
      </w:pPr>
      <w:r w:rsidRPr="005A1AC5">
        <w:t xml:space="preserve">It is also important to mention that premature aging syndromes including Hutchinson-Guilford progeria syndrome (HGPS), atypical Werner syndrome/ atypical progeria, </w:t>
      </w:r>
      <w:proofErr w:type="spellStart"/>
      <w:r w:rsidRPr="005A1AC5">
        <w:t>mandibuloacral</w:t>
      </w:r>
      <w:proofErr w:type="spellEnd"/>
      <w:r w:rsidRPr="005A1AC5">
        <w:t xml:space="preserve"> dysplasia and restrictive dermopathy are also associated with </w:t>
      </w:r>
      <w:r w:rsidRPr="005A1AC5">
        <w:rPr>
          <w:i/>
          <w:iCs/>
        </w:rPr>
        <w:t xml:space="preserve">LMNA </w:t>
      </w:r>
      <w:r w:rsidRPr="005A1AC5">
        <w:t>mutations. These diseases are believed to be caused by specific mutations that are known to result in the deletion of the ZMPSTE24 protease site, leading to the accumulation of truncated forms of pre-</w:t>
      </w:r>
      <w:proofErr w:type="spellStart"/>
      <w:r w:rsidRPr="005A1AC5">
        <w:t>lamin</w:t>
      </w:r>
      <w:proofErr w:type="spellEnd"/>
      <w:r w:rsidRPr="005A1AC5">
        <w:t xml:space="preserve"> A that remain </w:t>
      </w:r>
      <w:proofErr w:type="spellStart"/>
      <w:r w:rsidRPr="005A1AC5">
        <w:t>farnesylated</w:t>
      </w:r>
      <w:proofErr w:type="spellEnd"/>
      <w:r w:rsidRPr="005A1AC5">
        <w:t xml:space="preserve"> within cells</w:t>
      </w:r>
      <w:r w:rsidR="003E3D26">
        <w:t xml:space="preserve"> </w:t>
      </w:r>
      <w:r w:rsidR="003E3D26">
        <w:fldChar w:fldCharType="begin" w:fldLock="1"/>
      </w:r>
      <w:r w:rsidR="00FF626E">
        <w:instrText>ADDIN CSL_CITATION {"citationItems":[{"id":"ITEM-1","itemData":{"DOI":"10.3390/cells5020021.","ISSN":"2073-4409","abstract":"ZMPSTE24 encodes the only metalloprotease, which transforms prelamin into mature lamin A. Up to now, mutations in ZMPSTE24 have been linked to Restrictive Dermopathy (RD), Progeria or Mandibulo-Acral Dysplasia (MAD). We report here the phenotype of a patient referred for severe metabolic syndrome and cardiomyopathy, carrying a mutation in ZMPSTE24. The patient presented with a partial lipodystrophic syndrome associating hypertriglyceridemia, early onset type 2 diabetes, and android obesity with truncal and abdominal fat accumulation but without subcutaneous lipoatrophy. Other clinical features included acanthosis nigricans, liver steatosis, dilated cardiomyopathy, and high myocardial and hepatic triglycerides content. Mutated fibroblasts from the patient showed increased nuclear shape abnormalities and premature senescence as demonstrated by a decreased Population Doubling Level, an increased beta-galactosidase activity and a decreased BrdU incorporation rate. Reduced prelamin A expression by siRNA targeted toward LMNA transcripts resulted in decreased nuclear anomalies. We show here that a central obesity without subcutaneous lipoatrophy is associated with a laminopathy due to a heterozygous missense mutation in ZMPSTE24. Given the high prevalence of metabolic syndrome and android obesity in the general population, and in the absence of familial study, the causative link between mutation and phenotype cannot be formally established. Nevertheless, altered lamina architecture observed in mutated fibroblasts are responsible for premature cellular senescence and could contribute to the phenotype observed in this patient.","author":[{"dropping-particle":"","family":"Galant","given":"Damien","non-dropping-particle":"","parse-names":false,"suffix":""},{"dropping-particle":"","family":"Gaborit","given":"Bénédicte","non-dropping-particle":"","parse-names":false,"suffix":""},{"dropping-particle":"","family":"Desgrouas","given":"Camille","non-dropping-particle":"","parse-names":false,"suffix":""},{"dropping-particle":"","family":"Abdesselam","given":"Ines","non-dropping-particle":"","parse-names":false,"suffix":""},{"dropping-particle":"","family":"Bernard","given":"Monique","non-dropping-particle":"","parse-names":false,"suffix":""},{"dropping-particle":"","family":"Levy","given":"Nicolas","non-dropping-particle":"","parse-names":false,"suffix":""},{"dropping-particle":"","family":"Merono","given":"Françoise","non-dropping-particle":"","parse-names":false,"suffix":""},{"dropping-particle":"","family":"Coirault","given":"Catherine","non-dropping-particle":"","parse-names":false,"suffix":""},{"dropping-particle":"","family":"Roll","given":"Patrice","non-dropping-particle":"","parse-names":false,"suffix":""},{"dropping-particle":"","family":"Lagarde","given":"Arnaud","non-dropping-particle":"","parse-names":false,"suffix":""},{"dropping-particle":"","family":"Bonello-Palot","given":"Nathalie","non-dropping-particle":"","parse-names":false,"suffix":""},{"dropping-particle":"","family":"Bourgeois","given":"Patrice","non-dropping-particle":"","parse-names":false,"suffix":""},{"dropping-particle":"","family":"Dutour","given":"Anne","non-dropping-particle":"","parse-names":false,"suffix":""},{"dropping-particle":"","family":"Badens","given":"Catherine","non-dropping-particle":"","parse-names":false,"suffix":""}],"container-title":"Cells","id":"ITEM-1","issue":"2","issued":{"date-parts":[["2016"]]},"page":"21","title":"A Heterozygous ZMPSTE24 Mutation Associated with Severe Metabolic Syndrome, Ectopic Fat Accumulation, and Dilated Cardiomyopathy.","type":"article-journal","volume":"5"},"uris":["http://www.mendeley.com/documents/?uuid=c338f103-f9d4-49c0-a183-6ce11ae32eaa"]},{"id":"ITEM-2","itemData":{"ISSN":"0370-629X","abstract":"Hutchinson-Gilford progeria syndrome (HGPS) is an extremely rare genetic disease characterized by an early onset of several clinical features including premature ageing in children. Approximately 80% of HGPS cases are caused by a de novo single-base pair substitution c.1824 C&gt;T (GGC &gt; GGT, p.Gly608Gly) within the exon 11 of the LMNA gene which codes for lamins A and C proteins. This mutation creates an abnormal splice donor site, leading to the formation of a truncated lamin A protein. Only a very few cases of African patients with HGPS have been reported, but none of them has been characterized at the molecular level. We report here a 12 year-old-girl African patient with HGPS, in whom the p.Gly608Gly heterozygous disease-causing mutation was found.","author":[{"dropping-particle":"","family":"Mutesa","given":"L","non-dropping-particle":"","parse-names":false,"suffix":""},{"dropping-particle":"","family":"Pierquin","given":"G","non-dropping-particle":"","parse-names":false,"suffix":""},{"dropping-particle":"","family":"Cwiny-Ay","given":"N","non-dropping-particle":"","parse-names":false,"suffix":""},{"dropping-particle":"","family":"Buzizi","given":"P","non-dropping-particle":"","parse-names":false,"suffix":""},{"dropping-particle":"","family":"Bours","given":"V","non-dropping-particle":"","parse-names":false,"suffix":""}],"container-title":"Revue medicale de Liege","id":"ITEM-2","issue":"3","issued":{"date-parts":[["2007"]]},"page":"155-158","title":"Hutchinson-Gilford progeria syndrome: clinical and molecular analysis in an African patient","type":"article-journal","volume":"62"},"uris":["http://www.mendeley.com/documents/?uuid=6f09504a-902c-41c7-8abe-23305d7b9fc2"]},{"id":"ITEM-3","itemData":{"DOI":"10.1038/ng871","ISSN":"1546-1718","PMID":"11923874","abstract":"The mouse ortholog of human FACE-1, Zmpste24, is a multispanning membrane protein widely distributed in mammalian tissues1,2 and structurally related to Afc1p/ste24p, a yeast metalloproteinase involved in the maturation of fungal pheromones3. Disruption of the gene Zmpste24 caused severe growth retardation and premature death in homozygous-null mice. Histopathological analysis of the mutant mice revealed several abnormalities, including dilated cardiomyopathy, muscular dystrophy and lipodystrophy. These alterations are similar to those developed by mice deficient in A-type lamin4, a major component of the nuclear lamina5, and phenocopy most defects observed in humans with diverse congenital laminopathies6,7,8. In agreement with this finding, Zmpste24-null mice are defective in the proteolytic processing of prelamin A. This deficiency in prelamin A maturation leads to the generation of abnormalities in nuclear architecture that probably underlie the many phenotypes observed in both mice and humans with mutations in the lamin A gene. These results indicate that prelamin A is a specific substrate for Zmpste24 and demonstrate the usefulness of genetic approaches for identifying the in vivo substrates of proteolytic enzymes.","author":[{"dropping-particle":"","family":"Pendás","given":"Alberto M.","non-dropping-particle":"","parse-names":false,"suffix":""},{"dropping-particle":"","family":"Zhou","given":"Zhongjun","non-dropping-particle":"","parse-names":false,"suffix":""},{"dropping-particle":"","family":"Cadiñanos","given":"Juan","non-dropping-particle":"","parse-names":false,"suffix":""},{"dropping-particle":"","family":"Freije","given":"José M.P.","non-dropping-particle":"","parse-names":false,"suffix":""},{"dropping-particle":"","family":"Wang","given":"Jianming","non-dropping-particle":"","parse-names":false,"suffix":""},{"dropping-particle":"","family":"Hultenby","given":"Kjell","non-dropping-particle":"","parse-names":false,"suffix":""},{"dropping-particle":"","family":"Astudillo","given":"Aurora","non-dropping-particle":"","parse-names":false,"suffix":""},{"dropping-particle":"","family":"Wernerson","given":"Annika","non-dropping-particle":"","parse-names":false,"suffix":""},{"dropping-particle":"","family":"Rodríguez","given":"Francisco","non-dropping-particle":"","parse-names":false,"suffix":""},{"dropping-particle":"","family":"Tryggvason","given":"Karl","non-dropping-particle":"","parse-names":false,"suffix":""},{"dropping-particle":"","family":"López-Otín","given":"Carlos","non-dropping-particle":"","parse-names":false,"suffix":""}],"container-title":"Nature Genetics 2002 31:1","id":"ITEM-3","issue":"1","issued":{"date-parts":[["2002","4","1"]]},"page":"94-99","publisher":"Nature Publishing Group","title":"Defective prelamin A processing and muscular and adipocyte alterations in Zmpste24 metalloproteinase–deficient mice","type":"article-journal","volume":"31"},"uris":["http://www.mendeley.com/documents/?uuid=c4c77dfb-e563-30e7-8f24-7a3eea2f836b"]}],"mendeley":{"formattedCitation":"[33–35]","plainTextFormattedCitation":"[33–35]","previouslyFormattedCitation":"[33–35]"},"properties":{"noteIndex":0},"schema":"https://github.com/citation-style-language/schema/raw/master/csl-citation.json"}</w:instrText>
      </w:r>
      <w:r w:rsidR="003E3D26">
        <w:fldChar w:fldCharType="separate"/>
      </w:r>
      <w:r w:rsidR="003E3D26" w:rsidRPr="003E3D26">
        <w:rPr>
          <w:noProof/>
        </w:rPr>
        <w:t>[33–35]</w:t>
      </w:r>
      <w:r w:rsidR="003E3D26">
        <w:fldChar w:fldCharType="end"/>
      </w:r>
      <w:r w:rsidRPr="005A1AC5">
        <w:t xml:space="preserve"> . As genotype-phenotype studies have already successfully elucidated that the mutations leading to these diseases affect the ZMPSTE24 site, we did not include this type of diseases within this review. By identifying that </w:t>
      </w:r>
      <w:r w:rsidRPr="005A1AC5">
        <w:rPr>
          <w:i/>
          <w:iCs/>
        </w:rPr>
        <w:t xml:space="preserve">LMNA </w:t>
      </w:r>
      <w:r w:rsidRPr="005A1AC5">
        <w:t xml:space="preserve">mutations related to progeria lead to the deletion of this protease site, it has allowed the advances in our understanding of the development of the disease, which has in turn lead to the identification of potential therapeutic candidates </w:t>
      </w:r>
      <w:r w:rsidRPr="005A1AC5">
        <w:fldChar w:fldCharType="begin" w:fldLock="1"/>
      </w:r>
      <w:r w:rsidR="00EE0616">
        <w:instrText>ADDIN CSL_CITATION {"citationItems":[{"id":"ITEM-1","itemData":{"DOI":"10.1080/19491034.2018.1460045","ISSN":"1949-1042","abstract":"Hutchinson-Gilford progeria syndrome (HGPS) is a sporadic, autosomal dominant disorder characterized by premature and accelerated aging symptoms leading to death at the mean age of 14.6 years usually due to cardiovascular complications. HGPS is caused by a de novo point mutation in the LMNA gene encoding the intermediate filament proteins lamins A and C which are structural components of the nuclear lamina. This mutation leads to the production of a truncated toxic form of lamin A, issued from aberrant splicing and called progerin. Progerin accumulates in HGPS cells' nuclei and is a hallmark of the disease. Small amounts of progerin are also produced during normal aging. HGPS cells and animal preclinical models have provided insights into the molecular and cellular pathways that underlie the disease and have also highlighted possible mechanisms involved in normal aging. This review reports recent medical advances and treatment approaches for patients affected with HGPS.","author":[{"dropping-particle":"","family":"Harhouri","given":"Karim","non-dropping-particle":"","parse-names":false,"suffix":""},{"dropping-particle":"","family":"Frankel","given":"Diane","non-dropping-particle":"","parse-names":false,"suffix":""},{"dropping-particle":"","family":"Bartoli","given":"Catherine","non-dropping-particle":"","parse-names":false,"suffix":""},{"dropping-particle":"","family":"Roll","given":"Patrice","non-dropping-particle":"","parse-names":false,"suffix":""},{"dropping-particle":"","family":"Sandre-Giovannoli","given":"Annachiara","non-dropping-particle":"De","parse-names":false,"suffix":""},{"dropping-particle":"","family":"Lévy","given":"Nicolas","non-dropping-particle":"","parse-names":false,"suffix":""}],"container-title":"Nucleus (Austin, Tex.)","id":"ITEM-1","issue":"1","issued":{"date-parts":[["2018"]]},"page":"246-257","title":"An overview of treatment strategies for Hutchinson-Gilford Progeria syndrome.","type":"article-journal","volume":"9"},"uris":["http://www.mendeley.com/documents/?uuid=25e2a238-a6e4-4972-898a-88581861e1e9"]}],"mendeley":{"formattedCitation":"[84]","plainTextFormattedCitation":"[84]","previouslyFormattedCitation":"[84]"},"properties":{"noteIndex":0},"schema":"https://github.com/citation-style-language/schema/raw/master/csl-citation.json"}</w:instrText>
      </w:r>
      <w:r w:rsidRPr="005A1AC5">
        <w:fldChar w:fldCharType="separate"/>
      </w:r>
      <w:r w:rsidR="003D7446" w:rsidRPr="003D7446">
        <w:rPr>
          <w:noProof/>
        </w:rPr>
        <w:t>[84]</w:t>
      </w:r>
      <w:r w:rsidRPr="005A1AC5">
        <w:fldChar w:fldCharType="end"/>
      </w:r>
      <w:r w:rsidRPr="005A1AC5">
        <w:t xml:space="preserve">. </w:t>
      </w:r>
    </w:p>
    <w:p w14:paraId="21CD3C03" w14:textId="5BBD8137" w:rsidR="001E66EE" w:rsidRPr="005A1AC5" w:rsidRDefault="001E66EE" w:rsidP="005A1AC5">
      <w:pPr>
        <w:pStyle w:val="MDPI31text"/>
      </w:pPr>
      <w:r w:rsidRPr="005A1AC5">
        <w:t xml:space="preserve">Interestingly, few mutations were identified in B-type </w:t>
      </w:r>
      <w:proofErr w:type="spellStart"/>
      <w:r w:rsidRPr="005A1AC5">
        <w:t>lamins</w:t>
      </w:r>
      <w:proofErr w:type="spellEnd"/>
      <w:r w:rsidRPr="005A1AC5">
        <w:t xml:space="preserve">, </w:t>
      </w:r>
      <w:proofErr w:type="spellStart"/>
      <w:r w:rsidRPr="005A1AC5">
        <w:t>lamin</w:t>
      </w:r>
      <w:proofErr w:type="spellEnd"/>
      <w:r w:rsidRPr="005A1AC5">
        <w:t xml:space="preserve"> B1 and B2, compared to </w:t>
      </w:r>
      <w:proofErr w:type="spellStart"/>
      <w:r w:rsidRPr="005A1AC5">
        <w:t>lamin</w:t>
      </w:r>
      <w:proofErr w:type="spellEnd"/>
      <w:r w:rsidRPr="005A1AC5">
        <w:t xml:space="preserve"> A/C. This may be because a loss of B-type </w:t>
      </w:r>
      <w:proofErr w:type="spellStart"/>
      <w:r w:rsidRPr="005A1AC5">
        <w:t>lamins</w:t>
      </w:r>
      <w:proofErr w:type="spellEnd"/>
      <w:r w:rsidRPr="005A1AC5">
        <w:t xml:space="preserve"> is incompatible with postnatal life. It has been argued that due to their vital roles in neurodevelopment, B-type </w:t>
      </w:r>
      <w:proofErr w:type="spellStart"/>
      <w:r w:rsidRPr="005A1AC5">
        <w:t>lamins</w:t>
      </w:r>
      <w:proofErr w:type="spellEnd"/>
      <w:r w:rsidRPr="005A1AC5">
        <w:t xml:space="preserve"> are indispensable in mammalian cells. Lamin B1 and B2 deficiency has been found to cause elongated nuclei in neurons and to be essential for neuronal migration in the developing brain </w:t>
      </w:r>
      <w:r w:rsidRPr="005A1AC5">
        <w:fldChar w:fldCharType="begin" w:fldLock="1"/>
      </w:r>
      <w:r w:rsidR="00EE0616">
        <w:instrText>ADDIN CSL_CITATION {"citationItems":[{"id":"ITEM-1","itemData":{"DOI":"10.1073/PNAS.0908790107","ISSN":"0027-8424","PMID":"20145110","abstract":"Nuclear lamins are components of the nuclear lamina, a structural scaffolding for the cell nucleus. Defects in lamins A and C cause an array of human diseases, including muscular dystrophy, lipodystrophy, and progeria, but no diseases have been linked to the loss of lamins B1 or B2. To explore the functional relevance of lamin B2, we generated lamin B2-deficient mice and found that they have severe brain abnormalities resembling lissencephaly, with abnormal layering of neurons in the cerebral cortex and cerebellum. This neuronal layering abnormality is due to defective neuronal migration, a process that is dependent on the organized movement of the nucleus within the cell. These studies establish an essential function for lamin B2 in neuronal migration and brain development.","author":[{"dropping-particle":"","family":"Coffinier","given":"Catherine","non-dropping-particle":"","parse-names":false,"suffix":""},{"dropping-particle":"","family":"Chang","given":"Sandy Y.","non-dropping-particle":"","parse-names":false,"suffix":""},{"dropping-particle":"","family":"Nobumori","given":"Chika","non-dropping-particle":"","parse-names":false,"suffix":""},{"dropping-particle":"","family":"Tu","given":"Yiping","non-dropping-particle":"","parse-names":false,"suffix":""},{"dropping-particle":"","family":"Farber","given":"Emily A.","non-dropping-particle":"","parse-names":false,"suffix":""},{"dropping-particle":"","family":"Toth","given":"Julia I.","non-dropping-particle":"","parse-names":false,"suffix":""},{"dropping-particle":"","family":"Fong","given":"Loren G.","non-dropping-particle":"","parse-names":false,"suffix":""},{"dropping-particle":"","family":"Young","given":"Stephen G.","non-dropping-particle":"","parse-names":false,"suffix":""}],"container-title":"Proceedings of the National Academy of Sciences","id":"ITEM-1","issue":"11","issued":{"date-parts":[["2010","3","16"]]},"page":"5076-5081","publisher":"National Academy of Sciences","title":"Abnormal development of the cerebral cortex and cerebellum in the setting of lamin B2 deficiency","type":"article-journal","volume":"107"},"uris":["http://www.mendeley.com/documents/?uuid=13bc7e92-5cff-3465-b01f-cf9ed82a1610"]},{"id":"ITEM-2","itemData":{"DOI":"10.1091/MBC.E11-06-0504/ASSET/IMAGES/LARGE/4683FIG6.JPEG","ISSN":"10591524","PMID":"21976703","abstract":"Neuronal migration is essential for the development of the mammalian brain. Here, we document severe defects in neuronal migration and reduced numbers of neurons in lamin B1-deficient mice. Lamin B1 deficiency resulted in striking abnormalities in the nuclear shape of cortical neurons; many neurons contained a solitary nuclear bleb and exhibited an asymmetric distribution of lamin B2. In contrast, lamin B2 deficiency led to increased numbers of neurons with elongated nuclei. We used conditional alleles for Lmnb1 and Lmnb2 to create forebrain-specific knockout mice. The forebrain-specific Lmnb1- and Lmnb2-knockout models had a small forebrain with disorganized layering of neurons and nuclear shape abnormalities, similar to abnormalities identified in the conventional knockout mice. A more severe phenotype, complete atrophy of the cortex, was observed in forebrain-specific Lmnb1/Lmnb2 double-knockout mice. This study demonstrates that both lamin B1 and lamin B2 are essential for brain development, with lamin B1 being required for the integrity of the nuclear lamina, and lamin B2 being important for resistance to nuclear elongation in neurons. © 2011 Coffinier et al.","author":[{"dropping-particle":"","family":"Coffinier","given":"Catherine","non-dropping-particle":"","parse-names":false,"suffix":""},{"dropping-particle":"","family":"Jung","given":"Hea Jin","non-dropping-particle":"","parse-names":false,"suffix":""},{"dropping-particle":"","family":"Nobumori","given":"Chika","non-dropping-particle":"","parse-names":false,"suffix":""},{"dropping-particle":"","family":"Chang","given":"Sandy","non-dropping-particle":"","parse-names":false,"suffix":""},{"dropping-particle":"","family":"Tu","given":"Yiping","non-dropping-particle":"","parse-names":false,"suffix":""},{"dropping-particle":"","family":"Barnes","given":"Richard H.","non-dropping-particle":"","parse-names":false,"suffix":""},{"dropping-particle":"","family":"Yoshinaga","given":"Yuko","non-dropping-particle":"","parse-names":false,"suffix":""},{"dropping-particle":"","family":"Jong","given":"Pieter J.","non-dropping-particle":"De","parse-names":false,"suffix":""},{"dropping-particle":"","family":"Vergnes","given":"Laurent","non-dropping-particle":"","parse-names":false,"suffix":""},{"dropping-particle":"","family":"Reue","given":"Karen","non-dropping-particle":"","parse-names":false,"suffix":""},{"dropping-particle":"","family":"Fong","given":"Loren G.","non-dropping-particle":"","parse-names":false,"suffix":""},{"dropping-particle":"","family":"Young","given":"Stephen G.","non-dropping-particle":"","parse-names":false,"suffix":""}],"container-title":"Molecular Biology of the Cell","id":"ITEM-2","issue":"23","issued":{"date-parts":[["2011","12","1"]]},"page":"4683-4693","publisher":" The American Society for Cell Biology ","title":"Deficiencies in lamin B1 and lamin B2 cause neurodevelopmental defects and distinct nuclear shape abnormalities in neurons","type":"article-journal","volume":"22"},"uris":["http://www.mendeley.com/documents/?uuid=d7beffaa-2c1b-3e4d-80df-9fa9804022a1"]},{"id":"ITEM-3","itemData":{"DOI":"10.4161/NUCL.1.5.12830","ISSN":"19491042","PMID":"21278813","abstract":"Nuclear lamins are major components of the nuclear lamina, and play essential roles in supporting the nucleus and organizing nuclear structures. While a large number of clinically important mutatio...","author":[{"dropping-particle":"","family":"Coffinier","given":"Catherine","non-dropping-particle":"","parse-names":false,"suffix":""},{"dropping-particle":"","family":"Fong","given":"Loren G.","non-dropping-particle":"","parse-names":false,"suffix":""},{"dropping-particle":"","family":"Young","given":"Stephen G.","non-dropping-particle":"","parse-names":false,"suffix":""}],"container-title":"Nucleus","id":"ITEM-3","issue":"5","issued":{"date-parts":[["2010"]]},"page":"407-11","publisher":"Taylor &amp; Francis","title":"LINCing lamin B2 to neuronal migration: growing evidence for cell-specific roles of B-type lamins","type":"article-journal","volume":"1"},"uris":["http://www.mendeley.com/documents/?uuid=d5ea85ee-b2d7-3b0d-932c-9810aeab41d3"]}],"mendeley":{"formattedCitation":"[85–87]","plainTextFormattedCitation":"[85–87]","previouslyFormattedCitation":"[85–87]"},"properties":{"noteIndex":0},"schema":"https://github.com/citation-style-language/schema/raw/master/csl-citation.json"}</w:instrText>
      </w:r>
      <w:r w:rsidRPr="005A1AC5">
        <w:fldChar w:fldCharType="separate"/>
      </w:r>
      <w:r w:rsidR="003D7446" w:rsidRPr="003D7446">
        <w:rPr>
          <w:noProof/>
        </w:rPr>
        <w:t>[85–87]</w:t>
      </w:r>
      <w:r w:rsidRPr="005A1AC5">
        <w:fldChar w:fldCharType="end"/>
      </w:r>
      <w:r w:rsidRPr="005A1AC5">
        <w:t xml:space="preserve">. Moreover, mice </w:t>
      </w:r>
      <w:proofErr w:type="spellStart"/>
      <w:r w:rsidRPr="005A1AC5">
        <w:t>harbouring</w:t>
      </w:r>
      <w:proofErr w:type="spellEnd"/>
      <w:r w:rsidRPr="005A1AC5">
        <w:t xml:space="preserve"> a mutation in </w:t>
      </w:r>
      <w:proofErr w:type="spellStart"/>
      <w:r w:rsidRPr="005A1AC5">
        <w:t>lamin</w:t>
      </w:r>
      <w:proofErr w:type="spellEnd"/>
      <w:r w:rsidRPr="005A1AC5">
        <w:t xml:space="preserve"> B1 did not survive long after birth due to severe developmental abnormalities </w:t>
      </w:r>
      <w:r w:rsidRPr="005A1AC5">
        <w:fldChar w:fldCharType="begin" w:fldLock="1"/>
      </w:r>
      <w:r w:rsidR="00EE0616">
        <w:instrText>ADDIN CSL_CITATION {"citationItems":[{"id":"ITEM-1","itemData":{"DOI":"10.1073/pnas.0401424101","ISSN":"0027-8424","abstract":"Lamins are key structural components of the nuclear lamina, an intermediate filament meshwork that lies beneath the inner nuclear membrane. Lamins play a role in nuclear architecture, DNA replication, and gene expression. Mutations affecting A-type lamins have been associated with a variety of human diseases, including muscular dystrophy, cardiomyopathy, lipodystrophy, and progeria, but mutations in B-type lamins have never been identified in humans or in experimental animals. To investigate the in vivo function of lamin B1, the major B-type lamin, we generated mice with an insertional mutation in Lmnb1. The mutation resulted in the synthesis of a mutant lamin B1 protein lacking several key functional domains, including a portion of the rod domain, the nuclear localization signal, and the CAAX motif (the carboxyl-terminal signal for farnesylation). Homozygous Lmnb1 mutant mice survived embryonic development but died at birth with defects in lung and bone. Fibroblasts from mutant embryos grew under standard cell-culture conditions but displayed grossly misshapen nuclei, impaired differentiation, increased polyploidy, and premature senescence. Thus, the lamin B1 mutant mice provide evidence for a broad and nonredundant function of lamin B1 in mammalian development. These mutant mice and cell lines derived from them will be useful models for studying the role of the nuclear lamina in various cellular processes.","author":[{"dropping-particle":"","family":"Vergnes","given":"Laurent","non-dropping-particle":"","parse-names":false,"suffix":""},{"dropping-particle":"","family":"Péterfy","given":"Miklós","non-dropping-particle":"","parse-names":false,"suffix":""},{"dropping-particle":"","family":"Bergo","given":"Martin O","non-dropping-particle":"","parse-names":false,"suffix":""},{"dropping-particle":"","family":"Young","given":"Stephen G","non-dropping-particle":"","parse-names":false,"suffix":""},{"dropping-particle":"","family":"Reue","given":"Karen","non-dropping-particle":"","parse-names":false,"suffix":""}],"container-title":"Proceedings of the National Academy of Sciences of the United States of America","id":"ITEM-1","issue":"28","issued":{"date-parts":[["2004"]]},"page":"10428-10433","title":"Lamin B1 is required for mouse development and nuclear integrity.","type":"article-journal","volume":"101"},"uris":["http://www.mendeley.com/documents/?uuid=10df6c72-380b-49e1-b547-aa49b0d4ff50"]}],"mendeley":{"formattedCitation":"[88]","plainTextFormattedCitation":"[88]","previouslyFormattedCitation":"[88]"},"properties":{"noteIndex":0},"schema":"https://github.com/citation-style-language/schema/raw/master/csl-citation.json"}</w:instrText>
      </w:r>
      <w:r w:rsidRPr="005A1AC5">
        <w:fldChar w:fldCharType="separate"/>
      </w:r>
      <w:r w:rsidR="003D7446" w:rsidRPr="003D7446">
        <w:rPr>
          <w:noProof/>
        </w:rPr>
        <w:t>[88]</w:t>
      </w:r>
      <w:r w:rsidRPr="005A1AC5">
        <w:fldChar w:fldCharType="end"/>
      </w:r>
      <w:r w:rsidRPr="005A1AC5">
        <w:t xml:space="preserve">, and </w:t>
      </w:r>
      <w:proofErr w:type="spellStart"/>
      <w:r w:rsidRPr="005A1AC5">
        <w:t>lamin</w:t>
      </w:r>
      <w:proofErr w:type="spellEnd"/>
      <w:r w:rsidRPr="005A1AC5">
        <w:t xml:space="preserve"> B2-deficient mice exhibited brain deformities and died at birth </w:t>
      </w:r>
      <w:r w:rsidRPr="005A1AC5">
        <w:fldChar w:fldCharType="begin" w:fldLock="1"/>
      </w:r>
      <w:r w:rsidR="00EE0616">
        <w:instrText>ADDIN CSL_CITATION {"citationItems":[{"id":"ITEM-1","itemData":{"DOI":"10.1073/PNAS.0908790107","ISSN":"0027-8424","PMID":"20145110","abstract":"Nuclear lamins are components of the nuclear lamina, a structural scaffolding for the cell nucleus. Defects in lamins A and C cause an array of human diseases, including muscular dystrophy, lipodystrophy, and progeria, but no diseases have been linked to the loss of lamins B1 or B2. To explore the functional relevance of lamin B2, we generated lamin B2-deficient mice and found that they have severe brain abnormalities resembling lissencephaly, with abnormal layering of neurons in the cerebral cortex and cerebellum. This neuronal layering abnormality is due to defective neuronal migration, a process that is dependent on the organized movement of the nucleus within the cell. These studies establish an essential function for lamin B2 in neuronal migration and brain development.","author":[{"dropping-particle":"","family":"Coffinier","given":"Catherine","non-dropping-particle":"","parse-names":false,"suffix":""},{"dropping-particle":"","family":"Chang","given":"Sandy Y.","non-dropping-particle":"","parse-names":false,"suffix":""},{"dropping-particle":"","family":"Nobumori","given":"Chika","non-dropping-particle":"","parse-names":false,"suffix":""},{"dropping-particle":"","family":"Tu","given":"Yiping","non-dropping-particle":"","parse-names":false,"suffix":""},{"dropping-particle":"","family":"Farber","given":"Emily A.","non-dropping-particle":"","parse-names":false,"suffix":""},{"dropping-particle":"","family":"Toth","given":"Julia I.","non-dropping-particle":"","parse-names":false,"suffix":""},{"dropping-particle":"","family":"Fong","given":"Loren G.","non-dropping-particle":"","parse-names":false,"suffix":""},{"dropping-particle":"","family":"Young","given":"Stephen G.","non-dropping-particle":"","parse-names":false,"suffix":""}],"container-title":"Proceedings of the National Academy of Sciences","id":"ITEM-1","issue":"11","issued":{"date-parts":[["2010","3","16"]]},"page":"5076-5081","publisher":"National Academy of Sciences","title":"Abnormal development of the cerebral cortex and cerebellum in the setting of lamin B2 deficiency","type":"article-journal","volume":"107"},"uris":["http://www.mendeley.com/documents/?uuid=13bc7e92-5cff-3465-b01f-cf9ed82a1610"]}],"mendeley":{"formattedCitation":"[85]","plainTextFormattedCitation":"[85]","previouslyFormattedCitation":"[85]"},"properties":{"noteIndex":0},"schema":"https://github.com/citation-style-language/schema/raw/master/csl-citation.json"}</w:instrText>
      </w:r>
      <w:r w:rsidRPr="005A1AC5">
        <w:fldChar w:fldCharType="separate"/>
      </w:r>
      <w:r w:rsidR="003D7446" w:rsidRPr="003D7446">
        <w:rPr>
          <w:noProof/>
        </w:rPr>
        <w:t>[85]</w:t>
      </w:r>
      <w:r w:rsidRPr="005A1AC5">
        <w:fldChar w:fldCharType="end"/>
      </w:r>
      <w:r w:rsidRPr="005A1AC5">
        <w:t xml:space="preserve">. Another explanation for a lack of mutations in </w:t>
      </w:r>
      <w:r w:rsidRPr="005A1AC5">
        <w:rPr>
          <w:i/>
          <w:iCs/>
        </w:rPr>
        <w:t>LMNB1/LMNB2</w:t>
      </w:r>
      <w:r w:rsidRPr="005A1AC5">
        <w:t xml:space="preserve"> may be that the expression of A-type </w:t>
      </w:r>
      <w:proofErr w:type="spellStart"/>
      <w:r w:rsidRPr="005A1AC5">
        <w:t>lamins</w:t>
      </w:r>
      <w:proofErr w:type="spellEnd"/>
      <w:r w:rsidRPr="005A1AC5">
        <w:t xml:space="preserve"> compensate when B-type </w:t>
      </w:r>
      <w:proofErr w:type="spellStart"/>
      <w:r w:rsidRPr="005A1AC5">
        <w:t>lamins</w:t>
      </w:r>
      <w:proofErr w:type="spellEnd"/>
      <w:r w:rsidRPr="005A1AC5">
        <w:t xml:space="preserve"> are not present. Some evidence from studying neurodevelopment in mouse models supports this theory, suggesting that low levels or absence of </w:t>
      </w:r>
      <w:proofErr w:type="spellStart"/>
      <w:r w:rsidRPr="005A1AC5">
        <w:t>lamin</w:t>
      </w:r>
      <w:proofErr w:type="spellEnd"/>
      <w:r w:rsidRPr="005A1AC5">
        <w:t xml:space="preserve"> A/C may exacerbate the effects of </w:t>
      </w:r>
      <w:proofErr w:type="spellStart"/>
      <w:r w:rsidRPr="005A1AC5">
        <w:t>lamin</w:t>
      </w:r>
      <w:proofErr w:type="spellEnd"/>
      <w:r w:rsidRPr="005A1AC5">
        <w:t xml:space="preserve"> B deficiency. For example, the absence of </w:t>
      </w:r>
      <w:proofErr w:type="spellStart"/>
      <w:r w:rsidRPr="005A1AC5">
        <w:rPr>
          <w:i/>
          <w:iCs/>
        </w:rPr>
        <w:t>Lmna</w:t>
      </w:r>
      <w:proofErr w:type="spellEnd"/>
      <w:r w:rsidRPr="005A1AC5">
        <w:rPr>
          <w:i/>
          <w:iCs/>
        </w:rPr>
        <w:t xml:space="preserve"> </w:t>
      </w:r>
      <w:r w:rsidRPr="005A1AC5">
        <w:t xml:space="preserve">in neurons of </w:t>
      </w:r>
      <w:proofErr w:type="spellStart"/>
      <w:r w:rsidRPr="005A1AC5">
        <w:t>lamin</w:t>
      </w:r>
      <w:proofErr w:type="spellEnd"/>
      <w:r w:rsidRPr="005A1AC5">
        <w:t xml:space="preserve"> B1-deficient mouse embryos is associated with abnormal nuclear morphology and severe neuropathology </w:t>
      </w:r>
      <w:r w:rsidRPr="005A1AC5">
        <w:fldChar w:fldCharType="begin" w:fldLock="1"/>
      </w:r>
      <w:r w:rsidR="00EE0616">
        <w:instrText>ADDIN CSL_CITATION {"citationItems":[{"id":"ITEM-1","itemData":{"DOI":"10.1091/MBC.E11-06-0504/ASSET/IMAGES/LARGE/4683FIG6.JPEG","ISSN":"10591524","PMID":"21976703","abstract":"Neuronal migration is essential for the development of the mammalian brain. Here, we document severe defects in neuronal migration and reduced numbers of neurons in lamin B1-deficient mice. Lamin B1 deficiency resulted in striking abnormalities in the nuclear shape of cortical neurons; many neurons contained a solitary nuclear bleb and exhibited an asymmetric distribution of lamin B2. In contrast, lamin B2 deficiency led to increased numbers of neurons with elongated nuclei. We used conditional alleles for Lmnb1 and Lmnb2 to create forebrain-specific knockout mice. The forebrain-specific Lmnb1- and Lmnb2-knockout models had a small forebrain with disorganized layering of neurons and nuclear shape abnormalities, similar to abnormalities identified in the conventional knockout mice. A more severe phenotype, complete atrophy of the cortex, was observed in forebrain-specific Lmnb1/Lmnb2 double-knockout mice. This study demonstrates that both lamin B1 and lamin B2 are essential for brain development, with lamin B1 being required for the integrity of the nuclear lamina, and lamin B2 being important for resistance to nuclear elongation in neurons. © 2011 Coffinier et al.","author":[{"dropping-particle":"","family":"Coffinier","given":"Catherine","non-dropping-particle":"","parse-names":false,"suffix":""},{"dropping-particle":"","family":"Jung","given":"Hea Jin","non-dropping-particle":"","parse-names":false,"suffix":""},{"dropping-particle":"","family":"Nobumori","given":"Chika","non-dropping-particle":"","parse-names":false,"suffix":""},{"dropping-particle":"","family":"Chang","given":"Sandy","non-dropping-particle":"","parse-names":false,"suffix":""},{"dropping-particle":"","family":"Tu","given":"Yiping","non-dropping-particle":"","parse-names":false,"suffix":""},{"dropping-particle":"","family":"Barnes","given":"Richard H.","non-dropping-particle":"","parse-names":false,"suffix":""},{"dropping-particle":"","family":"Yoshinaga","given":"Yuko","non-dropping-particle":"","parse-names":false,"suffix":""},{"dropping-particle":"","family":"Jong","given":"Pieter J.","non-dropping-particle":"De","parse-names":false,"suffix":""},{"dropping-particle":"","family":"Vergnes","given":"Laurent","non-dropping-particle":"","parse-names":false,"suffix":""},{"dropping-particle":"","family":"Reue","given":"Karen","non-dropping-particle":"","parse-names":false,"suffix":""},{"dropping-particle":"","family":"Fong","given":"Loren G.","non-dropping-particle":"","parse-names":false,"suffix":""},{"dropping-particle":"","family":"Young","given":"Stephen G.","non-dropping-particle":"","parse-names":false,"suffix":""}],"container-title":"Molecular Biology of the Cell","id":"ITEM-1","issue":"23","issued":{"date-parts":[["2011","12","1"]]},"page":"4683-4693","publisher":" The American Society for Cell Biology ","title":"Deficiencies in lamin B1 and lamin B2 cause neurodevelopmental defects and distinct nuclear shape abnormalities in neurons","type":"article-journal","volume":"22"},"uris":["http://www.mendeley.com/documents/?uuid=d7beffaa-2c1b-3e4d-80df-9fa9804022a1"]}],"mendeley":{"formattedCitation":"[86]","plainTextFormattedCitation":"[86]","previouslyFormattedCitation":"[86]"},"properties":{"noteIndex":0},"schema":"https://github.com/citation-style-language/schema/raw/master/csl-citation.json"}</w:instrText>
      </w:r>
      <w:r w:rsidRPr="005A1AC5">
        <w:fldChar w:fldCharType="separate"/>
      </w:r>
      <w:r w:rsidR="003D7446" w:rsidRPr="003D7446">
        <w:rPr>
          <w:noProof/>
        </w:rPr>
        <w:t>[86]</w:t>
      </w:r>
      <w:r w:rsidRPr="005A1AC5">
        <w:fldChar w:fldCharType="end"/>
      </w:r>
      <w:r w:rsidRPr="005A1AC5">
        <w:t xml:space="preserve">. An alternative hypothesis may be that the loss of one of either </w:t>
      </w:r>
      <w:proofErr w:type="spellStart"/>
      <w:r w:rsidRPr="005A1AC5">
        <w:t>lamin</w:t>
      </w:r>
      <w:proofErr w:type="spellEnd"/>
      <w:r w:rsidRPr="005A1AC5">
        <w:t xml:space="preserve"> B1 or B2 is compensated by the other. A study using </w:t>
      </w:r>
      <w:r w:rsidRPr="005A1AC5">
        <w:rPr>
          <w:i/>
          <w:iCs/>
        </w:rPr>
        <w:t>Lmnb1</w:t>
      </w:r>
      <w:r w:rsidRPr="005A1AC5">
        <w:rPr>
          <w:i/>
          <w:iCs/>
          <w:vertAlign w:val="superscript"/>
        </w:rPr>
        <w:t xml:space="preserve">B2/B2 </w:t>
      </w:r>
      <w:r w:rsidRPr="005A1AC5">
        <w:t xml:space="preserve">and </w:t>
      </w:r>
      <w:r w:rsidRPr="005A1AC5">
        <w:rPr>
          <w:i/>
          <w:iCs/>
        </w:rPr>
        <w:t>Lmnb2</w:t>
      </w:r>
      <w:r w:rsidRPr="005A1AC5">
        <w:rPr>
          <w:i/>
          <w:iCs/>
          <w:vertAlign w:val="superscript"/>
        </w:rPr>
        <w:t>B1/B1</w:t>
      </w:r>
      <w:r w:rsidRPr="005A1AC5">
        <w:t xml:space="preserve"> mice (mice that make </w:t>
      </w:r>
      <w:proofErr w:type="spellStart"/>
      <w:r w:rsidRPr="005A1AC5">
        <w:t>lamin</w:t>
      </w:r>
      <w:proofErr w:type="spellEnd"/>
      <w:r w:rsidRPr="005A1AC5">
        <w:t xml:space="preserve"> B2 from the </w:t>
      </w:r>
      <w:r w:rsidRPr="005A1AC5">
        <w:rPr>
          <w:i/>
          <w:iCs/>
        </w:rPr>
        <w:t xml:space="preserve">Lmnb1 </w:t>
      </w:r>
      <w:r w:rsidRPr="005A1AC5">
        <w:t xml:space="preserve">locus and vice-versa), however, found that increased production of one B-type </w:t>
      </w:r>
      <w:proofErr w:type="spellStart"/>
      <w:r w:rsidRPr="005A1AC5">
        <w:t>lamin</w:t>
      </w:r>
      <w:proofErr w:type="spellEnd"/>
      <w:r w:rsidRPr="005A1AC5">
        <w:t xml:space="preserve"> doesn’t appear to fully compensate the other, as both mouse models exhibited neuronal abnormalities </w:t>
      </w:r>
      <w:r w:rsidRPr="005A1AC5">
        <w:fldChar w:fldCharType="begin" w:fldLock="1"/>
      </w:r>
      <w:r w:rsidR="00EE0616">
        <w:instrText>ADDIN CSL_CITATION {"citationItems":[{"id":"ITEM-1","itemData":{"DOI":"10.1091/MBC.E14-01-0683","ISSN":"19394586","PMID":"24672053","abstract":"Lamins B1 and B2 (B-type lamins) have very similar sequences and are expressed ubiquitously. In addition, both Lmnb1- and Lmnb2-deficient mice die soon after birth with neuronal layering abnormalities in the cerebral cortex, a consequence of defective neuronal migration. The similarities in amino acid sequences, expression patterns, and knockout phenotypes raise the question of whether the two proteins have redundant functions. To investigate this topic, we generated \"reciprocal knock-in mice\"-mice that make lamin B2 from the Lmnb1 locus (Lmnb1B2/B2) and mice that make lamin B1 from the Lmnb2 locus (Lmnb2B1/B1). Lmnb1B2/B2 mice produced increased amounts of lamin B2 but no lamin B1; they died soon after birth with neuronal layering abnormalities in the cerebral cortex. However, the defects in Lmnb1 B2/B2 mice were less severe than those in Lmnb1-knockout mice, indicating that increased amounts of lamin B2 partially ameliorate the abnormalities associated with lamin B1 deficiency. Similarly, increased amounts of lamin B1 in Lmnb2B1/B1 mice did not prevent the neurodevelopmental defects elicited by lamin B2 deficiency. We conclude that lamins B1 and B2 have unique roles in the developing brain and that increased production of one B-type lamin does not fully complement loss of the other. © 2014 Lee et al.","author":[{"dropping-particle":"","family":"Lee","given":"John M.","non-dropping-particle":"","parse-names":false,"suffix":""},{"dropping-particle":"","family":"Tu","given":"Yiping","non-dropping-particle":"","parse-names":false,"suffix":""},{"dropping-particle":"","family":"Tatar","given":"Angelica","non-dropping-particle":"","parse-names":false,"suffix":""},{"dropping-particle":"","family":"Wu","given":"Daniel","non-dropping-particle":"","parse-names":false,"suffix":""},{"dropping-particle":"","family":"Nobumori","given":"Chika","non-dropping-particle":"","parse-names":false,"suffix":""},{"dropping-particle":"","family":"Jung","given":"Hea Jin","non-dropping-particle":"","parse-names":false,"suffix":""},{"dropping-particle":"","family":"Yoshinaga","given":"Yuko","non-dropping-particle":"","parse-names":false,"suffix":""},{"dropping-particle":"","family":"Coffinier","given":"Catherine","non-dropping-particle":"","parse-names":false,"suffix":""},{"dropping-particle":"","family":"Jong","given":"Pieter J.","non-dropping-particle":"De","parse-names":false,"suffix":""},{"dropping-particle":"","family":"Fong","given":"Loren G.","non-dropping-particle":"","parse-names":false,"suffix":""},{"dropping-particle":"","family":"Young","given":"Stephen G.","non-dropping-particle":"","parse-names":false,"suffix":""}],"container-title":"Molecular Biology of the Cell","id":"ITEM-1","issue":"10","issued":{"date-parts":[["2014","5","15"]]},"page":"1666","publisher":"American Society for Cell Biology","title":"Reciprocal knock-in mice to investigate the functional redundancy of lamin B1 and lamin B2","type":"article-journal","volume":"25"},"uris":["http://www.mendeley.com/documents/?uuid=ccf2bb97-522f-379f-9488-dc9cfe008bab"]}],"mendeley":{"formattedCitation":"[89]","plainTextFormattedCitation":"[89]","previouslyFormattedCitation":"[89]"},"properties":{"noteIndex":0},"schema":"https://github.com/citation-style-language/schema/raw/master/csl-citation.json"}</w:instrText>
      </w:r>
      <w:r w:rsidRPr="005A1AC5">
        <w:fldChar w:fldCharType="separate"/>
      </w:r>
      <w:r w:rsidR="003D7446" w:rsidRPr="003D7446">
        <w:rPr>
          <w:noProof/>
        </w:rPr>
        <w:t>[89]</w:t>
      </w:r>
      <w:r w:rsidRPr="005A1AC5">
        <w:fldChar w:fldCharType="end"/>
      </w:r>
      <w:r w:rsidRPr="005A1AC5">
        <w:t xml:space="preserve">. Duplications of the </w:t>
      </w:r>
      <w:r w:rsidRPr="005A1AC5">
        <w:rPr>
          <w:i/>
          <w:iCs/>
        </w:rPr>
        <w:t xml:space="preserve">LMNB1 </w:t>
      </w:r>
      <w:r w:rsidRPr="005A1AC5">
        <w:t xml:space="preserve">gene have additionally been found to cause autosomal dominant leukodystrophy, although we decided to exclude this due to these mutations being copy number variations </w:t>
      </w:r>
      <w:r w:rsidRPr="005A1AC5">
        <w:fldChar w:fldCharType="begin" w:fldLock="1"/>
      </w:r>
      <w:r w:rsidR="00EE0616">
        <w:instrText>ADDIN CSL_CITATION {"citationItems":[{"id":"ITEM-1","itemData":{"DOI":"10.1038/ng1872","ISSN":"1061-4036","abstract":"Adult-onset autosomal dominant leukodystrophy (ADLD) is a slowly progressive neurological disorder characterized by symmetrical widespread myelin loss in the central nervous system, with a phenotype similar to chronic progressive multiple sclerosis. In this study, we identify a genomic duplication that causes ADLD. Affected individuals carry an extra copy of the gene for the nuclear laminar protein lamin B1, resulting in increased gene dosage in brain tissue from individuals with ADLD. Increased expression of lamin B1 in Drosophila melanogaster resulted in a degenerative phenotype. In addition, an abnormal nuclear morphology was apparent when cultured cells overexpressed this protein. This is the first human disease attributable to mutations in the gene encoding lamin B1. Antibodies to lamin B are found in individuals with autoimmune diseases, and it is also an antigen recognized by a monoclonal antibody raised against plaques from brains of individuals with multiple sclerosis. This raises the possibility that lamin B may be a link to the autoimmune attack that occurs in multiple sclerosis.","author":[{"dropping-particle":"","family":"Padiath","given":"Quasar S","non-dropping-particle":"","parse-names":false,"suffix":""},{"dropping-particle":"","family":"Saigoh","given":"Kazumasa","non-dropping-particle":"","parse-names":false,"suffix":""},{"dropping-particle":"","family":"Schiffmann","given":"Raphael","non-dropping-particle":"","parse-names":false,"suffix":""},{"dropping-particle":"","family":"Asahara","given":"Hideaki","non-dropping-particle":"","parse-names":false,"suffix":""},{"dropping-particle":"","family":"Yamada","given":"Takeshi","non-dropping-particle":"","parse-names":false,"suffix":""},{"dropping-particle":"","family":"Koeppen","given":"Anulf","non-dropping-particle":"","parse-names":false,"suffix":""},{"dropping-particle":"","family":"Hogan","given":"Kirk","non-dropping-particle":"","parse-names":false,"suffix":""},{"dropping-particle":"","family":"Ptácek","given":"Louis J","non-dropping-particle":"","parse-names":false,"suffix":""},{"dropping-particle":"","family":"Fu","given":"Ying-Hui","non-dropping-particle":"","parse-names":false,"suffix":""}],"container-title":"Nature genetics","id":"ITEM-1","issue":"10","issued":{"date-parts":[["2006"]]},"page":"1114-1123","title":"Lamin B1 duplications cause autosomal dominant leukodystrophy.","type":"article-journal","volume":"38"},"uris":["http://www.mendeley.com/documents/?uuid=edccdad5-70a6-403c-81d6-02a56352bf94"]}],"mendeley":{"formattedCitation":"[90]","plainTextFormattedCitation":"[90]","previouslyFormattedCitation":"[90]"},"properties":{"noteIndex":0},"schema":"https://github.com/citation-style-language/schema/raw/master/csl-citation.json"}</w:instrText>
      </w:r>
      <w:r w:rsidRPr="005A1AC5">
        <w:fldChar w:fldCharType="separate"/>
      </w:r>
      <w:r w:rsidR="003D7446" w:rsidRPr="003D7446">
        <w:rPr>
          <w:noProof/>
        </w:rPr>
        <w:t>[90]</w:t>
      </w:r>
      <w:r w:rsidRPr="005A1AC5">
        <w:fldChar w:fldCharType="end"/>
      </w:r>
      <w:r w:rsidRPr="005A1AC5">
        <w:t>.</w:t>
      </w:r>
    </w:p>
    <w:p w14:paraId="59841136" w14:textId="6C71D5E9" w:rsidR="001E66EE" w:rsidRPr="005A1AC5" w:rsidRDefault="001E66EE" w:rsidP="005A1AC5">
      <w:pPr>
        <w:pStyle w:val="MDPI31text"/>
      </w:pPr>
      <w:r w:rsidRPr="005A1AC5">
        <w:t xml:space="preserve">In contrast to the spectrum of diseases caused by </w:t>
      </w:r>
      <w:r w:rsidRPr="005A1AC5">
        <w:rPr>
          <w:i/>
          <w:iCs/>
        </w:rPr>
        <w:t xml:space="preserve">LMNA </w:t>
      </w:r>
      <w:r w:rsidRPr="005A1AC5">
        <w:t xml:space="preserve">mutations, we observed that </w:t>
      </w:r>
      <w:r w:rsidRPr="005A1AC5">
        <w:rPr>
          <w:i/>
          <w:iCs/>
        </w:rPr>
        <w:t xml:space="preserve">EMD </w:t>
      </w:r>
      <w:r w:rsidRPr="005A1AC5">
        <w:t xml:space="preserve">mutations cause multiple diseases, with overlapping clinical phenotypes. Mutations in </w:t>
      </w:r>
      <w:r w:rsidRPr="005A1AC5">
        <w:rPr>
          <w:i/>
          <w:iCs/>
        </w:rPr>
        <w:t xml:space="preserve">EMD </w:t>
      </w:r>
      <w:r w:rsidRPr="005A1AC5">
        <w:t xml:space="preserve">have long been associated with causing EDMD but are also attributed to DCM, AF, </w:t>
      </w:r>
      <w:proofErr w:type="gramStart"/>
      <w:r w:rsidRPr="005A1AC5">
        <w:t>CCD</w:t>
      </w:r>
      <w:proofErr w:type="gramEnd"/>
      <w:r w:rsidRPr="005A1AC5">
        <w:t xml:space="preserve"> and RSS. Whilst these have presented as isolated diseases in certain cases, they are also known symptoms of EDMD </w:t>
      </w:r>
      <w:r w:rsidRPr="005A1AC5">
        <w:fldChar w:fldCharType="begin" w:fldLock="1"/>
      </w:r>
      <w:r w:rsidR="00EE0616">
        <w:instrText>ADDIN CSL_CITATION {"citationItems":[{"id":"ITEM-1","itemData":{"DOI":"10.1136/jmg.26.10.637","author":[{"dropping-particle":"","family":"Emery","given":"Alan E H","non-dropping-particle":"","parse-names":false,"suffix":""}],"container-title":"Syndrome of the month Journal of Medical Genetics","id":"ITEM-1","issued":{"date-parts":[["1989"]]},"page":"637-641","title":"Emery-Dreifuss syndrome","type":"article-journal","volume":"26"},"uris":["http://www.mendeley.com/documents/?uuid=d22e303f-638b-364a-927f-fd4cbb416276"]},{"id":"ITEM-2","itemData":{"DOI":"10.1161/01.STR.0000064322.47667.49","ISSN":"00392499","PMID":"12649505","abstract":"Background and Purpose - Emery-Dreifuss muscular dystrophy (EDMD) is a rare inherited disorder associated with cardiac involvement. We investigated the spectrum and relevance of the cardiac manifestations of EDMD, focusing on bradyarrhythmias and tachyarrhythmias (including atrial fibrillation/flutter), embolic stroke, and heart failure. Methods and Results - Eighteen patients (age 42.8 ± 19.6 years) with genetically confirmed X-linked (n = 10, including 3 carriers) or autosomal dominant (n=8) EDMD were followed for a period ranging from 1 to 30 years in a research center for neuromuscular diseases and in a university cardiological department. Pacemakers were required by 10 of 18 (56%) patients for bradyarrhythmia, and related complications occurred in 3 of 10 (30%) cases. Atrial fibrillation/flutter developed in 11 of 18 (61%) patients, with atrial standstill subsequently occurring in 5 of 11 (45%) cases and embolic stroke (most often disabling) in 4 of 11 (36%). Heart failure requiring transplantation occurred in 1 of 18 (6%) patients, and asymptomatic left ventricular dysfunction in a further 3 (17%). No relationship was evident between neuromuscular impairment and cardiac involvement. Conclusions - Both X-linked and autosomal dominant EDMD patients risk not only bradyarrhythmia (requiring pacemaker implant) but also atrial fibrillation/flutter, which often anticipates atrial standstill and can cause disabling embolic stroke at a relatively young age. Antithromboembolic prophylaxis has to be recommended in EDMD patients with atrial fibrillation/flutter or atrial standstill. With careful monitoring, survival after pacemaker implant may be long. Heart failure, which seems to occur only in a minority of patients, may be severe.","author":[{"dropping-particle":"","family":"Boriani","given":"Giuseppe","non-dropping-particle":"","parse-names":false,"suffix":""},{"dropping-particle":"","family":"Gallina","given":"Margherita","non-dropping-particle":"","parse-names":false,"suffix":""},{"dropping-particle":"","family":"Merlini","given":"Luciano","non-dropping-particle":"","parse-names":false,"suffix":""},{"dropping-particle":"","family":"Bonne","given":"Gisèle","non-dropping-particle":"","parse-names":false,"suffix":""},{"dropping-particle":"","family":"Toniolo","given":"Daniela","non-dropping-particle":"","parse-names":false,"suffix":""},{"dropping-particle":"","family":"Amati","given":"Silvia","non-dropping-particle":"","parse-names":false,"suffix":""},{"dropping-particle":"","family":"Biffi","given":"Mauro","non-dropping-particle":"","parse-names":false,"suffix":""},{"dropping-particle":"","family":"Martignani","given":"Cristian","non-dropping-particle":"","parse-names":false,"suffix":""},{"dropping-particle":"","family":"Frabetti","given":"Lorenzo","non-dropping-particle":"","parse-names":false,"suffix":""},{"dropping-particle":"","family":"Bonvicini","given":"Marco","non-dropping-particle":"","parse-names":false,"suffix":""},{"dropping-particle":"","family":"Rapezzi","given":"Claudio","non-dropping-particle":"","parse-names":false,"suffix":""},{"dropping-particle":"","family":"Branzi","given":"Angelo","non-dropping-particle":"","parse-names":false,"suffix":""}],"container-title":"Stroke","id":"ITEM-2","issue":"4","issued":{"date-parts":[["2003","4","1"]]},"page":"901-908","publisher":"Lippincott Williams &amp; Wilkins","title":"Clinical relevance of atrial fibrillation/flutter, stroke, pacemaker implant, and heart failure in Emery-Dreifuss muscular dystrophy: A long-term longitudinal study","type":"article-journal","volume":"34"},"uris":["http://www.mendeley.com/documents/?uuid=c418983b-2537-3878-a687-61d9f02f3a30"]}],"mendeley":{"formattedCitation":"[91,92]","plainTextFormattedCitation":"[91,92]","previouslyFormattedCitation":"[91,92]"},"properties":{"noteIndex":0},"schema":"https://github.com/citation-style-language/schema/raw/master/csl-citation.json"}</w:instrText>
      </w:r>
      <w:r w:rsidRPr="005A1AC5">
        <w:fldChar w:fldCharType="separate"/>
      </w:r>
      <w:r w:rsidR="003D7446" w:rsidRPr="003D7446">
        <w:rPr>
          <w:noProof/>
        </w:rPr>
        <w:t>[91,92]</w:t>
      </w:r>
      <w:r w:rsidRPr="005A1AC5">
        <w:fldChar w:fldCharType="end"/>
      </w:r>
      <w:r w:rsidRPr="005A1AC5">
        <w:t xml:space="preserve">. A possible explanation as to why </w:t>
      </w:r>
      <w:r w:rsidRPr="005A1AC5">
        <w:rPr>
          <w:i/>
          <w:iCs/>
        </w:rPr>
        <w:lastRenderedPageBreak/>
        <w:t xml:space="preserve">LMNA </w:t>
      </w:r>
      <w:r w:rsidRPr="005A1AC5">
        <w:t xml:space="preserve">mutations cause conditions with very distinct phenotypes, whilst other NE proteins do not, could be due to the highly complex and varied roles of </w:t>
      </w:r>
      <w:proofErr w:type="spellStart"/>
      <w:r w:rsidRPr="005A1AC5">
        <w:t>lamin</w:t>
      </w:r>
      <w:proofErr w:type="spellEnd"/>
      <w:r w:rsidRPr="005A1AC5">
        <w:t xml:space="preserve"> A/C. Besides having structural functions, such as maintaining the integrity of the NE </w:t>
      </w:r>
      <w:r w:rsidRPr="005A1AC5">
        <w:fldChar w:fldCharType="begin" w:fldLock="1"/>
      </w:r>
      <w:r w:rsidR="00EE0616">
        <w:instrText>ADDIN CSL_CITATION {"citationItems":[{"id":"ITEM-1","itemData":{"DOI":"10.1093/hmg/ddh295","ISSN":"0964-6906","abstract":"Laminopathies comprise a group of inherited diseases with variable clinical phenotypes, caused by mutations in the lamin A/C gene (LMNA). A prominent feature in several of these diseases is muscle wasting, as seen in Emery-Dreifuss muscle dystrophy, dilated cardiomyopathy and limb-girdle muscular dystrophy. Although the mechanisms underlying this phenotype remain largely obscure, two major working hypotheses are currently being investigated, namely, defects in gene regulation and/or abnormalities in nuclear architecture causing cellular fragility. In this study, using a newly developed cell compression device we have tested the latter hypothesis. The device allows controlled application of mechanical load onto single living cells, with simultaneous visualization of cellular deformation and quantitation of resistance. With the device, we have compared wild-type (MEF+/+) and LMNA knockout (MEF-/-) mouse embryonic fibroblasts (MEFs), and found that MEF-/- cells show a significantly decreased mechanical stiffness and a significantly lower bursting force. Partial rescue of the phenotype by transfection with either lamin A or lamin C prevented gross nuclear disruption, as seen in MEF-/- cells, but was unable to fully restore mechanical stiffness in these cells. Our studies show a direct correlation between absence of LMNA proteins and nuclear fragility in living cells. Simultaneous recordings by confocal microscopy revealed that the nuclei in MEF-/- cells, in contrast to MEF+/+ cells, exhibited an isotropic deformation upon indentation, despite an anisotropic deformation of the cell as a whole. This nuclear behaviour is indicative for a loss of interaction of the disturbed nucleus with the surrounding cytoskeleton. In addition, careful investigation of the three-dimensional organization of actin-, vimentin- and tubulin-based filaments showed a disturbed interaction of these structures in MEF-/- cells. Therefore, we suggest that in addition to the loss of nuclear stiffness, the loss of a physical interaction between nuclear structures (i.e. lamins) and the cytoskeleton is causing more general cellular weakness and emphasizes a potential key function for lamins in maintaining cellular tensegrity.","author":[{"dropping-particle":"V","family":"Broers","given":"Jos L","non-dropping-particle":"","parse-names":false,"suffix":""},{"dropping-particle":"","family":"Peeters","given":"Emiel A G","non-dropping-particle":"","parse-names":false,"suffix":""},{"dropping-particle":"","family":"Kuijpers","given":"Helma J H","non-dropping-particle":"","parse-names":false,"suffix":""},{"dropping-particle":"","family":"Endert","given":"Jorike","non-dropping-particle":"","parse-names":false,"suffix":""},{"dropping-particle":"","family":"Bouten","given":"Carlijn V C","non-dropping-particle":"","parse-names":false,"suffix":""},{"dropping-particle":"","family":"Oomens","given":"Cees W J","non-dropping-particle":"","parse-names":false,"suffix":""},{"dropping-particle":"","family":"Baaijens","given":"Frank P T","non-dropping-particle":"","parse-names":false,"suffix":""},{"dropping-particle":"","family":"Ramaekers","given":"Frans C S","non-dropping-particle":"","parse-names":false,"suffix":""}],"container-title":"Human molecular genetics","id":"ITEM-1","issue":"21","issued":{"date-parts":[["2004"]]},"page":"2567-2580","title":"Decreased mechanical stiffness in LMNA-/- cells is caused by defective nucleo-cytoskeletal integrity: implications for the development of laminopathies.","type":"article-journal","volume":"13"},"uris":["http://www.mendeley.com/documents/?uuid=ecaf65f1-f618-4646-a9c4-af86c139fee9"]},{"id":"ITEM-2","itemData":{"DOI":"10.1172/JCI19670","ISSN":"0021-9738","author":[{"dropping-particle":"","family":"Lammerding","given":"Jan","non-dropping-particle":"","parse-names":false,"suffix":""},{"dropping-particle":"","family":"Kamm","given":"Roger D.","non-dropping-particle":"","parse-names":false,"suffix":""},{"dropping-particle":"","family":"Lee","given":"Richard T.","non-dropping-particle":"","parse-names":false,"suffix":""},{"dropping-particle":"","family":"Schulze","given":"P. Christian","non-dropping-particle":"","parse-names":false,"suffix":""},{"dropping-particle":"","family":"Takahashi","given":"Tomosaburo","non-dropping-particle":"","parse-names":false,"suffix":""},{"dropping-particle":"","family":"Kozlov","given":"Serguei","non-dropping-particle":"","parse-names":false,"suffix":""},{"dropping-particle":"","family":"Sullivan","given":"Teresa","non-dropping-particle":"","parse-names":false,"suffix":""},{"dropping-particle":"","family":"Stewart","given":"Colin L.","non-dropping-particle":"","parse-names":false,"suffix":""}],"container-title":"Journal of Clinical Investigation","id":"ITEM-2","issue":"3","issued":{"date-parts":[["2004"]]},"page":"370-378","title":"Lamin A/C deficiency causes defective nuclear mechanics and mechanotransduction","type":"article-journal","volume":"113"},"uris":["http://www.mendeley.com/documents/?uuid=87c6f815-e5f7-3c06-ac08-8b1b50ff32fd"]}],"mendeley":{"formattedCitation":"[93,94]","plainTextFormattedCitation":"[93,94]","previouslyFormattedCitation":"[93,94]"},"properties":{"noteIndex":0},"schema":"https://github.com/citation-style-language/schema/raw/master/csl-citation.json"}</w:instrText>
      </w:r>
      <w:r w:rsidRPr="005A1AC5">
        <w:fldChar w:fldCharType="separate"/>
      </w:r>
      <w:r w:rsidR="003D7446" w:rsidRPr="003D7446">
        <w:rPr>
          <w:noProof/>
        </w:rPr>
        <w:t>[93,94]</w:t>
      </w:r>
      <w:r w:rsidRPr="005A1AC5">
        <w:fldChar w:fldCharType="end"/>
      </w:r>
      <w:r w:rsidRPr="005A1AC5">
        <w:t xml:space="preserve">, </w:t>
      </w:r>
      <w:proofErr w:type="spellStart"/>
      <w:r w:rsidRPr="005A1AC5">
        <w:t>lamin</w:t>
      </w:r>
      <w:proofErr w:type="spellEnd"/>
      <w:r w:rsidRPr="005A1AC5">
        <w:t xml:space="preserve"> A/C has also been implicated in DNA replication, chromatin </w:t>
      </w:r>
      <w:proofErr w:type="spellStart"/>
      <w:r w:rsidRPr="005A1AC5">
        <w:t>organisation</w:t>
      </w:r>
      <w:proofErr w:type="spellEnd"/>
      <w:r w:rsidRPr="005A1AC5">
        <w:t xml:space="preserve">, cell differentiation, and is known to interact with several transcription factors </w:t>
      </w:r>
      <w:r w:rsidRPr="005A1AC5">
        <w:fldChar w:fldCharType="begin" w:fldLock="1"/>
      </w:r>
      <w:r w:rsidR="00EE0616">
        <w:instrText>ADDIN CSL_CITATION {"citationItems":[{"id":"ITEM-1","itemData":{"DOI":"10.1038/NRM950","ISSN":"1471-0072","PMID":"12415302","abstract":"Intermediate filament (IF) proteins are the building blocks of cytoskeletal filaments, the main function of which is to maintain cell shape and integrity. The lamins are thought to be the evolutionary progenitors of IF proteins and they have profound influences on both nuclear structure and function. These influences require the lamins to have dynamic properties and dual identities - as building blocks and transcriptional regulators. Which one of these identities underlies a myriad of genetic diseases is a topic of intense debate.","author":[{"dropping-particle":"","family":"Hutchison","given":"Christopher J.","non-dropping-particle":"","parse-names":false,"suffix":""}],"container-title":"Nature reviews. Molecular cell biology","id":"ITEM-1","issue":"11","issued":{"date-parts":[["2002","11","1"]]},"page":"848-858","publisher":"Nat Rev Mol Cell Biol","title":"Lamins: building blocks or regulators of gene expression?","type":"article-journal","volume":"3"},"uris":["http://www.mendeley.com/documents/?uuid=7a921492-f61f-3838-b996-0665ff83ff34"]},{"id":"ITEM-2","itemData":{"DOI":"10.1242/jcs.01102","ISSN":"0021-9533","abstract":"What do such diverse molecules as DNA, actin, retinoblastoma protein and protein kinase Calpha all have in common? They and additional partners bind 'A-type' lamins, which form stable filaments in animal cell nuclei. Mutations in A-type lamins cause a bewildering range of tissue-specific diseases, termed 'laminopathies', including Emery-Dreifuss muscular dystrophy and the devastating Hutchinson-Gilford progeria syndrome, which mimics premature aging. Considered individually and collectively, partners for A-type lamins form four loose groups: architectural partners, chromatin partners, gene-regulatory partners and signaling partners. We describe 16 partners in detail, summarize their binding sites in A-type lamins, and sketch portraits of ternary complexes and functional pathways that might depend on lamins in vivo. On the basis of our limited current knowledge, we propose lamin-associated complexes with multiple components relevant to nuclear structure (e.g. emerin, nesprin 1alpha, actin) or signaling and gene regulation (e.g. LAP2alpha, retinoblastoma, E2F-DP heterodimers, genes) as 'food for thought'. Testing these ideas will deepen our understanding of nuclear function and human disease.","author":[{"dropping-particle":"","family":"Zastrow","given":"Michael S","non-dropping-particle":"","parse-names":false,"suffix":""},{"dropping-particle":"","family":"Vlcek","given":"Sylvia","non-dropping-particle":"","parse-names":false,"suffix":""},{"dropping-particle":"","family":"Wilson","given":"Katherine L","non-dropping-particle":"","parse-names":false,"suffix":""}],"container-title":"Journal of cell science","id":"ITEM-2","issue":"Pt 7","issued":{"date-parts":[["2004"]]},"page":"979-987","title":"Proteins that bind A-type lamins: integrating isolated clues.","type":"article-journal","volume":"117"},"uris":["http://www.mendeley.com/documents/?uuid=3b0c00bf-f1ae-4c62-995d-cc676ad406d2"]},{"id":"ITEM-3","itemData":{"DOI":"10.1242/jcs.110.20.2507","author":[{"dropping-particle":"","family":"Ellis","given":"DJ","non-dropping-particle":"","parse-names":false,"suffix":""},{"dropping-particle":"","family":"Jenkins","given":"H","non-dropping-particle":"","parse-names":false,"suffix":""},{"dropping-particle":"","family":"Whitfield","given":"WG","non-dropping-particle":"","parse-names":false,"suffix":""},{"dropping-particle":"","family":"Hutchinson","given":"CJ","non-dropping-particle":"","parse-names":false,"suffix":""}],"container-title":"Journal of cell science","id":"ITEM-3","issued":{"date-parts":[["1997","10"]]},"page":"2507-2518","title":"GST-lamin fusion proteins act as dominant negative mutants in Xenopus egg extract and reveal the function of the lamina in DNA replication","type":"article-journal","volume":"110"},"uris":["http://www.mendeley.com/documents/?uuid=80bbcabe-a529-3887-8328-aa8396235144"]}],"mendeley":{"formattedCitation":"[95–97]","plainTextFormattedCitation":"[95–97]","previouslyFormattedCitation":"[95–97]"},"properties":{"noteIndex":0},"schema":"https://github.com/citation-style-language/schema/raw/master/csl-citation.json"}</w:instrText>
      </w:r>
      <w:r w:rsidRPr="005A1AC5">
        <w:fldChar w:fldCharType="separate"/>
      </w:r>
      <w:r w:rsidR="003D7446" w:rsidRPr="003D7446">
        <w:rPr>
          <w:noProof/>
        </w:rPr>
        <w:t>[95–97]</w:t>
      </w:r>
      <w:r w:rsidRPr="005A1AC5">
        <w:fldChar w:fldCharType="end"/>
      </w:r>
      <w:r w:rsidRPr="005A1AC5">
        <w:t xml:space="preserve">. The consequences of mutations on any or all these processes could have a range of effects. Additionally, </w:t>
      </w:r>
      <w:proofErr w:type="spellStart"/>
      <w:r w:rsidRPr="005A1AC5">
        <w:t>lamin</w:t>
      </w:r>
      <w:proofErr w:type="spellEnd"/>
      <w:r w:rsidRPr="005A1AC5">
        <w:t xml:space="preserve"> A/C is known to interact with a number of different proteins that may be expressed in a tissue-specific manner themselves </w:t>
      </w:r>
      <w:r w:rsidRPr="005A1AC5">
        <w:fldChar w:fldCharType="begin" w:fldLock="1"/>
      </w:r>
      <w:r w:rsidR="00EE0616">
        <w:instrText>ADDIN CSL_CITATION {"citationItems":[{"id":"ITEM-1","itemData":{"DOI":"10.1016/J.TIBS.2005.08.003","ISSN":"0968-0004","PMID":"16125387","abstract":"The marriage of proteomics with cell biology has produced extensive inventories of the proteins that inhabit several subcellular organelles. Recent proteomic analysis has identified many new putative transmembrane proteins in the nuclear envelope, and transcriptome profiling suggests that the nuclear-membrane proteome exhibits some significant variations among different tissues. Cell-type-specific differences in the composition of protein sub-complexes of the nuclear envelope, particularly those containing the disease-associated protein lamin A, could yield distinctive functions and, thus, explain the tissue specificity of a diverse group of nuclear-envelope-linked disorders in humans. Considered together, these recent results suggest an unexpected functional complexity at the nuclear envelope. © 2005 Elsevier Ltd. All rights reserved.","author":[{"dropping-particle":"","family":"Schirmer","given":"Eric C.","non-dropping-particle":"","parse-names":false,"suffix":""},{"dropping-particle":"","family":"Gerace","given":"Larry","non-dropping-particle":"","parse-names":false,"suffix":""}],"container-title":"Trends in Biochemical Sciences","id":"ITEM-1","issue":"10","issued":{"date-parts":[["2005","10","1"]]},"page":"551-558","publisher":"Elsevier Current Trends","title":"The nuclear membrane proteome: extending the envelope","type":"article-journal","volume":"30"},"uris":["http://www.mendeley.com/documents/?uuid=27d39c51-8e02-3914-b017-35fa2e23f83d"]},{"id":"ITEM-2","itemData":{"DOI":"10.1091/mbc.e14-02-0733","ISSN":"1939-4586","abstract":"Laminopathies are a collection of phenotypically diverse diseases that include muscular dystrophies, cardiomyopathies, lipodystrophies, and premature aging syndromes. Laminopathies are caused by &gt;300 distinct mutations in the LMNA gene, which encodes the nuclear intermediate filament proteins lamin A and C, two major architectural elements of the mammalian cell nucleus. The genotype-phenotype relationship and the basis for the pronounced tissue specificity of laminopathies are poorly understood. Here we seek to identify on a global scale lamin A-binding partners whose interaction is affected by disease-relevant LMNA mutations. In a screen of a human genome-wide ORFeome library, we identified and validated 337 lamin A-binding proteins. Testing them against 89 known lamin A disease mutations identified 50 disease-associated interactors. Association of progerin, the lamin A isoform responsible for the premature aging disorder Hutchinson-Gilford progeria syndrome, with its partners was largely mediated by farnesylation. Mapping of the interaction sites on lamin A identified the immunoglobulin G (IgG)-like domain as an interaction hotspot and demonstrated that lamin A variants, which destabilize the Ig-like domain, affect protein-protein interactions more globally than mutations of surface residues. Analysis of a set of LMNA mutations in a single residue, which result in three phenotypically distinct diseases, identified disease-specific interactors. The results represent a systematic map of disease-relevant lamin A interactors and suggest loss of tissue-specific lamin A interactions as a mechanism for the tissue-specific appearance of laminopathic phenotypes.","author":[{"dropping-particle":"","family":"Dittmer","given":"Travis A","non-dropping-particle":"","parse-names":false,"suffix":""},{"dropping-particle":"","family":"Sahni","given":"Nidhi","non-dropping-particle":"","parse-names":false,"suffix":""},{"dropping-particle":"","family":"Kubben","given":"Nard","non-dropping-particle":"","parse-names":false,"suffix":""},{"dropping-particle":"","family":"Hill","given":"David E","non-dropping-particle":"","parse-names":false,"suffix":""},{"dropping-particle":"","family":"Vidal","given":"Marc","non-dropping-particle":"","parse-names":false,"suffix":""},{"dropping-particle":"","family":"Burgess","given":"Rebecca C","non-dropping-particle":"","parse-names":false,"suffix":""},{"dropping-particle":"","family":"Roukos","given":"Vassilis","non-dropping-particle":"","parse-names":false,"suffix":""},{"dropping-particle":"","family":"Misteli","given":"Tom","non-dropping-particle":"","parse-names":false,"suffix":""}],"container-title":"Molecular biology of the cell","id":"ITEM-2","issue":"9","issued":{"date-parts":[["2014"]]},"page":"1493-1510","title":"Systematic identification of pathological lamin A interactors.","type":"article-journal","volume":"25"},"uris":["http://www.mendeley.com/documents/?uuid=dbad1d78-74b5-48c3-9810-28f54e6b660f"]}],"mendeley":{"formattedCitation":"[98,99]","plainTextFormattedCitation":"[98,99]","previouslyFormattedCitation":"[98,99]"},"properties":{"noteIndex":0},"schema":"https://github.com/citation-style-language/schema/raw/master/csl-citation.json"}</w:instrText>
      </w:r>
      <w:r w:rsidRPr="005A1AC5">
        <w:fldChar w:fldCharType="separate"/>
      </w:r>
      <w:r w:rsidR="003D7446" w:rsidRPr="003D7446">
        <w:rPr>
          <w:noProof/>
        </w:rPr>
        <w:t>[98,99]</w:t>
      </w:r>
      <w:r w:rsidRPr="005A1AC5">
        <w:fldChar w:fldCharType="end"/>
      </w:r>
      <w:r w:rsidRPr="005A1AC5">
        <w:t xml:space="preserve">. Mutations in </w:t>
      </w:r>
      <w:r w:rsidRPr="005A1AC5">
        <w:rPr>
          <w:i/>
          <w:iCs/>
        </w:rPr>
        <w:t>LMNA</w:t>
      </w:r>
      <w:r w:rsidRPr="005A1AC5">
        <w:t xml:space="preserve"> may therefore lead to differential interactions of mutant </w:t>
      </w:r>
      <w:proofErr w:type="spellStart"/>
      <w:r w:rsidRPr="005A1AC5">
        <w:t>lamins</w:t>
      </w:r>
      <w:proofErr w:type="spellEnd"/>
      <w:r w:rsidRPr="005A1AC5">
        <w:t xml:space="preserve"> and their associated proteins </w:t>
      </w:r>
      <w:r w:rsidRPr="005A1AC5">
        <w:fldChar w:fldCharType="begin" w:fldLock="1"/>
      </w:r>
      <w:r w:rsidR="00EE0616">
        <w:instrText>ADDIN CSL_CITATION {"citationItems":[{"id":"ITEM-1","itemData":{"DOI":"10.4161/nucl.1.6.13512","ISSN":"1949-1042","author":[{"dropping-particle":"","family":"Kubben","given":"Nard","non-dropping-particle":"","parse-names":false,"suffix":""},{"dropping-particle":"","family":"Voncken","given":"Jan Willem","non-dropping-particle":"","parse-names":false,"suffix":""},{"dropping-particle":"","family":"Demmers","given":"Jeroen","non-dropping-particle":"","parse-names":false,"suffix":""},{"dropping-particle":"","family":"Calis","given":"Chantal","non-dropping-particle":"","parse-names":false,"suffix":""},{"dropping-particle":"","family":"Almen","given":"Geert","non-dropping-particle":"Van","parse-names":false,"suffix":""},{"dropping-particle":"","family":"Pinto","given":"Yigal M","non-dropping-particle":"","parse-names":false,"suffix":""},{"dropping-particle":"","family":"Misteli","given":"Tom","non-dropping-particle":"","parse-names":false,"suffix":""}],"container-title":"Nucleus","id":"ITEM-1","issue":"6","issued":{"date-parts":[["2010"]]},"page":"513-525","title":"Identification of differential protein interactors of lamin A and progerin","type":"article-journal","volume":"1"},"uris":["http://www.mendeley.com/documents/?uuid=81e92c68-0845-33d2-9ead-0b1eed53f294"]}],"mendeley":{"formattedCitation":"[100]","plainTextFormattedCitation":"[100]","previouslyFormattedCitation":"[100]"},"properties":{"noteIndex":0},"schema":"https://github.com/citation-style-language/schema/raw/master/csl-citation.json"}</w:instrText>
      </w:r>
      <w:r w:rsidRPr="005A1AC5">
        <w:fldChar w:fldCharType="separate"/>
      </w:r>
      <w:r w:rsidR="003D7446" w:rsidRPr="003D7446">
        <w:rPr>
          <w:noProof/>
        </w:rPr>
        <w:t>[100]</w:t>
      </w:r>
      <w:r w:rsidRPr="005A1AC5">
        <w:fldChar w:fldCharType="end"/>
      </w:r>
      <w:r w:rsidRPr="005A1AC5">
        <w:t xml:space="preserve">. Commonly laminopathies are caused by missense mutations, and arginine residues were found to be frequently substituted. </w:t>
      </w:r>
      <w:r w:rsidR="00730768">
        <w:t>A</w:t>
      </w:r>
      <w:r w:rsidR="00A43EEF">
        <w:t>pproximately</w:t>
      </w:r>
      <w:r w:rsidR="00730768" w:rsidRPr="005A1AC5">
        <w:t xml:space="preserve"> 30% of genetic diseases</w:t>
      </w:r>
      <w:r w:rsidR="00730768">
        <w:t xml:space="preserve"> are due to m</w:t>
      </w:r>
      <w:r w:rsidRPr="005A1AC5">
        <w:t xml:space="preserve">utations at arginine and glycine residues </w:t>
      </w:r>
      <w:r w:rsidRPr="005A1AC5">
        <w:fldChar w:fldCharType="begin" w:fldLock="1"/>
      </w:r>
      <w:r w:rsidR="00EE0616">
        <w:instrText>ADDIN CSL_CITATION {"citationItems":[{"id":"ITEM-1","itemData":{"DOI":"10.1186/GB-2003-4-11-R72/FIGURES/6","ISSN":"14747596","PMID":"14611658","abstract":"Background: Nonsynonymous mutations in the coding regions of human genes are responsible for phenotypic differences between humans and for susceptibility to genetic disease. Computational methods were recently used to predict deleterious effects of nonsynonymous human mutations and polymorphisms. Here we focus on understanding the amino-acid mutation spectrum of human genetic disease. We compare the disease spectrum to the spectra of mutual amino-acid mutation frequencies, non-disease polymorphisms in human genes, and substitutions fixed between species.Results: We find that the disease spectrum correlates well with the amino-acid mutation frequencies based on the genetic code. Normalized by the mutation frequencies, the spectrum can be rationalized in terms of chemical similarities between amino acids. The disease spectrum is almost identical for membrane and non-membrane proteins. Mutations at arginine and glycine residues are together responsible for about 30% of genetic diseases, whereas random mutations at tryptophan and cysteine have the highest probability of causing disease.Conclusions: The overall disease spectrum mainly reflects the mutability of the genetic code. We corroborate earlier results that the probability of a nonsynonymous mutation causing a genetic disease increases monotonically with an increase in the degree of evolutionary conservation of the mutation site and a decrease in the solvent-accessibility of the site; opposite trends are observed for non-disease polymorphisms. We estimate that the rate of nonsynonymous mutations with a negative impact on human health is less than one per diploid genome per generation. © 2003 Vitkup et al.; licensee BioMed Central Ltd.","author":[{"dropping-particle":"","family":"Vitkup","given":"Dennis","non-dropping-particle":"","parse-names":false,"suffix":""},{"dropping-particle":"","family":"Sander","given":"Chris","non-dropping-particle":"","parse-names":false,"suffix":""},{"dropping-particle":"","family":"Church","given":"George M.","non-dropping-particle":"","parse-names":false,"suffix":""}],"container-title":"Genome Biology","id":"ITEM-1","issue":"11","issued":{"date-parts":[["2003","10","30"]]},"page":"1-10","publisher":"BioMed Central","title":"The amino-acid mutational spectrum of human genetic disease","type":"article-journal","volume":"4"},"uris":["http://www.mendeley.com/documents/?uuid=fea77317-3c33-3368-84d5-cbf36428b4a3"]}],"mendeley":{"formattedCitation":"[101]","plainTextFormattedCitation":"[101]","previouslyFormattedCitation":"[101]"},"properties":{"noteIndex":0},"schema":"https://github.com/citation-style-language/schema/raw/master/csl-citation.json"}</w:instrText>
      </w:r>
      <w:r w:rsidRPr="005A1AC5">
        <w:fldChar w:fldCharType="separate"/>
      </w:r>
      <w:r w:rsidR="003D7446" w:rsidRPr="003D7446">
        <w:rPr>
          <w:noProof/>
        </w:rPr>
        <w:t>[101]</w:t>
      </w:r>
      <w:r w:rsidRPr="005A1AC5">
        <w:fldChar w:fldCharType="end"/>
      </w:r>
      <w:r w:rsidRPr="005A1AC5">
        <w:t xml:space="preserve">. This is a result of </w:t>
      </w:r>
      <w:r w:rsidR="00EF7EB9" w:rsidRPr="005A1AC5">
        <w:t xml:space="preserve">arginine </w:t>
      </w:r>
      <w:r w:rsidR="00EF7EB9">
        <w:t xml:space="preserve"> being </w:t>
      </w:r>
      <w:r w:rsidRPr="005A1AC5">
        <w:t>high mutab</w:t>
      </w:r>
      <w:r w:rsidR="00EF7EB9">
        <w:t>le</w:t>
      </w:r>
      <w:r w:rsidRPr="005A1AC5">
        <w:t xml:space="preserve"> </w:t>
      </w:r>
      <w:r w:rsidR="00EF7EB9">
        <w:t xml:space="preserve"> because of </w:t>
      </w:r>
      <w:r w:rsidRPr="005A1AC5">
        <w:t xml:space="preserve">the deamination of 5'-CpG dinucleotides in arginine codons </w:t>
      </w:r>
      <w:r w:rsidRPr="005A1AC5">
        <w:fldChar w:fldCharType="begin" w:fldLock="1"/>
      </w:r>
      <w:r w:rsidR="00EE0616">
        <w:instrText xml:space="preserve">ADDIN CSL_CITATION {"citationItems":[{"id":"ITEM-1","itemData":{"DOI":"10.1007/BF00278187","ISSN":"1432-1203","PMID":"3338800","abstract":"Reports of single base-pair mutations within gene coding regions causing human genetic disease were collated. Thirty-five per cent of mutations were found to have occurred within CpG dinucleotides. Over 90% of these mutations were C </w:instrText>
      </w:r>
      <w:r w:rsidR="00EE0616">
        <w:rPr>
          <w:rFonts w:ascii="Times New Roman" w:hAnsi="Times New Roman"/>
        </w:rPr>
        <w:instrText>→</w:instrText>
      </w:r>
      <w:r w:rsidR="00EE0616">
        <w:instrText xml:space="preserve"> T or G </w:instrText>
      </w:r>
      <w:r w:rsidR="00EE0616">
        <w:rPr>
          <w:rFonts w:ascii="Times New Roman" w:hAnsi="Times New Roman"/>
        </w:rPr>
        <w:instrText>→</w:instrText>
      </w:r>
      <w:r w:rsidR="00EE0616">
        <w:instrText xml:space="preserve"> A transitions, which thus occur within coding regions at a frequency 42-fold higher than that predicted from random mutation. These findings are consistent with methylation-induced deamination of 5-methyl cytosine and suggest that methylation of DNA within coding regions may contribute significantly to the incidence of human genetic disease.","author":[{"dropping-particle":"","family":"Cooper","given":"David N.","non-dropping-particle":"","parse-names":false,"suffix":""},{"dropping-particle":"","family":"Youssoufian","given":"Hagop","non-dropping-particle":"","parse-names":false,"suffix":""}],"container-title":"Human Genetics 1988 78:2","id":"ITEM-1","issue":"2","issued":{"date-parts":[["1988","2"]]},"page":"151-155","publisher":"Springer","title":"The CpG dinucleotide and human genetic disease","type":"article-journal","volume":"78"},"uris":["http://www.mendeley.com/documents/?uuid=8155bd30-af9b-36a4-82be-2554d5e27d32"]}],"mendeley":{"formattedCitation":"[102]","plainTextFormattedCitation":"[102]","previouslyFormattedCitation":"[102]"},"properties":{"noteIndex":0},"schema":"https://github.com/citation-style-language/schema/raw/master/csl-citation.json"}</w:instrText>
      </w:r>
      <w:r w:rsidRPr="005A1AC5">
        <w:fldChar w:fldCharType="separate"/>
      </w:r>
      <w:r w:rsidR="003D7446" w:rsidRPr="003D7446">
        <w:rPr>
          <w:noProof/>
        </w:rPr>
        <w:t>[102]</w:t>
      </w:r>
      <w:r w:rsidRPr="005A1AC5">
        <w:fldChar w:fldCharType="end"/>
      </w:r>
      <w:r w:rsidRPr="005A1AC5">
        <w:t>, the relatively high frequency of arginine in human proteins</w:t>
      </w:r>
      <w:r w:rsidR="00EF7EB9">
        <w:t>,</w:t>
      </w:r>
      <w:r w:rsidRPr="005A1AC5">
        <w:t xml:space="preserve"> and that arginine mutates to other </w:t>
      </w:r>
      <w:r w:rsidR="00EF7EB9">
        <w:t>amino acids</w:t>
      </w:r>
      <w:r w:rsidR="00EF7EB9" w:rsidRPr="005A1AC5">
        <w:t xml:space="preserve"> </w:t>
      </w:r>
      <w:r w:rsidRPr="005A1AC5">
        <w:t xml:space="preserve">with very different chemical properties </w:t>
      </w:r>
      <w:r w:rsidRPr="005A1AC5">
        <w:fldChar w:fldCharType="begin" w:fldLock="1"/>
      </w:r>
      <w:r w:rsidR="00EE0616">
        <w:instrText>ADDIN CSL_CITATION {"citationItems":[{"id":"ITEM-1","itemData":{"DOI":"10.1186/GB-2003-4-11-R72/FIGURES/6","ISSN":"14747596","PMID":"14611658","abstract":"Background: Nonsynonymous mutations in the coding regions of human genes are responsible for phenotypic differences between humans and for susceptibility to genetic disease. Computational methods were recently used to predict deleterious effects of nonsynonymous human mutations and polymorphisms. Here we focus on understanding the amino-acid mutation spectrum of human genetic disease. We compare the disease spectrum to the spectra of mutual amino-acid mutation frequencies, non-disease polymorphisms in human genes, and substitutions fixed between species.Results: We find that the disease spectrum correlates well with the amino-acid mutation frequencies based on the genetic code. Normalized by the mutation frequencies, the spectrum can be rationalized in terms of chemical similarities between amino acids. The disease spectrum is almost identical for membrane and non-membrane proteins. Mutations at arginine and glycine residues are together responsible for about 30% of genetic diseases, whereas random mutations at tryptophan and cysteine have the highest probability of causing disease.Conclusions: The overall disease spectrum mainly reflects the mutability of the genetic code. We corroborate earlier results that the probability of a nonsynonymous mutation causing a genetic disease increases monotonically with an increase in the degree of evolutionary conservation of the mutation site and a decrease in the solvent-accessibility of the site; opposite trends are observed for non-disease polymorphisms. We estimate that the rate of nonsynonymous mutations with a negative impact on human health is less than one per diploid genome per generation. © 2003 Vitkup et al.; licensee BioMed Central Ltd.","author":[{"dropping-particle":"","family":"Vitkup","given":"Dennis","non-dropping-particle":"","parse-names":false,"suffix":""},{"dropping-particle":"","family":"Sander","given":"Chris","non-dropping-particle":"","parse-names":false,"suffix":""},{"dropping-particle":"","family":"Church","given":"George M.","non-dropping-particle":"","parse-names":false,"suffix":""}],"container-title":"Genome Biology","id":"ITEM-1","issue":"11","issued":{"date-parts":[["2003","10","30"]]},"page":"1-10","publisher":"BioMed Central","title":"The amino-acid mutational spectrum of human genetic disease","type":"article-journal","volume":"4"},"uris":["http://www.mendeley.com/documents/?uuid=fea77317-3c33-3368-84d5-cbf36428b4a3"]}],"mendeley":{"formattedCitation":"[101]","plainTextFormattedCitation":"[101]","previouslyFormattedCitation":"[101]"},"properties":{"noteIndex":0},"schema":"https://github.com/citation-style-language/schema/raw/master/csl-citation.json"}</w:instrText>
      </w:r>
      <w:r w:rsidRPr="005A1AC5">
        <w:fldChar w:fldCharType="separate"/>
      </w:r>
      <w:r w:rsidR="003D7446" w:rsidRPr="003D7446">
        <w:rPr>
          <w:noProof/>
        </w:rPr>
        <w:t>[101]</w:t>
      </w:r>
      <w:r w:rsidRPr="005A1AC5">
        <w:fldChar w:fldCharType="end"/>
      </w:r>
      <w:r w:rsidRPr="005A1AC5">
        <w:t xml:space="preserve">. Variants affecting arginine residues may have devastating effects on protein stability, as arginine is frequently involved in the formation of salt bridges, and may disrupt and interfere with protein interactions and post-translational modification sites as arginine is also common in protein-active or binding sites </w:t>
      </w:r>
      <w:r w:rsidRPr="005A1AC5">
        <w:fldChar w:fldCharType="begin" w:fldLock="1"/>
      </w:r>
      <w:r w:rsidR="00EE0616">
        <w:instrText>ADDIN CSL_CITATION {"citationItems":[{"id":"ITEM-1","itemData":{"DOI":"10.1002/0470867302.CH14","abstract":"This chapter contains sections titled: Introduction Protein Features Relevant to Amino Acid Behaviour Amino Acid Classifications Properties of the Amino Acids Amino Acid Quick Reference Studies of How Mutations Affect Function A Summary of the Thought Process References Appendix: Tools","author":[{"dropping-particle":"","family":"Betts","given":"Matthew J.","non-dropping-particle":"","parse-names":false,"suffix":""},{"dropping-particle":"","family":"Russell","given":"Robert B.","non-dropping-particle":"","parse-names":false,"suffix":""}],"chapter-number":"14","container-title":"Bioinformatics for Geneticists","editor":[{"dropping-particle":"","family":"Barnes","given":"Michael R.","non-dropping-particle":"","parse-names":false,"suffix":""},{"dropping-particle":"","family":"Gray","given":"Ian C.","non-dropping-particle":"","parse-names":false,"suffix":""}],"id":"ITEM-1","issued":{"date-parts":[["2003","5","22"]]},"page":"289-316","publisher":"John Wiley &amp; Sons, Ltd","title":"Amino Acid Properties and Consequences of Substitutions","type":"chapter"},"uris":["http://www.mendeley.com/documents/?uuid=67503b90-faf8-3d59-9bda-64d043f9b0be"]}],"mendeley":{"formattedCitation":"[103]","plainTextFormattedCitation":"[103]","previouslyFormattedCitation":"[103]"},"properties":{"noteIndex":0},"schema":"https://github.com/citation-style-language/schema/raw/master/csl-citation.json"}</w:instrText>
      </w:r>
      <w:r w:rsidRPr="005A1AC5">
        <w:fldChar w:fldCharType="separate"/>
      </w:r>
      <w:r w:rsidR="003D7446" w:rsidRPr="003D7446">
        <w:rPr>
          <w:noProof/>
        </w:rPr>
        <w:t>[103]</w:t>
      </w:r>
      <w:r w:rsidRPr="005A1AC5">
        <w:fldChar w:fldCharType="end"/>
      </w:r>
      <w:r w:rsidRPr="005A1AC5">
        <w:t xml:space="preserve">. </w:t>
      </w:r>
    </w:p>
    <w:p w14:paraId="3A952174" w14:textId="40DF58A8" w:rsidR="001E66EE" w:rsidRPr="005A1AC5" w:rsidRDefault="001E66EE" w:rsidP="005A1AC5">
      <w:pPr>
        <w:pStyle w:val="MDPI31text"/>
      </w:pPr>
      <w:r w:rsidRPr="005A1AC5">
        <w:t xml:space="preserve">Clusters of mutations corresponding to different laminopathies were also found at different exons of the </w:t>
      </w:r>
      <w:r w:rsidRPr="005A1AC5">
        <w:rPr>
          <w:i/>
          <w:iCs/>
        </w:rPr>
        <w:t xml:space="preserve">LMNA </w:t>
      </w:r>
      <w:r w:rsidRPr="005A1AC5">
        <w:t xml:space="preserve">gene. Many mutations causing skeletal myopathies or cardiac diseases occurred within exons 1 and 6. The N-terminal head of </w:t>
      </w:r>
      <w:proofErr w:type="spellStart"/>
      <w:r w:rsidRPr="005A1AC5">
        <w:t>lamin</w:t>
      </w:r>
      <w:proofErr w:type="spellEnd"/>
      <w:r w:rsidRPr="005A1AC5">
        <w:t xml:space="preserve"> A/C is encoded within a region of exon 1, whilst exon 6 corresponds to coil 2 within the central rod domain. These structures are both involved in </w:t>
      </w:r>
      <w:proofErr w:type="spellStart"/>
      <w:r w:rsidRPr="005A1AC5">
        <w:t>lamin</w:t>
      </w:r>
      <w:proofErr w:type="spellEnd"/>
      <w:r w:rsidRPr="005A1AC5">
        <w:t xml:space="preserve"> assembly. Although </w:t>
      </w:r>
      <w:proofErr w:type="spellStart"/>
      <w:r w:rsidRPr="005A1AC5">
        <w:t>lamin</w:t>
      </w:r>
      <w:proofErr w:type="spellEnd"/>
      <w:r w:rsidRPr="005A1AC5">
        <w:t xml:space="preserve"> assembly mechanisms are still not fully understood, </w:t>
      </w:r>
      <w:proofErr w:type="spellStart"/>
      <w:r w:rsidRPr="005A1AC5">
        <w:t>lamin</w:t>
      </w:r>
      <w:proofErr w:type="spellEnd"/>
      <w:r w:rsidRPr="005A1AC5">
        <w:t xml:space="preserve"> dimers are believed to longitudinally associate “head-to-tail” </w:t>
      </w:r>
      <w:r w:rsidRPr="005A1AC5">
        <w:fldChar w:fldCharType="begin" w:fldLock="1"/>
      </w:r>
      <w:r w:rsidR="00EE0616">
        <w:instrText>ADDIN CSL_CITATION {"citationItems":[{"id":"ITEM-1","itemData":{"DOI":"10.1006/JSBI.1998.3987","ISSN":"10478477","PMID":"9724605","abstract":"Nuclear lamins are intermediate filament-type proteins that are the major building blocks of the nuclear lamina, a fibrous proteinaceous meshwork underlying the inner nuclear membrane. Lamins can also be localized in the nuclear interior, in a diffuse or spotted pattern. Nuclei assembled in vitro in the absence of lamins are fragile, indicating that lamins mechanically stabilize the cell nucleus. Available evidence also indicates a role for lamins in DNA replication, chromatin organization, spatial arrangement of nuclear pore complexes, nuclear growth, and anchorage of nuclear envelope proteins. In this review we summarize the current state of knowledge on the structure, assembly, and possible functional roles of nuclear lamins, emphasizing the information concerning the ability of nuclear lamins to self- assemble into distinct oligomers and polymers.","author":[{"dropping-particle":"","family":"Stuurman","given":"Nico","non-dropping-particle":"","parse-names":false,"suffix":""},{"dropping-particle":"","family":"Heins","given":"Susanne","non-dropping-particle":"","parse-names":false,"suffix":""},{"dropping-particle":"","family":"Aebi","given":"Ueli","non-dropping-particle":"","parse-names":false,"suffix":""}],"container-title":"Journal of Structural Biology","id":"ITEM-1","issue":"1-2","issued":{"date-parts":[["1998"]]},"page":"42-66","publisher":"Academic Press Inc.","title":"Nuclear lamins: Their structure, assembly, and interactions","type":"article-journal","volume":"122"},"uris":["http://www.mendeley.com/documents/?uuid=fef8ce5f-1265-334d-8f4d-809f16bd246b"]},{"id":"ITEM-2","itemData":{"DOI":"10.1006/JSBI.1996.0064","ISSN":"1047-8477","PMID":"8776884","abstract":"Polymerization of intermediate filament proteins results from interactions among several distinct binding sites on the constituent proteins. Nuclear lamin head-to-tail polymers arise from one such interaction. We studied this binding using Drosophila lamin Dm0-derived fragments containing either the NH2-terminal or COOH-terminal binding site with a combination of co-immunoprecipitation, yeast two-hybrid, analytical ultracentrifugation, and electron microscopic assays. Fragment binding and fall-length lamin head-to-tail polymerization were similar to each other in morphology, buffer requirements, and inhibition after phosphorylation with cdc2 kinase. Deletion analysis localized the binding sites to the ends of the rod domain that are highly conserved among all intermediate filament proteins. Point mutants, defective in binding, were isolated. Two were identical to point mutations in specific human keratin genes known to affect keratin assembly and to cause genetic skin diseases. Results further indicate that the binding sites only function in specific sequence contexts and that binding can be modulated by elements outside the binding sites (like the cdc2 kinase phosphorylation site). Our data indicate that one type of interaction in intermediate filament protein polymerization is the longitudinal binding of dimers via the conserved end segments of the coiled-coil rod domain.","author":[{"dropping-particle":"","family":"Stuurman","given":"Nico","non-dropping-particle":"","parse-names":false,"suffix":""},{"dropping-particle":"","family":"Sasse","given":"Bernd","non-dropping-particle":"","parse-names":false,"suffix":""},{"dropping-particle":"","family":"Fisher","given":"Paul A.","non-dropping-particle":"","parse-names":false,"suffix":""}],"container-title":"Journal of Structural Biology","id":"ITEM-2","issue":"1","issued":{"date-parts":[["1996","7","1"]]},"page":"1-15","publisher":"Academic Press","title":"Intermediate Filament Protein Polymerization: Molecular Analysis of Drosophila Nuclear Lamin Head-to-Tail Binding","type":"article-journal","volume":"117"},"uris":["http://www.mendeley.com/documents/?uuid=b17b882d-b7ca-3b86-8bdd-9a8206b8cba3"]}],"mendeley":{"formattedCitation":"[11,104]","plainTextFormattedCitation":"[11,104]","previouslyFormattedCitation":"[11,104]"},"properties":{"noteIndex":0},"schema":"https://github.com/citation-style-language/schema/raw/master/csl-citation.json"}</w:instrText>
      </w:r>
      <w:r w:rsidRPr="005A1AC5">
        <w:fldChar w:fldCharType="separate"/>
      </w:r>
      <w:r w:rsidR="003D7446" w:rsidRPr="003D7446">
        <w:rPr>
          <w:noProof/>
        </w:rPr>
        <w:t>[11,104]</w:t>
      </w:r>
      <w:r w:rsidRPr="005A1AC5">
        <w:fldChar w:fldCharType="end"/>
      </w:r>
      <w:r w:rsidRPr="005A1AC5">
        <w:t xml:space="preserve">, whereby the N- and C-terminals of </w:t>
      </w:r>
      <w:proofErr w:type="spellStart"/>
      <w:r w:rsidRPr="005A1AC5">
        <w:t>lamin</w:t>
      </w:r>
      <w:proofErr w:type="spellEnd"/>
      <w:r w:rsidRPr="005A1AC5">
        <w:t xml:space="preserve"> interact. Evidence has also shown that the central rod domains have a high propensity to form “coiled-coil” dimers </w:t>
      </w:r>
      <w:r w:rsidRPr="005A1AC5">
        <w:fldChar w:fldCharType="begin" w:fldLock="1"/>
      </w:r>
      <w:r w:rsidR="00EE0616">
        <w:instrText>ADDIN CSL_CITATION {"citationItems":[{"id":"ITEM-1","itemData":{"DOI":"10.1038/s41467-019-11684-x","ISSN":"2041-1723","PMID":"31434876","abstract":"Nuclear structure and function are governed by lamins, which are intermediate filaments that mostly consist of α-helices. Different lamin assembly models have been proposed based on low resolution and fragmented structures. However, their assembly mechanisms are still poorly understood at the molecular level. Here, we present the crystal structure of a long human lamin fragment at 3.2 Å resolution that allows the visualization of the features of the full-length protein. The structure shows an anti-parallel arrangement of the two coiled-coil dimers, which is important for the assembly process. We further discover an interaction between the lamin dimers by using chemical cross-linking and mass spectrometry analysis. Based on these two interactions, we propose a molecular mechanism for lamin assembly that is in agreement with a recent model representing the native state and could explain pathological mutations. Our findings also provide the molecular basis for assembly mechanisms of other intermediate filaments. Lamins are intermediate filaments and the major component of the nuclear lamina. Here the authors determine the crystal structure of a construct comprising the N-terminal half of human lamin A/C and use their structure and cross-linking and biochemical experiments to discuss lamin assembly.","author":[{"dropping-particle":"","family":"Ahn","given":"Jinsook","non-dropping-particle":"","parse-names":false,"suffix":""},{"dropping-particle":"","family":"Jo","given":"Inseong","non-dropping-particle":"","parse-names":false,"suffix":""},{"dropping-particle":"","family":"Kang","given":"So mi","non-dropping-particle":"","parse-names":false,"suffix":""},{"dropping-particle":"","family":"Hong","given":"Seokho","non-dropping-particle":"","parse-names":false,"suffix":""},{"dropping-particle":"","family":"Kim","given":"Suhyeon","non-dropping-particle":"","parse-names":false,"suffix":""},{"dropping-particle":"","family":"Jeong","given":"Soyeon","non-dropping-particle":"","parse-names":false,"suffix":""},{"dropping-particle":"","family":"Kim","given":"Yong Hak","non-dropping-particle":"","parse-names":false,"suffix":""},{"dropping-particle":"","family":"Park","given":"Bum Joon","non-dropping-particle":"","parse-names":false,"suffix":""},{"dropping-particle":"","family":"Ha","given":"Nam Chul","non-dropping-particle":"","parse-names":false,"suffix":""}],"container-title":"Nature Communications 2019 10:1","id":"ITEM-1","issue":"1","issued":{"date-parts":[["2019","8","21"]]},"page":"1-12","publisher":"Nature Publishing Group","title":"Structural basis for lamin assembly at the molecular level","type":"article-journal","volume":"10"},"uris":["http://www.mendeley.com/documents/?uuid=b9037225-4795-3421-91f5-6b52d5e77ef0"]}],"mendeley":{"formattedCitation":"[105]","plainTextFormattedCitation":"[105]","previouslyFormattedCitation":"[105]"},"properties":{"noteIndex":0},"schema":"https://github.com/citation-style-language/schema/raw/master/csl-citation.json"}</w:instrText>
      </w:r>
      <w:r w:rsidRPr="005A1AC5">
        <w:fldChar w:fldCharType="separate"/>
      </w:r>
      <w:r w:rsidR="003D7446" w:rsidRPr="003D7446">
        <w:rPr>
          <w:noProof/>
        </w:rPr>
        <w:t>[105]</w:t>
      </w:r>
      <w:r w:rsidRPr="005A1AC5">
        <w:fldChar w:fldCharType="end"/>
      </w:r>
      <w:r w:rsidRPr="005A1AC5">
        <w:t xml:space="preserve">. Consequently, mutations that affect these structures could impede these processes. Distortions in lamina structure and assembly have been previously observed in cell lines transfected with </w:t>
      </w:r>
      <w:r w:rsidRPr="005A1AC5">
        <w:rPr>
          <w:i/>
          <w:iCs/>
        </w:rPr>
        <w:t xml:space="preserve">LMNA </w:t>
      </w:r>
      <w:r w:rsidRPr="005A1AC5">
        <w:t xml:space="preserve">mutations associated with DCM </w:t>
      </w:r>
      <w:r w:rsidRPr="005A1AC5">
        <w:fldChar w:fldCharType="begin" w:fldLock="1"/>
      </w:r>
      <w:r w:rsidR="00EE0616">
        <w:instrText>ADDIN CSL_CITATION {"citationItems":[{"id":"ITEM-1","itemData":{"DOI":"10.1016/J.BBAGEN.2017.08.016","ISSN":"0304-4165","PMID":"28844980","abstract":"Background A and B-type lamins are integral scaffolding components of the nuclear lamina which impart rigidity and shape to all metazoan nuclei. Over 450 mutations in A-type lamins are associated with 16 human diseases including dilated cardiomyopathy (DCM). Here, we show that DCM mutants perturb the self-association of lamin A (LA) and it's binding with lamin B1 (LB1). Methods We used confocal and superresolution microscopy (NSIM) to study the effect of LA mutants on the nuclear lamina. We further used circular dichroism, fluorescence spectroscopy and isothermal titration calorimetry (ITC) to probe the structural modulations, self-association and heteropolymeric association of mutant LA. Results Transfection of mutants in cultured cell lines result in the formation of nuclear aggregates of varied size and distribution. Endogenous LB1 is sequestered into these aggregates. This is consistent with the ten-fold increase in association constant of the mutant proteins compared to the wild type. These mutants exhibit differential heterotypic interaction with LB1, along with significant secondary and tertiary structural alterations of the interacting proteins. Thermodynamic studies demonstrate that the mutants bind to LB1 with different stoichiometry, affinity and energetics. Conclusions In this report we show that increased self-association propensity of mutant LA modulates the LA-LB1 interaction and precludes the formation of an otherwise uniform laminar network. General significance Our results might highlight the role of homotypic and heterotypic interactions of LA in the pathogenesis of DCM and hence laminopathies in the broader sense.","author":[{"dropping-particle":"","family":"Bhattacharjee","given":"Pritha","non-dropping-particle":"","parse-names":false,"suffix":""},{"dropping-particle":"","family":"Dasgupta","given":"Dipak","non-dropping-particle":"","parse-names":false,"suffix":""},{"dropping-particle":"","family":"Sengupta","given":"Kaushik","non-dropping-particle":"","parse-names":false,"suffix":""}],"container-title":"Biochimica et Biophysica Acta (BBA) - General Subjects","id":"ITEM-1","issue":"11","issued":{"date-parts":[["2017","11","1"]]},"page":"2598-2608","publisher":"Elsevier","title":"DCM associated LMNA mutations cause distortions in lamina structure and assembly","type":"article-journal","volume":"1861"},"uris":["http://www.mendeley.com/documents/?uuid=c8be5e0b-8cff-3d2c-8da5-e64bcdd5a5ad"]}],"mendeley":{"formattedCitation":"[106]","plainTextFormattedCitation":"[106]","previouslyFormattedCitation":"[106]"},"properties":{"noteIndex":0},"schema":"https://github.com/citation-style-language/schema/raw/master/csl-citation.json"}</w:instrText>
      </w:r>
      <w:r w:rsidRPr="005A1AC5">
        <w:fldChar w:fldCharType="separate"/>
      </w:r>
      <w:r w:rsidR="003D7446" w:rsidRPr="003D7446">
        <w:rPr>
          <w:noProof/>
        </w:rPr>
        <w:t>[106]</w:t>
      </w:r>
      <w:r w:rsidRPr="005A1AC5">
        <w:fldChar w:fldCharType="end"/>
      </w:r>
      <w:r w:rsidRPr="005A1AC5">
        <w:t xml:space="preserve">. Incorrect </w:t>
      </w:r>
      <w:proofErr w:type="spellStart"/>
      <w:r w:rsidRPr="005A1AC5">
        <w:t>lamin</w:t>
      </w:r>
      <w:proofErr w:type="spellEnd"/>
      <w:r w:rsidRPr="005A1AC5">
        <w:t xml:space="preserve"> assembly may then lead to a compromised NL, as previously observed in cells </w:t>
      </w:r>
      <w:proofErr w:type="spellStart"/>
      <w:r w:rsidRPr="005A1AC5">
        <w:t>harbouring</w:t>
      </w:r>
      <w:proofErr w:type="spellEnd"/>
      <w:r w:rsidRPr="005A1AC5">
        <w:t xml:space="preserve"> </w:t>
      </w:r>
      <w:r w:rsidRPr="005A1AC5">
        <w:rPr>
          <w:i/>
          <w:iCs/>
        </w:rPr>
        <w:t xml:space="preserve">LMNA </w:t>
      </w:r>
      <w:r w:rsidRPr="005A1AC5">
        <w:t xml:space="preserve">mutations </w:t>
      </w:r>
      <w:r w:rsidRPr="005A1AC5">
        <w:fldChar w:fldCharType="begin" w:fldLock="1"/>
      </w:r>
      <w:r w:rsidR="00EE0616">
        <w:instrText>ADDIN CSL_CITATION {"citationItems":[{"id":"ITEM-1","itemData":{"DOI":"10.1242/jcs.114.24.4435","ISSN":"0021-9533","abstract":"Autosomal dominant Emery-Dreifuss muscular dystrophy is caused by mutations in the LMNA gene, which encodes lamin A and lamin C. Mutations in this gene also give rise to limb girdle muscular dystrophy type 1B, dilated cardiomyopathy with atrioventricular conduction defect and Dunnigan-type partial lipodystrophy. The properties of the mutant lamins that cause muscular dystrophy, lipodystrophy and dilated cardiomyopathy are not known. We transfected C2C12 myoblasts with cDNA encoding wild-type lamin A and 15 mutant forms found in patients affected by these diseases. Immunofluorescence microscopy showed that four mutants, N195K, E358K, M371K and R386K, could have a dramatically aberrant localization, with decreased nuclear rim staining and formation of intranuclear foci. The distributions of endogenous lamin A/C, lamin B1 and lamin B2 were also altered in cells expressing these four mutants and three of them caused a loss of emerin from the nuclear envelope. In the yeast two-hybrid assay, the 15 lamin A mutants studied interacted with themselves and with wild-type lamin A and lamin B1. Pulse-chase experiments showed no decrease in the stability of several representative lamin A mutants compared with wild-type. These results indicate that some lamin A mutants causing disease can be aberrantly localized, partially disrupt the endogenous lamina and alter emerin localization, whereas others localize normally in transfected cells.","author":[{"dropping-particle":"","family":"Ostlund","given":"C","non-dropping-particle":"","parse-names":false,"suffix":""},{"dropping-particle":"","family":"Bonne","given":"G","non-dropping-particle":"","parse-names":false,"suffix":""},{"dropping-particle":"","family":"Schwartz","given":"K","non-dropping-particle":"","parse-names":false,"suffix":""},{"dropping-particle":"","family":"Worman","given":"H J","non-dropping-particle":"","parse-names":false,"suffix":""}],"container-title":"Journal of cell science","id":"ITEM-1","issue":"Pt 24","issued":{"date-parts":[["2001"]]},"page":"4435-4445","title":"Properties of lamin A mutants found in Emery-Dreifuss muscular dystrophy, cardiomyopathy and Dunnigan-type partial lipodystrophy.","type":"article-journal","volume":"114"},"uris":["http://www.mendeley.com/documents/?uuid=7081f91e-ef1e-405d-9c92-a066788dc801"]},{"id":"ITEM-2","itemData":{"DOI":"10.1242/jcs.114.24.4459","ISSN":"0021-9533","abstract":"Dunnigan-type familial partial lipodystrophy (FPLD), characterized by an abnormal body fat redistribution with insulin resistance, is caused by missense heterozygous mutations in A-type lamins (lamins A and C). A- and B-type lamins are ubiquitous intermediate filament proteins that polymerize at the inner face of the nuclear envelope. We have analyzed primary cultures of skin fibroblasts from three patients harboring R482Q or R482W mutations. These cells were euploid and able to cycle and divide. A subpopulation of these cells had abnormal blebbing nuclei with A-type lamins forming a peripheral meshwork, which was frequently disorganized. Inner nuclear membrane protein emerin, an A-type lamin-binding protein, strictly colocalized with this abnormal meshwork. Cells from lipodystrophic patients often had other nuclear envelope defects, mainly consisting of nuclear envelope herniations that were deficient in B-type lamins, nuclear pore complexes, lamina-associated protein 2 beta, and chromatin. The mechanical properties of nuclear envelopes were altered, as judged from the extensive deformations observed in nuclei from heat-shocked cells, and from the low stringency of extraction of their components. These structural nuclear alterations were caused by the lamins A/C mutations, as the same changes were introduced in human control fibroblasts by ectopic expression of R482W mutated lamin A.","author":[{"dropping-particle":"","family":"Vigouroux","given":"C","non-dropping-particle":"","parse-names":false,"suffix":""},{"dropping-particle":"","family":"Auclair","given":"M","non-dropping-particle":"","parse-names":false,"suffix":""},{"dropping-particle":"","family":"Dubosclard","given":"E","non-dropping-particle":"","parse-names":false,"suffix":""},{"dropping-particle":"","family":"Pouchelet","given":"M","non-dropping-particle":"","parse-names":false,"suffix":""},{"dropping-particle":"","family":"Capeau","given":"J","non-dropping-particle":"","parse-names":false,"suffix":""},{"dropping-particle":"","family":"Courvalin","given":"J C","non-dropping-particle":"","parse-names":false,"suffix":""},{"dropping-particle":"","family":"Buendia","given":"B","non-dropping-particle":"","parse-names":false,"suffix":""}],"container-title":"Journal of cell science","id":"ITEM-2","issue":"Pt 24","issued":{"date-parts":[["2001"]]},"page":"4459-4468","title":"Nuclear envelope disorganization in fibroblasts from lipodystrophic patients with heterozygous R482Q/W mutations in the lamin A/C gene.","type":"article-journal","volume":"114"},"uris":["http://www.mendeley.com/documents/?uuid=e725dab5-0c84-422e-b0a3-7002caabd37e"]},{"id":"ITEM-3","itemData":{"DOI":"10.1016/J.YEXCR.2003.07.002","ISSN":"0014-4827","PMID":"14644157","abstract":"Mutations in the LMNA gene encoding nuclear lamins A and C are responsible for seven inherited disorders affecting specific tissues. We have analyzed skin fibroblasts from a patient with type 1B limb-girdle muscular dystrophy and from her deceased newborn grandchild carrying, respectively, a heterozygous (+/mut) and a homozygous (mut/mut) nonsense Y259X mutation. In fibroblasts +/mut, the presence of only 50% lamins A and C promotes no detectable abnormality, whereas in fibroblastsmut/mut the complete absence of lamins A and C leads to abnormally shaped nuclei with lobules in which none of the analyzed nuclear proteins were detected, i.e., B-type lamins, emerin, nesprin-1α, LAP2β, and Nup153. These lobules perturb cell division as fibroblastmut/mut cultures with large proportions of cells with dysmorphic nuclei grow more slowly than controls and the cell proliferation normalizes when the number of these abnormally shaped nuclei declines. In all fibroblastsmut/mut, nesprin-1α-like emerin exhibited aberrant localization in the endoplasmic reticulum. Transfection of wild-type lamin A or C cDNAs restored the correct localization of both emerin and nesprin-1α. These data demonstrate that lamin C, like lamin A, interacts in vivo directly with nesprin-1α and with emerin and that lamin A or C is sufficient for the correct anchorage of emerin and nesprin-1α at the nuclear envelope in human cells. © 2003 Elsevier Inc. All rights reserved.","author":[{"dropping-particle":"","family":"Muchir","given":"Antoine","non-dropping-particle":"","parse-names":false,"suffix":""},{"dropping-particle":"","family":"Engelen","given":"Baziel G.","non-dropping-particle":"Van","parse-names":false,"suffix":""},{"dropping-particle":"","family":"Lammens","given":"Martin","non-dropping-particle":"","parse-names":false,"suffix":""},{"dropping-particle":"","family":"Mislow","given":"John M.","non-dropping-particle":"","parse-names":false,"suffix":""},{"dropping-particle":"","family":"McNally","given":"Elizabeth","non-dropping-particle":"","parse-names":false,"suffix":""},{"dropping-particle":"","family":"Schwartz","given":"Ketty","non-dropping-particle":"","parse-names":false,"suffix":""},{"dropping-particle":"","family":"Bonne","given":"Gisèle","non-dropping-particle":"","parse-names":false,"suffix":""}],"container-title":"Experimental Cell Research","id":"ITEM-3","issue":"2","issued":{"date-parts":[["2003","12","10"]]},"page":"352-362","publisher":"Academic Press","title":"Nuclear envelope alterations in fibroblasts from LGMD1B patients carrying nonsense Y259X heterozygous or homozygous mutation in lamin A/C gene","type":"article-journal","volume":"291"},"uris":["http://www.mendeley.com/documents/?uuid=1258424c-0a8d-373d-a73c-308c7fb06b9c"]}],"mendeley":{"formattedCitation":"[107–109]","plainTextFormattedCitation":"[107–109]","previouslyFormattedCitation":"[107–109]"},"properties":{"noteIndex":0},"schema":"https://github.com/citation-style-language/schema/raw/master/csl-citation.json"}</w:instrText>
      </w:r>
      <w:r w:rsidRPr="005A1AC5">
        <w:fldChar w:fldCharType="separate"/>
      </w:r>
      <w:r w:rsidR="003D7446" w:rsidRPr="003D7446">
        <w:rPr>
          <w:noProof/>
        </w:rPr>
        <w:t>[107–109]</w:t>
      </w:r>
      <w:r w:rsidRPr="005A1AC5">
        <w:fldChar w:fldCharType="end"/>
      </w:r>
      <w:r w:rsidRPr="005A1AC5">
        <w:t xml:space="preserve">. As per the “structural hypothesis” theory that attempts to explain the tissue-specificity of laminopathies, a fragile NL leads to structural weakness resulting in the nucleus being unable to withstand high mechanical stress within cells </w:t>
      </w:r>
      <w:r w:rsidRPr="005A1AC5">
        <w:fldChar w:fldCharType="begin" w:fldLock="1"/>
      </w:r>
      <w:r w:rsidR="00EE0616">
        <w:instrText>ADDIN CSL_CITATION {"citationItems":[{"id":"ITEM-1","itemData":{"DOI":"10.1091/MBC.E18-10-0672/ASSET/IMAGES/LARGE/MBC-30-1786-G001.JPEG","ISSN":"19394586","PMID":"31306095","abstract":"Laminopathies are a diverse group of rare diseases with various pathologies in different tissues, which are linked to mutations in the LMNA gene. Historically, the structural disease model proposed mechanical defects of the lamina and nuclear fragility, the gene expression model impairment of spatial chromatin organization and signaling pathways as underlying mechanisms leading to the pathologies. Exciting findings in the past few years showing that mechanical forces are directly transmitted into the nucleus, where they affect chromatin organization and mechanoresponsive signaling molecules, have led to a revised concept of an integrative unified disease model, in which lamin-mediated pathways in mechanotransduction and chromatin regulation are highly interconnected and mutually dependent. In this Perspective we highlight breakthrough findings providing new insight into lamin-linked mechanisms of mechanotransduction and chromatin regulation and discuss how a combined and interrelated impairment of these functions by LMNA mutations may impair the complex mechanosignaling network and cause tissue-specific pathologies in laminopathies.","author":[{"dropping-particle":"","family":"Osmanagic-Myers","given":"Selma","non-dropping-particle":"","parse-names":false,"suffix":""},{"dropping-particle":"","family":"Foisner","given":"Roland","non-dropping-particle":"","parse-names":false,"suffix":""}],"container-title":"Molecular Biology of the Cell","id":"ITEM-1","issue":"15","issued":{"date-parts":[["2019","7","15"]]},"page":"1786-1790","publisher":"American Society for Cell Biology","title":"The structural and gene expression hypotheses in laminopathic diseases - Not so different after all","type":"article-journal","volume":"30"},"uris":["http://www.mendeley.com/documents/?uuid=588c985c-654a-3f85-b0bb-3104842f32ec"]}],"mendeley":{"formattedCitation":"[110]","plainTextFormattedCitation":"[110]","previouslyFormattedCitation":"[110]"},"properties":{"noteIndex":0},"schema":"https://github.com/citation-style-language/schema/raw/master/csl-citation.json"}</w:instrText>
      </w:r>
      <w:r w:rsidRPr="005A1AC5">
        <w:fldChar w:fldCharType="separate"/>
      </w:r>
      <w:r w:rsidR="003D7446" w:rsidRPr="003D7446">
        <w:rPr>
          <w:noProof/>
        </w:rPr>
        <w:t>[110]</w:t>
      </w:r>
      <w:r w:rsidRPr="005A1AC5">
        <w:fldChar w:fldCharType="end"/>
      </w:r>
      <w:r w:rsidRPr="005A1AC5">
        <w:t xml:space="preserve">. This is particularly pertinent within striated muscle, which is exposed to high mechanical tension. </w:t>
      </w:r>
    </w:p>
    <w:p w14:paraId="06313B02" w14:textId="7DE3B3FF" w:rsidR="001E66EE" w:rsidRPr="005A1AC5" w:rsidRDefault="001E66EE" w:rsidP="005A1AC5">
      <w:pPr>
        <w:pStyle w:val="MDPI31text"/>
      </w:pPr>
      <w:r w:rsidRPr="005A1AC5">
        <w:rPr>
          <w:i/>
          <w:iCs/>
        </w:rPr>
        <w:t xml:space="preserve">LMNA </w:t>
      </w:r>
      <w:r w:rsidRPr="005A1AC5">
        <w:t xml:space="preserve">mutations related to metabolic diseases also appeared to generally increase in frequency from exon 7 onwards, the area which encodes the C-terminal tail region of </w:t>
      </w:r>
      <w:proofErr w:type="spellStart"/>
      <w:r w:rsidRPr="005A1AC5">
        <w:t>lamin</w:t>
      </w:r>
      <w:proofErr w:type="spellEnd"/>
      <w:r w:rsidRPr="005A1AC5">
        <w:t xml:space="preserve"> A. It is understood that the tail domain contains the binding sites for most </w:t>
      </w:r>
      <w:proofErr w:type="spellStart"/>
      <w:r w:rsidRPr="005A1AC5">
        <w:t>lamin</w:t>
      </w:r>
      <w:proofErr w:type="spellEnd"/>
      <w:r w:rsidRPr="005A1AC5">
        <w:t xml:space="preserve">-binding proteins. Lamin A interacts with and tethers </w:t>
      </w:r>
      <w:proofErr w:type="spellStart"/>
      <w:r w:rsidRPr="005A1AC5">
        <w:t>emerin</w:t>
      </w:r>
      <w:proofErr w:type="spellEnd"/>
      <w:r w:rsidRPr="005A1AC5">
        <w:t xml:space="preserve"> to the NE via a binding site in this region </w:t>
      </w:r>
      <w:r w:rsidRPr="005A1AC5">
        <w:fldChar w:fldCharType="begin" w:fldLock="1"/>
      </w:r>
      <w:r w:rsidR="00EE0616">
        <w:instrText>ADDIN CSL_CITATION {"citationItems":[{"id":"ITEM-1","itemData":{"DOI":"10.1006/bbrc.1999.2023","ISSN":"0006-291X","abstract":"Emerin is the protein of the inner nuclear membrane that is affected by mutation in X-linked Emery-Dreifuss muscular dystrophy. The autosomal dominant form of the disease is caused by mutations in the lamin A/C gene. Several lines of circumstantial evidence have suggested an interaction of emerin with lamins in the nuclear lamina but direct interaction between the two proteins has not yet been demonstrated. We now demonstrate direct interaction between recombinant emerin and lamin A molecules using biomolecular interaction analysis (BIA) and monoclonal antibodies. An emerin-lamin A interaction system may be related in function to the LAP2-lamin B system at the inner nuclear rim. (Copyright 2000 Academic Press.)","author":[{"dropping-particle":"","family":"Clements","given":"L","non-dropping-particle":"","parse-names":false,"suffix":""},{"dropping-particle":"","family":"Manilal","given":"S","non-dropping-particle":"","parse-names":false,"suffix":""},{"dropping-particle":"","family":"Love","given":"D R","non-dropping-particle":"","parse-names":false,"suffix":""},{"dropping-particle":"","family":"Morris","given":"G E","non-dropping-particle":"","parse-names":false,"suffix":""}],"container-title":"Biochemical and biophysical research communications","id":"ITEM-1","issue":"3","issued":{"date-parts":[["2000"]]},"page":"709-714","title":"Direct interaction between emerin and lamin A.","type":"article-journal","volume":"267"},"uris":["http://www.mendeley.com/documents/?uuid=d0fd05f8-1e6f-4d4d-8962-9781dff4acb9"]},{"id":"ITEM-2","itemData":{"DOI":"10.1242/JCS.114.24.4567","ISSN":"0021-9533","abstract":"Loss of emerin, a lamin-binding nuclear membrane protein, causes Emery-Dreifuss muscular dystrophy. We analyzed 13 site-directed mutations, and four disease-causing mutations that do not disrupt emerin stability or localization. We show that emerin binds directly to barrier-to-autointegration factor (BAF), a DNA-bridging protein, and that this binding to BAF requires conserved residues in the LEM-motif of emerin. Emerin has two distinct functional domains: the LEM-domain at the N-terminus, which mediates binding to BAF, and a second functional domain in the central region, which mediates binding to lamin A. Disease mutation Δ95-99 mapped to the lamin-binding domain and disrupted lamin A binding in vitro. Two other disease-linked residues, Ser54 and Pro183, mapped outside the BAF and lamin-binding domains, suggesting that emerin may have additional functional domains relevant to disease. The disease-linked emerin proteins all remained active for binding to BAF, both in vitro and in vivo, suggesting that disease can result from the loss of specific molecular interactions between emerin and either lamin A or putative novel partner(s). The demonstration that emerin binds directly to BAF, coupled to similar results for LAP2, provides proof in principle that all LEM-domain nuclear proteins can interact with BAF, with interesting implications for chromatin attachment to the nuclear envelope.","author":[{"dropping-particle":"","family":"Lee","given":"Kenneth K.","non-dropping-particle":"","parse-names":false,"suffix":""},{"dropping-particle":"","family":"Haraguchi","given":"Tokuko","non-dropping-particle":"","parse-names":false,"suffix":""},{"dropping-particle":"","family":"Lee","given":"Richard S.","non-dropping-particle":"","parse-names":false,"suffix":""},{"dropping-particle":"","family":"Koujin","given":"Takako","non-dropping-particle":"","parse-names":false,"suffix":""},{"dropping-particle":"","family":"Hiraoka","given":"Yasushi","non-dropping-particle":"","parse-names":false,"suffix":""},{"dropping-particle":"","family":"Wilson","given":"Katherine L.","non-dropping-particle":"","parse-names":false,"suffix":""}],"container-title":"Journal of Cell Science","id":"ITEM-2","issue":"24","issued":{"date-parts":[["2001","12","15"]]},"page":"4567-4573","publisher":"The Company of Biologists","title":"Distinct functional domains in emerin bind lamin A and DNA-bridging protein BAF","type":"article-journal","volume":"114"},"uris":["http://www.mendeley.com/documents/?uuid=a14a27d1-cbf5-3ba1-bd4c-597a1250b708"]},{"id":"ITEM-3","itemData":{"DOI":"10.1093/OXFORDJOURNALS.JBCHEM.A002860","abstract":"Emerin is an inner nuclear membrane protein that is involved in X-linked recessive Emery-Dreifuss muscular dystrophy (X-EDMD). Although the function of this protein is still unknown, we revealed that C-terminus transmembrane domain-truncated emerin (amino acid 1-225) binds to lamin A with higher affinity than lamin C. Screening for the emerin binding protein and immunoprecipitation analysis showed that lamin A binds to emerin specifically. We also used the yeast two-hybrid system to clarify that this interaction requires the top half of the tail domain (amino acid 384-566) of lamin A. Lamin A and lamin C are alternative splicing products of the lamin A/C gene that is responsible for autosomal dominant Emery-Dreifuss muscular dystrophy (AD-EDMD). These results indicate that the emerin-lamin interaction requires the tail domains of lamin A and lamin C. The data also suggest that the lamin A-specific region (amino acids 567-664) plays some indirect role in the difference in emerin-binding capacity between lamin A and lamin C. This is the first report that refers the difference between lamin A and lamin C in the interaction with emerin. These data also suggest that lamin A is important for nuclear membrane integrity.","author":[{"dropping-particle":"","family":"Sakaki","given":"Masayo","non-dropping-particle":"","parse-names":false,"suffix":""},{"dropping-particle":"","family":"Koike","given":"Hisashi","non-dropping-particle":"","parse-names":false,"suffix":""},{"dropping-particle":"","family":"Takahashi","given":"Nobuhiro","non-dropping-particle":"","parse-names":false,"suffix":""},{"dropping-particle":"","family":"Sasagawa","given":"Noboru","non-dropping-particle":"","parse-names":false,"suffix":""},{"dropping-particle":"","family":"Tomioka","given":"Shigeo","non-dropping-particle":"","parse-names":false,"suffix":""},{"dropping-particle":"","family":"Arahata","given":"Kiichi","non-dropping-particle":"","parse-names":false,"suffix":""},{"dropping-particle":"","family":"Ishiura","given":"Shoichi","non-dropping-particle":"","parse-names":false,"suffix":""}],"container-title":"Journal of Biochemistry","id":"ITEM-3","issue":"2","issued":{"date-parts":[["2001"]]},"page":"321-327","title":"Interaction between emerin and nuclear lamins","type":"article-journal","volume":"129"},"uris":["http://www.mendeley.com/documents/?uuid=73f25626-46b2-39de-89d1-e83b590f85ab"]}],"mendeley":{"formattedCitation":"[111–113]","plainTextFormattedCitation":"[111–113]","previouslyFormattedCitation":"[111–113]"},"properties":{"noteIndex":0},"schema":"https://github.com/citation-style-language/schema/raw/master/csl-citation.json"}</w:instrText>
      </w:r>
      <w:r w:rsidRPr="005A1AC5">
        <w:fldChar w:fldCharType="separate"/>
      </w:r>
      <w:r w:rsidR="003D7446" w:rsidRPr="003D7446">
        <w:rPr>
          <w:noProof/>
        </w:rPr>
        <w:t>[111–113]</w:t>
      </w:r>
      <w:r w:rsidRPr="005A1AC5">
        <w:fldChar w:fldCharType="end"/>
      </w:r>
      <w:r w:rsidRPr="005A1AC5">
        <w:t xml:space="preserve">. This interaction could be altered by mutations, displacing </w:t>
      </w:r>
      <w:proofErr w:type="spellStart"/>
      <w:r w:rsidRPr="005A1AC5">
        <w:t>emerin</w:t>
      </w:r>
      <w:proofErr w:type="spellEnd"/>
      <w:r w:rsidRPr="005A1AC5">
        <w:t xml:space="preserve"> from the NE and as a result, affecting </w:t>
      </w:r>
      <w:proofErr w:type="spellStart"/>
      <w:r w:rsidRPr="005A1AC5">
        <w:t>emerin</w:t>
      </w:r>
      <w:proofErr w:type="spellEnd"/>
      <w:r w:rsidRPr="005A1AC5">
        <w:t xml:space="preserve"> function. Mutations in the tail region of </w:t>
      </w:r>
      <w:proofErr w:type="spellStart"/>
      <w:r w:rsidRPr="005A1AC5">
        <w:t>lamin</w:t>
      </w:r>
      <w:proofErr w:type="spellEnd"/>
      <w:r w:rsidRPr="005A1AC5">
        <w:t xml:space="preserve"> A have previously been shown to affect </w:t>
      </w:r>
      <w:proofErr w:type="spellStart"/>
      <w:r w:rsidRPr="005A1AC5">
        <w:t>emerin</w:t>
      </w:r>
      <w:proofErr w:type="spellEnd"/>
      <w:r w:rsidRPr="005A1AC5">
        <w:t xml:space="preserve"> binding </w:t>
      </w:r>
      <w:r w:rsidRPr="005A1AC5">
        <w:rPr>
          <w:i/>
          <w:iCs/>
        </w:rPr>
        <w:t>in vivo</w:t>
      </w:r>
      <w:r w:rsidRPr="005A1AC5">
        <w:t xml:space="preserve">, however these variants were related to cardiomyopathy and EDMD </w:t>
      </w:r>
      <w:r w:rsidRPr="005A1AC5">
        <w:rPr>
          <w:i/>
          <w:iCs/>
        </w:rPr>
        <w:fldChar w:fldCharType="begin" w:fldLock="1"/>
      </w:r>
      <w:r w:rsidR="00EE0616">
        <w:rPr>
          <w:i/>
          <w:iCs/>
        </w:rPr>
        <w:instrText>ADDIN CSL_CITATION {"citationItems":[{"id":"ITEM-1","itemData":{"DOI":"10.1242/jcs.00599","ISSN":"00219533","abstract":"Mutations in lamin A/C can cause Emery-Dreifuss muscular dystrophy (EDMD) or a related cardiomyopathy (CMD1A). Using transfection of lamin-A/C-deficient fibroblasts, we have studied the effects of nine pathogenic mutations on the ability of laminin A to assemble normally and to localize emerin normally at the nuclear rim. Five mutations in the rod domain (L85R, N195K, E358K, M371K and R386K) affected the assembly of the lamina. With the exception of mutant L85R, all rod domain mutants induced the formation of large nucleoplasmic foci in about 10% of all nuclei. The presence of emerin in these foci suggests that the interaction of lamin A with emerin is not directly affected by the rod domain mutations. Three mutations in the tail region, R453W, W520S and R527P, might directly affect emerin binding by disrupting the structure of the putative emerin-binding site, because mutant lamin A localized normally to the nuclear rim but its ability to trap emerin was impaired. Nucleoplasmic foci rarely formed in these three cases (&lt;2%) but, when they did so, emerin was absent, consistent with a direct effect of the mutations on emerin binding. The lipodystrophy mutation R482Q, which causes a different phenotype and is believed to act through an emerin-independent mechanism, was indistinguishable from wild-type in its localization and its ability to trap emerin at the nuclear rim. The novel hypothesis suggested by the data is that EDMD/CMD1A mutations in the tail domain of lamin A/C work by direct impairment of emerin interaction, whereas mutations in the rod region cause defective lamina assembly that might or might not impair emerin capture at the nuclear rim. Subtle effects on the function of the lamina-emerin complex in EDMD/CMD1A patients might be responsible for the skeletal and/or cardiac muscle phenotype.","author":[{"dropping-particle":"","family":"Holt","given":"Ian","non-dropping-particle":"","parse-names":false,"suffix":""},{"dropping-particle":"","family":"Östlund","given":"Cecilia","non-dropping-particle":"","parse-names":false,"suffix":""},{"dropping-particle":"","family":"Stewart","given":"Colin L.","non-dropping-particle":"","parse-names":false,"suffix":""},{"dropping-particle":"","family":"thi Man","given":"Nguyen","non-dropping-particle":"","parse-names":false,"suffix":""},{"dropping-particle":"","family":"Worman","given":"Howard J.","non-dropping-particle":"","parse-names":false,"suffix":""},{"dropping-particle":"","family":"Morris","given":"Glenn E.","non-dropping-particle":"","parse-names":false,"suffix":""}],"container-title":"Journal of Cell Science","id":"ITEM-1","issue":"14","issued":{"date-parts":[["2003","7","15"]]},"page":"3027-3035","title":"Effect of pathogenic mis-sense mutations in lamin A on its interaction with emerin in vivo","type":"article-journal","volume":"116"},"uris":["http://www.mendeley.com/documents/?uuid=56db029e-85c5-347a-b8c7-d4713d43ee32"]}],"mendeley":{"formattedCitation":"[114]","plainTextFormattedCitation":"[114]","previouslyFormattedCitation":"[114]"},"properties":{"noteIndex":0},"schema":"https://github.com/citation-style-language/schema/raw/master/csl-citation.json"}</w:instrText>
      </w:r>
      <w:r w:rsidRPr="005A1AC5">
        <w:rPr>
          <w:i/>
          <w:iCs/>
        </w:rPr>
        <w:fldChar w:fldCharType="separate"/>
      </w:r>
      <w:r w:rsidR="003D7446" w:rsidRPr="003D7446">
        <w:rPr>
          <w:iCs/>
          <w:noProof/>
        </w:rPr>
        <w:t>[114]</w:t>
      </w:r>
      <w:r w:rsidRPr="005A1AC5">
        <w:rPr>
          <w:i/>
          <w:iCs/>
        </w:rPr>
        <w:fldChar w:fldCharType="end"/>
      </w:r>
      <w:r w:rsidRPr="005A1AC5">
        <w:rPr>
          <w:i/>
          <w:iCs/>
        </w:rPr>
        <w:t xml:space="preserve">. </w:t>
      </w:r>
      <w:proofErr w:type="spellStart"/>
      <w:r w:rsidRPr="005A1AC5">
        <w:t>Emerin</w:t>
      </w:r>
      <w:proofErr w:type="spellEnd"/>
      <w:r w:rsidRPr="005A1AC5">
        <w:t xml:space="preserve"> may be involved in metabolic processes </w:t>
      </w:r>
      <w:r w:rsidRPr="005A1AC5">
        <w:fldChar w:fldCharType="begin" w:fldLock="1"/>
      </w:r>
      <w:r w:rsidR="00EE0616">
        <w:instrText>ADDIN CSL_CITATION {"citationItems":[{"id":"ITEM-1","itemData":{"DOI":"10.1006/BBRC.2001.4658","ISSN":"0006-291X","PMID":"11352637","abstract":"The genes encoding enzymes involved in fatty acid metabolism are regulated by sterols. Stearoyl CoA desaturase, a key enzyme in the synthesis of unsaturated fatty acyl-CoAs is transcriptionally regulated by fat-free diet and sterols. To identify other genes that are induced in rat liver by fat-free diet we performed an in vivo gene expression profile analysis using DNA microarrays. Here we report that among the genes highly expressed is emerin, an integral protein of the inner nuclear membrane. Mutated or nonexpressed emerin occurs in patients with muscular dystrophy. Sterol regulatory element binding proteins activate the transcription of several sterol regulated genes. To investigate whether sterol regulatory element binding proteins or indirectly cholesterol activates the transcription of stearoyl CoA desaturase and emerin, we cultured Chinese hamster ovary (CHO), either in cholesterol-rich or cholesterol-depleted mediums. We also transiently transfected the cell culture with plasmid encoding sterol regulatory element binding proteins in cholesterol-rich medium. Our data show that cholesterol-supplemented media as well as the transient transfection induced the expression of stearoyl CoA desaturase RNA 3.5- and 7-fold respectively. However, the RNA level of emerin was not altered under these conditions, implying that the parallel induction of emerin is independent of the sterol regulatory element binding regulation pathway. © 2001 Academic Press.","author":[{"dropping-particle":"","family":"Mziaut","given":"Hassan","non-dropping-particle":"","parse-names":false,"suffix":""},{"dropping-particle":"","family":"Korza","given":"George","non-dropping-particle":"","parse-names":false,"suffix":""},{"dropping-particle":"","family":"Elkahloun","given":"Abdel G.","non-dropping-particle":"","parse-names":false,"suffix":""},{"dropping-particle":"","family":"Ozols","given":"Juris","non-dropping-particle":"","parse-names":false,"suffix":""}],"container-title":"Biochemical and Biophysical Research Communications","id":"ITEM-1","issue":"4","issued":{"date-parts":[["2001","4","13"]]},"page":"910-915","publisher":"Academic Press","title":"Induction of Stearoyl CoA Desaturase Is Associated with High-Level Induction of Emerin RNA","type":"article-journal","volume":"282"},"uris":["http://www.mendeley.com/documents/?uuid=e3f8a7e4-b833-34ba-b57d-a2c7b0bd38f6"]},{"id":"ITEM-2","itemData":{"DOI":"10.3389/fcell.2019.00048","ISSN":"2296-634X","abstract":"Emerin ( EMD ) and barrier to autointegration factor 1 ( BANF1 ) each bind A-type lamins ( LMNA ) as fundamental components of nuclear lamina structure. Mutations in LMNA , EMD and BANF1 are genetically linked to many tissue-specific disorders including Emery-Dreifuss muscular dystrophy and cardiomyopathy ( LMNA , EMD ), lipodystrophy, insulin resistance and type 2 diabetes ( LMNA ) and progeria ( LMNA , BANF1 ). To explore human genetic variation in these genes, we analyzed EMD and BANF1 alleles in the Exome Aggregation Consortium (ExAC) cohort of 60,706 unrelated individuals. We identified 13 rare heterozygous BANF1 missense variants (p.T2S, p.H7Y, p.D9N, p.S22R, p.G25E, p.D55N, p.D57Y, p.L63P, p.N70T, p.K72R, p.R75W, p.R75Q, p.G79R), and one homozygous variant (p.D9H). Several variants are known (p.G25E) or predicted (e.g., p.D9H, p.D9N, p.L63P) to perturb BANF1 and warrant further study. Analysis of EMD revealed two previously identified variants associated with adult-onset cardiomyopathy (p.K37del, p.E35K) and one deemed 'benign' in an Emery-Dreifuss patient (p.D149H). Interestingly p.D149H was the most frequent emerin variant in ExAC, identified in 58 individuals (overall allele frequency 0.06645%), of whom 55 were East Asian (allele frequency 0.8297%). Furthermore, p.D149H associated with four 'healthy' traits: reduced triglycerides (-0.336; p = 0.0368), reduced waist circumference (-0.321; p = 0.0486), reduced cholesterol ( - 0.572; p = 0.000346) and reduced LDL cholesterol (-0.599; p = 0.000272). These traits are distinct from LMNA -associated metabolic disorders and provide the first insight that emerin influences metabolism. We also identified one novel in-frame deletion (p.F39del) and 62 novel emerin missense variants, many of which were relatively frequent and potentially disruptive including p.N91S and p.S143F (</w:instrText>
      </w:r>
      <w:r w:rsidR="00EE0616">
        <w:rPr>
          <w:rFonts w:ascii="Cambria Math" w:hAnsi="Cambria Math" w:cs="Cambria Math"/>
        </w:rPr>
        <w:instrText>∼</w:instrText>
      </w:r>
      <w:r w:rsidR="00EE0616">
        <w:instrText xml:space="preserve">0.041% and </w:instrText>
      </w:r>
      <w:r w:rsidR="00EE0616">
        <w:rPr>
          <w:rFonts w:ascii="Cambria Math" w:hAnsi="Cambria Math" w:cs="Cambria Math"/>
        </w:rPr>
        <w:instrText>∼</w:instrText>
      </w:r>
      <w:r w:rsidR="00EE0616">
        <w:instrText>0.034% of non-Finnish Europeans, respectively), p.G156S (</w:instrText>
      </w:r>
      <w:r w:rsidR="00EE0616">
        <w:rPr>
          <w:rFonts w:ascii="Cambria Math" w:hAnsi="Cambria Math" w:cs="Cambria Math"/>
        </w:rPr>
        <w:instrText>∼</w:instrText>
      </w:r>
      <w:r w:rsidR="00EE0616">
        <w:instrText>0.39% of Africans), p.R204G (</w:instrText>
      </w:r>
      <w:r w:rsidR="00EE0616">
        <w:rPr>
          <w:rFonts w:ascii="Cambria Math" w:hAnsi="Cambria Math" w:cs="Cambria Math"/>
        </w:rPr>
        <w:instrText>∼</w:instrText>
      </w:r>
      <w:r w:rsidR="00EE0616">
        <w:instrText>0.18% of Latinx), p.R207P (</w:instrText>
      </w:r>
      <w:r w:rsidR="00EE0616">
        <w:rPr>
          <w:rFonts w:ascii="Cambria Math" w:hAnsi="Cambria Math" w:cs="Cambria Math"/>
        </w:rPr>
        <w:instrText>∼</w:instrText>
      </w:r>
      <w:r w:rsidR="00EE0616">
        <w:instrText>0.08% of South Asians) and p.R221L (</w:instrText>
      </w:r>
      <w:r w:rsidR="00EE0616">
        <w:rPr>
          <w:rFonts w:ascii="Cambria Math" w:hAnsi="Cambria Math" w:cs="Cambria Math"/>
        </w:rPr>
        <w:instrText>∼</w:instrText>
      </w:r>
      <w:r w:rsidR="00EE0616">
        <w:instrText>0.15% of Latinx). Many novel BANF1 variants are predicted to disrupt dimerization or binding to DNA, histones, emerin or A-type lamins. Many novel emerin variants are predicted to disrupt emerin filament dynamics or binding to BANF1, HDAC3, A-type lamins or other partners. These new human variants provide a foundational resource for future studies to test the molecular mechanisms of BANF1 and emerin function, and to understand the link between emerin variant p.D149H and…","author":[{"dropping-particle":"","family":"Dharmaraj","given":"Tejas","non-dropping-particle":"","parse-names":false,"suffix":""},{"dropping-particle":"","family":"Guan","given":"Youchen","non-dropping-particle":"","parse-names":false,"suffix":""},{"dropping-particle":"","family":"Liu","given":"Julie","non-dropping-particle":"","parse-names":false,"suffix":""},{"dropping-particle":"","family":"Badens","given":"Catherine","non-dropping-particle":"","parse-names":false,"suffix":""},{"dropping-particle":"","family":"Gaborit","given":"Benedicte","non-dropping-particle":"","parse-names":false,"suffix":""},{"dropping-particle":"","family":"Wilson","given":"Katherine L","non-dropping-particle":"","parse-names":false,"suffix":""}],"container-title":"Frontiers in cell and developmental biology","id":"ITEM-2","issued":{"date-parts":[["2019"]]},"page":"48","title":"Rare BANF1 Alleles and Relatively Frequent EMD Alleles Including 'Healthy Lipid' Emerin p.D149H in the ExAC Cohort.","type":"article-journal","volume":"7"},"uris":["http://www.mendeley.com/documents/?uuid=857515e1-6c99-4c8b-972c-81c2b6f0fa78"]}],"mendeley":{"formattedCitation":"[115,116]","plainTextFormattedCitation":"[115,116]","previouslyFormattedCitation":"[115,116]"},"properties":{"noteIndex":0},"schema":"https://github.com/citation-style-language/schema/raw/master/csl-citation.json"}</w:instrText>
      </w:r>
      <w:r w:rsidRPr="005A1AC5">
        <w:fldChar w:fldCharType="separate"/>
      </w:r>
      <w:r w:rsidR="003D7446" w:rsidRPr="003D7446">
        <w:rPr>
          <w:noProof/>
        </w:rPr>
        <w:t>[115,116]</w:t>
      </w:r>
      <w:r w:rsidRPr="005A1AC5">
        <w:fldChar w:fldCharType="end"/>
      </w:r>
      <w:r w:rsidRPr="005A1AC5">
        <w:t xml:space="preserve">, although the evidence is limited. Lamin A is also thought to </w:t>
      </w:r>
      <w:r w:rsidRPr="005A1AC5">
        <w:lastRenderedPageBreak/>
        <w:t xml:space="preserve">regulate 12-lipogenase (12-LOX) through an interaction at a binding site located in the </w:t>
      </w:r>
      <w:proofErr w:type="spellStart"/>
      <w:r w:rsidRPr="005A1AC5">
        <w:t>lamin</w:t>
      </w:r>
      <w:proofErr w:type="spellEnd"/>
      <w:r w:rsidRPr="005A1AC5">
        <w:t xml:space="preserve"> A tail domain </w:t>
      </w:r>
      <w:r w:rsidRPr="005A1AC5">
        <w:fldChar w:fldCharType="begin" w:fldLock="1"/>
      </w:r>
      <w:r w:rsidR="00EE0616">
        <w:instrText>ADDIN CSL_CITATION {"citationItems":[{"id":"ITEM-1","itemData":{"DOI":"10.1021/BI992664V","ISSN":"00062960","PMID":"10727209","abstract":"The platelet isoform of 12-lipoxygenase (12-LOX) is expressed in a variety of human tumors. 12-LOX metabolizes arachidonic acid to 12(S)-hydroxyeicosateraenoic acid (12(S)-HETE), which induces a nu...","author":[{"dropping-particle":"","family":"Tang","given":"Keqin","non-dropping-particle":"","parse-names":false,"suffix":""},{"dropping-particle":"","family":"Finley","given":"Russell L.","non-dropping-particle":"","parse-names":false,"suffix":""},{"dropping-particle":"","family":"Nie","given":"Daotai","non-dropping-particle":"","parse-names":false,"suffix":""},{"dropping-particle":"V.","family":"Honn","given":"Kenneth","non-dropping-particle":"","parse-names":false,"suffix":""}],"container-title":"Biochemistry","id":"ITEM-1","issue":"12","issued":{"date-parts":[["2000","3","28"]]},"page":"3185-3191","publisher":"American Chemical Society","title":"Identification of 12-Lipoxygenase Interaction with Cellular Proteins by Yeast Two-Hybrid Screening","type":"article-journal","volume":"39"},"uris":["http://www.mendeley.com/documents/?uuid=e3ed52c2-1dba-36c2-bd35-4760b6f2536d"]}],"mendeley":{"formattedCitation":"[117]","plainTextFormattedCitation":"[117]","previouslyFormattedCitation":"[117]"},"properties":{"noteIndex":0},"schema":"https://github.com/citation-style-language/schema/raw/master/csl-citation.json"}</w:instrText>
      </w:r>
      <w:r w:rsidRPr="005A1AC5">
        <w:fldChar w:fldCharType="separate"/>
      </w:r>
      <w:r w:rsidR="003D7446" w:rsidRPr="003D7446">
        <w:rPr>
          <w:noProof/>
        </w:rPr>
        <w:t>[117]</w:t>
      </w:r>
      <w:r w:rsidRPr="005A1AC5">
        <w:fldChar w:fldCharType="end"/>
      </w:r>
      <w:r w:rsidRPr="005A1AC5">
        <w:t xml:space="preserve">. Mounting evidence has shown that 12-LOX contributes to the progression of diabetes, and therapeutic interventions to limit pro-inflammatory 12-LOX metabolites may positively impact on outcomes for diabetes co-morbidities </w:t>
      </w:r>
      <w:r w:rsidRPr="005A1AC5">
        <w:fldChar w:fldCharType="begin" w:fldLock="1"/>
      </w:r>
      <w:r w:rsidR="00EE0616">
        <w:instrText xml:space="preserve">ADDIN CSL_CITATION {"citationItems":[{"id":"ITEM-1","itemData":{"DOI":"10.1016/J.PHARMTHERA.2018.10.010","ISSN":"0163-7258","PMID":"30347209","abstract":"12-lipoxygenase (12-LOX) is one of several enzyme isoforms responsible for the metabolism of arachidonic acid and other poly-unsaturated fatty acids to both pro- and anti-inflammatory lipid mediators. Mounting evidence has shown that 12-LOX plays a critical role in the modulation of inflammation at multiple checkpoints during diabetes development. Due to this, interventions to limit pro-inflammatory 12-LOX metabolites either by isoform-specific 12-LOX inhibition, or by providing specific fatty acid substrates via dietary intervention, has the potential to significantly and positively impact health outcomes of patients living with both type 1 and type 2 diabetes. To date, the development of truly specific and efficacious inhibitors has been hampered by homology of LOX family members; however, improvements in high throughput screening have improved the inhibitor landscape. Here, we describe the function and role of human 12-LOX, and mouse 12-LOX and 12/15-LOX, in the development of diabetes and diabetes-related complications, and describe promise in the development of strategies to limit pro-inflammatory metabolites, primarily via new small molecule 12-LOX inhibitors.","author":[{"dropping-particle":"","family":"Dobrian","given":"A. D.","non-dropping-particle":"","parse-names":false,"suffix":""},{"dropping-particle":"","family":"Morris","given":"M. A.","non-dropping-particle":"","parse-names":false,"suffix":""},{"dropping-particle":"","family":"Taylor-Fishwick","given":"D. A.","non-dropping-particle":"","parse-names":false,"suffix":""},{"dropping-particle":"","family":"Holman","given":"T. R.","non-dropping-particle":"","parse-names":false,"suffix":""},{"dropping-particle":"","family":"Imai","given":"Y.","non-dropping-particle":"","parse-names":false,"suffix":""},{"dropping-particle":"","family":"Mirmira","given":"R. G.","non-dropping-particle":"","parse-names":false,"suffix":""},{"dropping-particle":"","family":"Nadler","given":"J. L.","non-dropping-particle":"","parse-names":false,"suffix":""}],"container-title":"Pharmacology &amp; Therapeutics","id":"ITEM-1","issued":{"date-parts":[["2019","3","1"]]},"page":"100-110","publisher":"Pergamon","title":"Role of the 12-lipoxygenase pathway in diabetes pathogenesis and complications","type":"article-journal","volume":"195"},"uris":["http://www.mendeley.com/documents/?uuid=15fd22e0-1d62-3564-8f80-ada81d65d335"]},{"id":"ITEM-2","itemData":{"DOI":"10.1016/J.EJPHAR.2020.173122","ISSN":"0014-2999","PMID":"32333927","abstract":"The characteristic features of diabetic nephropathy include thickening of the glomerular basement membranes, expansion of mesangium, and appearance of albumin in the urine (microalbuminuria and macroalbuminuria). Experimental studies have documented that 12-lipoxygenase (12-LOX) and its metabolite 12(S)-hydroxyeicosatetraenoic acid (HETE) play an important role in the pathogenesis of diabetic nephropathy. 12(S)-HETE may work in association with angiotensin II and transforming growth factor- β (TGF-β) reciprocally to induce fibrotic changes in the diabetic kidneys. The fibrotic actions of angiotensin II on the kidneys are mediated indirectly through an increase in the synthesis of 12(S)-HETE. Conversely, 12(S)-HETE may also enhance the actions of angiotensin II by upregulating the expression of AT1 receptors on the glomerulus, mesangium, and podocytes. 12(S)-HETE may also cross-talk with TGF-β in a reciprocal manner to induce the fibrotic changes in the diabetic kidney. 12(S)-HETE-triggered signaling pathways may involve activation of p38 mitogen-activated protein (p38MAP) kinase, increase in cAMP-responsive element-binding protein (CREB) transcriptional activity, epigenetic changes involving histone methylation through an increase in histone methyltransferase activity along with an upregulation of cyclin-kinase inhibitors including, p16, p21, and p27. The present review discusses the role of 12-LOX in the pathogenesis of diabetic nephropathy along with the possible mechanisms.","author":[{"dropping-particle":"","family":"Dong","given":"Changqing","non-dropping-particle":"","parse-names":false,"suffix":""},{"dropping-particle":"","family":"Liu","given":"Shengmao","non-dropping-particle":"","parse-names":false,"suffix":""},{"dropping-particle":"","family":"Cui","given":"Yingchun","non-dropping-particle":"","parse-names":false,"suffix":""},{"dropping-particle":"","family":"Guo","given":"Qiaoyan","non-dropping-particle":"","parse-names":false,"suffix":""}],"container-title":"European Journal of Pharmacology","id":"ITEM-2","issued":{"date-parts":[["2020","7","15"]]},"page":"173122","publisher":"Elsevier","title":"12-Lipoxygenase as a key pharmacological target in the pathogenesis of diabetic nephropathy","type":"article-journal","volume":"879"},"uris":["http://www.mendeley.com/documents/?uuid=50ab1ea2-bbf0-30af-bb3e-03fb1e377e11"]},{"id":"ITEM-3","itemData":{"DOI":"10.1210/JC.2014-3630","ISSN":"0021-972X","PMID":"25532042","abstract":"Context: Inflammation in the pancreas can cause β-cell stress, leading to diabetes development. Access to human pancreas tissues via the Network for Pancreatic Organ Donors with Diabetes (nPOD) has allowed characterization of pathways leading to this inflammation. Objective: 12-Lipoxygenase (12-LO) induces inflammation and has been implicated in diabetes development. Our goal was to determine expression of 12-LO in human islets from control, autoantibody-positive, type 1 diabetic, and type 2 diabetic nPOD pancreas donors. Design: Pancreas tissues from nPOD donors were examined by immunohistochemistry and immunofluorescence for islet expression of 12-LO in different subsets of islet cells. Participants: Donor pancreas samples were obtained from nPOD based on disease status (control, n = 7; autoantibody-positive, n = 8; type 1 diabetic, n = 17; or type 2 diabetic donors, n = 15). Main Outcome Measure: Determination of 12-LO expression within human islets served as the main outcome measure, including distinguishing which types of islet cells expressed 12-LO. Results: Islets from control participants (nondiabetic) lacked islet expression of 12-LO. Of donors in the other groups, 25% to 37% expressed islet 12-LO with a clear inverse relation between the numbers of β-cells and 12-LO+ cells within islets of 12-LO+ cases. 12-LO expression was not seen within macrophages, endothelial cells, α-cells, or β-cells, but only within cells expressing low levels of pancreatic polypeptide (PP) and increased levels of vimentin. Conclusions: 12-LO expression colocalizes within a specific type of islet PP+ cell under prediabetic and diabetic conditions. The costaining of PP and vimentin suggests that 12-LO participates in the process leading to β-cell dedifferentiation in the islet.","author":[{"dropping-particle":"","family":"Grzesik","given":"Wojciech J.","non-dropping-particle":"","parse-names":false,"suffix":""},{"dropping-particle":"","family":"Nadler","given":"Joseph L.","non-dropping-particle":"","parse-names":false,"suffix":""},{"dropping-particle":"","family":"Machida","given":"Yui","non-dropping-particle":"","parse-names":false,"suffix":""},{"dropping-particle":"","family":"Nadler","given":"Jerry L.","non-dropping-particle":"","parse-names":false,"suffix":""},{"dropping-particle":"","family":"Imai","given":"Yumi","non-dropping-particle":"","parse-names":false,"suffix":""},{"dropping-particle":"","family":"Morris","given":"Margaret A.","non-dropping-particle":"","parse-names":false,"suffix":""}],"container-title":"The Journal of Clinical Endocrinology &amp; Metabolism","id":"ITEM-3","issue":"3","issued":{"date-parts":[["2015","3","1"]]},"page":"E387-E395","publisher":"Oxford Academic","title":"Expression Pattern of 12-Lipoxygenase in Human Islets With Type 1 Diabetes and Type 2 Diabetes","type":"article-journal","volume":"100"},"uris":["http://www.mendeley.com/documents/?uuid=24623db6-dcf3-3189-93c4-652069f4685e"]},{"id":"ITEM-4","itemData":{"DOI":"10.1016/S0006-291X(03)01418-9","ISSN":"0006-291X","PMID":"12914766","abstract":"Leukocyte type 12-lipoxygenase (12-LO) is an enzyme specifically expressed in the β cells of the pancreas. 12-LO oxidizes fatty acids such as arachidonic acid and linoleic acids to their respective hydroperoxides. Increased concentration of lipid hydroperoxides causes oxidative stress and this could lead to cellular dysfunction. Increased expression of 12-LO in β cells has been observed with use of inflammatory cytokines and during the prediabetic phase of β cell dysfunction in the Zucker diabetic fatty rat model. Also mice deficient in 12-LO expression show a decreased incidence of immune-mediated diabetes. To further understand the role of 12-LO in β cell metabolism, we over-expressed mouse leukocyte type 12-LO in INS-1 cells (transformed rat β cell line) using an adeno-associated virus (AAV) vector system. In 12-LO over-expressing cells, cell-associated 12-HETE levels increased </w:instrText>
      </w:r>
      <w:r w:rsidR="00EE0616">
        <w:rPr>
          <w:rFonts w:ascii="Cambria Math" w:hAnsi="Cambria Math" w:cs="Cambria Math"/>
        </w:rPr>
        <w:instrText>∼</w:instrText>
      </w:r>
      <w:r w:rsidR="00EE0616">
        <w:instrText xml:space="preserve">5- and </w:instrText>
      </w:r>
      <w:r w:rsidR="00EE0616">
        <w:rPr>
          <w:rFonts w:ascii="Cambria Math" w:hAnsi="Cambria Math" w:cs="Cambria Math"/>
        </w:rPr>
        <w:instrText>∼</w:instrText>
      </w:r>
      <w:r w:rsidR="00EE0616">
        <w:instrText>3-fold in the culture supernatant. In the cells over-expressing 12-LO, glucose-stimulated insulin secretion (GSIS) decreased by 25-30% one hour after exposure to high glucose (15mM). By 2h, GSIS decreased by 50-54% at high glucose levels. These data suggest that increased 12-LO products can reduce the synthesis, processing or secretion of insulin in β cells. We next examined the effect of 12-LO over-expression on mitogen-activated protein kinases (MAPK) by Western blot analyses using antibodies specific for different phospho-MAP kinases. Over-expression of 12-LO led to an activation of c-Jun N-terminal kinase while it markedly reduced Erk1 and 2 phosphorylation (4-fold). Further, over-expression of 12-LO led to induction of apoptosis in β cells as determined by DNA ladder assay. These results suggest that increased 12-LO plays a key role in altering β cell metabolism. Thus, increased 12-LO expression can have a detrimental effect on pancreatic β cell function and viability, suggesting that blockade of 12-LO activity or expression could provide a novel way to protect β cells from inflammatory injury. © 2003 Elsevier Inc. All rights reserved.","author":[{"dropping-particle":"","family":"Prasad","given":"Konkal Matt R.","non-dropping-particle":"","parse-names":false,"suffix":""},{"dropping-particle":"","family":"Thimmalapura","given":"Pushpa Rekha R.","non-dropping-particle":"","parse-names":false,"suffix":""},{"dropping-particle":"","family":"Woode","given":"Eunice A.A.","non-dropping-particle":"","parse-names":false,"suffix":""},{"dropping-particle":"","family":"Nadler","given":"Jerry L.","non-dropping-particle":"","parse-names":false,"suffix":""}],"container-title":"Biochemical and Biophysical Research Communications","id":"ITEM-4","issue":"3","issued":{"date-parts":[["2003","8","29"]]},"page":"427-432","publisher":"Academic Press","title":"Evidence that increased 12-lipoxygenase expression impairs pancreatic β cell function and viability","type":"article-journal","volume":"308"},"uris":["http://www.mendeley.com/documents/?uuid=3b17c22d-e482-3754-a6e8-f943414d44c8"]}],"mendeley":{"formattedCitation":"[118–121]","plainTextFormattedCitation":"[118–121]","previouslyFormattedCitation":"[118–121]"},"properties":{"noteIndex":0},"schema":"https://github.com/citation-style-language/schema/raw/master/csl-citation.json"}</w:instrText>
      </w:r>
      <w:r w:rsidRPr="005A1AC5">
        <w:fldChar w:fldCharType="separate"/>
      </w:r>
      <w:r w:rsidR="003D7446" w:rsidRPr="003D7446">
        <w:rPr>
          <w:noProof/>
        </w:rPr>
        <w:t>[118–121]</w:t>
      </w:r>
      <w:r w:rsidRPr="005A1AC5">
        <w:fldChar w:fldCharType="end"/>
      </w:r>
      <w:r w:rsidRPr="005A1AC5">
        <w:t xml:space="preserve">. </w:t>
      </w:r>
      <w:r w:rsidRPr="005A1AC5">
        <w:rPr>
          <w:i/>
          <w:iCs/>
        </w:rPr>
        <w:t xml:space="preserve">LMNA </w:t>
      </w:r>
      <w:r w:rsidRPr="005A1AC5">
        <w:t xml:space="preserve">variants that affect this binding region may result in a dysregulation of 12-LOX which may contribute to diabetes pathology. Other notable binding sites in this region include actin and DNA </w:t>
      </w:r>
      <w:r w:rsidRPr="005A1AC5">
        <w:fldChar w:fldCharType="begin" w:fldLock="1"/>
      </w:r>
      <w:r w:rsidR="00EE0616">
        <w:instrText>ADDIN CSL_CITATION {"citationItems":[{"id":"ITEM-1","itemData":{"DOI":"10.1242/jcs.01102","ISSN":"0021-9533","abstract":"What do such diverse molecules as DNA, actin, retinoblastoma protein and protein kinase Calpha all have in common? They and additional partners bind 'A-type' lamins, which form stable filaments in animal cell nuclei. Mutations in A-type lamins cause a bewildering range of tissue-specific diseases, termed 'laminopathies', including Emery-Dreifuss muscular dystrophy and the devastating Hutchinson-Gilford progeria syndrome, which mimics premature aging. Considered individually and collectively, partners for A-type lamins form four loose groups: architectural partners, chromatin partners, gene-regulatory partners and signaling partners. We describe 16 partners in detail, summarize their binding sites in A-type lamins, and sketch portraits of ternary complexes and functional pathways that might depend on lamins in vivo. On the basis of our limited current knowledge, we propose lamin-associated complexes with multiple components relevant to nuclear structure (e.g. emerin, nesprin 1alpha, actin) or signaling and gene regulation (e.g. LAP2alpha, retinoblastoma, E2F-DP heterodimers, genes) as 'food for thought'. Testing these ideas will deepen our understanding of nuclear function and human disease.","author":[{"dropping-particle":"","family":"Zastrow","given":"Michael S","non-dropping-particle":"","parse-names":false,"suffix":""},{"dropping-particle":"","family":"Vlcek","given":"Sylvia","non-dropping-particle":"","parse-names":false,"suffix":""},{"dropping-particle":"","family":"Wilson","given":"Katherine L","non-dropping-particle":"","parse-names":false,"suffix":""}],"container-title":"Journal of cell science","id":"ITEM-1","issue":"Pt 7","issued":{"date-parts":[["2004"]]},"page":"979-987","title":"Proteins that bind A-type lamins: integrating isolated clues.","type":"article-journal","volume":"117"},"uris":["http://www.mendeley.com/documents/?uuid=3b0c00bf-f1ae-4c62-995d-cc676ad406d2"]},{"id":"ITEM-2","itemData":{"DOI":"10.1016/S0014-5793(98)00294-4","ISSN":"1873-3468","abstract":"The nuclear lamina formed by lamins is localized between the inner nuclear membrane and chromatin. Lamins are thought to be implicated in the higher order chromatin structure. Interactions of lamins with chromatin have been described but the molecular components directly involved in these interactions remain to be identified. Using a GST-C-terminal domain of lamin A fusion protein to probe cellular extracts for interacting proteins, we have found that this domain of lamin A binds to unclear actin. This result suggests that an actin-based molecular motor linked to the lamina could be involved in the movement of chromatin domains.","author":[{"dropping-particle":"","family":"Sasseville","given":"A.Marie-Josée","non-dropping-particle":"","parse-names":false,"suffix":""},{"dropping-particle":"","family":"Langelier","given":"Yves","non-dropping-particle":"","parse-names":false,"suffix":""}],"container-title":"FEBS Letters","id":"ITEM-2","issue":"3","issued":{"date-parts":[["1998","4","3"]]},"page":"485-489","publisher":"John Wiley &amp; Sons, Ltd","title":"In vitro interaction of the carboxy-terminal domain of lamin A with actin","type":"article-journal","volume":"425"},"uris":["http://www.mendeley.com/documents/?uuid=e45d89d0-7e4f-300c-a22a-8262029b74d9"]},{"id":"ITEM-3","itemData":{"DOI":"10.1021/bi020704g","ISSN":"0006-2960","abstract":"Lamins A and C are intermediate filament proteins which polymerize into the nucleus to form the nuclear lamina network. The lamina is apposed to the inner nuclear membrane and functions in tethering chromatin to the nuclear envelope and in maintaining nuclear shape. We have recently characterized a globular domain that adopts an immunoglobulin fold in the carboxyl-terminal tail common to lamins A and C. Using an electrophoretic mobility shift assay (EMSA), we show that a peptide containing this domain interacts in vitro with DNA after dimerization through a disulfide bond, but does not interact with the core particle or the dinucleosome. The covalent dimer binds a 30-40 bp DNA fragment with a micromolar affinity and no sequence specificity. Using nuclear magnetic resonance (NMR) and an EMSA, we observed that two peptide regions participate in the DNA binding: the unstructured amino-terminal part containing the nuclear localization signal and a large positively charged region centered around amino acid R482 at the surface of the immunoglobulin-like domain. Mutations R482Q and -W, which are responsible for Dunnigan-type partial lipodystrophy, lower the affinity of the peptide for DNA. We conclude that the carboxyl-terminal end of lamins A and C binds DNA and suggest that alterations in lamin-DNA interactions may play a role in the pathophysiology of some lamin-linked diseases.","author":[{"dropping-particle":"","family":"Stierlé","given":"Vérène","non-dropping-particle":"","parse-names":false,"suffix":""},{"dropping-particle":"","family":"Couprie","given":"Joël","non-dropping-particle":"","parse-names":false,"suffix":""},{"dropping-particle":"","family":"Ostlund","given":"Cecilia","non-dropping-particle":"","parse-names":false,"suffix":""},{"dropping-particle":"","family":"Krimm","given":"Isabelle","non-dropping-particle":"","parse-names":false,"suffix":""},{"dropping-particle":"","family":"Zinn-Justin","given":"Sophie","non-dropping-particle":"","parse-names":false,"suffix":""},{"dropping-particle":"","family":"Hossenlopp","given":"Paul","non-dropping-particle":"","parse-names":false,"suffix":""},{"dropping-particle":"","family":"Worman","given":"Howard J","non-dropping-particle":"","parse-names":false,"suffix":""},{"dropping-particle":"","family":"Courvalin","given":"Jean-Claude","non-dropping-particle":"","parse-names":false,"suffix":""},{"dropping-particle":"","family":"Duband-Goulet","given":"Isabelle","non-dropping-particle":"","parse-names":false,"suffix":""}],"container-title":"Biochemistry","id":"ITEM-3","issue":"17","issued":{"date-parts":[["2003"]]},"page":"4819-4828","title":"The carboxyl-terminal region common to lamins A and C contains a DNA binding domain.","type":"article-journal","volume":"42"},"uris":["http://www.mendeley.com/documents/?uuid=c7a537ba-0882-4eb5-8bca-70d8c8669808"]}],"mendeley":{"formattedCitation":"[96,122,123]","plainTextFormattedCitation":"[96,122,123]","previouslyFormattedCitation":"[96,122,123]"},"properties":{"noteIndex":0},"schema":"https://github.com/citation-style-language/schema/raw/master/csl-citation.json"}</w:instrText>
      </w:r>
      <w:r w:rsidRPr="005A1AC5">
        <w:fldChar w:fldCharType="separate"/>
      </w:r>
      <w:r w:rsidR="003D7446" w:rsidRPr="003D7446">
        <w:rPr>
          <w:noProof/>
        </w:rPr>
        <w:t>[96,122,123]</w:t>
      </w:r>
      <w:r w:rsidRPr="005A1AC5">
        <w:fldChar w:fldCharType="end"/>
      </w:r>
      <w:r w:rsidRPr="005A1AC5">
        <w:t>, but it is unclear how these interactions may be linked to metabolic disease pathology.</w:t>
      </w:r>
    </w:p>
    <w:p w14:paraId="29B1635E" w14:textId="3EB3DEA8" w:rsidR="001E66EE" w:rsidRPr="005A1AC5" w:rsidRDefault="001E66EE" w:rsidP="005A1AC5">
      <w:pPr>
        <w:pStyle w:val="MDPI31text"/>
      </w:pPr>
      <w:r w:rsidRPr="005A1AC5">
        <w:t xml:space="preserve">As well as </w:t>
      </w:r>
      <w:proofErr w:type="spellStart"/>
      <w:r w:rsidRPr="005A1AC5">
        <w:t>lamin</w:t>
      </w:r>
      <w:proofErr w:type="spellEnd"/>
      <w:r w:rsidRPr="005A1AC5">
        <w:t xml:space="preserve"> A/C</w:t>
      </w:r>
      <w:r w:rsidRPr="005A1AC5">
        <w:rPr>
          <w:i/>
          <w:iCs/>
        </w:rPr>
        <w:t xml:space="preserve"> </w:t>
      </w:r>
      <w:r w:rsidRPr="005A1AC5">
        <w:t xml:space="preserve">mutation clusters being identified within specific exons of </w:t>
      </w:r>
      <w:r w:rsidRPr="005A1AC5">
        <w:rPr>
          <w:i/>
          <w:iCs/>
        </w:rPr>
        <w:t>LMNA</w:t>
      </w:r>
      <w:r w:rsidRPr="005A1AC5">
        <w:t xml:space="preserve">, </w:t>
      </w:r>
      <w:proofErr w:type="spellStart"/>
      <w:r w:rsidRPr="005A1AC5">
        <w:t>emerin</w:t>
      </w:r>
      <w:proofErr w:type="spellEnd"/>
      <w:r w:rsidRPr="005A1AC5">
        <w:rPr>
          <w:i/>
          <w:iCs/>
        </w:rPr>
        <w:t xml:space="preserve"> </w:t>
      </w:r>
      <w:r w:rsidRPr="005A1AC5">
        <w:t xml:space="preserve">mutations appeared to </w:t>
      </w:r>
      <w:proofErr w:type="gramStart"/>
      <w:r w:rsidRPr="005A1AC5">
        <w:t>most often occur within exon</w:t>
      </w:r>
      <w:proofErr w:type="gramEnd"/>
      <w:r w:rsidRPr="005A1AC5">
        <w:t xml:space="preserve"> 6 of </w:t>
      </w:r>
      <w:r w:rsidRPr="005A1AC5">
        <w:rPr>
          <w:i/>
          <w:iCs/>
        </w:rPr>
        <w:t xml:space="preserve">EMD </w:t>
      </w:r>
      <w:r w:rsidRPr="005A1AC5">
        <w:t xml:space="preserve">suggesting this region of the gene may be a mutation “hot-spot”. </w:t>
      </w:r>
      <w:r w:rsidR="00211B04">
        <w:t>It is important to note, however, that e</w:t>
      </w:r>
      <w:r w:rsidR="003D7446">
        <w:t xml:space="preserve">xon 6 is the largest exon of the </w:t>
      </w:r>
      <w:r w:rsidR="003D7446">
        <w:rPr>
          <w:i/>
          <w:iCs/>
        </w:rPr>
        <w:t xml:space="preserve">EMD </w:t>
      </w:r>
      <w:r w:rsidR="003D7446">
        <w:t>gene</w:t>
      </w:r>
      <w:r w:rsidR="003D619F">
        <w:t xml:space="preserve"> consisting of 104 amino acids</w:t>
      </w:r>
      <w:r w:rsidR="0066793B">
        <w:t>, while e</w:t>
      </w:r>
      <w:r w:rsidR="003D619F">
        <w:t>xon</w:t>
      </w:r>
      <w:r w:rsidR="0066793B">
        <w:t>s</w:t>
      </w:r>
      <w:r w:rsidR="003D619F">
        <w:t xml:space="preserve"> 4 and 2 are 44 and 35 amino acids in length, </w:t>
      </w:r>
      <w:r w:rsidR="0066793B">
        <w:t>and</w:t>
      </w:r>
      <w:r w:rsidR="003D619F">
        <w:t xml:space="preserve"> the other exons range from 16-27 amino acids long. </w:t>
      </w:r>
      <w:r w:rsidR="0090511C">
        <w:t>While t</w:t>
      </w:r>
      <w:r w:rsidR="00985F8B">
        <w:t>he</w:t>
      </w:r>
      <w:r w:rsidR="00AD7376">
        <w:t xml:space="preserve"> higher occurrence of mutations in exon 6 may therefore be</w:t>
      </w:r>
      <w:r w:rsidR="0090511C">
        <w:t xml:space="preserve"> explained in part because of</w:t>
      </w:r>
      <w:r w:rsidR="00AD7376">
        <w:t xml:space="preserve"> </w:t>
      </w:r>
      <w:r w:rsidR="003D619F">
        <w:t>its larger size</w:t>
      </w:r>
      <w:r w:rsidR="0090511C">
        <w:t xml:space="preserve">, it </w:t>
      </w:r>
      <w:r w:rsidR="004C2BA5">
        <w:t>may</w:t>
      </w:r>
      <w:r w:rsidR="0090511C">
        <w:t xml:space="preserve"> not fully account for the </w:t>
      </w:r>
      <w:r w:rsidR="00705AFE">
        <w:t>differences</w:t>
      </w:r>
      <w:r w:rsidR="004C2BA5">
        <w:t xml:space="preserve"> since</w:t>
      </w:r>
      <w:r w:rsidR="003D619F">
        <w:t xml:space="preserve"> </w:t>
      </w:r>
      <w:r w:rsidR="004C2BA5">
        <w:t>e</w:t>
      </w:r>
      <w:r w:rsidR="003D619F">
        <w:t xml:space="preserve">xon 4 is </w:t>
      </w:r>
      <w:r w:rsidR="00350574">
        <w:t>42% of the</w:t>
      </w:r>
      <w:r w:rsidR="003D619F">
        <w:t xml:space="preserve"> size of exon 6, </w:t>
      </w:r>
      <w:r w:rsidR="00350574">
        <w:t>but was</w:t>
      </w:r>
      <w:r w:rsidR="003D619F">
        <w:t xml:space="preserve"> </w:t>
      </w:r>
      <w:r w:rsidR="004C2BA5">
        <w:t xml:space="preserve">found </w:t>
      </w:r>
      <w:r w:rsidR="00803530">
        <w:t xml:space="preserve">to have </w:t>
      </w:r>
      <w:r w:rsidR="003D619F">
        <w:t>6 mutations</w:t>
      </w:r>
      <w:r w:rsidR="00803530">
        <w:t xml:space="preserve"> described, compared to 33 for exon 6</w:t>
      </w:r>
      <w:r w:rsidR="003D619F">
        <w:t xml:space="preserve">. </w:t>
      </w:r>
      <w:r w:rsidRPr="003D7446">
        <w:t>As</w:t>
      </w:r>
      <w:r w:rsidRPr="005A1AC5">
        <w:t xml:space="preserve"> the majority of these variants are frameshift, deletion and nonsense mutations, they will most likely result in the loss of, or the production of a non-functional truncated form of </w:t>
      </w:r>
      <w:proofErr w:type="spellStart"/>
      <w:r w:rsidRPr="005A1AC5">
        <w:t>emerin</w:t>
      </w:r>
      <w:proofErr w:type="spellEnd"/>
      <w:r w:rsidRPr="005A1AC5">
        <w:t xml:space="preserve"> </w:t>
      </w:r>
      <w:r w:rsidRPr="005A1AC5">
        <w:fldChar w:fldCharType="begin" w:fldLock="1"/>
      </w:r>
      <w:r w:rsidR="00EE0616">
        <w:instrText>ADDIN CSL_CITATION {"citationItems":[{"id":"ITEM-1","itemData":{"DOI":"10.1016/j.semcdb.2013.12.008","ISSN":"1096-3634","abstract":"Emery-Dreifuss muscular dystrophy (EDMD) is caused by mutations in the genes encoding emerin, lamins A and C and FHL1. Additional EDMD-like syndromes are caused by mutations in nesprins and LUMA. This review will specifically focus on emerin function and the current thinking for how loss or mutations in emerin cause EDMD. Emerin is a well-conserved, ubiquitously expressed protein of the inner nuclear membrane. Emerin has been shown to have diverse functions, including the regulation of gene expression, cell signaling, nuclear structure and chromatin architecture. This review will focus on the relationships between these functions and the EDMD disease phenotype. Additionally it will highlight open questions concerning emerin's roles in cell and nuclear biology and disease. (Copyright © 2014 Elsevier Ltd. All rights reserved.)","author":[{"dropping-particle":"","family":"Koch","given":"Adam J","non-dropping-particle":"","parse-names":false,"suffix":""},{"dropping-particle":"","family":"Holaska","given":"James M","non-dropping-particle":"","parse-names":false,"suffix":""}],"container-title":"Seminars in cell &amp; developmental biology","id":"ITEM-1","issued":{"date-parts":[["2014"]]},"page":"95-106","title":"Emerin in health and disease.","type":"article-journal","volume":"29"},"uris":["http://www.mendeley.com/documents/?uuid=839ba063-9de5-47b2-b433-9e92ac525726"]},{"id":"ITEM-2","itemData":{"DOI":"10.1038/ng1294-323","ISSN":"1061-4036","abstract":"Emery-Dreifuss muscular dystrophy (EDMD) is an X-linked recessive disorder characterized by slowly progressing contractures, wasting of skeletal muscle and cardiomyopathy. Heart block is a frequent cause of death. The disease gene has been mapped to distal Xq28. Among many genes in this region, we selected eight transcripts expressed at high levels in skeletal muscle, heart and/or brain as the best candidates for the disease. We now report, in all five patients studied, unique mutations in one of the genes, STA: these mutations result in the loss of all or part of the protein. The EDMD gene encodes a novel serine-rich protein termed emerin, which contains a 20 amino acid hydrophobic domain at the C terminus, similar to that described for many membrane proteins of the secretory pathway involved in vesicular transport.","author":[{"dropping-particle":"","family":"Bione","given":"Silvia","non-dropping-particle":"","parse-names":false,"suffix":""},{"dropping-particle":"","family":"Maestrini","given":"Elena","non-dropping-particle":"","parse-names":false,"suffix":""},{"dropping-particle":"","family":"Rivella","given":"Stefano","non-dropping-particle":"","parse-names":false,"suffix":""},{"dropping-particle":"","family":"Mancini","given":"Mita","non-dropping-particle":"","parse-names":false,"suffix":""},{"dropping-particle":"","family":"Regis","given":"Stefano","non-dropping-particle":"","parse-names":false,"suffix":""},{"dropping-particle":"","family":"Romeo","given":"Giovanni","non-dropping-particle":"","parse-names":false,"suffix":""},{"dropping-particle":"","family":"Toniolo","given":"Daniela","non-dropping-particle":"","parse-names":false,"suffix":""}],"container-title":"Nature Genetics","id":"ITEM-2","issue":"4","issued":{"date-parts":[["1994","12"]]},"page":"323-327","publisher":"Nature Publishing Group","title":"Identification of a novel X-linked gene responsible for Emery-Dreifuss muscular dystrophy","type":"article-journal","volume":"8"},"uris":["http://www.mendeley.com/documents/?uuid=5e0d4619-1a8a-347b-ae91-d0853e7a2a9d"]},{"id":"ITEM-3","itemData":{"DOI":"10.1093/hmg/7.5.855","ISSN":"0964-6906","abstract":"Seventeen families with Emery-Dreifuss muscular dystrophy (EDMD) have been studied both by DNA sequencing and by emerin protein expression. Fourteen had mutations in the X-linked emerin gene, while three showed evidence of autosomal inheritance. Twelve of the 14 emerin mutations caused early termination of translation. An in-frame deletion of six amino acids from the C-terminal transmembrane helix caused almost complete absence of emerin from muscle with no localization to the nuclear membrane, although mRNA levels were normal. This shows that mutant emerin proteins are unstable if they are unable to integrate into a membrane. A 22 bp deletion in the promoter region was expected to result in reduced emerin production, but normal amounts of emerin of normal size were found in leucocytes and lymphoblastoid cell lines. This shows that DNA analysis is necessary to exclude emerin mutations in suspected X-linked EDMD. Emerin levels in female carriers often deviated from the expected 50% and this was due, in at least two families, to skewed emerin mRNA expression from the normal and mutated alleles. In one family with a novel deletion of the last three exons of the emerin gene, a carrier had a cardiomyopathy and very low emerin levels (&lt;5% of normal) due to skewed X-inactivation. In the three autosomal cases of EDMD, emerin was normal on western blots of blood cells, which suggests that autosomal EDMD is not caused by indirect reduction of emerin levels.","author":[{"dropping-particle":"","family":"Manilal","given":"S","non-dropping-particle":"","parse-names":false,"suffix":""},{"dropping-particle":"","family":"Recan","given":"D","non-dropping-particle":"","parse-names":false,"suffix":""},{"dropping-particle":"","family":"Sewry","given":"C A","non-dropping-particle":"","parse-names":false,"suffix":""},{"dropping-particle":"","family":"Hoeltzenbein","given":"M","non-dropping-particle":"","parse-names":false,"suffix":""},{"dropping-particle":"","family":"Llense","given":"S","non-dropping-particle":"","parse-names":false,"suffix":""},{"dropping-particle":"","family":"Leturcq","given":"F","non-dropping-particle":"","parse-names":false,"suffix":""},{"dropping-particle":"","family":"Deburgrave","given":"N","non-dropping-particle":"","parse-names":false,"suffix":""},{"dropping-particle":"","family":"Barbot","given":"J","non-dropping-particle":"","parse-names":false,"suffix":""},{"dropping-particle":"","family":"Man","given":"N","non-dropping-particle":"","parse-names":false,"suffix":""},{"dropping-particle":"","family":"Muntoni","given":"F","non-dropping-particle":"","parse-names":false,"suffix":""},{"dropping-particle":"","family":"Wehnert","given":"M","non-dropping-particle":"","parse-names":false,"suffix":""},{"dropping-particle":"","family":"Kaplan","given":"J","non-dropping-particle":"","parse-names":false,"suffix":""},{"dropping-particle":"","family":"Morris","given":"G E","non-dropping-particle":"","parse-names":false,"suffix":""}],"container-title":"Human molecular genetics","id":"ITEM-3","issue":"5","issued":{"date-parts":[["1998"]]},"page":"855-864","title":"Mutations in Emery-Dreifuss muscular dystrophy and their effects on emerin protein expression.","type":"article-journal","volume":"7"},"uris":["http://www.mendeley.com/documents/?uuid=2ae1786a-48d1-4e27-9f12-16dd8a23f4bc"]}],"mendeley":{"formattedCitation":"[25,124,125]","plainTextFormattedCitation":"[25,124,125]","previouslyFormattedCitation":"[25,124,125]"},"properties":{"noteIndex":0},"schema":"https://github.com/citation-style-language/schema/raw/master/csl-citation.json"}</w:instrText>
      </w:r>
      <w:r w:rsidRPr="005A1AC5">
        <w:fldChar w:fldCharType="separate"/>
      </w:r>
      <w:r w:rsidR="003D7446" w:rsidRPr="003D7446">
        <w:rPr>
          <w:noProof/>
        </w:rPr>
        <w:t>[25,124,125]</w:t>
      </w:r>
      <w:r w:rsidRPr="005A1AC5">
        <w:fldChar w:fldCharType="end"/>
      </w:r>
      <w:r w:rsidRPr="005A1AC5">
        <w:t xml:space="preserve">. When diagnosing patients with EDMD in resource-restricted settings, it may be useful to consider first sequencing exon 6, given the large number of </w:t>
      </w:r>
      <w:proofErr w:type="spellStart"/>
      <w:r w:rsidRPr="005A1AC5">
        <w:t>emerin</w:t>
      </w:r>
      <w:proofErr w:type="spellEnd"/>
      <w:r w:rsidRPr="005A1AC5">
        <w:t xml:space="preserve"> mutations located in this region. It is important to bear in mind, though, that many </w:t>
      </w:r>
      <w:r w:rsidRPr="005A1AC5">
        <w:rPr>
          <w:i/>
          <w:iCs/>
        </w:rPr>
        <w:t xml:space="preserve">EMD </w:t>
      </w:r>
      <w:r w:rsidRPr="005A1AC5">
        <w:t xml:space="preserve">mutations </w:t>
      </w:r>
      <w:proofErr w:type="gramStart"/>
      <w:r w:rsidRPr="005A1AC5">
        <w:t>were located in</w:t>
      </w:r>
      <w:proofErr w:type="gramEnd"/>
      <w:r w:rsidRPr="005A1AC5">
        <w:t xml:space="preserve"> other exons of the gene.</w:t>
      </w:r>
    </w:p>
    <w:p w14:paraId="153DC400" w14:textId="514AA8AE" w:rsidR="001E66EE" w:rsidRPr="005A1AC5" w:rsidRDefault="001E66EE" w:rsidP="005A1AC5">
      <w:pPr>
        <w:pStyle w:val="MDPI31text"/>
      </w:pPr>
      <w:r w:rsidRPr="005A1AC5">
        <w:t xml:space="preserve">Most disease-causing </w:t>
      </w:r>
      <w:r w:rsidRPr="005A1AC5">
        <w:rPr>
          <w:i/>
          <w:iCs/>
        </w:rPr>
        <w:t xml:space="preserve">SYNE1 </w:t>
      </w:r>
      <w:r w:rsidRPr="005A1AC5">
        <w:t xml:space="preserve">variants result in the production of a truncated form of nesprin-1, because of nonsense mutations. Mutations impairing nesprin-1 function may affect its affinity to interact with both SUN1/SUN2 at the PNS, and with the cytoskeleton in the cytoplasm </w:t>
      </w:r>
      <w:r w:rsidRPr="005A1AC5">
        <w:fldChar w:fldCharType="begin" w:fldLock="1"/>
      </w:r>
      <w:r w:rsidR="00EE0616">
        <w:instrText>ADDIN CSL_CITATION {"citationItems":[{"id":"ITEM-1","itemData":{"DOI":"10.1083/JCB.200509124","ISSN":"0021-9525","abstract":"The nuclear envelope defines the barrier between the nucleus and cytoplasm and features inner and outer membranes separated by a perinuclear space (PNS). The inner nuclear membrane contains specific integral proteins that include Sun1 and Sun2. Although the outer nuclear membrane (ONM) is continuous with the endoplasmic reticulum, it is nevertheless enriched in several integral membrane proteins, including nesprin 2 Giant (nesp2G), an 800-kD protein featuring an NH2-terminal actin-binding domain. A recent study (Padmakumar, V.C., T. Libotte, W. Lu, H. Zaim, S. Abraham, A.A. Noegel, J. Gotzmann, R. Foisner, and I. Karakesisoglou. 2005. J. Cell Sci. 118:3419-3430) has shown that localization of nesp2G to the ONM is dependent upon an interaction with Sun1. In this study, we confirm and extend these results by demonstrating that both Sun1 and Sun2 contribute to nesp2G localization. Codepletion of both of these proteins in HeLa cells leads to the loss of ONM-associated nesp2G, as does overexpression of the Sun1 lumenal domain. Both treatments result in the expansion of the PNS. These data, together with those of Padmakumar et al. (2005), support a model in which Sun proteins tether nesprins in the ONM via interactions spanning the PNS. In this way, Sun proteins and nesprins form a complex that links the nucleoskeleton and cytoskeleton (the LINC complex). © The Rockefeller University Press.","author":[{"dropping-particle":"","family":"Crisp","given":"Melissa","non-dropping-particle":"","parse-names":false,"suffix":""},{"dropping-particle":"","family":"Liu","given":"Qian","non-dropping-particle":"","parse-names":false,"suffix":""},{"dropping-particle":"","family":"Roux","given":"Kyle","non-dropping-particle":"","parse-names":false,"suffix":""},{"dropping-particle":"","family":"Rattner","given":"J.B.","non-dropping-particle":"","parse-names":false,"suffix":""},{"dropping-particle":"","family":"Shanahan","given":"Catherine","non-dropping-particle":"","parse-names":false,"suffix":""},{"dropping-particle":"","family":"Burke","given":"Brian","non-dropping-particle":"","parse-names":false,"suffix":""},{"dropping-particle":"","family":"Stahl","given":"Phillip D.","non-dropping-particle":"","parse-names":false,"suffix":""},{"dropping-particle":"","family":"Hodzic","given":"Didier","non-dropping-particle":"","parse-names":false,"suffix":""}],"container-title":"Journal of Cell Biology","id":"ITEM-1","issue":"1","issued":{"date-parts":[["2006","1","2"]]},"page":"41-53","publisher":"The Rockefeller University Press","title":"Coupling of the nucleus and cytoplasm: Role of the LINC complex","type":"article-journal","volume":"172"},"uris":["http://www.mendeley.com/documents/?uuid=9783ab64-ef04-3f10-8b8e-5aa13aa43b17"]},{"id":"ITEM-2","itemData":{"DOI":"10.1093/hmg/ddx116","ISSN":"14602083","abstract":"© The Author 2017. Published by Oxford University Press. Nesprins-1 and -2 are highly expressed in skeletal and cardiac muscle and together with SUN (Sad1p/UNC84)-domain containing proteins and lamin A/C form the LInker of Nucleoskeleton-and-Cytoskeleton (LINC) bridging complex at the nuclear envelope (NE). Mutations in nesprin-1/2 have previously been found in patients with autosomal dominant Emery-Dreifuss muscular dystrophy (EDMD) as well as dilated cardiomyopathy (DCM). In this study, three novel rare variants (R8272Q, S8381C and N8406K) in the C-terminus of the SYNE1 gene (nesprin-1) were identified in seven DCM patients by mutation screening. Expression of these mutants caused nuclear morphology defects and reduced lamin A/C and SUN2 staining at the NE. GST pull-down indicated that nesprin-1/lamin/SUN interactions were disrupted. Nesprin-1 mutations were also associated with augmented activation of the ERK pathway in vitro and in hearts in vivo. During C2C12 muscle cell differentiation, nesprin-1 levels are increased concomitantly with kinesin light chain (KLC-1/2) and immunoprecipitation and GST pull-down showed that these proteins interacted via a recently identified LEWD domain in the C-terminus of nesprin-1. Expression of nesprin-1 mutants in C2C12 cells caused defects in myoblast differentiation and fusion associated with dysregulation of myogenic transcription factors and disruption of the nesprin-1 and KLC-1/2 interaction at the outer nuclear membrane. Expression of nesprin-1α2 WT and mutants in zebrafish embryos caused heart developmental defects that varied in severity. These findings support a role for nesprin-1 in myogenesis and muscle disease, and uncover a novel mechanism whereby disruption of the LINC complex may contribute to the pathogenesis of DCM.","author":[{"dropping-particle":"","family":"Zhou","given":"Can","non-dropping-particle":"","parse-names":false,"suffix":""},{"dropping-particle":"","family":"Li","given":"Chen","non-dropping-particle":"","parse-names":false,"suffix":""},{"dropping-particle":"","family":"Zhou","given":"Bin","non-dropping-particle":"","parse-names":false,"suffix":""},{"dropping-particle":"","family":"Sun","given":"Huaqin","non-dropping-particle":"","parse-names":false,"suffix":""},{"dropping-particle":"","family":"Koullourou","given":"Victoria","non-dropping-particle":"","parse-names":false,"suffix":""},{"dropping-particle":"","family":"Holt","given":"Ian","non-dropping-particle":"","parse-names":false,"suffix":""},{"dropping-particle":"","family":"Puckelwartz","given":"Megan J.","non-dropping-particle":"","parse-names":false,"suffix":""},{"dropping-particle":"","family":"Warren","given":"Derek T.","non-dropping-particle":"","parse-names":false,"suffix":""},{"dropping-particle":"","family":"Hayward","given":"Robert","non-dropping-particle":"","parse-names":false,"suffix":""},{"dropping-particle":"","family":"Lin","given":"Ziyuan","non-dropping-particle":"","parse-names":false,"suffix":""},{"dropping-particle":"","family":"Zhang","given":"Lin","non-dropping-particle":"","parse-names":false,"suffix":""},{"dropping-particle":"","family":"Morris","given":"Glenn E.","non-dropping-particle":"","parse-names":false,"suffix":""},{"dropping-particle":"","family":"McNally","given":"Elizabeth M.","non-dropping-particle":"","parse-names":false,"suffix":""},{"dropping-particle":"","family":"Shackleton","given":"Sue","non-dropping-particle":"","parse-names":false,"suffix":""},{"dropping-particle":"","family":"Rao","given":"Li","non-dropping-particle":"","parse-names":false,"suffix":""},{"dropping-particle":"","family":"Shanahan","given":"Catherine M.","non-dropping-particle":"","parse-names":false,"suffix":""},{"dropping-particle":"","family":"Zhang","given":"Qiuping","non-dropping-particle":"","parse-names":false,"suffix":""}],"container-title":"Human molecular genetics","id":"ITEM-2","issue":"12","issued":{"date-parts":[["2017"]]},"page":"2258-2276","title":"Novel nesprin-1 mutations associated with dilated cardiomyopathy cause nuclear envelope disruption and defects in myogenesis","type":"article-journal","volume":"26"},"uris":["http://www.mendeley.com/documents/?uuid=280568c2-f391-3740-93e7-8f88906dfbef"]}],"mendeley":{"formattedCitation":"[12,126]","plainTextFormattedCitation":"[12,126]","previouslyFormattedCitation":"[12,126]"},"properties":{"noteIndex":0},"schema":"https://github.com/citation-style-language/schema/raw/master/csl-citation.json"}</w:instrText>
      </w:r>
      <w:r w:rsidRPr="005A1AC5">
        <w:fldChar w:fldCharType="separate"/>
      </w:r>
      <w:r w:rsidR="003D7446" w:rsidRPr="003D7446">
        <w:rPr>
          <w:noProof/>
        </w:rPr>
        <w:t>[12,126]</w:t>
      </w:r>
      <w:r w:rsidRPr="005A1AC5">
        <w:fldChar w:fldCharType="end"/>
      </w:r>
      <w:r w:rsidRPr="005A1AC5">
        <w:t xml:space="preserve">. This would result in the dissolution of the LINC complex, causing the connection between the NL and cytoskeleton to become weakened. </w:t>
      </w:r>
      <w:r w:rsidRPr="005A1AC5">
        <w:rPr>
          <w:i/>
          <w:iCs/>
        </w:rPr>
        <w:t>SYNE1</w:t>
      </w:r>
      <w:r w:rsidRPr="005A1AC5">
        <w:t xml:space="preserve"> mutations commonly cause SCAR8, suggesting that nesprin-1 is indispensable in the brain. Nesprin-1/2 have been found to be crucial for proper neurodevelopment, and the LINC complex has been found to be the main mediator coupling the nucleus to the cytoskeleton in migrating postmitotic neurons </w:t>
      </w:r>
      <w:r w:rsidRPr="005A1AC5">
        <w:fldChar w:fldCharType="begin" w:fldLock="1"/>
      </w:r>
      <w:r w:rsidR="00EE0616">
        <w:instrText>ADDIN CSL_CITATION {"citationItems":[{"id":"ITEM-1","itemData":{"DOI":"10.1016/J.NEURON.2009.08.018","ISSN":"1097-4199","PMID":"19874786","abstract":"Nuclear movement is critical during neurogenesis and neuronal migration, which are fundamental for mammalian brain development. Although dynein, Lis1, and other cytoplasmic proteins are known for their roles in connecting microtubules to the nucleus during interkinetic nuclear migration (INM) and nucleokinesis, the factors connecting dynein/Lis1 to the nuclear envelope (NE) remain to be determined. We report here that the SUN-domain proteins SUN1 and SUN2 and the KASH-domain proteins Syne-1/Nesprin-1 and Syne-2/Nesprin-2 play critical roles in neurogenesis and neuronal migration in mice. We show that SUN1 and SUN2 redundantly form complexes with Syne-2 to mediate the centrosome-nucleus coupling during both INM and radial neuronal migration in the cerebral cortex. Syne-2 is connected to the centrosome through interactions with both dynein/dynactin and kinesin complexes. Syne-2 mutants also display severe defects in learning and memory. These results fill an important gap in our understanding of the mechanism of nuclear movement during brain development. © 2009 Elsevier Inc. All rights reserved.","author":[{"dropping-particle":"","family":"Zhang","given":"Xiaochang","non-dropping-particle":"","parse-names":false,"suffix":""},{"dropping-particle":"","family":"Lei","given":"Kai","non-dropping-particle":"","parse-names":false,"suffix":""},{"dropping-particle":"","family":"Yuan","given":"Xiaobing","non-dropping-particle":"","parse-names":false,"suffix":""},{"dropping-particle":"","family":"Wu","given":"Xiaohui","non-dropping-particle":"","parse-names":false,"suffix":""},{"dropping-particle":"","family":"Zhuang","given":"Yuan","non-dropping-particle":"","parse-names":false,"suffix":""},{"dropping-particle":"","family":"Xu","given":"Tian","non-dropping-particle":"","parse-names":false,"suffix":""},{"dropping-particle":"","family":"Xu","given":"Rener","non-dropping-particle":"","parse-names":false,"suffix":""},{"dropping-particle":"","family":"Han","given":"Min","non-dropping-particle":"","parse-names":false,"suffix":""}],"container-title":"Neuron","id":"ITEM-1","issue":"2","issued":{"date-parts":[["2009","10","29"]]},"page":"173-187","publisher":"Neuron","title":"SUN1/2 and Syne/Nesprin-1/2 complexes connect centrosome to the nucleus during neurogenesis and neuronal migration in mice","type":"article-journal","volume":"64"},"uris":["http://www.mendeley.com/documents/?uuid=d7c6f690-c958-3c2a-8420-3e8a4cd42940"]}],"mendeley":{"formattedCitation":"[127]","plainTextFormattedCitation":"[127]","previouslyFormattedCitation":"[127]"},"properties":{"noteIndex":0},"schema":"https://github.com/citation-style-language/schema/raw/master/csl-citation.json"}</w:instrText>
      </w:r>
      <w:r w:rsidRPr="005A1AC5">
        <w:fldChar w:fldCharType="separate"/>
      </w:r>
      <w:r w:rsidR="003D7446" w:rsidRPr="003D7446">
        <w:rPr>
          <w:noProof/>
        </w:rPr>
        <w:t>[127]</w:t>
      </w:r>
      <w:r w:rsidRPr="005A1AC5">
        <w:fldChar w:fldCharType="end"/>
      </w:r>
      <w:r w:rsidRPr="005A1AC5">
        <w:t xml:space="preserve">. Furthermore, the LINC complex has been associated with fundamental aspects of embryonic development, particularly radial migration </w:t>
      </w:r>
      <w:r w:rsidRPr="005A1AC5">
        <w:fldChar w:fldCharType="begin" w:fldLock="1"/>
      </w:r>
      <w:r w:rsidR="00EE0616">
        <w:instrText>ADDIN CSL_CITATION {"citationItems":[{"id":"ITEM-1","itemData":{"DOI":"10.1016/J.NEURON.2009.08.018","ISSN":"1097-4199","PMID":"19874786","abstract":"Nuclear movement is critical during neurogenesis and neuronal migration, which are fundamental for mammalian brain development. Although dynein, Lis1, and other cytoplasmic proteins are known for their roles in connecting microtubules to the nucleus during interkinetic nuclear migration (INM) and nucleokinesis, the factors connecting dynein/Lis1 to the nuclear envelope (NE) remain to be determined. We report here that the SUN-domain proteins SUN1 and SUN2 and the KASH-domain proteins Syne-1/Nesprin-1 and Syne-2/Nesprin-2 play critical roles in neurogenesis and neuronal migration in mice. We show that SUN1 and SUN2 redundantly form complexes with Syne-2 to mediate the centrosome-nucleus coupling during both INM and radial neuronal migration in the cerebral cortex. Syne-2 is connected to the centrosome through interactions with both dynein/dynactin and kinesin complexes. Syne-2 mutants also display severe defects in learning and memory. These results fill an important gap in our understanding of the mechanism of nuclear movement during brain development. © 2009 Elsevier Inc. All rights reserved.","author":[{"dropping-particle":"","family":"Zhang","given":"Xiaochang","non-dropping-particle":"","parse-names":false,"suffix":""},{"dropping-particle":"","family":"Lei","given":"Kai","non-dropping-particle":"","parse-names":false,"suffix":""},{"dropping-particle":"","family":"Yuan","given":"Xiaobing","non-dropping-particle":"","parse-names":false,"suffix":""},{"dropping-particle":"","family":"Wu","given":"Xiaohui","non-dropping-particle":"","parse-names":false,"suffix":""},{"dropping-particle":"","family":"Zhuang","given":"Yuan","non-dropping-particle":"","parse-names":false,"suffix":""},{"dropping-particle":"","family":"Xu","given":"Tian","non-dropping-particle":"","parse-names":false,"suffix":""},{"dropping-particle":"","family":"Xu","given":"Rener","non-dropping-particle":"","parse-names":false,"suffix":""},{"dropping-particle":"","family":"Han","given":"Min","non-dropping-particle":"","parse-names":false,"suffix":""}],"container-title":"Neuron","id":"ITEM-1","issue":"2","issued":{"date-parts":[["2009","10","29"]]},"page":"173-187","publisher":"Neuron","title":"SUN1/2 and Syne/Nesprin-1/2 complexes connect centrosome to the nucleus during neurogenesis and neuronal migration in mice","type":"article-journal","volume":"64"},"uris":["http://www.mendeley.com/documents/?uuid=d7c6f690-c958-3c2a-8420-3e8a4cd42940"]}],"mendeley":{"formattedCitation":"[127]","plainTextFormattedCitation":"[127]","previouslyFormattedCitation":"[127]"},"properties":{"noteIndex":0},"schema":"https://github.com/citation-style-language/schema/raw/master/csl-citation.json"}</w:instrText>
      </w:r>
      <w:r w:rsidRPr="005A1AC5">
        <w:fldChar w:fldCharType="separate"/>
      </w:r>
      <w:r w:rsidR="003D7446" w:rsidRPr="003D7446">
        <w:rPr>
          <w:noProof/>
        </w:rPr>
        <w:t>[127]</w:t>
      </w:r>
      <w:r w:rsidRPr="005A1AC5">
        <w:fldChar w:fldCharType="end"/>
      </w:r>
      <w:r w:rsidRPr="005A1AC5">
        <w:t xml:space="preserve">. </w:t>
      </w:r>
      <w:r w:rsidRPr="005A1AC5">
        <w:rPr>
          <w:i/>
          <w:iCs/>
        </w:rPr>
        <w:t xml:space="preserve">SYNE1 </w:t>
      </w:r>
      <w:r w:rsidRPr="005A1AC5">
        <w:t xml:space="preserve">variants may hinder these processes resulting in devastating effects. Interestingly </w:t>
      </w:r>
      <w:r w:rsidRPr="005A1AC5">
        <w:rPr>
          <w:i/>
          <w:iCs/>
        </w:rPr>
        <w:t xml:space="preserve">SYNE2 </w:t>
      </w:r>
      <w:r w:rsidRPr="005A1AC5">
        <w:t>has only been associated with very few cases of human disease, suggesting that maybe nesprin-1 expression might compensate when there is a lack of nesprin-2.</w:t>
      </w:r>
    </w:p>
    <w:p w14:paraId="7D94E5F9" w14:textId="62CF0047" w:rsidR="001E66EE" w:rsidRDefault="001E66EE" w:rsidP="005A1AC5">
      <w:pPr>
        <w:pStyle w:val="MDPI31text"/>
      </w:pPr>
      <w:r w:rsidRPr="005A1AC5">
        <w:t xml:space="preserve">The finding here that almost 50% of </w:t>
      </w:r>
      <w:r w:rsidRPr="005A1AC5">
        <w:rPr>
          <w:i/>
          <w:iCs/>
        </w:rPr>
        <w:t xml:space="preserve">SYNE1 </w:t>
      </w:r>
      <w:r w:rsidRPr="005A1AC5">
        <w:t xml:space="preserve">coding region mutations are nonsense suggests that stop-codon readthrough (also known as suppression therapy) should be considered as a treatment option for nesprin-1 related disorders. Suppression therapy </w:t>
      </w:r>
      <w:proofErr w:type="spellStart"/>
      <w:r w:rsidRPr="005A1AC5">
        <w:t>utilises</w:t>
      </w:r>
      <w:proofErr w:type="spellEnd"/>
      <w:r w:rsidRPr="005A1AC5">
        <w:t xml:space="preserve"> pharmacological compounds, which are often aminoglycoside antibiotics, that suppress translation termination at in-frame premature termination codons to restore the translation of a full-length, functional peptide </w:t>
      </w:r>
      <w:r w:rsidRPr="005A1AC5">
        <w:fldChar w:fldCharType="begin" w:fldLock="1"/>
      </w:r>
      <w:r w:rsidR="00EE0616">
        <w:instrText>ADDIN CSL_CITATION {"citationItems":[{"id":"ITEM-1","itemData":{"DOI":"10.1164/AJRCCM.163.7.2004001","ISSN":"1073-449X","PMID":"11401894","abstract":"Here we report the effects of gentamicin treatment on cystic fibrosis transmembrane regulator (CFTR) production and function in CF airway cells and patients with CF with premature stop mutations. Using immunocytochemical and functional [6-methoxy-N-(3-sulfopropyl) quinolinium (SPQ)-based] techniques, ex vivo exposure of airway cells from stop mutation CF patients led to the identification of surface-localized CFTR in a dose-dependent fashion. Next, five patients with CF with stop mutations and five CF control subjects were treated with parenteral gentamicin for 1 wk, and underwent repeated in vivo measures of CFTR function (nasal potential difference [PD] measurements and sweat chloride [Cl-] testing). During the treatment period, the number of nasal PD readings in the direction of Cl- secretion was increased approximately 3-fold in the stop mutation patient group compared with controls (p &lt; 0.001), and four of five stop mutation patients with CF had at least one reading during gentamicin treatment with a Cl- secretory response of more than -5 mV (hyperpolarized). A response of this magnitude was not seen in any of the CF control subjects (p &lt; 0.05). In an independent series of experiments designed to test the ability of repeat nasal PDs to detect wild-type CFTR function, evidence of Cl- secretion was seen in 88% of control (non-CF) nasal PDs, and 71% were more than -5 mV hyperpolarized. Together, these results suggest that gentamicin treatment can suppress premature stop mutations in airway cells from patients with CF, and produce small increases in CFTR Cl- conductance (as measured by the nasal PD) in vivo.","author":[{"dropping-particle":"","family":"Clancy","given":"J. P.","non-dropping-particle":"","parse-names":false,"suffix":""},{"dropping-particle":"","family":"Bebök","given":"Z.","non-dropping-particle":"","parse-names":false,"suffix":""},{"dropping-particle":"","family":"Ruiz","given":"F.","non-dropping-particle":"","parse-names":false,"suffix":""},{"dropping-particle":"","family":"King","given":"C.","non-dropping-particle":"","parse-names":false,"suffix":""},{"dropping-particle":"","family":"Jones","given":"J.","non-dropping-particle":"","parse-names":false,"suffix":""},{"dropping-particle":"","family":"Walker","given":"L.","non-dropping-particle":"","parse-names":false,"suffix":""},{"dropping-particle":"","family":"Greer","given":"H.","non-dropping-particle":"","parse-names":false,"suffix":""},{"dropping-particle":"","family":"Hong","given":"J.","non-dropping-particle":"","parse-names":false,"suffix":""},{"dropping-particle":"","family":"Wing","given":"L.","non-dropping-particle":"","parse-names":false,"suffix":""},{"dropping-particle":"","family":"Macaluso","given":"M.","non-dropping-particle":"","parse-names":false,"suffix":""},{"dropping-particle":"","family":"Lyrene","given":"R.","non-dropping-particle":"","parse-names":false,"suffix":""},{"dropping-particle":"","family":"Sorscher","given":"E. J.","non-dropping-particle":"","parse-names":false,"suffix":""},{"dropping-particle":"","family":"Bedwell","given":"D. M.","non-dropping-particle":"","parse-names":false,"suffix":""}],"container-title":"American journal of respiratory and critical care medicine","id":"ITEM-1","issue":"7","issued":{"date-parts":[["2001"]]},"page":"1683-1692","publisher":"Am J Respir Crit Care Med","title":"Evidence that systemic gentamicin suppresses premature stop mutations in patients with cystic fibrosis","type":"article-journal","volume":"163"},"uris":["http://www.mendeley.com/documents/?uuid=93fbd8cd-e798-34ee-86f7-22c5e9678166"]},{"id":"ITEM-2","itemData":{"DOI":"10.1164/AJRCCM.161.3.9904116","ISSN":"1073-449X","PMID":"10712334","abstract":"Mutations in the cystic fibrosis transmembrane conductance regulator (CFTR) gene containing a premature termination signal are expected to produce little or no CFTR chloride channels. It has been shown in vitro, that aminoglycoside antibiotics can increase the frequency of erroneous insertion of nonsense codons hence permitting the translation of CFTR alleles carrying missense mutations to continue reading to the end of the gene. This led to the appearance of functional CFTR channels at the apical plasma membrane. The aim of this research was to determine if topical application of gentamicin to the nasal epithelium of patients with cystic fibrosis (CF) carrying stop mutations can express, in vivo, functional CFTR channels. Nine CF patients carrying stop mutations (mean age 23 ± 11 yr, range 12 to 46 yr) received gentamicin drops (0.3%, 3 mg/ml) three times daily intranasally for a total of 14 d. Nasal potential difference (PD) was measured before and after the treatment. Before gentamicin application all the patients had abnormal nasal PD typical of CF. After gentamicin treatment, significant repolarization of the nasal epithelium representing chloride transport was increased from -1 ± 1 mV to -10 ± 11 mV (p &lt; 0.001). In conclusion, gentamicin may influence the underlying chloride transport abnormality in patients with CF carrying stop mutations.","author":[{"dropping-particle":"","family":"Wilschanski","given":"Michael","non-dropping-particle":"","parse-names":false,"suffix":""},{"dropping-particle":"","family":"Famini","given":"Chagit","non-dropping-particle":"","parse-names":false,"suffix":""},{"dropping-particle":"","family":"Blau","given":"Hannah","non-dropping-particle":"","parse-names":false,"suffix":""},{"dropping-particle":"","family":"Rivlin","given":"Joseph","non-dropping-particle":"","parse-names":false,"suffix":""},{"dropping-particle":"","family":"Augarten","given":"Arieh","non-dropping-particle":"","parse-names":false,"suffix":""},{"dropping-particle":"","family":"Avital","given":"Avraham","non-dropping-particle":"","parse-names":false,"suffix":""},{"dropping-particle":"","family":"Kerem","given":"Batsheva","non-dropping-particle":"","parse-names":false,"suffix":""},{"dropping-particle":"","family":"Kerem","given":"Eitan","non-dropping-particle":"","parse-names":false,"suffix":""}],"container-title":"American journal of respiratory and critical care medicine","id":"ITEM-2","issue":"3 Pt 1","issued":{"date-parts":[["2000"]]},"page":"860-865","publisher":"Am J Respir Crit Care Med","title":"A pilot study of the effect of gentamicin on nasal potential difference measurements in cystic fibrosis patients carrying stop mutations","type":"article-journal","volume":"161"},"uris":["http://www.mendeley.com/documents/?uuid=476fa1c1-9b34-342b-92f6-38493a141223"]},{"id":"ITEM-3","itemData":{"DOI":"10.1177/1756285610388693","ISSN":"17562856","PMID":"21179598","abstract":"Duchenne muscular dystrophy (DMD) is the most common, lethal, X-linked genetic disease, affecting 1 in 3500 newborn males. It is caused by mutations in the DMD gene. Owing to the large size of the gene, the mutation rate in both germline and somatic cells is very high. Nearly 13-15% of DMD cases are caused by nonsense mutations leading to premature termination codons in the reading frame that results in truncated dystrophin protein. Currently there is no cure for DMD. The only available treatment is the use of glucocorticoids that have modest beneficial effects accompanied by significant side effects. Different therapeutic strategies have been developed ranging from gene therapy to exon skipping and nonsense mutation suppression to produce the full-length protein. These strategies have shown promise in the mdx mouse model of muscular dystrophy where they have been reported to ameliorate the dystrophic phenotype and correct the physiological defects in the membrane. Each of these molecular approaches are being investigated in clinical trials. Here we review nonsense mutation suppression by aminoglycosides as a therapeutic strategy to treat DMD with special emphasis on gentamicin-induced readthrough of disease-causing premature termination codons. © 2010, SAGE Publications. All rights reserved.","author":[{"dropping-particle":"","family":"Malik","given":"Vinod","non-dropping-particle":"","parse-names":false,"suffix":""},{"dropping-particle":"","family":"Rodino Klapac","given":"Louise R.","non-dropping-particle":"","parse-names":false,"suffix":""},{"dropping-particle":"","family":"Viollet","given":"Laurence","non-dropping-particle":"","parse-names":false,"suffix":""},{"dropping-particle":"","family":"Mendell","given":"Jerry R.","non-dropping-particle":"","parse-names":false,"suffix":""}],"container-title":"Therapeutic Advances in Neurological Disorders","id":"ITEM-3","issue":"6","issued":{"date-parts":[["2010","11","29"]]},"page":"379-389","publisher":"SAGE PublicationsSage UK: London, England","title":"Aminoglycoside-induced mutation suppression (stop codon readthrough) as a therapeutic strategy for Duchenne muscular dystrophy","type":"article-journal","volume":"3"},"uris":["http://www.mendeley.com/documents/?uuid=02c80dc9-729e-3eb7-bbad-1ba783bb4026"]},{"id":"ITEM-4","itemData":{"author":[{"dropping-particle":"","family":"Politano","given":"L","non-dropping-particle":"","parse-names":false,"suffix":""},{"dropping-particle":"","family":"Nigro","given":"G","non-dropping-particle":"","parse-names":false,"suffix":""},{"dropping-particle":"","family":"Nigro","given":"V","non-dropping-particle":"","parse-names":false,"suffix":""},{"dropping-particle":"","family":"Piluso","given":"G","non-dropping-particle":"","parse-names":false,"suffix":""},{"dropping-particle":"","family":"Papparella","given":"S","non-dropping-particle":"","parse-names":false,"suffix":""},{"dropping-particle":"","family":"Paciello","given":"O","non-dropping-particle":"","parse-names":false,"suffix":""},{"dropping-particle":"","family":"Comi","given":"LI","non-dropping-particle":"","parse-names":false,"suffix":""}],"container-title":"Official journal of the Mediterranean Society of Myology","id":"ITEM-4","issue":"1","issued":{"date-parts":[["2003","5"]]},"page":"15-21","title":"Gentamicin administration in Duchenne patients with premature stop codon. Preliminary results","type":"article-journal","volume":"22"},"uris":["http://www.mendeley.com/documents/?uuid=23751c1b-fd8b-3c99-84d6-b70fd80787d6"]},{"id":"ITEM-5","itemData":{"DOI":"10.1182/BLOOD-2005-03-1307","ISSN":"0006-4971","PMID":"16051741","abstract":"Aminoglycoside antibiotics exhibit their bactericidal effect by interfering with normal ribosomal activity. In this pilot study, we have evaluated the effect of the aminoglycoside antibiotic gentamicin on the factor VIII (FVIII) and IX levels of severe hemophiliacs with known nonsense mutations. Five patients were enrolled and each patient was given 3 consecutive days of gentamicin at a dose of 7 mg/kg intravenously every 24 hours. Two patients (patient no. 1: hemophilia A, Ser1395Stop; and patient no. 5: hemophilia B, Arg333Stop) showed a decrease in their activated partial thromboplastin time (aPTT), an increase in their FVIII (0.016 IU/mL, 1.6%) or FIX (0.02 IU/mL, 2%) levels, and an increase in thrombin generation. The remaining 3 patients (patient no. 2: hemophilia B, Arg252Stop; patient no. 3: hemophilia A, Arg2116Stop; and patient no. 4: hemophilia A, Arg427Stop) showed no response in the aPTTs or factor levels, but one (patient no. 2: hemophilia B, Arg252Stop) showed an increase in the factor IX antigen level (2%-5.5%) that persisted throughout the period of the study and was concordant with an increase in thrombin generation. Gentamicin is unlikely to be an effective treatment for severe hemophilia due to its potential toxicities and the minimal response documented in this report. This study, however, does provide a proof of principle, suggesting that ribosomal interference with a less toxic agent may be a potential therapeutic mechanism for severe hemophilia patients with nonsense mutations. © 2005 by The American Society of Hematology.","author":[{"dropping-particle":"","family":"James","given":"Paula D.","non-dropping-particle":"","parse-names":false,"suffix":""},{"dropping-particle":"","family":"Raut","given":"Sanj","non-dropping-particle":"","parse-names":false,"suffix":""},{"dropping-particle":"","family":"Rivard","given":"Georges E.","non-dropping-particle":"","parse-names":false,"suffix":""},{"dropping-particle":"","family":"Poon","given":"Man Chiu","non-dropping-particle":"","parse-names":false,"suffix":""},{"dropping-particle":"","family":"Warner","given":"Margaret","non-dropping-particle":"","parse-names":false,"suffix":""},{"dropping-particle":"","family":"McKenna","given":"Susan","non-dropping-particle":"","parse-names":false,"suffix":""},{"dropping-particle":"","family":"Leggo","given":"Jayne","non-dropping-particle":"","parse-names":false,"suffix":""},{"dropping-particle":"","family":"Lillicrap","given":"David","non-dropping-particle":"","parse-names":false,"suffix":""}],"container-title":"Blood","id":"ITEM-5","issue":"9","issued":{"date-parts":[["2005","11"]]},"page":"3043-3048","publisher":"Blood","title":"Aminoglycoside suppression of nonsense mutations in severe hemophilia","type":"article-journal","volume":"106"},"uris":["http://www.mendeley.com/documents/?uuid=9219120c-483f-3757-8d9c-afc62144314a"]},{"id":"ITEM-6","itemData":{"DOI":"10.1021/ACSMEDCHEMLETT.7B00269/SUPPL_FILE/ML7B00269_SI_001.PDF","ISSN":"19485875","abstract":"(+)-Negamycin, isolated from Streptomyces purpeofuscus, shows antimicrobial activity against Gram-negative bacteria and readthrough activity against nonsense mutations. Previously, we reported that two natural negamycin analogues, 5-deoxy-3-epi-negamycin and its leucine adduct, have more potent readthrough activity in eukaryocytes (COS-7 cells) than negamycin but possess no antimicrobial activity and no in vitro readthrough activity in prokaryotic systems. In the present study, on leucyl-3-epi-deoxynegamycin, a structure-activity relationship study was performed to develop more potent readthrough agents. In a cell-based readthrough assay, the derivative 13b with an o-bromobenzyl ester functions as a prodrug and exhibits a higher readthrough activity against TGA-type PTC than the aminoglycoside G418. This ester (13b) shows an in vivo readthrough activity with low toxicity, suggesting that it has the potential for treatment of hereditary diseases caused by nonsense mutations.","author":[{"dropping-particle":"","family":"Taguchi","given":"Akihiro","non-dropping-particle":"","parse-names":false,"suffix":""},{"dropping-particle":"","family":"Hamada","given":"Keisuke","non-dropping-particle":"","parse-names":false,"suffix":""},{"dropping-particle":"","family":"Shiozuka","given":"Masataka","non-dropping-particle":"","parse-names":false,"suffix":""},{"dropping-particle":"","family":"Kobayashi","given":"Misaki","non-dropping-particle":"","parse-names":false,"suffix":""},{"dropping-particle":"","family":"Murakami","given":"Saori","non-dropping-particle":"","parse-names":false,"suffix":""},{"dropping-particle":"","family":"Takayama","given":"Kentaro","non-dropping-particle":"","parse-names":false,"suffix":""},{"dropping-particle":"","family":"Taniguchi","given":"Atsuhiko","non-dropping-particle":"","parse-names":false,"suffix":""},{"dropping-particle":"","family":"Usui","given":"Takeo","non-dropping-particle":"","parse-names":false,"suffix":""},{"dropping-particle":"","family":"Matsuda","given":"Ryoichi","non-dropping-particle":"","parse-names":false,"suffix":""},{"dropping-particle":"","family":"Hayashi","given":"Yoshio","non-dropping-particle":"","parse-names":false,"suffix":""}],"container-title":"ACS Medicinal Chemistry Letters","id":"ITEM-6","issue":"10","issued":{"date-parts":[["2017","10","12"]]},"page":"1060-1065","publisher":"American Chemical Society","title":"Structure-Activity Relationship Study of Leucyl-3-epi-deoxynegamycin for Potent Premature Termination Codon Readthrough","type":"article-journal","volume":"8"},"uris":["http://www.mendeley.com/documents/?uuid=664c30ca-47f4-34f6-98f4-e5e63dd95da5"]},{"id":"ITEM-7","itemData":{"DOI":"10.1021/ACSMEDCHEMLETT.9B00273/SUPPL_FILE/ML9B00273_SI_001.PDF","ISSN":"19485875","abstract":"We report a novel negamycin derivative TCP-1109 (13x) which serves as a potent readthrough drug candidate against nonsense-associated diseases. We previously demonstrated that TCP-112 (7), a nor-compound of native 3-epi-deoxynegmaycin, showed a higher readthrough activity than (+)-negamycin. In the present study, we performed a structure-activity relationship (SAR) study of compound 7 focused on its 3-amino group in an effort to develop a more potent readthrough compound. Introduction of a variety of natural or unnatural amino acids to the 3-amino group gave us the more potent derivative 13x which has about four times higher readthrough activity than 7 in a cell-based assay using a premature termination codon of TGA derived from Duchenne muscular dystrophy. The activity was dose-dependent and relatively selective for TGA. However, the activities for TAG and TAA were also higher than those of (+)-negamycin and 7. Moreover, compound 13x showed significant cell-based readthrough activity for several nonsense mutations derived from other nonsense-associated diseases. It is suggested that 13x has the potential to be a readthrough drug useful for the treatment of many kinds of nonsense-associated diseases.","author":[{"dropping-particle":"","family":"Hamada","given":"Keisuke","non-dropping-particle":"","parse-names":false,"suffix":""},{"dropping-particle":"","family":"Omura","given":"Noriko","non-dropping-particle":"","parse-names":false,"suffix":""},{"dropping-particle":"","family":"Taguchi","given":"Akihiro","non-dropping-particle":"","parse-names":false,"suffix":""},{"dropping-particle":"","family":"Baradaran-Heravi","given":"Alireza","non-dropping-particle":"","parse-names":false,"suffix":""},{"dropping-particle":"","family":"Kotake","given":"Masaya","non-dropping-particle":"","parse-names":false,"suffix":""},{"dropping-particle":"","family":"Arai","given":"Misaki","non-dropping-particle":"","parse-names":false,"suffix":""},{"dropping-particle":"","family":"Takayama","given":"Kentaro","non-dropping-particle":"","parse-names":false,"suffix":""},{"dropping-particle":"","family":"Taniguchi","given":"Atsuhiko","non-dropping-particle":"","parse-names":false,"suffix":""},{"dropping-particle":"","family":"Roberge","given":"Michel","non-dropping-particle":"","parse-names":false,"suffix":""},{"dropping-particle":"","family":"Hayashi","given":"Yoshio","non-dropping-particle":"","parse-names":false,"suffix":""}],"container-title":"ACS Medicinal Chemistry Letters","id":"ITEM-7","issue":"10","issued":{"date-parts":[["2019","10","10"]]},"page":"1450-1456","publisher":"American Chemical Society","title":"New Negamycin-Based Potent Readthrough Derivative Effective against TGA-Type Nonsense Mutations","type":"article-journal","volume":"10"},"uris":["http://www.mendeley.com/documents/?uuid=59dc3278-0c7c-3865-b3b4-bc46d46d6de7"]}],"mendeley":{"formattedCitation":"[128–134]","plainTextFormattedCitation":"[128–134]","previouslyFormattedCitation":"[128–134]"},"properties":{"noteIndex":0},"schema":"https://github.com/citation-style-language/schema/raw/master/csl-citation.json"}</w:instrText>
      </w:r>
      <w:r w:rsidRPr="005A1AC5">
        <w:fldChar w:fldCharType="separate"/>
      </w:r>
      <w:r w:rsidR="003D7446" w:rsidRPr="003D7446">
        <w:rPr>
          <w:noProof/>
        </w:rPr>
        <w:t>[128–134]</w:t>
      </w:r>
      <w:r w:rsidRPr="005A1AC5">
        <w:fldChar w:fldCharType="end"/>
      </w:r>
      <w:r w:rsidRPr="005A1AC5">
        <w:t xml:space="preserve">. A number of clinical trials have been conducted where aminoglycoside antibiotics have been administered to patients carrying nonsense mutations with diseases including cystic fibrosis </w:t>
      </w:r>
      <w:r w:rsidRPr="005A1AC5">
        <w:fldChar w:fldCharType="begin" w:fldLock="1"/>
      </w:r>
      <w:r w:rsidR="00EE0616">
        <w:instrText>ADDIN CSL_CITATION {"citationItems":[{"id":"ITEM-1","itemData":{"DOI":"10.1164/AJRCCM.163.7.2004001","ISSN":"1073-449X","PMID":"11401894","abstract":"Here we report the effects of gentamicin treatment on cystic fibrosis transmembrane regulator (CFTR) production and function in CF airway cells and patients with CF with premature stop mutations. Using immunocytochemical and functional [6-methoxy-N-(3-sulfopropyl) quinolinium (SPQ)-based] techniques, ex vivo exposure of airway cells from stop mutation CF patients led to the identification of surface-localized CFTR in a dose-dependent fashion. Next, five patients with CF with stop mutations and five CF control subjects were treated with parenteral gentamicin for 1 wk, and underwent repeated in vivo measures of CFTR function (nasal potential difference [PD] measurements and sweat chloride [Cl-] testing). During the treatment period, the number of nasal PD readings in the direction of Cl- secretion was increased approximately 3-fold in the stop mutation patient group compared with controls (p &lt; 0.001), and four of five stop mutation patients with CF had at least one reading during gentamicin treatment with a Cl- secretory response of more than -5 mV (hyperpolarized). A response of this magnitude was not seen in any of the CF control subjects (p &lt; 0.05). In an independent series of experiments designed to test the ability of repeat nasal PDs to detect wild-type CFTR function, evidence of Cl- secretion was seen in 88% of control (non-CF) nasal PDs, and 71% were more than -5 mV hyperpolarized. Together, these results suggest that gentamicin treatment can suppress premature stop mutations in airway cells from patients with CF, and produce small increases in CFTR Cl- conductance (as measured by the nasal PD) in vivo.","author":[{"dropping-particle":"","family":"Clancy","given":"J. P.","non-dropping-particle":"","parse-names":false,"suffix":""},{"dropping-particle":"","family":"Bebök","given":"Z.","non-dropping-particle":"","parse-names":false,"suffix":""},{"dropping-particle":"","family":"Ruiz","given":"F.","non-dropping-particle":"","parse-names":false,"suffix":""},{"dropping-particle":"","family":"King","given":"C.","non-dropping-particle":"","parse-names":false,"suffix":""},{"dropping-particle":"","family":"Jones","given":"J.","non-dropping-particle":"","parse-names":false,"suffix":""},{"dropping-particle":"","family":"Walker","given":"L.","non-dropping-particle":"","parse-names":false,"suffix":""},{"dropping-particle":"","family":"Greer","given":"H.","non-dropping-particle":"","parse-names":false,"suffix":""},{"dropping-particle":"","family":"Hong","given":"J.","non-dropping-particle":"","parse-names":false,"suffix":""},{"dropping-particle":"","family":"Wing","given":"L.","non-dropping-particle":"","parse-names":false,"suffix":""},{"dropping-particle":"","family":"Macaluso","given":"M.","non-dropping-particle":"","parse-names":false,"suffix":""},{"dropping-particle":"","family":"Lyrene","given":"R.","non-dropping-particle":"","parse-names":false,"suffix":""},{"dropping-particle":"","family":"Sorscher","given":"E. J.","non-dropping-particle":"","parse-names":false,"suffix":""},{"dropping-particle":"","family":"Bedwell","given":"D. M.","non-dropping-particle":"","parse-names":false,"suffix":""}],"container-title":"American journal of respiratory and critical care medicine","id":"ITEM-1","issue":"7","issued":{"date-parts":[["2001"]]},"page":"1683-1692","publisher":"Am J Respir Crit Care Med","title":"Evidence that systemic gentamicin suppresses premature stop mutations in patients with cystic fibrosis","type":"article-journal","volume":"163"},"uris":["http://www.mendeley.com/documents/?uuid=93fbd8cd-e798-34ee-86f7-22c5e9678166"]},{"id":"ITEM-2","itemData":{"DOI":"10.1164/AJRCCM.161.3.9904116","ISSN":"1073-449X","PMID":"10712334","abstract":"Mutations in the cystic fibrosis transmembrane conductance regulator (CFTR) gene containing a premature termination signal are expected to produce little or no CFTR chloride channels. It has been shown in vitro, that aminoglycoside antibiotics can increase the frequency of erroneous insertion of nonsense codons hence permitting the translation of CFTR alleles carrying missense mutations to continue reading to the end of the gene. This led to the appearance of functional CFTR channels at the apical plasma membrane. The aim of this research was to determine if topical application of gentamicin to the nasal epithelium of patients with cystic fibrosis (CF) carrying stop mutations can express, in vivo, functional CFTR channels. Nine CF patients carrying stop mutations (mean age 23 ± 11 yr, range 12 to 46 yr) received gentamicin drops (0.3%, 3 mg/ml) three times daily intranasally for a total of 14 d. Nasal potential difference (PD) was measured before and after the treatment. Before gentamicin application all the patients had abnormal nasal PD typical of CF. After gentamicin treatment, significant repolarization of the nasal epithelium representing chloride transport was increased from -1 ± 1 mV to -10 ± 11 mV (p &lt; 0.001). In conclusion, gentamicin may influence the underlying chloride transport abnormality in patients with CF carrying stop mutations.","author":[{"dropping-particle":"","family":"Wilschanski","given":"Michael","non-dropping-particle":"","parse-names":false,"suffix":""},{"dropping-particle":"","family":"Famini","given":"Chagit","non-dropping-particle":"","parse-names":false,"suffix":""},{"dropping-particle":"","family":"Blau","given":"Hannah","non-dropping-particle":"","parse-names":false,"suffix":""},{"dropping-particle":"","family":"Rivlin","given":"Joseph","non-dropping-particle":"","parse-names":false,"suffix":""},{"dropping-particle":"","family":"Augarten","given":"Arieh","non-dropping-particle":"","parse-names":false,"suffix":""},{"dropping-particle":"","family":"Avital","given":"Avraham","non-dropping-particle":"","parse-names":false,"suffix":""},{"dropping-particle":"","family":"Kerem","given":"Batsheva","non-dropping-particle":"","parse-names":false,"suffix":""},{"dropping-particle":"","family":"Kerem","given":"Eitan","non-dropping-particle":"","parse-names":false,"suffix":""}],"container-title":"American journal of respiratory and critical care medicine","id":"ITEM-2","issue":"3 Pt 1","issued":{"date-parts":[["2000"]]},"page":"860-865","publisher":"Am J Respir Crit Care Med","title":"A pilot study of the effect of gentamicin on nasal potential difference measurements in cystic fibrosis patients carrying stop mutations","type":"article-journal","volume":"161"},"uris":["http://www.mendeley.com/documents/?uuid=476fa1c1-9b34-342b-92f6-38493a141223"]},{"id":"ITEM-3","itemData":{"DOI":"10.1056/NEJMOA022170","ISSN":"0028-4793","PMID":"14534336","abstract":"Background Mutations in the cystic fibrosis transmembrane conductance regulator (CFTR) gene containing a premature termination signal cause a deficiency or absence of functional chloride-channel ac...","author":[{"dropping-particle":"","family":"Wilschanski","given":"Michael","non-dropping-particle":"","parse-names":false,"suffix":""},{"dropping-particle":"","family":"Yahav","given":"Yaacov","non-dropping-particle":"","parse-names":false,"suffix":""},{"dropping-particle":"","family":"Yaacov","given":"Yasmin","non-dropping-particle":"","parse-names":false,"suffix":""},{"dropping-particle":"","family":"Blau","given":"Hannah","non-dropping-particle":"","parse-names":false,"suffix":""},{"dropping-particle":"","family":"Bentur","given":"Lea","non-dropping-particle":"","parse-names":false,"suffix":""},{"dropping-particle":"","family":"Rivlin","given":"Joseph","non-dropping-particle":"","parse-names":false,"suffix":""},{"dropping-particle":"","family":"Aviram","given":"Micha","non-dropping-particle":"","parse-names":false,"suffix":""},{"dropping-particle":"","family":"Bdolah-Abram","given":"Tali","non-dropping-particle":"","parse-names":false,"suffix":""},{"dropping-particle":"","family":"Bebok","given":"Zsuzsa","non-dropping-particle":"","parse-names":false,"suffix":""},{"dropping-particle":"","family":"Shushi","given":"Liat","non-dropping-particle":"","parse-names":false,"suffix":""},{"dropping-particle":"","family":"Kerem","given":"Batsheva","non-dropping-particle":"","parse-names":false,"suffix":""},{"dropping-particle":"","family":"Kerem","given":"Eitan","non-dropping-particle":"","parse-names":false,"suffix":""}],"container-title":"The New England journal of medicine","id":"ITEM-3","issue":"15","issued":{"date-parts":[["2009","10","7"]]},"page":"1433-1441","publisher":"Massachusetts Medical Society","title":"Gentamicin-Induced Correction of CFTR Function in Patients with Cystic Fibrosis and CFTR Stop Mutations","type":"article-journal","volume":"349"},"uris":["http://www.mendeley.com/documents/?uuid=6f633830-8212-3c90-a996-b3186bf82b75"]}],"mendeley":{"formattedCitation":"[128,129,135]","plainTextFormattedCitation":"[128,129,135]","previouslyFormattedCitation":"[128,129,135]"},"properties":{"noteIndex":0},"schema":"https://github.com/citation-style-language/schema/raw/master/csl-citation.json"}</w:instrText>
      </w:r>
      <w:r w:rsidRPr="005A1AC5">
        <w:fldChar w:fldCharType="separate"/>
      </w:r>
      <w:r w:rsidR="003D7446" w:rsidRPr="003D7446">
        <w:rPr>
          <w:noProof/>
        </w:rPr>
        <w:t>[128,129,135]</w:t>
      </w:r>
      <w:r w:rsidRPr="005A1AC5">
        <w:fldChar w:fldCharType="end"/>
      </w:r>
      <w:r w:rsidRPr="005A1AC5">
        <w:t xml:space="preserve">, hemophilia </w:t>
      </w:r>
      <w:r w:rsidRPr="005A1AC5">
        <w:fldChar w:fldCharType="begin" w:fldLock="1"/>
      </w:r>
      <w:r w:rsidR="00EE0616">
        <w:instrText>ADDIN CSL_CITATION {"citationItems":[{"id":"ITEM-1","itemData":{"DOI":"10.1182/BLOOD-2005-03-1307","ISSN":"0006-4971","PMID":"16051741","abstract":"Aminoglycoside antibiotics exhibit their bactericidal effect by interfering with normal ribosomal activity. In this pilot study, we have evaluated the effect of the aminoglycoside antibiotic gentamicin on the factor VIII (FVIII) and IX levels of severe hemophiliacs with known nonsense mutations. Five patients were enrolled and each patient was given 3 consecutive days of gentamicin at a dose of 7 mg/kg intravenously every 24 hours. Two patients (patient no. 1: hemophilia A, Ser1395Stop; and patient no. 5: hemophilia B, Arg333Stop) showed a decrease in their activated partial thromboplastin time (aPTT), an increase in their FVIII (0.016 IU/mL, 1.6%) or FIX (0.02 IU/mL, 2%) levels, and an increase in thrombin generation. The remaining 3 patients (patient no. 2: hemophilia B, Arg252Stop; patient no. 3: hemophilia A, Arg2116Stop; and patient no. 4: hemophilia A, Arg427Stop) showed no response in the aPTTs or factor levels, but one (patient no. 2: hemophilia B, Arg252Stop) showed an increase in the factor IX antigen level (2%-5.5%) that persisted throughout the period of the study and was concordant with an increase in thrombin generation. Gentamicin is unlikely to be an effective treatment for severe hemophilia due to its potential toxicities and the minimal response documented in this report. This study, however, does provide a proof of principle, suggesting that ribosomal interference with a less toxic agent may be a potential therapeutic mechanism for severe hemophilia patients with nonsense mutations. © 2005 by The American Society of Hematology.","author":[{"dropping-particle":"","family":"James","given":"Paula D.","non-dropping-particle":"","parse-names":false,"suffix":""},{"dropping-particle":"","family":"Raut","given":"Sanj","non-dropping-particle":"","parse-names":false,"suffix":""},{"dropping-particle":"","family":"Rivard","given":"Georges E.","non-dropping-particle":"","parse-names":false,"suffix":""},{"dropping-particle":"","family":"Poon","given":"Man Chiu","non-dropping-particle":"","parse-names":false,"suffix":""},{"dropping-particle":"","family":"Warner","given":"Margaret","non-dropping-particle":"","parse-names":false,"suffix":""},{"dropping-particle":"","family":"McKenna","given":"Susan","non-dropping-particle":"","parse-names":false,"suffix":""},{"dropping-particle":"","family":"Leggo","given":"Jayne","non-dropping-particle":"","parse-names":false,"suffix":""},{"dropping-particle":"","family":"Lillicrap","given":"David","non-dropping-particle":"","parse-names":false,"suffix":""}],"container-title":"Blood","id":"ITEM-1","issue":"9","issued":{"date-parts":[["2005","11"]]},"page":"3043-3048","publisher":"Blood","title":"Aminoglycoside suppression of nonsense mutations in severe hemophilia","type":"article-journal","volume":"106"},"uris":["http://www.mendeley.com/documents/?uuid=9219120c-483f-3757-8d9c-afc62144314a"]}],"mendeley":{"formattedCitation":"[132]","plainTextFormattedCitation":"[132]","previouslyFormattedCitation":"[132]"},"properties":{"noteIndex":0},"schema":"https://github.com/citation-style-language/schema/raw/master/csl-citation.json"}</w:instrText>
      </w:r>
      <w:r w:rsidRPr="005A1AC5">
        <w:fldChar w:fldCharType="separate"/>
      </w:r>
      <w:r w:rsidR="003D7446" w:rsidRPr="003D7446">
        <w:rPr>
          <w:noProof/>
        </w:rPr>
        <w:t>[132]</w:t>
      </w:r>
      <w:r w:rsidRPr="005A1AC5">
        <w:fldChar w:fldCharType="end"/>
      </w:r>
      <w:r w:rsidRPr="005A1AC5">
        <w:t xml:space="preserve"> and </w:t>
      </w:r>
      <w:r w:rsidRPr="005A1AC5">
        <w:lastRenderedPageBreak/>
        <w:t xml:space="preserve">Hailey-Hailey disease </w:t>
      </w:r>
      <w:r w:rsidRPr="005A1AC5">
        <w:fldChar w:fldCharType="begin" w:fldLock="1"/>
      </w:r>
      <w:r w:rsidR="00EE0616">
        <w:instrText>ADDIN CSL_CITATION {"citationItems":[{"id":"ITEM-1","itemData":{"DOI":"10.1038/SJ.JID.5700031","ISSN":"0022-202X","PMID":"16417242","author":[{"dropping-particle":"","family":"Kellermayer","given":"Richard","non-dropping-particle":"","parse-names":false,"suffix":""},{"dropping-particle":"","family":"Szigeti","given":"Réka","non-dropping-particle":"","parse-names":false,"suffix":""},{"dropping-particle":"","family":"Keeling","given":"Kim M.","non-dropping-particle":"","parse-names":false,"suffix":""},{"dropping-particle":"","family":"Bedekovics","given":"Tibor","non-dropping-particle":"","parse-names":false,"suffix":""},{"dropping-particle":"","family":"Bedwell","given":"David M.","non-dropping-particle":"","parse-names":false,"suffix":""}],"container-title":"The Journal of investigative dermatology","id":"ITEM-1","issue":"1","issued":{"date-parts":[["2006","1"]]},"page":"229-231","publisher":"J Invest Dermatol","title":"Aminoglycosides as potential pharmacogenetic agents in the treatment of Hailey-Hailey disease","type":"article-journal","volume":"126"},"uris":["http://www.mendeley.com/documents/?uuid=edfe1ed4-ae88-3db8-949a-4e817051a156"]}],"mendeley":{"formattedCitation":"[136]","plainTextFormattedCitation":"[136]","previouslyFormattedCitation":"[136]"},"properties":{"noteIndex":0},"schema":"https://github.com/citation-style-language/schema/raw/master/csl-citation.json"}</w:instrText>
      </w:r>
      <w:r w:rsidRPr="005A1AC5">
        <w:fldChar w:fldCharType="separate"/>
      </w:r>
      <w:r w:rsidR="003D7446" w:rsidRPr="003D7446">
        <w:rPr>
          <w:noProof/>
        </w:rPr>
        <w:t>[136]</w:t>
      </w:r>
      <w:r w:rsidRPr="005A1AC5">
        <w:fldChar w:fldCharType="end"/>
      </w:r>
      <w:r w:rsidRPr="005A1AC5">
        <w:t xml:space="preserve"> showing varying effects including the partial restoration of full-length, functional protein. Moreover, a </w:t>
      </w:r>
      <w:proofErr w:type="spellStart"/>
      <w:r w:rsidRPr="005A1AC5">
        <w:t>nonaminoglycoside</w:t>
      </w:r>
      <w:proofErr w:type="spellEnd"/>
      <w:r w:rsidRPr="005A1AC5">
        <w:t xml:space="preserve"> known as ataluren (previously PTC124) was the first stop-codon readthrough therapy to gain global approval in 2014 for treatment of nonsense mutation Duchenne muscular dystrophy </w:t>
      </w:r>
      <w:r w:rsidRPr="005A1AC5">
        <w:fldChar w:fldCharType="begin" w:fldLock="1"/>
      </w:r>
      <w:r w:rsidR="00EE0616">
        <w:instrText>ADDIN CSL_CITATION {"citationItems":[{"id":"ITEM-1","itemData":{"author":[{"dropping-particle":"","family":"Inc.","given":"PTC Therapeutics","non-dropping-particle":"","parse-names":false,"suffix":""}],"id":"ITEM-1","issued":{"date-parts":[["2014","8","4"]]},"title":"PTC Therapeutics Receives Conditional Approval in the European Union for Translarna&amp;#153; For the Treatment of Nonsense Mutation Duchenne Muscular Dystrophy | PTC Therapeutics, Inc.","type":"article-newspaper"},"uris":["http://www.mendeley.com/documents/?uuid=58150673-8534-332a-ac85-1015cbfaff84"]},{"id":"ITEM-2","itemData":{"DOI":"10.1016/S0140-6736(17)31611-2","ISSN":"0140-6736","PMID":"28728956","abstract":"Background Duchenne muscular dystrophy (DMD) is a severe, progressive, and rare neuromuscular, X-linked recessive disease. Dystrophin deficiency is the underlying cause of disease; therefore, mutation-specific therapies aimed at restoring dystrophin protein production are being explored. We aimed to assess the efficacy and safety of ataluren in ambulatory boys with nonsense mutation DMD. Methods We did this multicentre, randomised, double-blind, placebo-controlled, phase 3 trial at 54 sites in 18 countries located in North America, Europe, the Asia-Pacific region, and Latin America. Boys aged 7–16 years with nonsense mutation DMD and a baseline 6-minute walk distance (6MWD) of 150 m or more and 80% or less of the predicted normal value for age and height were randomly assigned (1:1), via permuted block randomisation (block size of four) using an interactive voice-response or web-response system, to receive ataluren orally three times daily (40 mg/kg per day) or matching placebo. Randomisation was stratified by age (&lt;9 years vs ≥9 years), duration of previous corticosteroid use (6 months to &lt;12 months vs ≥12 months), and baseline 6MWD (&lt;350 m vs ≥350 m). Patients, parents and caregivers, investigational site personnel, PTC Therapeutics employees, and all other study personnel were masked to group allocation until after database lock. The primary endpoint was change in 6MWD from baseline to week 48. We additionally did a prespecified subgroup analysis of the primary endpoint, based on baseline 6MWD, which is reflective of anticipated rates of disease progression over 1 year. The primary analysis was by intention to treat. This study is registered with ClinicalTrials.gov, number NCT01826487. Findings Between March 26, 2013, and Aug 26, 2014, we randomly assigned 230 patients to receive ataluren (n=115) or placebo (n=115); 228 patients comprised the intention-to-treat population. The least-squares mean change in 6MWD from baseline to week 48 was −47·7 m (SE 9·3) for ataluren-treated patients and −60·7 m (9·3) for placebo-treated patients (difference 13·0 m [SE 10·4], 95% CI −7·4 to 33·4; p=0·213). The least-squares mean change for ataluren versus placebo in the prespecified subgroups was −7·7 m (SE 24·1, 95% CI −54·9 to 39·5; p=0·749) in the group with a 6MWD of less than 300 m, 42·9 m (15·9, 11·8–74·0; p=0·007) in the group with a 6MWD of 300 m or more to less than 400 m, and −9·5 m (17·2, −43·2 to 24·2; p=0·580) in the group with a 6MWD of 400 m or more. …","author":[{"dropping-particle":"","family":"McDonald","given":"Craig M.","non-dropping-particle":"","parse-names":false,"suffix":""},{"dropping-particle":"","family":"Campbell","given":"Craig","non-dropping-particle":"","parse-names":false,"suffix":""},{"dropping-particle":"","family":"Torricelli","given":"Ricardo Erazo","non-dropping-particle":"","parse-names":false,"suffix":""},{"dropping-particle":"","family":"Finkel","given":"Richard S.","non-dropping-particle":"","parse-names":false,"suffix":""},{"dropping-particle":"","family":"Flanigan","given":"Kevin M.","non-dropping-particle":"","parse-names":false,"suffix":""},{"dropping-particle":"","family":"Goemans","given":"Nathalie","non-dropping-particle":"","parse-names":false,"suffix":""},{"dropping-particle":"","family":"Heydemann","given":"Peter","non-dropping-particle":"","parse-names":false,"suffix":""},{"dropping-particle":"","family":"Kaminska","given":"Anna","non-dropping-particle":"","parse-names":false,"suffix":""},{"dropping-particle":"","family":"Kirschner","given":"Janbernd","non-dropping-particle":"","parse-names":false,"suffix":""},{"dropping-particle":"","family":"Muntoni","given":"Francesco","non-dropping-particle":"","parse-names":false,"suffix":""},{"dropping-particle":"","family":"Osorio","given":"Andrés Nascimento","non-dropping-particle":"","parse-names":false,"suffix":""},{"dropping-particle":"","family":"Schara","given":"Ulrike","non-dropping-particle":"","parse-names":false,"suffix":""},{"dropping-particle":"","family":"Sejersen","given":"Thomas","non-dropping-particle":"","parse-names":false,"suffix":""},{"dropping-particle":"","family":"Shieh","given":"Perry B.","non-dropping-particle":"","parse-names":false,"suffix":""},{"dropping-particle":"","family":"Sweeney","given":"H. Lee","non-dropping-particle":"","parse-names":false,"suffix":""},{"dropping-particle":"","family":"Topaloglu","given":"Haluk","non-dropping-particle":"","parse-names":false,"suffix":""},{"dropping-particle":"","family":"Tulinius","given":"Már","non-dropping-particle":"","parse-names":false,"suffix":""},{"dropping-particle":"","family":"Vilchez","given":"Juan J.","non-dropping-particle":"","parse-names":false,"suffix":""},{"dropping-particle":"","family":"Voit","given":"Thomas","non-dropping-particle":"","parse-names":false,"suffix":""},{"dropping-particle":"","family":"Wong","given":"Brenda","non-dropping-particle":"","parse-names":false,"suffix":""},{"dropping-particle":"","family":"Elfring","given":"Gary","non-dropping-particle":"","parse-names":false,"suffix":""},{"dropping-particle":"","family":"Kroger","given":"Hans","non-dropping-particle":"","parse-names":false,"suffix":""},{"dropping-particle":"","family":"Luo","given":"Xiaohui","non-dropping-particle":"","parse-names":false,"suffix":""},{"dropping-particle":"","family":"McIntosh","given":"Joseph","non-dropping-particle":"","parse-names":false,"suffix":""},{"dropping-particle":"","family":"Ong","given":"Tuyen","non-dropping-particle":"","parse-names":false,"suffix":""},{"dropping-particle":"","family":"Riebling","given":"Peter","non-dropping-particle":"","parse-names":false,"suffix":""},{"dropping-particle":"","family":"Souza","given":"Marcio","non-dropping-particle":"","parse-names":false,"suffix":""},{"dropping-particle":"","family":"Spiegel","given":"Robert J.","non-dropping-particle":"","parse-names":false,"suffix":""},{"dropping-particle":"","family":"Peltz","given":"Stuart W.","non-dropping-particle":"","parse-names":false,"suffix":""},{"dropping-particle":"","family":"Mercuri","given":"Eugenio","non-dropping-particle":"","parse-names":false,"suffix":""},{"dropping-particle":"","family":"Alfano","given":"Lindsay N.","non-dropping-particle":"","parse-names":false,"suffix":""},{"dropping-particle":"","family":"Eagle","given":"Michelle","non-dropping-particle":"","parse-names":false,"suffix":""},{"dropping-particle":"","family":"James","given":"Meredith K.","non-dropping-particle":"","parse-names":false,"suffix":""},{"dropping-particle":"","family":"Lowes","given":"Linda","non-dropping-particle":"","parse-names":false,"suffix":""},{"dropping-particle":"","family":"Mayhew","given":"Anna","non-dropping-particle":"","parse-names":false,"suffix":""},{"dropping-particle":"","family":"Mazzone","given":"Elena S.","non-dropping-particle":"","parse-names":false,"suffix":""},{"dropping-particle":"","family":"Nelson","given":"Leslie","non-dropping-particle":"","parse-names":false,"suffix":""},{"dropping-particle":"","family":"Rose","given":"Kristy J.","non-dropping-particle":"","parse-names":false,"suffix":""},{"dropping-particle":"","family":"Abdel-Hamid","given":"Hoda Z.","non-dropping-particle":"","parse-names":false,"suffix":""},{"dropping-particle":"","family":"Apkon","given":"Susan D.","non-dropping-particle":"","parse-names":false,"suffix":""},{"dropping-particle":"","family":"Barohn","given":"Richard J.","non-dropping-particle":"","parse-names":false,"suffix":""},{"dropping-particle":"","family":"Bertini","given":"Enrico","non-dropping-particle":"","parse-names":false,"suffix":""},{"dropping-particle":"","family":"Bloetzer","given":"Clemens","non-dropping-particle":"","parse-names":false,"suffix":""},{"dropping-particle":"","family":"Vaud","given":"Lausanne Canton","non-dropping-particle":"de","parse-names":false,"suffix":""},{"dropping-particle":"","family":"Butterfield","given":"Russell J.","non-dropping-particle":"","parse-names":false,"suffix":""},{"dropping-particle":"","family":"Chabrol","given":"Brigitte","non-dropping-particle":"","parse-names":false,"suffix":""},{"dropping-particle":"","family":"Chae","given":"Jong Hee","non-dropping-particle":"","parse-names":false,"suffix":""},{"dropping-particle":"","family":"Jongno-gu","given":"Daehak ro","non-dropping-particle":"","parse-names":false,"suffix":""},{"dropping-particle":"Pietro","family":"Comi","given":"Giacomi","non-dropping-particle":"","parse-names":false,"suffix":""},{"dropping-particle":"","family":"Darras","given":"Basil T.","non-dropping-particle":"","parse-names":false,"suffix":""},{"dropping-particle":"","family":"Dastgir","given":"Jahannaz","non-dropping-particle":"","parse-names":false,"suffix":""},{"dropping-particle":"","family":"Desguerre","given":"Isabelle","non-dropping-particle":"","parse-names":false,"suffix":""},{"dropping-particle":"","family":"Escobar","given":"Raul G.","non-dropping-particle":"","parse-names":false,"suffix":""},{"dropping-particle":"","family":"Finanger","given":"Erika","non-dropping-particle":"","parse-names":false,"suffix":""},{"dropping-particle":"","family":"Guglieri","given":"Michela","non-dropping-particle":"","parse-names":false,"suffix":""},{"dropping-particle":"","family":"Hughes","given":"Imelda","non-dropping-particle":"","parse-names":false,"suffix":""},{"dropping-particle":"","family":"Iannaccone","given":"Susan T.","non-dropping-particle":"","parse-names":false,"suffix":""},{"dropping-particle":"","family":"Jones","given":"Kristi J.","non-dropping-particle":"","parse-names":false,"suffix":""},{"dropping-particle":"","family":"Karachunski","given":"Peter","non-dropping-particle":"","parse-names":false,"suffix":""},{"dropping-particle":"","family":"Kudr","given":"Martin","non-dropping-particle":"","parse-names":false,"suffix":""},{"dropping-particle":"","family":"Lotze","given":"Timothy","non-dropping-particle":"","parse-names":false,"suffix":""},{"dropping-particle":"","family":"Mah","given":"Jean K.","non-dropping-particle":"","parse-names":false,"suffix":""},{"dropping-particle":"","family":"Mathews","given":"Katherine","non-dropping-particle":"","parse-names":false,"suffix":""},{"dropping-particle":"","family":"Nevo","given":"Yoram","non-dropping-particle":"","parse-names":false,"suffix":""},{"dropping-particle":"","family":"Parsons","given":"Julie","non-dropping-particle":"","parse-names":false,"suffix":""},{"dropping-particle":"","family":"Péréon","given":"Yann","non-dropping-particle":"","parse-names":false,"suffix":""},{"dropping-particle":"","family":"Queiroz Campos Araujo","given":"Alexandra Prufer","non-dropping-particle":"de","parse-names":false,"suffix":""},{"dropping-particle":"Ben","family":"Renfroe","given":"J.","non-dropping-particle":"","parse-names":false,"suffix":""},{"dropping-particle":"","family":"Resende","given":"Maria Bernadete Dutra","non-dropping-particle":"de","parse-names":false,"suffix":""},{"dropping-particle":"","family":"Ryan","given":"Monique","non-dropping-particle":"","parse-names":false,"suffix":""},{"dropping-particle":"","family":"Selby","given":"Kathryn","non-dropping-particle":"","parse-names":false,"suffix":""},{"dropping-particle":"","family":"Tennekoon","given":"Gihan","non-dropping-particle":"","parse-names":false,"suffix":""},{"dropping-particle":"","family":"Vita","given":"Giuseppe","non-dropping-particle":"","parse-names":false,"suffix":""}],"container-title":"The Lancet","id":"ITEM-2","issue":"10101","issued":{"date-parts":[["2017","9","23"]]},"page":"1489-1498","publisher":"Elsevier","title":"Ataluren in patients with nonsense mutation Duchenne muscular dystrophy (ACT DMD): a multicentre, randomised, double-blind, placebo-controlled, phase 3 trial","type":"article-journal","volume":"390"},"uris":["http://www.mendeley.com/documents/?uuid=5023614f-9dd8-3c3e-ad86-eac6b9e55fb2"]}],"mendeley":{"formattedCitation":"[137,138]","plainTextFormattedCitation":"[137,138]","previouslyFormattedCitation":"[137,138]"},"properties":{"noteIndex":0},"schema":"https://github.com/citation-style-language/schema/raw/master/csl-citation.json"}</w:instrText>
      </w:r>
      <w:r w:rsidRPr="005A1AC5">
        <w:fldChar w:fldCharType="separate"/>
      </w:r>
      <w:r w:rsidR="003D7446" w:rsidRPr="003D7446">
        <w:rPr>
          <w:noProof/>
        </w:rPr>
        <w:t>[137,138]</w:t>
      </w:r>
      <w:r w:rsidRPr="005A1AC5">
        <w:fldChar w:fldCharType="end"/>
      </w:r>
      <w:r w:rsidRPr="005A1AC5">
        <w:t>. Stop-codon readthrough may also be applicable for other NE proteins whereby a significant proportion of causative mutations are nonsense.</w:t>
      </w:r>
    </w:p>
    <w:p w14:paraId="02268FDE" w14:textId="1571A65B" w:rsidR="00AA2AD5" w:rsidRPr="006F18D9" w:rsidRDefault="00AA2AD5" w:rsidP="003D14B8">
      <w:pPr>
        <w:pStyle w:val="MDPI31text"/>
      </w:pPr>
      <w:r>
        <w:t xml:space="preserve">In this study, </w:t>
      </w:r>
      <w:r w:rsidR="00A97DC5">
        <w:t xml:space="preserve">we focused on examining how the individual proteins associated with the LINC complex contribute to human disease, but the LINC complex </w:t>
      </w:r>
      <w:proofErr w:type="gramStart"/>
      <w:r w:rsidR="00A97DC5">
        <w:t>as a whole may</w:t>
      </w:r>
      <w:proofErr w:type="gramEnd"/>
      <w:r w:rsidR="00A97DC5">
        <w:t xml:space="preserve"> also be involved in disease pathophysiology. </w:t>
      </w:r>
      <w:r w:rsidR="0095732C">
        <w:t xml:space="preserve">The LINC complex is involved in rearward nuclear movement and contributes to centrosome orientation. This is facilitated by SUN2 and nesprin-2 assembling into transmembrane-associated nuclear (TAN) lines that link actin cables to the nucleus at the INM through anchorage by </w:t>
      </w:r>
      <w:proofErr w:type="spellStart"/>
      <w:r w:rsidR="0095732C">
        <w:t>emerin</w:t>
      </w:r>
      <w:proofErr w:type="spellEnd"/>
      <w:r w:rsidR="0095732C">
        <w:t xml:space="preserve"> and A-type </w:t>
      </w:r>
      <w:proofErr w:type="spellStart"/>
      <w:r w:rsidR="0095732C">
        <w:t>lamins</w:t>
      </w:r>
      <w:proofErr w:type="spellEnd"/>
      <w:r w:rsidR="00FF626E">
        <w:t xml:space="preserve"> </w:t>
      </w:r>
      <w:r w:rsidR="00FF626E" w:rsidRPr="00FF626E">
        <w:rPr>
          <w:lang w:val="en-GB"/>
        </w:rPr>
        <w:fldChar w:fldCharType="begin" w:fldLock="1"/>
      </w:r>
      <w:r w:rsidR="00254875">
        <w:rPr>
          <w:lang w:val="en-GB"/>
        </w:rPr>
        <w:instrText>ADDIN CSL_CITATION {"citationItems":[{"id":"ITEM-1","itemData":{"DOI":"10.1073/PNAS.1000824108/SUPPL_FILE/PNAS.201000824SI.PDF","ISSN":"00278424","PMID":"21173262","abstract":"Mutations in LMNA, which encodes A-type lamins, result in disparate diseases, known collectively as laminopathies, that affect distinct tissues, including striated muscle and adipose tissue. Lamins provide structural support for the nucleus and sites of attachment for chromatin, and defects in these functions may contribute to disease pathogenesis. Recent studies suggest that A-type lamins may facilitate connections between the nucleus and the cytoskeleton mediated by nuclear envelope nesprin and SUN proteins. In mammalian cells, however, interfering with A-type lamins does not affect the localization of these proteins. Here, we used centrosome orientation in fibroblasts, which requires separate nuclear and centrosome positioning pathways, as a model system to understand how LMNA mutations affect nucleus-cytoskeletal connections. We find that LMNA mutations causing striated muscle diseases block actin-dependent nuclear movement, whereas most that affect adipose tissue inhibit microtubule-dependent centrosome positioning. Genetic deletion or transient depletion of A-type lamins also blocked nuclear movement, showing that mutations affecting muscle exhibit the null phenotype. Lack of A-type lamins, or expression of variants that cause striated muscle disease, did not affect assembly of nesprin-2G and SUN2 into transmembrane actin-associated nuclear (TAN) lines that attach the nucleus to retrogradely moving actin cables. Nesprin-2G TAN lines were less stable, however, and slipped over the nucleus rather than moving with it, indicating that they were not anchored. Nesprin-2G TAN lines also slipped in SUN2-depleted cells. Our results establish A-type lamins as anchors for nesprin-2G-SUN2 TAN lines to allow productive movement and proper positioning of the nucleus by actin.","author":[{"dropping-particle":"","family":"Folker","given":"Eric S.","non-dropping-particle":"","parse-names":false,"suffix":""},{"dropping-particle":"","family":"Östlund","given":"Cecilia","non-dropping-particle":"","parse-names":false,"suffix":""},{"dropping-particle":"","family":"Luxton","given":"G. W.Gant","non-dropping-particle":"","parse-names":false,"suffix":""},{"dropping-particle":"","family":"Worman","given":"Howard J.","non-dropping-particle":"","parse-names":false,"suffix":""},{"dropping-particle":"","family":"Gundersen","given":"Gregg G.","non-dropping-particle":"","parse-names":false,"suffix":""}],"container-title":"Proceedings of the National Academy of Sciences of the United States of America","id":"ITEM-1","issue":"1","issued":{"date-parts":[["2011","1","4"]]},"page":"131-136","publisher":"National Academy of Sciences","title":"Lamin A variants that cause striated muscle disease are defective in anchoring transmembrane actin-associated nuclear lines for nuclear movement","type":"article-journal","volume":"108"},"uris":["http://www.mendeley.com/documents/?uuid=05fd9329-2358-3125-8d94-c92553ae69fd"]}],"mendeley":{"formattedCitation":"[139]","plainTextFormattedCitation":"[139]","previouslyFormattedCitation":"[139]"},"properties":{"noteIndex":0},"schema":"https://github.com/citation-style-language/schema/raw/master/csl-citation.json"}</w:instrText>
      </w:r>
      <w:r w:rsidR="00FF626E" w:rsidRPr="00FF626E">
        <w:rPr>
          <w:lang w:val="en-GB"/>
        </w:rPr>
        <w:fldChar w:fldCharType="separate"/>
      </w:r>
      <w:r w:rsidR="00FF626E" w:rsidRPr="00FF626E">
        <w:rPr>
          <w:noProof/>
          <w:lang w:val="en-GB"/>
        </w:rPr>
        <w:t>[139]</w:t>
      </w:r>
      <w:r w:rsidR="00FF626E" w:rsidRPr="00FF626E">
        <w:fldChar w:fldCharType="end"/>
      </w:r>
      <w:r w:rsidR="0095732C">
        <w:t xml:space="preserve">.  </w:t>
      </w:r>
      <w:r w:rsidR="00FF626E">
        <w:t xml:space="preserve">Depletion of SUN2, nesprin-2, or </w:t>
      </w:r>
      <w:proofErr w:type="spellStart"/>
      <w:r w:rsidR="00FF626E">
        <w:t>lamin</w:t>
      </w:r>
      <w:proofErr w:type="spellEnd"/>
      <w:r w:rsidR="00FF626E">
        <w:t xml:space="preserve"> A/C in C2C12 cells hindered nuclear movement, and in particular, reduction of nesprin-2 also interfered with cell migration and myoblast fusion into myotubes </w:t>
      </w:r>
      <w:r w:rsidR="00FF626E" w:rsidRPr="00FF626E">
        <w:rPr>
          <w:lang w:val="en-GB"/>
        </w:rPr>
        <w:fldChar w:fldCharType="begin" w:fldLock="1"/>
      </w:r>
      <w:r w:rsidR="003010C8">
        <w:rPr>
          <w:lang w:val="en-GB"/>
        </w:rPr>
        <w:instrText>ADDIN CSL_CITATION {"citationItems":[{"id":"ITEM-1","itemData":{"DOI":"10.1080/19491034.2015.1004947","ISSN":"1949-1042","abstract":"Myoblast migration is essential for muscle development and repair; however, the factors that contribute to the polarity of migrating myoblasts are relatively unknown. We find that randomly migrating C2C12 myoblasts orient their centrosomes in the direction of migration. Using wounded monolayers, we further show that centrosome orientation is stimulated by the serum factor lysophosphatidic acid (LPA) and involves the rearward movement of the nucleus while the centrosome is maintained at the cell centroid. The rate of nuclear movement correlated with that of actin retrograde flow and both cytochalasin D and blebbistatin prevented nuclear movement and centrosome orientation. Actin-dependent rearward nuclear movement in fibroblasts is mediated by assembly of nuclear membrane nesprin-2G and SUN2 LINC complexes into transmembrane actin-associated nuclear (TAN) lines anchored by A-type lamins and emerin. In C2C12 myoblasts, depletion of nesprin-2G, SUN2 or lamin A/C prevented nuclear movement and endogenous nesprin-2G and a chimeric GFP-mini-nesprin-2G formed TAN lines during nuclear movement. Depleting nesprin-2G strongly interfered with directed cell migration and reduced the efficiency of myoblast fusion into multinucleated myotubes. Our results show that nuclear movement contributes to centrosome orientation and polarity for efficient migration and fusion of myoblasts. Given that mutations in the genes encoding A-type lamins, nesprin-2 and SUN2 cause Emery-Dreifuss muscular dystrophy and related myopathies, our results have implications for understanding the mechanism of disease pathogenesis.","author":[{"dropping-particle":"","family":"Chang","given":"Wakam","non-dropping-particle":"","parse-names":false,"suffix":""},{"dropping-particle":"","family":"Antoku","given":"Susumu","non-dropping-particle":"","parse-names":false,"suffix":""},{"dropping-particle":"","family":"Östlund","given":"Cecilia","non-dropping-particle":"","parse-names":false,"suffix":""},{"dropping-particle":"","family":"Worman","given":"Howard J","non-dropping-particle":"","parse-names":false,"suffix":""},{"dropping-particle":"","family":"Gundersen","given":"Gregg G","non-dropping-particle":"","parse-names":false,"suffix":""}],"container-title":"Nucleus","id":"ITEM-1","issue":"1","issued":{"date-parts":[["2015"]]},"page":"77-88","title":"Linker of nucleoskeleton and cytoskeleton (LINC) complex-mediated actin-dependent nuclear positioning orients centrosomes in migrating myoblasts.","type":"article-journal","volume":"6"},"uris":["http://www.mendeley.com/documents/?uuid=2913c2f1-e9d2-4cab-be27-8ba076b6d143"]}],"mendeley":{"formattedCitation":"[140]","plainTextFormattedCitation":"[140]","previouslyFormattedCitation":"[140]"},"properties":{"noteIndex":0},"schema":"https://github.com/citation-style-language/schema/raw/master/csl-citation.json"}</w:instrText>
      </w:r>
      <w:r w:rsidR="00FF626E" w:rsidRPr="00FF626E">
        <w:rPr>
          <w:lang w:val="en-GB"/>
        </w:rPr>
        <w:fldChar w:fldCharType="separate"/>
      </w:r>
      <w:r w:rsidR="00FF626E" w:rsidRPr="00FF626E">
        <w:rPr>
          <w:noProof/>
          <w:lang w:val="en-GB"/>
        </w:rPr>
        <w:t>[140]</w:t>
      </w:r>
      <w:r w:rsidR="00FF626E" w:rsidRPr="00FF626E">
        <w:fldChar w:fldCharType="end"/>
      </w:r>
      <w:r w:rsidR="00FF626E">
        <w:t xml:space="preserve">. This suggests that the LINC complex is important for proper myogenic differentiation. The LINC complex is also involved in </w:t>
      </w:r>
      <w:proofErr w:type="spellStart"/>
      <w:r w:rsidR="00FF626E">
        <w:t>mechanotransduction</w:t>
      </w:r>
      <w:proofErr w:type="spellEnd"/>
      <w:r w:rsidR="00FF626E">
        <w:t>, the process by which mechanical stimuli is translated into biochemical signals, allowing cells to adjust their structure and function to the physical environment around them</w:t>
      </w:r>
      <w:r w:rsidR="00254875">
        <w:t>, by allowing force transmission across the NE</w:t>
      </w:r>
      <w:r w:rsidR="00843E38">
        <w:t xml:space="preserve"> </w:t>
      </w:r>
      <w:r w:rsidR="00843E38">
        <w:fldChar w:fldCharType="begin" w:fldLock="1"/>
      </w:r>
      <w:r w:rsidR="00843E38">
        <w:instrText>ADDIN CSL_CITATION {"citationItems":[{"id":"ITEM-1","itemData":{"DOI":"10.1038/s41556-018-0038-y","ISSN":"1476-4679","PMID":"29467443","abstract":"The ability of cells to respond to mechanical forces is critical for numerous biological processes. Emerging evidence indicates that external mechanical forces trigger changes in nuclear envelope structure and composition, chromatin organization and gene expression. However, it remains unclear if these processes originate in the nucleus or are downstream of cytoplasmic signals. Here we discuss recent findings that support a direct role of the nucleus in cellular mechanosensing and highlight novel tools to study nuclear mechanotransduction. Mechanical forces influence both cytoplasmic and nuclear events. Kirby and Lammerding discuss recent evidence suggesting that the nucleus itself is a mechanosensor and methods to study nuclear mechanotransduction.","author":[{"dropping-particle":"","family":"Kirby","given":"Tyler J.","non-dropping-particle":"","parse-names":false,"suffix":""},{"dropping-particle":"","family":"Lammerding","given":"Jan","non-dropping-particle":"","parse-names":false,"suffix":""}],"container-title":"Nature Cell Biology","id":"ITEM-1","issue":"4","issued":{"date-parts":[["2018","2","21"]]},"page":"373-381","publisher":"Nature Publishing Group","title":"Emerging views of the nucleus as a cellular mechanosensor","type":"article-journal","volume":"20"},"uris":["http://www.mendeley.com/documents/?uuid=1ca6eeaa-7164-3927-b329-32cad732b949"]},{"id":"ITEM-2","itemData":{"DOI":"doi.org/10.1074/jbc.M111.233700","ISSN":"1083-351X","abstract":"Maintaining physical connections between the nucleus and the cytoskeleton is important for many cellular processes that require coordinated movement and positioning of the nucleus. Nucleo-cytoskeletal coupling is also necessary to transmit extracellular mechanical stimuli across the cytoskeleton to the nucleus, where they may initiate mechanotransduction events. The LINC (Linker of Nucleoskeleton and Cytoskeleton) complex, formed by the interaction of nesprins and SUN proteins at the nuclear envelope, can bind to nuclear and cytoskeletal elements; however, its functional importance in transmitting intracellular forces has never been directly tested. This question is particularly relevant since recent findings have linked nesprin mutations to muscular dystrophy and dilated cardiomyopathy. Using biophysical assays to assess intracellular force transmission and associated cellular functions, we identified the LINC complex as a critical component for nucleo-cytoskeletal force transmission. Disruption of the LINC complex caused impaired propagation of intracellular forces and disturbed organization of the perinuclear actin and intermediate filament networks. Although mechanically induced activation of mechanosensitive genes was normal (suggesting that nuclear deformation is not required for mechanotransduction signaling) cells exhibited other severe functional defects after LINC complex disruption; nuclear positioning and cell polarization were impaired in migrating cells and in cells plated on micropatterned substrates, and cell migration speed and persistence time were significantly reduced. Taken together, our findings suggest that the LINC complex is critical for nucleo-cytoskeletal force transmission and that LINC complex disruption can result in defects in cellular structure and function that may contribute to the development of muscular dystrophies and cardiomyopathies.","author":[{"dropping-particle":"","family":"Lombardi","given":"Maria L","non-dropping-particle":"","parse-names":false,"suffix":""},{"dropping-particle":"","family":"Jaalouk","given":"Diana E","non-dropping-particle":"","parse-names":false,"suffix":""},{"dropping-particle":"","family":"Shanahan","given":"Catherine M","non-dropping-particle":"","parse-names":false,"suffix":""},{"dropping-particle":"","family":"Burke","given":"Brian","non-dropping-particle":"","parse-names":false,"suffix":""},{"dropping-particle":"","family":"Roux","given":"Kyle J","non-dropping-particle":"","parse-names":false,"suffix":""},{"dropping-particle":"","family":"Lammerding","given":"Jan","non-dropping-particle":"","parse-names":false,"suffix":""}],"container-title":"The Journal of biological chemistry","id":"ITEM-2","issue":"30","issued":{"date-parts":[["2011"]]},"page":"26743-26753","title":"The interaction between nesprins and sun proteins at the nuclear envelope is critical for force transmission between the nucleus and cytoskeleton.","type":"article-journal","volume":"286"},"uris":["http://www.mendeley.com/documents/?uuid=9e55e4fc-f921-4dd4-8d6c-4b8534215b09"]}],"mendeley":{"formattedCitation":"[141,142]","plainTextFormattedCitation":"[141,142]","previouslyFormattedCitation":"[141]"},"properties":{"noteIndex":0},"schema":"https://github.com/citation-style-language/schema/raw/master/csl-citation.json"}</w:instrText>
      </w:r>
      <w:r w:rsidR="00843E38">
        <w:fldChar w:fldCharType="separate"/>
      </w:r>
      <w:r w:rsidR="00843E38" w:rsidRPr="00843E38">
        <w:rPr>
          <w:noProof/>
        </w:rPr>
        <w:t>[141,142]</w:t>
      </w:r>
      <w:r w:rsidR="00843E38">
        <w:fldChar w:fldCharType="end"/>
      </w:r>
      <w:r w:rsidR="00FF626E">
        <w:t xml:space="preserve">. </w:t>
      </w:r>
      <w:r w:rsidR="00254875">
        <w:t xml:space="preserve">When exploring nuclear </w:t>
      </w:r>
      <w:proofErr w:type="spellStart"/>
      <w:r w:rsidR="00254875">
        <w:t>lamin</w:t>
      </w:r>
      <w:proofErr w:type="spellEnd"/>
      <w:r w:rsidR="00254875">
        <w:t xml:space="preserve"> expression in response to external stimuli, it was found that the expression of </w:t>
      </w:r>
      <w:proofErr w:type="spellStart"/>
      <w:r w:rsidR="00254875">
        <w:t>lamin</w:t>
      </w:r>
      <w:proofErr w:type="spellEnd"/>
      <w:r w:rsidR="00254875">
        <w:t xml:space="preserve"> A/C, relative to B-type </w:t>
      </w:r>
      <w:proofErr w:type="spellStart"/>
      <w:r w:rsidR="00254875">
        <w:t>lamins</w:t>
      </w:r>
      <w:proofErr w:type="spellEnd"/>
      <w:r w:rsidR="00254875">
        <w:t xml:space="preserve">, have been found to scale with substrate stiffness both </w:t>
      </w:r>
      <w:r w:rsidR="00254875">
        <w:rPr>
          <w:i/>
          <w:iCs/>
        </w:rPr>
        <w:t xml:space="preserve">in-vivo </w:t>
      </w:r>
      <w:r w:rsidR="00254875">
        <w:t xml:space="preserve">and </w:t>
      </w:r>
      <w:r w:rsidR="00254875">
        <w:rPr>
          <w:i/>
          <w:iCs/>
        </w:rPr>
        <w:t xml:space="preserve">in-vitro </w:t>
      </w:r>
      <w:r w:rsidR="00254875">
        <w:rPr>
          <w:i/>
          <w:iCs/>
        </w:rPr>
        <w:fldChar w:fldCharType="begin" w:fldLock="1"/>
      </w:r>
      <w:r w:rsidR="00843E38">
        <w:rPr>
          <w:i/>
          <w:iCs/>
        </w:rPr>
        <w:instrText>ADDIN CSL_CITATION {"citationItems":[{"id":"ITEM-1","itemData":{"DOI":"10.1126/science.1240104","ISSN":"10959203","PMID":"23990565","abstract":"Tissues can be soft like fat, which bears little stress, or stiff like bone, which sustains high stress, but whether there is a systematic relationship between tissue mechanics and differentiation is unknown. Here, proteomics analyses revealed that levels of the nucleoskeletal protein lamin-A scaled with tissue elasticity, E, as did levels of collagens in the extracellular matrix that determine E. Stem cell differentiation into fat on soft matrix was enhanced by low lamin-A levels, whereas differentiation into bone on stiff matrix was enhanced by high lamin-A levels. Matrix stiffness directly influenced lamin-A protein levels, and, although lamin-A transcription was regulated by the vitamin A/retinoic acid (RA) pathway with broad roles in development, nuclear entry of RA receptors was modulated by lamin-A protein. Tissue stiffness and stress thus increase lamin-A levels, which stabilize the nucleus while also contributing to lineage determination.","author":[{"dropping-particle":"","family":"Swift","given":"Joe","non-dropping-particle":"","parse-names":false,"suffix":""},{"dropping-particle":"","family":"Ivanovska","given":"Irena L.","non-dropping-particle":"","parse-names":false,"suffix":""},{"dropping-particle":"","family":"Buxboim","given":"Amnon","non-dropping-particle":"","parse-names":false,"suffix":""},{"dropping-particle":"","family":"Harada","given":"Takamasa","non-dropping-particle":"","parse-names":false,"suffix":""},{"dropping-particle":"","family":"Dingal","given":"P. C.Dave P.","non-dropping-particle":"","parse-names":false,"suffix":""},{"dropping-particle":"","family":"Pinter","given":"Joel","non-dropping-particle":"","parse-names":false,"suffix":""},{"dropping-particle":"","family":"Pajerowski","given":"J. David","non-dropping-particle":"","parse-names":false,"suffix":""},{"dropping-particle":"","family":"Spinler","given":"Kyle R.","non-dropping-particle":"","parse-names":false,"suffix":""},{"dropping-particle":"","family":"Shin","given":"Jae Won","non-dropping-particle":"","parse-names":false,"suffix":""},{"dropping-particle":"","family":"Tewari","given":"Manorama","non-dropping-particle":"","parse-names":false,"suffix":""},{"dropping-particle":"","family":"Rehfeldt","given":"Florian","non-dropping-particle":"","parse-names":false,"suffix":""},{"dropping-particle":"","family":"Speicher","given":"David W.","non-dropping-particle":"","parse-names":false,"suffix":""},{"dropping-particle":"","family":"Discher","given":"Dennis E.","non-dropping-particle":"","parse-names":false,"suffix":""}],"container-title":"Science","id":"ITEM-1","issue":"6149","issued":{"date-parts":[["2013","8","30"]]},"publisher":"American Association for the Advancement of Science","title":"Nuclear lamin-A scales with tissue stiffness and enhances matrix-directed differentiation","type":"article-journal","volume":"341"},"uris":["http://www.mendeley.com/documents/?uuid=022f64c5-b0fb-3d87-98ac-09d70f6494de"]}],"mendeley":{"formattedCitation":"[143]","plainTextFormattedCitation":"[143]","previouslyFormattedCitation":"[142]"},"properties":{"noteIndex":0},"schema":"https://github.com/citation-style-language/schema/raw/master/csl-citation.json"}</w:instrText>
      </w:r>
      <w:r w:rsidR="00254875">
        <w:rPr>
          <w:i/>
          <w:iCs/>
        </w:rPr>
        <w:fldChar w:fldCharType="separate"/>
      </w:r>
      <w:r w:rsidR="00843E38" w:rsidRPr="00843E38">
        <w:rPr>
          <w:iCs/>
          <w:noProof/>
        </w:rPr>
        <w:t>[143]</w:t>
      </w:r>
      <w:r w:rsidR="00254875">
        <w:rPr>
          <w:i/>
          <w:iCs/>
        </w:rPr>
        <w:fldChar w:fldCharType="end"/>
      </w:r>
      <w:r w:rsidR="00254875">
        <w:t xml:space="preserve">. </w:t>
      </w:r>
      <w:r w:rsidR="00B32CDA">
        <w:t>Furthermore, i</w:t>
      </w:r>
      <w:r w:rsidR="007154EF">
        <w:t xml:space="preserve">nterference of the LINC complex is known to impair intracellular force transmission from the cytoskeleton to the nucleus </w:t>
      </w:r>
      <w:r w:rsidR="007154EF">
        <w:fldChar w:fldCharType="begin" w:fldLock="1"/>
      </w:r>
      <w:r w:rsidR="00843E38">
        <w:instrText>ADDIN CSL_CITATION {"citationItems":[{"id":"ITEM-1","itemData":{"DOI":"10.1016/J.BIOCEL.2010.07.001","ISSN":"1878-5875","PMID":"20621196","abstract":"Mechanical stress controls a broad range of cellular functions. The cytoskeleton is physically connected to the extracellular matrix via integrin receptors, and to the nuclear lamina by the LINC complex that spans both nuclear membranes. We asked here how disruption of this direct link from the cytoskeleton to nuclear chromatin affects mechanotransduction. Fibroblasts grown on flexible silicone membranes reacted to cyclic stretch by nuclear rotation. This rotation was abolished by inhibition of actomyosin contraction as well as by overexpression of dominant-negative versions of nesprin or sun proteins that form the LINC complex. In an in vitro model of muscle differentiation, cyclic strain inhibits differentiation and induces proliferation of C2C12 myoblasts. Interference with the LINC complex in these cells abrogated their stretch-induced proliferation, while stretch increased p38 MAPK and NFkB phosphorylation and the transcript levels of myogenic transcription factors MyoD and myogenin. We found that the physical link from the cytoskeleton to the nuclear lamina is crucial for correct mechanotransduction, and that disruption of the LINC complex perturbs the mechanical control of cell differentiation. © 2010 Elsevier Ltd.","author":[{"dropping-particle":"","family":"Brosig","given":"Michaela","non-dropping-particle":"","parse-names":false,"suffix":""},{"dropping-particle":"","family":"Ferralli","given":"Jacqueline","non-dropping-particle":"","parse-names":false,"suffix":""},{"dropping-particle":"","family":"Gelman","given":"Laurent","non-dropping-particle":"","parse-names":false,"suffix":""},{"dropping-particle":"","family":"Chiquet","given":"Matthias","non-dropping-particle":"","parse-names":false,"suffix":""},{"dropping-particle":"","family":"Chiquet-Ehrismann","given":"Ruth","non-dropping-particle":"","parse-names":false,"suffix":""}],"container-title":"The international journal of biochemistry &amp; cell biology","id":"ITEM-1","issue":"10","issued":{"date-parts":[["2010","10"]]},"page":"1717-1728","publisher":"Int J Biochem Cell Biol","title":"Interfering with the connection between the nucleus and the cytoskeleton affects nuclear rotation, mechanotransduction and myogenesis","type":"article-journal","volume":"42"},"uris":["http://www.mendeley.com/documents/?uuid=706ff189-1ea9-38ea-b632-c5f0a24d0e9a"]}],"mendeley":{"formattedCitation":"[144]","plainTextFormattedCitation":"[144]","previouslyFormattedCitation":"[143]"},"properties":{"noteIndex":0},"schema":"https://github.com/citation-style-language/schema/raw/master/csl-citation.json"}</w:instrText>
      </w:r>
      <w:r w:rsidR="007154EF">
        <w:fldChar w:fldCharType="separate"/>
      </w:r>
      <w:r w:rsidR="00843E38" w:rsidRPr="00843E38">
        <w:rPr>
          <w:noProof/>
        </w:rPr>
        <w:t>[144]</w:t>
      </w:r>
      <w:r w:rsidR="007154EF">
        <w:fldChar w:fldCharType="end"/>
      </w:r>
      <w:r w:rsidR="007154EF">
        <w:t xml:space="preserve">. </w:t>
      </w:r>
      <w:r w:rsidR="00DE25E8">
        <w:t>When taken together, these findings imply that</w:t>
      </w:r>
      <w:r w:rsidR="007154EF">
        <w:t xml:space="preserve"> mutations in</w:t>
      </w:r>
      <w:r w:rsidR="00B32CDA">
        <w:t xml:space="preserve"> any of the</w:t>
      </w:r>
      <w:r w:rsidR="007154EF">
        <w:t xml:space="preserve"> LINC complex proteins </w:t>
      </w:r>
      <w:r w:rsidR="00B32CDA">
        <w:t>may also</w:t>
      </w:r>
      <w:r w:rsidR="007154EF">
        <w:t xml:space="preserve"> disrupt the LINC complex</w:t>
      </w:r>
      <w:r w:rsidR="00B32CDA">
        <w:t xml:space="preserve"> and its associated functions</w:t>
      </w:r>
      <w:r w:rsidR="007154EF">
        <w:t>, which could be related to disease development.</w:t>
      </w:r>
      <w:r w:rsidR="00B32CDA">
        <w:t xml:space="preserve"> </w:t>
      </w:r>
      <w:r w:rsidR="00DA3C03">
        <w:t xml:space="preserve">From </w:t>
      </w:r>
      <w:r w:rsidR="00DA3C03">
        <w:rPr>
          <w:i/>
          <w:iCs/>
        </w:rPr>
        <w:t xml:space="preserve">in-vitro </w:t>
      </w:r>
      <w:r w:rsidR="00DA3C03">
        <w:t>studies of cells derived from patients, w</w:t>
      </w:r>
      <w:r w:rsidR="009A44F6">
        <w:t>e also know that</w:t>
      </w:r>
      <w:r w:rsidR="00DA3C03">
        <w:t xml:space="preserve"> </w:t>
      </w:r>
      <w:r w:rsidR="009A44F6">
        <w:t>mutations in certain LINC complex proteins have implications on others</w:t>
      </w:r>
      <w:r w:rsidR="00DA3C03">
        <w:t>, due to their involvement as components of a protein structure</w:t>
      </w:r>
      <w:r w:rsidR="009A44F6">
        <w:t xml:space="preserve">. For example, </w:t>
      </w:r>
      <w:proofErr w:type="spellStart"/>
      <w:r w:rsidR="009A44F6">
        <w:t>emerin</w:t>
      </w:r>
      <w:proofErr w:type="spellEnd"/>
      <w:r w:rsidR="009A44F6">
        <w:t xml:space="preserve"> has been found to be </w:t>
      </w:r>
      <w:proofErr w:type="spellStart"/>
      <w:r w:rsidR="009A44F6">
        <w:t>mislocalized</w:t>
      </w:r>
      <w:proofErr w:type="spellEnd"/>
      <w:r w:rsidR="009A44F6">
        <w:t xml:space="preserve"> in fibroblasts from LGMD patients </w:t>
      </w:r>
      <w:proofErr w:type="spellStart"/>
      <w:r w:rsidR="009A44F6">
        <w:t>harbouring</w:t>
      </w:r>
      <w:proofErr w:type="spellEnd"/>
      <w:r w:rsidR="009A44F6">
        <w:t xml:space="preserve"> </w:t>
      </w:r>
      <w:r w:rsidR="009A44F6">
        <w:rPr>
          <w:i/>
          <w:iCs/>
        </w:rPr>
        <w:t xml:space="preserve">LMNA </w:t>
      </w:r>
      <w:r w:rsidR="009A44F6">
        <w:t>mutations</w:t>
      </w:r>
      <w:r w:rsidR="00DA3C03">
        <w:t>, therefore it is important to consider the effect of mutations in LINC complex components on the LINC complex itself</w:t>
      </w:r>
      <w:r w:rsidR="009A44F6">
        <w:t xml:space="preserve"> </w:t>
      </w:r>
      <w:r w:rsidR="009A44F6" w:rsidRPr="009A44F6">
        <w:fldChar w:fldCharType="begin" w:fldLock="1"/>
      </w:r>
      <w:r w:rsidR="00843E38">
        <w:instrText>ADDIN CSL_CITATION {"citationItems":[{"id":"ITEM-1","itemData":{"DOI":"10.1016/j.yexcr.2003.07.002","ISSN":"0014-4827","abstract":"Mutations in the LMNA gene encoding nuclear lamins A and C are responsible for seven inherited disorders affecting specific tissues. We have analyzed skin fibroblasts from a patient with type 1B limb-girdle muscular dystrophy and from her deceased newborn grandchild carrying, respectively, a heterozygous (+/mut) and a homozygous (mut/mut) nonsense Y259X mutation. In fibroblasts(+/mut), the presence of only 50% lamins A and C promotes no detectable abnormality, whereas in fibroblasts(mut/mut) the complete absence of lamins A and C leads to abnormally shaped nuclei with lobules in which none of the analyzed nuclear proteins were detected, i.e., B-type lamins, emerin, nesprin-1alpha, LAP2beta, and Nup153. These lobules perturb cell division as fibroblast(mut/mut) cultures with large proportions of cells with dysmorphic nuclei grow more slowly than controls and the cell proliferation normalizes when the number of these abnormally shaped nuclei declines. In all fibroblasts(mut/mut), nesprin-1alpha-like emerin exhibited aberrant localization in the endoplasmic reticulum. Transfection of wild-type lamin A or C cDNAs restored the correct localization of both emerin and nesprin-1alpha. These data demonstrate that lamin C, like lamin A, interacts in vivo directly with nesprin-1alpha and with emerin and that lamin A or C is sufficient for the correct anchorage of emerin and nesprin-1alpha at the nuclear envelope in human cells.","author":[{"dropping-particle":"","family":"Muchir","given":"Antoine","non-dropping-particle":"","parse-names":false,"suffix":""},{"dropping-particle":"","family":"Engelen","given":"Baziel G","non-dropping-particle":"van","parse-names":false,"suffix":""},{"dropping-particle":"","family":"Lammens","given":"Martin","non-dropping-particle":"","parse-names":false,"suffix":""},{"dropping-particle":"","family":"Mislow","given":"John M","non-dropping-particle":"","parse-names":false,"suffix":""},{"dropping-particle":"","family":"McNally","given":"Elizabeth","non-dropping-particle":"","parse-names":false,"suffix":""},{"dropping-particle":"","family":"Schwartz","given":"Ketty","non-dropping-particle":"","parse-names":false,"suffix":""},{"dropping-particle":"","family":"Bonne","given":"Gisèle","non-dropping-particle":"","parse-names":false,"suffix":""}],"container-title":"Experimental cell research","id":"ITEM-1","issue":"2","issued":{"date-parts":[["2003"]]},"page":"352-362","title":"Nuclear envelope alterations in fibroblasts from LGMD1B patients carrying nonsense Y259X heterozygous or homozygous mutation in lamin A/C gene.","type":"article-journal","volume":"291"},"uris":["http://www.mendeley.com/documents/?uuid=634cd7ab-7221-4479-bf74-7fd513dc8bc3"]}],"mendeley":{"formattedCitation":"[145]","plainTextFormattedCitation":"[145]","previouslyFormattedCitation":"[144]"},"properties":{"noteIndex":0},"schema":"https://github.com/citation-style-language/schema/raw/master/csl-citation.json"}</w:instrText>
      </w:r>
      <w:r w:rsidR="009A44F6" w:rsidRPr="009A44F6">
        <w:fldChar w:fldCharType="separate"/>
      </w:r>
      <w:r w:rsidR="00843E38" w:rsidRPr="00843E38">
        <w:rPr>
          <w:noProof/>
        </w:rPr>
        <w:t>[145]</w:t>
      </w:r>
      <w:r w:rsidR="009A44F6" w:rsidRPr="009A44F6">
        <w:fldChar w:fldCharType="end"/>
      </w:r>
      <w:r w:rsidR="00DA3C03">
        <w:t xml:space="preserve">. The LINC complex has also been implicated in </w:t>
      </w:r>
      <w:r w:rsidR="0024576E">
        <w:t>other disease-</w:t>
      </w:r>
      <w:r w:rsidR="003D14B8">
        <w:t xml:space="preserve">related processes, </w:t>
      </w:r>
      <w:r w:rsidR="00A15EFF">
        <w:t xml:space="preserve">and </w:t>
      </w:r>
      <w:r w:rsidR="003D14B8">
        <w:t xml:space="preserve">whilst this was not within the scope of this study, considering the role of these proteins in other biological conditions does allow us to understand more about their function </w:t>
      </w:r>
      <w:r w:rsidR="003D14B8">
        <w:fldChar w:fldCharType="begin" w:fldLock="1"/>
      </w:r>
      <w:r w:rsidR="00843E38">
        <w:instrText>ADDIN CSL_CITATION {"citationItems":[{"id":"ITEM-1","itemData":{"DOI":"10.1002/CAM4.495","ISSN":"2045-7634","PMID":"26175118","abstract":"Cancer cells exhibit a variety of features indicative of atypical nuclei. However, the molecular mechanisms underlying these phenomena remain to be elucidated. The linker of nucleoskeleton and cytoskeleton (LINC) complex, a nuclear envelope protein complex consisting mainly of the SUN and nesprin proteins, connects nuclear lamina and cytoskeletal filaments and helps to regulate the size and shape of the nucleus. Using immunohistology, we found that a nuclear lamina component, lamin A/C and all of the investigated LINC complex components, SUN1, SUN2, and nesprin-2, were downregulated in human breast cancer tissues. In the majority of cases, we observed lower expression levels of these analytes in samples' cancerous regions as compared to their cancer-associated noncancerous regions (in cancerous regions, percentage of tissue samples exhibiting low protein expression: lamin A/C, 85% [n = 73]; SUN1, 88% [n = 43]; SUN2, 74% [n = 43]; and nesprin-2, 79% [n = 53]). Statistical analysis showed that the frequencies of recurrence and HER2 expression were negatively correlated with lamin A/C expression (P &lt; 0.05), and intrinsic subtype and ki-67 level were associated with nesprin-2 expression (P &lt; 0.05). In addition, combinatorial analysis using the above four parameters showed that all patients exhibited reduced expression of at least one of four components despite the tumor's pathological classification. Furthermore, several cultured breast cancer cell lines expressed less SUN1, SUN2, nesprin-2 mRNA, and lamin A/C compared to noncancerous mammary gland cells. Together, these results suggest that the strongly reduced expression of LINC complex and nuclear lamina components may play fundamental pathological functions in breast cancer progression.","author":[{"dropping-particle":"","family":"Matsumoto","given":"Ayaka","non-dropping-particle":"","parse-names":false,"suffix":""},{"dropping-particle":"","family":"Hieda","given":"Miki","non-dropping-particle":"","parse-names":false,"suffix":""},{"dropping-particle":"","family":"Yokoyama","given":"Yuhki","non-dropping-particle":"","parse-names":false,"suffix":""},{"dropping-particle":"","family":"Nishioka","given":"Yu","non-dropping-particle":"","parse-names":false,"suffix":""},{"dropping-particle":"","family":"Yoshidome","given":"Katsuhide","non-dropping-particle":"","parse-names":false,"suffix":""},{"dropping-particle":"","family":"Tsujimoto","given":"Masahiko","non-dropping-particle":"","parse-names":false,"suffix":""},{"dropping-particle":"","family":"Matsuura","given":"Nariaki","non-dropping-particle":"","parse-names":false,"suffix":""}],"container-title":"Cancer Medicine","id":"ITEM-1","issue":"10","issued":{"date-parts":[["2015","10","1"]]},"page":"1547-1557","publisher":"John Wiley &amp; Sons, Ltd","title":"Global loss of a nuclear lamina component, lamin A/C, and LINC complex components SUN1, SUN2, and nesprin-2 in breast cancer","type":"article-journal","volume":"4"},"uris":["http://www.mendeley.com/documents/?uuid=c09c361e-b5e8-32ea-836a-752bd99e1d3f"]}],"mendeley":{"formattedCitation":"[146]","plainTextFormattedCitation":"[146]","previouslyFormattedCitation":"[145]"},"properties":{"noteIndex":0},"schema":"https://github.com/citation-style-language/schema/raw/master/csl-citation.json"}</w:instrText>
      </w:r>
      <w:r w:rsidR="003D14B8">
        <w:fldChar w:fldCharType="separate"/>
      </w:r>
      <w:r w:rsidR="00843E38" w:rsidRPr="00843E38">
        <w:rPr>
          <w:noProof/>
        </w:rPr>
        <w:t>[146]</w:t>
      </w:r>
      <w:r w:rsidR="003D14B8">
        <w:fldChar w:fldCharType="end"/>
      </w:r>
      <w:r w:rsidR="003D14B8">
        <w:t>.</w:t>
      </w:r>
      <w:r w:rsidR="00C33A0A">
        <w:t xml:space="preserve"> </w:t>
      </w:r>
      <w:r w:rsidR="006F18D9">
        <w:t xml:space="preserve">Mutations in </w:t>
      </w:r>
      <w:r w:rsidR="006F18D9">
        <w:rPr>
          <w:i/>
          <w:iCs/>
        </w:rPr>
        <w:t>SYNE1</w:t>
      </w:r>
      <w:r w:rsidR="006A71DB">
        <w:t>, for example,</w:t>
      </w:r>
      <w:r w:rsidR="006F18D9">
        <w:rPr>
          <w:i/>
          <w:iCs/>
        </w:rPr>
        <w:t xml:space="preserve"> </w:t>
      </w:r>
      <w:r w:rsidR="006F18D9">
        <w:t>have been implicated in human glioblastoma progression and survival</w:t>
      </w:r>
      <w:r w:rsidR="00034824">
        <w:t xml:space="preserve"> </w:t>
      </w:r>
      <w:r w:rsidR="00034824">
        <w:fldChar w:fldCharType="begin" w:fldLock="1"/>
      </w:r>
      <w:r w:rsidR="00843E38">
        <w:instrText>ADDIN CSL_CITATION {"citationItems":[{"id":"ITEM-1","itemData":{"DOI":"10.1158/0008-5472.CAN-11-0180","ISSN":"00085472","PMID":"21555372","abstract":"Cooperative dysregulation of gene sequence and expression may contribute to cancer formation and progression. The Cancer Genome Atlas (TCGA) Network recently catalogued gene sequence and expression data for a collection of glioblastoma multiforme (GBM) tumors. We developed an automated, model-free method to rapidly and exhaustively examine the correlation among somatic mutation and gene expression and interrogated 149 GBM tumor samples from the TCGA. The method identified 41 genes whose mutation status is highly correlated with drastic changes in the expression (z-score ± 2.0), across tumor samples, of other genes. Some of the 41 genes have been previously implicated in GBM pathogenesis (e.g., NF1, TP53, RB1, and IDH1) and others, while implicated in cancer, had not previously been highlighted in studies using TCGA data (e.g., SYNE1, KLF6, FGFR4, and EPHB4). The method also predicted that known oncogenes and tumor suppressors participate in GBM via drastic over- and underexpression, respectively. In addition, the method identified a known synthetic lethal interaction between TP53 and PLK1, other potential synthetic lethal interactions with TP53, and correlations between IDH1 mutation status and the overexpression of known GBM survival genes. ©2011 AACR.","author":[{"dropping-particle":"","family":"Masica","given":"David L.","non-dropping-particle":"","parse-names":false,"suffix":""},{"dropping-particle":"","family":"Karchin","given":"Rachel","non-dropping-particle":"","parse-names":false,"suffix":""}],"container-title":"Cancer research","id":"ITEM-1","issue":"13","issued":{"date-parts":[["2011","7","1"]]},"page":"4561","publisher":"NIH Public Access","title":"Correlation of Somatic Mutation and Expression Identifies Genes Important in Human Glioblastoma Progression and Survival","type":"article-journal","volume":"71"},"uris":["http://www.mendeley.com/documents/?uuid=2f1f04bc-2eee-3795-89da-ee0b0234c3f1"]}],"mendeley":{"formattedCitation":"[147]","plainTextFormattedCitation":"[147]","previouslyFormattedCitation":"[146]"},"properties":{"noteIndex":0},"schema":"https://github.com/citation-style-language/schema/raw/master/csl-citation.json"}</w:instrText>
      </w:r>
      <w:r w:rsidR="00034824">
        <w:fldChar w:fldCharType="separate"/>
      </w:r>
      <w:r w:rsidR="00843E38" w:rsidRPr="00843E38">
        <w:rPr>
          <w:noProof/>
        </w:rPr>
        <w:t>[147]</w:t>
      </w:r>
      <w:r w:rsidR="00034824">
        <w:fldChar w:fldCharType="end"/>
      </w:r>
      <w:r w:rsidR="006F18D9">
        <w:t xml:space="preserve">, and </w:t>
      </w:r>
      <w:r w:rsidR="006F18D9">
        <w:rPr>
          <w:i/>
          <w:iCs/>
        </w:rPr>
        <w:t xml:space="preserve">SYNE1 </w:t>
      </w:r>
      <w:r w:rsidR="006F18D9">
        <w:t>has also been identified as a potential driver gene in cervical cancer development</w:t>
      </w:r>
      <w:r w:rsidR="00034824">
        <w:t xml:space="preserve"> </w:t>
      </w:r>
      <w:r w:rsidR="00034824">
        <w:fldChar w:fldCharType="begin" w:fldLock="1"/>
      </w:r>
      <w:r w:rsidR="00843E38">
        <w:instrText>ADDIN CSL_CITATION {"citationItems":[{"id":"ITEM-1","itemData":{"DOI":"10.3389/FGENE.2021.598304/FULL","ISSN":"16648021","abstract":"Background: Cervical cancer became the third most common cancer among women, and genome characterization of cervical cancer patients has revealed the extensive complexity of molecular alterations. However, identifying driver mutation and depicting molecular classification in cervical cancer remain a challenge. Methods: We performed an integrative multi-platform analysis of a cervical cancer cohort from The Cancer Genome Atlas (TCGA) based on 284 clinical cases and identified the driver genes and possible molecular classification of cervical cancer. Results: Multi-platform integration showed that cervical cancer exhibited a wide range of mutation. The top 10 mutated genes were TTN, PIK3CA, MUC4, KMT2C, MUC16, KMT2D, SYNE1, FLG, DST, and EP300, with a mutation rate from 12 to 33%. Applying GISTIC to detect copy number variation (CNV), the most frequent chromosome arm-level CNVs included losses in 4p, 11p, and 11q and gains in 20q, 3q, and 1q. Then, we performed unsupervised consensus clustering of tumor CNV profiles and methylation profiles and detected four statistically significant expression subtypes. Finally, by combining the multidimensional datasets, we identified 10 potential driver genes, including GPR107, CHRNA5, ZBTB20, Rb1, NCAPH2, SCA1, SLC25A5, RBPMS, DDX3X, and H2BFM. Conclusions: This comprehensive analysis described the genetic characteristic of cervical cancer and identified novel driver genes in cervical cancer. These results provide insight into developing precision treatment in cervical cancer.","author":[{"dropping-particle":"","family":"Xu","given":"Yuexun","non-dropping-particle":"","parse-names":false,"suffix":""},{"dropping-particle":"","family":"Luo","given":"Hui","non-dropping-particle":"","parse-names":false,"suffix":""},{"dropping-particle":"","family":"Hu","given":"Qunchao","non-dropping-particle":"","parse-names":false,"suffix":""},{"dropping-particle":"","family":"Zhu","given":"Haiyan","non-dropping-particle":"","parse-names":false,"suffix":""}],"container-title":"Frontiers in Genetics","id":"ITEM-1","issued":{"date-parts":[["2021","2","16"]]},"page":"598304","publisher":"Frontiers Media S.A.","title":"Identification of Potential Driver Genes Based on Multi-Genomic Data in Cervical Cancer","type":"article-journal","volume":"12"},"uris":["http://www.mendeley.com/documents/?uuid=6e764588-2a28-3835-be6a-22e81d59a451"]}],"mendeley":{"formattedCitation":"[148]","plainTextFormattedCitation":"[148]","previouslyFormattedCitation":"[147]"},"properties":{"noteIndex":0},"schema":"https://github.com/citation-style-language/schema/raw/master/csl-citation.json"}</w:instrText>
      </w:r>
      <w:r w:rsidR="00034824">
        <w:fldChar w:fldCharType="separate"/>
      </w:r>
      <w:r w:rsidR="00843E38" w:rsidRPr="00843E38">
        <w:rPr>
          <w:noProof/>
        </w:rPr>
        <w:t>[148]</w:t>
      </w:r>
      <w:r w:rsidR="00034824">
        <w:fldChar w:fldCharType="end"/>
      </w:r>
      <w:r w:rsidR="006F18D9">
        <w:t xml:space="preserve">. </w:t>
      </w:r>
      <w:r w:rsidR="00034824">
        <w:t xml:space="preserve">Disruption of the LINC complex in glandular epithelial cells was also found to cause the development of aberrant </w:t>
      </w:r>
      <w:r w:rsidR="00A15BA5">
        <w:t xml:space="preserve">glandular </w:t>
      </w:r>
      <w:r w:rsidR="00034824">
        <w:t xml:space="preserve">acini, suggesting </w:t>
      </w:r>
      <w:r w:rsidR="00A15BA5">
        <w:t xml:space="preserve">the LINC complex is important in maintaining tissue architecture, which could be related to cancer pathophysiology </w:t>
      </w:r>
      <w:r w:rsidR="00A15BA5">
        <w:fldChar w:fldCharType="begin" w:fldLock="1"/>
      </w:r>
      <w:r w:rsidR="00843E38">
        <w:instrText>ADDIN CSL_CITATION {"citationItems":[{"id":"ITEM-1","itemData":{"DOI":"10.1016/J.CUB.2019.07.021","ISSN":"09609822","PMID":"31402305","abstract":"Zhang et al. describe a functional role for the LINC complex, which links the nucleus to the cytoskeleton, in acinar development. Disrupting the LINC complex causes the development of acini with occluded lumens and upregulates myosin II regulatory light chain phosphorylation. This mechanically destabilizes the dynamically fluctuating acinus.","author":[{"dropping-particle":"","family":"Zhang","given":"Qiao","non-dropping-particle":"","parse-names":false,"suffix":""},{"dropping-particle":"","family":"Narayanan","given":"Vani","non-dropping-particle":"","parse-names":false,"suffix":""},{"dropping-particle":"","family":"Mui","given":"Keeley L.","non-dropping-particle":"","parse-names":false,"suffix":""},{"dropping-particle":"","family":"O'Bryan","given":"Christopher S.","non-dropping-particle":"","parse-names":false,"suffix":""},{"dropping-particle":"","family":"Anderson","given":"Ruthellen H.","non-dropping-particle":"","parse-names":false,"suffix":""},{"dropping-particle":"","family":"KC","given":"Birendra","non-dropping-particle":"","parse-names":false,"suffix":""},{"dropping-particle":"","family":"Cabe","given":"Jolene I.","non-dropping-particle":"","parse-names":false,"suffix":""},{"dropping-particle":"","family":"Denis","given":"Kevin B.","non-dropping-particle":"","parse-names":false,"suffix":""},{"dropping-particle":"","family":"Antoku","given":"Susumu","non-dropping-particle":"","parse-names":false,"suffix":""},{"dropping-particle":"","family":"Roux","given":"Kyle J.","non-dropping-particle":"","parse-names":false,"suffix":""},{"dropping-particle":"","family":"Dickinson","given":"Richard B.","non-dropping-particle":"","parse-names":false,"suffix":""},{"dropping-particle":"","family":"Angelini","given":"Thomas E.","non-dropping-particle":"","parse-names":false,"suffix":""},{"dropping-particle":"","family":"Gundersen","given":"Gregg G.","non-dropping-particle":"","parse-names":false,"suffix":""},{"dropping-particle":"","family":"Conway","given":"Daniel E.","non-dropping-particle":"","parse-names":false,"suffix":""},{"dropping-particle":"","family":"Lele","given":"Tanmay P.","non-dropping-particle":"","parse-names":false,"suffix":""}],"container-title":"Current biology : CB","id":"ITEM-1","issue":"17","issued":{"date-parts":[["2019","9","9"]]},"page":"2839.e4.","publisher":"NIH Public Access","title":"Mechanical stabilization of the glandular acinus by linker of nucleoskeleton and cytoskeleton complex","type":"article-journal","volume":"29"},"uris":["http://www.mendeley.com/documents/?uuid=7f279e4d-8fef-3164-939a-c3554e9d7b9f"]}],"mendeley":{"formattedCitation":"[149]","plainTextFormattedCitation":"[149]","previouslyFormattedCitation":"[148]"},"properties":{"noteIndex":0},"schema":"https://github.com/citation-style-language/schema/raw/master/csl-citation.json"}</w:instrText>
      </w:r>
      <w:r w:rsidR="00A15BA5">
        <w:fldChar w:fldCharType="separate"/>
      </w:r>
      <w:r w:rsidR="00843E38" w:rsidRPr="00843E38">
        <w:rPr>
          <w:noProof/>
        </w:rPr>
        <w:t>[149]</w:t>
      </w:r>
      <w:r w:rsidR="00A15BA5">
        <w:fldChar w:fldCharType="end"/>
      </w:r>
      <w:r w:rsidR="00A15BA5">
        <w:t>.</w:t>
      </w:r>
      <w:r w:rsidR="00007AB1">
        <w:t xml:space="preserve"> In addition, imbalanced </w:t>
      </w:r>
      <w:proofErr w:type="spellStart"/>
      <w:r w:rsidR="00007AB1">
        <w:t>nucleoskeletal</w:t>
      </w:r>
      <w:proofErr w:type="spellEnd"/>
      <w:r w:rsidR="00007AB1">
        <w:t xml:space="preserve"> connections have been found to create cell polarity defects in HGPS as well as normal physiological aging. As mentioned previously, HGPS is caused by an accumulation of truncated pre-</w:t>
      </w:r>
      <w:proofErr w:type="spellStart"/>
      <w:r w:rsidR="00007AB1">
        <w:t>lamin</w:t>
      </w:r>
      <w:proofErr w:type="spellEnd"/>
      <w:r w:rsidR="00007AB1">
        <w:t xml:space="preserve"> A also known as “</w:t>
      </w:r>
      <w:proofErr w:type="spellStart"/>
      <w:r w:rsidR="00007AB1">
        <w:t>progerin</w:t>
      </w:r>
      <w:proofErr w:type="spellEnd"/>
      <w:r w:rsidR="00007AB1">
        <w:t>”</w:t>
      </w:r>
      <w:r w:rsidR="0024576E">
        <w:t xml:space="preserve"> </w:t>
      </w:r>
      <w:r w:rsidR="0024576E">
        <w:fldChar w:fldCharType="begin" w:fldLock="1"/>
      </w:r>
      <w:r w:rsidR="00843E38">
        <w:instrText>ADDIN CSL_CITATION {"citationItems":[{"id":"ITEM-1","itemData":{"DOI":"10.1126/SCIENCE.1084125/SUPPL_FILE/DESANDRE.SOM.PDF","ISSN":"00368075","PMID":"12702809","author":[{"dropping-particle":"","family":"Sandre-Giovannoli","given":"Annachiara","non-dropping-particle":"De","parse-names":false,"suffix":""},{"dropping-particle":"","family":"Bernard","given":"Rafaëlle","non-dropping-particle":"","parse-names":false,"suffix":""},{"dropping-particle":"","family":"Cau","given":"Pierre","non-dropping-particle":"","parse-names":false,"suffix":""},{"dropping-particle":"","family":"Navarro","given":"Claire","non-dropping-particle":"","parse-names":false,"suffix":""},{"dropping-particle":"","family":"Amiel","given":"Jeanne","non-dropping-particle":"","parse-names":false,"suffix":""},{"dropping-particle":"","family":"Boccaccio","given":"Irène","non-dropping-particle":"","parse-names":false,"suffix":""},{"dropping-particle":"","family":"Lyonnet","given":"Stanislas","non-dropping-particle":"","parse-names":false,"suffix":""},{"dropping-particle":"","family":"Stewart","given":"Colin L.","non-dropping-particle":"","parse-names":false,"suffix":""},{"dropping-particle":"","family":"Munnich","given":"Arnold","non-dropping-particle":"","parse-names":false,"suffix":""},{"dropping-particle":"","family":"Merrer","given":"Martine","non-dropping-particle":"Le","parse-names":false,"suffix":""},{"dropping-particle":"","family":"Lévy","given":"Nicolas","non-dropping-particle":"","parse-names":false,"suffix":""}],"container-title":"Science","id":"ITEM-1","issue":"5628","issued":{"date-parts":[["2003","6","27"]]},"page":"2055","publisher":"\n        American Association for the Advancement of Science\n      ","title":"Lamin A truncation in Hutchinson-Gilford progeria","type":"article-journal","volume":"300"},"uris":["http://www.mendeley.com/documents/?uuid=3bbd6421-fce3-30e3-9199-670b62f364bb"]}],"mendeley":{"formattedCitation":"[150]","plainTextFormattedCitation":"[150]","previouslyFormattedCitation":"[149]"},"properties":{"noteIndex":0},"schema":"https://github.com/citation-style-language/schema/raw/master/csl-citation.json"}</w:instrText>
      </w:r>
      <w:r w:rsidR="0024576E">
        <w:fldChar w:fldCharType="separate"/>
      </w:r>
      <w:r w:rsidR="00843E38" w:rsidRPr="00843E38">
        <w:rPr>
          <w:noProof/>
        </w:rPr>
        <w:t>[150]</w:t>
      </w:r>
      <w:r w:rsidR="0024576E">
        <w:fldChar w:fldCharType="end"/>
      </w:r>
      <w:r w:rsidR="00007AB1">
        <w:t xml:space="preserve">. </w:t>
      </w:r>
      <w:proofErr w:type="spellStart"/>
      <w:r w:rsidR="00007AB1">
        <w:t>Progerin</w:t>
      </w:r>
      <w:proofErr w:type="spellEnd"/>
      <w:r w:rsidR="00007AB1">
        <w:t xml:space="preserve"> affects the mobility of LINC complex-associated proteins, SUN2, nesprin-2 and </w:t>
      </w:r>
      <w:proofErr w:type="spellStart"/>
      <w:r w:rsidR="00007AB1">
        <w:t>emerin</w:t>
      </w:r>
      <w:proofErr w:type="spellEnd"/>
      <w:r w:rsidR="00007AB1">
        <w:t>, which in turn causes defective nuclear positioning and cell polarity which is essential for migration</w:t>
      </w:r>
      <w:r w:rsidR="0024576E">
        <w:t xml:space="preserve"> </w:t>
      </w:r>
      <w:r w:rsidR="0024576E">
        <w:fldChar w:fldCharType="begin" w:fldLock="1"/>
      </w:r>
      <w:r w:rsidR="00843E38">
        <w:instrText>ADDIN CSL_CITATION {"citationItems":[{"id":"ITEM-1","itemData":{"DOI":"10.1073/PNAS.1809683116/SUPPL_FILE/PNAS.1809683116.SM03.MP4","ISSN":"10916490","PMID":"30808750","abstract":"Studies of the accelerated aging disorder Hutchinson–Gilford progeria syndrome (HGPS) can potentially reveal cellular defects associated with physiological aging. HGPS results from expression and abnormal nuclear envelope association of a farnesylated, truncated variant of prelamin A called “progerin.” We surveyed the diffusional mobilities of nuclear membrane proteins to identify proximal effects of progerin expression. The mobilities of three proteins—SUN2, nesprin-2G, and emerin—were reduced in fibroblasts from children with HGPS compared with those in normal fibroblasts. These proteins function together in nuclear movement and centrosome orientation in fibroblasts polarizing for migration. Both processes were impaired in fibroblasts from children with HGPS and in NIH 3T3 fibroblasts expressing progerin, but were restored by inhibiting protein farnesylation. Progerin affected both the coupling of the nucleus to actin cables and the oriented flow of the cables necessary for nuclear movement and centrosome orientation. Progerin overexpression increased levels of SUN1, which couples the nucleus to microtubules through nesprin-2G and dynein, and microtubule association with the nucleus. Reducing microtubule-nuclear connections through SUN1 depletion or dynein inhibition rescued the polarity defects. Nuclear movement and centrosome orientation were also defective in fibroblasts from normal individuals over 60 y, and both defects were rescued by reducing the increased level of SUN1 in these cells or inhibiting dynein. Our results identify imbalanced nuclear engagement of the cytoskeleton (microtubules: high; actin filaments: low) as the basis for intrinsic cell polarity defects in HGPS and physiological aging and suggest that rebalancing the connections can ameliorate the defects.","author":[{"dropping-particle":"","family":"Chang","given":"Wakam","non-dropping-particle":"","parse-names":false,"suffix":""},{"dropping-particle":"","family":"Wang","given":"Yuexia","non-dropping-particle":"","parse-names":false,"suffix":""},{"dropping-particle":"","family":"Gant Luxton","given":"G. W.","non-dropping-particle":"","parse-names":false,"suffix":""},{"dropping-particle":"","family":"Östlund","given":"Cecilia","non-dropping-particle":"","parse-names":false,"suffix":""},{"dropping-particle":"","family":"Worman","given":"Howard J.","non-dropping-particle":"","parse-names":false,"suffix":""},{"dropping-particle":"","family":"Gundersen","given":"Gregg G.","non-dropping-particle":"","parse-names":false,"suffix":""}],"container-title":"Proceedings of the National Academy of Sciences of the United States of America","id":"ITEM-1","issue":"9","issued":{"date-parts":[["2019","2","26"]]},"page":"3578-3583","publisher":"National Academy of Sciences","title":"Imbalanced nucleocytoskeletal connections create common polarity defects in progeria and physiological aging","type":"article-journal","volume":"116"},"uris":["http://www.mendeley.com/documents/?uuid=09817b7e-4a6c-3c13-b4b4-02925f1c853a"]}],"mendeley":{"formattedCitation":"[151]","plainTextFormattedCitation":"[151]","previouslyFormattedCitation":"[150]"},"properties":{"noteIndex":0},"schema":"https://github.com/citation-style-language/schema/raw/master/csl-citation.json"}</w:instrText>
      </w:r>
      <w:r w:rsidR="0024576E">
        <w:fldChar w:fldCharType="separate"/>
      </w:r>
      <w:r w:rsidR="00843E38" w:rsidRPr="00843E38">
        <w:rPr>
          <w:noProof/>
        </w:rPr>
        <w:t>[151]</w:t>
      </w:r>
      <w:r w:rsidR="0024576E">
        <w:fldChar w:fldCharType="end"/>
      </w:r>
      <w:r w:rsidR="00007AB1">
        <w:t>.</w:t>
      </w:r>
    </w:p>
    <w:p w14:paraId="57291800" w14:textId="5B19C87E" w:rsidR="001E66EE" w:rsidRPr="005A1AC5" w:rsidRDefault="001E66EE" w:rsidP="001C00FC">
      <w:pPr>
        <w:pStyle w:val="MDPI31text"/>
      </w:pPr>
      <w:r w:rsidRPr="005A1AC5">
        <w:lastRenderedPageBreak/>
        <w:t xml:space="preserve">It is understood that many mutations are reported directly to genetic databases and as a result are not published in journal articles. This may be a limitation to this study and as a result </w:t>
      </w:r>
      <w:proofErr w:type="gramStart"/>
      <w:r w:rsidRPr="005A1AC5">
        <w:t>a number of</w:t>
      </w:r>
      <w:proofErr w:type="gramEnd"/>
      <w:r w:rsidRPr="005A1AC5">
        <w:t xml:space="preserve"> mutations may not be recorded and therefore missing in the final analysis. However, there are also limitations to database searching. We found that it was not possible to easily filter mutations by disease or phenotype, therefore it was more appropriate to conduct a systematic review into the literature where we could find clinical details within journal articles. It is also important to consider that some patients with mutations in genes encoding NE proteins displayed “like-phenotype” symptoms. These may not necessarily be strictly classified as diseases but may be diseases mimicking the phenotypes of other diseases. This is particularly relevant to the many diseases associated with </w:t>
      </w:r>
      <w:r w:rsidRPr="005A1AC5">
        <w:rPr>
          <w:i/>
          <w:iCs/>
        </w:rPr>
        <w:t xml:space="preserve">LMNA </w:t>
      </w:r>
      <w:r w:rsidRPr="005A1AC5">
        <w:t>variants. It is necessary to include these phenotypes within this study as it is interesting and valuable to report that these phenotypes are linked to mutations in these genes, even if these cases don’t allow for a full clinical classification. This could be considered a limitation of the literature, and what is reported within the literature.</w:t>
      </w:r>
      <w:r w:rsidR="00A00DE7">
        <w:t xml:space="preserve"> Another </w:t>
      </w:r>
      <w:r w:rsidR="00506353">
        <w:t xml:space="preserve">constraint is that some variants, such as the </w:t>
      </w:r>
      <w:r w:rsidR="00506353">
        <w:rPr>
          <w:i/>
          <w:iCs/>
        </w:rPr>
        <w:t xml:space="preserve">LMNA </w:t>
      </w:r>
      <w:r w:rsidR="00506353">
        <w:t>p.</w:t>
      </w:r>
      <w:r w:rsidR="00506353" w:rsidRPr="002469C0">
        <w:t>Arg644Cys</w:t>
      </w:r>
      <w:r w:rsidR="00506353">
        <w:t xml:space="preserve"> mutation, are controversial in that they have been reported as both pathogenic and benign</w:t>
      </w:r>
      <w:r w:rsidR="00EE0616">
        <w:t xml:space="preserve"> </w:t>
      </w:r>
      <w:r w:rsidR="00EE0616">
        <w:fldChar w:fldCharType="begin" w:fldLock="1"/>
      </w:r>
      <w:r w:rsidR="00843E38">
        <w:instrText>ADDIN CSL_CITATION {"citationItems":[{"id":"ITEM-1","itemData":{"DOI":"10.1111/CGE.12778","ISSN":"1399-0004","PMID":"27000522","abstract":"A phenotype-driven approach to molecular autopsy based in a multidisciplinary team comprising clinical and laboratory genetics, forensic medicine and cardiology is described. Over a 13 year period, molecular autopsy was undertaken in 96 sudden cardiac death cases. A total of 46 cases aged 1–40 years had normal hearts and suspected arrhythmic death. Seven (15%) had likely pathogenic variants in ion channelopathy genes [KCNQ1 (1), KCNH2 (4), SCN5A (1), RyR2(1)]. Fifty cases aged between 2 and 67 had a cardiomyopathy. Twenty-five had arrhythmogenic right ventricular cardiomyopathy (ARVC), 10 dilated cardiomyopathy (DCM) and 15 hypertrophic cardiomyopathy (HCM). Likely pathogenic variants were found in three ARVC cases (12%) in PKP2, DSC2 or DSP, two DCM cases (20%) in MYH7, and four HCM cases (27%) in MYBPC3 (3) or MYH7 (1). Uptake of cascade screening in relatives was higher when a molecular diagnosis was made at autopsy. In three families, variants previously published as pathogenic were detected, but clinical investigation revealed no abnormalities in carrier relatives. With a conservative approach to defining pathogenicity of sequence variants incorporating family phenotype information and population genomic data, a molecular diagnosis was made in 15% of sudden arrhythmic deaths and 18% of cardiomyopathy deaths.","author":[{"dropping-particle":"","family":"Cann","given":"F.","non-dropping-particle":"","parse-names":false,"suffix":""},{"dropping-particle":"","family":"Corbett","given":"M.","non-dropping-particle":"","parse-names":false,"suffix":""},{"dropping-particle":"","family":"O'Sullivan","given":"D.","non-dropping-particle":"","parse-names":false,"suffix":""},{"dropping-particle":"","family":"Tennant","given":"S.","non-dropping-particle":"","parse-names":false,"suffix":""},{"dropping-particle":"","family":"Hailey","given":"H.","non-dropping-particle":"","parse-names":false,"suffix":""},{"dropping-particle":"","family":"Grieve","given":"J. H.K.","non-dropping-particle":"","parse-names":false,"suffix":""},{"dropping-particle":"","family":"Broadhurst","given":"P.","non-dropping-particle":"","parse-names":false,"suffix":""},{"dropping-particle":"","family":"Rankin","given":"R.","non-dropping-particle":"","parse-names":false,"suffix":""},{"dropping-particle":"","family":"Dean","given":"J. C.S.","non-dropping-particle":"","parse-names":false,"suffix":""}],"container-title":"Clinical Genetics","id":"ITEM-1","issue":"1","issued":{"date-parts":[["2017","1","1"]]},"page":"22-29","publisher":"John Wiley &amp; Sons, Ltd","title":"Phenotype-driven molecular autopsy for sudden cardiac death","type":"article-journal","volume":"91"},"uris":["http://www.mendeley.com/documents/?uuid=95176e4f-d06a-3f11-a980-495c6320b3af"]},{"id":"ITEM-2","itemData":{"DOI":"10.1093/eurheartj/ehr451","ISSN":"1522-9645","abstract":"Aims: Arrhythmogenic right ventricular cardiomyopathy (ARVC) is an inherited heart muscle disease predominantly caused by mutations in desmosomal protein genes. Lamin A/C gene (LMNA) mutations are associated with dilated cardiomyopathy, conduction abnormalities and high incidence of sudden cardiac death. In this study, we screened a large cohort of ARVC patients for LMNA mutations.; Methods and Results: One hundred and eight patients from unrelated families with borderline (n = 27) or definite (n = 81) diagnosis of ARVC were genetically tested for five desmosomal genes and LMNA. Sixty-one (56.5%) were positive for desmosomal gene mutations. Standard polymerase chain reaction (PCR) amplification of the 12 protein-coding LMNA exons was performed and mutational screening performed by direct sequencing. Four patients (4%) without desmosomal gene mutations carried LMNA variants. Three had severe right ventricular involvement, and during follow-up three died (two suddenly and one from congestive heart failure); all three had conduction abnormalities on resting 12-lead electrocardiogram (ECG). Myocardial tissue from two patients showed myocyte loss and fibro-fatty replacement. In one of these, immunohistochemical staining with antibody to plakoglobin showed reduced/absent staining of the intercalated discs in the myocardium.; Conclusion: Lamin A/C gene mutations can be found in severe forms of ARVC. Lamin A/C gene should be added to desmosomal genes when genetically testing patients with suspected ARVC, particularly when they also have ECG evidence for conduction disease.","author":[{"dropping-particle":"","family":"Quarta","given":"Giovanni","non-dropping-particle":"","parse-names":false,"suffix":""},{"dropping-particle":"","family":"Syrris","given":"Petros","non-dropping-particle":"","parse-names":false,"suffix":""},{"dropping-particle":"","family":"Ashworth","given":"Michael","non-dropping-particle":"","parse-names":false,"suffix":""},{"dropping-particle":"","family":"Jenkins","given":"Sharon","non-dropping-particle":"","parse-names":false,"suffix":""},{"dropping-particle":"","family":"Zuborne Alapi","given":"Krisztina","non-dropping-particle":"","parse-names":false,"suffix":""},{"dropping-particle":"","family":"Morgan","given":"John","non-dropping-particle":"","parse-names":false,"suffix":""},{"dropping-particle":"","family":"Muir","given":"Alison","non-dropping-particle":"","parse-names":false,"suffix":""},{"dropping-particle":"","family":"Pantazis","given":"Antonios","non-dropping-particle":"","parse-names":false,"suffix":""},{"dropping-particle":"","family":"McKenna","given":"William J","non-dropping-particle":"","parse-names":false,"suffix":""},{"dropping-particle":"","family":"Elliott","given":"Perry M","non-dropping-particle":"","parse-names":false,"suffix":""}],"container-title":"European heart journal","id":"ITEM-2","issue":"9","issued":{"date-parts":[["2012"]]},"page":"1128-1136","title":"Mutations in the Lamin A/C gene mimic arrhythmogenic right ventricular cardiomyopathy.","type":"article-journal","volume":"33"},"uris":["http://www.mendeley.com/documents/?uuid=5b50c1b9-20c8-40f7-88d3-d87de2811627"]}],"mendeley":{"formattedCitation":"[41,152]","plainTextFormattedCitation":"[41,152]","previouslyFormattedCitation":"[41,151]"},"properties":{"noteIndex":0},"schema":"https://github.com/citation-style-language/schema/raw/master/csl-citation.json"}</w:instrText>
      </w:r>
      <w:r w:rsidR="00EE0616">
        <w:fldChar w:fldCharType="separate"/>
      </w:r>
      <w:r w:rsidR="00843E38" w:rsidRPr="00843E38">
        <w:rPr>
          <w:noProof/>
        </w:rPr>
        <w:t>[41,152]</w:t>
      </w:r>
      <w:r w:rsidR="00EE0616">
        <w:fldChar w:fldCharType="end"/>
      </w:r>
      <w:r w:rsidR="00506353">
        <w:t xml:space="preserve">. We tried to mitigate against this by ranking the pathogenicity likelihood of variants, but it is possible that some mutations may not be pathogenic. Considering </w:t>
      </w:r>
      <w:r w:rsidR="00705552">
        <w:t>the potential for</w:t>
      </w:r>
      <w:r w:rsidR="00506353">
        <w:t xml:space="preserve"> differences between information </w:t>
      </w:r>
      <w:r w:rsidR="00705552">
        <w:t>contained within</w:t>
      </w:r>
      <w:r w:rsidR="00506353">
        <w:t xml:space="preserve"> </w:t>
      </w:r>
      <w:r w:rsidR="001C38FB">
        <w:t xml:space="preserve">genetic </w:t>
      </w:r>
      <w:r w:rsidR="00506353">
        <w:t xml:space="preserve">databases compared with the literature, </w:t>
      </w:r>
      <w:r w:rsidR="00103ABD">
        <w:t xml:space="preserve">it would be useful in future to undertake a systematic comparison </w:t>
      </w:r>
      <w:r w:rsidR="008C1B5A">
        <w:t xml:space="preserve">of </w:t>
      </w:r>
      <w:r w:rsidR="00506353">
        <w:t>the two information sources.</w:t>
      </w:r>
      <w:r w:rsidR="0091598C">
        <w:t xml:space="preserve"> </w:t>
      </w:r>
      <w:r w:rsidR="005440A7">
        <w:t xml:space="preserve">This would allow for a more robust method of identifying </w:t>
      </w:r>
      <w:r w:rsidR="0091598C" w:rsidRPr="0091598C">
        <w:t xml:space="preserve">discrepancies between the pathogenicity ranking of mutations, </w:t>
      </w:r>
      <w:r w:rsidR="005440A7">
        <w:t>and</w:t>
      </w:r>
      <w:r w:rsidR="0091598C" w:rsidRPr="0091598C">
        <w:t xml:space="preserve"> whether</w:t>
      </w:r>
      <w:r w:rsidR="005440A7">
        <w:t xml:space="preserve"> </w:t>
      </w:r>
      <w:r w:rsidR="00DE5FCE">
        <w:t>results of phenotype-genotype comparison studies would be altered</w:t>
      </w:r>
      <w:r w:rsidR="0091598C" w:rsidRPr="0091598C">
        <w:t xml:space="preserve"> if some variants are </w:t>
      </w:r>
      <w:r w:rsidR="009957E6">
        <w:t>re-</w:t>
      </w:r>
      <w:r w:rsidR="0091598C" w:rsidRPr="0091598C">
        <w:t>classified as benign</w:t>
      </w:r>
      <w:r w:rsidR="009957E6">
        <w:t>.</w:t>
      </w:r>
    </w:p>
    <w:p w14:paraId="5E8A8CAB" w14:textId="77777777" w:rsidR="001E66EE" w:rsidRPr="005A1AC5" w:rsidRDefault="001E66EE" w:rsidP="005A1AC5">
      <w:pPr>
        <w:pStyle w:val="MDPI21heading1"/>
      </w:pPr>
      <w:r w:rsidRPr="005A1AC5">
        <w:t>Conclusions</w:t>
      </w:r>
    </w:p>
    <w:p w14:paraId="55756ECF" w14:textId="3E76367A" w:rsidR="001E66EE" w:rsidRPr="005A1AC5" w:rsidRDefault="001E66EE" w:rsidP="005A1AC5">
      <w:pPr>
        <w:pStyle w:val="MDPI31text"/>
      </w:pPr>
      <w:r w:rsidRPr="005A1AC5">
        <w:t xml:space="preserve">Overall, many unanswered questions remain surrounding </w:t>
      </w:r>
      <w:r w:rsidRPr="005A1AC5">
        <w:rPr>
          <w:i/>
          <w:iCs/>
        </w:rPr>
        <w:t xml:space="preserve">LMNA </w:t>
      </w:r>
      <w:r w:rsidRPr="005A1AC5">
        <w:t xml:space="preserve">mutations, and why faults with this one protein can cause a spectrum of different diseases, especially since this phenomenon is not seen with in other NE proteins. Despite these uncertainties, other observations were made which offer some insight into the potential downstream consequences of </w:t>
      </w:r>
      <w:proofErr w:type="spellStart"/>
      <w:r w:rsidRPr="005A1AC5">
        <w:t>lamin</w:t>
      </w:r>
      <w:proofErr w:type="spellEnd"/>
      <w:r w:rsidRPr="005A1AC5">
        <w:t xml:space="preserve"> A/C mutations. Striated muscle diseases appear to be most frequent in exons 1 and 6 of </w:t>
      </w:r>
      <w:r w:rsidRPr="005A1AC5">
        <w:rPr>
          <w:i/>
          <w:iCs/>
        </w:rPr>
        <w:t>LMNA</w:t>
      </w:r>
      <w:r w:rsidRPr="005A1AC5">
        <w:t xml:space="preserve">, which correspond to areas of the protein involved in </w:t>
      </w:r>
      <w:proofErr w:type="spellStart"/>
      <w:r w:rsidRPr="005A1AC5">
        <w:t>lamin-lamin</w:t>
      </w:r>
      <w:proofErr w:type="spellEnd"/>
      <w:r w:rsidRPr="005A1AC5">
        <w:t xml:space="preserve"> interactions. Subsequently, mutations located in these exons may prevent correct </w:t>
      </w:r>
      <w:proofErr w:type="spellStart"/>
      <w:r w:rsidRPr="005A1AC5">
        <w:t>lamin</w:t>
      </w:r>
      <w:proofErr w:type="spellEnd"/>
      <w:r w:rsidRPr="005A1AC5">
        <w:t xml:space="preserve"> assembly. Variants associated with metabolic diseases generally increase in frequency within the area of </w:t>
      </w:r>
      <w:r w:rsidRPr="005A1AC5">
        <w:rPr>
          <w:i/>
          <w:iCs/>
        </w:rPr>
        <w:t xml:space="preserve">LMNA </w:t>
      </w:r>
      <w:r w:rsidRPr="005A1AC5">
        <w:t xml:space="preserve">which encodes the tail domain of </w:t>
      </w:r>
      <w:proofErr w:type="spellStart"/>
      <w:r w:rsidRPr="005A1AC5">
        <w:t>lamin</w:t>
      </w:r>
      <w:proofErr w:type="spellEnd"/>
      <w:r w:rsidRPr="005A1AC5">
        <w:t xml:space="preserve"> A/C. This region facilitates interactions between numerous proteins and </w:t>
      </w:r>
      <w:proofErr w:type="spellStart"/>
      <w:r w:rsidRPr="005A1AC5">
        <w:t>lamin</w:t>
      </w:r>
      <w:proofErr w:type="spellEnd"/>
      <w:r w:rsidRPr="005A1AC5">
        <w:t xml:space="preserve"> A/C. These interactions could be disrupted by mutations that affect these binding sites. Additionally, exon 6 of </w:t>
      </w:r>
      <w:r w:rsidRPr="005A1AC5">
        <w:rPr>
          <w:i/>
          <w:iCs/>
        </w:rPr>
        <w:t xml:space="preserve">EDM </w:t>
      </w:r>
      <w:r w:rsidR="000C0A10">
        <w:t>may</w:t>
      </w:r>
      <w:r w:rsidRPr="005A1AC5">
        <w:t xml:space="preserve"> be an </w:t>
      </w:r>
      <w:proofErr w:type="spellStart"/>
      <w:r w:rsidRPr="005A1AC5">
        <w:t>emerin</w:t>
      </w:r>
      <w:proofErr w:type="spellEnd"/>
      <w:r w:rsidRPr="005A1AC5">
        <w:t xml:space="preserve"> mutation “hot-spot”, which is perhaps useful to know when diagnosing EDMD, while nonsense </w:t>
      </w:r>
      <w:r w:rsidRPr="005A1AC5">
        <w:rPr>
          <w:i/>
          <w:iCs/>
        </w:rPr>
        <w:t xml:space="preserve">SYNE1 </w:t>
      </w:r>
      <w:r w:rsidRPr="005A1AC5">
        <w:t xml:space="preserve">mutations are frequently the cause of SCAR8, suggesting a compromised LINC complex particularly disrupts processes in the brain. Stop-codon read-through therapy may be a beneficial treatment option for </w:t>
      </w:r>
      <w:proofErr w:type="gramStart"/>
      <w:r w:rsidRPr="005A1AC5">
        <w:t>SCAR8</w:t>
      </w:r>
      <w:proofErr w:type="gramEnd"/>
      <w:r w:rsidRPr="005A1AC5">
        <w:t xml:space="preserve"> and more research may be needed in this area.  </w:t>
      </w:r>
      <w:r w:rsidR="005F3ED2">
        <w:t xml:space="preserve"> Overall</w:t>
      </w:r>
      <w:r w:rsidRPr="005A1AC5">
        <w:t xml:space="preserve">, these results </w:t>
      </w:r>
      <w:r w:rsidR="005F3ED2">
        <w:t>offer</w:t>
      </w:r>
      <w:r w:rsidR="005F3ED2" w:rsidRPr="005A1AC5">
        <w:t xml:space="preserve"> </w:t>
      </w:r>
      <w:r w:rsidRPr="005A1AC5">
        <w:t xml:space="preserve">insight into the varied roles of LINC-complex </w:t>
      </w:r>
      <w:r w:rsidR="00245CF3">
        <w:t xml:space="preserve">associated </w:t>
      </w:r>
      <w:r w:rsidRPr="005A1AC5">
        <w:t xml:space="preserve">proteins in human disease and provide direction for future gene-targeted therapy development. Moreover, identifying conditions affected </w:t>
      </w:r>
      <w:r w:rsidRPr="005A1AC5">
        <w:lastRenderedPageBreak/>
        <w:t xml:space="preserve">by mutations in different NE proteins may allow for sharing of therapies or therapeutic development strategies. </w:t>
      </w:r>
    </w:p>
    <w:p w14:paraId="5A50D480" w14:textId="49C7578E" w:rsidR="001E66EE" w:rsidRPr="005A1AC5" w:rsidRDefault="001E66EE" w:rsidP="005A1AC5">
      <w:pPr>
        <w:pStyle w:val="MDPI62BackMatter"/>
        <w:spacing w:before="240"/>
      </w:pPr>
      <w:r w:rsidRPr="005A1AC5">
        <w:rPr>
          <w:b/>
        </w:rPr>
        <w:t>S</w:t>
      </w:r>
      <w:r w:rsidRPr="005A1AC5">
        <w:t>upplementary information accompanies this article at XXXX</w:t>
      </w:r>
    </w:p>
    <w:p w14:paraId="7D95E158" w14:textId="7F76B527" w:rsidR="001E66EE" w:rsidRPr="005A1AC5" w:rsidRDefault="001E66EE" w:rsidP="005A1AC5">
      <w:pPr>
        <w:pStyle w:val="MDPI62BackMatter"/>
      </w:pPr>
      <w:r w:rsidRPr="005A1AC5">
        <w:rPr>
          <w:b/>
          <w:bCs/>
        </w:rPr>
        <w:t>Competing interests:</w:t>
      </w:r>
      <w:r w:rsidRPr="005A1AC5">
        <w:rPr>
          <w:b/>
        </w:rPr>
        <w:t xml:space="preserve"> </w:t>
      </w:r>
      <w:r w:rsidRPr="005A1AC5">
        <w:t>The authors declare that they have no competing interests.</w:t>
      </w:r>
    </w:p>
    <w:p w14:paraId="79F2F496" w14:textId="00CFD824" w:rsidR="001E66EE" w:rsidRPr="005A1AC5" w:rsidRDefault="005A1AC5" w:rsidP="005A1AC5">
      <w:pPr>
        <w:pStyle w:val="MDPI62BackMatter"/>
      </w:pPr>
      <w:r w:rsidRPr="005A1AC5">
        <w:rPr>
          <w:b/>
        </w:rPr>
        <w:t>A</w:t>
      </w:r>
      <w:r w:rsidRPr="005A1AC5">
        <w:t>cknowledgments</w:t>
      </w:r>
    </w:p>
    <w:p w14:paraId="63BEF369" w14:textId="3DA0D37E" w:rsidR="001E66EE" w:rsidRPr="005A1AC5" w:rsidRDefault="001E66EE" w:rsidP="005A1AC5">
      <w:pPr>
        <w:pStyle w:val="MDPI62BackMatter"/>
      </w:pPr>
      <w:r w:rsidRPr="005A1AC5">
        <w:rPr>
          <w:b/>
        </w:rPr>
        <w:t>T</w:t>
      </w:r>
      <w:r w:rsidRPr="005A1AC5">
        <w:t xml:space="preserve">he authors are grateful to Dr Ian Holt, RJAH, for reviewing the manuscript and providing helpful feedback, and to Jo Jordan and the information specialists and statisticians from Primary Care in The School of Medicine at </w:t>
      </w:r>
      <w:proofErr w:type="spellStart"/>
      <w:r w:rsidRPr="005A1AC5">
        <w:t>Keele</w:t>
      </w:r>
      <w:proofErr w:type="spellEnd"/>
      <w:r w:rsidRPr="005A1AC5">
        <w:t xml:space="preserve"> University for providing a systematic review training workshop. </w:t>
      </w:r>
    </w:p>
    <w:p w14:paraId="2F8CF543" w14:textId="3415D9C4" w:rsidR="001E66EE" w:rsidRPr="005A1AC5" w:rsidRDefault="005A1AC5" w:rsidP="005A1AC5">
      <w:pPr>
        <w:pStyle w:val="MDPI62BackMatter"/>
      </w:pPr>
      <w:r w:rsidRPr="005A1AC5">
        <w:rPr>
          <w:b/>
        </w:rPr>
        <w:t>A</w:t>
      </w:r>
      <w:r w:rsidRPr="005A1AC5">
        <w:t>uthor Contribution</w:t>
      </w:r>
      <w:r w:rsidR="001E66EE" w:rsidRPr="005A1AC5">
        <w:t>s</w:t>
      </w:r>
    </w:p>
    <w:p w14:paraId="07B61F50" w14:textId="454FF82A" w:rsidR="001E66EE" w:rsidRPr="005A1AC5" w:rsidRDefault="001E66EE" w:rsidP="005A1AC5">
      <w:pPr>
        <w:pStyle w:val="MDPI62BackMatter"/>
      </w:pPr>
      <w:r w:rsidRPr="005A1AC5">
        <w:rPr>
          <w:b/>
        </w:rPr>
        <w:t>H</w:t>
      </w:r>
      <w:r w:rsidRPr="002469C0">
        <w:rPr>
          <w:b/>
          <w:bCs/>
        </w:rPr>
        <w:t>.R.F</w:t>
      </w:r>
      <w:r w:rsidRPr="005A1AC5">
        <w:t xml:space="preserve"> conceived of the study and designed the study with E.C.S. Both authors contributed to the data analysis and interpretation and wrote and approved the final manuscript.</w:t>
      </w:r>
    </w:p>
    <w:p w14:paraId="70DBEE37" w14:textId="77777777" w:rsidR="001E66EE" w:rsidRPr="005A1AC5" w:rsidRDefault="001E66EE" w:rsidP="005A1AC5">
      <w:pPr>
        <w:pStyle w:val="MDPI62BackMatter"/>
      </w:pPr>
      <w:r w:rsidRPr="005A1AC5">
        <w:rPr>
          <w:b/>
        </w:rPr>
        <w:t>F</w:t>
      </w:r>
      <w:r w:rsidRPr="005A1AC5">
        <w:t>unding Sources</w:t>
      </w:r>
    </w:p>
    <w:p w14:paraId="404EAFFD" w14:textId="77777777" w:rsidR="001E66EE" w:rsidRPr="005A1AC5" w:rsidRDefault="001E66EE" w:rsidP="005A1AC5">
      <w:pPr>
        <w:pStyle w:val="MDPI62BackMatter"/>
      </w:pPr>
      <w:r w:rsidRPr="005A1AC5">
        <w:rPr>
          <w:b/>
        </w:rPr>
        <w:t>T</w:t>
      </w:r>
      <w:r w:rsidRPr="005A1AC5">
        <w:t xml:space="preserve">his work was supported by funding from the </w:t>
      </w:r>
      <w:proofErr w:type="spellStart"/>
      <w:r w:rsidRPr="005A1AC5">
        <w:t>Keele</w:t>
      </w:r>
      <w:proofErr w:type="spellEnd"/>
      <w:r w:rsidRPr="005A1AC5">
        <w:t xml:space="preserve"> ACORN scheme, </w:t>
      </w:r>
      <w:proofErr w:type="spellStart"/>
      <w:r w:rsidRPr="005A1AC5">
        <w:t>Keele</w:t>
      </w:r>
      <w:proofErr w:type="spellEnd"/>
      <w:r w:rsidRPr="005A1AC5">
        <w:t xml:space="preserve"> University, UK (HRF and ECS) and the </w:t>
      </w:r>
      <w:proofErr w:type="spellStart"/>
      <w:r w:rsidRPr="005A1AC5">
        <w:t>Orthopaedic</w:t>
      </w:r>
      <w:proofErr w:type="spellEnd"/>
      <w:r w:rsidRPr="005A1AC5">
        <w:t xml:space="preserve"> Institute Ltd., RJAH </w:t>
      </w:r>
      <w:proofErr w:type="spellStart"/>
      <w:r w:rsidRPr="005A1AC5">
        <w:t>Orthopaedic</w:t>
      </w:r>
      <w:proofErr w:type="spellEnd"/>
      <w:r w:rsidRPr="005A1AC5">
        <w:t xml:space="preserve"> Hospital, </w:t>
      </w:r>
      <w:proofErr w:type="spellStart"/>
      <w:r w:rsidRPr="005A1AC5">
        <w:t>Oswestry</w:t>
      </w:r>
      <w:proofErr w:type="spellEnd"/>
      <w:r w:rsidRPr="005A1AC5">
        <w:t xml:space="preserve">, UK (RPG182) (HRF). ECS is aligned to the EPSRC/MRC Doctoral Training Centre in Regenerative Medicine (Loughborough, </w:t>
      </w:r>
      <w:proofErr w:type="spellStart"/>
      <w:proofErr w:type="gramStart"/>
      <w:r w:rsidRPr="005A1AC5">
        <w:t>Keele</w:t>
      </w:r>
      <w:proofErr w:type="spellEnd"/>
      <w:proofErr w:type="gramEnd"/>
      <w:r w:rsidRPr="005A1AC5">
        <w:t xml:space="preserve"> and Nottingham Universities). </w:t>
      </w:r>
    </w:p>
    <w:p w14:paraId="25C24811" w14:textId="77777777" w:rsidR="001E66EE" w:rsidRPr="005A1AC5" w:rsidRDefault="001E66EE" w:rsidP="001E66EE">
      <w:pPr>
        <w:rPr>
          <w:sz w:val="24"/>
          <w:szCs w:val="24"/>
        </w:rPr>
      </w:pPr>
    </w:p>
    <w:p w14:paraId="00CD570F" w14:textId="149EB883" w:rsidR="001E66EE" w:rsidRPr="005A1AC5" w:rsidRDefault="001E66EE" w:rsidP="005A1AC5">
      <w:pPr>
        <w:pStyle w:val="MDPI21heading1"/>
      </w:pPr>
      <w:r w:rsidRPr="005A1AC5">
        <w:t xml:space="preserve"> References</w:t>
      </w:r>
    </w:p>
    <w:p w14:paraId="147964F2" w14:textId="078CFB48" w:rsidR="00843E38" w:rsidRPr="00843E38" w:rsidRDefault="001E66EE" w:rsidP="00843E38">
      <w:pPr>
        <w:widowControl w:val="0"/>
        <w:autoSpaceDE w:val="0"/>
        <w:autoSpaceDN w:val="0"/>
        <w:adjustRightInd w:val="0"/>
        <w:spacing w:line="240" w:lineRule="auto"/>
        <w:ind w:left="640" w:hanging="640"/>
        <w:rPr>
          <w:rFonts w:ascii="Calibri" w:hAnsi="Calibri" w:cs="Calibri"/>
          <w:noProof/>
          <w:sz w:val="18"/>
          <w:szCs w:val="24"/>
        </w:rPr>
      </w:pPr>
      <w:r w:rsidRPr="005A1AC5">
        <w:rPr>
          <w:color w:val="2B579A"/>
          <w:sz w:val="18"/>
          <w:szCs w:val="24"/>
          <w:shd w:val="clear" w:color="auto" w:fill="E6E6E6"/>
        </w:rPr>
        <w:fldChar w:fldCharType="begin" w:fldLock="1"/>
      </w:r>
      <w:r w:rsidRPr="005A1AC5">
        <w:rPr>
          <w:sz w:val="18"/>
          <w:szCs w:val="24"/>
        </w:rPr>
        <w:instrText xml:space="preserve">ADDIN Mendeley Bibliography CSL_BIBLIOGRAPHY </w:instrText>
      </w:r>
      <w:r w:rsidRPr="005A1AC5">
        <w:rPr>
          <w:color w:val="2B579A"/>
          <w:sz w:val="18"/>
          <w:szCs w:val="24"/>
          <w:shd w:val="clear" w:color="auto" w:fill="E6E6E6"/>
        </w:rPr>
        <w:fldChar w:fldCharType="separate"/>
      </w:r>
      <w:r w:rsidR="00843E38" w:rsidRPr="00843E38">
        <w:rPr>
          <w:rFonts w:ascii="Calibri" w:hAnsi="Calibri" w:cs="Calibri"/>
          <w:noProof/>
          <w:sz w:val="18"/>
          <w:szCs w:val="24"/>
        </w:rPr>
        <w:t xml:space="preserve">1. </w:t>
      </w:r>
      <w:r w:rsidR="00843E38" w:rsidRPr="00843E38">
        <w:rPr>
          <w:rFonts w:ascii="Calibri" w:hAnsi="Calibri" w:cs="Calibri"/>
          <w:noProof/>
          <w:sz w:val="18"/>
          <w:szCs w:val="24"/>
        </w:rPr>
        <w:tab/>
        <w:t xml:space="preserve">Nagano, A.; Arahata, K. Nuclear Envelope Proteins and Associated Diseases. </w:t>
      </w:r>
      <w:r w:rsidR="00843E38" w:rsidRPr="00843E38">
        <w:rPr>
          <w:rFonts w:ascii="Calibri" w:hAnsi="Calibri" w:cs="Calibri"/>
          <w:i/>
          <w:iCs/>
          <w:noProof/>
          <w:sz w:val="18"/>
          <w:szCs w:val="24"/>
        </w:rPr>
        <w:t>Curr. Opin. Neurol.</w:t>
      </w:r>
      <w:r w:rsidR="00843E38" w:rsidRPr="00843E38">
        <w:rPr>
          <w:rFonts w:ascii="Calibri" w:hAnsi="Calibri" w:cs="Calibri"/>
          <w:noProof/>
          <w:sz w:val="18"/>
          <w:szCs w:val="24"/>
        </w:rPr>
        <w:t xml:space="preserve"> </w:t>
      </w:r>
      <w:r w:rsidR="00843E38" w:rsidRPr="00843E38">
        <w:rPr>
          <w:rFonts w:ascii="Calibri" w:hAnsi="Calibri" w:cs="Calibri"/>
          <w:b/>
          <w:bCs/>
          <w:noProof/>
          <w:sz w:val="18"/>
          <w:szCs w:val="24"/>
        </w:rPr>
        <w:t>2000</w:t>
      </w:r>
      <w:r w:rsidR="00843E38" w:rsidRPr="00843E38">
        <w:rPr>
          <w:rFonts w:ascii="Calibri" w:hAnsi="Calibri" w:cs="Calibri"/>
          <w:noProof/>
          <w:sz w:val="18"/>
          <w:szCs w:val="24"/>
        </w:rPr>
        <w:t xml:space="preserve">, </w:t>
      </w:r>
      <w:r w:rsidR="00843E38" w:rsidRPr="00843E38">
        <w:rPr>
          <w:rFonts w:ascii="Calibri" w:hAnsi="Calibri" w:cs="Calibri"/>
          <w:i/>
          <w:iCs/>
          <w:noProof/>
          <w:sz w:val="18"/>
          <w:szCs w:val="24"/>
        </w:rPr>
        <w:t>13</w:t>
      </w:r>
      <w:r w:rsidR="00843E38" w:rsidRPr="00843E38">
        <w:rPr>
          <w:rFonts w:ascii="Calibri" w:hAnsi="Calibri" w:cs="Calibri"/>
          <w:noProof/>
          <w:sz w:val="18"/>
          <w:szCs w:val="24"/>
        </w:rPr>
        <w:t>, 533–539, doi:10.1097/00019052-200010000-00005.</w:t>
      </w:r>
    </w:p>
    <w:p w14:paraId="10224540"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2. </w:t>
      </w:r>
      <w:r w:rsidRPr="00843E38">
        <w:rPr>
          <w:rFonts w:ascii="Calibri" w:hAnsi="Calibri" w:cs="Calibri"/>
          <w:noProof/>
          <w:sz w:val="18"/>
          <w:szCs w:val="24"/>
        </w:rPr>
        <w:tab/>
        <w:t xml:space="preserve">Chi, Y.H.; Chen, Z.J.; Jeang, K.T. The Nuclear Envelopathies and Human Diseases. </w:t>
      </w:r>
      <w:r w:rsidRPr="00843E38">
        <w:rPr>
          <w:rFonts w:ascii="Calibri" w:hAnsi="Calibri" w:cs="Calibri"/>
          <w:i/>
          <w:iCs/>
          <w:noProof/>
          <w:sz w:val="18"/>
          <w:szCs w:val="24"/>
        </w:rPr>
        <w:t>J. Biomed. Sci.</w:t>
      </w:r>
      <w:r w:rsidRPr="00843E38">
        <w:rPr>
          <w:rFonts w:ascii="Calibri" w:hAnsi="Calibri" w:cs="Calibri"/>
          <w:noProof/>
          <w:sz w:val="18"/>
          <w:szCs w:val="24"/>
        </w:rPr>
        <w:t xml:space="preserve"> </w:t>
      </w:r>
      <w:r w:rsidRPr="00843E38">
        <w:rPr>
          <w:rFonts w:ascii="Calibri" w:hAnsi="Calibri" w:cs="Calibri"/>
          <w:b/>
          <w:bCs/>
          <w:noProof/>
          <w:sz w:val="18"/>
          <w:szCs w:val="24"/>
        </w:rPr>
        <w:t>2009</w:t>
      </w:r>
      <w:r w:rsidRPr="00843E38">
        <w:rPr>
          <w:rFonts w:ascii="Calibri" w:hAnsi="Calibri" w:cs="Calibri"/>
          <w:noProof/>
          <w:sz w:val="18"/>
          <w:szCs w:val="24"/>
        </w:rPr>
        <w:t xml:space="preserve">, </w:t>
      </w:r>
      <w:r w:rsidRPr="00843E38">
        <w:rPr>
          <w:rFonts w:ascii="Calibri" w:hAnsi="Calibri" w:cs="Calibri"/>
          <w:i/>
          <w:iCs/>
          <w:noProof/>
          <w:sz w:val="18"/>
          <w:szCs w:val="24"/>
        </w:rPr>
        <w:t>16</w:t>
      </w:r>
      <w:r w:rsidRPr="00843E38">
        <w:rPr>
          <w:rFonts w:ascii="Calibri" w:hAnsi="Calibri" w:cs="Calibri"/>
          <w:noProof/>
          <w:sz w:val="18"/>
          <w:szCs w:val="24"/>
        </w:rPr>
        <w:t>, 96, doi:10.1186/1423-0127-16-96.</w:t>
      </w:r>
    </w:p>
    <w:p w14:paraId="0DC7579C"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3. </w:t>
      </w:r>
      <w:r w:rsidRPr="00843E38">
        <w:rPr>
          <w:rFonts w:ascii="Calibri" w:hAnsi="Calibri" w:cs="Calibri"/>
          <w:noProof/>
          <w:sz w:val="18"/>
          <w:szCs w:val="24"/>
        </w:rPr>
        <w:tab/>
        <w:t xml:space="preserve">Somech, R.; Shaklai, S.; Amariglio, N.; Rechavi, G.; Simon, A.J. Nuclear Envelopathies--Raising the Nuclear Veil. </w:t>
      </w:r>
      <w:r w:rsidRPr="00843E38">
        <w:rPr>
          <w:rFonts w:ascii="Calibri" w:hAnsi="Calibri" w:cs="Calibri"/>
          <w:i/>
          <w:iCs/>
          <w:noProof/>
          <w:sz w:val="18"/>
          <w:szCs w:val="24"/>
        </w:rPr>
        <w:t>Pediatr. Res.</w:t>
      </w:r>
      <w:r w:rsidRPr="00843E38">
        <w:rPr>
          <w:rFonts w:ascii="Calibri" w:hAnsi="Calibri" w:cs="Calibri"/>
          <w:noProof/>
          <w:sz w:val="18"/>
          <w:szCs w:val="24"/>
        </w:rPr>
        <w:t xml:space="preserve"> </w:t>
      </w:r>
      <w:r w:rsidRPr="00843E38">
        <w:rPr>
          <w:rFonts w:ascii="Calibri" w:hAnsi="Calibri" w:cs="Calibri"/>
          <w:b/>
          <w:bCs/>
          <w:noProof/>
          <w:sz w:val="18"/>
          <w:szCs w:val="24"/>
        </w:rPr>
        <w:t>2005</w:t>
      </w:r>
      <w:r w:rsidRPr="00843E38">
        <w:rPr>
          <w:rFonts w:ascii="Calibri" w:hAnsi="Calibri" w:cs="Calibri"/>
          <w:noProof/>
          <w:sz w:val="18"/>
          <w:szCs w:val="24"/>
        </w:rPr>
        <w:t xml:space="preserve">, </w:t>
      </w:r>
      <w:r w:rsidRPr="00843E38">
        <w:rPr>
          <w:rFonts w:ascii="Calibri" w:hAnsi="Calibri" w:cs="Calibri"/>
          <w:i/>
          <w:iCs/>
          <w:noProof/>
          <w:sz w:val="18"/>
          <w:szCs w:val="24"/>
        </w:rPr>
        <w:t>57</w:t>
      </w:r>
      <w:r w:rsidRPr="00843E38">
        <w:rPr>
          <w:rFonts w:ascii="Calibri" w:hAnsi="Calibri" w:cs="Calibri"/>
          <w:noProof/>
          <w:sz w:val="18"/>
          <w:szCs w:val="24"/>
        </w:rPr>
        <w:t>, 8–15, doi:10.1203/01.PDR.0000159566.54287.6C.</w:t>
      </w:r>
    </w:p>
    <w:p w14:paraId="3378A75B"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4. </w:t>
      </w:r>
      <w:r w:rsidRPr="00843E38">
        <w:rPr>
          <w:rFonts w:ascii="Calibri" w:hAnsi="Calibri" w:cs="Calibri"/>
          <w:noProof/>
          <w:sz w:val="18"/>
          <w:szCs w:val="24"/>
        </w:rPr>
        <w:tab/>
        <w:t xml:space="preserve">Worman, H.J.; Bonne, G. “Laminopathies”: A Wide Spectrum of Human Diseases. </w:t>
      </w:r>
      <w:r w:rsidRPr="00843E38">
        <w:rPr>
          <w:rFonts w:ascii="Calibri" w:hAnsi="Calibri" w:cs="Calibri"/>
          <w:i/>
          <w:iCs/>
          <w:noProof/>
          <w:sz w:val="18"/>
          <w:szCs w:val="24"/>
        </w:rPr>
        <w:t>Exp. Cell Res.</w:t>
      </w:r>
      <w:r w:rsidRPr="00843E38">
        <w:rPr>
          <w:rFonts w:ascii="Calibri" w:hAnsi="Calibri" w:cs="Calibri"/>
          <w:noProof/>
          <w:sz w:val="18"/>
          <w:szCs w:val="24"/>
        </w:rPr>
        <w:t xml:space="preserve"> </w:t>
      </w:r>
      <w:r w:rsidRPr="00843E38">
        <w:rPr>
          <w:rFonts w:ascii="Calibri" w:hAnsi="Calibri" w:cs="Calibri"/>
          <w:b/>
          <w:bCs/>
          <w:noProof/>
          <w:sz w:val="18"/>
          <w:szCs w:val="24"/>
        </w:rPr>
        <w:t>2007</w:t>
      </w:r>
      <w:r w:rsidRPr="00843E38">
        <w:rPr>
          <w:rFonts w:ascii="Calibri" w:hAnsi="Calibri" w:cs="Calibri"/>
          <w:noProof/>
          <w:sz w:val="18"/>
          <w:szCs w:val="24"/>
        </w:rPr>
        <w:t xml:space="preserve">, </w:t>
      </w:r>
      <w:r w:rsidRPr="00843E38">
        <w:rPr>
          <w:rFonts w:ascii="Calibri" w:hAnsi="Calibri" w:cs="Calibri"/>
          <w:i/>
          <w:iCs/>
          <w:noProof/>
          <w:sz w:val="18"/>
          <w:szCs w:val="24"/>
        </w:rPr>
        <w:t>313</w:t>
      </w:r>
      <w:r w:rsidRPr="00843E38">
        <w:rPr>
          <w:rFonts w:ascii="Calibri" w:hAnsi="Calibri" w:cs="Calibri"/>
          <w:noProof/>
          <w:sz w:val="18"/>
          <w:szCs w:val="24"/>
        </w:rPr>
        <w:t>, 2121–2133, doi:10.1016/j.yexcr.2007.03.028.</w:t>
      </w:r>
    </w:p>
    <w:p w14:paraId="36B923ED"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5. </w:t>
      </w:r>
      <w:r w:rsidRPr="00843E38">
        <w:rPr>
          <w:rFonts w:ascii="Calibri" w:hAnsi="Calibri" w:cs="Calibri"/>
          <w:noProof/>
          <w:sz w:val="18"/>
          <w:szCs w:val="24"/>
        </w:rPr>
        <w:tab/>
        <w:t xml:space="preserve">Song, S.; Zhang, Y.; Zhong, N. Laminopathies--One Gene, Multiple Diseases. </w:t>
      </w:r>
      <w:r w:rsidRPr="00843E38">
        <w:rPr>
          <w:rFonts w:ascii="Calibri" w:hAnsi="Calibri" w:cs="Calibri"/>
          <w:i/>
          <w:iCs/>
          <w:noProof/>
          <w:sz w:val="18"/>
          <w:szCs w:val="24"/>
        </w:rPr>
        <w:t>Beijing Da Xue Xue Bao.</w:t>
      </w:r>
      <w:r w:rsidRPr="00843E38">
        <w:rPr>
          <w:rFonts w:ascii="Calibri" w:hAnsi="Calibri" w:cs="Calibri"/>
          <w:noProof/>
          <w:sz w:val="18"/>
          <w:szCs w:val="24"/>
        </w:rPr>
        <w:t xml:space="preserve"> </w:t>
      </w:r>
      <w:r w:rsidRPr="00843E38">
        <w:rPr>
          <w:rFonts w:ascii="Calibri" w:hAnsi="Calibri" w:cs="Calibri"/>
          <w:b/>
          <w:bCs/>
          <w:noProof/>
          <w:sz w:val="18"/>
          <w:szCs w:val="24"/>
        </w:rPr>
        <w:t>2005</w:t>
      </w:r>
      <w:r w:rsidRPr="00843E38">
        <w:rPr>
          <w:rFonts w:ascii="Calibri" w:hAnsi="Calibri" w:cs="Calibri"/>
          <w:noProof/>
          <w:sz w:val="18"/>
          <w:szCs w:val="24"/>
        </w:rPr>
        <w:t xml:space="preserve">, </w:t>
      </w:r>
      <w:r w:rsidRPr="00843E38">
        <w:rPr>
          <w:rFonts w:ascii="Calibri" w:hAnsi="Calibri" w:cs="Calibri"/>
          <w:i/>
          <w:iCs/>
          <w:noProof/>
          <w:sz w:val="18"/>
          <w:szCs w:val="24"/>
        </w:rPr>
        <w:t>37</w:t>
      </w:r>
      <w:r w:rsidRPr="00843E38">
        <w:rPr>
          <w:rFonts w:ascii="Calibri" w:hAnsi="Calibri" w:cs="Calibri"/>
          <w:noProof/>
          <w:sz w:val="18"/>
          <w:szCs w:val="24"/>
        </w:rPr>
        <w:t>, 96–99.</w:t>
      </w:r>
    </w:p>
    <w:p w14:paraId="77A41B14"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6. </w:t>
      </w:r>
      <w:r w:rsidRPr="00843E38">
        <w:rPr>
          <w:rFonts w:ascii="Calibri" w:hAnsi="Calibri" w:cs="Calibri"/>
          <w:noProof/>
          <w:sz w:val="18"/>
          <w:szCs w:val="24"/>
        </w:rPr>
        <w:tab/>
        <w:t xml:space="preserve">Gerace, L.; Burke, B. Functional Organization of the Nuclear Envelope. </w:t>
      </w:r>
      <w:r w:rsidRPr="00843E38">
        <w:rPr>
          <w:rFonts w:ascii="Calibri" w:hAnsi="Calibri" w:cs="Calibri"/>
          <w:i/>
          <w:iCs/>
          <w:noProof/>
          <w:sz w:val="18"/>
          <w:szCs w:val="24"/>
        </w:rPr>
        <w:t>Annu. Rev. Cell Biol.</w:t>
      </w:r>
      <w:r w:rsidRPr="00843E38">
        <w:rPr>
          <w:rFonts w:ascii="Calibri" w:hAnsi="Calibri" w:cs="Calibri"/>
          <w:noProof/>
          <w:sz w:val="18"/>
          <w:szCs w:val="24"/>
        </w:rPr>
        <w:t xml:space="preserve"> </w:t>
      </w:r>
      <w:r w:rsidRPr="00843E38">
        <w:rPr>
          <w:rFonts w:ascii="Calibri" w:hAnsi="Calibri" w:cs="Calibri"/>
          <w:b/>
          <w:bCs/>
          <w:noProof/>
          <w:sz w:val="18"/>
          <w:szCs w:val="24"/>
        </w:rPr>
        <w:t>2003</w:t>
      </w:r>
      <w:r w:rsidRPr="00843E38">
        <w:rPr>
          <w:rFonts w:ascii="Calibri" w:hAnsi="Calibri" w:cs="Calibri"/>
          <w:noProof/>
          <w:sz w:val="18"/>
          <w:szCs w:val="24"/>
        </w:rPr>
        <w:t xml:space="preserve">, </w:t>
      </w:r>
      <w:r w:rsidRPr="00843E38">
        <w:rPr>
          <w:rFonts w:ascii="Calibri" w:hAnsi="Calibri" w:cs="Calibri"/>
          <w:i/>
          <w:iCs/>
          <w:noProof/>
          <w:sz w:val="18"/>
          <w:szCs w:val="24"/>
        </w:rPr>
        <w:t>4</w:t>
      </w:r>
      <w:r w:rsidRPr="00843E38">
        <w:rPr>
          <w:rFonts w:ascii="Calibri" w:hAnsi="Calibri" w:cs="Calibri"/>
          <w:noProof/>
          <w:sz w:val="18"/>
          <w:szCs w:val="24"/>
        </w:rPr>
        <w:t>, 335–374, doi:10.1146/ANNUREV.CB.04.110188.002003.</w:t>
      </w:r>
    </w:p>
    <w:p w14:paraId="6DAFC241"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7. </w:t>
      </w:r>
      <w:r w:rsidRPr="00843E38">
        <w:rPr>
          <w:rFonts w:ascii="Calibri" w:hAnsi="Calibri" w:cs="Calibri"/>
          <w:noProof/>
          <w:sz w:val="18"/>
          <w:szCs w:val="24"/>
        </w:rPr>
        <w:tab/>
        <w:t xml:space="preserve">Watson, M.L. The Nuclear Envelope; Its Structure and Relation to Cytoplasmic Membranes. </w:t>
      </w:r>
      <w:r w:rsidRPr="00843E38">
        <w:rPr>
          <w:rFonts w:ascii="Calibri" w:hAnsi="Calibri" w:cs="Calibri"/>
          <w:i/>
          <w:iCs/>
          <w:noProof/>
          <w:sz w:val="18"/>
          <w:szCs w:val="24"/>
        </w:rPr>
        <w:t>J. Biophys. Biochem. Cytol.</w:t>
      </w:r>
      <w:r w:rsidRPr="00843E38">
        <w:rPr>
          <w:rFonts w:ascii="Calibri" w:hAnsi="Calibri" w:cs="Calibri"/>
          <w:noProof/>
          <w:sz w:val="18"/>
          <w:szCs w:val="24"/>
        </w:rPr>
        <w:t xml:space="preserve"> </w:t>
      </w:r>
      <w:r w:rsidRPr="00843E38">
        <w:rPr>
          <w:rFonts w:ascii="Calibri" w:hAnsi="Calibri" w:cs="Calibri"/>
          <w:b/>
          <w:bCs/>
          <w:noProof/>
          <w:sz w:val="18"/>
          <w:szCs w:val="24"/>
        </w:rPr>
        <w:t>1955</w:t>
      </w:r>
      <w:r w:rsidRPr="00843E38">
        <w:rPr>
          <w:rFonts w:ascii="Calibri" w:hAnsi="Calibri" w:cs="Calibri"/>
          <w:noProof/>
          <w:sz w:val="18"/>
          <w:szCs w:val="24"/>
        </w:rPr>
        <w:t xml:space="preserve">, </w:t>
      </w:r>
      <w:r w:rsidRPr="00843E38">
        <w:rPr>
          <w:rFonts w:ascii="Calibri" w:hAnsi="Calibri" w:cs="Calibri"/>
          <w:i/>
          <w:iCs/>
          <w:noProof/>
          <w:sz w:val="18"/>
          <w:szCs w:val="24"/>
        </w:rPr>
        <w:t>1</w:t>
      </w:r>
      <w:r w:rsidRPr="00843E38">
        <w:rPr>
          <w:rFonts w:ascii="Calibri" w:hAnsi="Calibri" w:cs="Calibri"/>
          <w:noProof/>
          <w:sz w:val="18"/>
          <w:szCs w:val="24"/>
        </w:rPr>
        <w:t>, 257–270, doi:10.1083/JCB.1.3.257.</w:t>
      </w:r>
    </w:p>
    <w:p w14:paraId="0ABC1859"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8. </w:t>
      </w:r>
      <w:r w:rsidRPr="00843E38">
        <w:rPr>
          <w:rFonts w:ascii="Calibri" w:hAnsi="Calibri" w:cs="Calibri"/>
          <w:noProof/>
          <w:sz w:val="18"/>
          <w:szCs w:val="24"/>
        </w:rPr>
        <w:tab/>
        <w:t xml:space="preserve">Linde, N.; Stick, R. Intranuclear Membranes Induced by Lipidated Proteins Are Derived from the Nuclear Envelope. </w:t>
      </w:r>
      <w:r w:rsidRPr="00843E38">
        <w:rPr>
          <w:rFonts w:ascii="Calibri" w:hAnsi="Calibri" w:cs="Calibri"/>
          <w:i/>
          <w:iCs/>
          <w:noProof/>
          <w:sz w:val="18"/>
          <w:szCs w:val="24"/>
        </w:rPr>
        <w:t>Nucleus</w:t>
      </w:r>
      <w:r w:rsidRPr="00843E38">
        <w:rPr>
          <w:rFonts w:ascii="Calibri" w:hAnsi="Calibri" w:cs="Calibri"/>
          <w:noProof/>
          <w:sz w:val="18"/>
          <w:szCs w:val="24"/>
        </w:rPr>
        <w:t xml:space="preserve"> </w:t>
      </w:r>
      <w:r w:rsidRPr="00843E38">
        <w:rPr>
          <w:rFonts w:ascii="Calibri" w:hAnsi="Calibri" w:cs="Calibri"/>
          <w:b/>
          <w:bCs/>
          <w:noProof/>
          <w:sz w:val="18"/>
          <w:szCs w:val="24"/>
        </w:rPr>
        <w:t>2010</w:t>
      </w:r>
      <w:r w:rsidRPr="00843E38">
        <w:rPr>
          <w:rFonts w:ascii="Calibri" w:hAnsi="Calibri" w:cs="Calibri"/>
          <w:noProof/>
          <w:sz w:val="18"/>
          <w:szCs w:val="24"/>
        </w:rPr>
        <w:t xml:space="preserve">, </w:t>
      </w:r>
      <w:r w:rsidRPr="00843E38">
        <w:rPr>
          <w:rFonts w:ascii="Calibri" w:hAnsi="Calibri" w:cs="Calibri"/>
          <w:i/>
          <w:iCs/>
          <w:noProof/>
          <w:sz w:val="18"/>
          <w:szCs w:val="24"/>
        </w:rPr>
        <w:t>1</w:t>
      </w:r>
      <w:r w:rsidRPr="00843E38">
        <w:rPr>
          <w:rFonts w:ascii="Calibri" w:hAnsi="Calibri" w:cs="Calibri"/>
          <w:noProof/>
          <w:sz w:val="18"/>
          <w:szCs w:val="24"/>
        </w:rPr>
        <w:t>, 343–353, doi:10.4161/nucl.1.4.12352.</w:t>
      </w:r>
    </w:p>
    <w:p w14:paraId="6CFED4FD"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9. </w:t>
      </w:r>
      <w:r w:rsidRPr="00843E38">
        <w:rPr>
          <w:rFonts w:ascii="Calibri" w:hAnsi="Calibri" w:cs="Calibri"/>
          <w:noProof/>
          <w:sz w:val="18"/>
          <w:szCs w:val="24"/>
        </w:rPr>
        <w:tab/>
        <w:t xml:space="preserve">Güttinger, S.; Laurell, E.; Kutay, U. Orchestrating Nuclear Envelope Disassembly and Reassembly during Mitosis. </w:t>
      </w:r>
      <w:r w:rsidRPr="00843E38">
        <w:rPr>
          <w:rFonts w:ascii="Calibri" w:hAnsi="Calibri" w:cs="Calibri"/>
          <w:i/>
          <w:iCs/>
          <w:noProof/>
          <w:sz w:val="18"/>
          <w:szCs w:val="24"/>
        </w:rPr>
        <w:t>Nat. Rev. Mol. Cell Biol.</w:t>
      </w:r>
      <w:r w:rsidRPr="00843E38">
        <w:rPr>
          <w:rFonts w:ascii="Calibri" w:hAnsi="Calibri" w:cs="Calibri"/>
          <w:noProof/>
          <w:sz w:val="18"/>
          <w:szCs w:val="24"/>
        </w:rPr>
        <w:t xml:space="preserve"> </w:t>
      </w:r>
      <w:r w:rsidRPr="00843E38">
        <w:rPr>
          <w:rFonts w:ascii="Calibri" w:hAnsi="Calibri" w:cs="Calibri"/>
          <w:b/>
          <w:bCs/>
          <w:noProof/>
          <w:sz w:val="18"/>
          <w:szCs w:val="24"/>
        </w:rPr>
        <w:t>2009</w:t>
      </w:r>
      <w:r w:rsidRPr="00843E38">
        <w:rPr>
          <w:rFonts w:ascii="Calibri" w:hAnsi="Calibri" w:cs="Calibri"/>
          <w:noProof/>
          <w:sz w:val="18"/>
          <w:szCs w:val="24"/>
        </w:rPr>
        <w:t xml:space="preserve">, </w:t>
      </w:r>
      <w:r w:rsidRPr="00843E38">
        <w:rPr>
          <w:rFonts w:ascii="Calibri" w:hAnsi="Calibri" w:cs="Calibri"/>
          <w:i/>
          <w:iCs/>
          <w:noProof/>
          <w:sz w:val="18"/>
          <w:szCs w:val="24"/>
        </w:rPr>
        <w:t>10</w:t>
      </w:r>
      <w:r w:rsidRPr="00843E38">
        <w:rPr>
          <w:rFonts w:ascii="Calibri" w:hAnsi="Calibri" w:cs="Calibri"/>
          <w:noProof/>
          <w:sz w:val="18"/>
          <w:szCs w:val="24"/>
        </w:rPr>
        <w:t>, 178–191, doi:10.1038/nrm2641.</w:t>
      </w:r>
    </w:p>
    <w:p w14:paraId="073DD2C4"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10. </w:t>
      </w:r>
      <w:r w:rsidRPr="00843E38">
        <w:rPr>
          <w:rFonts w:ascii="Calibri" w:hAnsi="Calibri" w:cs="Calibri"/>
          <w:noProof/>
          <w:sz w:val="18"/>
          <w:szCs w:val="24"/>
        </w:rPr>
        <w:tab/>
        <w:t xml:space="preserve">Taddei, A.; Hediger, F.; Neumann, F.R.; Gasser, S.M. The Function of Nuclear Architecture: A Genetic Approach. </w:t>
      </w:r>
      <w:r w:rsidRPr="00843E38">
        <w:rPr>
          <w:rFonts w:ascii="Calibri" w:hAnsi="Calibri" w:cs="Calibri"/>
          <w:i/>
          <w:iCs/>
          <w:noProof/>
          <w:sz w:val="18"/>
          <w:szCs w:val="24"/>
        </w:rPr>
        <w:t>Annu. Rev. Genet.</w:t>
      </w:r>
      <w:r w:rsidRPr="00843E38">
        <w:rPr>
          <w:rFonts w:ascii="Calibri" w:hAnsi="Calibri" w:cs="Calibri"/>
          <w:noProof/>
          <w:sz w:val="18"/>
          <w:szCs w:val="24"/>
        </w:rPr>
        <w:t xml:space="preserve"> </w:t>
      </w:r>
      <w:r w:rsidRPr="00843E38">
        <w:rPr>
          <w:rFonts w:ascii="Calibri" w:hAnsi="Calibri" w:cs="Calibri"/>
          <w:b/>
          <w:bCs/>
          <w:noProof/>
          <w:sz w:val="18"/>
          <w:szCs w:val="24"/>
        </w:rPr>
        <w:t>2004</w:t>
      </w:r>
      <w:r w:rsidRPr="00843E38">
        <w:rPr>
          <w:rFonts w:ascii="Calibri" w:hAnsi="Calibri" w:cs="Calibri"/>
          <w:noProof/>
          <w:sz w:val="18"/>
          <w:szCs w:val="24"/>
        </w:rPr>
        <w:t xml:space="preserve">, </w:t>
      </w:r>
      <w:r w:rsidRPr="00843E38">
        <w:rPr>
          <w:rFonts w:ascii="Calibri" w:hAnsi="Calibri" w:cs="Calibri"/>
          <w:i/>
          <w:iCs/>
          <w:noProof/>
          <w:sz w:val="18"/>
          <w:szCs w:val="24"/>
        </w:rPr>
        <w:t>38</w:t>
      </w:r>
      <w:r w:rsidRPr="00843E38">
        <w:rPr>
          <w:rFonts w:ascii="Calibri" w:hAnsi="Calibri" w:cs="Calibri"/>
          <w:noProof/>
          <w:sz w:val="18"/>
          <w:szCs w:val="24"/>
        </w:rPr>
        <w:t>, 305–345, doi:10.1146/annurev.genet.37.110801.142705.</w:t>
      </w:r>
    </w:p>
    <w:p w14:paraId="69CB6F8F"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11. </w:t>
      </w:r>
      <w:r w:rsidRPr="00843E38">
        <w:rPr>
          <w:rFonts w:ascii="Calibri" w:hAnsi="Calibri" w:cs="Calibri"/>
          <w:noProof/>
          <w:sz w:val="18"/>
          <w:szCs w:val="24"/>
        </w:rPr>
        <w:tab/>
        <w:t xml:space="preserve">Stuurman, N.; Heins, S.; Aebi, U. Nuclear Lamins: Their Structure, Assembly, and Interactions. </w:t>
      </w:r>
      <w:r w:rsidRPr="00843E38">
        <w:rPr>
          <w:rFonts w:ascii="Calibri" w:hAnsi="Calibri" w:cs="Calibri"/>
          <w:i/>
          <w:iCs/>
          <w:noProof/>
          <w:sz w:val="18"/>
          <w:szCs w:val="24"/>
        </w:rPr>
        <w:t>J. Struct. Biol.</w:t>
      </w:r>
      <w:r w:rsidRPr="00843E38">
        <w:rPr>
          <w:rFonts w:ascii="Calibri" w:hAnsi="Calibri" w:cs="Calibri"/>
          <w:noProof/>
          <w:sz w:val="18"/>
          <w:szCs w:val="24"/>
        </w:rPr>
        <w:t xml:space="preserve"> </w:t>
      </w:r>
      <w:r w:rsidRPr="00843E38">
        <w:rPr>
          <w:rFonts w:ascii="Calibri" w:hAnsi="Calibri" w:cs="Calibri"/>
          <w:b/>
          <w:bCs/>
          <w:noProof/>
          <w:sz w:val="18"/>
          <w:szCs w:val="24"/>
        </w:rPr>
        <w:t>1998</w:t>
      </w:r>
      <w:r w:rsidRPr="00843E38">
        <w:rPr>
          <w:rFonts w:ascii="Calibri" w:hAnsi="Calibri" w:cs="Calibri"/>
          <w:noProof/>
          <w:sz w:val="18"/>
          <w:szCs w:val="24"/>
        </w:rPr>
        <w:t xml:space="preserve">, </w:t>
      </w:r>
      <w:r w:rsidRPr="00843E38">
        <w:rPr>
          <w:rFonts w:ascii="Calibri" w:hAnsi="Calibri" w:cs="Calibri"/>
          <w:i/>
          <w:iCs/>
          <w:noProof/>
          <w:sz w:val="18"/>
          <w:szCs w:val="24"/>
        </w:rPr>
        <w:t>122</w:t>
      </w:r>
      <w:r w:rsidRPr="00843E38">
        <w:rPr>
          <w:rFonts w:ascii="Calibri" w:hAnsi="Calibri" w:cs="Calibri"/>
          <w:noProof/>
          <w:sz w:val="18"/>
          <w:szCs w:val="24"/>
        </w:rPr>
        <w:t>, 42–66, doi:10.1006/JSBI.1998.3987.</w:t>
      </w:r>
    </w:p>
    <w:p w14:paraId="3C83B04B"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12. </w:t>
      </w:r>
      <w:r w:rsidRPr="00843E38">
        <w:rPr>
          <w:rFonts w:ascii="Calibri" w:hAnsi="Calibri" w:cs="Calibri"/>
          <w:noProof/>
          <w:sz w:val="18"/>
          <w:szCs w:val="24"/>
        </w:rPr>
        <w:tab/>
        <w:t xml:space="preserve">Crisp, M.; Liu, Q.; Roux, K.; Rattner, J.B.; Shanahan, C.; Burke, B.; Stahl, P.D.; Hodzic, D. Coupling of the Nucleus and Cytoplasm: Role of the LINC Complex. </w:t>
      </w:r>
      <w:r w:rsidRPr="00843E38">
        <w:rPr>
          <w:rFonts w:ascii="Calibri" w:hAnsi="Calibri" w:cs="Calibri"/>
          <w:i/>
          <w:iCs/>
          <w:noProof/>
          <w:sz w:val="18"/>
          <w:szCs w:val="24"/>
        </w:rPr>
        <w:t>J. Cell Biol.</w:t>
      </w:r>
      <w:r w:rsidRPr="00843E38">
        <w:rPr>
          <w:rFonts w:ascii="Calibri" w:hAnsi="Calibri" w:cs="Calibri"/>
          <w:noProof/>
          <w:sz w:val="18"/>
          <w:szCs w:val="24"/>
        </w:rPr>
        <w:t xml:space="preserve"> </w:t>
      </w:r>
      <w:r w:rsidRPr="00843E38">
        <w:rPr>
          <w:rFonts w:ascii="Calibri" w:hAnsi="Calibri" w:cs="Calibri"/>
          <w:b/>
          <w:bCs/>
          <w:noProof/>
          <w:sz w:val="18"/>
          <w:szCs w:val="24"/>
        </w:rPr>
        <w:t>2006</w:t>
      </w:r>
      <w:r w:rsidRPr="00843E38">
        <w:rPr>
          <w:rFonts w:ascii="Calibri" w:hAnsi="Calibri" w:cs="Calibri"/>
          <w:noProof/>
          <w:sz w:val="18"/>
          <w:szCs w:val="24"/>
        </w:rPr>
        <w:t xml:space="preserve">, </w:t>
      </w:r>
      <w:r w:rsidRPr="00843E38">
        <w:rPr>
          <w:rFonts w:ascii="Calibri" w:hAnsi="Calibri" w:cs="Calibri"/>
          <w:i/>
          <w:iCs/>
          <w:noProof/>
          <w:sz w:val="18"/>
          <w:szCs w:val="24"/>
        </w:rPr>
        <w:t>172</w:t>
      </w:r>
      <w:r w:rsidRPr="00843E38">
        <w:rPr>
          <w:rFonts w:ascii="Calibri" w:hAnsi="Calibri" w:cs="Calibri"/>
          <w:noProof/>
          <w:sz w:val="18"/>
          <w:szCs w:val="24"/>
        </w:rPr>
        <w:t>, 41–53, doi:10.1083/JCB.200509124.</w:t>
      </w:r>
    </w:p>
    <w:p w14:paraId="230F03F1"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13. </w:t>
      </w:r>
      <w:r w:rsidRPr="00843E38">
        <w:rPr>
          <w:rFonts w:ascii="Calibri" w:hAnsi="Calibri" w:cs="Calibri"/>
          <w:noProof/>
          <w:sz w:val="18"/>
          <w:szCs w:val="24"/>
        </w:rPr>
        <w:tab/>
        <w:t xml:space="preserve">Zhang, Q.; Skepper, J.N.; Yang, F.; Davies, J.D.; Hegyi, L.; Roberts, R.G.; Weissberg, P.L.; Ellis, J.A.; Shanahan, C.M. Nesprins: A Novel Family of Spectrin-Repeat-Containing Proteins That Localize to the Nuclear Membrane in Multiple Tissues. </w:t>
      </w:r>
      <w:r w:rsidRPr="00843E38">
        <w:rPr>
          <w:rFonts w:ascii="Calibri" w:hAnsi="Calibri" w:cs="Calibri"/>
          <w:i/>
          <w:iCs/>
          <w:noProof/>
          <w:sz w:val="18"/>
          <w:szCs w:val="24"/>
        </w:rPr>
        <w:t>J. Cell Sci.</w:t>
      </w:r>
      <w:r w:rsidRPr="00843E38">
        <w:rPr>
          <w:rFonts w:ascii="Calibri" w:hAnsi="Calibri" w:cs="Calibri"/>
          <w:noProof/>
          <w:sz w:val="18"/>
          <w:szCs w:val="24"/>
        </w:rPr>
        <w:t xml:space="preserve"> </w:t>
      </w:r>
      <w:r w:rsidRPr="00843E38">
        <w:rPr>
          <w:rFonts w:ascii="Calibri" w:hAnsi="Calibri" w:cs="Calibri"/>
          <w:b/>
          <w:bCs/>
          <w:noProof/>
          <w:sz w:val="18"/>
          <w:szCs w:val="24"/>
        </w:rPr>
        <w:t>2001</w:t>
      </w:r>
      <w:r w:rsidRPr="00843E38">
        <w:rPr>
          <w:rFonts w:ascii="Calibri" w:hAnsi="Calibri" w:cs="Calibri"/>
          <w:noProof/>
          <w:sz w:val="18"/>
          <w:szCs w:val="24"/>
        </w:rPr>
        <w:t xml:space="preserve">, </w:t>
      </w:r>
      <w:r w:rsidRPr="00843E38">
        <w:rPr>
          <w:rFonts w:ascii="Calibri" w:hAnsi="Calibri" w:cs="Calibri"/>
          <w:i/>
          <w:iCs/>
          <w:noProof/>
          <w:sz w:val="18"/>
          <w:szCs w:val="24"/>
        </w:rPr>
        <w:t>114</w:t>
      </w:r>
      <w:r w:rsidRPr="00843E38">
        <w:rPr>
          <w:rFonts w:ascii="Calibri" w:hAnsi="Calibri" w:cs="Calibri"/>
          <w:noProof/>
          <w:sz w:val="18"/>
          <w:szCs w:val="24"/>
        </w:rPr>
        <w:t>, 4485–4498, doi:10.1242/JCS.114.24.4485.</w:t>
      </w:r>
    </w:p>
    <w:p w14:paraId="1216EE19"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14. </w:t>
      </w:r>
      <w:r w:rsidRPr="00843E38">
        <w:rPr>
          <w:rFonts w:ascii="Calibri" w:hAnsi="Calibri" w:cs="Calibri"/>
          <w:noProof/>
          <w:sz w:val="18"/>
          <w:szCs w:val="24"/>
        </w:rPr>
        <w:tab/>
        <w:t xml:space="preserve">Cain, N.E.; Jahed, Z.; Schoenhofen, A.; Valdez, V.A.; Elkin, B.; Hao, H.; Harris, N.J.; Herrera, L.A.; Woolums, B.M.; Mofrad, M.R.K.; et al. Conserved SUN-KASH Interfaces Mediate LINC Complex-Dependent Nuclear Movement and Positioning. </w:t>
      </w:r>
      <w:r w:rsidRPr="00843E38">
        <w:rPr>
          <w:rFonts w:ascii="Calibri" w:hAnsi="Calibri" w:cs="Calibri"/>
          <w:i/>
          <w:iCs/>
          <w:noProof/>
          <w:sz w:val="18"/>
          <w:szCs w:val="24"/>
        </w:rPr>
        <w:t>Curr. Biol.</w:t>
      </w:r>
      <w:r w:rsidRPr="00843E38">
        <w:rPr>
          <w:rFonts w:ascii="Calibri" w:hAnsi="Calibri" w:cs="Calibri"/>
          <w:noProof/>
          <w:sz w:val="18"/>
          <w:szCs w:val="24"/>
        </w:rPr>
        <w:t xml:space="preserve"> </w:t>
      </w:r>
      <w:r w:rsidRPr="00843E38">
        <w:rPr>
          <w:rFonts w:ascii="Calibri" w:hAnsi="Calibri" w:cs="Calibri"/>
          <w:b/>
          <w:bCs/>
          <w:noProof/>
          <w:sz w:val="18"/>
          <w:szCs w:val="24"/>
        </w:rPr>
        <w:t>2018</w:t>
      </w:r>
      <w:r w:rsidRPr="00843E38">
        <w:rPr>
          <w:rFonts w:ascii="Calibri" w:hAnsi="Calibri" w:cs="Calibri"/>
          <w:noProof/>
          <w:sz w:val="18"/>
          <w:szCs w:val="24"/>
        </w:rPr>
        <w:t xml:space="preserve">, </w:t>
      </w:r>
      <w:r w:rsidRPr="00843E38">
        <w:rPr>
          <w:rFonts w:ascii="Calibri" w:hAnsi="Calibri" w:cs="Calibri"/>
          <w:i/>
          <w:iCs/>
          <w:noProof/>
          <w:sz w:val="18"/>
          <w:szCs w:val="24"/>
        </w:rPr>
        <w:t>28</w:t>
      </w:r>
      <w:r w:rsidRPr="00843E38">
        <w:rPr>
          <w:rFonts w:ascii="Calibri" w:hAnsi="Calibri" w:cs="Calibri"/>
          <w:noProof/>
          <w:sz w:val="18"/>
          <w:szCs w:val="24"/>
        </w:rPr>
        <w:t>, 3086-97.e4, doi:10.1016/j.cub.2018.08.001.</w:t>
      </w:r>
    </w:p>
    <w:p w14:paraId="14B8FBBE"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15. </w:t>
      </w:r>
      <w:r w:rsidRPr="00843E38">
        <w:rPr>
          <w:rFonts w:ascii="Calibri" w:hAnsi="Calibri" w:cs="Calibri"/>
          <w:noProof/>
          <w:sz w:val="18"/>
          <w:szCs w:val="24"/>
        </w:rPr>
        <w:tab/>
        <w:t xml:space="preserve">Tapley, E.C.; Starr, D.A. Connecting the Nucleus to the Cytoskeleton by SUN-KASH Bridges across the Nuclear Envelope. </w:t>
      </w:r>
      <w:r w:rsidRPr="00843E38">
        <w:rPr>
          <w:rFonts w:ascii="Calibri" w:hAnsi="Calibri" w:cs="Calibri"/>
          <w:i/>
          <w:iCs/>
          <w:noProof/>
          <w:sz w:val="18"/>
          <w:szCs w:val="24"/>
        </w:rPr>
        <w:t>Curr. Opin. Cell Biol.</w:t>
      </w:r>
      <w:r w:rsidRPr="00843E38">
        <w:rPr>
          <w:rFonts w:ascii="Calibri" w:hAnsi="Calibri" w:cs="Calibri"/>
          <w:noProof/>
          <w:sz w:val="18"/>
          <w:szCs w:val="24"/>
        </w:rPr>
        <w:t xml:space="preserve"> </w:t>
      </w:r>
      <w:r w:rsidRPr="00843E38">
        <w:rPr>
          <w:rFonts w:ascii="Calibri" w:hAnsi="Calibri" w:cs="Calibri"/>
          <w:b/>
          <w:bCs/>
          <w:noProof/>
          <w:sz w:val="18"/>
          <w:szCs w:val="24"/>
        </w:rPr>
        <w:t>2013</w:t>
      </w:r>
      <w:r w:rsidRPr="00843E38">
        <w:rPr>
          <w:rFonts w:ascii="Calibri" w:hAnsi="Calibri" w:cs="Calibri"/>
          <w:noProof/>
          <w:sz w:val="18"/>
          <w:szCs w:val="24"/>
        </w:rPr>
        <w:t xml:space="preserve">, </w:t>
      </w:r>
      <w:r w:rsidRPr="00843E38">
        <w:rPr>
          <w:rFonts w:ascii="Calibri" w:hAnsi="Calibri" w:cs="Calibri"/>
          <w:i/>
          <w:iCs/>
          <w:noProof/>
          <w:sz w:val="18"/>
          <w:szCs w:val="24"/>
        </w:rPr>
        <w:t>25</w:t>
      </w:r>
      <w:r w:rsidRPr="00843E38">
        <w:rPr>
          <w:rFonts w:ascii="Calibri" w:hAnsi="Calibri" w:cs="Calibri"/>
          <w:noProof/>
          <w:sz w:val="18"/>
          <w:szCs w:val="24"/>
        </w:rPr>
        <w:t>, 57–62, doi:10.1016/j.ceb.2012.10.014.</w:t>
      </w:r>
    </w:p>
    <w:p w14:paraId="179E6684"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16. </w:t>
      </w:r>
      <w:r w:rsidRPr="00843E38">
        <w:rPr>
          <w:rFonts w:ascii="Calibri" w:hAnsi="Calibri" w:cs="Calibri"/>
          <w:noProof/>
          <w:sz w:val="18"/>
          <w:szCs w:val="24"/>
        </w:rPr>
        <w:tab/>
        <w:t xml:space="preserve">Zhou, Z.; Du, X.; Cai, Z.; Song, X.; Zhang, H.; Mizuno, T.; Suzuki, E.; Yee, M.R.; Berezov, A.; Murali, R.; et al. Structure </w:t>
      </w:r>
      <w:r w:rsidRPr="00843E38">
        <w:rPr>
          <w:rFonts w:ascii="Calibri" w:hAnsi="Calibri" w:cs="Calibri"/>
          <w:noProof/>
          <w:sz w:val="18"/>
          <w:szCs w:val="24"/>
        </w:rPr>
        <w:lastRenderedPageBreak/>
        <w:t xml:space="preserve">of Sad1-UNC84 Homology (SUN) Domain Defines Features of Molecular Bridge in Nuclear Envelope. </w:t>
      </w:r>
      <w:r w:rsidRPr="00843E38">
        <w:rPr>
          <w:rFonts w:ascii="Calibri" w:hAnsi="Calibri" w:cs="Calibri"/>
          <w:i/>
          <w:iCs/>
          <w:noProof/>
          <w:sz w:val="18"/>
          <w:szCs w:val="24"/>
        </w:rPr>
        <w:t>J. Biol. Chem.</w:t>
      </w:r>
      <w:r w:rsidRPr="00843E38">
        <w:rPr>
          <w:rFonts w:ascii="Calibri" w:hAnsi="Calibri" w:cs="Calibri"/>
          <w:noProof/>
          <w:sz w:val="18"/>
          <w:szCs w:val="24"/>
        </w:rPr>
        <w:t xml:space="preserve"> </w:t>
      </w:r>
      <w:r w:rsidRPr="00843E38">
        <w:rPr>
          <w:rFonts w:ascii="Calibri" w:hAnsi="Calibri" w:cs="Calibri"/>
          <w:b/>
          <w:bCs/>
          <w:noProof/>
          <w:sz w:val="18"/>
          <w:szCs w:val="24"/>
        </w:rPr>
        <w:t>2012</w:t>
      </w:r>
      <w:r w:rsidRPr="00843E38">
        <w:rPr>
          <w:rFonts w:ascii="Calibri" w:hAnsi="Calibri" w:cs="Calibri"/>
          <w:noProof/>
          <w:sz w:val="18"/>
          <w:szCs w:val="24"/>
        </w:rPr>
        <w:t xml:space="preserve">, </w:t>
      </w:r>
      <w:r w:rsidRPr="00843E38">
        <w:rPr>
          <w:rFonts w:ascii="Calibri" w:hAnsi="Calibri" w:cs="Calibri"/>
          <w:i/>
          <w:iCs/>
          <w:noProof/>
          <w:sz w:val="18"/>
          <w:szCs w:val="24"/>
        </w:rPr>
        <w:t>287</w:t>
      </w:r>
      <w:r w:rsidRPr="00843E38">
        <w:rPr>
          <w:rFonts w:ascii="Calibri" w:hAnsi="Calibri" w:cs="Calibri"/>
          <w:noProof/>
          <w:sz w:val="18"/>
          <w:szCs w:val="24"/>
        </w:rPr>
        <w:t>, 5317–5326, doi:10.1074/jbc.M111.304543.</w:t>
      </w:r>
    </w:p>
    <w:p w14:paraId="32CF9C29"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17. </w:t>
      </w:r>
      <w:r w:rsidRPr="00843E38">
        <w:rPr>
          <w:rFonts w:ascii="Calibri" w:hAnsi="Calibri" w:cs="Calibri"/>
          <w:noProof/>
          <w:sz w:val="18"/>
          <w:szCs w:val="24"/>
        </w:rPr>
        <w:tab/>
        <w:t xml:space="preserve">Wilhelmsen, K.; Litjens, S.H.M.; Kuikman, I.; Tshimbalanga, N.; Janssen, H.; Van Bout, I. Den; Raymond, K.; Sonnenberg, A. Nesprin-3, a Novel Outer Nuclear Membrane Protein, Associates with the Cytoskeletal Linker Protein Plectin. </w:t>
      </w:r>
      <w:r w:rsidRPr="00843E38">
        <w:rPr>
          <w:rFonts w:ascii="Calibri" w:hAnsi="Calibri" w:cs="Calibri"/>
          <w:i/>
          <w:iCs/>
          <w:noProof/>
          <w:sz w:val="18"/>
          <w:szCs w:val="24"/>
        </w:rPr>
        <w:t>J. Cell Biol.</w:t>
      </w:r>
      <w:r w:rsidRPr="00843E38">
        <w:rPr>
          <w:rFonts w:ascii="Calibri" w:hAnsi="Calibri" w:cs="Calibri"/>
          <w:noProof/>
          <w:sz w:val="18"/>
          <w:szCs w:val="24"/>
        </w:rPr>
        <w:t xml:space="preserve"> </w:t>
      </w:r>
      <w:r w:rsidRPr="00843E38">
        <w:rPr>
          <w:rFonts w:ascii="Calibri" w:hAnsi="Calibri" w:cs="Calibri"/>
          <w:b/>
          <w:bCs/>
          <w:noProof/>
          <w:sz w:val="18"/>
          <w:szCs w:val="24"/>
        </w:rPr>
        <w:t>2005</w:t>
      </w:r>
      <w:r w:rsidRPr="00843E38">
        <w:rPr>
          <w:rFonts w:ascii="Calibri" w:hAnsi="Calibri" w:cs="Calibri"/>
          <w:noProof/>
          <w:sz w:val="18"/>
          <w:szCs w:val="24"/>
        </w:rPr>
        <w:t xml:space="preserve">, </w:t>
      </w:r>
      <w:r w:rsidRPr="00843E38">
        <w:rPr>
          <w:rFonts w:ascii="Calibri" w:hAnsi="Calibri" w:cs="Calibri"/>
          <w:i/>
          <w:iCs/>
          <w:noProof/>
          <w:sz w:val="18"/>
          <w:szCs w:val="24"/>
        </w:rPr>
        <w:t>171</w:t>
      </w:r>
      <w:r w:rsidRPr="00843E38">
        <w:rPr>
          <w:rFonts w:ascii="Calibri" w:hAnsi="Calibri" w:cs="Calibri"/>
          <w:noProof/>
          <w:sz w:val="18"/>
          <w:szCs w:val="24"/>
        </w:rPr>
        <w:t>, 799, doi:10.1083/JCB.200506083.</w:t>
      </w:r>
    </w:p>
    <w:p w14:paraId="61A6B24D"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18. </w:t>
      </w:r>
      <w:r w:rsidRPr="00843E38">
        <w:rPr>
          <w:rFonts w:ascii="Calibri" w:hAnsi="Calibri" w:cs="Calibri"/>
          <w:noProof/>
          <w:sz w:val="18"/>
          <w:szCs w:val="24"/>
        </w:rPr>
        <w:tab/>
        <w:t xml:space="preserve">Zhang, Q.; Ragnauth, C.; Greener, M.J.; Shanahan, C.M.; Roberts, R.G. The Nesprins Are Giant Actin-Binding Proteins, Orthologous to Drosophila Melanogaster Muscle Protein MSP-300. </w:t>
      </w:r>
      <w:r w:rsidRPr="00843E38">
        <w:rPr>
          <w:rFonts w:ascii="Calibri" w:hAnsi="Calibri" w:cs="Calibri"/>
          <w:i/>
          <w:iCs/>
          <w:noProof/>
          <w:sz w:val="18"/>
          <w:szCs w:val="24"/>
        </w:rPr>
        <w:t>Genomics</w:t>
      </w:r>
      <w:r w:rsidRPr="00843E38">
        <w:rPr>
          <w:rFonts w:ascii="Calibri" w:hAnsi="Calibri" w:cs="Calibri"/>
          <w:noProof/>
          <w:sz w:val="18"/>
          <w:szCs w:val="24"/>
        </w:rPr>
        <w:t xml:space="preserve"> </w:t>
      </w:r>
      <w:r w:rsidRPr="00843E38">
        <w:rPr>
          <w:rFonts w:ascii="Calibri" w:hAnsi="Calibri" w:cs="Calibri"/>
          <w:b/>
          <w:bCs/>
          <w:noProof/>
          <w:sz w:val="18"/>
          <w:szCs w:val="24"/>
        </w:rPr>
        <w:t>2002</w:t>
      </w:r>
      <w:r w:rsidRPr="00843E38">
        <w:rPr>
          <w:rFonts w:ascii="Calibri" w:hAnsi="Calibri" w:cs="Calibri"/>
          <w:noProof/>
          <w:sz w:val="18"/>
          <w:szCs w:val="24"/>
        </w:rPr>
        <w:t xml:space="preserve">, </w:t>
      </w:r>
      <w:r w:rsidRPr="00843E38">
        <w:rPr>
          <w:rFonts w:ascii="Calibri" w:hAnsi="Calibri" w:cs="Calibri"/>
          <w:i/>
          <w:iCs/>
          <w:noProof/>
          <w:sz w:val="18"/>
          <w:szCs w:val="24"/>
        </w:rPr>
        <w:t>80</w:t>
      </w:r>
      <w:r w:rsidRPr="00843E38">
        <w:rPr>
          <w:rFonts w:ascii="Calibri" w:hAnsi="Calibri" w:cs="Calibri"/>
          <w:noProof/>
          <w:sz w:val="18"/>
          <w:szCs w:val="24"/>
        </w:rPr>
        <w:t>, 473–481, doi:10.1006/GENO.2002.6859.</w:t>
      </w:r>
    </w:p>
    <w:p w14:paraId="531312E8"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19. </w:t>
      </w:r>
      <w:r w:rsidRPr="00843E38">
        <w:rPr>
          <w:rFonts w:ascii="Calibri" w:hAnsi="Calibri" w:cs="Calibri"/>
          <w:noProof/>
          <w:sz w:val="18"/>
          <w:szCs w:val="24"/>
        </w:rPr>
        <w:tab/>
        <w:t xml:space="preserve">Meinke, P.; Nguyen, T.D.; Wehnert, M.S. The LINC Complex and Human Disease. </w:t>
      </w:r>
      <w:r w:rsidRPr="00843E38">
        <w:rPr>
          <w:rFonts w:ascii="Calibri" w:hAnsi="Calibri" w:cs="Calibri"/>
          <w:i/>
          <w:iCs/>
          <w:noProof/>
          <w:sz w:val="18"/>
          <w:szCs w:val="24"/>
        </w:rPr>
        <w:t>Biochem. Soc. Trans.</w:t>
      </w:r>
      <w:r w:rsidRPr="00843E38">
        <w:rPr>
          <w:rFonts w:ascii="Calibri" w:hAnsi="Calibri" w:cs="Calibri"/>
          <w:noProof/>
          <w:sz w:val="18"/>
          <w:szCs w:val="24"/>
        </w:rPr>
        <w:t xml:space="preserve"> </w:t>
      </w:r>
      <w:r w:rsidRPr="00843E38">
        <w:rPr>
          <w:rFonts w:ascii="Calibri" w:hAnsi="Calibri" w:cs="Calibri"/>
          <w:b/>
          <w:bCs/>
          <w:noProof/>
          <w:sz w:val="18"/>
          <w:szCs w:val="24"/>
        </w:rPr>
        <w:t>2011</w:t>
      </w:r>
      <w:r w:rsidRPr="00843E38">
        <w:rPr>
          <w:rFonts w:ascii="Calibri" w:hAnsi="Calibri" w:cs="Calibri"/>
          <w:noProof/>
          <w:sz w:val="18"/>
          <w:szCs w:val="24"/>
        </w:rPr>
        <w:t xml:space="preserve">, </w:t>
      </w:r>
      <w:r w:rsidRPr="00843E38">
        <w:rPr>
          <w:rFonts w:ascii="Calibri" w:hAnsi="Calibri" w:cs="Calibri"/>
          <w:i/>
          <w:iCs/>
          <w:noProof/>
          <w:sz w:val="18"/>
          <w:szCs w:val="24"/>
        </w:rPr>
        <w:t>39</w:t>
      </w:r>
      <w:r w:rsidRPr="00843E38">
        <w:rPr>
          <w:rFonts w:ascii="Calibri" w:hAnsi="Calibri" w:cs="Calibri"/>
          <w:noProof/>
          <w:sz w:val="18"/>
          <w:szCs w:val="24"/>
        </w:rPr>
        <w:t>, 1693–1697, doi:10.1042/BST20110658.</w:t>
      </w:r>
    </w:p>
    <w:p w14:paraId="1DC92D71"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20. </w:t>
      </w:r>
      <w:r w:rsidRPr="00843E38">
        <w:rPr>
          <w:rFonts w:ascii="Calibri" w:hAnsi="Calibri" w:cs="Calibri"/>
          <w:noProof/>
          <w:sz w:val="18"/>
          <w:szCs w:val="24"/>
        </w:rPr>
        <w:tab/>
        <w:t xml:space="preserve">Storey, E.C.; Holt, I.; Morris, G.E.; Fuller, H.R. Muscle Cell Differentiation and Development Pathway Defects in Emery-Dreifuss Muscular Dystrophy. </w:t>
      </w:r>
      <w:r w:rsidRPr="00843E38">
        <w:rPr>
          <w:rFonts w:ascii="Calibri" w:hAnsi="Calibri" w:cs="Calibri"/>
          <w:i/>
          <w:iCs/>
          <w:noProof/>
          <w:sz w:val="18"/>
          <w:szCs w:val="24"/>
        </w:rPr>
        <w:t>Neuromuscul. Disord.</w:t>
      </w:r>
      <w:r w:rsidRPr="00843E38">
        <w:rPr>
          <w:rFonts w:ascii="Calibri" w:hAnsi="Calibri" w:cs="Calibri"/>
          <w:noProof/>
          <w:sz w:val="18"/>
          <w:szCs w:val="24"/>
        </w:rPr>
        <w:t xml:space="preserve"> </w:t>
      </w:r>
      <w:r w:rsidRPr="00843E38">
        <w:rPr>
          <w:rFonts w:ascii="Calibri" w:hAnsi="Calibri" w:cs="Calibri"/>
          <w:b/>
          <w:bCs/>
          <w:noProof/>
          <w:sz w:val="18"/>
          <w:szCs w:val="24"/>
        </w:rPr>
        <w:t>2020</w:t>
      </w:r>
      <w:r w:rsidRPr="00843E38">
        <w:rPr>
          <w:rFonts w:ascii="Calibri" w:hAnsi="Calibri" w:cs="Calibri"/>
          <w:noProof/>
          <w:sz w:val="18"/>
          <w:szCs w:val="24"/>
        </w:rPr>
        <w:t xml:space="preserve">, </w:t>
      </w:r>
      <w:r w:rsidRPr="00843E38">
        <w:rPr>
          <w:rFonts w:ascii="Calibri" w:hAnsi="Calibri" w:cs="Calibri"/>
          <w:i/>
          <w:iCs/>
          <w:noProof/>
          <w:sz w:val="18"/>
          <w:szCs w:val="24"/>
        </w:rPr>
        <w:t>30</w:t>
      </w:r>
      <w:r w:rsidRPr="00843E38">
        <w:rPr>
          <w:rFonts w:ascii="Calibri" w:hAnsi="Calibri" w:cs="Calibri"/>
          <w:noProof/>
          <w:sz w:val="18"/>
          <w:szCs w:val="24"/>
        </w:rPr>
        <w:t>, 443–456, doi:10.1016/j.nmd.2020.04.002.</w:t>
      </w:r>
    </w:p>
    <w:p w14:paraId="49E115C0"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21. </w:t>
      </w:r>
      <w:r w:rsidRPr="00843E38">
        <w:rPr>
          <w:rFonts w:ascii="Calibri" w:hAnsi="Calibri" w:cs="Calibri"/>
          <w:noProof/>
          <w:sz w:val="18"/>
          <w:szCs w:val="24"/>
        </w:rPr>
        <w:tab/>
        <w:t xml:space="preserve">Gueneau, L.; Bertrand, A.T.; Jais, J.-P.; Salih, M.A.; Stojkovic, T.; Wehnert, M.; Hoeltzenbein, M.; Spuler, S.; Saitoh, S.; Verschueren, A.; et al. Mutations of the FHL1 Gene Cause Emery-Dreifuss Muscular Dystrophy. </w:t>
      </w:r>
      <w:r w:rsidRPr="00843E38">
        <w:rPr>
          <w:rFonts w:ascii="Calibri" w:hAnsi="Calibri" w:cs="Calibri"/>
          <w:i/>
          <w:iCs/>
          <w:noProof/>
          <w:sz w:val="18"/>
          <w:szCs w:val="24"/>
        </w:rPr>
        <w:t>Am. J. Hum. Genet.</w:t>
      </w:r>
      <w:r w:rsidRPr="00843E38">
        <w:rPr>
          <w:rFonts w:ascii="Calibri" w:hAnsi="Calibri" w:cs="Calibri"/>
          <w:noProof/>
          <w:sz w:val="18"/>
          <w:szCs w:val="24"/>
        </w:rPr>
        <w:t xml:space="preserve"> </w:t>
      </w:r>
      <w:r w:rsidRPr="00843E38">
        <w:rPr>
          <w:rFonts w:ascii="Calibri" w:hAnsi="Calibri" w:cs="Calibri"/>
          <w:b/>
          <w:bCs/>
          <w:noProof/>
          <w:sz w:val="18"/>
          <w:szCs w:val="24"/>
        </w:rPr>
        <w:t>2009</w:t>
      </w:r>
      <w:r w:rsidRPr="00843E38">
        <w:rPr>
          <w:rFonts w:ascii="Calibri" w:hAnsi="Calibri" w:cs="Calibri"/>
          <w:noProof/>
          <w:sz w:val="18"/>
          <w:szCs w:val="24"/>
        </w:rPr>
        <w:t xml:space="preserve">, </w:t>
      </w:r>
      <w:r w:rsidRPr="00843E38">
        <w:rPr>
          <w:rFonts w:ascii="Calibri" w:hAnsi="Calibri" w:cs="Calibri"/>
          <w:i/>
          <w:iCs/>
          <w:noProof/>
          <w:sz w:val="18"/>
          <w:szCs w:val="24"/>
        </w:rPr>
        <w:t>85</w:t>
      </w:r>
      <w:r w:rsidRPr="00843E38">
        <w:rPr>
          <w:rFonts w:ascii="Calibri" w:hAnsi="Calibri" w:cs="Calibri"/>
          <w:noProof/>
          <w:sz w:val="18"/>
          <w:szCs w:val="24"/>
        </w:rPr>
        <w:t>, 338–353, doi:10.1016/J.AJHG.2009.07.015.</w:t>
      </w:r>
    </w:p>
    <w:p w14:paraId="5B0C4E73"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22. </w:t>
      </w:r>
      <w:r w:rsidRPr="00843E38">
        <w:rPr>
          <w:rFonts w:ascii="Calibri" w:hAnsi="Calibri" w:cs="Calibri"/>
          <w:noProof/>
          <w:sz w:val="18"/>
          <w:szCs w:val="24"/>
        </w:rPr>
        <w:tab/>
        <w:t xml:space="preserve">Bonne, G.; Barletta, M.R. Di; Varnous, S.; Bécane, H.-M.; Hammouda, E.-H.; Merlini, L.; Muntoni, F.; Greenberg, C.R.; Gary, F.; Urtizberea, J.-A.; et al. Mutations in the Gene Encoding Lamin A/C Cause Autosomal Dominant Emery-Dreifuss Muscular Dystrophy. </w:t>
      </w:r>
      <w:r w:rsidRPr="00843E38">
        <w:rPr>
          <w:rFonts w:ascii="Calibri" w:hAnsi="Calibri" w:cs="Calibri"/>
          <w:i/>
          <w:iCs/>
          <w:noProof/>
          <w:sz w:val="18"/>
          <w:szCs w:val="24"/>
        </w:rPr>
        <w:t>Nat. Genet.</w:t>
      </w:r>
      <w:r w:rsidRPr="00843E38">
        <w:rPr>
          <w:rFonts w:ascii="Calibri" w:hAnsi="Calibri" w:cs="Calibri"/>
          <w:noProof/>
          <w:sz w:val="18"/>
          <w:szCs w:val="24"/>
        </w:rPr>
        <w:t xml:space="preserve"> </w:t>
      </w:r>
      <w:r w:rsidRPr="00843E38">
        <w:rPr>
          <w:rFonts w:ascii="Calibri" w:hAnsi="Calibri" w:cs="Calibri"/>
          <w:b/>
          <w:bCs/>
          <w:noProof/>
          <w:sz w:val="18"/>
          <w:szCs w:val="24"/>
        </w:rPr>
        <w:t>1999</w:t>
      </w:r>
      <w:r w:rsidRPr="00843E38">
        <w:rPr>
          <w:rFonts w:ascii="Calibri" w:hAnsi="Calibri" w:cs="Calibri"/>
          <w:noProof/>
          <w:sz w:val="18"/>
          <w:szCs w:val="24"/>
        </w:rPr>
        <w:t xml:space="preserve">, </w:t>
      </w:r>
      <w:r w:rsidRPr="00843E38">
        <w:rPr>
          <w:rFonts w:ascii="Calibri" w:hAnsi="Calibri" w:cs="Calibri"/>
          <w:i/>
          <w:iCs/>
          <w:noProof/>
          <w:sz w:val="18"/>
          <w:szCs w:val="24"/>
        </w:rPr>
        <w:t>21</w:t>
      </w:r>
      <w:r w:rsidRPr="00843E38">
        <w:rPr>
          <w:rFonts w:ascii="Calibri" w:hAnsi="Calibri" w:cs="Calibri"/>
          <w:noProof/>
          <w:sz w:val="18"/>
          <w:szCs w:val="24"/>
        </w:rPr>
        <w:t>, 285–288, doi:10.1038/6799.</w:t>
      </w:r>
    </w:p>
    <w:p w14:paraId="022A7A9B"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23. </w:t>
      </w:r>
      <w:r w:rsidRPr="00843E38">
        <w:rPr>
          <w:rFonts w:ascii="Calibri" w:hAnsi="Calibri" w:cs="Calibri"/>
          <w:noProof/>
          <w:sz w:val="18"/>
          <w:szCs w:val="24"/>
        </w:rPr>
        <w:tab/>
        <w:t xml:space="preserve">Zhang, Q.; Bethmann, C.; Worth, N.F.; Davies, J.D.; Wasner, C.; Feuer, A.; Ragnauth, C.D.; Yi, Q.; Mellad, J.A.; Warren, D.T.; et al. Nesprin-1 and -2 Are Involved in the Pathogenesis of Emery Dreifuss Muscular Dystrophy and Are Critical for Nuclear Envelope Integrity. </w:t>
      </w:r>
      <w:r w:rsidRPr="00843E38">
        <w:rPr>
          <w:rFonts w:ascii="Calibri" w:hAnsi="Calibri" w:cs="Calibri"/>
          <w:i/>
          <w:iCs/>
          <w:noProof/>
          <w:sz w:val="18"/>
          <w:szCs w:val="24"/>
        </w:rPr>
        <w:t>Hum. Mol. Genet.</w:t>
      </w:r>
      <w:r w:rsidRPr="00843E38">
        <w:rPr>
          <w:rFonts w:ascii="Calibri" w:hAnsi="Calibri" w:cs="Calibri"/>
          <w:noProof/>
          <w:sz w:val="18"/>
          <w:szCs w:val="24"/>
        </w:rPr>
        <w:t xml:space="preserve"> </w:t>
      </w:r>
      <w:r w:rsidRPr="00843E38">
        <w:rPr>
          <w:rFonts w:ascii="Calibri" w:hAnsi="Calibri" w:cs="Calibri"/>
          <w:b/>
          <w:bCs/>
          <w:noProof/>
          <w:sz w:val="18"/>
          <w:szCs w:val="24"/>
        </w:rPr>
        <w:t>2007</w:t>
      </w:r>
      <w:r w:rsidRPr="00843E38">
        <w:rPr>
          <w:rFonts w:ascii="Calibri" w:hAnsi="Calibri" w:cs="Calibri"/>
          <w:noProof/>
          <w:sz w:val="18"/>
          <w:szCs w:val="24"/>
        </w:rPr>
        <w:t xml:space="preserve">, </w:t>
      </w:r>
      <w:r w:rsidRPr="00843E38">
        <w:rPr>
          <w:rFonts w:ascii="Calibri" w:hAnsi="Calibri" w:cs="Calibri"/>
          <w:i/>
          <w:iCs/>
          <w:noProof/>
          <w:sz w:val="18"/>
          <w:szCs w:val="24"/>
        </w:rPr>
        <w:t>16</w:t>
      </w:r>
      <w:r w:rsidRPr="00843E38">
        <w:rPr>
          <w:rFonts w:ascii="Calibri" w:hAnsi="Calibri" w:cs="Calibri"/>
          <w:noProof/>
          <w:sz w:val="18"/>
          <w:szCs w:val="24"/>
        </w:rPr>
        <w:t>, 2816–2833.</w:t>
      </w:r>
    </w:p>
    <w:p w14:paraId="32AE4435"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24. </w:t>
      </w:r>
      <w:r w:rsidRPr="00843E38">
        <w:rPr>
          <w:rFonts w:ascii="Calibri" w:hAnsi="Calibri" w:cs="Calibri"/>
          <w:noProof/>
          <w:sz w:val="18"/>
          <w:szCs w:val="24"/>
        </w:rPr>
        <w:tab/>
        <w:t xml:space="preserve">Liang, W.-C.; Mitsuhashi, H.; Keduka, E.; Nonaka, I.; Noguchi, S.; Nishino, I.; Hayashi, Y.K. TMEM43 Mutations in Emery-Dreifuss Muscular Dystrophy-Related Myopathy. </w:t>
      </w:r>
      <w:r w:rsidRPr="00843E38">
        <w:rPr>
          <w:rFonts w:ascii="Calibri" w:hAnsi="Calibri" w:cs="Calibri"/>
          <w:i/>
          <w:iCs/>
          <w:noProof/>
          <w:sz w:val="18"/>
          <w:szCs w:val="24"/>
        </w:rPr>
        <w:t>Ann. Neurol.</w:t>
      </w:r>
      <w:r w:rsidRPr="00843E38">
        <w:rPr>
          <w:rFonts w:ascii="Calibri" w:hAnsi="Calibri" w:cs="Calibri"/>
          <w:noProof/>
          <w:sz w:val="18"/>
          <w:szCs w:val="24"/>
        </w:rPr>
        <w:t xml:space="preserve"> </w:t>
      </w:r>
      <w:r w:rsidRPr="00843E38">
        <w:rPr>
          <w:rFonts w:ascii="Calibri" w:hAnsi="Calibri" w:cs="Calibri"/>
          <w:b/>
          <w:bCs/>
          <w:noProof/>
          <w:sz w:val="18"/>
          <w:szCs w:val="24"/>
        </w:rPr>
        <w:t>2011</w:t>
      </w:r>
      <w:r w:rsidRPr="00843E38">
        <w:rPr>
          <w:rFonts w:ascii="Calibri" w:hAnsi="Calibri" w:cs="Calibri"/>
          <w:noProof/>
          <w:sz w:val="18"/>
          <w:szCs w:val="24"/>
        </w:rPr>
        <w:t xml:space="preserve">, </w:t>
      </w:r>
      <w:r w:rsidRPr="00843E38">
        <w:rPr>
          <w:rFonts w:ascii="Calibri" w:hAnsi="Calibri" w:cs="Calibri"/>
          <w:i/>
          <w:iCs/>
          <w:noProof/>
          <w:sz w:val="18"/>
          <w:szCs w:val="24"/>
        </w:rPr>
        <w:t>69</w:t>
      </w:r>
      <w:r w:rsidRPr="00843E38">
        <w:rPr>
          <w:rFonts w:ascii="Calibri" w:hAnsi="Calibri" w:cs="Calibri"/>
          <w:noProof/>
          <w:sz w:val="18"/>
          <w:szCs w:val="24"/>
        </w:rPr>
        <w:t>, 1005–1013, doi:10.1002/ana.22338.</w:t>
      </w:r>
    </w:p>
    <w:p w14:paraId="627B6C10"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25. </w:t>
      </w:r>
      <w:r w:rsidRPr="00843E38">
        <w:rPr>
          <w:rFonts w:ascii="Calibri" w:hAnsi="Calibri" w:cs="Calibri"/>
          <w:noProof/>
          <w:sz w:val="18"/>
          <w:szCs w:val="24"/>
        </w:rPr>
        <w:tab/>
        <w:t xml:space="preserve">Bione, S.; Maestrini, E.; Rivella, S.; Mancini, M.; Regis, S.; Romeo, G.; Toniolo, D. Identification of a Novel X-Linked Gene Responsible for Emery-Dreifuss Muscular Dystrophy. </w:t>
      </w:r>
      <w:r w:rsidRPr="00843E38">
        <w:rPr>
          <w:rFonts w:ascii="Calibri" w:hAnsi="Calibri" w:cs="Calibri"/>
          <w:i/>
          <w:iCs/>
          <w:noProof/>
          <w:sz w:val="18"/>
          <w:szCs w:val="24"/>
        </w:rPr>
        <w:t>Nat. Genet.</w:t>
      </w:r>
      <w:r w:rsidRPr="00843E38">
        <w:rPr>
          <w:rFonts w:ascii="Calibri" w:hAnsi="Calibri" w:cs="Calibri"/>
          <w:noProof/>
          <w:sz w:val="18"/>
          <w:szCs w:val="24"/>
        </w:rPr>
        <w:t xml:space="preserve"> </w:t>
      </w:r>
      <w:r w:rsidRPr="00843E38">
        <w:rPr>
          <w:rFonts w:ascii="Calibri" w:hAnsi="Calibri" w:cs="Calibri"/>
          <w:b/>
          <w:bCs/>
          <w:noProof/>
          <w:sz w:val="18"/>
          <w:szCs w:val="24"/>
        </w:rPr>
        <w:t>1994</w:t>
      </w:r>
      <w:r w:rsidRPr="00843E38">
        <w:rPr>
          <w:rFonts w:ascii="Calibri" w:hAnsi="Calibri" w:cs="Calibri"/>
          <w:noProof/>
          <w:sz w:val="18"/>
          <w:szCs w:val="24"/>
        </w:rPr>
        <w:t xml:space="preserve">, </w:t>
      </w:r>
      <w:r w:rsidRPr="00843E38">
        <w:rPr>
          <w:rFonts w:ascii="Calibri" w:hAnsi="Calibri" w:cs="Calibri"/>
          <w:i/>
          <w:iCs/>
          <w:noProof/>
          <w:sz w:val="18"/>
          <w:szCs w:val="24"/>
        </w:rPr>
        <w:t>8</w:t>
      </w:r>
      <w:r w:rsidRPr="00843E38">
        <w:rPr>
          <w:rFonts w:ascii="Calibri" w:hAnsi="Calibri" w:cs="Calibri"/>
          <w:noProof/>
          <w:sz w:val="18"/>
          <w:szCs w:val="24"/>
        </w:rPr>
        <w:t>, 323–327, doi:10.1038/ng1294-323.</w:t>
      </w:r>
    </w:p>
    <w:p w14:paraId="33ED853E"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26. </w:t>
      </w:r>
      <w:r w:rsidRPr="00843E38">
        <w:rPr>
          <w:rFonts w:ascii="Calibri" w:hAnsi="Calibri" w:cs="Calibri"/>
          <w:noProof/>
          <w:sz w:val="18"/>
          <w:szCs w:val="24"/>
        </w:rPr>
        <w:tab/>
        <w:t xml:space="preserve">Crasto, S.; My, I.; Di Pasquale, E. The Broad Spectrum of LMNA Cardiac Diseases: From Molecular Mechanisms to Clinical Phenotype. </w:t>
      </w:r>
      <w:r w:rsidRPr="00843E38">
        <w:rPr>
          <w:rFonts w:ascii="Calibri" w:hAnsi="Calibri" w:cs="Calibri"/>
          <w:i/>
          <w:iCs/>
          <w:noProof/>
          <w:sz w:val="18"/>
          <w:szCs w:val="24"/>
        </w:rPr>
        <w:t>Front. Physiol.</w:t>
      </w:r>
      <w:r w:rsidRPr="00843E38">
        <w:rPr>
          <w:rFonts w:ascii="Calibri" w:hAnsi="Calibri" w:cs="Calibri"/>
          <w:noProof/>
          <w:sz w:val="18"/>
          <w:szCs w:val="24"/>
        </w:rPr>
        <w:t xml:space="preserve"> </w:t>
      </w:r>
      <w:r w:rsidRPr="00843E38">
        <w:rPr>
          <w:rFonts w:ascii="Calibri" w:hAnsi="Calibri" w:cs="Calibri"/>
          <w:b/>
          <w:bCs/>
          <w:noProof/>
          <w:sz w:val="18"/>
          <w:szCs w:val="24"/>
        </w:rPr>
        <w:t>2020</w:t>
      </w:r>
      <w:r w:rsidRPr="00843E38">
        <w:rPr>
          <w:rFonts w:ascii="Calibri" w:hAnsi="Calibri" w:cs="Calibri"/>
          <w:noProof/>
          <w:sz w:val="18"/>
          <w:szCs w:val="24"/>
        </w:rPr>
        <w:t xml:space="preserve">, </w:t>
      </w:r>
      <w:r w:rsidRPr="00843E38">
        <w:rPr>
          <w:rFonts w:ascii="Calibri" w:hAnsi="Calibri" w:cs="Calibri"/>
          <w:i/>
          <w:iCs/>
          <w:noProof/>
          <w:sz w:val="18"/>
          <w:szCs w:val="24"/>
        </w:rPr>
        <w:t>11</w:t>
      </w:r>
      <w:r w:rsidRPr="00843E38">
        <w:rPr>
          <w:rFonts w:ascii="Calibri" w:hAnsi="Calibri" w:cs="Calibri"/>
          <w:noProof/>
          <w:sz w:val="18"/>
          <w:szCs w:val="24"/>
        </w:rPr>
        <w:t>, 761, doi:10.3389/fphys.2020.00761.</w:t>
      </w:r>
    </w:p>
    <w:p w14:paraId="3A1D76C9"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27. </w:t>
      </w:r>
      <w:r w:rsidRPr="00843E38">
        <w:rPr>
          <w:rFonts w:ascii="Calibri" w:hAnsi="Calibri" w:cs="Calibri"/>
          <w:noProof/>
          <w:sz w:val="18"/>
          <w:szCs w:val="24"/>
        </w:rPr>
        <w:tab/>
        <w:t xml:space="preserve">Sullivan, T.; Escalante-Alcalde, D.; Bhatt, H.; Anver, M.; Bhat, N.; Nagashima, K.; Stewart, C.L.; Burke, B. Loss of A-Type Lamin Expression Compromises Nuclear Envelope Integrity Leading to Muscular Dystrophy. </w:t>
      </w:r>
      <w:r w:rsidRPr="00843E38">
        <w:rPr>
          <w:rFonts w:ascii="Calibri" w:hAnsi="Calibri" w:cs="Calibri"/>
          <w:i/>
          <w:iCs/>
          <w:noProof/>
          <w:sz w:val="18"/>
          <w:szCs w:val="24"/>
        </w:rPr>
        <w:t>J. Cell Biol.</w:t>
      </w:r>
      <w:r w:rsidRPr="00843E38">
        <w:rPr>
          <w:rFonts w:ascii="Calibri" w:hAnsi="Calibri" w:cs="Calibri"/>
          <w:noProof/>
          <w:sz w:val="18"/>
          <w:szCs w:val="24"/>
        </w:rPr>
        <w:t xml:space="preserve"> </w:t>
      </w:r>
      <w:r w:rsidRPr="00843E38">
        <w:rPr>
          <w:rFonts w:ascii="Calibri" w:hAnsi="Calibri" w:cs="Calibri"/>
          <w:b/>
          <w:bCs/>
          <w:noProof/>
          <w:sz w:val="18"/>
          <w:szCs w:val="24"/>
        </w:rPr>
        <w:t>1999</w:t>
      </w:r>
      <w:r w:rsidRPr="00843E38">
        <w:rPr>
          <w:rFonts w:ascii="Calibri" w:hAnsi="Calibri" w:cs="Calibri"/>
          <w:noProof/>
          <w:sz w:val="18"/>
          <w:szCs w:val="24"/>
        </w:rPr>
        <w:t xml:space="preserve">, </w:t>
      </w:r>
      <w:r w:rsidRPr="00843E38">
        <w:rPr>
          <w:rFonts w:ascii="Calibri" w:hAnsi="Calibri" w:cs="Calibri"/>
          <w:i/>
          <w:iCs/>
          <w:noProof/>
          <w:sz w:val="18"/>
          <w:szCs w:val="24"/>
        </w:rPr>
        <w:t>147</w:t>
      </w:r>
      <w:r w:rsidRPr="00843E38">
        <w:rPr>
          <w:rFonts w:ascii="Calibri" w:hAnsi="Calibri" w:cs="Calibri"/>
          <w:noProof/>
          <w:sz w:val="18"/>
          <w:szCs w:val="24"/>
        </w:rPr>
        <w:t>, 913–919, doi:10.1083/jcb.147.5.913.</w:t>
      </w:r>
    </w:p>
    <w:p w14:paraId="1762E001"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28. </w:t>
      </w:r>
      <w:r w:rsidRPr="00843E38">
        <w:rPr>
          <w:rFonts w:ascii="Calibri" w:hAnsi="Calibri" w:cs="Calibri"/>
          <w:noProof/>
          <w:sz w:val="18"/>
          <w:szCs w:val="24"/>
        </w:rPr>
        <w:tab/>
        <w:t xml:space="preserve">Simon, D.N.; Wilson, K.L. Partners and Post-Translational Modifications of Nuclear Lamins. </w:t>
      </w:r>
      <w:r w:rsidRPr="00843E38">
        <w:rPr>
          <w:rFonts w:ascii="Calibri" w:hAnsi="Calibri" w:cs="Calibri"/>
          <w:i/>
          <w:iCs/>
          <w:noProof/>
          <w:sz w:val="18"/>
          <w:szCs w:val="24"/>
        </w:rPr>
        <w:t>Chromosoma</w:t>
      </w:r>
      <w:r w:rsidRPr="00843E38">
        <w:rPr>
          <w:rFonts w:ascii="Calibri" w:hAnsi="Calibri" w:cs="Calibri"/>
          <w:noProof/>
          <w:sz w:val="18"/>
          <w:szCs w:val="24"/>
        </w:rPr>
        <w:t xml:space="preserve"> </w:t>
      </w:r>
      <w:r w:rsidRPr="00843E38">
        <w:rPr>
          <w:rFonts w:ascii="Calibri" w:hAnsi="Calibri" w:cs="Calibri"/>
          <w:b/>
          <w:bCs/>
          <w:noProof/>
          <w:sz w:val="18"/>
          <w:szCs w:val="24"/>
        </w:rPr>
        <w:t>2013</w:t>
      </w:r>
      <w:r w:rsidRPr="00843E38">
        <w:rPr>
          <w:rFonts w:ascii="Calibri" w:hAnsi="Calibri" w:cs="Calibri"/>
          <w:noProof/>
          <w:sz w:val="18"/>
          <w:szCs w:val="24"/>
        </w:rPr>
        <w:t xml:space="preserve">, </w:t>
      </w:r>
      <w:r w:rsidRPr="00843E38">
        <w:rPr>
          <w:rFonts w:ascii="Calibri" w:hAnsi="Calibri" w:cs="Calibri"/>
          <w:i/>
          <w:iCs/>
          <w:noProof/>
          <w:sz w:val="18"/>
          <w:szCs w:val="24"/>
        </w:rPr>
        <w:t>122</w:t>
      </w:r>
      <w:r w:rsidRPr="00843E38">
        <w:rPr>
          <w:rFonts w:ascii="Calibri" w:hAnsi="Calibri" w:cs="Calibri"/>
          <w:noProof/>
          <w:sz w:val="18"/>
          <w:szCs w:val="24"/>
        </w:rPr>
        <w:t>, 13–31, doi:10.1007/S00412-013-0399-8.</w:t>
      </w:r>
    </w:p>
    <w:p w14:paraId="473837D1"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29. </w:t>
      </w:r>
      <w:r w:rsidRPr="00843E38">
        <w:rPr>
          <w:rFonts w:ascii="Calibri" w:hAnsi="Calibri" w:cs="Calibri"/>
          <w:noProof/>
          <w:sz w:val="18"/>
          <w:szCs w:val="24"/>
        </w:rPr>
        <w:tab/>
        <w:t xml:space="preserve">Mercuri, E.; Poppe, M.; Quinlivan, R.; Messina, S.; Kinali, M.; Demay, L.; Bourke, J.; Richard, P.; Sewry, C.; Pike, M.; et al. Extreme Variability of Phenotype in Patients with an Identical Missense Mutation in the Lamin A/C Gene: From Congenital Onset with Severe Phenotype to Milder Classic Emery-Dreifuss Variant. </w:t>
      </w:r>
      <w:r w:rsidRPr="00843E38">
        <w:rPr>
          <w:rFonts w:ascii="Calibri" w:hAnsi="Calibri" w:cs="Calibri"/>
          <w:i/>
          <w:iCs/>
          <w:noProof/>
          <w:sz w:val="18"/>
          <w:szCs w:val="24"/>
        </w:rPr>
        <w:t>Arch. Neurol.</w:t>
      </w:r>
      <w:r w:rsidRPr="00843E38">
        <w:rPr>
          <w:rFonts w:ascii="Calibri" w:hAnsi="Calibri" w:cs="Calibri"/>
          <w:noProof/>
          <w:sz w:val="18"/>
          <w:szCs w:val="24"/>
        </w:rPr>
        <w:t xml:space="preserve"> </w:t>
      </w:r>
      <w:r w:rsidRPr="00843E38">
        <w:rPr>
          <w:rFonts w:ascii="Calibri" w:hAnsi="Calibri" w:cs="Calibri"/>
          <w:b/>
          <w:bCs/>
          <w:noProof/>
          <w:sz w:val="18"/>
          <w:szCs w:val="24"/>
        </w:rPr>
        <w:t>2004</w:t>
      </w:r>
      <w:r w:rsidRPr="00843E38">
        <w:rPr>
          <w:rFonts w:ascii="Calibri" w:hAnsi="Calibri" w:cs="Calibri"/>
          <w:noProof/>
          <w:sz w:val="18"/>
          <w:szCs w:val="24"/>
        </w:rPr>
        <w:t xml:space="preserve">, </w:t>
      </w:r>
      <w:r w:rsidRPr="00843E38">
        <w:rPr>
          <w:rFonts w:ascii="Calibri" w:hAnsi="Calibri" w:cs="Calibri"/>
          <w:i/>
          <w:iCs/>
          <w:noProof/>
          <w:sz w:val="18"/>
          <w:szCs w:val="24"/>
        </w:rPr>
        <w:t>61</w:t>
      </w:r>
      <w:r w:rsidRPr="00843E38">
        <w:rPr>
          <w:rFonts w:ascii="Calibri" w:hAnsi="Calibri" w:cs="Calibri"/>
          <w:noProof/>
          <w:sz w:val="18"/>
          <w:szCs w:val="24"/>
        </w:rPr>
        <w:t>, 690–694, doi:10.1001/archneur.61.5.690.</w:t>
      </w:r>
    </w:p>
    <w:p w14:paraId="52C22245"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30. </w:t>
      </w:r>
      <w:r w:rsidRPr="00843E38">
        <w:rPr>
          <w:rFonts w:ascii="Calibri" w:hAnsi="Calibri" w:cs="Calibri"/>
          <w:noProof/>
          <w:sz w:val="18"/>
          <w:szCs w:val="24"/>
        </w:rPr>
        <w:tab/>
        <w:t xml:space="preserve">Rankin, J.; Auer-Grumbach, M.; Bagg, W.; Colclough, K.; Nguyen, T.D.; Fenton-May, J.; Hattersley, A.; Hudson, J.; Jardine, P.; Josifova, D.; et al. Extreme Phenotypic Diversity and Nonpenetrance in Families with the LMNA Gene Mutation R644C. </w:t>
      </w:r>
      <w:r w:rsidRPr="00843E38">
        <w:rPr>
          <w:rFonts w:ascii="Calibri" w:hAnsi="Calibri" w:cs="Calibri"/>
          <w:i/>
          <w:iCs/>
          <w:noProof/>
          <w:sz w:val="18"/>
          <w:szCs w:val="24"/>
        </w:rPr>
        <w:t>Am. J. Med. Genet. A</w:t>
      </w:r>
      <w:r w:rsidRPr="00843E38">
        <w:rPr>
          <w:rFonts w:ascii="Calibri" w:hAnsi="Calibri" w:cs="Calibri"/>
          <w:noProof/>
          <w:sz w:val="18"/>
          <w:szCs w:val="24"/>
        </w:rPr>
        <w:t xml:space="preserve"> </w:t>
      </w:r>
      <w:r w:rsidRPr="00843E38">
        <w:rPr>
          <w:rFonts w:ascii="Calibri" w:hAnsi="Calibri" w:cs="Calibri"/>
          <w:b/>
          <w:bCs/>
          <w:noProof/>
          <w:sz w:val="18"/>
          <w:szCs w:val="24"/>
        </w:rPr>
        <w:t>2008</w:t>
      </w:r>
      <w:r w:rsidRPr="00843E38">
        <w:rPr>
          <w:rFonts w:ascii="Calibri" w:hAnsi="Calibri" w:cs="Calibri"/>
          <w:noProof/>
          <w:sz w:val="18"/>
          <w:szCs w:val="24"/>
        </w:rPr>
        <w:t xml:space="preserve">, </w:t>
      </w:r>
      <w:r w:rsidRPr="00843E38">
        <w:rPr>
          <w:rFonts w:ascii="Calibri" w:hAnsi="Calibri" w:cs="Calibri"/>
          <w:i/>
          <w:iCs/>
          <w:noProof/>
          <w:sz w:val="18"/>
          <w:szCs w:val="24"/>
        </w:rPr>
        <w:t>146A</w:t>
      </w:r>
      <w:r w:rsidRPr="00843E38">
        <w:rPr>
          <w:rFonts w:ascii="Calibri" w:hAnsi="Calibri" w:cs="Calibri"/>
          <w:noProof/>
          <w:sz w:val="18"/>
          <w:szCs w:val="24"/>
        </w:rPr>
        <w:t>, 1530–1542, doi:10.1002/ajmg.a.32331.</w:t>
      </w:r>
    </w:p>
    <w:p w14:paraId="7CA986A2"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31. </w:t>
      </w:r>
      <w:r w:rsidRPr="00843E38">
        <w:rPr>
          <w:rFonts w:ascii="Calibri" w:hAnsi="Calibri" w:cs="Calibri"/>
          <w:noProof/>
          <w:sz w:val="18"/>
          <w:szCs w:val="24"/>
        </w:rPr>
        <w:tab/>
        <w:t xml:space="preserve">Liberati, A.; Altman, D.G.; Tetzlaff, J.; Mulrow, C.; Gøtzsche, P.C.; Ioannidis, J.P.A.; Clarke, M.; Devereaux, P.J.; Kleijnen, J.; Moher, D. The PRISMA Statement for Reporting Systematic Reviews and Meta-Analyses of Studies That Evaluate Healthcare Interventions: Explanation and Elaboration. </w:t>
      </w:r>
      <w:r w:rsidRPr="00843E38">
        <w:rPr>
          <w:rFonts w:ascii="Calibri" w:hAnsi="Calibri" w:cs="Calibri"/>
          <w:i/>
          <w:iCs/>
          <w:noProof/>
          <w:sz w:val="18"/>
          <w:szCs w:val="24"/>
        </w:rPr>
        <w:t>BMJ</w:t>
      </w:r>
      <w:r w:rsidRPr="00843E38">
        <w:rPr>
          <w:rFonts w:ascii="Calibri" w:hAnsi="Calibri" w:cs="Calibri"/>
          <w:noProof/>
          <w:sz w:val="18"/>
          <w:szCs w:val="24"/>
        </w:rPr>
        <w:t xml:space="preserve"> </w:t>
      </w:r>
      <w:r w:rsidRPr="00843E38">
        <w:rPr>
          <w:rFonts w:ascii="Calibri" w:hAnsi="Calibri" w:cs="Calibri"/>
          <w:b/>
          <w:bCs/>
          <w:noProof/>
          <w:sz w:val="18"/>
          <w:szCs w:val="24"/>
        </w:rPr>
        <w:t>2009</w:t>
      </w:r>
      <w:r w:rsidRPr="00843E38">
        <w:rPr>
          <w:rFonts w:ascii="Calibri" w:hAnsi="Calibri" w:cs="Calibri"/>
          <w:noProof/>
          <w:sz w:val="18"/>
          <w:szCs w:val="24"/>
        </w:rPr>
        <w:t xml:space="preserve">, </w:t>
      </w:r>
      <w:r w:rsidRPr="00843E38">
        <w:rPr>
          <w:rFonts w:ascii="Calibri" w:hAnsi="Calibri" w:cs="Calibri"/>
          <w:i/>
          <w:iCs/>
          <w:noProof/>
          <w:sz w:val="18"/>
          <w:szCs w:val="24"/>
        </w:rPr>
        <w:t>339</w:t>
      </w:r>
      <w:r w:rsidRPr="00843E38">
        <w:rPr>
          <w:rFonts w:ascii="Calibri" w:hAnsi="Calibri" w:cs="Calibri"/>
          <w:noProof/>
          <w:sz w:val="18"/>
          <w:szCs w:val="24"/>
        </w:rPr>
        <w:t>, doi:10.1136/bmj.b2700.</w:t>
      </w:r>
    </w:p>
    <w:p w14:paraId="0E9EDF54"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32. </w:t>
      </w:r>
      <w:r w:rsidRPr="00843E38">
        <w:rPr>
          <w:rFonts w:ascii="Calibri" w:hAnsi="Calibri" w:cs="Calibri"/>
          <w:noProof/>
          <w:sz w:val="18"/>
          <w:szCs w:val="24"/>
        </w:rPr>
        <w:tab/>
        <w:t xml:space="preserve">Bonello-Palot, N.; Simoncini, S.; Robert, S.; Bourgeois, P.; Sabatier, F.; Levy, N.; Dignat-George, F.; Badens, C. Prelamin A Accumulation in Endothelial Cells Induces Premature Senescence and Functional Impairment. </w:t>
      </w:r>
      <w:r w:rsidRPr="00843E38">
        <w:rPr>
          <w:rFonts w:ascii="Calibri" w:hAnsi="Calibri" w:cs="Calibri"/>
          <w:i/>
          <w:iCs/>
          <w:noProof/>
          <w:sz w:val="18"/>
          <w:szCs w:val="24"/>
        </w:rPr>
        <w:t>Atherosclerosis</w:t>
      </w:r>
      <w:r w:rsidRPr="00843E38">
        <w:rPr>
          <w:rFonts w:ascii="Calibri" w:hAnsi="Calibri" w:cs="Calibri"/>
          <w:noProof/>
          <w:sz w:val="18"/>
          <w:szCs w:val="24"/>
        </w:rPr>
        <w:t xml:space="preserve"> </w:t>
      </w:r>
      <w:r w:rsidRPr="00843E38">
        <w:rPr>
          <w:rFonts w:ascii="Calibri" w:hAnsi="Calibri" w:cs="Calibri"/>
          <w:b/>
          <w:bCs/>
          <w:noProof/>
          <w:sz w:val="18"/>
          <w:szCs w:val="24"/>
        </w:rPr>
        <w:t>2014</w:t>
      </w:r>
      <w:r w:rsidRPr="00843E38">
        <w:rPr>
          <w:rFonts w:ascii="Calibri" w:hAnsi="Calibri" w:cs="Calibri"/>
          <w:noProof/>
          <w:sz w:val="18"/>
          <w:szCs w:val="24"/>
        </w:rPr>
        <w:t xml:space="preserve">, </w:t>
      </w:r>
      <w:r w:rsidRPr="00843E38">
        <w:rPr>
          <w:rFonts w:ascii="Calibri" w:hAnsi="Calibri" w:cs="Calibri"/>
          <w:i/>
          <w:iCs/>
          <w:noProof/>
          <w:sz w:val="18"/>
          <w:szCs w:val="24"/>
        </w:rPr>
        <w:t>237</w:t>
      </w:r>
      <w:r w:rsidRPr="00843E38">
        <w:rPr>
          <w:rFonts w:ascii="Calibri" w:hAnsi="Calibri" w:cs="Calibri"/>
          <w:noProof/>
          <w:sz w:val="18"/>
          <w:szCs w:val="24"/>
        </w:rPr>
        <w:t>, 45–52, doi:10.1016/J.ATHEROSCLEROSIS.2014.08.036.</w:t>
      </w:r>
    </w:p>
    <w:p w14:paraId="7FEA5155"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33. </w:t>
      </w:r>
      <w:r w:rsidRPr="00843E38">
        <w:rPr>
          <w:rFonts w:ascii="Calibri" w:hAnsi="Calibri" w:cs="Calibri"/>
          <w:noProof/>
          <w:sz w:val="18"/>
          <w:szCs w:val="24"/>
        </w:rPr>
        <w:tab/>
        <w:t xml:space="preserve">Galant, D.; Gaborit, B.; Desgrouas, C.; Abdesselam, I.; Bernard, M.; Levy, N.; Merono, F.; Coirault, C.; Roll, P.; Lagarde, A.; et al. A Heterozygous ZMPSTE24 Mutation Associated with Severe Metabolic Syndrome, Ectopic Fat Accumulation, and Dilated Cardiomyopathy. </w:t>
      </w:r>
      <w:r w:rsidRPr="00843E38">
        <w:rPr>
          <w:rFonts w:ascii="Calibri" w:hAnsi="Calibri" w:cs="Calibri"/>
          <w:i/>
          <w:iCs/>
          <w:noProof/>
          <w:sz w:val="18"/>
          <w:szCs w:val="24"/>
        </w:rPr>
        <w:t>Cells</w:t>
      </w:r>
      <w:r w:rsidRPr="00843E38">
        <w:rPr>
          <w:rFonts w:ascii="Calibri" w:hAnsi="Calibri" w:cs="Calibri"/>
          <w:noProof/>
          <w:sz w:val="18"/>
          <w:szCs w:val="24"/>
        </w:rPr>
        <w:t xml:space="preserve"> </w:t>
      </w:r>
      <w:r w:rsidRPr="00843E38">
        <w:rPr>
          <w:rFonts w:ascii="Calibri" w:hAnsi="Calibri" w:cs="Calibri"/>
          <w:b/>
          <w:bCs/>
          <w:noProof/>
          <w:sz w:val="18"/>
          <w:szCs w:val="24"/>
        </w:rPr>
        <w:t>2016</w:t>
      </w:r>
      <w:r w:rsidRPr="00843E38">
        <w:rPr>
          <w:rFonts w:ascii="Calibri" w:hAnsi="Calibri" w:cs="Calibri"/>
          <w:noProof/>
          <w:sz w:val="18"/>
          <w:szCs w:val="24"/>
        </w:rPr>
        <w:t xml:space="preserve">, </w:t>
      </w:r>
      <w:r w:rsidRPr="00843E38">
        <w:rPr>
          <w:rFonts w:ascii="Calibri" w:hAnsi="Calibri" w:cs="Calibri"/>
          <w:i/>
          <w:iCs/>
          <w:noProof/>
          <w:sz w:val="18"/>
          <w:szCs w:val="24"/>
        </w:rPr>
        <w:t>5</w:t>
      </w:r>
      <w:r w:rsidRPr="00843E38">
        <w:rPr>
          <w:rFonts w:ascii="Calibri" w:hAnsi="Calibri" w:cs="Calibri"/>
          <w:noProof/>
          <w:sz w:val="18"/>
          <w:szCs w:val="24"/>
        </w:rPr>
        <w:t>, 21, doi:10.3390/cells5020021.</w:t>
      </w:r>
    </w:p>
    <w:p w14:paraId="5B3F3671"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34. </w:t>
      </w:r>
      <w:r w:rsidRPr="00843E38">
        <w:rPr>
          <w:rFonts w:ascii="Calibri" w:hAnsi="Calibri" w:cs="Calibri"/>
          <w:noProof/>
          <w:sz w:val="18"/>
          <w:szCs w:val="24"/>
        </w:rPr>
        <w:tab/>
        <w:t xml:space="preserve">Pendás, A.M.; Zhou, Z.; Cadiñanos, J.; Freije, J.M.P.; Wang, J.; Hultenby, K.; Astudillo, A.; Wernerson, A.; Rodríguez, F.; Tryggvason, K.; et al. Defective Prelamin A Processing and Muscular and Adipocyte Alterations in Zmpste24 Metalloproteinase–Deficient Mice. </w:t>
      </w:r>
      <w:r w:rsidRPr="00843E38">
        <w:rPr>
          <w:rFonts w:ascii="Calibri" w:hAnsi="Calibri" w:cs="Calibri"/>
          <w:i/>
          <w:iCs/>
          <w:noProof/>
          <w:sz w:val="18"/>
          <w:szCs w:val="24"/>
        </w:rPr>
        <w:t>Nat. Genet. 2002 311</w:t>
      </w:r>
      <w:r w:rsidRPr="00843E38">
        <w:rPr>
          <w:rFonts w:ascii="Calibri" w:hAnsi="Calibri" w:cs="Calibri"/>
          <w:noProof/>
          <w:sz w:val="18"/>
          <w:szCs w:val="24"/>
        </w:rPr>
        <w:t xml:space="preserve"> </w:t>
      </w:r>
      <w:r w:rsidRPr="00843E38">
        <w:rPr>
          <w:rFonts w:ascii="Calibri" w:hAnsi="Calibri" w:cs="Calibri"/>
          <w:b/>
          <w:bCs/>
          <w:noProof/>
          <w:sz w:val="18"/>
          <w:szCs w:val="24"/>
        </w:rPr>
        <w:t>2002</w:t>
      </w:r>
      <w:r w:rsidRPr="00843E38">
        <w:rPr>
          <w:rFonts w:ascii="Calibri" w:hAnsi="Calibri" w:cs="Calibri"/>
          <w:noProof/>
          <w:sz w:val="18"/>
          <w:szCs w:val="24"/>
        </w:rPr>
        <w:t xml:space="preserve">, </w:t>
      </w:r>
      <w:r w:rsidRPr="00843E38">
        <w:rPr>
          <w:rFonts w:ascii="Calibri" w:hAnsi="Calibri" w:cs="Calibri"/>
          <w:i/>
          <w:iCs/>
          <w:noProof/>
          <w:sz w:val="18"/>
          <w:szCs w:val="24"/>
        </w:rPr>
        <w:t>31</w:t>
      </w:r>
      <w:r w:rsidRPr="00843E38">
        <w:rPr>
          <w:rFonts w:ascii="Calibri" w:hAnsi="Calibri" w:cs="Calibri"/>
          <w:noProof/>
          <w:sz w:val="18"/>
          <w:szCs w:val="24"/>
        </w:rPr>
        <w:t>, 94–99, doi:10.1038/ng871.</w:t>
      </w:r>
    </w:p>
    <w:p w14:paraId="231883F7"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35. </w:t>
      </w:r>
      <w:r w:rsidRPr="00843E38">
        <w:rPr>
          <w:rFonts w:ascii="Calibri" w:hAnsi="Calibri" w:cs="Calibri"/>
          <w:noProof/>
          <w:sz w:val="18"/>
          <w:szCs w:val="24"/>
        </w:rPr>
        <w:tab/>
        <w:t xml:space="preserve">Mutesa, L.; Pierquin, G.; Cwiny-Ay, N.; Buzizi, P.; Bours, V. Hutchinson-Gilford Progeria Syndrome: Clinical and Molecular Analysis in an African Patient. </w:t>
      </w:r>
      <w:r w:rsidRPr="00843E38">
        <w:rPr>
          <w:rFonts w:ascii="Calibri" w:hAnsi="Calibri" w:cs="Calibri"/>
          <w:i/>
          <w:iCs/>
          <w:noProof/>
          <w:sz w:val="18"/>
          <w:szCs w:val="24"/>
        </w:rPr>
        <w:t>Rev. Med. Liege</w:t>
      </w:r>
      <w:r w:rsidRPr="00843E38">
        <w:rPr>
          <w:rFonts w:ascii="Calibri" w:hAnsi="Calibri" w:cs="Calibri"/>
          <w:noProof/>
          <w:sz w:val="18"/>
          <w:szCs w:val="24"/>
        </w:rPr>
        <w:t xml:space="preserve"> </w:t>
      </w:r>
      <w:r w:rsidRPr="00843E38">
        <w:rPr>
          <w:rFonts w:ascii="Calibri" w:hAnsi="Calibri" w:cs="Calibri"/>
          <w:b/>
          <w:bCs/>
          <w:noProof/>
          <w:sz w:val="18"/>
          <w:szCs w:val="24"/>
        </w:rPr>
        <w:t>2007</w:t>
      </w:r>
      <w:r w:rsidRPr="00843E38">
        <w:rPr>
          <w:rFonts w:ascii="Calibri" w:hAnsi="Calibri" w:cs="Calibri"/>
          <w:noProof/>
          <w:sz w:val="18"/>
          <w:szCs w:val="24"/>
        </w:rPr>
        <w:t xml:space="preserve">, </w:t>
      </w:r>
      <w:r w:rsidRPr="00843E38">
        <w:rPr>
          <w:rFonts w:ascii="Calibri" w:hAnsi="Calibri" w:cs="Calibri"/>
          <w:i/>
          <w:iCs/>
          <w:noProof/>
          <w:sz w:val="18"/>
          <w:szCs w:val="24"/>
        </w:rPr>
        <w:t>62</w:t>
      </w:r>
      <w:r w:rsidRPr="00843E38">
        <w:rPr>
          <w:rFonts w:ascii="Calibri" w:hAnsi="Calibri" w:cs="Calibri"/>
          <w:noProof/>
          <w:sz w:val="18"/>
          <w:szCs w:val="24"/>
        </w:rPr>
        <w:t>, 155–158.</w:t>
      </w:r>
    </w:p>
    <w:p w14:paraId="7E8B5851"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36. </w:t>
      </w:r>
      <w:r w:rsidRPr="00843E38">
        <w:rPr>
          <w:rFonts w:ascii="Calibri" w:hAnsi="Calibri" w:cs="Calibri"/>
          <w:noProof/>
          <w:sz w:val="18"/>
          <w:szCs w:val="24"/>
        </w:rPr>
        <w:tab/>
        <w:t xml:space="preserve">Ouzzani, M.; Hammady, H.; Fedorowicz, Z.; Elmagarmid, A. Rayyan—a Web and Mobile App for Systematic Reviews. </w:t>
      </w:r>
      <w:r w:rsidRPr="00843E38">
        <w:rPr>
          <w:rFonts w:ascii="Calibri" w:hAnsi="Calibri" w:cs="Calibri"/>
          <w:i/>
          <w:iCs/>
          <w:noProof/>
          <w:sz w:val="18"/>
          <w:szCs w:val="24"/>
        </w:rPr>
        <w:t>Syst. Rev.</w:t>
      </w:r>
      <w:r w:rsidRPr="00843E38">
        <w:rPr>
          <w:rFonts w:ascii="Calibri" w:hAnsi="Calibri" w:cs="Calibri"/>
          <w:noProof/>
          <w:sz w:val="18"/>
          <w:szCs w:val="24"/>
        </w:rPr>
        <w:t xml:space="preserve"> </w:t>
      </w:r>
      <w:r w:rsidRPr="00843E38">
        <w:rPr>
          <w:rFonts w:ascii="Calibri" w:hAnsi="Calibri" w:cs="Calibri"/>
          <w:b/>
          <w:bCs/>
          <w:noProof/>
          <w:sz w:val="18"/>
          <w:szCs w:val="24"/>
        </w:rPr>
        <w:t>2016</w:t>
      </w:r>
      <w:r w:rsidRPr="00843E38">
        <w:rPr>
          <w:rFonts w:ascii="Calibri" w:hAnsi="Calibri" w:cs="Calibri"/>
          <w:noProof/>
          <w:sz w:val="18"/>
          <w:szCs w:val="24"/>
        </w:rPr>
        <w:t xml:space="preserve">, </w:t>
      </w:r>
      <w:r w:rsidRPr="00843E38">
        <w:rPr>
          <w:rFonts w:ascii="Calibri" w:hAnsi="Calibri" w:cs="Calibri"/>
          <w:i/>
          <w:iCs/>
          <w:noProof/>
          <w:sz w:val="18"/>
          <w:szCs w:val="24"/>
        </w:rPr>
        <w:t>5</w:t>
      </w:r>
      <w:r w:rsidRPr="00843E38">
        <w:rPr>
          <w:rFonts w:ascii="Calibri" w:hAnsi="Calibri" w:cs="Calibri"/>
          <w:noProof/>
          <w:sz w:val="18"/>
          <w:szCs w:val="24"/>
        </w:rPr>
        <w:t>, doi:10.1186/S13643-016-0384-4.</w:t>
      </w:r>
    </w:p>
    <w:p w14:paraId="42C82778"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37. </w:t>
      </w:r>
      <w:r w:rsidRPr="00843E38">
        <w:rPr>
          <w:rFonts w:ascii="Calibri" w:hAnsi="Calibri" w:cs="Calibri"/>
          <w:noProof/>
          <w:sz w:val="18"/>
          <w:szCs w:val="24"/>
        </w:rPr>
        <w:tab/>
        <w:t xml:space="preserve">Lin, F.; Worman, H.J. Structural Organization of the Human Gene Encoding Nuclear Lamin A and Nuclear Lamin C. </w:t>
      </w:r>
      <w:r w:rsidRPr="00843E38">
        <w:rPr>
          <w:rFonts w:ascii="Calibri" w:hAnsi="Calibri" w:cs="Calibri"/>
          <w:i/>
          <w:iCs/>
          <w:noProof/>
          <w:sz w:val="18"/>
          <w:szCs w:val="24"/>
        </w:rPr>
        <w:t>J. Biol. Chem.</w:t>
      </w:r>
      <w:r w:rsidRPr="00843E38">
        <w:rPr>
          <w:rFonts w:ascii="Calibri" w:hAnsi="Calibri" w:cs="Calibri"/>
          <w:noProof/>
          <w:sz w:val="18"/>
          <w:szCs w:val="24"/>
        </w:rPr>
        <w:t xml:space="preserve"> </w:t>
      </w:r>
      <w:r w:rsidRPr="00843E38">
        <w:rPr>
          <w:rFonts w:ascii="Calibri" w:hAnsi="Calibri" w:cs="Calibri"/>
          <w:b/>
          <w:bCs/>
          <w:noProof/>
          <w:sz w:val="18"/>
          <w:szCs w:val="24"/>
        </w:rPr>
        <w:t>1993</w:t>
      </w:r>
      <w:r w:rsidRPr="00843E38">
        <w:rPr>
          <w:rFonts w:ascii="Calibri" w:hAnsi="Calibri" w:cs="Calibri"/>
          <w:noProof/>
          <w:sz w:val="18"/>
          <w:szCs w:val="24"/>
        </w:rPr>
        <w:t xml:space="preserve">, </w:t>
      </w:r>
      <w:r w:rsidRPr="00843E38">
        <w:rPr>
          <w:rFonts w:ascii="Calibri" w:hAnsi="Calibri" w:cs="Calibri"/>
          <w:i/>
          <w:iCs/>
          <w:noProof/>
          <w:sz w:val="18"/>
          <w:szCs w:val="24"/>
        </w:rPr>
        <w:t>268</w:t>
      </w:r>
      <w:r w:rsidRPr="00843E38">
        <w:rPr>
          <w:rFonts w:ascii="Calibri" w:hAnsi="Calibri" w:cs="Calibri"/>
          <w:noProof/>
          <w:sz w:val="18"/>
          <w:szCs w:val="24"/>
        </w:rPr>
        <w:t>, 16321–16326, doi:10.1016/S0021-9258(19)85424-8.</w:t>
      </w:r>
    </w:p>
    <w:p w14:paraId="139EECCE"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38. </w:t>
      </w:r>
      <w:r w:rsidRPr="00843E38">
        <w:rPr>
          <w:rFonts w:ascii="Calibri" w:hAnsi="Calibri" w:cs="Calibri"/>
          <w:noProof/>
          <w:sz w:val="18"/>
          <w:szCs w:val="24"/>
        </w:rPr>
        <w:tab/>
        <w:t xml:space="preserve">Avila, G.M.; González, A.P.; Abad, A.; Fournier, B.G.; León, S.R.; Corral, J.A.M.; Fernández, C.P. Is the Next Generation Sequencing the Essential Tool for the Early Diagnostic Approach in Congenital Muscular Dystrophy? New Mutation in the Gen LMNA Associated with Serious Phenotype. </w:t>
      </w:r>
      <w:r w:rsidRPr="00843E38">
        <w:rPr>
          <w:rFonts w:ascii="Calibri" w:hAnsi="Calibri" w:cs="Calibri"/>
          <w:i/>
          <w:iCs/>
          <w:noProof/>
          <w:sz w:val="18"/>
          <w:szCs w:val="24"/>
        </w:rPr>
        <w:t>Neurol. India</w:t>
      </w:r>
      <w:r w:rsidRPr="00843E38">
        <w:rPr>
          <w:rFonts w:ascii="Calibri" w:hAnsi="Calibri" w:cs="Calibri"/>
          <w:noProof/>
          <w:sz w:val="18"/>
          <w:szCs w:val="24"/>
        </w:rPr>
        <w:t xml:space="preserve"> </w:t>
      </w:r>
      <w:r w:rsidRPr="00843E38">
        <w:rPr>
          <w:rFonts w:ascii="Calibri" w:hAnsi="Calibri" w:cs="Calibri"/>
          <w:b/>
          <w:bCs/>
          <w:noProof/>
          <w:sz w:val="18"/>
          <w:szCs w:val="24"/>
        </w:rPr>
        <w:t>2021</w:t>
      </w:r>
      <w:r w:rsidRPr="00843E38">
        <w:rPr>
          <w:rFonts w:ascii="Calibri" w:hAnsi="Calibri" w:cs="Calibri"/>
          <w:noProof/>
          <w:sz w:val="18"/>
          <w:szCs w:val="24"/>
        </w:rPr>
        <w:t xml:space="preserve">, </w:t>
      </w:r>
      <w:r w:rsidRPr="00843E38">
        <w:rPr>
          <w:rFonts w:ascii="Calibri" w:hAnsi="Calibri" w:cs="Calibri"/>
          <w:i/>
          <w:iCs/>
          <w:noProof/>
          <w:sz w:val="18"/>
          <w:szCs w:val="24"/>
        </w:rPr>
        <w:t>69</w:t>
      </w:r>
      <w:r w:rsidRPr="00843E38">
        <w:rPr>
          <w:rFonts w:ascii="Calibri" w:hAnsi="Calibri" w:cs="Calibri"/>
          <w:noProof/>
          <w:sz w:val="18"/>
          <w:szCs w:val="24"/>
        </w:rPr>
        <w:t>, 1835–1837, doi:10.4103/0028-3886.333448.</w:t>
      </w:r>
    </w:p>
    <w:p w14:paraId="52EF55E1"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39. </w:t>
      </w:r>
      <w:r w:rsidRPr="00843E38">
        <w:rPr>
          <w:rFonts w:ascii="Calibri" w:hAnsi="Calibri" w:cs="Calibri"/>
          <w:noProof/>
          <w:sz w:val="18"/>
          <w:szCs w:val="24"/>
        </w:rPr>
        <w:tab/>
        <w:t xml:space="preserve">Mercuri, E.; Brown, S.C.; Nihoyannopoulos, P.; Poulton, J.; Kinali, M.; Richard, P.; Piercy, R.J.; Messina, S.; Sewry, C.; Burke, M.M.; et al. Extreme Variability of Skeletal and Cardiac Muscle Involvement in Patients with Mutations in </w:t>
      </w:r>
      <w:r w:rsidRPr="00843E38">
        <w:rPr>
          <w:rFonts w:ascii="Calibri" w:hAnsi="Calibri" w:cs="Calibri"/>
          <w:noProof/>
          <w:sz w:val="18"/>
          <w:szCs w:val="24"/>
        </w:rPr>
        <w:lastRenderedPageBreak/>
        <w:t xml:space="preserve">Exon 11 of the Lamin A/C Gene. </w:t>
      </w:r>
      <w:r w:rsidRPr="00843E38">
        <w:rPr>
          <w:rFonts w:ascii="Calibri" w:hAnsi="Calibri" w:cs="Calibri"/>
          <w:i/>
          <w:iCs/>
          <w:noProof/>
          <w:sz w:val="18"/>
          <w:szCs w:val="24"/>
        </w:rPr>
        <w:t>Muscle Nerve</w:t>
      </w:r>
      <w:r w:rsidRPr="00843E38">
        <w:rPr>
          <w:rFonts w:ascii="Calibri" w:hAnsi="Calibri" w:cs="Calibri"/>
          <w:noProof/>
          <w:sz w:val="18"/>
          <w:szCs w:val="24"/>
        </w:rPr>
        <w:t xml:space="preserve"> </w:t>
      </w:r>
      <w:r w:rsidRPr="00843E38">
        <w:rPr>
          <w:rFonts w:ascii="Calibri" w:hAnsi="Calibri" w:cs="Calibri"/>
          <w:b/>
          <w:bCs/>
          <w:noProof/>
          <w:sz w:val="18"/>
          <w:szCs w:val="24"/>
        </w:rPr>
        <w:t>2005</w:t>
      </w:r>
      <w:r w:rsidRPr="00843E38">
        <w:rPr>
          <w:rFonts w:ascii="Calibri" w:hAnsi="Calibri" w:cs="Calibri"/>
          <w:noProof/>
          <w:sz w:val="18"/>
          <w:szCs w:val="24"/>
        </w:rPr>
        <w:t xml:space="preserve">, </w:t>
      </w:r>
      <w:r w:rsidRPr="00843E38">
        <w:rPr>
          <w:rFonts w:ascii="Calibri" w:hAnsi="Calibri" w:cs="Calibri"/>
          <w:i/>
          <w:iCs/>
          <w:noProof/>
          <w:sz w:val="18"/>
          <w:szCs w:val="24"/>
        </w:rPr>
        <w:t>31</w:t>
      </w:r>
      <w:r w:rsidRPr="00843E38">
        <w:rPr>
          <w:rFonts w:ascii="Calibri" w:hAnsi="Calibri" w:cs="Calibri"/>
          <w:noProof/>
          <w:sz w:val="18"/>
          <w:szCs w:val="24"/>
        </w:rPr>
        <w:t>, 602–609, doi:10.1002/mus.20293.</w:t>
      </w:r>
    </w:p>
    <w:p w14:paraId="42BE77AC"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40. </w:t>
      </w:r>
      <w:r w:rsidRPr="00843E38">
        <w:rPr>
          <w:rFonts w:ascii="Calibri" w:hAnsi="Calibri" w:cs="Calibri"/>
          <w:noProof/>
          <w:sz w:val="18"/>
          <w:szCs w:val="24"/>
        </w:rPr>
        <w:tab/>
        <w:t xml:space="preserve">Perrot, A.; Hussein, S.; Ruppert, V.; Schmidt, H.H.J.; Wehnert, M.S.; Duong, N.T.; Posch, M.G.; Panek, A.; Dietz, R.; Kindermann, I.; et al. Identification of Mutational Hot Spots in LMNA Encoding Lamin A/C in Patients with Familial Dilated Cardiomyopathy. </w:t>
      </w:r>
      <w:r w:rsidRPr="00843E38">
        <w:rPr>
          <w:rFonts w:ascii="Calibri" w:hAnsi="Calibri" w:cs="Calibri"/>
          <w:i/>
          <w:iCs/>
          <w:noProof/>
          <w:sz w:val="18"/>
          <w:szCs w:val="24"/>
        </w:rPr>
        <w:t>Basic Res. Cardiol.</w:t>
      </w:r>
      <w:r w:rsidRPr="00843E38">
        <w:rPr>
          <w:rFonts w:ascii="Calibri" w:hAnsi="Calibri" w:cs="Calibri"/>
          <w:noProof/>
          <w:sz w:val="18"/>
          <w:szCs w:val="24"/>
        </w:rPr>
        <w:t xml:space="preserve"> </w:t>
      </w:r>
      <w:r w:rsidRPr="00843E38">
        <w:rPr>
          <w:rFonts w:ascii="Calibri" w:hAnsi="Calibri" w:cs="Calibri"/>
          <w:b/>
          <w:bCs/>
          <w:noProof/>
          <w:sz w:val="18"/>
          <w:szCs w:val="24"/>
        </w:rPr>
        <w:t>2009</w:t>
      </w:r>
      <w:r w:rsidRPr="00843E38">
        <w:rPr>
          <w:rFonts w:ascii="Calibri" w:hAnsi="Calibri" w:cs="Calibri"/>
          <w:noProof/>
          <w:sz w:val="18"/>
          <w:szCs w:val="24"/>
        </w:rPr>
        <w:t xml:space="preserve">, </w:t>
      </w:r>
      <w:r w:rsidRPr="00843E38">
        <w:rPr>
          <w:rFonts w:ascii="Calibri" w:hAnsi="Calibri" w:cs="Calibri"/>
          <w:i/>
          <w:iCs/>
          <w:noProof/>
          <w:sz w:val="18"/>
          <w:szCs w:val="24"/>
        </w:rPr>
        <w:t>104</w:t>
      </w:r>
      <w:r w:rsidRPr="00843E38">
        <w:rPr>
          <w:rFonts w:ascii="Calibri" w:hAnsi="Calibri" w:cs="Calibri"/>
          <w:noProof/>
          <w:sz w:val="18"/>
          <w:szCs w:val="24"/>
        </w:rPr>
        <w:t>, 90–99, doi:10.1007/s00395-008-0748-6.</w:t>
      </w:r>
    </w:p>
    <w:p w14:paraId="2001E0A5"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41. </w:t>
      </w:r>
      <w:r w:rsidRPr="00843E38">
        <w:rPr>
          <w:rFonts w:ascii="Calibri" w:hAnsi="Calibri" w:cs="Calibri"/>
          <w:noProof/>
          <w:sz w:val="18"/>
          <w:szCs w:val="24"/>
        </w:rPr>
        <w:tab/>
        <w:t xml:space="preserve">Quarta, G.; Syrris, P.; Ashworth, M.; Jenkins, S.; Zuborne Alapi, K.; Morgan, J.; Muir, A.; Pantazis, A.; McKenna, W.J.; Elliott, P.M. Mutations in the Lamin A/C Gene Mimic Arrhythmogenic Right Ventricular Cardiomyopathy. </w:t>
      </w:r>
      <w:r w:rsidRPr="00843E38">
        <w:rPr>
          <w:rFonts w:ascii="Calibri" w:hAnsi="Calibri" w:cs="Calibri"/>
          <w:i/>
          <w:iCs/>
          <w:noProof/>
          <w:sz w:val="18"/>
          <w:szCs w:val="24"/>
        </w:rPr>
        <w:t>Eur. Heart J.</w:t>
      </w:r>
      <w:r w:rsidRPr="00843E38">
        <w:rPr>
          <w:rFonts w:ascii="Calibri" w:hAnsi="Calibri" w:cs="Calibri"/>
          <w:noProof/>
          <w:sz w:val="18"/>
          <w:szCs w:val="24"/>
        </w:rPr>
        <w:t xml:space="preserve"> </w:t>
      </w:r>
      <w:r w:rsidRPr="00843E38">
        <w:rPr>
          <w:rFonts w:ascii="Calibri" w:hAnsi="Calibri" w:cs="Calibri"/>
          <w:b/>
          <w:bCs/>
          <w:noProof/>
          <w:sz w:val="18"/>
          <w:szCs w:val="24"/>
        </w:rPr>
        <w:t>2012</w:t>
      </w:r>
      <w:r w:rsidRPr="00843E38">
        <w:rPr>
          <w:rFonts w:ascii="Calibri" w:hAnsi="Calibri" w:cs="Calibri"/>
          <w:noProof/>
          <w:sz w:val="18"/>
          <w:szCs w:val="24"/>
        </w:rPr>
        <w:t xml:space="preserve">, </w:t>
      </w:r>
      <w:r w:rsidRPr="00843E38">
        <w:rPr>
          <w:rFonts w:ascii="Calibri" w:hAnsi="Calibri" w:cs="Calibri"/>
          <w:i/>
          <w:iCs/>
          <w:noProof/>
          <w:sz w:val="18"/>
          <w:szCs w:val="24"/>
        </w:rPr>
        <w:t>33</w:t>
      </w:r>
      <w:r w:rsidRPr="00843E38">
        <w:rPr>
          <w:rFonts w:ascii="Calibri" w:hAnsi="Calibri" w:cs="Calibri"/>
          <w:noProof/>
          <w:sz w:val="18"/>
          <w:szCs w:val="24"/>
        </w:rPr>
        <w:t>, 1128–1136, doi:10.1093/eurheartj/ehr451.</w:t>
      </w:r>
    </w:p>
    <w:p w14:paraId="0313E7A5"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42. </w:t>
      </w:r>
      <w:r w:rsidRPr="00843E38">
        <w:rPr>
          <w:rFonts w:ascii="Calibri" w:hAnsi="Calibri" w:cs="Calibri"/>
          <w:noProof/>
          <w:sz w:val="18"/>
          <w:szCs w:val="24"/>
        </w:rPr>
        <w:tab/>
        <w:t xml:space="preserve">Parent, J.J.; Towbin, J.A.; Jefferies, J.L. Left Ventricular Noncompaction in a Family with Lamin A/C Gene Mutation. </w:t>
      </w:r>
      <w:r w:rsidRPr="00843E38">
        <w:rPr>
          <w:rFonts w:ascii="Calibri" w:hAnsi="Calibri" w:cs="Calibri"/>
          <w:i/>
          <w:iCs/>
          <w:noProof/>
          <w:sz w:val="18"/>
          <w:szCs w:val="24"/>
        </w:rPr>
        <w:t>Texas Hear. Inst. J.</w:t>
      </w:r>
      <w:r w:rsidRPr="00843E38">
        <w:rPr>
          <w:rFonts w:ascii="Calibri" w:hAnsi="Calibri" w:cs="Calibri"/>
          <w:noProof/>
          <w:sz w:val="18"/>
          <w:szCs w:val="24"/>
        </w:rPr>
        <w:t xml:space="preserve"> </w:t>
      </w:r>
      <w:r w:rsidRPr="00843E38">
        <w:rPr>
          <w:rFonts w:ascii="Calibri" w:hAnsi="Calibri" w:cs="Calibri"/>
          <w:b/>
          <w:bCs/>
          <w:noProof/>
          <w:sz w:val="18"/>
          <w:szCs w:val="24"/>
        </w:rPr>
        <w:t>2015</w:t>
      </w:r>
      <w:r w:rsidRPr="00843E38">
        <w:rPr>
          <w:rFonts w:ascii="Calibri" w:hAnsi="Calibri" w:cs="Calibri"/>
          <w:noProof/>
          <w:sz w:val="18"/>
          <w:szCs w:val="24"/>
        </w:rPr>
        <w:t xml:space="preserve">, </w:t>
      </w:r>
      <w:r w:rsidRPr="00843E38">
        <w:rPr>
          <w:rFonts w:ascii="Calibri" w:hAnsi="Calibri" w:cs="Calibri"/>
          <w:i/>
          <w:iCs/>
          <w:noProof/>
          <w:sz w:val="18"/>
          <w:szCs w:val="24"/>
        </w:rPr>
        <w:t>42</w:t>
      </w:r>
      <w:r w:rsidRPr="00843E38">
        <w:rPr>
          <w:rFonts w:ascii="Calibri" w:hAnsi="Calibri" w:cs="Calibri"/>
          <w:noProof/>
          <w:sz w:val="18"/>
          <w:szCs w:val="24"/>
        </w:rPr>
        <w:t>, 73–76, doi:10.14503/THIJ-13-3843.</w:t>
      </w:r>
    </w:p>
    <w:p w14:paraId="2DAA6648"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43. </w:t>
      </w:r>
      <w:r w:rsidRPr="00843E38">
        <w:rPr>
          <w:rFonts w:ascii="Calibri" w:hAnsi="Calibri" w:cs="Calibri"/>
          <w:noProof/>
          <w:sz w:val="18"/>
          <w:szCs w:val="24"/>
        </w:rPr>
        <w:tab/>
        <w:t xml:space="preserve">Dohrn, M.F.; Glöckle, N.; Mulahasanovic, L.; Heller, C.; Mohr, J.; Bauer, C.; Riesch, E.; Becker, A.; Battke, F.; Hörtnagel, K.; et al. Frequent Genes in Rare Diseases: Panel-Based next Generation Sequencing to Disclose Causal Mutations in Hereditary Neuropathies. </w:t>
      </w:r>
      <w:r w:rsidRPr="00843E38">
        <w:rPr>
          <w:rFonts w:ascii="Calibri" w:hAnsi="Calibri" w:cs="Calibri"/>
          <w:i/>
          <w:iCs/>
          <w:noProof/>
          <w:sz w:val="18"/>
          <w:szCs w:val="24"/>
        </w:rPr>
        <w:t>J. Neurochem.</w:t>
      </w:r>
      <w:r w:rsidRPr="00843E38">
        <w:rPr>
          <w:rFonts w:ascii="Calibri" w:hAnsi="Calibri" w:cs="Calibri"/>
          <w:noProof/>
          <w:sz w:val="18"/>
          <w:szCs w:val="24"/>
        </w:rPr>
        <w:t xml:space="preserve"> </w:t>
      </w:r>
      <w:r w:rsidRPr="00843E38">
        <w:rPr>
          <w:rFonts w:ascii="Calibri" w:hAnsi="Calibri" w:cs="Calibri"/>
          <w:b/>
          <w:bCs/>
          <w:noProof/>
          <w:sz w:val="18"/>
          <w:szCs w:val="24"/>
        </w:rPr>
        <w:t>2017</w:t>
      </w:r>
      <w:r w:rsidRPr="00843E38">
        <w:rPr>
          <w:rFonts w:ascii="Calibri" w:hAnsi="Calibri" w:cs="Calibri"/>
          <w:noProof/>
          <w:sz w:val="18"/>
          <w:szCs w:val="24"/>
        </w:rPr>
        <w:t xml:space="preserve">, </w:t>
      </w:r>
      <w:r w:rsidRPr="00843E38">
        <w:rPr>
          <w:rFonts w:ascii="Calibri" w:hAnsi="Calibri" w:cs="Calibri"/>
          <w:i/>
          <w:iCs/>
          <w:noProof/>
          <w:sz w:val="18"/>
          <w:szCs w:val="24"/>
        </w:rPr>
        <w:t>143</w:t>
      </w:r>
      <w:r w:rsidRPr="00843E38">
        <w:rPr>
          <w:rFonts w:ascii="Calibri" w:hAnsi="Calibri" w:cs="Calibri"/>
          <w:noProof/>
          <w:sz w:val="18"/>
          <w:szCs w:val="24"/>
        </w:rPr>
        <w:t>, 507–522, doi:10.1111/jnc.14217.</w:t>
      </w:r>
    </w:p>
    <w:p w14:paraId="7D229A9E"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44. </w:t>
      </w:r>
      <w:r w:rsidRPr="00843E38">
        <w:rPr>
          <w:rFonts w:ascii="Calibri" w:hAnsi="Calibri" w:cs="Calibri"/>
          <w:noProof/>
          <w:sz w:val="18"/>
          <w:szCs w:val="24"/>
        </w:rPr>
        <w:tab/>
        <w:t xml:space="preserve">Lin, E.W.; Brady, G.F.; Kwan, R.; Nesvizhskii, A.I.; Omary, M.B. Genotype-Phenotype Analysis of LMNA-Related Diseases Predicts Phenotype-Selective Alterations in Lamin Phosphorylation. </w:t>
      </w:r>
      <w:r w:rsidRPr="00843E38">
        <w:rPr>
          <w:rFonts w:ascii="Calibri" w:hAnsi="Calibri" w:cs="Calibri"/>
          <w:i/>
          <w:iCs/>
          <w:noProof/>
          <w:sz w:val="18"/>
          <w:szCs w:val="24"/>
        </w:rPr>
        <w:t>FASEB J.</w:t>
      </w:r>
      <w:r w:rsidRPr="00843E38">
        <w:rPr>
          <w:rFonts w:ascii="Calibri" w:hAnsi="Calibri" w:cs="Calibri"/>
          <w:noProof/>
          <w:sz w:val="18"/>
          <w:szCs w:val="24"/>
        </w:rPr>
        <w:t xml:space="preserve"> </w:t>
      </w:r>
      <w:r w:rsidRPr="00843E38">
        <w:rPr>
          <w:rFonts w:ascii="Calibri" w:hAnsi="Calibri" w:cs="Calibri"/>
          <w:b/>
          <w:bCs/>
          <w:noProof/>
          <w:sz w:val="18"/>
          <w:szCs w:val="24"/>
        </w:rPr>
        <w:t>2020</w:t>
      </w:r>
      <w:r w:rsidRPr="00843E38">
        <w:rPr>
          <w:rFonts w:ascii="Calibri" w:hAnsi="Calibri" w:cs="Calibri"/>
          <w:noProof/>
          <w:sz w:val="18"/>
          <w:szCs w:val="24"/>
        </w:rPr>
        <w:t xml:space="preserve">, </w:t>
      </w:r>
      <w:r w:rsidRPr="00843E38">
        <w:rPr>
          <w:rFonts w:ascii="Calibri" w:hAnsi="Calibri" w:cs="Calibri"/>
          <w:i/>
          <w:iCs/>
          <w:noProof/>
          <w:sz w:val="18"/>
          <w:szCs w:val="24"/>
        </w:rPr>
        <w:t>34</w:t>
      </w:r>
      <w:r w:rsidRPr="00843E38">
        <w:rPr>
          <w:rFonts w:ascii="Calibri" w:hAnsi="Calibri" w:cs="Calibri"/>
          <w:noProof/>
          <w:sz w:val="18"/>
          <w:szCs w:val="24"/>
        </w:rPr>
        <w:t>, 9051–9073, doi:10.1096/fj.202000500R.</w:t>
      </w:r>
    </w:p>
    <w:p w14:paraId="339294AA"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45. </w:t>
      </w:r>
      <w:r w:rsidRPr="00843E38">
        <w:rPr>
          <w:rFonts w:ascii="Calibri" w:hAnsi="Calibri" w:cs="Calibri"/>
          <w:noProof/>
          <w:sz w:val="18"/>
          <w:szCs w:val="24"/>
        </w:rPr>
        <w:tab/>
        <w:t xml:space="preserve">Pasotti, M.; Klersy, C.; Pilotto, A.; Marziliano, N.; Rapezzi, C.; Serio, A.; Mannarino, S.; Gambarin, F.; Favalli, V.; Grasso, M.; et al. Long-Term Outcome and Risk Stratification in Dilated Cardiolaminopathies. </w:t>
      </w:r>
      <w:r w:rsidRPr="00843E38">
        <w:rPr>
          <w:rFonts w:ascii="Calibri" w:hAnsi="Calibri" w:cs="Calibri"/>
          <w:i/>
          <w:iCs/>
          <w:noProof/>
          <w:sz w:val="18"/>
          <w:szCs w:val="24"/>
        </w:rPr>
        <w:t>J. Am. Coll. Cardiol.</w:t>
      </w:r>
      <w:r w:rsidRPr="00843E38">
        <w:rPr>
          <w:rFonts w:ascii="Calibri" w:hAnsi="Calibri" w:cs="Calibri"/>
          <w:noProof/>
          <w:sz w:val="18"/>
          <w:szCs w:val="24"/>
        </w:rPr>
        <w:t xml:space="preserve"> </w:t>
      </w:r>
      <w:r w:rsidRPr="00843E38">
        <w:rPr>
          <w:rFonts w:ascii="Calibri" w:hAnsi="Calibri" w:cs="Calibri"/>
          <w:b/>
          <w:bCs/>
          <w:noProof/>
          <w:sz w:val="18"/>
          <w:szCs w:val="24"/>
        </w:rPr>
        <w:t>2008</w:t>
      </w:r>
      <w:r w:rsidRPr="00843E38">
        <w:rPr>
          <w:rFonts w:ascii="Calibri" w:hAnsi="Calibri" w:cs="Calibri"/>
          <w:noProof/>
          <w:sz w:val="18"/>
          <w:szCs w:val="24"/>
        </w:rPr>
        <w:t xml:space="preserve">, </w:t>
      </w:r>
      <w:r w:rsidRPr="00843E38">
        <w:rPr>
          <w:rFonts w:ascii="Calibri" w:hAnsi="Calibri" w:cs="Calibri"/>
          <w:i/>
          <w:iCs/>
          <w:noProof/>
          <w:sz w:val="18"/>
          <w:szCs w:val="24"/>
        </w:rPr>
        <w:t>52</w:t>
      </w:r>
      <w:r w:rsidRPr="00843E38">
        <w:rPr>
          <w:rFonts w:ascii="Calibri" w:hAnsi="Calibri" w:cs="Calibri"/>
          <w:noProof/>
          <w:sz w:val="18"/>
          <w:szCs w:val="24"/>
        </w:rPr>
        <w:t>, 1250–1260, doi:10.1016/j.jacc.2008.06.044.</w:t>
      </w:r>
    </w:p>
    <w:p w14:paraId="195DFB94"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46. </w:t>
      </w:r>
      <w:r w:rsidRPr="00843E38">
        <w:rPr>
          <w:rFonts w:ascii="Calibri" w:hAnsi="Calibri" w:cs="Calibri"/>
          <w:noProof/>
          <w:sz w:val="18"/>
          <w:szCs w:val="24"/>
        </w:rPr>
        <w:tab/>
        <w:t xml:space="preserve">Ditaranto, R.; Boriani, G.; Biffi, M.; Lorenzini, M.; Graziosi, M.; Ziacchi, M.; Pasquale, F.; Vitale, G.; Berardini, A.; Rinaldi, R.; et al. Differences in Cardiac Phenotype and Natural History of Laminopathies with and without Neuromuscular Onset. </w:t>
      </w:r>
      <w:r w:rsidRPr="00843E38">
        <w:rPr>
          <w:rFonts w:ascii="Calibri" w:hAnsi="Calibri" w:cs="Calibri"/>
          <w:i/>
          <w:iCs/>
          <w:noProof/>
          <w:sz w:val="18"/>
          <w:szCs w:val="24"/>
        </w:rPr>
        <w:t>Orphanet J. Rare Dis.</w:t>
      </w:r>
      <w:r w:rsidRPr="00843E38">
        <w:rPr>
          <w:rFonts w:ascii="Calibri" w:hAnsi="Calibri" w:cs="Calibri"/>
          <w:noProof/>
          <w:sz w:val="18"/>
          <w:szCs w:val="24"/>
        </w:rPr>
        <w:t xml:space="preserve"> </w:t>
      </w:r>
      <w:r w:rsidRPr="00843E38">
        <w:rPr>
          <w:rFonts w:ascii="Calibri" w:hAnsi="Calibri" w:cs="Calibri"/>
          <w:b/>
          <w:bCs/>
          <w:noProof/>
          <w:sz w:val="18"/>
          <w:szCs w:val="24"/>
        </w:rPr>
        <w:t>2019</w:t>
      </w:r>
      <w:r w:rsidRPr="00843E38">
        <w:rPr>
          <w:rFonts w:ascii="Calibri" w:hAnsi="Calibri" w:cs="Calibri"/>
          <w:noProof/>
          <w:sz w:val="18"/>
          <w:szCs w:val="24"/>
        </w:rPr>
        <w:t xml:space="preserve">, </w:t>
      </w:r>
      <w:r w:rsidRPr="00843E38">
        <w:rPr>
          <w:rFonts w:ascii="Calibri" w:hAnsi="Calibri" w:cs="Calibri"/>
          <w:i/>
          <w:iCs/>
          <w:noProof/>
          <w:sz w:val="18"/>
          <w:szCs w:val="24"/>
        </w:rPr>
        <w:t>14</w:t>
      </w:r>
      <w:r w:rsidRPr="00843E38">
        <w:rPr>
          <w:rFonts w:ascii="Calibri" w:hAnsi="Calibri" w:cs="Calibri"/>
          <w:noProof/>
          <w:sz w:val="18"/>
          <w:szCs w:val="24"/>
        </w:rPr>
        <w:t>, 263, doi:10.1186/s13023-019-1245-8.</w:t>
      </w:r>
    </w:p>
    <w:p w14:paraId="45890A9F"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47. </w:t>
      </w:r>
      <w:r w:rsidRPr="00843E38">
        <w:rPr>
          <w:rFonts w:ascii="Calibri" w:hAnsi="Calibri" w:cs="Calibri"/>
          <w:noProof/>
          <w:sz w:val="18"/>
          <w:szCs w:val="24"/>
        </w:rPr>
        <w:tab/>
        <w:t xml:space="preserve">Møller, D.V.; Pham, T.T.; Gustafsson, F.; Hedley, P.; Ersbøll, M.K.; Bundgaard, H.; Andersen, C.B.; Torp-Pedersen, C.; Køber, L.; Christiansen, M. The Role of Lamin A/C Mutations in Danish Patients with Idiopathic Dilated Cardiomyopathy. </w:t>
      </w:r>
      <w:r w:rsidRPr="00843E38">
        <w:rPr>
          <w:rFonts w:ascii="Calibri" w:hAnsi="Calibri" w:cs="Calibri"/>
          <w:i/>
          <w:iCs/>
          <w:noProof/>
          <w:sz w:val="18"/>
          <w:szCs w:val="24"/>
        </w:rPr>
        <w:t>Eur. J. Heart Fail.</w:t>
      </w:r>
      <w:r w:rsidRPr="00843E38">
        <w:rPr>
          <w:rFonts w:ascii="Calibri" w:hAnsi="Calibri" w:cs="Calibri"/>
          <w:noProof/>
          <w:sz w:val="18"/>
          <w:szCs w:val="24"/>
        </w:rPr>
        <w:t xml:space="preserve"> </w:t>
      </w:r>
      <w:r w:rsidRPr="00843E38">
        <w:rPr>
          <w:rFonts w:ascii="Calibri" w:hAnsi="Calibri" w:cs="Calibri"/>
          <w:b/>
          <w:bCs/>
          <w:noProof/>
          <w:sz w:val="18"/>
          <w:szCs w:val="24"/>
        </w:rPr>
        <w:t>2009</w:t>
      </w:r>
      <w:r w:rsidRPr="00843E38">
        <w:rPr>
          <w:rFonts w:ascii="Calibri" w:hAnsi="Calibri" w:cs="Calibri"/>
          <w:noProof/>
          <w:sz w:val="18"/>
          <w:szCs w:val="24"/>
        </w:rPr>
        <w:t xml:space="preserve">, </w:t>
      </w:r>
      <w:r w:rsidRPr="00843E38">
        <w:rPr>
          <w:rFonts w:ascii="Calibri" w:hAnsi="Calibri" w:cs="Calibri"/>
          <w:i/>
          <w:iCs/>
          <w:noProof/>
          <w:sz w:val="18"/>
          <w:szCs w:val="24"/>
        </w:rPr>
        <w:t>11</w:t>
      </w:r>
      <w:r w:rsidRPr="00843E38">
        <w:rPr>
          <w:rFonts w:ascii="Calibri" w:hAnsi="Calibri" w:cs="Calibri"/>
          <w:noProof/>
          <w:sz w:val="18"/>
          <w:szCs w:val="24"/>
        </w:rPr>
        <w:t>, 1031–1035, doi:10.1093/eurjhf/hfp134.</w:t>
      </w:r>
    </w:p>
    <w:p w14:paraId="356955E5"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48. </w:t>
      </w:r>
      <w:r w:rsidRPr="00843E38">
        <w:rPr>
          <w:rFonts w:ascii="Calibri" w:hAnsi="Calibri" w:cs="Calibri"/>
          <w:noProof/>
          <w:sz w:val="18"/>
          <w:szCs w:val="24"/>
        </w:rPr>
        <w:tab/>
        <w:t xml:space="preserve">Refaat, M.M.; Hassanieh, S.; Ballout, J.A.; Zakka, P.; Hotait, M.; Khalil, A.; Bitar, F.; Arabi, M.; Arnaout, S.; Skouri, H.; et al. Non-Familial Cardiomyopathies in Lebanon: Exome Sequencing Results for Five Idiopathic Cases. </w:t>
      </w:r>
      <w:r w:rsidRPr="00843E38">
        <w:rPr>
          <w:rFonts w:ascii="Calibri" w:hAnsi="Calibri" w:cs="Calibri"/>
          <w:i/>
          <w:iCs/>
          <w:noProof/>
          <w:sz w:val="18"/>
          <w:szCs w:val="24"/>
        </w:rPr>
        <w:t>BMC Med. Genomics</w:t>
      </w:r>
      <w:r w:rsidRPr="00843E38">
        <w:rPr>
          <w:rFonts w:ascii="Calibri" w:hAnsi="Calibri" w:cs="Calibri"/>
          <w:noProof/>
          <w:sz w:val="18"/>
          <w:szCs w:val="24"/>
        </w:rPr>
        <w:t xml:space="preserve"> </w:t>
      </w:r>
      <w:r w:rsidRPr="00843E38">
        <w:rPr>
          <w:rFonts w:ascii="Calibri" w:hAnsi="Calibri" w:cs="Calibri"/>
          <w:b/>
          <w:bCs/>
          <w:noProof/>
          <w:sz w:val="18"/>
          <w:szCs w:val="24"/>
        </w:rPr>
        <w:t>2019</w:t>
      </w:r>
      <w:r w:rsidRPr="00843E38">
        <w:rPr>
          <w:rFonts w:ascii="Calibri" w:hAnsi="Calibri" w:cs="Calibri"/>
          <w:noProof/>
          <w:sz w:val="18"/>
          <w:szCs w:val="24"/>
        </w:rPr>
        <w:t xml:space="preserve">, </w:t>
      </w:r>
      <w:r w:rsidRPr="00843E38">
        <w:rPr>
          <w:rFonts w:ascii="Calibri" w:hAnsi="Calibri" w:cs="Calibri"/>
          <w:i/>
          <w:iCs/>
          <w:noProof/>
          <w:sz w:val="18"/>
          <w:szCs w:val="24"/>
        </w:rPr>
        <w:t>12</w:t>
      </w:r>
      <w:r w:rsidRPr="00843E38">
        <w:rPr>
          <w:rFonts w:ascii="Calibri" w:hAnsi="Calibri" w:cs="Calibri"/>
          <w:noProof/>
          <w:sz w:val="18"/>
          <w:szCs w:val="24"/>
        </w:rPr>
        <w:t>, 33, doi:10.1186/s12920-019-0478-7.</w:t>
      </w:r>
    </w:p>
    <w:p w14:paraId="25110DC1"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49. </w:t>
      </w:r>
      <w:r w:rsidRPr="00843E38">
        <w:rPr>
          <w:rFonts w:ascii="Calibri" w:hAnsi="Calibri" w:cs="Calibri"/>
          <w:noProof/>
          <w:sz w:val="18"/>
          <w:szCs w:val="24"/>
        </w:rPr>
        <w:tab/>
        <w:t xml:space="preserve">Sanna, T.; Dello Russo, A.; Toniolo, D.; Vytopil, M.; Pelargonio, G.; De Martino, G.; Ricci, E.; Silvestri, G.; Giglio, V.; Messano, L.; et al. Cardiac Features of Emery-Dreifuss Muscular Dystrophy Caused by Lamin A/C Gene Mutations. </w:t>
      </w:r>
      <w:r w:rsidRPr="00843E38">
        <w:rPr>
          <w:rFonts w:ascii="Calibri" w:hAnsi="Calibri" w:cs="Calibri"/>
          <w:i/>
          <w:iCs/>
          <w:noProof/>
          <w:sz w:val="18"/>
          <w:szCs w:val="24"/>
        </w:rPr>
        <w:t>Eur. Heart J.</w:t>
      </w:r>
      <w:r w:rsidRPr="00843E38">
        <w:rPr>
          <w:rFonts w:ascii="Calibri" w:hAnsi="Calibri" w:cs="Calibri"/>
          <w:noProof/>
          <w:sz w:val="18"/>
          <w:szCs w:val="24"/>
        </w:rPr>
        <w:t xml:space="preserve"> </w:t>
      </w:r>
      <w:r w:rsidRPr="00843E38">
        <w:rPr>
          <w:rFonts w:ascii="Calibri" w:hAnsi="Calibri" w:cs="Calibri"/>
          <w:b/>
          <w:bCs/>
          <w:noProof/>
          <w:sz w:val="18"/>
          <w:szCs w:val="24"/>
        </w:rPr>
        <w:t>2003</w:t>
      </w:r>
      <w:r w:rsidRPr="00843E38">
        <w:rPr>
          <w:rFonts w:ascii="Calibri" w:hAnsi="Calibri" w:cs="Calibri"/>
          <w:noProof/>
          <w:sz w:val="18"/>
          <w:szCs w:val="24"/>
        </w:rPr>
        <w:t xml:space="preserve">, </w:t>
      </w:r>
      <w:r w:rsidRPr="00843E38">
        <w:rPr>
          <w:rFonts w:ascii="Calibri" w:hAnsi="Calibri" w:cs="Calibri"/>
          <w:i/>
          <w:iCs/>
          <w:noProof/>
          <w:sz w:val="18"/>
          <w:szCs w:val="24"/>
        </w:rPr>
        <w:t>24</w:t>
      </w:r>
      <w:r w:rsidRPr="00843E38">
        <w:rPr>
          <w:rFonts w:ascii="Calibri" w:hAnsi="Calibri" w:cs="Calibri"/>
          <w:noProof/>
          <w:sz w:val="18"/>
          <w:szCs w:val="24"/>
        </w:rPr>
        <w:t>, 2227–2236, doi:10.1016/j.ehj.2003.09.020.</w:t>
      </w:r>
    </w:p>
    <w:p w14:paraId="1A497D9B"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50. </w:t>
      </w:r>
      <w:r w:rsidRPr="00843E38">
        <w:rPr>
          <w:rFonts w:ascii="Calibri" w:hAnsi="Calibri" w:cs="Calibri"/>
          <w:noProof/>
          <w:sz w:val="18"/>
          <w:szCs w:val="24"/>
        </w:rPr>
        <w:tab/>
        <w:t xml:space="preserve">Kandert, S.; Wehnert, M.; Müller, C.R.; Buendia, B.; Dabauvalle, M.-C. Impaired Nuclear Functions Lead to Increased Senescence and Inefficient Differentiation in Human Myoblasts with a Dominant p.R545C Mutation in the LMNA Gene. </w:t>
      </w:r>
      <w:r w:rsidRPr="00843E38">
        <w:rPr>
          <w:rFonts w:ascii="Calibri" w:hAnsi="Calibri" w:cs="Calibri"/>
          <w:i/>
          <w:iCs/>
          <w:noProof/>
          <w:sz w:val="18"/>
          <w:szCs w:val="24"/>
        </w:rPr>
        <w:t>Eur. J. Cell Biol.</w:t>
      </w:r>
      <w:r w:rsidRPr="00843E38">
        <w:rPr>
          <w:rFonts w:ascii="Calibri" w:hAnsi="Calibri" w:cs="Calibri"/>
          <w:noProof/>
          <w:sz w:val="18"/>
          <w:szCs w:val="24"/>
        </w:rPr>
        <w:t xml:space="preserve"> </w:t>
      </w:r>
      <w:r w:rsidRPr="00843E38">
        <w:rPr>
          <w:rFonts w:ascii="Calibri" w:hAnsi="Calibri" w:cs="Calibri"/>
          <w:b/>
          <w:bCs/>
          <w:noProof/>
          <w:sz w:val="18"/>
          <w:szCs w:val="24"/>
        </w:rPr>
        <w:t>2009</w:t>
      </w:r>
      <w:r w:rsidRPr="00843E38">
        <w:rPr>
          <w:rFonts w:ascii="Calibri" w:hAnsi="Calibri" w:cs="Calibri"/>
          <w:noProof/>
          <w:sz w:val="18"/>
          <w:szCs w:val="24"/>
        </w:rPr>
        <w:t xml:space="preserve">, </w:t>
      </w:r>
      <w:r w:rsidRPr="00843E38">
        <w:rPr>
          <w:rFonts w:ascii="Calibri" w:hAnsi="Calibri" w:cs="Calibri"/>
          <w:i/>
          <w:iCs/>
          <w:noProof/>
          <w:sz w:val="18"/>
          <w:szCs w:val="24"/>
        </w:rPr>
        <w:t>88</w:t>
      </w:r>
      <w:r w:rsidRPr="00843E38">
        <w:rPr>
          <w:rFonts w:ascii="Calibri" w:hAnsi="Calibri" w:cs="Calibri"/>
          <w:noProof/>
          <w:sz w:val="18"/>
          <w:szCs w:val="24"/>
        </w:rPr>
        <w:t>, 593–608, doi:10.1016/J.EJCB.2009.06.002.</w:t>
      </w:r>
    </w:p>
    <w:p w14:paraId="10646AA5"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51. </w:t>
      </w:r>
      <w:r w:rsidRPr="00843E38">
        <w:rPr>
          <w:rFonts w:ascii="Calibri" w:hAnsi="Calibri" w:cs="Calibri"/>
          <w:noProof/>
          <w:sz w:val="18"/>
          <w:szCs w:val="24"/>
        </w:rPr>
        <w:tab/>
        <w:t xml:space="preserve">Favreau, C.; Dubosclard, E.; Östlund, C.; Vigouroux, C.; Capeau, J.; Wehnert, M.; Higuet, D.; Worman, H.J.; Courvalin, J.C.; Buendia, B. Expression of Lamin A Mutated in the Carboxyl-Terminal Tail Generates an Aberrant Nuclear Phenotype Similar to That Observed in Cells from Patients with Dunnigan-Type Partial Lipodystrophy and Emery-Dreifuss Muscular Dystrophy. </w:t>
      </w:r>
      <w:r w:rsidRPr="00843E38">
        <w:rPr>
          <w:rFonts w:ascii="Calibri" w:hAnsi="Calibri" w:cs="Calibri"/>
          <w:i/>
          <w:iCs/>
          <w:noProof/>
          <w:sz w:val="18"/>
          <w:szCs w:val="24"/>
        </w:rPr>
        <w:t>Exp. Cell Res.</w:t>
      </w:r>
      <w:r w:rsidRPr="00843E38">
        <w:rPr>
          <w:rFonts w:ascii="Calibri" w:hAnsi="Calibri" w:cs="Calibri"/>
          <w:noProof/>
          <w:sz w:val="18"/>
          <w:szCs w:val="24"/>
        </w:rPr>
        <w:t xml:space="preserve"> </w:t>
      </w:r>
      <w:r w:rsidRPr="00843E38">
        <w:rPr>
          <w:rFonts w:ascii="Calibri" w:hAnsi="Calibri" w:cs="Calibri"/>
          <w:b/>
          <w:bCs/>
          <w:noProof/>
          <w:sz w:val="18"/>
          <w:szCs w:val="24"/>
        </w:rPr>
        <w:t>2003</w:t>
      </w:r>
      <w:r w:rsidRPr="00843E38">
        <w:rPr>
          <w:rFonts w:ascii="Calibri" w:hAnsi="Calibri" w:cs="Calibri"/>
          <w:noProof/>
          <w:sz w:val="18"/>
          <w:szCs w:val="24"/>
        </w:rPr>
        <w:t xml:space="preserve">, </w:t>
      </w:r>
      <w:r w:rsidRPr="00843E38">
        <w:rPr>
          <w:rFonts w:ascii="Calibri" w:hAnsi="Calibri" w:cs="Calibri"/>
          <w:i/>
          <w:iCs/>
          <w:noProof/>
          <w:sz w:val="18"/>
          <w:szCs w:val="24"/>
        </w:rPr>
        <w:t>282</w:t>
      </w:r>
      <w:r w:rsidRPr="00843E38">
        <w:rPr>
          <w:rFonts w:ascii="Calibri" w:hAnsi="Calibri" w:cs="Calibri"/>
          <w:noProof/>
          <w:sz w:val="18"/>
          <w:szCs w:val="24"/>
        </w:rPr>
        <w:t>, 14–23, doi:10.1006/EXCR.2002.5669.</w:t>
      </w:r>
    </w:p>
    <w:p w14:paraId="775BEC6B"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52. </w:t>
      </w:r>
      <w:r w:rsidRPr="00843E38">
        <w:rPr>
          <w:rFonts w:ascii="Calibri" w:hAnsi="Calibri" w:cs="Calibri"/>
          <w:noProof/>
          <w:sz w:val="18"/>
          <w:szCs w:val="24"/>
        </w:rPr>
        <w:tab/>
        <w:t xml:space="preserve">Park, Y.-E.; Hayashi, Y.K.; Goto, K.; Komaki, H.; Hayashi, Y.; Inuzuka, T.; Noguchi, S.; Nonaka, I.; Nishino, I. Nuclear Changes in Skeletal Muscle Extend to Satellite Cells in Autosomal Dominant Emery-Dreifuss Muscular Dystrophy/Limb-Girdle Muscular Dystrophy 1B. </w:t>
      </w:r>
      <w:r w:rsidRPr="00843E38">
        <w:rPr>
          <w:rFonts w:ascii="Calibri" w:hAnsi="Calibri" w:cs="Calibri"/>
          <w:i/>
          <w:iCs/>
          <w:noProof/>
          <w:sz w:val="18"/>
          <w:szCs w:val="24"/>
        </w:rPr>
        <w:t>Neuromuscul. Disord.</w:t>
      </w:r>
      <w:r w:rsidRPr="00843E38">
        <w:rPr>
          <w:rFonts w:ascii="Calibri" w:hAnsi="Calibri" w:cs="Calibri"/>
          <w:noProof/>
          <w:sz w:val="18"/>
          <w:szCs w:val="24"/>
        </w:rPr>
        <w:t xml:space="preserve"> </w:t>
      </w:r>
      <w:r w:rsidRPr="00843E38">
        <w:rPr>
          <w:rFonts w:ascii="Calibri" w:hAnsi="Calibri" w:cs="Calibri"/>
          <w:b/>
          <w:bCs/>
          <w:noProof/>
          <w:sz w:val="18"/>
          <w:szCs w:val="24"/>
        </w:rPr>
        <w:t>2009</w:t>
      </w:r>
      <w:r w:rsidRPr="00843E38">
        <w:rPr>
          <w:rFonts w:ascii="Calibri" w:hAnsi="Calibri" w:cs="Calibri"/>
          <w:noProof/>
          <w:sz w:val="18"/>
          <w:szCs w:val="24"/>
        </w:rPr>
        <w:t xml:space="preserve">, </w:t>
      </w:r>
      <w:r w:rsidRPr="00843E38">
        <w:rPr>
          <w:rFonts w:ascii="Calibri" w:hAnsi="Calibri" w:cs="Calibri"/>
          <w:i/>
          <w:iCs/>
          <w:noProof/>
          <w:sz w:val="18"/>
          <w:szCs w:val="24"/>
        </w:rPr>
        <w:t>19</w:t>
      </w:r>
      <w:r w:rsidRPr="00843E38">
        <w:rPr>
          <w:rFonts w:ascii="Calibri" w:hAnsi="Calibri" w:cs="Calibri"/>
          <w:noProof/>
          <w:sz w:val="18"/>
          <w:szCs w:val="24"/>
        </w:rPr>
        <w:t>, 29–36, doi:10.1016/j.nmd.2008.09.018.</w:t>
      </w:r>
    </w:p>
    <w:p w14:paraId="1C89B2B8"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53. </w:t>
      </w:r>
      <w:r w:rsidRPr="00843E38">
        <w:rPr>
          <w:rFonts w:ascii="Calibri" w:hAnsi="Calibri" w:cs="Calibri"/>
          <w:noProof/>
          <w:sz w:val="18"/>
          <w:szCs w:val="24"/>
        </w:rPr>
        <w:tab/>
        <w:t xml:space="preserve">Díaz-Manera, J.; Alejaldre, A.; González, L.; Olivé, M.; Gómez-Andrés, D.; Muelas, N.; Vílchez, J.J.; Llauger, J.; Carbonell, P.; Márquez-Infante, C.; et al. Muscle Imaging in Muscle Dystrophies Produced by Mutations in the EMD and LMNA Genes. </w:t>
      </w:r>
      <w:r w:rsidRPr="00843E38">
        <w:rPr>
          <w:rFonts w:ascii="Calibri" w:hAnsi="Calibri" w:cs="Calibri"/>
          <w:i/>
          <w:iCs/>
          <w:noProof/>
          <w:sz w:val="18"/>
          <w:szCs w:val="24"/>
        </w:rPr>
        <w:t>Neuromuscul. Disord.</w:t>
      </w:r>
      <w:r w:rsidRPr="00843E38">
        <w:rPr>
          <w:rFonts w:ascii="Calibri" w:hAnsi="Calibri" w:cs="Calibri"/>
          <w:noProof/>
          <w:sz w:val="18"/>
          <w:szCs w:val="24"/>
        </w:rPr>
        <w:t xml:space="preserve"> </w:t>
      </w:r>
      <w:r w:rsidRPr="00843E38">
        <w:rPr>
          <w:rFonts w:ascii="Calibri" w:hAnsi="Calibri" w:cs="Calibri"/>
          <w:b/>
          <w:bCs/>
          <w:noProof/>
          <w:sz w:val="18"/>
          <w:szCs w:val="24"/>
        </w:rPr>
        <w:t>2016</w:t>
      </w:r>
      <w:r w:rsidRPr="00843E38">
        <w:rPr>
          <w:rFonts w:ascii="Calibri" w:hAnsi="Calibri" w:cs="Calibri"/>
          <w:noProof/>
          <w:sz w:val="18"/>
          <w:szCs w:val="24"/>
        </w:rPr>
        <w:t xml:space="preserve">, </w:t>
      </w:r>
      <w:r w:rsidRPr="00843E38">
        <w:rPr>
          <w:rFonts w:ascii="Calibri" w:hAnsi="Calibri" w:cs="Calibri"/>
          <w:i/>
          <w:iCs/>
          <w:noProof/>
          <w:sz w:val="18"/>
          <w:szCs w:val="24"/>
        </w:rPr>
        <w:t>26</w:t>
      </w:r>
      <w:r w:rsidRPr="00843E38">
        <w:rPr>
          <w:rFonts w:ascii="Calibri" w:hAnsi="Calibri" w:cs="Calibri"/>
          <w:noProof/>
          <w:sz w:val="18"/>
          <w:szCs w:val="24"/>
        </w:rPr>
        <w:t>, 33–40, doi:10.1016/j.nmd.2015.10.001.</w:t>
      </w:r>
    </w:p>
    <w:p w14:paraId="6999FB68"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54. </w:t>
      </w:r>
      <w:r w:rsidRPr="00843E38">
        <w:rPr>
          <w:rFonts w:ascii="Calibri" w:hAnsi="Calibri" w:cs="Calibri"/>
          <w:noProof/>
          <w:sz w:val="18"/>
          <w:szCs w:val="24"/>
        </w:rPr>
        <w:tab/>
        <w:t xml:space="preserve">Sewry, C.A.; Brown, S.C.; Mercuri, E.; Bonne, G.; Feng, L.; Camici, G.; Morris, G.E.; Muntoni, F. Skeletal Muscle Pathology in Autosomal Dominant Emery-Dreifuss Muscular Dystrophy with Lamin A/C Mutations. </w:t>
      </w:r>
      <w:r w:rsidRPr="00843E38">
        <w:rPr>
          <w:rFonts w:ascii="Calibri" w:hAnsi="Calibri" w:cs="Calibri"/>
          <w:i/>
          <w:iCs/>
          <w:noProof/>
          <w:sz w:val="18"/>
          <w:szCs w:val="24"/>
        </w:rPr>
        <w:t>Neuropathol. Appl. Neurobiol.</w:t>
      </w:r>
      <w:r w:rsidRPr="00843E38">
        <w:rPr>
          <w:rFonts w:ascii="Calibri" w:hAnsi="Calibri" w:cs="Calibri"/>
          <w:noProof/>
          <w:sz w:val="18"/>
          <w:szCs w:val="24"/>
        </w:rPr>
        <w:t xml:space="preserve"> </w:t>
      </w:r>
      <w:r w:rsidRPr="00843E38">
        <w:rPr>
          <w:rFonts w:ascii="Calibri" w:hAnsi="Calibri" w:cs="Calibri"/>
          <w:b/>
          <w:bCs/>
          <w:noProof/>
          <w:sz w:val="18"/>
          <w:szCs w:val="24"/>
        </w:rPr>
        <w:t>2001</w:t>
      </w:r>
      <w:r w:rsidRPr="00843E38">
        <w:rPr>
          <w:rFonts w:ascii="Calibri" w:hAnsi="Calibri" w:cs="Calibri"/>
          <w:noProof/>
          <w:sz w:val="18"/>
          <w:szCs w:val="24"/>
        </w:rPr>
        <w:t xml:space="preserve">, </w:t>
      </w:r>
      <w:r w:rsidRPr="00843E38">
        <w:rPr>
          <w:rFonts w:ascii="Calibri" w:hAnsi="Calibri" w:cs="Calibri"/>
          <w:i/>
          <w:iCs/>
          <w:noProof/>
          <w:sz w:val="18"/>
          <w:szCs w:val="24"/>
        </w:rPr>
        <w:t>27</w:t>
      </w:r>
      <w:r w:rsidRPr="00843E38">
        <w:rPr>
          <w:rFonts w:ascii="Calibri" w:hAnsi="Calibri" w:cs="Calibri"/>
          <w:noProof/>
          <w:sz w:val="18"/>
          <w:szCs w:val="24"/>
        </w:rPr>
        <w:t>, 281–290, doi:10.1046/j.0305-1846.2001.00323.x.</w:t>
      </w:r>
    </w:p>
    <w:p w14:paraId="534EB852"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55. </w:t>
      </w:r>
      <w:r w:rsidRPr="00843E38">
        <w:rPr>
          <w:rFonts w:ascii="Calibri" w:hAnsi="Calibri" w:cs="Calibri"/>
          <w:noProof/>
          <w:sz w:val="18"/>
          <w:szCs w:val="24"/>
        </w:rPr>
        <w:tab/>
        <w:t xml:space="preserve">Vytopil, M.; Benedetti, S.; Ricci, E.; Galluzzi, G.; Dello Russo, A.; Merlini, L.; Boriani, G.; Gallina, M.; Morandi, L.; Politano, L.; et al. Mutation Analysis of the Lamin A/C Gene (LMNA) among Patients with Different Cardiomuscular Phenotypes. </w:t>
      </w:r>
      <w:r w:rsidRPr="00843E38">
        <w:rPr>
          <w:rFonts w:ascii="Calibri" w:hAnsi="Calibri" w:cs="Calibri"/>
          <w:i/>
          <w:iCs/>
          <w:noProof/>
          <w:sz w:val="18"/>
          <w:szCs w:val="24"/>
        </w:rPr>
        <w:t>J. Med. Genet.</w:t>
      </w:r>
      <w:r w:rsidRPr="00843E38">
        <w:rPr>
          <w:rFonts w:ascii="Calibri" w:hAnsi="Calibri" w:cs="Calibri"/>
          <w:noProof/>
          <w:sz w:val="18"/>
          <w:szCs w:val="24"/>
        </w:rPr>
        <w:t xml:space="preserve"> </w:t>
      </w:r>
      <w:r w:rsidRPr="00843E38">
        <w:rPr>
          <w:rFonts w:ascii="Calibri" w:hAnsi="Calibri" w:cs="Calibri"/>
          <w:b/>
          <w:bCs/>
          <w:noProof/>
          <w:sz w:val="18"/>
          <w:szCs w:val="24"/>
        </w:rPr>
        <w:t>2003</w:t>
      </w:r>
      <w:r w:rsidRPr="00843E38">
        <w:rPr>
          <w:rFonts w:ascii="Calibri" w:hAnsi="Calibri" w:cs="Calibri"/>
          <w:noProof/>
          <w:sz w:val="18"/>
          <w:szCs w:val="24"/>
        </w:rPr>
        <w:t xml:space="preserve">, </w:t>
      </w:r>
      <w:r w:rsidRPr="00843E38">
        <w:rPr>
          <w:rFonts w:ascii="Calibri" w:hAnsi="Calibri" w:cs="Calibri"/>
          <w:i/>
          <w:iCs/>
          <w:noProof/>
          <w:sz w:val="18"/>
          <w:szCs w:val="24"/>
        </w:rPr>
        <w:t>40</w:t>
      </w:r>
      <w:r w:rsidRPr="00843E38">
        <w:rPr>
          <w:rFonts w:ascii="Calibri" w:hAnsi="Calibri" w:cs="Calibri"/>
          <w:noProof/>
          <w:sz w:val="18"/>
          <w:szCs w:val="24"/>
        </w:rPr>
        <w:t>, e132, doi:10.1136/jmg.40.12.e132.</w:t>
      </w:r>
    </w:p>
    <w:p w14:paraId="0E01FF14"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56. </w:t>
      </w:r>
      <w:r w:rsidRPr="00843E38">
        <w:rPr>
          <w:rFonts w:ascii="Calibri" w:hAnsi="Calibri" w:cs="Calibri"/>
          <w:noProof/>
          <w:sz w:val="18"/>
          <w:szCs w:val="24"/>
        </w:rPr>
        <w:tab/>
        <w:t xml:space="preserve">Astejada, M.N.; Goto, K.; Nagano, A.; Ura, S.; Noguchi, S.; Nonaka, I.; Nishino, I.; Hayashi, Y.K. Emerinopathy and Laminopathy Clinical, Pathological and Molecular Features of Muscular Dystrophy with Nuclear Envelopathy in Japan. </w:t>
      </w:r>
      <w:r w:rsidRPr="00843E38">
        <w:rPr>
          <w:rFonts w:ascii="Calibri" w:hAnsi="Calibri" w:cs="Calibri"/>
          <w:i/>
          <w:iCs/>
          <w:noProof/>
          <w:sz w:val="18"/>
          <w:szCs w:val="24"/>
        </w:rPr>
        <w:t>Acta Myol.  myopathies cardiomyopathies  Off. J. Mediterr. Soc. Myol.</w:t>
      </w:r>
      <w:r w:rsidRPr="00843E38">
        <w:rPr>
          <w:rFonts w:ascii="Calibri" w:hAnsi="Calibri" w:cs="Calibri"/>
          <w:noProof/>
          <w:sz w:val="18"/>
          <w:szCs w:val="24"/>
        </w:rPr>
        <w:t xml:space="preserve"> </w:t>
      </w:r>
      <w:r w:rsidRPr="00843E38">
        <w:rPr>
          <w:rFonts w:ascii="Calibri" w:hAnsi="Calibri" w:cs="Calibri"/>
          <w:b/>
          <w:bCs/>
          <w:noProof/>
          <w:sz w:val="18"/>
          <w:szCs w:val="24"/>
        </w:rPr>
        <w:t>2007</w:t>
      </w:r>
      <w:r w:rsidRPr="00843E38">
        <w:rPr>
          <w:rFonts w:ascii="Calibri" w:hAnsi="Calibri" w:cs="Calibri"/>
          <w:noProof/>
          <w:sz w:val="18"/>
          <w:szCs w:val="24"/>
        </w:rPr>
        <w:t xml:space="preserve">, </w:t>
      </w:r>
      <w:r w:rsidRPr="00843E38">
        <w:rPr>
          <w:rFonts w:ascii="Calibri" w:hAnsi="Calibri" w:cs="Calibri"/>
          <w:i/>
          <w:iCs/>
          <w:noProof/>
          <w:sz w:val="18"/>
          <w:szCs w:val="24"/>
        </w:rPr>
        <w:t>26</w:t>
      </w:r>
      <w:r w:rsidRPr="00843E38">
        <w:rPr>
          <w:rFonts w:ascii="Calibri" w:hAnsi="Calibri" w:cs="Calibri"/>
          <w:noProof/>
          <w:sz w:val="18"/>
          <w:szCs w:val="24"/>
        </w:rPr>
        <w:t>, 159–164.</w:t>
      </w:r>
    </w:p>
    <w:p w14:paraId="7DA35B35"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57. </w:t>
      </w:r>
      <w:r w:rsidRPr="00843E38">
        <w:rPr>
          <w:rFonts w:ascii="Calibri" w:hAnsi="Calibri" w:cs="Calibri"/>
          <w:noProof/>
          <w:sz w:val="18"/>
          <w:szCs w:val="24"/>
        </w:rPr>
        <w:tab/>
        <w:t xml:space="preserve">Colomer, J.; Iturriaga, C.; Bonne, G.; Schwartz, K.; Manilal, S.; Morris, G.E.; Puche, M.; Fernández-Alvarez, E. Autosomal Dominant Emery-Dreifuss Muscular Dystrophy: A New Family with Late Diagnosis. </w:t>
      </w:r>
      <w:r w:rsidRPr="00843E38">
        <w:rPr>
          <w:rFonts w:ascii="Calibri" w:hAnsi="Calibri" w:cs="Calibri"/>
          <w:i/>
          <w:iCs/>
          <w:noProof/>
          <w:sz w:val="18"/>
          <w:szCs w:val="24"/>
        </w:rPr>
        <w:t>Neuromuscul. Disord.</w:t>
      </w:r>
      <w:r w:rsidRPr="00843E38">
        <w:rPr>
          <w:rFonts w:ascii="Calibri" w:hAnsi="Calibri" w:cs="Calibri"/>
          <w:noProof/>
          <w:sz w:val="18"/>
          <w:szCs w:val="24"/>
        </w:rPr>
        <w:t xml:space="preserve"> </w:t>
      </w:r>
      <w:r w:rsidRPr="00843E38">
        <w:rPr>
          <w:rFonts w:ascii="Calibri" w:hAnsi="Calibri" w:cs="Calibri"/>
          <w:b/>
          <w:bCs/>
          <w:noProof/>
          <w:sz w:val="18"/>
          <w:szCs w:val="24"/>
        </w:rPr>
        <w:t>2002</w:t>
      </w:r>
      <w:r w:rsidRPr="00843E38">
        <w:rPr>
          <w:rFonts w:ascii="Calibri" w:hAnsi="Calibri" w:cs="Calibri"/>
          <w:noProof/>
          <w:sz w:val="18"/>
          <w:szCs w:val="24"/>
        </w:rPr>
        <w:t xml:space="preserve">, </w:t>
      </w:r>
      <w:r w:rsidRPr="00843E38">
        <w:rPr>
          <w:rFonts w:ascii="Calibri" w:hAnsi="Calibri" w:cs="Calibri"/>
          <w:i/>
          <w:iCs/>
          <w:noProof/>
          <w:sz w:val="18"/>
          <w:szCs w:val="24"/>
        </w:rPr>
        <w:t>12</w:t>
      </w:r>
      <w:r w:rsidRPr="00843E38">
        <w:rPr>
          <w:rFonts w:ascii="Calibri" w:hAnsi="Calibri" w:cs="Calibri"/>
          <w:noProof/>
          <w:sz w:val="18"/>
          <w:szCs w:val="24"/>
        </w:rPr>
        <w:t>, 19–25, doi:10.1016/s0960-8966(01)00239-5.</w:t>
      </w:r>
    </w:p>
    <w:p w14:paraId="7EEF0240"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58. </w:t>
      </w:r>
      <w:r w:rsidRPr="00843E38">
        <w:rPr>
          <w:rFonts w:ascii="Calibri" w:hAnsi="Calibri" w:cs="Calibri"/>
          <w:noProof/>
          <w:sz w:val="18"/>
          <w:szCs w:val="24"/>
        </w:rPr>
        <w:tab/>
        <w:t xml:space="preserve">Bonne, G.; Barletta, M.R. Di; Varnous, S.; Bécane, H.-M.; Hammouda, E.-H.; Merlini, L.; Muntoni, F.; Greenberg, C.R.; Gary, F.; Urtizberea, J.-A.; et al. Mutations in the Gene Encoding Lamin A/C Cause Autosomal Dominant Emery-Dreifuss Muscular Dystrophy. </w:t>
      </w:r>
      <w:r w:rsidRPr="00843E38">
        <w:rPr>
          <w:rFonts w:ascii="Calibri" w:hAnsi="Calibri" w:cs="Calibri"/>
          <w:i/>
          <w:iCs/>
          <w:noProof/>
          <w:sz w:val="18"/>
          <w:szCs w:val="24"/>
        </w:rPr>
        <w:t>Nat. Genet.</w:t>
      </w:r>
      <w:r w:rsidRPr="00843E38">
        <w:rPr>
          <w:rFonts w:ascii="Calibri" w:hAnsi="Calibri" w:cs="Calibri"/>
          <w:noProof/>
          <w:sz w:val="18"/>
          <w:szCs w:val="24"/>
        </w:rPr>
        <w:t xml:space="preserve"> </w:t>
      </w:r>
      <w:r w:rsidRPr="00843E38">
        <w:rPr>
          <w:rFonts w:ascii="Calibri" w:hAnsi="Calibri" w:cs="Calibri"/>
          <w:b/>
          <w:bCs/>
          <w:noProof/>
          <w:sz w:val="18"/>
          <w:szCs w:val="24"/>
        </w:rPr>
        <w:t>1999</w:t>
      </w:r>
      <w:r w:rsidRPr="00843E38">
        <w:rPr>
          <w:rFonts w:ascii="Calibri" w:hAnsi="Calibri" w:cs="Calibri"/>
          <w:noProof/>
          <w:sz w:val="18"/>
          <w:szCs w:val="24"/>
        </w:rPr>
        <w:t xml:space="preserve">, </w:t>
      </w:r>
      <w:r w:rsidRPr="00843E38">
        <w:rPr>
          <w:rFonts w:ascii="Calibri" w:hAnsi="Calibri" w:cs="Calibri"/>
          <w:i/>
          <w:iCs/>
          <w:noProof/>
          <w:sz w:val="18"/>
          <w:szCs w:val="24"/>
        </w:rPr>
        <w:t>21</w:t>
      </w:r>
      <w:r w:rsidRPr="00843E38">
        <w:rPr>
          <w:rFonts w:ascii="Calibri" w:hAnsi="Calibri" w:cs="Calibri"/>
          <w:noProof/>
          <w:sz w:val="18"/>
          <w:szCs w:val="24"/>
        </w:rPr>
        <w:t>, 285–288, doi:10.1038/6799.</w:t>
      </w:r>
    </w:p>
    <w:p w14:paraId="32365726"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59. </w:t>
      </w:r>
      <w:r w:rsidRPr="00843E38">
        <w:rPr>
          <w:rFonts w:ascii="Calibri" w:hAnsi="Calibri" w:cs="Calibri"/>
          <w:noProof/>
          <w:sz w:val="18"/>
          <w:szCs w:val="24"/>
        </w:rPr>
        <w:tab/>
        <w:t xml:space="preserve">Bonne, G.; Mercuri, E.; Muchir, A.; Urtizberea, A.; Bécane, H.M.; Recan, D.; Merlini, L.; Wehnert, M.; Boor, R.; Reuner, U.; et al. Clinical and Molecular Genetic Spectrum of Autosomal Dominant Emery-Dreifuss Muscular Dystrophy Due to Mutations of the Lamin A/C Gene. </w:t>
      </w:r>
      <w:r w:rsidRPr="00843E38">
        <w:rPr>
          <w:rFonts w:ascii="Calibri" w:hAnsi="Calibri" w:cs="Calibri"/>
          <w:i/>
          <w:iCs/>
          <w:noProof/>
          <w:sz w:val="18"/>
          <w:szCs w:val="24"/>
        </w:rPr>
        <w:t>Ann. Neurol.</w:t>
      </w:r>
      <w:r w:rsidRPr="00843E38">
        <w:rPr>
          <w:rFonts w:ascii="Calibri" w:hAnsi="Calibri" w:cs="Calibri"/>
          <w:noProof/>
          <w:sz w:val="18"/>
          <w:szCs w:val="24"/>
        </w:rPr>
        <w:t xml:space="preserve"> </w:t>
      </w:r>
      <w:r w:rsidRPr="00843E38">
        <w:rPr>
          <w:rFonts w:ascii="Calibri" w:hAnsi="Calibri" w:cs="Calibri"/>
          <w:b/>
          <w:bCs/>
          <w:noProof/>
          <w:sz w:val="18"/>
          <w:szCs w:val="24"/>
        </w:rPr>
        <w:t>2000</w:t>
      </w:r>
      <w:r w:rsidRPr="00843E38">
        <w:rPr>
          <w:rFonts w:ascii="Calibri" w:hAnsi="Calibri" w:cs="Calibri"/>
          <w:noProof/>
          <w:sz w:val="18"/>
          <w:szCs w:val="24"/>
        </w:rPr>
        <w:t xml:space="preserve">, </w:t>
      </w:r>
      <w:r w:rsidRPr="00843E38">
        <w:rPr>
          <w:rFonts w:ascii="Calibri" w:hAnsi="Calibri" w:cs="Calibri"/>
          <w:i/>
          <w:iCs/>
          <w:noProof/>
          <w:sz w:val="18"/>
          <w:szCs w:val="24"/>
        </w:rPr>
        <w:t>48</w:t>
      </w:r>
      <w:r w:rsidRPr="00843E38">
        <w:rPr>
          <w:rFonts w:ascii="Calibri" w:hAnsi="Calibri" w:cs="Calibri"/>
          <w:noProof/>
          <w:sz w:val="18"/>
          <w:szCs w:val="24"/>
        </w:rPr>
        <w:t>, 170–180, doi:10.1002/1531-8249(200008)48:2&lt;170::AID-ANA6&gt;3.0.CO;2-J.</w:t>
      </w:r>
    </w:p>
    <w:p w14:paraId="69BA170E"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lastRenderedPageBreak/>
        <w:t xml:space="preserve">60. </w:t>
      </w:r>
      <w:r w:rsidRPr="00843E38">
        <w:rPr>
          <w:rFonts w:ascii="Calibri" w:hAnsi="Calibri" w:cs="Calibri"/>
          <w:noProof/>
          <w:sz w:val="18"/>
          <w:szCs w:val="24"/>
        </w:rPr>
        <w:tab/>
        <w:t xml:space="preserve">Kajino, S.; Ishihara, K.; Goto, K.; Ishigaki, K.; Noguchi, S.; Nonaka, I.; Osawa, M.; Nishino, I.; Hayashi, Y.K. Congenital Fiber Type Disproportion Myopathy Caused by LMNA Mutations. </w:t>
      </w:r>
      <w:r w:rsidRPr="00843E38">
        <w:rPr>
          <w:rFonts w:ascii="Calibri" w:hAnsi="Calibri" w:cs="Calibri"/>
          <w:i/>
          <w:iCs/>
          <w:noProof/>
          <w:sz w:val="18"/>
          <w:szCs w:val="24"/>
        </w:rPr>
        <w:t>J. Neurol. Sci.</w:t>
      </w:r>
      <w:r w:rsidRPr="00843E38">
        <w:rPr>
          <w:rFonts w:ascii="Calibri" w:hAnsi="Calibri" w:cs="Calibri"/>
          <w:noProof/>
          <w:sz w:val="18"/>
          <w:szCs w:val="24"/>
        </w:rPr>
        <w:t xml:space="preserve"> </w:t>
      </w:r>
      <w:r w:rsidRPr="00843E38">
        <w:rPr>
          <w:rFonts w:ascii="Calibri" w:hAnsi="Calibri" w:cs="Calibri"/>
          <w:b/>
          <w:bCs/>
          <w:noProof/>
          <w:sz w:val="18"/>
          <w:szCs w:val="24"/>
        </w:rPr>
        <w:t>2014</w:t>
      </w:r>
      <w:r w:rsidRPr="00843E38">
        <w:rPr>
          <w:rFonts w:ascii="Calibri" w:hAnsi="Calibri" w:cs="Calibri"/>
          <w:noProof/>
          <w:sz w:val="18"/>
          <w:szCs w:val="24"/>
        </w:rPr>
        <w:t xml:space="preserve">, </w:t>
      </w:r>
      <w:r w:rsidRPr="00843E38">
        <w:rPr>
          <w:rFonts w:ascii="Calibri" w:hAnsi="Calibri" w:cs="Calibri"/>
          <w:i/>
          <w:iCs/>
          <w:noProof/>
          <w:sz w:val="18"/>
          <w:szCs w:val="24"/>
        </w:rPr>
        <w:t>340</w:t>
      </w:r>
      <w:r w:rsidRPr="00843E38">
        <w:rPr>
          <w:rFonts w:ascii="Calibri" w:hAnsi="Calibri" w:cs="Calibri"/>
          <w:noProof/>
          <w:sz w:val="18"/>
          <w:szCs w:val="24"/>
        </w:rPr>
        <w:t>, 94–98, doi:10.1016/j.jns.2014.02.036.</w:t>
      </w:r>
    </w:p>
    <w:p w14:paraId="23137484"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61. </w:t>
      </w:r>
      <w:r w:rsidRPr="00843E38">
        <w:rPr>
          <w:rFonts w:ascii="Calibri" w:hAnsi="Calibri" w:cs="Calibri"/>
          <w:noProof/>
          <w:sz w:val="18"/>
          <w:szCs w:val="24"/>
        </w:rPr>
        <w:tab/>
        <w:t xml:space="preserve">Ge, L.; Zhang, C.; Wang, Z.; Chan, S.H.S.; Zhu, W.; Han, C.; Zhang, X.; Zheng, H.; Wu, L.; Jin, B.; et al. Congenital Muscular Dystrophies in China. </w:t>
      </w:r>
      <w:r w:rsidRPr="00843E38">
        <w:rPr>
          <w:rFonts w:ascii="Calibri" w:hAnsi="Calibri" w:cs="Calibri"/>
          <w:i/>
          <w:iCs/>
          <w:noProof/>
          <w:sz w:val="18"/>
          <w:szCs w:val="24"/>
        </w:rPr>
        <w:t>Clin. Genet.</w:t>
      </w:r>
      <w:r w:rsidRPr="00843E38">
        <w:rPr>
          <w:rFonts w:ascii="Calibri" w:hAnsi="Calibri" w:cs="Calibri"/>
          <w:noProof/>
          <w:sz w:val="18"/>
          <w:szCs w:val="24"/>
        </w:rPr>
        <w:t xml:space="preserve"> </w:t>
      </w:r>
      <w:r w:rsidRPr="00843E38">
        <w:rPr>
          <w:rFonts w:ascii="Calibri" w:hAnsi="Calibri" w:cs="Calibri"/>
          <w:b/>
          <w:bCs/>
          <w:noProof/>
          <w:sz w:val="18"/>
          <w:szCs w:val="24"/>
        </w:rPr>
        <w:t>2019</w:t>
      </w:r>
      <w:r w:rsidRPr="00843E38">
        <w:rPr>
          <w:rFonts w:ascii="Calibri" w:hAnsi="Calibri" w:cs="Calibri"/>
          <w:noProof/>
          <w:sz w:val="18"/>
          <w:szCs w:val="24"/>
        </w:rPr>
        <w:t xml:space="preserve">, </w:t>
      </w:r>
      <w:r w:rsidRPr="00843E38">
        <w:rPr>
          <w:rFonts w:ascii="Calibri" w:hAnsi="Calibri" w:cs="Calibri"/>
          <w:i/>
          <w:iCs/>
          <w:noProof/>
          <w:sz w:val="18"/>
          <w:szCs w:val="24"/>
        </w:rPr>
        <w:t>96</w:t>
      </w:r>
      <w:r w:rsidRPr="00843E38">
        <w:rPr>
          <w:rFonts w:ascii="Calibri" w:hAnsi="Calibri" w:cs="Calibri"/>
          <w:noProof/>
          <w:sz w:val="18"/>
          <w:szCs w:val="24"/>
        </w:rPr>
        <w:t>, 207–215, doi:10.1111/cge.13560.</w:t>
      </w:r>
    </w:p>
    <w:p w14:paraId="3C69AC2B"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62. </w:t>
      </w:r>
      <w:r w:rsidRPr="00843E38">
        <w:rPr>
          <w:rFonts w:ascii="Calibri" w:hAnsi="Calibri" w:cs="Calibri"/>
          <w:noProof/>
          <w:sz w:val="18"/>
          <w:szCs w:val="24"/>
        </w:rPr>
        <w:tab/>
        <w:t xml:space="preserve">Ebert, M.; Wijnmaalen, A.P.; de Riva, M.; Trines, S.A.; Androulakis, A.F.A.; Glashan, C.A.; Schalij, M.J.; van Tintelen, J.; Jongbloed, J.D.H.; Zeppenfeld, K. Prevalence and Prognostic Impact of Pathogenic Variants in Patients With Dilated Cardiomyopathy Referred for Ventricular Tachycardia Ablation. </w:t>
      </w:r>
      <w:r w:rsidRPr="00843E38">
        <w:rPr>
          <w:rFonts w:ascii="Calibri" w:hAnsi="Calibri" w:cs="Calibri"/>
          <w:i/>
          <w:iCs/>
          <w:noProof/>
          <w:sz w:val="18"/>
          <w:szCs w:val="24"/>
        </w:rPr>
        <w:t>JACC. Clin. Electrophysiol.</w:t>
      </w:r>
      <w:r w:rsidRPr="00843E38">
        <w:rPr>
          <w:rFonts w:ascii="Calibri" w:hAnsi="Calibri" w:cs="Calibri"/>
          <w:noProof/>
          <w:sz w:val="18"/>
          <w:szCs w:val="24"/>
        </w:rPr>
        <w:t xml:space="preserve"> </w:t>
      </w:r>
      <w:r w:rsidRPr="00843E38">
        <w:rPr>
          <w:rFonts w:ascii="Calibri" w:hAnsi="Calibri" w:cs="Calibri"/>
          <w:b/>
          <w:bCs/>
          <w:noProof/>
          <w:sz w:val="18"/>
          <w:szCs w:val="24"/>
        </w:rPr>
        <w:t>2020</w:t>
      </w:r>
      <w:r w:rsidRPr="00843E38">
        <w:rPr>
          <w:rFonts w:ascii="Calibri" w:hAnsi="Calibri" w:cs="Calibri"/>
          <w:noProof/>
          <w:sz w:val="18"/>
          <w:szCs w:val="24"/>
        </w:rPr>
        <w:t xml:space="preserve">, </w:t>
      </w:r>
      <w:r w:rsidRPr="00843E38">
        <w:rPr>
          <w:rFonts w:ascii="Calibri" w:hAnsi="Calibri" w:cs="Calibri"/>
          <w:i/>
          <w:iCs/>
          <w:noProof/>
          <w:sz w:val="18"/>
          <w:szCs w:val="24"/>
        </w:rPr>
        <w:t>6</w:t>
      </w:r>
      <w:r w:rsidRPr="00843E38">
        <w:rPr>
          <w:rFonts w:ascii="Calibri" w:hAnsi="Calibri" w:cs="Calibri"/>
          <w:noProof/>
          <w:sz w:val="18"/>
          <w:szCs w:val="24"/>
        </w:rPr>
        <w:t>, 1103–1114, doi:10.1016/j.jacep.2020.04.025.</w:t>
      </w:r>
    </w:p>
    <w:p w14:paraId="3CFEBAA6"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63. </w:t>
      </w:r>
      <w:r w:rsidRPr="00843E38">
        <w:rPr>
          <w:rFonts w:ascii="Calibri" w:hAnsi="Calibri" w:cs="Calibri"/>
          <w:noProof/>
          <w:sz w:val="18"/>
          <w:szCs w:val="24"/>
        </w:rPr>
        <w:tab/>
        <w:t xml:space="preserve">Vytopil, M.; Vohanka, S.; Vlasinova, J.; Toman, J.; Novak, M.; Toniolo, D.; Ricotti, R.; Lukas, Z. The Screening for X-Linked Emery-Dreifuss Muscular Dystrophy amongst Young Patients with Idiopathic Heart Conduction System Disease Treated by a Pacemaker Implant. </w:t>
      </w:r>
      <w:r w:rsidRPr="00843E38">
        <w:rPr>
          <w:rFonts w:ascii="Calibri" w:hAnsi="Calibri" w:cs="Calibri"/>
          <w:i/>
          <w:iCs/>
          <w:noProof/>
          <w:sz w:val="18"/>
          <w:szCs w:val="24"/>
        </w:rPr>
        <w:t>Eur. J. Neurol.</w:t>
      </w:r>
      <w:r w:rsidRPr="00843E38">
        <w:rPr>
          <w:rFonts w:ascii="Calibri" w:hAnsi="Calibri" w:cs="Calibri"/>
          <w:noProof/>
          <w:sz w:val="18"/>
          <w:szCs w:val="24"/>
        </w:rPr>
        <w:t xml:space="preserve"> </w:t>
      </w:r>
      <w:r w:rsidRPr="00843E38">
        <w:rPr>
          <w:rFonts w:ascii="Calibri" w:hAnsi="Calibri" w:cs="Calibri"/>
          <w:b/>
          <w:bCs/>
          <w:noProof/>
          <w:sz w:val="18"/>
          <w:szCs w:val="24"/>
        </w:rPr>
        <w:t>2004</w:t>
      </w:r>
      <w:r w:rsidRPr="00843E38">
        <w:rPr>
          <w:rFonts w:ascii="Calibri" w:hAnsi="Calibri" w:cs="Calibri"/>
          <w:noProof/>
          <w:sz w:val="18"/>
          <w:szCs w:val="24"/>
        </w:rPr>
        <w:t xml:space="preserve">, </w:t>
      </w:r>
      <w:r w:rsidRPr="00843E38">
        <w:rPr>
          <w:rFonts w:ascii="Calibri" w:hAnsi="Calibri" w:cs="Calibri"/>
          <w:i/>
          <w:iCs/>
          <w:noProof/>
          <w:sz w:val="18"/>
          <w:szCs w:val="24"/>
        </w:rPr>
        <w:t>11</w:t>
      </w:r>
      <w:r w:rsidRPr="00843E38">
        <w:rPr>
          <w:rFonts w:ascii="Calibri" w:hAnsi="Calibri" w:cs="Calibri"/>
          <w:noProof/>
          <w:sz w:val="18"/>
          <w:szCs w:val="24"/>
        </w:rPr>
        <w:t>, 531–534, doi:10.1111/j.1468-1331.2004.00825.x.</w:t>
      </w:r>
    </w:p>
    <w:p w14:paraId="134B41A8"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64. </w:t>
      </w:r>
      <w:r w:rsidRPr="00843E38">
        <w:rPr>
          <w:rFonts w:ascii="Calibri" w:hAnsi="Calibri" w:cs="Calibri"/>
          <w:noProof/>
          <w:sz w:val="18"/>
          <w:szCs w:val="24"/>
        </w:rPr>
        <w:tab/>
        <w:t xml:space="preserve">Liang, W.-C.; Jong, Y.-J.; Wang, C.-H.; Wang, C.-H.; Tian, X.; Chen, W.-Z.; Kan, T.-M.; Minami, N.; Nishino, I.; Wong, L.-J.C. Clinical, Pathological, Imaging, and Genetic Characterization in a Taiwanese Cohort with Limb-Girdle Muscular Dystrophy. </w:t>
      </w:r>
      <w:r w:rsidRPr="00843E38">
        <w:rPr>
          <w:rFonts w:ascii="Calibri" w:hAnsi="Calibri" w:cs="Calibri"/>
          <w:i/>
          <w:iCs/>
          <w:noProof/>
          <w:sz w:val="18"/>
          <w:szCs w:val="24"/>
        </w:rPr>
        <w:t>Orphanet J. Rare Dis.</w:t>
      </w:r>
      <w:r w:rsidRPr="00843E38">
        <w:rPr>
          <w:rFonts w:ascii="Calibri" w:hAnsi="Calibri" w:cs="Calibri"/>
          <w:noProof/>
          <w:sz w:val="18"/>
          <w:szCs w:val="24"/>
        </w:rPr>
        <w:t xml:space="preserve"> </w:t>
      </w:r>
      <w:r w:rsidRPr="00843E38">
        <w:rPr>
          <w:rFonts w:ascii="Calibri" w:hAnsi="Calibri" w:cs="Calibri"/>
          <w:b/>
          <w:bCs/>
          <w:noProof/>
          <w:sz w:val="18"/>
          <w:szCs w:val="24"/>
        </w:rPr>
        <w:t>2020</w:t>
      </w:r>
      <w:r w:rsidRPr="00843E38">
        <w:rPr>
          <w:rFonts w:ascii="Calibri" w:hAnsi="Calibri" w:cs="Calibri"/>
          <w:noProof/>
          <w:sz w:val="18"/>
          <w:szCs w:val="24"/>
        </w:rPr>
        <w:t xml:space="preserve">, </w:t>
      </w:r>
      <w:r w:rsidRPr="00843E38">
        <w:rPr>
          <w:rFonts w:ascii="Calibri" w:hAnsi="Calibri" w:cs="Calibri"/>
          <w:i/>
          <w:iCs/>
          <w:noProof/>
          <w:sz w:val="18"/>
          <w:szCs w:val="24"/>
        </w:rPr>
        <w:t>15</w:t>
      </w:r>
      <w:r w:rsidRPr="00843E38">
        <w:rPr>
          <w:rFonts w:ascii="Calibri" w:hAnsi="Calibri" w:cs="Calibri"/>
          <w:noProof/>
          <w:sz w:val="18"/>
          <w:szCs w:val="24"/>
        </w:rPr>
        <w:t>, 160, doi:10.1186/s13023-020-01445-1.</w:t>
      </w:r>
    </w:p>
    <w:p w14:paraId="49228B38"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65. </w:t>
      </w:r>
      <w:r w:rsidRPr="00843E38">
        <w:rPr>
          <w:rFonts w:ascii="Calibri" w:hAnsi="Calibri" w:cs="Calibri"/>
          <w:noProof/>
          <w:sz w:val="18"/>
          <w:szCs w:val="24"/>
        </w:rPr>
        <w:tab/>
        <w:t xml:space="preserve">Sanga, S.; Ghosh, A.; Kumar, K.; Polavarapu, K.; Preethish-Kumar, V.; Vengalil, S.; Nashi, S.; Bardhan, M.; Arunachal, G.; Raju, S.; et al. Whole-Exome Analyses of Congenital Muscular Dystrophy and Congenital Myopathy Patients from India Reveal a Wide Spectrum of Known and Novel Mutations. </w:t>
      </w:r>
      <w:r w:rsidRPr="00843E38">
        <w:rPr>
          <w:rFonts w:ascii="Calibri" w:hAnsi="Calibri" w:cs="Calibri"/>
          <w:i/>
          <w:iCs/>
          <w:noProof/>
          <w:sz w:val="18"/>
          <w:szCs w:val="24"/>
        </w:rPr>
        <w:t>Eur. J. Neurol.</w:t>
      </w:r>
      <w:r w:rsidRPr="00843E38">
        <w:rPr>
          <w:rFonts w:ascii="Calibri" w:hAnsi="Calibri" w:cs="Calibri"/>
          <w:noProof/>
          <w:sz w:val="18"/>
          <w:szCs w:val="24"/>
        </w:rPr>
        <w:t xml:space="preserve"> </w:t>
      </w:r>
      <w:r w:rsidRPr="00843E38">
        <w:rPr>
          <w:rFonts w:ascii="Calibri" w:hAnsi="Calibri" w:cs="Calibri"/>
          <w:b/>
          <w:bCs/>
          <w:noProof/>
          <w:sz w:val="18"/>
          <w:szCs w:val="24"/>
        </w:rPr>
        <w:t>2021</w:t>
      </w:r>
      <w:r w:rsidRPr="00843E38">
        <w:rPr>
          <w:rFonts w:ascii="Calibri" w:hAnsi="Calibri" w:cs="Calibri"/>
          <w:noProof/>
          <w:sz w:val="18"/>
          <w:szCs w:val="24"/>
        </w:rPr>
        <w:t xml:space="preserve">, </w:t>
      </w:r>
      <w:r w:rsidRPr="00843E38">
        <w:rPr>
          <w:rFonts w:ascii="Calibri" w:hAnsi="Calibri" w:cs="Calibri"/>
          <w:i/>
          <w:iCs/>
          <w:noProof/>
          <w:sz w:val="18"/>
          <w:szCs w:val="24"/>
        </w:rPr>
        <w:t>28</w:t>
      </w:r>
      <w:r w:rsidRPr="00843E38">
        <w:rPr>
          <w:rFonts w:ascii="Calibri" w:hAnsi="Calibri" w:cs="Calibri"/>
          <w:noProof/>
          <w:sz w:val="18"/>
          <w:szCs w:val="24"/>
        </w:rPr>
        <w:t>, 992–1003, doi:10.1111/ene.14616.</w:t>
      </w:r>
    </w:p>
    <w:p w14:paraId="4D43BE3B"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66. </w:t>
      </w:r>
      <w:r w:rsidRPr="00843E38">
        <w:rPr>
          <w:rFonts w:ascii="Calibri" w:hAnsi="Calibri" w:cs="Calibri"/>
          <w:noProof/>
          <w:sz w:val="18"/>
          <w:szCs w:val="24"/>
        </w:rPr>
        <w:tab/>
        <w:t xml:space="preserve">Muchir, A.; Medioni, J.; Laluc, M.; Massart, C.; Arimura, T.; van der Kooi, A.J.; Desguerre, I.; Mayer, M.; Ferrer, X.; Briault, S.; et al. Nuclear Envelope Alterations in Fibroblasts from Patients with Muscular Dystrophy, Cardiomyopathy, and Partial Lipodystrophy Carrying Lamin A/C Gene Mutations. </w:t>
      </w:r>
      <w:r w:rsidRPr="00843E38">
        <w:rPr>
          <w:rFonts w:ascii="Calibri" w:hAnsi="Calibri" w:cs="Calibri"/>
          <w:i/>
          <w:iCs/>
          <w:noProof/>
          <w:sz w:val="18"/>
          <w:szCs w:val="24"/>
        </w:rPr>
        <w:t>Muscle Nerve</w:t>
      </w:r>
      <w:r w:rsidRPr="00843E38">
        <w:rPr>
          <w:rFonts w:ascii="Calibri" w:hAnsi="Calibri" w:cs="Calibri"/>
          <w:noProof/>
          <w:sz w:val="18"/>
          <w:szCs w:val="24"/>
        </w:rPr>
        <w:t xml:space="preserve"> </w:t>
      </w:r>
      <w:r w:rsidRPr="00843E38">
        <w:rPr>
          <w:rFonts w:ascii="Calibri" w:hAnsi="Calibri" w:cs="Calibri"/>
          <w:b/>
          <w:bCs/>
          <w:noProof/>
          <w:sz w:val="18"/>
          <w:szCs w:val="24"/>
        </w:rPr>
        <w:t>2004</w:t>
      </w:r>
      <w:r w:rsidRPr="00843E38">
        <w:rPr>
          <w:rFonts w:ascii="Calibri" w:hAnsi="Calibri" w:cs="Calibri"/>
          <w:noProof/>
          <w:sz w:val="18"/>
          <w:szCs w:val="24"/>
        </w:rPr>
        <w:t xml:space="preserve">, </w:t>
      </w:r>
      <w:r w:rsidRPr="00843E38">
        <w:rPr>
          <w:rFonts w:ascii="Calibri" w:hAnsi="Calibri" w:cs="Calibri"/>
          <w:i/>
          <w:iCs/>
          <w:noProof/>
          <w:sz w:val="18"/>
          <w:szCs w:val="24"/>
        </w:rPr>
        <w:t>30</w:t>
      </w:r>
      <w:r w:rsidRPr="00843E38">
        <w:rPr>
          <w:rFonts w:ascii="Calibri" w:hAnsi="Calibri" w:cs="Calibri"/>
          <w:noProof/>
          <w:sz w:val="18"/>
          <w:szCs w:val="24"/>
        </w:rPr>
        <w:t>, 444–450, doi:10.1002/mus.20122.</w:t>
      </w:r>
    </w:p>
    <w:p w14:paraId="3AE5C3F0"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67. </w:t>
      </w:r>
      <w:r w:rsidRPr="00843E38">
        <w:rPr>
          <w:rFonts w:ascii="Calibri" w:hAnsi="Calibri" w:cs="Calibri"/>
          <w:noProof/>
          <w:sz w:val="18"/>
          <w:szCs w:val="24"/>
        </w:rPr>
        <w:tab/>
        <w:t xml:space="preserve">Fan, Y.; Tan, D.; Song, D.; Zhang, X.; Chang, X.; Wang, Z.; Zhang, C.; Chan, S.H.-S.; Wu, Q.; Wu, L.; et al. Clinical Spectrum and Genetic Variations of LMNA -Related Muscular Dystrophes in a Large Cohort of Chinese Patients. </w:t>
      </w:r>
      <w:r w:rsidRPr="00843E38">
        <w:rPr>
          <w:rFonts w:ascii="Calibri" w:hAnsi="Calibri" w:cs="Calibri"/>
          <w:i/>
          <w:iCs/>
          <w:noProof/>
          <w:sz w:val="18"/>
          <w:szCs w:val="24"/>
        </w:rPr>
        <w:t>J. Med. Genet.</w:t>
      </w:r>
      <w:r w:rsidRPr="00843E38">
        <w:rPr>
          <w:rFonts w:ascii="Calibri" w:hAnsi="Calibri" w:cs="Calibri"/>
          <w:noProof/>
          <w:sz w:val="18"/>
          <w:szCs w:val="24"/>
        </w:rPr>
        <w:t xml:space="preserve"> </w:t>
      </w:r>
      <w:r w:rsidRPr="00843E38">
        <w:rPr>
          <w:rFonts w:ascii="Calibri" w:hAnsi="Calibri" w:cs="Calibri"/>
          <w:b/>
          <w:bCs/>
          <w:noProof/>
          <w:sz w:val="18"/>
          <w:szCs w:val="24"/>
        </w:rPr>
        <w:t>2020</w:t>
      </w:r>
      <w:r w:rsidRPr="00843E38">
        <w:rPr>
          <w:rFonts w:ascii="Calibri" w:hAnsi="Calibri" w:cs="Calibri"/>
          <w:noProof/>
          <w:sz w:val="18"/>
          <w:szCs w:val="24"/>
        </w:rPr>
        <w:t>.</w:t>
      </w:r>
    </w:p>
    <w:p w14:paraId="1B9A943F"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68. </w:t>
      </w:r>
      <w:r w:rsidRPr="00843E38">
        <w:rPr>
          <w:rFonts w:ascii="Calibri" w:hAnsi="Calibri" w:cs="Calibri"/>
          <w:noProof/>
          <w:sz w:val="18"/>
          <w:szCs w:val="24"/>
        </w:rPr>
        <w:tab/>
        <w:t xml:space="preserve">Magagnotti, C.; Bachi, A.; Zerbini, G.; Fattore, E.; Fermo, I.; Riba, M.; Previtali, S.C.; Ferrari, M.; Andolfo, A.; Benedetti, S. Protein Profiling Reveals Energy Metabolism and Cytoskeletal Protein Alterations in LMNA Mutation Carriers. </w:t>
      </w:r>
      <w:r w:rsidRPr="00843E38">
        <w:rPr>
          <w:rFonts w:ascii="Calibri" w:hAnsi="Calibri" w:cs="Calibri"/>
          <w:i/>
          <w:iCs/>
          <w:noProof/>
          <w:sz w:val="18"/>
          <w:szCs w:val="24"/>
        </w:rPr>
        <w:t>Biochim. Biophys. Acta</w:t>
      </w:r>
      <w:r w:rsidRPr="00843E38">
        <w:rPr>
          <w:rFonts w:ascii="Calibri" w:hAnsi="Calibri" w:cs="Calibri"/>
          <w:noProof/>
          <w:sz w:val="18"/>
          <w:szCs w:val="24"/>
        </w:rPr>
        <w:t xml:space="preserve"> </w:t>
      </w:r>
      <w:r w:rsidRPr="00843E38">
        <w:rPr>
          <w:rFonts w:ascii="Calibri" w:hAnsi="Calibri" w:cs="Calibri"/>
          <w:b/>
          <w:bCs/>
          <w:noProof/>
          <w:sz w:val="18"/>
          <w:szCs w:val="24"/>
        </w:rPr>
        <w:t>2012</w:t>
      </w:r>
      <w:r w:rsidRPr="00843E38">
        <w:rPr>
          <w:rFonts w:ascii="Calibri" w:hAnsi="Calibri" w:cs="Calibri"/>
          <w:noProof/>
          <w:sz w:val="18"/>
          <w:szCs w:val="24"/>
        </w:rPr>
        <w:t xml:space="preserve">, </w:t>
      </w:r>
      <w:r w:rsidRPr="00843E38">
        <w:rPr>
          <w:rFonts w:ascii="Calibri" w:hAnsi="Calibri" w:cs="Calibri"/>
          <w:i/>
          <w:iCs/>
          <w:noProof/>
          <w:sz w:val="18"/>
          <w:szCs w:val="24"/>
        </w:rPr>
        <w:t>1822</w:t>
      </w:r>
      <w:r w:rsidRPr="00843E38">
        <w:rPr>
          <w:rFonts w:ascii="Calibri" w:hAnsi="Calibri" w:cs="Calibri"/>
          <w:noProof/>
          <w:sz w:val="18"/>
          <w:szCs w:val="24"/>
        </w:rPr>
        <w:t>, 970–979, doi:10.1016/j.bbadis.2012.01.01.</w:t>
      </w:r>
    </w:p>
    <w:p w14:paraId="1436085C"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69. </w:t>
      </w:r>
      <w:r w:rsidRPr="00843E38">
        <w:rPr>
          <w:rFonts w:ascii="Calibri" w:hAnsi="Calibri" w:cs="Calibri"/>
          <w:noProof/>
          <w:sz w:val="18"/>
          <w:szCs w:val="24"/>
        </w:rPr>
        <w:tab/>
        <w:t xml:space="preserve">Choi, S.A.; Cho, A.; Kim, S.Y.; Kim, W.J.; Shim, Y.K.; Lee, J.S.; Jang, S.S.; Lim, B.C.; Kim, H.; Hwang, H.; et al. Importance of Early Diagnosis in LMNA-Related Muscular Dystrophy for Cardiac Surveillance. </w:t>
      </w:r>
      <w:r w:rsidRPr="00843E38">
        <w:rPr>
          <w:rFonts w:ascii="Calibri" w:hAnsi="Calibri" w:cs="Calibri"/>
          <w:i/>
          <w:iCs/>
          <w:noProof/>
          <w:sz w:val="18"/>
          <w:szCs w:val="24"/>
        </w:rPr>
        <w:t>Muscle Nerve</w:t>
      </w:r>
      <w:r w:rsidRPr="00843E38">
        <w:rPr>
          <w:rFonts w:ascii="Calibri" w:hAnsi="Calibri" w:cs="Calibri"/>
          <w:noProof/>
          <w:sz w:val="18"/>
          <w:szCs w:val="24"/>
        </w:rPr>
        <w:t xml:space="preserve"> </w:t>
      </w:r>
      <w:r w:rsidRPr="00843E38">
        <w:rPr>
          <w:rFonts w:ascii="Calibri" w:hAnsi="Calibri" w:cs="Calibri"/>
          <w:b/>
          <w:bCs/>
          <w:noProof/>
          <w:sz w:val="18"/>
          <w:szCs w:val="24"/>
        </w:rPr>
        <w:t>2019</w:t>
      </w:r>
      <w:r w:rsidRPr="00843E38">
        <w:rPr>
          <w:rFonts w:ascii="Calibri" w:hAnsi="Calibri" w:cs="Calibri"/>
          <w:noProof/>
          <w:sz w:val="18"/>
          <w:szCs w:val="24"/>
        </w:rPr>
        <w:t xml:space="preserve">, </w:t>
      </w:r>
      <w:r w:rsidRPr="00843E38">
        <w:rPr>
          <w:rFonts w:ascii="Calibri" w:hAnsi="Calibri" w:cs="Calibri"/>
          <w:i/>
          <w:iCs/>
          <w:noProof/>
          <w:sz w:val="18"/>
          <w:szCs w:val="24"/>
        </w:rPr>
        <w:t>60</w:t>
      </w:r>
      <w:r w:rsidRPr="00843E38">
        <w:rPr>
          <w:rFonts w:ascii="Calibri" w:hAnsi="Calibri" w:cs="Calibri"/>
          <w:noProof/>
          <w:sz w:val="18"/>
          <w:szCs w:val="24"/>
        </w:rPr>
        <w:t>, 668–672, doi:10.1002/mus.26700.</w:t>
      </w:r>
    </w:p>
    <w:p w14:paraId="77EB723B"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70. </w:t>
      </w:r>
      <w:r w:rsidRPr="00843E38">
        <w:rPr>
          <w:rFonts w:ascii="Calibri" w:hAnsi="Calibri" w:cs="Calibri"/>
          <w:noProof/>
          <w:sz w:val="18"/>
          <w:szCs w:val="24"/>
        </w:rPr>
        <w:tab/>
        <w:t xml:space="preserve">Makri, S.; Clarke, N.F.; Richard, P.; Maugenre, S.; Demay, L.; Bonne, G.; Guicheney, P. Germinal Mosaicism for LMNA Mimics Autosomal Recessive Congenital Muscular Dystrophy. </w:t>
      </w:r>
      <w:r w:rsidRPr="00843E38">
        <w:rPr>
          <w:rFonts w:ascii="Calibri" w:hAnsi="Calibri" w:cs="Calibri"/>
          <w:i/>
          <w:iCs/>
          <w:noProof/>
          <w:sz w:val="18"/>
          <w:szCs w:val="24"/>
        </w:rPr>
        <w:t>Neuromuscul. Disord.</w:t>
      </w:r>
      <w:r w:rsidRPr="00843E38">
        <w:rPr>
          <w:rFonts w:ascii="Calibri" w:hAnsi="Calibri" w:cs="Calibri"/>
          <w:noProof/>
          <w:sz w:val="18"/>
          <w:szCs w:val="24"/>
        </w:rPr>
        <w:t xml:space="preserve"> </w:t>
      </w:r>
      <w:r w:rsidRPr="00843E38">
        <w:rPr>
          <w:rFonts w:ascii="Calibri" w:hAnsi="Calibri" w:cs="Calibri"/>
          <w:b/>
          <w:bCs/>
          <w:noProof/>
          <w:sz w:val="18"/>
          <w:szCs w:val="24"/>
        </w:rPr>
        <w:t>2009</w:t>
      </w:r>
      <w:r w:rsidRPr="00843E38">
        <w:rPr>
          <w:rFonts w:ascii="Calibri" w:hAnsi="Calibri" w:cs="Calibri"/>
          <w:noProof/>
          <w:sz w:val="18"/>
          <w:szCs w:val="24"/>
        </w:rPr>
        <w:t xml:space="preserve">, </w:t>
      </w:r>
      <w:r w:rsidRPr="00843E38">
        <w:rPr>
          <w:rFonts w:ascii="Calibri" w:hAnsi="Calibri" w:cs="Calibri"/>
          <w:i/>
          <w:iCs/>
          <w:noProof/>
          <w:sz w:val="18"/>
          <w:szCs w:val="24"/>
        </w:rPr>
        <w:t>19</w:t>
      </w:r>
      <w:r w:rsidRPr="00843E38">
        <w:rPr>
          <w:rFonts w:ascii="Calibri" w:hAnsi="Calibri" w:cs="Calibri"/>
          <w:noProof/>
          <w:sz w:val="18"/>
          <w:szCs w:val="24"/>
        </w:rPr>
        <w:t>, 26–28, doi:10.1016/j.nmd.2008.09.016.</w:t>
      </w:r>
    </w:p>
    <w:p w14:paraId="1E8A4635"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71. </w:t>
      </w:r>
      <w:r w:rsidRPr="00843E38">
        <w:rPr>
          <w:rFonts w:ascii="Calibri" w:hAnsi="Calibri" w:cs="Calibri"/>
          <w:noProof/>
          <w:sz w:val="18"/>
          <w:szCs w:val="24"/>
        </w:rPr>
        <w:tab/>
        <w:t xml:space="preserve">Tan, D.; Yang, H.; Yuan, Y.; Bonnemann, C.; Chang, X.; Wang, S.; Wu, Y.; Wu, X.; Xiong, H. Phenotype-Genotype Analysis of Chinese Patients with Early-Onset LMNA-Related Muscular Dystrophy. </w:t>
      </w:r>
      <w:r w:rsidRPr="00843E38">
        <w:rPr>
          <w:rFonts w:ascii="Calibri" w:hAnsi="Calibri" w:cs="Calibri"/>
          <w:i/>
          <w:iCs/>
          <w:noProof/>
          <w:sz w:val="18"/>
          <w:szCs w:val="24"/>
        </w:rPr>
        <w:t>PLoS One</w:t>
      </w:r>
      <w:r w:rsidRPr="00843E38">
        <w:rPr>
          <w:rFonts w:ascii="Calibri" w:hAnsi="Calibri" w:cs="Calibri"/>
          <w:noProof/>
          <w:sz w:val="18"/>
          <w:szCs w:val="24"/>
        </w:rPr>
        <w:t xml:space="preserve"> </w:t>
      </w:r>
      <w:r w:rsidRPr="00843E38">
        <w:rPr>
          <w:rFonts w:ascii="Calibri" w:hAnsi="Calibri" w:cs="Calibri"/>
          <w:b/>
          <w:bCs/>
          <w:noProof/>
          <w:sz w:val="18"/>
          <w:szCs w:val="24"/>
        </w:rPr>
        <w:t>2015</w:t>
      </w:r>
      <w:r w:rsidRPr="00843E38">
        <w:rPr>
          <w:rFonts w:ascii="Calibri" w:hAnsi="Calibri" w:cs="Calibri"/>
          <w:noProof/>
          <w:sz w:val="18"/>
          <w:szCs w:val="24"/>
        </w:rPr>
        <w:t xml:space="preserve">, </w:t>
      </w:r>
      <w:r w:rsidRPr="00843E38">
        <w:rPr>
          <w:rFonts w:ascii="Calibri" w:hAnsi="Calibri" w:cs="Calibri"/>
          <w:i/>
          <w:iCs/>
          <w:noProof/>
          <w:sz w:val="18"/>
          <w:szCs w:val="24"/>
        </w:rPr>
        <w:t>10</w:t>
      </w:r>
      <w:r w:rsidRPr="00843E38">
        <w:rPr>
          <w:rFonts w:ascii="Calibri" w:hAnsi="Calibri" w:cs="Calibri"/>
          <w:noProof/>
          <w:sz w:val="18"/>
          <w:szCs w:val="24"/>
        </w:rPr>
        <w:t>, e0129699, doi:10.1371/journal.pone.0129699.</w:t>
      </w:r>
    </w:p>
    <w:p w14:paraId="39B43400"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72. </w:t>
      </w:r>
      <w:r w:rsidRPr="00843E38">
        <w:rPr>
          <w:rFonts w:ascii="Calibri" w:hAnsi="Calibri" w:cs="Calibri"/>
          <w:noProof/>
          <w:sz w:val="18"/>
          <w:szCs w:val="24"/>
        </w:rPr>
        <w:tab/>
        <w:t xml:space="preserve">Raffaele Di Barletta, M.; Ricci, E.; Galluzzi, G.; Tonali, P.; Mora, M.; Morandi, L.; Romorini, A.; Voit, T.; Orstavik, K.H.; Merlini, L.; et al. Different Mutations in the LMNA Gene Cause Autosomal Dominant and Autosomal Recessive Emery-Dreifuss Muscular Dystrophy. </w:t>
      </w:r>
      <w:r w:rsidRPr="00843E38">
        <w:rPr>
          <w:rFonts w:ascii="Calibri" w:hAnsi="Calibri" w:cs="Calibri"/>
          <w:i/>
          <w:iCs/>
          <w:noProof/>
          <w:sz w:val="18"/>
          <w:szCs w:val="24"/>
        </w:rPr>
        <w:t>Am. J. Hum. Genet.</w:t>
      </w:r>
      <w:r w:rsidRPr="00843E38">
        <w:rPr>
          <w:rFonts w:ascii="Calibri" w:hAnsi="Calibri" w:cs="Calibri"/>
          <w:noProof/>
          <w:sz w:val="18"/>
          <w:szCs w:val="24"/>
        </w:rPr>
        <w:t xml:space="preserve"> </w:t>
      </w:r>
      <w:r w:rsidRPr="00843E38">
        <w:rPr>
          <w:rFonts w:ascii="Calibri" w:hAnsi="Calibri" w:cs="Calibri"/>
          <w:b/>
          <w:bCs/>
          <w:noProof/>
          <w:sz w:val="18"/>
          <w:szCs w:val="24"/>
        </w:rPr>
        <w:t>2000</w:t>
      </w:r>
      <w:r w:rsidRPr="00843E38">
        <w:rPr>
          <w:rFonts w:ascii="Calibri" w:hAnsi="Calibri" w:cs="Calibri"/>
          <w:noProof/>
          <w:sz w:val="18"/>
          <w:szCs w:val="24"/>
        </w:rPr>
        <w:t xml:space="preserve">, </w:t>
      </w:r>
      <w:r w:rsidRPr="00843E38">
        <w:rPr>
          <w:rFonts w:ascii="Calibri" w:hAnsi="Calibri" w:cs="Calibri"/>
          <w:i/>
          <w:iCs/>
          <w:noProof/>
          <w:sz w:val="18"/>
          <w:szCs w:val="24"/>
        </w:rPr>
        <w:t>66</w:t>
      </w:r>
      <w:r w:rsidRPr="00843E38">
        <w:rPr>
          <w:rFonts w:ascii="Calibri" w:hAnsi="Calibri" w:cs="Calibri"/>
          <w:noProof/>
          <w:sz w:val="18"/>
          <w:szCs w:val="24"/>
        </w:rPr>
        <w:t>, 1407–1412, doi:10.1086/302869.</w:t>
      </w:r>
    </w:p>
    <w:p w14:paraId="513BA82F"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73. </w:t>
      </w:r>
      <w:r w:rsidRPr="00843E38">
        <w:rPr>
          <w:rFonts w:ascii="Calibri" w:hAnsi="Calibri" w:cs="Calibri"/>
          <w:noProof/>
          <w:sz w:val="18"/>
          <w:szCs w:val="24"/>
        </w:rPr>
        <w:tab/>
        <w:t xml:space="preserve">Rudnik-Schöneborn, S.; Botzenhart, E.; Eggermann, T.; Senderek, J.; Schoser, B.G.H.; Schröder, R.; Wehnert, M.; Wirth, B.; Zerres, K. Mutations of the LMNA Gene Can Mimic Autosomal Dominant Proximal Spinal Muscular Atrophy. </w:t>
      </w:r>
      <w:r w:rsidRPr="00843E38">
        <w:rPr>
          <w:rFonts w:ascii="Calibri" w:hAnsi="Calibri" w:cs="Calibri"/>
          <w:i/>
          <w:iCs/>
          <w:noProof/>
          <w:sz w:val="18"/>
          <w:szCs w:val="24"/>
        </w:rPr>
        <w:t>Neurogenetics</w:t>
      </w:r>
      <w:r w:rsidRPr="00843E38">
        <w:rPr>
          <w:rFonts w:ascii="Calibri" w:hAnsi="Calibri" w:cs="Calibri"/>
          <w:noProof/>
          <w:sz w:val="18"/>
          <w:szCs w:val="24"/>
        </w:rPr>
        <w:t xml:space="preserve"> </w:t>
      </w:r>
      <w:r w:rsidRPr="00843E38">
        <w:rPr>
          <w:rFonts w:ascii="Calibri" w:hAnsi="Calibri" w:cs="Calibri"/>
          <w:b/>
          <w:bCs/>
          <w:noProof/>
          <w:sz w:val="18"/>
          <w:szCs w:val="24"/>
        </w:rPr>
        <w:t>2007</w:t>
      </w:r>
      <w:r w:rsidRPr="00843E38">
        <w:rPr>
          <w:rFonts w:ascii="Calibri" w:hAnsi="Calibri" w:cs="Calibri"/>
          <w:noProof/>
          <w:sz w:val="18"/>
          <w:szCs w:val="24"/>
        </w:rPr>
        <w:t xml:space="preserve">, </w:t>
      </w:r>
      <w:r w:rsidRPr="00843E38">
        <w:rPr>
          <w:rFonts w:ascii="Calibri" w:hAnsi="Calibri" w:cs="Calibri"/>
          <w:i/>
          <w:iCs/>
          <w:noProof/>
          <w:sz w:val="18"/>
          <w:szCs w:val="24"/>
        </w:rPr>
        <w:t>8</w:t>
      </w:r>
      <w:r w:rsidRPr="00843E38">
        <w:rPr>
          <w:rFonts w:ascii="Calibri" w:hAnsi="Calibri" w:cs="Calibri"/>
          <w:noProof/>
          <w:sz w:val="18"/>
          <w:szCs w:val="24"/>
        </w:rPr>
        <w:t>, 137–142, doi:10.1007/s10048-006-0070-0.</w:t>
      </w:r>
    </w:p>
    <w:p w14:paraId="78AFF826"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74. </w:t>
      </w:r>
      <w:r w:rsidRPr="00843E38">
        <w:rPr>
          <w:rFonts w:ascii="Calibri" w:hAnsi="Calibri" w:cs="Calibri"/>
          <w:noProof/>
          <w:sz w:val="18"/>
          <w:szCs w:val="24"/>
        </w:rPr>
        <w:tab/>
        <w:t xml:space="preserve">Francisco, A.R.G.; Santos Gonçalves, I.; Veiga, F.; Mendes Pedro, M.; Pinto, F.J.; Brito, D. Complex Phenotype Linked to a Mutation in Exon 11 of the Lamin A/C Gene: Hypertrophic Cardiomyopathy, Atrioventricular Block, Severe Dyslipidemia and Diabetes. </w:t>
      </w:r>
      <w:r w:rsidRPr="00843E38">
        <w:rPr>
          <w:rFonts w:ascii="Calibri" w:hAnsi="Calibri" w:cs="Calibri"/>
          <w:i/>
          <w:iCs/>
          <w:noProof/>
          <w:sz w:val="18"/>
          <w:szCs w:val="24"/>
        </w:rPr>
        <w:t>Rev. Port. Cardiol.</w:t>
      </w:r>
      <w:r w:rsidRPr="00843E38">
        <w:rPr>
          <w:rFonts w:ascii="Calibri" w:hAnsi="Calibri" w:cs="Calibri"/>
          <w:noProof/>
          <w:sz w:val="18"/>
          <w:szCs w:val="24"/>
        </w:rPr>
        <w:t xml:space="preserve"> </w:t>
      </w:r>
      <w:r w:rsidRPr="00843E38">
        <w:rPr>
          <w:rFonts w:ascii="Calibri" w:hAnsi="Calibri" w:cs="Calibri"/>
          <w:b/>
          <w:bCs/>
          <w:noProof/>
          <w:sz w:val="18"/>
          <w:szCs w:val="24"/>
        </w:rPr>
        <w:t>2017</w:t>
      </w:r>
      <w:r w:rsidRPr="00843E38">
        <w:rPr>
          <w:rFonts w:ascii="Calibri" w:hAnsi="Calibri" w:cs="Calibri"/>
          <w:noProof/>
          <w:sz w:val="18"/>
          <w:szCs w:val="24"/>
        </w:rPr>
        <w:t xml:space="preserve">, </w:t>
      </w:r>
      <w:r w:rsidRPr="00843E38">
        <w:rPr>
          <w:rFonts w:ascii="Calibri" w:hAnsi="Calibri" w:cs="Calibri"/>
          <w:i/>
          <w:iCs/>
          <w:noProof/>
          <w:sz w:val="18"/>
          <w:szCs w:val="24"/>
        </w:rPr>
        <w:t>36</w:t>
      </w:r>
      <w:r w:rsidRPr="00843E38">
        <w:rPr>
          <w:rFonts w:ascii="Calibri" w:hAnsi="Calibri" w:cs="Calibri"/>
          <w:noProof/>
          <w:sz w:val="18"/>
          <w:szCs w:val="24"/>
        </w:rPr>
        <w:t>, 669.e1-669.e4, doi:10.1016/j.repc.2016.07.018.</w:t>
      </w:r>
    </w:p>
    <w:p w14:paraId="11CFCB49"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75. </w:t>
      </w:r>
      <w:r w:rsidRPr="00843E38">
        <w:rPr>
          <w:rFonts w:ascii="Calibri" w:hAnsi="Calibri" w:cs="Calibri"/>
          <w:noProof/>
          <w:sz w:val="18"/>
          <w:szCs w:val="24"/>
        </w:rPr>
        <w:tab/>
        <w:t xml:space="preserve">Gigli, M.; Merlo, M.; Graw, S.L.; Barbati, G.; Rowland, T.J.; Slavov, D.B.; Stolfo, D.; Haywood, M.E.; Dal Ferro, M.; Altinier, A.; et al. Genetic Risk of Arrhythmic Phenotypes in Patients With Dilated Cardiomyopathy. </w:t>
      </w:r>
      <w:r w:rsidRPr="00843E38">
        <w:rPr>
          <w:rFonts w:ascii="Calibri" w:hAnsi="Calibri" w:cs="Calibri"/>
          <w:i/>
          <w:iCs/>
          <w:noProof/>
          <w:sz w:val="18"/>
          <w:szCs w:val="24"/>
        </w:rPr>
        <w:t>J. Am. Coll. Cardiol.</w:t>
      </w:r>
      <w:r w:rsidRPr="00843E38">
        <w:rPr>
          <w:rFonts w:ascii="Calibri" w:hAnsi="Calibri" w:cs="Calibri"/>
          <w:noProof/>
          <w:sz w:val="18"/>
          <w:szCs w:val="24"/>
        </w:rPr>
        <w:t xml:space="preserve"> </w:t>
      </w:r>
      <w:r w:rsidRPr="00843E38">
        <w:rPr>
          <w:rFonts w:ascii="Calibri" w:hAnsi="Calibri" w:cs="Calibri"/>
          <w:b/>
          <w:bCs/>
          <w:noProof/>
          <w:sz w:val="18"/>
          <w:szCs w:val="24"/>
        </w:rPr>
        <w:t>2019</w:t>
      </w:r>
      <w:r w:rsidRPr="00843E38">
        <w:rPr>
          <w:rFonts w:ascii="Calibri" w:hAnsi="Calibri" w:cs="Calibri"/>
          <w:noProof/>
          <w:sz w:val="18"/>
          <w:szCs w:val="24"/>
        </w:rPr>
        <w:t xml:space="preserve">, </w:t>
      </w:r>
      <w:r w:rsidRPr="00843E38">
        <w:rPr>
          <w:rFonts w:ascii="Calibri" w:hAnsi="Calibri" w:cs="Calibri"/>
          <w:i/>
          <w:iCs/>
          <w:noProof/>
          <w:sz w:val="18"/>
          <w:szCs w:val="24"/>
        </w:rPr>
        <w:t>74</w:t>
      </w:r>
      <w:r w:rsidRPr="00843E38">
        <w:rPr>
          <w:rFonts w:ascii="Calibri" w:hAnsi="Calibri" w:cs="Calibri"/>
          <w:noProof/>
          <w:sz w:val="18"/>
          <w:szCs w:val="24"/>
        </w:rPr>
        <w:t>, 1480–1490, doi:10.1016/j.jacc.2019.06.072.</w:t>
      </w:r>
    </w:p>
    <w:p w14:paraId="6BB65E33"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76. </w:t>
      </w:r>
      <w:r w:rsidRPr="00843E38">
        <w:rPr>
          <w:rFonts w:ascii="Calibri" w:hAnsi="Calibri" w:cs="Calibri"/>
          <w:noProof/>
          <w:sz w:val="18"/>
          <w:szCs w:val="24"/>
        </w:rPr>
        <w:tab/>
        <w:t xml:space="preserve">Meinke, P.; Mattioli, E.; Haque, F.; Antoku, S.; Columbaro, M.; Straatman, K.R.; Worman, H.J.; Gundersen, G.G.; Lattanzi, G.; Wehnert, M.; et al. Muscular Dystrophy-Associated SUN1 and SUN2 Variants Disrupt Nuclear-Cytoskeletal Connections and Myonuclear Organization. </w:t>
      </w:r>
      <w:r w:rsidRPr="00843E38">
        <w:rPr>
          <w:rFonts w:ascii="Calibri" w:hAnsi="Calibri" w:cs="Calibri"/>
          <w:i/>
          <w:iCs/>
          <w:noProof/>
          <w:sz w:val="18"/>
          <w:szCs w:val="24"/>
        </w:rPr>
        <w:t>PLoS Genet.</w:t>
      </w:r>
      <w:r w:rsidRPr="00843E38">
        <w:rPr>
          <w:rFonts w:ascii="Calibri" w:hAnsi="Calibri" w:cs="Calibri"/>
          <w:noProof/>
          <w:sz w:val="18"/>
          <w:szCs w:val="24"/>
        </w:rPr>
        <w:t xml:space="preserve"> </w:t>
      </w:r>
      <w:r w:rsidRPr="00843E38">
        <w:rPr>
          <w:rFonts w:ascii="Calibri" w:hAnsi="Calibri" w:cs="Calibri"/>
          <w:b/>
          <w:bCs/>
          <w:noProof/>
          <w:sz w:val="18"/>
          <w:szCs w:val="24"/>
        </w:rPr>
        <w:t>2014</w:t>
      </w:r>
      <w:r w:rsidRPr="00843E38">
        <w:rPr>
          <w:rFonts w:ascii="Calibri" w:hAnsi="Calibri" w:cs="Calibri"/>
          <w:noProof/>
          <w:sz w:val="18"/>
          <w:szCs w:val="24"/>
        </w:rPr>
        <w:t xml:space="preserve">, </w:t>
      </w:r>
      <w:r w:rsidRPr="00843E38">
        <w:rPr>
          <w:rFonts w:ascii="Calibri" w:hAnsi="Calibri" w:cs="Calibri"/>
          <w:i/>
          <w:iCs/>
          <w:noProof/>
          <w:sz w:val="18"/>
          <w:szCs w:val="24"/>
        </w:rPr>
        <w:t>10</w:t>
      </w:r>
      <w:r w:rsidRPr="00843E38">
        <w:rPr>
          <w:rFonts w:ascii="Calibri" w:hAnsi="Calibri" w:cs="Calibri"/>
          <w:noProof/>
          <w:sz w:val="18"/>
          <w:szCs w:val="24"/>
        </w:rPr>
        <w:t>, e1004605, doi:10.1371/journal.pgen.1004605.</w:t>
      </w:r>
    </w:p>
    <w:p w14:paraId="4E48AA96"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77. </w:t>
      </w:r>
      <w:r w:rsidRPr="00843E38">
        <w:rPr>
          <w:rFonts w:ascii="Calibri" w:hAnsi="Calibri" w:cs="Calibri"/>
          <w:noProof/>
          <w:sz w:val="18"/>
          <w:szCs w:val="24"/>
        </w:rPr>
        <w:tab/>
        <w:t xml:space="preserve">Ben Yaou, R.; Toutain, A.; Arimura, T.; Demay, L.; Massart, C.; Peccate, C.; Muchir, A.; Llense, S.; Deburgrave, N.; Leturcq, F.; et al. Multitissular Involvement in a Family with LMNA and EMD Mutations: Role of Digenic Mechanism? </w:t>
      </w:r>
      <w:r w:rsidRPr="00843E38">
        <w:rPr>
          <w:rFonts w:ascii="Calibri" w:hAnsi="Calibri" w:cs="Calibri"/>
          <w:i/>
          <w:iCs/>
          <w:noProof/>
          <w:sz w:val="18"/>
          <w:szCs w:val="24"/>
        </w:rPr>
        <w:t>Neurology</w:t>
      </w:r>
      <w:r w:rsidRPr="00843E38">
        <w:rPr>
          <w:rFonts w:ascii="Calibri" w:hAnsi="Calibri" w:cs="Calibri"/>
          <w:noProof/>
          <w:sz w:val="18"/>
          <w:szCs w:val="24"/>
        </w:rPr>
        <w:t xml:space="preserve"> </w:t>
      </w:r>
      <w:r w:rsidRPr="00843E38">
        <w:rPr>
          <w:rFonts w:ascii="Calibri" w:hAnsi="Calibri" w:cs="Calibri"/>
          <w:b/>
          <w:bCs/>
          <w:noProof/>
          <w:sz w:val="18"/>
          <w:szCs w:val="24"/>
        </w:rPr>
        <w:t>2007</w:t>
      </w:r>
      <w:r w:rsidRPr="00843E38">
        <w:rPr>
          <w:rFonts w:ascii="Calibri" w:hAnsi="Calibri" w:cs="Calibri"/>
          <w:noProof/>
          <w:sz w:val="18"/>
          <w:szCs w:val="24"/>
        </w:rPr>
        <w:t xml:space="preserve">, </w:t>
      </w:r>
      <w:r w:rsidRPr="00843E38">
        <w:rPr>
          <w:rFonts w:ascii="Calibri" w:hAnsi="Calibri" w:cs="Calibri"/>
          <w:i/>
          <w:iCs/>
          <w:noProof/>
          <w:sz w:val="18"/>
          <w:szCs w:val="24"/>
        </w:rPr>
        <w:t>68</w:t>
      </w:r>
      <w:r w:rsidRPr="00843E38">
        <w:rPr>
          <w:rFonts w:ascii="Calibri" w:hAnsi="Calibri" w:cs="Calibri"/>
          <w:noProof/>
          <w:sz w:val="18"/>
          <w:szCs w:val="24"/>
        </w:rPr>
        <w:t>, 1883–1894, doi:10.1212/01.wnl.0000263138.57257.6a.</w:t>
      </w:r>
    </w:p>
    <w:p w14:paraId="54C5113C"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78. </w:t>
      </w:r>
      <w:r w:rsidRPr="00843E38">
        <w:rPr>
          <w:rFonts w:ascii="Calibri" w:hAnsi="Calibri" w:cs="Calibri"/>
          <w:noProof/>
          <w:sz w:val="18"/>
          <w:szCs w:val="24"/>
        </w:rPr>
        <w:tab/>
        <w:t xml:space="preserve">Muntoni, F.; Bonne, G.; Goldfarb, L.; Mercuri, E.; Piercy, R.; Burke, M.; Yaou, R.; Richard, P.; Récan, D.; Shatunov, A.; et al. Disease Severity in Dominant Emery Dreifuss Is Increased by Mutations in Both Emerin and Desmin Proteins. </w:t>
      </w:r>
      <w:r w:rsidRPr="00843E38">
        <w:rPr>
          <w:rFonts w:ascii="Calibri" w:hAnsi="Calibri" w:cs="Calibri"/>
          <w:i/>
          <w:iCs/>
          <w:noProof/>
          <w:sz w:val="18"/>
          <w:szCs w:val="24"/>
        </w:rPr>
        <w:t>Brain A J. Neurol.</w:t>
      </w:r>
      <w:r w:rsidRPr="00843E38">
        <w:rPr>
          <w:rFonts w:ascii="Calibri" w:hAnsi="Calibri" w:cs="Calibri"/>
          <w:noProof/>
          <w:sz w:val="18"/>
          <w:szCs w:val="24"/>
        </w:rPr>
        <w:t xml:space="preserve"> </w:t>
      </w:r>
      <w:r w:rsidRPr="00843E38">
        <w:rPr>
          <w:rFonts w:ascii="Calibri" w:hAnsi="Calibri" w:cs="Calibri"/>
          <w:b/>
          <w:bCs/>
          <w:noProof/>
          <w:sz w:val="18"/>
          <w:szCs w:val="24"/>
        </w:rPr>
        <w:t>2006</w:t>
      </w:r>
      <w:r w:rsidRPr="00843E38">
        <w:rPr>
          <w:rFonts w:ascii="Calibri" w:hAnsi="Calibri" w:cs="Calibri"/>
          <w:noProof/>
          <w:sz w:val="18"/>
          <w:szCs w:val="24"/>
        </w:rPr>
        <w:t xml:space="preserve">, </w:t>
      </w:r>
      <w:r w:rsidRPr="00843E38">
        <w:rPr>
          <w:rFonts w:ascii="Calibri" w:hAnsi="Calibri" w:cs="Calibri"/>
          <w:i/>
          <w:iCs/>
          <w:noProof/>
          <w:sz w:val="18"/>
          <w:szCs w:val="24"/>
        </w:rPr>
        <w:t>129</w:t>
      </w:r>
      <w:r w:rsidRPr="00843E38">
        <w:rPr>
          <w:rFonts w:ascii="Calibri" w:hAnsi="Calibri" w:cs="Calibri"/>
          <w:noProof/>
          <w:sz w:val="18"/>
          <w:szCs w:val="24"/>
        </w:rPr>
        <w:t>, 1260–1268, doi:10.1093/brain/awl062.</w:t>
      </w:r>
    </w:p>
    <w:p w14:paraId="27331559"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79. </w:t>
      </w:r>
      <w:r w:rsidRPr="00843E38">
        <w:rPr>
          <w:rFonts w:ascii="Calibri" w:hAnsi="Calibri" w:cs="Calibri"/>
          <w:noProof/>
          <w:sz w:val="18"/>
          <w:szCs w:val="24"/>
        </w:rPr>
        <w:tab/>
        <w:t xml:space="preserve">Granger, B.; Gueneau, L.; Drouin-Garraud, V.; Pedergnana, V.; Gagnon, F.; Ben Yaou, R.; du Montcel, S.; Bonne, G. Modifier Locus of the Skeletal Muscle Involvement in Emery-Dreifuss Muscular Dystrophy. </w:t>
      </w:r>
      <w:r w:rsidRPr="00843E38">
        <w:rPr>
          <w:rFonts w:ascii="Calibri" w:hAnsi="Calibri" w:cs="Calibri"/>
          <w:i/>
          <w:iCs/>
          <w:noProof/>
          <w:sz w:val="18"/>
          <w:szCs w:val="24"/>
        </w:rPr>
        <w:t>Hum. Genet.</w:t>
      </w:r>
      <w:r w:rsidRPr="00843E38">
        <w:rPr>
          <w:rFonts w:ascii="Calibri" w:hAnsi="Calibri" w:cs="Calibri"/>
          <w:noProof/>
          <w:sz w:val="18"/>
          <w:szCs w:val="24"/>
        </w:rPr>
        <w:t xml:space="preserve"> </w:t>
      </w:r>
      <w:r w:rsidRPr="00843E38">
        <w:rPr>
          <w:rFonts w:ascii="Calibri" w:hAnsi="Calibri" w:cs="Calibri"/>
          <w:b/>
          <w:bCs/>
          <w:noProof/>
          <w:sz w:val="18"/>
          <w:szCs w:val="24"/>
        </w:rPr>
        <w:t>2011</w:t>
      </w:r>
      <w:r w:rsidRPr="00843E38">
        <w:rPr>
          <w:rFonts w:ascii="Calibri" w:hAnsi="Calibri" w:cs="Calibri"/>
          <w:noProof/>
          <w:sz w:val="18"/>
          <w:szCs w:val="24"/>
        </w:rPr>
        <w:t xml:space="preserve">, </w:t>
      </w:r>
      <w:r w:rsidRPr="00843E38">
        <w:rPr>
          <w:rFonts w:ascii="Calibri" w:hAnsi="Calibri" w:cs="Calibri"/>
          <w:i/>
          <w:iCs/>
          <w:noProof/>
          <w:sz w:val="18"/>
          <w:szCs w:val="24"/>
        </w:rPr>
        <w:t>129</w:t>
      </w:r>
      <w:r w:rsidRPr="00843E38">
        <w:rPr>
          <w:rFonts w:ascii="Calibri" w:hAnsi="Calibri" w:cs="Calibri"/>
          <w:noProof/>
          <w:sz w:val="18"/>
          <w:szCs w:val="24"/>
        </w:rPr>
        <w:t>, 149–159, doi:10.1007/s00439-010-0909-1.</w:t>
      </w:r>
    </w:p>
    <w:p w14:paraId="6DC6B60B"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lastRenderedPageBreak/>
        <w:t xml:space="preserve">80. </w:t>
      </w:r>
      <w:r w:rsidRPr="00843E38">
        <w:rPr>
          <w:rFonts w:ascii="Calibri" w:hAnsi="Calibri" w:cs="Calibri"/>
          <w:noProof/>
          <w:sz w:val="18"/>
          <w:szCs w:val="24"/>
        </w:rPr>
        <w:tab/>
        <w:t xml:space="preserve">Riordan, J.D.; Nadeau, J.H. From Peas to Disease: Modifier Genes, Network Resilience, and the Genetics of Health. </w:t>
      </w:r>
      <w:r w:rsidRPr="00843E38">
        <w:rPr>
          <w:rFonts w:ascii="Calibri" w:hAnsi="Calibri" w:cs="Calibri"/>
          <w:i/>
          <w:iCs/>
          <w:noProof/>
          <w:sz w:val="18"/>
          <w:szCs w:val="24"/>
        </w:rPr>
        <w:t>Am. J. Hum. Genet.</w:t>
      </w:r>
      <w:r w:rsidRPr="00843E38">
        <w:rPr>
          <w:rFonts w:ascii="Calibri" w:hAnsi="Calibri" w:cs="Calibri"/>
          <w:noProof/>
          <w:sz w:val="18"/>
          <w:szCs w:val="24"/>
        </w:rPr>
        <w:t xml:space="preserve"> </w:t>
      </w:r>
      <w:r w:rsidRPr="00843E38">
        <w:rPr>
          <w:rFonts w:ascii="Calibri" w:hAnsi="Calibri" w:cs="Calibri"/>
          <w:b/>
          <w:bCs/>
          <w:noProof/>
          <w:sz w:val="18"/>
          <w:szCs w:val="24"/>
        </w:rPr>
        <w:t>2017</w:t>
      </w:r>
      <w:r w:rsidRPr="00843E38">
        <w:rPr>
          <w:rFonts w:ascii="Calibri" w:hAnsi="Calibri" w:cs="Calibri"/>
          <w:noProof/>
          <w:sz w:val="18"/>
          <w:szCs w:val="24"/>
        </w:rPr>
        <w:t xml:space="preserve">, </w:t>
      </w:r>
      <w:r w:rsidRPr="00843E38">
        <w:rPr>
          <w:rFonts w:ascii="Calibri" w:hAnsi="Calibri" w:cs="Calibri"/>
          <w:i/>
          <w:iCs/>
          <w:noProof/>
          <w:sz w:val="18"/>
          <w:szCs w:val="24"/>
        </w:rPr>
        <w:t>101</w:t>
      </w:r>
      <w:r w:rsidRPr="00843E38">
        <w:rPr>
          <w:rFonts w:ascii="Calibri" w:hAnsi="Calibri" w:cs="Calibri"/>
          <w:noProof/>
          <w:sz w:val="18"/>
          <w:szCs w:val="24"/>
        </w:rPr>
        <w:t>, 177, doi:10.1016/J.AJHG.2017.06.004.</w:t>
      </w:r>
    </w:p>
    <w:p w14:paraId="7B42C578"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81. </w:t>
      </w:r>
      <w:r w:rsidRPr="00843E38">
        <w:rPr>
          <w:rFonts w:ascii="Calibri" w:hAnsi="Calibri" w:cs="Calibri"/>
          <w:noProof/>
          <w:sz w:val="18"/>
          <w:szCs w:val="24"/>
        </w:rPr>
        <w:tab/>
        <w:t xml:space="preserve">Cerrone, M.; Remme, C.A.; Tadros, R.; Bezzina, C.R.; Delmar, M. Beyond the One Gene–One Disease Paradigm. </w:t>
      </w:r>
      <w:r w:rsidRPr="00843E38">
        <w:rPr>
          <w:rFonts w:ascii="Calibri" w:hAnsi="Calibri" w:cs="Calibri"/>
          <w:i/>
          <w:iCs/>
          <w:noProof/>
          <w:sz w:val="18"/>
          <w:szCs w:val="24"/>
        </w:rPr>
        <w:t>Circulation</w:t>
      </w:r>
      <w:r w:rsidRPr="00843E38">
        <w:rPr>
          <w:rFonts w:ascii="Calibri" w:hAnsi="Calibri" w:cs="Calibri"/>
          <w:noProof/>
          <w:sz w:val="18"/>
          <w:szCs w:val="24"/>
        </w:rPr>
        <w:t xml:space="preserve"> </w:t>
      </w:r>
      <w:r w:rsidRPr="00843E38">
        <w:rPr>
          <w:rFonts w:ascii="Calibri" w:hAnsi="Calibri" w:cs="Calibri"/>
          <w:b/>
          <w:bCs/>
          <w:noProof/>
          <w:sz w:val="18"/>
          <w:szCs w:val="24"/>
        </w:rPr>
        <w:t>2019</w:t>
      </w:r>
      <w:r w:rsidRPr="00843E38">
        <w:rPr>
          <w:rFonts w:ascii="Calibri" w:hAnsi="Calibri" w:cs="Calibri"/>
          <w:noProof/>
          <w:sz w:val="18"/>
          <w:szCs w:val="24"/>
        </w:rPr>
        <w:t xml:space="preserve">, </w:t>
      </w:r>
      <w:r w:rsidRPr="00843E38">
        <w:rPr>
          <w:rFonts w:ascii="Calibri" w:hAnsi="Calibri" w:cs="Calibri"/>
          <w:i/>
          <w:iCs/>
          <w:noProof/>
          <w:sz w:val="18"/>
          <w:szCs w:val="24"/>
        </w:rPr>
        <w:t>140</w:t>
      </w:r>
      <w:r w:rsidRPr="00843E38">
        <w:rPr>
          <w:rFonts w:ascii="Calibri" w:hAnsi="Calibri" w:cs="Calibri"/>
          <w:noProof/>
          <w:sz w:val="18"/>
          <w:szCs w:val="24"/>
        </w:rPr>
        <w:t>, 595–610, doi:10.1161/CIRCULATIONAHA.118.035954.</w:t>
      </w:r>
    </w:p>
    <w:p w14:paraId="4B9E8800"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82. </w:t>
      </w:r>
      <w:r w:rsidRPr="00843E38">
        <w:rPr>
          <w:rFonts w:ascii="Calibri" w:hAnsi="Calibri" w:cs="Calibri"/>
          <w:noProof/>
          <w:sz w:val="18"/>
          <w:szCs w:val="24"/>
        </w:rPr>
        <w:tab/>
        <w:t xml:space="preserve">Leitch, C.C.; Zaghloul, N.A.; Davis, E.E.; Stoetzel, C.; Diaz-Font, A.; Rix, S.; Al-Fadhel, M.; Lewis, R.A.; Eyaid, W.; Banin, E.; et al. Hypomorphic Mutations in Syndromic Encephalocele Genes Are Associated with Bardet-Biedl Syndrome. </w:t>
      </w:r>
      <w:r w:rsidRPr="00843E38">
        <w:rPr>
          <w:rFonts w:ascii="Calibri" w:hAnsi="Calibri" w:cs="Calibri"/>
          <w:i/>
          <w:iCs/>
          <w:noProof/>
          <w:sz w:val="18"/>
          <w:szCs w:val="24"/>
        </w:rPr>
        <w:t>Nat. Genet.</w:t>
      </w:r>
      <w:r w:rsidRPr="00843E38">
        <w:rPr>
          <w:rFonts w:ascii="Calibri" w:hAnsi="Calibri" w:cs="Calibri"/>
          <w:noProof/>
          <w:sz w:val="18"/>
          <w:szCs w:val="24"/>
        </w:rPr>
        <w:t xml:space="preserve"> </w:t>
      </w:r>
      <w:r w:rsidRPr="00843E38">
        <w:rPr>
          <w:rFonts w:ascii="Calibri" w:hAnsi="Calibri" w:cs="Calibri"/>
          <w:b/>
          <w:bCs/>
          <w:noProof/>
          <w:sz w:val="18"/>
          <w:szCs w:val="24"/>
        </w:rPr>
        <w:t>2008</w:t>
      </w:r>
      <w:r w:rsidRPr="00843E38">
        <w:rPr>
          <w:rFonts w:ascii="Calibri" w:hAnsi="Calibri" w:cs="Calibri"/>
          <w:noProof/>
          <w:sz w:val="18"/>
          <w:szCs w:val="24"/>
        </w:rPr>
        <w:t xml:space="preserve">, </w:t>
      </w:r>
      <w:r w:rsidRPr="00843E38">
        <w:rPr>
          <w:rFonts w:ascii="Calibri" w:hAnsi="Calibri" w:cs="Calibri"/>
          <w:i/>
          <w:iCs/>
          <w:noProof/>
          <w:sz w:val="18"/>
          <w:szCs w:val="24"/>
        </w:rPr>
        <w:t>40</w:t>
      </w:r>
      <w:r w:rsidRPr="00843E38">
        <w:rPr>
          <w:rFonts w:ascii="Calibri" w:hAnsi="Calibri" w:cs="Calibri"/>
          <w:noProof/>
          <w:sz w:val="18"/>
          <w:szCs w:val="24"/>
        </w:rPr>
        <w:t>, 443–448, doi:10.1038/NG.97.</w:t>
      </w:r>
    </w:p>
    <w:p w14:paraId="1BD44823"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83. </w:t>
      </w:r>
      <w:r w:rsidRPr="00843E38">
        <w:rPr>
          <w:rFonts w:ascii="Calibri" w:hAnsi="Calibri" w:cs="Calibri"/>
          <w:noProof/>
          <w:sz w:val="18"/>
          <w:szCs w:val="24"/>
        </w:rPr>
        <w:tab/>
        <w:t xml:space="preserve">Li, W.; Soave, D.; Miller, M.R.; Keenan, K.; Lin, F.; Gong, J.; Chiang, T.; Stephenson, A.L.; Durie, P.; Rommens, J.; et al. Unraveling the Complex Genetic Model for Cystic Fibrosis: Pleiotropic Effects of Modifier Genes on Early Cystic Fibrosis-Related Morbidities. </w:t>
      </w:r>
      <w:r w:rsidRPr="00843E38">
        <w:rPr>
          <w:rFonts w:ascii="Calibri" w:hAnsi="Calibri" w:cs="Calibri"/>
          <w:i/>
          <w:iCs/>
          <w:noProof/>
          <w:sz w:val="18"/>
          <w:szCs w:val="24"/>
        </w:rPr>
        <w:t>Hum. Genet.</w:t>
      </w:r>
      <w:r w:rsidRPr="00843E38">
        <w:rPr>
          <w:rFonts w:ascii="Calibri" w:hAnsi="Calibri" w:cs="Calibri"/>
          <w:noProof/>
          <w:sz w:val="18"/>
          <w:szCs w:val="24"/>
        </w:rPr>
        <w:t xml:space="preserve"> </w:t>
      </w:r>
      <w:r w:rsidRPr="00843E38">
        <w:rPr>
          <w:rFonts w:ascii="Calibri" w:hAnsi="Calibri" w:cs="Calibri"/>
          <w:b/>
          <w:bCs/>
          <w:noProof/>
          <w:sz w:val="18"/>
          <w:szCs w:val="24"/>
        </w:rPr>
        <w:t>2014</w:t>
      </w:r>
      <w:r w:rsidRPr="00843E38">
        <w:rPr>
          <w:rFonts w:ascii="Calibri" w:hAnsi="Calibri" w:cs="Calibri"/>
          <w:noProof/>
          <w:sz w:val="18"/>
          <w:szCs w:val="24"/>
        </w:rPr>
        <w:t xml:space="preserve">, </w:t>
      </w:r>
      <w:r w:rsidRPr="00843E38">
        <w:rPr>
          <w:rFonts w:ascii="Calibri" w:hAnsi="Calibri" w:cs="Calibri"/>
          <w:i/>
          <w:iCs/>
          <w:noProof/>
          <w:sz w:val="18"/>
          <w:szCs w:val="24"/>
        </w:rPr>
        <w:t>133</w:t>
      </w:r>
      <w:r w:rsidRPr="00843E38">
        <w:rPr>
          <w:rFonts w:ascii="Calibri" w:hAnsi="Calibri" w:cs="Calibri"/>
          <w:noProof/>
          <w:sz w:val="18"/>
          <w:szCs w:val="24"/>
        </w:rPr>
        <w:t>, 151–161, doi:10.1007/S00439-013-1363-7.</w:t>
      </w:r>
    </w:p>
    <w:p w14:paraId="39E01BEA"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84. </w:t>
      </w:r>
      <w:r w:rsidRPr="00843E38">
        <w:rPr>
          <w:rFonts w:ascii="Calibri" w:hAnsi="Calibri" w:cs="Calibri"/>
          <w:noProof/>
          <w:sz w:val="18"/>
          <w:szCs w:val="24"/>
        </w:rPr>
        <w:tab/>
        <w:t xml:space="preserve">Harhouri, K.; Frankel, D.; Bartoli, C.; Roll, P.; De Sandre-Giovannoli, A.; Lévy, N. An Overview of Treatment Strategies for Hutchinson-Gilford Progeria Syndrome. </w:t>
      </w:r>
      <w:r w:rsidRPr="00843E38">
        <w:rPr>
          <w:rFonts w:ascii="Calibri" w:hAnsi="Calibri" w:cs="Calibri"/>
          <w:i/>
          <w:iCs/>
          <w:noProof/>
          <w:sz w:val="18"/>
          <w:szCs w:val="24"/>
        </w:rPr>
        <w:t>Nucleus</w:t>
      </w:r>
      <w:r w:rsidRPr="00843E38">
        <w:rPr>
          <w:rFonts w:ascii="Calibri" w:hAnsi="Calibri" w:cs="Calibri"/>
          <w:noProof/>
          <w:sz w:val="18"/>
          <w:szCs w:val="24"/>
        </w:rPr>
        <w:t xml:space="preserve"> </w:t>
      </w:r>
      <w:r w:rsidRPr="00843E38">
        <w:rPr>
          <w:rFonts w:ascii="Calibri" w:hAnsi="Calibri" w:cs="Calibri"/>
          <w:b/>
          <w:bCs/>
          <w:noProof/>
          <w:sz w:val="18"/>
          <w:szCs w:val="24"/>
        </w:rPr>
        <w:t>2018</w:t>
      </w:r>
      <w:r w:rsidRPr="00843E38">
        <w:rPr>
          <w:rFonts w:ascii="Calibri" w:hAnsi="Calibri" w:cs="Calibri"/>
          <w:noProof/>
          <w:sz w:val="18"/>
          <w:szCs w:val="24"/>
        </w:rPr>
        <w:t xml:space="preserve">, </w:t>
      </w:r>
      <w:r w:rsidRPr="00843E38">
        <w:rPr>
          <w:rFonts w:ascii="Calibri" w:hAnsi="Calibri" w:cs="Calibri"/>
          <w:i/>
          <w:iCs/>
          <w:noProof/>
          <w:sz w:val="18"/>
          <w:szCs w:val="24"/>
        </w:rPr>
        <w:t>9</w:t>
      </w:r>
      <w:r w:rsidRPr="00843E38">
        <w:rPr>
          <w:rFonts w:ascii="Calibri" w:hAnsi="Calibri" w:cs="Calibri"/>
          <w:noProof/>
          <w:sz w:val="18"/>
          <w:szCs w:val="24"/>
        </w:rPr>
        <w:t>, 246–257, doi:10.1080/19491034.2018.1460045.</w:t>
      </w:r>
    </w:p>
    <w:p w14:paraId="659BB87F"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85. </w:t>
      </w:r>
      <w:r w:rsidRPr="00843E38">
        <w:rPr>
          <w:rFonts w:ascii="Calibri" w:hAnsi="Calibri" w:cs="Calibri"/>
          <w:noProof/>
          <w:sz w:val="18"/>
          <w:szCs w:val="24"/>
        </w:rPr>
        <w:tab/>
        <w:t xml:space="preserve">Coffinier, C.; Chang, S.Y.; Nobumori, C.; Tu, Y.; Farber, E.A.; Toth, J.I.; Fong, L.G.; Young, S.G. Abnormal Development of the Cerebral Cortex and Cerebellum in the Setting of Lamin B2 Deficiency. </w:t>
      </w:r>
      <w:r w:rsidRPr="00843E38">
        <w:rPr>
          <w:rFonts w:ascii="Calibri" w:hAnsi="Calibri" w:cs="Calibri"/>
          <w:i/>
          <w:iCs/>
          <w:noProof/>
          <w:sz w:val="18"/>
          <w:szCs w:val="24"/>
        </w:rPr>
        <w:t>Proc. Natl. Acad. Sci.</w:t>
      </w:r>
      <w:r w:rsidRPr="00843E38">
        <w:rPr>
          <w:rFonts w:ascii="Calibri" w:hAnsi="Calibri" w:cs="Calibri"/>
          <w:noProof/>
          <w:sz w:val="18"/>
          <w:szCs w:val="24"/>
        </w:rPr>
        <w:t xml:space="preserve"> </w:t>
      </w:r>
      <w:r w:rsidRPr="00843E38">
        <w:rPr>
          <w:rFonts w:ascii="Calibri" w:hAnsi="Calibri" w:cs="Calibri"/>
          <w:b/>
          <w:bCs/>
          <w:noProof/>
          <w:sz w:val="18"/>
          <w:szCs w:val="24"/>
        </w:rPr>
        <w:t>2010</w:t>
      </w:r>
      <w:r w:rsidRPr="00843E38">
        <w:rPr>
          <w:rFonts w:ascii="Calibri" w:hAnsi="Calibri" w:cs="Calibri"/>
          <w:noProof/>
          <w:sz w:val="18"/>
          <w:szCs w:val="24"/>
        </w:rPr>
        <w:t xml:space="preserve">, </w:t>
      </w:r>
      <w:r w:rsidRPr="00843E38">
        <w:rPr>
          <w:rFonts w:ascii="Calibri" w:hAnsi="Calibri" w:cs="Calibri"/>
          <w:i/>
          <w:iCs/>
          <w:noProof/>
          <w:sz w:val="18"/>
          <w:szCs w:val="24"/>
        </w:rPr>
        <w:t>107</w:t>
      </w:r>
      <w:r w:rsidRPr="00843E38">
        <w:rPr>
          <w:rFonts w:ascii="Calibri" w:hAnsi="Calibri" w:cs="Calibri"/>
          <w:noProof/>
          <w:sz w:val="18"/>
          <w:szCs w:val="24"/>
        </w:rPr>
        <w:t>, 5076–5081, doi:10.1073/PNAS.0908790107.</w:t>
      </w:r>
    </w:p>
    <w:p w14:paraId="2201CDD5"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86. </w:t>
      </w:r>
      <w:r w:rsidRPr="00843E38">
        <w:rPr>
          <w:rFonts w:ascii="Calibri" w:hAnsi="Calibri" w:cs="Calibri"/>
          <w:noProof/>
          <w:sz w:val="18"/>
          <w:szCs w:val="24"/>
        </w:rPr>
        <w:tab/>
        <w:t xml:space="preserve">Coffinier, C.; Jung, H.J.; Nobumori, C.; Chang, S.; Tu, Y.; Barnes, R.H.; Yoshinaga, Y.; De Jong, P.J.; Vergnes, L.; Reue, K.; et al. Deficiencies in Lamin B1 and Lamin B2 Cause Neurodevelopmental Defects and Distinct Nuclear Shape Abnormalities in Neurons. </w:t>
      </w:r>
      <w:r w:rsidRPr="00843E38">
        <w:rPr>
          <w:rFonts w:ascii="Calibri" w:hAnsi="Calibri" w:cs="Calibri"/>
          <w:i/>
          <w:iCs/>
          <w:noProof/>
          <w:sz w:val="18"/>
          <w:szCs w:val="24"/>
        </w:rPr>
        <w:t>Mol. Biol. Cell</w:t>
      </w:r>
      <w:r w:rsidRPr="00843E38">
        <w:rPr>
          <w:rFonts w:ascii="Calibri" w:hAnsi="Calibri" w:cs="Calibri"/>
          <w:noProof/>
          <w:sz w:val="18"/>
          <w:szCs w:val="24"/>
        </w:rPr>
        <w:t xml:space="preserve"> </w:t>
      </w:r>
      <w:r w:rsidRPr="00843E38">
        <w:rPr>
          <w:rFonts w:ascii="Calibri" w:hAnsi="Calibri" w:cs="Calibri"/>
          <w:b/>
          <w:bCs/>
          <w:noProof/>
          <w:sz w:val="18"/>
          <w:szCs w:val="24"/>
        </w:rPr>
        <w:t>2011</w:t>
      </w:r>
      <w:r w:rsidRPr="00843E38">
        <w:rPr>
          <w:rFonts w:ascii="Calibri" w:hAnsi="Calibri" w:cs="Calibri"/>
          <w:noProof/>
          <w:sz w:val="18"/>
          <w:szCs w:val="24"/>
        </w:rPr>
        <w:t xml:space="preserve">, </w:t>
      </w:r>
      <w:r w:rsidRPr="00843E38">
        <w:rPr>
          <w:rFonts w:ascii="Calibri" w:hAnsi="Calibri" w:cs="Calibri"/>
          <w:i/>
          <w:iCs/>
          <w:noProof/>
          <w:sz w:val="18"/>
          <w:szCs w:val="24"/>
        </w:rPr>
        <w:t>22</w:t>
      </w:r>
      <w:r w:rsidRPr="00843E38">
        <w:rPr>
          <w:rFonts w:ascii="Calibri" w:hAnsi="Calibri" w:cs="Calibri"/>
          <w:noProof/>
          <w:sz w:val="18"/>
          <w:szCs w:val="24"/>
        </w:rPr>
        <w:t>, 4683–4693, doi:10.1091/MBC.E11-06-0504/ASSET/IMAGES/LARGE/4683FIG6.JPEG.</w:t>
      </w:r>
    </w:p>
    <w:p w14:paraId="3A423B39"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87. </w:t>
      </w:r>
      <w:r w:rsidRPr="00843E38">
        <w:rPr>
          <w:rFonts w:ascii="Calibri" w:hAnsi="Calibri" w:cs="Calibri"/>
          <w:noProof/>
          <w:sz w:val="18"/>
          <w:szCs w:val="24"/>
        </w:rPr>
        <w:tab/>
        <w:t xml:space="preserve">Coffinier, C.; Fong, L.G.; Young, S.G. LINCing Lamin B2 to Neuronal Migration: Growing Evidence for Cell-Specific Roles of B-Type Lamins. </w:t>
      </w:r>
      <w:r w:rsidRPr="00843E38">
        <w:rPr>
          <w:rFonts w:ascii="Calibri" w:hAnsi="Calibri" w:cs="Calibri"/>
          <w:i/>
          <w:iCs/>
          <w:noProof/>
          <w:sz w:val="18"/>
          <w:szCs w:val="24"/>
        </w:rPr>
        <w:t>Nucleus</w:t>
      </w:r>
      <w:r w:rsidRPr="00843E38">
        <w:rPr>
          <w:rFonts w:ascii="Calibri" w:hAnsi="Calibri" w:cs="Calibri"/>
          <w:noProof/>
          <w:sz w:val="18"/>
          <w:szCs w:val="24"/>
        </w:rPr>
        <w:t xml:space="preserve"> </w:t>
      </w:r>
      <w:r w:rsidRPr="00843E38">
        <w:rPr>
          <w:rFonts w:ascii="Calibri" w:hAnsi="Calibri" w:cs="Calibri"/>
          <w:b/>
          <w:bCs/>
          <w:noProof/>
          <w:sz w:val="18"/>
          <w:szCs w:val="24"/>
        </w:rPr>
        <w:t>2010</w:t>
      </w:r>
      <w:r w:rsidRPr="00843E38">
        <w:rPr>
          <w:rFonts w:ascii="Calibri" w:hAnsi="Calibri" w:cs="Calibri"/>
          <w:noProof/>
          <w:sz w:val="18"/>
          <w:szCs w:val="24"/>
        </w:rPr>
        <w:t xml:space="preserve">, </w:t>
      </w:r>
      <w:r w:rsidRPr="00843E38">
        <w:rPr>
          <w:rFonts w:ascii="Calibri" w:hAnsi="Calibri" w:cs="Calibri"/>
          <w:i/>
          <w:iCs/>
          <w:noProof/>
          <w:sz w:val="18"/>
          <w:szCs w:val="24"/>
        </w:rPr>
        <w:t>1</w:t>
      </w:r>
      <w:r w:rsidRPr="00843E38">
        <w:rPr>
          <w:rFonts w:ascii="Calibri" w:hAnsi="Calibri" w:cs="Calibri"/>
          <w:noProof/>
          <w:sz w:val="18"/>
          <w:szCs w:val="24"/>
        </w:rPr>
        <w:t>, 407–411, doi:10.4161/NUCL.1.5.12830.</w:t>
      </w:r>
    </w:p>
    <w:p w14:paraId="19E6C131"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88. </w:t>
      </w:r>
      <w:r w:rsidRPr="00843E38">
        <w:rPr>
          <w:rFonts w:ascii="Calibri" w:hAnsi="Calibri" w:cs="Calibri"/>
          <w:noProof/>
          <w:sz w:val="18"/>
          <w:szCs w:val="24"/>
        </w:rPr>
        <w:tab/>
        <w:t xml:space="preserve">Vergnes, L.; Péterfy, M.; Bergo, M.O.; Young, S.G.; Reue, K. Lamin B1 Is Required for Mouse Development and Nuclear Integrity. </w:t>
      </w:r>
      <w:r w:rsidRPr="00843E38">
        <w:rPr>
          <w:rFonts w:ascii="Calibri" w:hAnsi="Calibri" w:cs="Calibri"/>
          <w:i/>
          <w:iCs/>
          <w:noProof/>
          <w:sz w:val="18"/>
          <w:szCs w:val="24"/>
        </w:rPr>
        <w:t>Proc. Natl. Acad. Sci. U. S. A.</w:t>
      </w:r>
      <w:r w:rsidRPr="00843E38">
        <w:rPr>
          <w:rFonts w:ascii="Calibri" w:hAnsi="Calibri" w:cs="Calibri"/>
          <w:noProof/>
          <w:sz w:val="18"/>
          <w:szCs w:val="24"/>
        </w:rPr>
        <w:t xml:space="preserve"> </w:t>
      </w:r>
      <w:r w:rsidRPr="00843E38">
        <w:rPr>
          <w:rFonts w:ascii="Calibri" w:hAnsi="Calibri" w:cs="Calibri"/>
          <w:b/>
          <w:bCs/>
          <w:noProof/>
          <w:sz w:val="18"/>
          <w:szCs w:val="24"/>
        </w:rPr>
        <w:t>2004</w:t>
      </w:r>
      <w:r w:rsidRPr="00843E38">
        <w:rPr>
          <w:rFonts w:ascii="Calibri" w:hAnsi="Calibri" w:cs="Calibri"/>
          <w:noProof/>
          <w:sz w:val="18"/>
          <w:szCs w:val="24"/>
        </w:rPr>
        <w:t xml:space="preserve">, </w:t>
      </w:r>
      <w:r w:rsidRPr="00843E38">
        <w:rPr>
          <w:rFonts w:ascii="Calibri" w:hAnsi="Calibri" w:cs="Calibri"/>
          <w:i/>
          <w:iCs/>
          <w:noProof/>
          <w:sz w:val="18"/>
          <w:szCs w:val="24"/>
        </w:rPr>
        <w:t>101</w:t>
      </w:r>
      <w:r w:rsidRPr="00843E38">
        <w:rPr>
          <w:rFonts w:ascii="Calibri" w:hAnsi="Calibri" w:cs="Calibri"/>
          <w:noProof/>
          <w:sz w:val="18"/>
          <w:szCs w:val="24"/>
        </w:rPr>
        <w:t>, 10428–10433, doi:10.1073/pnas.0401424101.</w:t>
      </w:r>
    </w:p>
    <w:p w14:paraId="448E3337"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89. </w:t>
      </w:r>
      <w:r w:rsidRPr="00843E38">
        <w:rPr>
          <w:rFonts w:ascii="Calibri" w:hAnsi="Calibri" w:cs="Calibri"/>
          <w:noProof/>
          <w:sz w:val="18"/>
          <w:szCs w:val="24"/>
        </w:rPr>
        <w:tab/>
        <w:t xml:space="preserve">Lee, J.M.; Tu, Y.; Tatar, A.; Wu, D.; Nobumori, C.; Jung, H.J.; Yoshinaga, Y.; Coffinier, C.; De Jong, P.J.; Fong, L.G.; et al. Reciprocal Knock-in Mice to Investigate the Functional Redundancy of Lamin B1 and Lamin B2. </w:t>
      </w:r>
      <w:r w:rsidRPr="00843E38">
        <w:rPr>
          <w:rFonts w:ascii="Calibri" w:hAnsi="Calibri" w:cs="Calibri"/>
          <w:i/>
          <w:iCs/>
          <w:noProof/>
          <w:sz w:val="18"/>
          <w:szCs w:val="24"/>
        </w:rPr>
        <w:t>Mol. Biol. Cell</w:t>
      </w:r>
      <w:r w:rsidRPr="00843E38">
        <w:rPr>
          <w:rFonts w:ascii="Calibri" w:hAnsi="Calibri" w:cs="Calibri"/>
          <w:noProof/>
          <w:sz w:val="18"/>
          <w:szCs w:val="24"/>
        </w:rPr>
        <w:t xml:space="preserve"> </w:t>
      </w:r>
      <w:r w:rsidRPr="00843E38">
        <w:rPr>
          <w:rFonts w:ascii="Calibri" w:hAnsi="Calibri" w:cs="Calibri"/>
          <w:b/>
          <w:bCs/>
          <w:noProof/>
          <w:sz w:val="18"/>
          <w:szCs w:val="24"/>
        </w:rPr>
        <w:t>2014</w:t>
      </w:r>
      <w:r w:rsidRPr="00843E38">
        <w:rPr>
          <w:rFonts w:ascii="Calibri" w:hAnsi="Calibri" w:cs="Calibri"/>
          <w:noProof/>
          <w:sz w:val="18"/>
          <w:szCs w:val="24"/>
        </w:rPr>
        <w:t xml:space="preserve">, </w:t>
      </w:r>
      <w:r w:rsidRPr="00843E38">
        <w:rPr>
          <w:rFonts w:ascii="Calibri" w:hAnsi="Calibri" w:cs="Calibri"/>
          <w:i/>
          <w:iCs/>
          <w:noProof/>
          <w:sz w:val="18"/>
          <w:szCs w:val="24"/>
        </w:rPr>
        <w:t>25</w:t>
      </w:r>
      <w:r w:rsidRPr="00843E38">
        <w:rPr>
          <w:rFonts w:ascii="Calibri" w:hAnsi="Calibri" w:cs="Calibri"/>
          <w:noProof/>
          <w:sz w:val="18"/>
          <w:szCs w:val="24"/>
        </w:rPr>
        <w:t>, 1666, doi:10.1091/MBC.E14-01-0683.</w:t>
      </w:r>
    </w:p>
    <w:p w14:paraId="1E4FAA96"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90. </w:t>
      </w:r>
      <w:r w:rsidRPr="00843E38">
        <w:rPr>
          <w:rFonts w:ascii="Calibri" w:hAnsi="Calibri" w:cs="Calibri"/>
          <w:noProof/>
          <w:sz w:val="18"/>
          <w:szCs w:val="24"/>
        </w:rPr>
        <w:tab/>
        <w:t xml:space="preserve">Padiath, Q.S.; Saigoh, K.; Schiffmann, R.; Asahara, H.; Yamada, T.; Koeppen, A.; Hogan, K.; Ptácek, L.J.; Fu, Y.-H. Lamin B1 Duplications Cause Autosomal Dominant Leukodystrophy. </w:t>
      </w:r>
      <w:r w:rsidRPr="00843E38">
        <w:rPr>
          <w:rFonts w:ascii="Calibri" w:hAnsi="Calibri" w:cs="Calibri"/>
          <w:i/>
          <w:iCs/>
          <w:noProof/>
          <w:sz w:val="18"/>
          <w:szCs w:val="24"/>
        </w:rPr>
        <w:t>Nat. Genet.</w:t>
      </w:r>
      <w:r w:rsidRPr="00843E38">
        <w:rPr>
          <w:rFonts w:ascii="Calibri" w:hAnsi="Calibri" w:cs="Calibri"/>
          <w:noProof/>
          <w:sz w:val="18"/>
          <w:szCs w:val="24"/>
        </w:rPr>
        <w:t xml:space="preserve"> </w:t>
      </w:r>
      <w:r w:rsidRPr="00843E38">
        <w:rPr>
          <w:rFonts w:ascii="Calibri" w:hAnsi="Calibri" w:cs="Calibri"/>
          <w:b/>
          <w:bCs/>
          <w:noProof/>
          <w:sz w:val="18"/>
          <w:szCs w:val="24"/>
        </w:rPr>
        <w:t>2006</w:t>
      </w:r>
      <w:r w:rsidRPr="00843E38">
        <w:rPr>
          <w:rFonts w:ascii="Calibri" w:hAnsi="Calibri" w:cs="Calibri"/>
          <w:noProof/>
          <w:sz w:val="18"/>
          <w:szCs w:val="24"/>
        </w:rPr>
        <w:t xml:space="preserve">, </w:t>
      </w:r>
      <w:r w:rsidRPr="00843E38">
        <w:rPr>
          <w:rFonts w:ascii="Calibri" w:hAnsi="Calibri" w:cs="Calibri"/>
          <w:i/>
          <w:iCs/>
          <w:noProof/>
          <w:sz w:val="18"/>
          <w:szCs w:val="24"/>
        </w:rPr>
        <w:t>38</w:t>
      </w:r>
      <w:r w:rsidRPr="00843E38">
        <w:rPr>
          <w:rFonts w:ascii="Calibri" w:hAnsi="Calibri" w:cs="Calibri"/>
          <w:noProof/>
          <w:sz w:val="18"/>
          <w:szCs w:val="24"/>
        </w:rPr>
        <w:t>, 1114–1123, doi:10.1038/ng1872.</w:t>
      </w:r>
    </w:p>
    <w:p w14:paraId="714FFBA7"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91. </w:t>
      </w:r>
      <w:r w:rsidRPr="00843E38">
        <w:rPr>
          <w:rFonts w:ascii="Calibri" w:hAnsi="Calibri" w:cs="Calibri"/>
          <w:noProof/>
          <w:sz w:val="18"/>
          <w:szCs w:val="24"/>
        </w:rPr>
        <w:tab/>
        <w:t xml:space="preserve">Emery, A.E.H. Emery-Dreifuss Syndrome. </w:t>
      </w:r>
      <w:r w:rsidRPr="00843E38">
        <w:rPr>
          <w:rFonts w:ascii="Calibri" w:hAnsi="Calibri" w:cs="Calibri"/>
          <w:i/>
          <w:iCs/>
          <w:noProof/>
          <w:sz w:val="18"/>
          <w:szCs w:val="24"/>
        </w:rPr>
        <w:t>Syndr. Mon. J. Med. Genet.</w:t>
      </w:r>
      <w:r w:rsidRPr="00843E38">
        <w:rPr>
          <w:rFonts w:ascii="Calibri" w:hAnsi="Calibri" w:cs="Calibri"/>
          <w:noProof/>
          <w:sz w:val="18"/>
          <w:szCs w:val="24"/>
        </w:rPr>
        <w:t xml:space="preserve"> </w:t>
      </w:r>
      <w:r w:rsidRPr="00843E38">
        <w:rPr>
          <w:rFonts w:ascii="Calibri" w:hAnsi="Calibri" w:cs="Calibri"/>
          <w:b/>
          <w:bCs/>
          <w:noProof/>
          <w:sz w:val="18"/>
          <w:szCs w:val="24"/>
        </w:rPr>
        <w:t>1989</w:t>
      </w:r>
      <w:r w:rsidRPr="00843E38">
        <w:rPr>
          <w:rFonts w:ascii="Calibri" w:hAnsi="Calibri" w:cs="Calibri"/>
          <w:noProof/>
          <w:sz w:val="18"/>
          <w:szCs w:val="24"/>
        </w:rPr>
        <w:t xml:space="preserve">, </w:t>
      </w:r>
      <w:r w:rsidRPr="00843E38">
        <w:rPr>
          <w:rFonts w:ascii="Calibri" w:hAnsi="Calibri" w:cs="Calibri"/>
          <w:i/>
          <w:iCs/>
          <w:noProof/>
          <w:sz w:val="18"/>
          <w:szCs w:val="24"/>
        </w:rPr>
        <w:t>26</w:t>
      </w:r>
      <w:r w:rsidRPr="00843E38">
        <w:rPr>
          <w:rFonts w:ascii="Calibri" w:hAnsi="Calibri" w:cs="Calibri"/>
          <w:noProof/>
          <w:sz w:val="18"/>
          <w:szCs w:val="24"/>
        </w:rPr>
        <w:t>, 637–641, doi:10.1136/jmg.26.10.637.</w:t>
      </w:r>
    </w:p>
    <w:p w14:paraId="24763A98"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92. </w:t>
      </w:r>
      <w:r w:rsidRPr="00843E38">
        <w:rPr>
          <w:rFonts w:ascii="Calibri" w:hAnsi="Calibri" w:cs="Calibri"/>
          <w:noProof/>
          <w:sz w:val="18"/>
          <w:szCs w:val="24"/>
        </w:rPr>
        <w:tab/>
        <w:t xml:space="preserve">Boriani, G.; Gallina, M.; Merlini, L.; Bonne, G.; Toniolo, D.; Amati, S.; Biffi, M.; Martignani, C.; Frabetti, L.; Bonvicini, M.; et al. Clinical Relevance of Atrial Fibrillation/Flutter, Stroke, Pacemaker Implant, and Heart Failure in Emery-Dreifuss Muscular Dystrophy: A Long-Term Longitudinal Study. </w:t>
      </w:r>
      <w:r w:rsidRPr="00843E38">
        <w:rPr>
          <w:rFonts w:ascii="Calibri" w:hAnsi="Calibri" w:cs="Calibri"/>
          <w:i/>
          <w:iCs/>
          <w:noProof/>
          <w:sz w:val="18"/>
          <w:szCs w:val="24"/>
        </w:rPr>
        <w:t>Stroke</w:t>
      </w:r>
      <w:r w:rsidRPr="00843E38">
        <w:rPr>
          <w:rFonts w:ascii="Calibri" w:hAnsi="Calibri" w:cs="Calibri"/>
          <w:noProof/>
          <w:sz w:val="18"/>
          <w:szCs w:val="24"/>
        </w:rPr>
        <w:t xml:space="preserve"> </w:t>
      </w:r>
      <w:r w:rsidRPr="00843E38">
        <w:rPr>
          <w:rFonts w:ascii="Calibri" w:hAnsi="Calibri" w:cs="Calibri"/>
          <w:b/>
          <w:bCs/>
          <w:noProof/>
          <w:sz w:val="18"/>
          <w:szCs w:val="24"/>
        </w:rPr>
        <w:t>2003</w:t>
      </w:r>
      <w:r w:rsidRPr="00843E38">
        <w:rPr>
          <w:rFonts w:ascii="Calibri" w:hAnsi="Calibri" w:cs="Calibri"/>
          <w:noProof/>
          <w:sz w:val="18"/>
          <w:szCs w:val="24"/>
        </w:rPr>
        <w:t xml:space="preserve">, </w:t>
      </w:r>
      <w:r w:rsidRPr="00843E38">
        <w:rPr>
          <w:rFonts w:ascii="Calibri" w:hAnsi="Calibri" w:cs="Calibri"/>
          <w:i/>
          <w:iCs/>
          <w:noProof/>
          <w:sz w:val="18"/>
          <w:szCs w:val="24"/>
        </w:rPr>
        <w:t>34</w:t>
      </w:r>
      <w:r w:rsidRPr="00843E38">
        <w:rPr>
          <w:rFonts w:ascii="Calibri" w:hAnsi="Calibri" w:cs="Calibri"/>
          <w:noProof/>
          <w:sz w:val="18"/>
          <w:szCs w:val="24"/>
        </w:rPr>
        <w:t>, 901–908, doi:10.1161/01.STR.0000064322.47667.49.</w:t>
      </w:r>
    </w:p>
    <w:p w14:paraId="66B295AF"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93. </w:t>
      </w:r>
      <w:r w:rsidRPr="00843E38">
        <w:rPr>
          <w:rFonts w:ascii="Calibri" w:hAnsi="Calibri" w:cs="Calibri"/>
          <w:noProof/>
          <w:sz w:val="18"/>
          <w:szCs w:val="24"/>
        </w:rPr>
        <w:tab/>
        <w:t xml:space="preserve">Broers, J.L. V; Peeters, E.A.G.; Kuijpers, H.J.H.; Endert, J.; Bouten, C.V.C.; Oomens, C.W.J.; Baaijens, F.P.T.; Ramaekers, F.C.S. Decreased Mechanical Stiffness in LMNA-/- Cells Is Caused by Defective Nucleo-Cytoskeletal Integrity: Implications for the Development of Laminopathies. </w:t>
      </w:r>
      <w:r w:rsidRPr="00843E38">
        <w:rPr>
          <w:rFonts w:ascii="Calibri" w:hAnsi="Calibri" w:cs="Calibri"/>
          <w:i/>
          <w:iCs/>
          <w:noProof/>
          <w:sz w:val="18"/>
          <w:szCs w:val="24"/>
        </w:rPr>
        <w:t>Hum. Mol. Genet.</w:t>
      </w:r>
      <w:r w:rsidRPr="00843E38">
        <w:rPr>
          <w:rFonts w:ascii="Calibri" w:hAnsi="Calibri" w:cs="Calibri"/>
          <w:noProof/>
          <w:sz w:val="18"/>
          <w:szCs w:val="24"/>
        </w:rPr>
        <w:t xml:space="preserve"> </w:t>
      </w:r>
      <w:r w:rsidRPr="00843E38">
        <w:rPr>
          <w:rFonts w:ascii="Calibri" w:hAnsi="Calibri" w:cs="Calibri"/>
          <w:b/>
          <w:bCs/>
          <w:noProof/>
          <w:sz w:val="18"/>
          <w:szCs w:val="24"/>
        </w:rPr>
        <w:t>2004</w:t>
      </w:r>
      <w:r w:rsidRPr="00843E38">
        <w:rPr>
          <w:rFonts w:ascii="Calibri" w:hAnsi="Calibri" w:cs="Calibri"/>
          <w:noProof/>
          <w:sz w:val="18"/>
          <w:szCs w:val="24"/>
        </w:rPr>
        <w:t xml:space="preserve">, </w:t>
      </w:r>
      <w:r w:rsidRPr="00843E38">
        <w:rPr>
          <w:rFonts w:ascii="Calibri" w:hAnsi="Calibri" w:cs="Calibri"/>
          <w:i/>
          <w:iCs/>
          <w:noProof/>
          <w:sz w:val="18"/>
          <w:szCs w:val="24"/>
        </w:rPr>
        <w:t>13</w:t>
      </w:r>
      <w:r w:rsidRPr="00843E38">
        <w:rPr>
          <w:rFonts w:ascii="Calibri" w:hAnsi="Calibri" w:cs="Calibri"/>
          <w:noProof/>
          <w:sz w:val="18"/>
          <w:szCs w:val="24"/>
        </w:rPr>
        <w:t>, 2567–2580, doi:10.1093/hmg/ddh295.</w:t>
      </w:r>
    </w:p>
    <w:p w14:paraId="6C254AD0"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94. </w:t>
      </w:r>
      <w:r w:rsidRPr="00843E38">
        <w:rPr>
          <w:rFonts w:ascii="Calibri" w:hAnsi="Calibri" w:cs="Calibri"/>
          <w:noProof/>
          <w:sz w:val="18"/>
          <w:szCs w:val="24"/>
        </w:rPr>
        <w:tab/>
        <w:t xml:space="preserve">Lammerding, J.; Kamm, R.D.; Lee, R.T.; Schulze, P.C.; Takahashi, T.; Kozlov, S.; Sullivan, T.; Stewart, C.L. Lamin A/C Deficiency Causes Defective Nuclear Mechanics and Mechanotransduction. </w:t>
      </w:r>
      <w:r w:rsidRPr="00843E38">
        <w:rPr>
          <w:rFonts w:ascii="Calibri" w:hAnsi="Calibri" w:cs="Calibri"/>
          <w:i/>
          <w:iCs/>
          <w:noProof/>
          <w:sz w:val="18"/>
          <w:szCs w:val="24"/>
        </w:rPr>
        <w:t>J. Clin. Invest.</w:t>
      </w:r>
      <w:r w:rsidRPr="00843E38">
        <w:rPr>
          <w:rFonts w:ascii="Calibri" w:hAnsi="Calibri" w:cs="Calibri"/>
          <w:noProof/>
          <w:sz w:val="18"/>
          <w:szCs w:val="24"/>
        </w:rPr>
        <w:t xml:space="preserve"> </w:t>
      </w:r>
      <w:r w:rsidRPr="00843E38">
        <w:rPr>
          <w:rFonts w:ascii="Calibri" w:hAnsi="Calibri" w:cs="Calibri"/>
          <w:b/>
          <w:bCs/>
          <w:noProof/>
          <w:sz w:val="18"/>
          <w:szCs w:val="24"/>
        </w:rPr>
        <w:t>2004</w:t>
      </w:r>
      <w:r w:rsidRPr="00843E38">
        <w:rPr>
          <w:rFonts w:ascii="Calibri" w:hAnsi="Calibri" w:cs="Calibri"/>
          <w:noProof/>
          <w:sz w:val="18"/>
          <w:szCs w:val="24"/>
        </w:rPr>
        <w:t xml:space="preserve">, </w:t>
      </w:r>
      <w:r w:rsidRPr="00843E38">
        <w:rPr>
          <w:rFonts w:ascii="Calibri" w:hAnsi="Calibri" w:cs="Calibri"/>
          <w:i/>
          <w:iCs/>
          <w:noProof/>
          <w:sz w:val="18"/>
          <w:szCs w:val="24"/>
        </w:rPr>
        <w:t>113</w:t>
      </w:r>
      <w:r w:rsidRPr="00843E38">
        <w:rPr>
          <w:rFonts w:ascii="Calibri" w:hAnsi="Calibri" w:cs="Calibri"/>
          <w:noProof/>
          <w:sz w:val="18"/>
          <w:szCs w:val="24"/>
        </w:rPr>
        <w:t>, 370–378, doi:10.1172/JCI19670.</w:t>
      </w:r>
    </w:p>
    <w:p w14:paraId="6DB41182"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95. </w:t>
      </w:r>
      <w:r w:rsidRPr="00843E38">
        <w:rPr>
          <w:rFonts w:ascii="Calibri" w:hAnsi="Calibri" w:cs="Calibri"/>
          <w:noProof/>
          <w:sz w:val="18"/>
          <w:szCs w:val="24"/>
        </w:rPr>
        <w:tab/>
        <w:t xml:space="preserve">Hutchison, C.J. Lamins: Building Blocks or Regulators of Gene Expression? </w:t>
      </w:r>
      <w:r w:rsidRPr="00843E38">
        <w:rPr>
          <w:rFonts w:ascii="Calibri" w:hAnsi="Calibri" w:cs="Calibri"/>
          <w:i/>
          <w:iCs/>
          <w:noProof/>
          <w:sz w:val="18"/>
          <w:szCs w:val="24"/>
        </w:rPr>
        <w:t>Nat. Rev. Mol. Cell Biol.</w:t>
      </w:r>
      <w:r w:rsidRPr="00843E38">
        <w:rPr>
          <w:rFonts w:ascii="Calibri" w:hAnsi="Calibri" w:cs="Calibri"/>
          <w:noProof/>
          <w:sz w:val="18"/>
          <w:szCs w:val="24"/>
        </w:rPr>
        <w:t xml:space="preserve"> </w:t>
      </w:r>
      <w:r w:rsidRPr="00843E38">
        <w:rPr>
          <w:rFonts w:ascii="Calibri" w:hAnsi="Calibri" w:cs="Calibri"/>
          <w:b/>
          <w:bCs/>
          <w:noProof/>
          <w:sz w:val="18"/>
          <w:szCs w:val="24"/>
        </w:rPr>
        <w:t>2002</w:t>
      </w:r>
      <w:r w:rsidRPr="00843E38">
        <w:rPr>
          <w:rFonts w:ascii="Calibri" w:hAnsi="Calibri" w:cs="Calibri"/>
          <w:noProof/>
          <w:sz w:val="18"/>
          <w:szCs w:val="24"/>
        </w:rPr>
        <w:t xml:space="preserve">, </w:t>
      </w:r>
      <w:r w:rsidRPr="00843E38">
        <w:rPr>
          <w:rFonts w:ascii="Calibri" w:hAnsi="Calibri" w:cs="Calibri"/>
          <w:i/>
          <w:iCs/>
          <w:noProof/>
          <w:sz w:val="18"/>
          <w:szCs w:val="24"/>
        </w:rPr>
        <w:t>3</w:t>
      </w:r>
      <w:r w:rsidRPr="00843E38">
        <w:rPr>
          <w:rFonts w:ascii="Calibri" w:hAnsi="Calibri" w:cs="Calibri"/>
          <w:noProof/>
          <w:sz w:val="18"/>
          <w:szCs w:val="24"/>
        </w:rPr>
        <w:t>, 848–858, doi:10.1038/NRM950.</w:t>
      </w:r>
    </w:p>
    <w:p w14:paraId="3010A37C"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96. </w:t>
      </w:r>
      <w:r w:rsidRPr="00843E38">
        <w:rPr>
          <w:rFonts w:ascii="Calibri" w:hAnsi="Calibri" w:cs="Calibri"/>
          <w:noProof/>
          <w:sz w:val="18"/>
          <w:szCs w:val="24"/>
        </w:rPr>
        <w:tab/>
        <w:t xml:space="preserve">Zastrow, M.S.; Vlcek, S.; Wilson, K.L. Proteins That Bind A-Type Lamins: Integrating Isolated Clues. </w:t>
      </w:r>
      <w:r w:rsidRPr="00843E38">
        <w:rPr>
          <w:rFonts w:ascii="Calibri" w:hAnsi="Calibri" w:cs="Calibri"/>
          <w:i/>
          <w:iCs/>
          <w:noProof/>
          <w:sz w:val="18"/>
          <w:szCs w:val="24"/>
        </w:rPr>
        <w:t>J. Cell Sci.</w:t>
      </w:r>
      <w:r w:rsidRPr="00843E38">
        <w:rPr>
          <w:rFonts w:ascii="Calibri" w:hAnsi="Calibri" w:cs="Calibri"/>
          <w:noProof/>
          <w:sz w:val="18"/>
          <w:szCs w:val="24"/>
        </w:rPr>
        <w:t xml:space="preserve"> </w:t>
      </w:r>
      <w:r w:rsidRPr="00843E38">
        <w:rPr>
          <w:rFonts w:ascii="Calibri" w:hAnsi="Calibri" w:cs="Calibri"/>
          <w:b/>
          <w:bCs/>
          <w:noProof/>
          <w:sz w:val="18"/>
          <w:szCs w:val="24"/>
        </w:rPr>
        <w:t>2004</w:t>
      </w:r>
      <w:r w:rsidRPr="00843E38">
        <w:rPr>
          <w:rFonts w:ascii="Calibri" w:hAnsi="Calibri" w:cs="Calibri"/>
          <w:noProof/>
          <w:sz w:val="18"/>
          <w:szCs w:val="24"/>
        </w:rPr>
        <w:t xml:space="preserve">, </w:t>
      </w:r>
      <w:r w:rsidRPr="00843E38">
        <w:rPr>
          <w:rFonts w:ascii="Calibri" w:hAnsi="Calibri" w:cs="Calibri"/>
          <w:i/>
          <w:iCs/>
          <w:noProof/>
          <w:sz w:val="18"/>
          <w:szCs w:val="24"/>
        </w:rPr>
        <w:t>117</w:t>
      </w:r>
      <w:r w:rsidRPr="00843E38">
        <w:rPr>
          <w:rFonts w:ascii="Calibri" w:hAnsi="Calibri" w:cs="Calibri"/>
          <w:noProof/>
          <w:sz w:val="18"/>
          <w:szCs w:val="24"/>
        </w:rPr>
        <w:t>, 979–987, doi:10.1242/jcs.01102.</w:t>
      </w:r>
    </w:p>
    <w:p w14:paraId="095C9E3F"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97. </w:t>
      </w:r>
      <w:r w:rsidRPr="00843E38">
        <w:rPr>
          <w:rFonts w:ascii="Calibri" w:hAnsi="Calibri" w:cs="Calibri"/>
          <w:noProof/>
          <w:sz w:val="18"/>
          <w:szCs w:val="24"/>
        </w:rPr>
        <w:tab/>
        <w:t xml:space="preserve">Ellis, D.; Jenkins, H.; Whitfield, W.; Hutchinson, C. GST-Lamin Fusion Proteins Act as Dominant Negative Mutants in Xenopus Egg Extract and Reveal the Function of the Lamina in DNA Replication. </w:t>
      </w:r>
      <w:r w:rsidRPr="00843E38">
        <w:rPr>
          <w:rFonts w:ascii="Calibri" w:hAnsi="Calibri" w:cs="Calibri"/>
          <w:i/>
          <w:iCs/>
          <w:noProof/>
          <w:sz w:val="18"/>
          <w:szCs w:val="24"/>
        </w:rPr>
        <w:t>J. Cell Sci.</w:t>
      </w:r>
      <w:r w:rsidRPr="00843E38">
        <w:rPr>
          <w:rFonts w:ascii="Calibri" w:hAnsi="Calibri" w:cs="Calibri"/>
          <w:noProof/>
          <w:sz w:val="18"/>
          <w:szCs w:val="24"/>
        </w:rPr>
        <w:t xml:space="preserve"> </w:t>
      </w:r>
      <w:r w:rsidRPr="00843E38">
        <w:rPr>
          <w:rFonts w:ascii="Calibri" w:hAnsi="Calibri" w:cs="Calibri"/>
          <w:b/>
          <w:bCs/>
          <w:noProof/>
          <w:sz w:val="18"/>
          <w:szCs w:val="24"/>
        </w:rPr>
        <w:t>1997</w:t>
      </w:r>
      <w:r w:rsidRPr="00843E38">
        <w:rPr>
          <w:rFonts w:ascii="Calibri" w:hAnsi="Calibri" w:cs="Calibri"/>
          <w:noProof/>
          <w:sz w:val="18"/>
          <w:szCs w:val="24"/>
        </w:rPr>
        <w:t xml:space="preserve">, </w:t>
      </w:r>
      <w:r w:rsidRPr="00843E38">
        <w:rPr>
          <w:rFonts w:ascii="Calibri" w:hAnsi="Calibri" w:cs="Calibri"/>
          <w:i/>
          <w:iCs/>
          <w:noProof/>
          <w:sz w:val="18"/>
          <w:szCs w:val="24"/>
        </w:rPr>
        <w:t>110</w:t>
      </w:r>
      <w:r w:rsidRPr="00843E38">
        <w:rPr>
          <w:rFonts w:ascii="Calibri" w:hAnsi="Calibri" w:cs="Calibri"/>
          <w:noProof/>
          <w:sz w:val="18"/>
          <w:szCs w:val="24"/>
        </w:rPr>
        <w:t>, 2507–2518, doi:10.1242/jcs.110.20.2507.</w:t>
      </w:r>
    </w:p>
    <w:p w14:paraId="412F9454"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98. </w:t>
      </w:r>
      <w:r w:rsidRPr="00843E38">
        <w:rPr>
          <w:rFonts w:ascii="Calibri" w:hAnsi="Calibri" w:cs="Calibri"/>
          <w:noProof/>
          <w:sz w:val="18"/>
          <w:szCs w:val="24"/>
        </w:rPr>
        <w:tab/>
        <w:t xml:space="preserve">Schirmer, E.C.; Gerace, L. The Nuclear Membrane Proteome: Extending the Envelope. </w:t>
      </w:r>
      <w:r w:rsidRPr="00843E38">
        <w:rPr>
          <w:rFonts w:ascii="Calibri" w:hAnsi="Calibri" w:cs="Calibri"/>
          <w:i/>
          <w:iCs/>
          <w:noProof/>
          <w:sz w:val="18"/>
          <w:szCs w:val="24"/>
        </w:rPr>
        <w:t>Trends Biochem. Sci.</w:t>
      </w:r>
      <w:r w:rsidRPr="00843E38">
        <w:rPr>
          <w:rFonts w:ascii="Calibri" w:hAnsi="Calibri" w:cs="Calibri"/>
          <w:noProof/>
          <w:sz w:val="18"/>
          <w:szCs w:val="24"/>
        </w:rPr>
        <w:t xml:space="preserve"> </w:t>
      </w:r>
      <w:r w:rsidRPr="00843E38">
        <w:rPr>
          <w:rFonts w:ascii="Calibri" w:hAnsi="Calibri" w:cs="Calibri"/>
          <w:b/>
          <w:bCs/>
          <w:noProof/>
          <w:sz w:val="18"/>
          <w:szCs w:val="24"/>
        </w:rPr>
        <w:t>2005</w:t>
      </w:r>
      <w:r w:rsidRPr="00843E38">
        <w:rPr>
          <w:rFonts w:ascii="Calibri" w:hAnsi="Calibri" w:cs="Calibri"/>
          <w:noProof/>
          <w:sz w:val="18"/>
          <w:szCs w:val="24"/>
        </w:rPr>
        <w:t xml:space="preserve">, </w:t>
      </w:r>
      <w:r w:rsidRPr="00843E38">
        <w:rPr>
          <w:rFonts w:ascii="Calibri" w:hAnsi="Calibri" w:cs="Calibri"/>
          <w:i/>
          <w:iCs/>
          <w:noProof/>
          <w:sz w:val="18"/>
          <w:szCs w:val="24"/>
        </w:rPr>
        <w:t>30</w:t>
      </w:r>
      <w:r w:rsidRPr="00843E38">
        <w:rPr>
          <w:rFonts w:ascii="Calibri" w:hAnsi="Calibri" w:cs="Calibri"/>
          <w:noProof/>
          <w:sz w:val="18"/>
          <w:szCs w:val="24"/>
        </w:rPr>
        <w:t>, 551–558, doi:10.1016/J.TIBS.2005.08.003.</w:t>
      </w:r>
    </w:p>
    <w:p w14:paraId="595A3241"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99. </w:t>
      </w:r>
      <w:r w:rsidRPr="00843E38">
        <w:rPr>
          <w:rFonts w:ascii="Calibri" w:hAnsi="Calibri" w:cs="Calibri"/>
          <w:noProof/>
          <w:sz w:val="18"/>
          <w:szCs w:val="24"/>
        </w:rPr>
        <w:tab/>
        <w:t xml:space="preserve">Dittmer, T.A.; Sahni, N.; Kubben, N.; Hill, D.E.; Vidal, M.; Burgess, R.C.; Roukos, V.; Misteli, T. Systematic Identification of Pathological Lamin A Interactors. </w:t>
      </w:r>
      <w:r w:rsidRPr="00843E38">
        <w:rPr>
          <w:rFonts w:ascii="Calibri" w:hAnsi="Calibri" w:cs="Calibri"/>
          <w:i/>
          <w:iCs/>
          <w:noProof/>
          <w:sz w:val="18"/>
          <w:szCs w:val="24"/>
        </w:rPr>
        <w:t>Mol. Biol. Cell</w:t>
      </w:r>
      <w:r w:rsidRPr="00843E38">
        <w:rPr>
          <w:rFonts w:ascii="Calibri" w:hAnsi="Calibri" w:cs="Calibri"/>
          <w:noProof/>
          <w:sz w:val="18"/>
          <w:szCs w:val="24"/>
        </w:rPr>
        <w:t xml:space="preserve"> </w:t>
      </w:r>
      <w:r w:rsidRPr="00843E38">
        <w:rPr>
          <w:rFonts w:ascii="Calibri" w:hAnsi="Calibri" w:cs="Calibri"/>
          <w:b/>
          <w:bCs/>
          <w:noProof/>
          <w:sz w:val="18"/>
          <w:szCs w:val="24"/>
        </w:rPr>
        <w:t>2014</w:t>
      </w:r>
      <w:r w:rsidRPr="00843E38">
        <w:rPr>
          <w:rFonts w:ascii="Calibri" w:hAnsi="Calibri" w:cs="Calibri"/>
          <w:noProof/>
          <w:sz w:val="18"/>
          <w:szCs w:val="24"/>
        </w:rPr>
        <w:t xml:space="preserve">, </w:t>
      </w:r>
      <w:r w:rsidRPr="00843E38">
        <w:rPr>
          <w:rFonts w:ascii="Calibri" w:hAnsi="Calibri" w:cs="Calibri"/>
          <w:i/>
          <w:iCs/>
          <w:noProof/>
          <w:sz w:val="18"/>
          <w:szCs w:val="24"/>
        </w:rPr>
        <w:t>25</w:t>
      </w:r>
      <w:r w:rsidRPr="00843E38">
        <w:rPr>
          <w:rFonts w:ascii="Calibri" w:hAnsi="Calibri" w:cs="Calibri"/>
          <w:noProof/>
          <w:sz w:val="18"/>
          <w:szCs w:val="24"/>
        </w:rPr>
        <w:t>, 1493–1510, doi:10.1091/mbc.e14-02-0733.</w:t>
      </w:r>
    </w:p>
    <w:p w14:paraId="7446DC59"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100. </w:t>
      </w:r>
      <w:r w:rsidRPr="00843E38">
        <w:rPr>
          <w:rFonts w:ascii="Calibri" w:hAnsi="Calibri" w:cs="Calibri"/>
          <w:noProof/>
          <w:sz w:val="18"/>
          <w:szCs w:val="24"/>
        </w:rPr>
        <w:tab/>
        <w:t xml:space="preserve">Kubben, N.; Voncken, J.W.; Demmers, J.; Calis, C.; Van Almen, G.; Pinto, Y.M.; Misteli, T. Identification of Differential Protein Interactors of Lamin A and Progerin. </w:t>
      </w:r>
      <w:r w:rsidRPr="00843E38">
        <w:rPr>
          <w:rFonts w:ascii="Calibri" w:hAnsi="Calibri" w:cs="Calibri"/>
          <w:i/>
          <w:iCs/>
          <w:noProof/>
          <w:sz w:val="18"/>
          <w:szCs w:val="24"/>
        </w:rPr>
        <w:t>Nucleus</w:t>
      </w:r>
      <w:r w:rsidRPr="00843E38">
        <w:rPr>
          <w:rFonts w:ascii="Calibri" w:hAnsi="Calibri" w:cs="Calibri"/>
          <w:noProof/>
          <w:sz w:val="18"/>
          <w:szCs w:val="24"/>
        </w:rPr>
        <w:t xml:space="preserve"> </w:t>
      </w:r>
      <w:r w:rsidRPr="00843E38">
        <w:rPr>
          <w:rFonts w:ascii="Calibri" w:hAnsi="Calibri" w:cs="Calibri"/>
          <w:b/>
          <w:bCs/>
          <w:noProof/>
          <w:sz w:val="18"/>
          <w:szCs w:val="24"/>
        </w:rPr>
        <w:t>2010</w:t>
      </w:r>
      <w:r w:rsidRPr="00843E38">
        <w:rPr>
          <w:rFonts w:ascii="Calibri" w:hAnsi="Calibri" w:cs="Calibri"/>
          <w:noProof/>
          <w:sz w:val="18"/>
          <w:szCs w:val="24"/>
        </w:rPr>
        <w:t xml:space="preserve">, </w:t>
      </w:r>
      <w:r w:rsidRPr="00843E38">
        <w:rPr>
          <w:rFonts w:ascii="Calibri" w:hAnsi="Calibri" w:cs="Calibri"/>
          <w:i/>
          <w:iCs/>
          <w:noProof/>
          <w:sz w:val="18"/>
          <w:szCs w:val="24"/>
        </w:rPr>
        <w:t>1</w:t>
      </w:r>
      <w:r w:rsidRPr="00843E38">
        <w:rPr>
          <w:rFonts w:ascii="Calibri" w:hAnsi="Calibri" w:cs="Calibri"/>
          <w:noProof/>
          <w:sz w:val="18"/>
          <w:szCs w:val="24"/>
        </w:rPr>
        <w:t>, 513–525, doi:10.4161/nucl.1.6.13512.</w:t>
      </w:r>
    </w:p>
    <w:p w14:paraId="5D804262"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101. </w:t>
      </w:r>
      <w:r w:rsidRPr="00843E38">
        <w:rPr>
          <w:rFonts w:ascii="Calibri" w:hAnsi="Calibri" w:cs="Calibri"/>
          <w:noProof/>
          <w:sz w:val="18"/>
          <w:szCs w:val="24"/>
        </w:rPr>
        <w:tab/>
        <w:t xml:space="preserve">Vitkup, D.; Sander, C.; Church, G.M. The Amino-Acid Mutational Spectrum of Human Genetic Disease. </w:t>
      </w:r>
      <w:r w:rsidRPr="00843E38">
        <w:rPr>
          <w:rFonts w:ascii="Calibri" w:hAnsi="Calibri" w:cs="Calibri"/>
          <w:i/>
          <w:iCs/>
          <w:noProof/>
          <w:sz w:val="18"/>
          <w:szCs w:val="24"/>
        </w:rPr>
        <w:t>Genome Biol.</w:t>
      </w:r>
      <w:r w:rsidRPr="00843E38">
        <w:rPr>
          <w:rFonts w:ascii="Calibri" w:hAnsi="Calibri" w:cs="Calibri"/>
          <w:noProof/>
          <w:sz w:val="18"/>
          <w:szCs w:val="24"/>
        </w:rPr>
        <w:t xml:space="preserve"> </w:t>
      </w:r>
      <w:r w:rsidRPr="00843E38">
        <w:rPr>
          <w:rFonts w:ascii="Calibri" w:hAnsi="Calibri" w:cs="Calibri"/>
          <w:b/>
          <w:bCs/>
          <w:noProof/>
          <w:sz w:val="18"/>
          <w:szCs w:val="24"/>
        </w:rPr>
        <w:t>2003</w:t>
      </w:r>
      <w:r w:rsidRPr="00843E38">
        <w:rPr>
          <w:rFonts w:ascii="Calibri" w:hAnsi="Calibri" w:cs="Calibri"/>
          <w:noProof/>
          <w:sz w:val="18"/>
          <w:szCs w:val="24"/>
        </w:rPr>
        <w:t xml:space="preserve">, </w:t>
      </w:r>
      <w:r w:rsidRPr="00843E38">
        <w:rPr>
          <w:rFonts w:ascii="Calibri" w:hAnsi="Calibri" w:cs="Calibri"/>
          <w:i/>
          <w:iCs/>
          <w:noProof/>
          <w:sz w:val="18"/>
          <w:szCs w:val="24"/>
        </w:rPr>
        <w:t>4</w:t>
      </w:r>
      <w:r w:rsidRPr="00843E38">
        <w:rPr>
          <w:rFonts w:ascii="Calibri" w:hAnsi="Calibri" w:cs="Calibri"/>
          <w:noProof/>
          <w:sz w:val="18"/>
          <w:szCs w:val="24"/>
        </w:rPr>
        <w:t>, 1–10, doi:10.1186/GB-2003-4-11-R72/FIGURES/6.</w:t>
      </w:r>
    </w:p>
    <w:p w14:paraId="1C7F93C7"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102. </w:t>
      </w:r>
      <w:r w:rsidRPr="00843E38">
        <w:rPr>
          <w:rFonts w:ascii="Calibri" w:hAnsi="Calibri" w:cs="Calibri"/>
          <w:noProof/>
          <w:sz w:val="18"/>
          <w:szCs w:val="24"/>
        </w:rPr>
        <w:tab/>
        <w:t xml:space="preserve">Cooper, D.N.; Youssoufian, H. The CpG Dinucleotide and Human Genetic Disease. </w:t>
      </w:r>
      <w:r w:rsidRPr="00843E38">
        <w:rPr>
          <w:rFonts w:ascii="Calibri" w:hAnsi="Calibri" w:cs="Calibri"/>
          <w:i/>
          <w:iCs/>
          <w:noProof/>
          <w:sz w:val="18"/>
          <w:szCs w:val="24"/>
        </w:rPr>
        <w:t>Hum. Genet. 1988 782</w:t>
      </w:r>
      <w:r w:rsidRPr="00843E38">
        <w:rPr>
          <w:rFonts w:ascii="Calibri" w:hAnsi="Calibri" w:cs="Calibri"/>
          <w:noProof/>
          <w:sz w:val="18"/>
          <w:szCs w:val="24"/>
        </w:rPr>
        <w:t xml:space="preserve"> </w:t>
      </w:r>
      <w:r w:rsidRPr="00843E38">
        <w:rPr>
          <w:rFonts w:ascii="Calibri" w:hAnsi="Calibri" w:cs="Calibri"/>
          <w:b/>
          <w:bCs/>
          <w:noProof/>
          <w:sz w:val="18"/>
          <w:szCs w:val="24"/>
        </w:rPr>
        <w:t>1988</w:t>
      </w:r>
      <w:r w:rsidRPr="00843E38">
        <w:rPr>
          <w:rFonts w:ascii="Calibri" w:hAnsi="Calibri" w:cs="Calibri"/>
          <w:noProof/>
          <w:sz w:val="18"/>
          <w:szCs w:val="24"/>
        </w:rPr>
        <w:t xml:space="preserve">, </w:t>
      </w:r>
      <w:r w:rsidRPr="00843E38">
        <w:rPr>
          <w:rFonts w:ascii="Calibri" w:hAnsi="Calibri" w:cs="Calibri"/>
          <w:i/>
          <w:iCs/>
          <w:noProof/>
          <w:sz w:val="18"/>
          <w:szCs w:val="24"/>
        </w:rPr>
        <w:t>78</w:t>
      </w:r>
      <w:r w:rsidRPr="00843E38">
        <w:rPr>
          <w:rFonts w:ascii="Calibri" w:hAnsi="Calibri" w:cs="Calibri"/>
          <w:noProof/>
          <w:sz w:val="18"/>
          <w:szCs w:val="24"/>
        </w:rPr>
        <w:t>, 151–155, doi:10.1007/BF00278187.</w:t>
      </w:r>
    </w:p>
    <w:p w14:paraId="6554FB87"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103. </w:t>
      </w:r>
      <w:r w:rsidRPr="00843E38">
        <w:rPr>
          <w:rFonts w:ascii="Calibri" w:hAnsi="Calibri" w:cs="Calibri"/>
          <w:noProof/>
          <w:sz w:val="18"/>
          <w:szCs w:val="24"/>
        </w:rPr>
        <w:tab/>
        <w:t xml:space="preserve">Betts, M.J.; Russell, R.B. Amino Acid Properties and Consequences of Substitutions. In </w:t>
      </w:r>
      <w:r w:rsidRPr="00843E38">
        <w:rPr>
          <w:rFonts w:ascii="Calibri" w:hAnsi="Calibri" w:cs="Calibri"/>
          <w:i/>
          <w:iCs/>
          <w:noProof/>
          <w:sz w:val="18"/>
          <w:szCs w:val="24"/>
        </w:rPr>
        <w:t>Bioinformatics for Geneticists</w:t>
      </w:r>
      <w:r w:rsidRPr="00843E38">
        <w:rPr>
          <w:rFonts w:ascii="Calibri" w:hAnsi="Calibri" w:cs="Calibri"/>
          <w:noProof/>
          <w:sz w:val="18"/>
          <w:szCs w:val="24"/>
        </w:rPr>
        <w:t>; Barnes, M.R., Gray, I.C., Eds.; John Wiley &amp; Sons, Ltd, 2003; pp. 289–316.</w:t>
      </w:r>
    </w:p>
    <w:p w14:paraId="084259C4"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104. </w:t>
      </w:r>
      <w:r w:rsidRPr="00843E38">
        <w:rPr>
          <w:rFonts w:ascii="Calibri" w:hAnsi="Calibri" w:cs="Calibri"/>
          <w:noProof/>
          <w:sz w:val="18"/>
          <w:szCs w:val="24"/>
        </w:rPr>
        <w:tab/>
        <w:t xml:space="preserve">Stuurman, N.; Sasse, B.; Fisher, P.A. Intermediate Filament Protein Polymerization: Molecular Analysis of Drosophila Nuclear Lamin Head-to-Tail Binding. </w:t>
      </w:r>
      <w:r w:rsidRPr="00843E38">
        <w:rPr>
          <w:rFonts w:ascii="Calibri" w:hAnsi="Calibri" w:cs="Calibri"/>
          <w:i/>
          <w:iCs/>
          <w:noProof/>
          <w:sz w:val="18"/>
          <w:szCs w:val="24"/>
        </w:rPr>
        <w:t>J. Struct. Biol.</w:t>
      </w:r>
      <w:r w:rsidRPr="00843E38">
        <w:rPr>
          <w:rFonts w:ascii="Calibri" w:hAnsi="Calibri" w:cs="Calibri"/>
          <w:noProof/>
          <w:sz w:val="18"/>
          <w:szCs w:val="24"/>
        </w:rPr>
        <w:t xml:space="preserve"> </w:t>
      </w:r>
      <w:r w:rsidRPr="00843E38">
        <w:rPr>
          <w:rFonts w:ascii="Calibri" w:hAnsi="Calibri" w:cs="Calibri"/>
          <w:b/>
          <w:bCs/>
          <w:noProof/>
          <w:sz w:val="18"/>
          <w:szCs w:val="24"/>
        </w:rPr>
        <w:t>1996</w:t>
      </w:r>
      <w:r w:rsidRPr="00843E38">
        <w:rPr>
          <w:rFonts w:ascii="Calibri" w:hAnsi="Calibri" w:cs="Calibri"/>
          <w:noProof/>
          <w:sz w:val="18"/>
          <w:szCs w:val="24"/>
        </w:rPr>
        <w:t xml:space="preserve">, </w:t>
      </w:r>
      <w:r w:rsidRPr="00843E38">
        <w:rPr>
          <w:rFonts w:ascii="Calibri" w:hAnsi="Calibri" w:cs="Calibri"/>
          <w:i/>
          <w:iCs/>
          <w:noProof/>
          <w:sz w:val="18"/>
          <w:szCs w:val="24"/>
        </w:rPr>
        <w:t>117</w:t>
      </w:r>
      <w:r w:rsidRPr="00843E38">
        <w:rPr>
          <w:rFonts w:ascii="Calibri" w:hAnsi="Calibri" w:cs="Calibri"/>
          <w:noProof/>
          <w:sz w:val="18"/>
          <w:szCs w:val="24"/>
        </w:rPr>
        <w:t>, 1–15, doi:10.1006/JSBI.1996.0064.</w:t>
      </w:r>
    </w:p>
    <w:p w14:paraId="747A6102"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105. </w:t>
      </w:r>
      <w:r w:rsidRPr="00843E38">
        <w:rPr>
          <w:rFonts w:ascii="Calibri" w:hAnsi="Calibri" w:cs="Calibri"/>
          <w:noProof/>
          <w:sz w:val="18"/>
          <w:szCs w:val="24"/>
        </w:rPr>
        <w:tab/>
        <w:t xml:space="preserve">Ahn, J.; Jo, I.; Kang, S. mi; Hong, S.; Kim, S.; Jeong, S.; Kim, Y.H.; Park, B.J.; Ha, N.C. Structural Basis for Lamin Assembly </w:t>
      </w:r>
      <w:r w:rsidRPr="00843E38">
        <w:rPr>
          <w:rFonts w:ascii="Calibri" w:hAnsi="Calibri" w:cs="Calibri"/>
          <w:noProof/>
          <w:sz w:val="18"/>
          <w:szCs w:val="24"/>
        </w:rPr>
        <w:lastRenderedPageBreak/>
        <w:t xml:space="preserve">at the Molecular Level. </w:t>
      </w:r>
      <w:r w:rsidRPr="00843E38">
        <w:rPr>
          <w:rFonts w:ascii="Calibri" w:hAnsi="Calibri" w:cs="Calibri"/>
          <w:i/>
          <w:iCs/>
          <w:noProof/>
          <w:sz w:val="18"/>
          <w:szCs w:val="24"/>
        </w:rPr>
        <w:t>Nat. Commun. 2019 101</w:t>
      </w:r>
      <w:r w:rsidRPr="00843E38">
        <w:rPr>
          <w:rFonts w:ascii="Calibri" w:hAnsi="Calibri" w:cs="Calibri"/>
          <w:noProof/>
          <w:sz w:val="18"/>
          <w:szCs w:val="24"/>
        </w:rPr>
        <w:t xml:space="preserve"> </w:t>
      </w:r>
      <w:r w:rsidRPr="00843E38">
        <w:rPr>
          <w:rFonts w:ascii="Calibri" w:hAnsi="Calibri" w:cs="Calibri"/>
          <w:b/>
          <w:bCs/>
          <w:noProof/>
          <w:sz w:val="18"/>
          <w:szCs w:val="24"/>
        </w:rPr>
        <w:t>2019</w:t>
      </w:r>
      <w:r w:rsidRPr="00843E38">
        <w:rPr>
          <w:rFonts w:ascii="Calibri" w:hAnsi="Calibri" w:cs="Calibri"/>
          <w:noProof/>
          <w:sz w:val="18"/>
          <w:szCs w:val="24"/>
        </w:rPr>
        <w:t xml:space="preserve">, </w:t>
      </w:r>
      <w:r w:rsidRPr="00843E38">
        <w:rPr>
          <w:rFonts w:ascii="Calibri" w:hAnsi="Calibri" w:cs="Calibri"/>
          <w:i/>
          <w:iCs/>
          <w:noProof/>
          <w:sz w:val="18"/>
          <w:szCs w:val="24"/>
        </w:rPr>
        <w:t>10</w:t>
      </w:r>
      <w:r w:rsidRPr="00843E38">
        <w:rPr>
          <w:rFonts w:ascii="Calibri" w:hAnsi="Calibri" w:cs="Calibri"/>
          <w:noProof/>
          <w:sz w:val="18"/>
          <w:szCs w:val="24"/>
        </w:rPr>
        <w:t>, 1–12, doi:10.1038/s41467-019-11684-x.</w:t>
      </w:r>
    </w:p>
    <w:p w14:paraId="15E87B65"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106. </w:t>
      </w:r>
      <w:r w:rsidRPr="00843E38">
        <w:rPr>
          <w:rFonts w:ascii="Calibri" w:hAnsi="Calibri" w:cs="Calibri"/>
          <w:noProof/>
          <w:sz w:val="18"/>
          <w:szCs w:val="24"/>
        </w:rPr>
        <w:tab/>
        <w:t xml:space="preserve">Bhattacharjee, P.; Dasgupta, D.; Sengupta, K. DCM Associated LMNA Mutations Cause Distortions in Lamina Structure and Assembly. </w:t>
      </w:r>
      <w:r w:rsidRPr="00843E38">
        <w:rPr>
          <w:rFonts w:ascii="Calibri" w:hAnsi="Calibri" w:cs="Calibri"/>
          <w:i/>
          <w:iCs/>
          <w:noProof/>
          <w:sz w:val="18"/>
          <w:szCs w:val="24"/>
        </w:rPr>
        <w:t>Biochim. Biophys. Acta - Gen. Subj.</w:t>
      </w:r>
      <w:r w:rsidRPr="00843E38">
        <w:rPr>
          <w:rFonts w:ascii="Calibri" w:hAnsi="Calibri" w:cs="Calibri"/>
          <w:noProof/>
          <w:sz w:val="18"/>
          <w:szCs w:val="24"/>
        </w:rPr>
        <w:t xml:space="preserve"> </w:t>
      </w:r>
      <w:r w:rsidRPr="00843E38">
        <w:rPr>
          <w:rFonts w:ascii="Calibri" w:hAnsi="Calibri" w:cs="Calibri"/>
          <w:b/>
          <w:bCs/>
          <w:noProof/>
          <w:sz w:val="18"/>
          <w:szCs w:val="24"/>
        </w:rPr>
        <w:t>2017</w:t>
      </w:r>
      <w:r w:rsidRPr="00843E38">
        <w:rPr>
          <w:rFonts w:ascii="Calibri" w:hAnsi="Calibri" w:cs="Calibri"/>
          <w:noProof/>
          <w:sz w:val="18"/>
          <w:szCs w:val="24"/>
        </w:rPr>
        <w:t xml:space="preserve">, </w:t>
      </w:r>
      <w:r w:rsidRPr="00843E38">
        <w:rPr>
          <w:rFonts w:ascii="Calibri" w:hAnsi="Calibri" w:cs="Calibri"/>
          <w:i/>
          <w:iCs/>
          <w:noProof/>
          <w:sz w:val="18"/>
          <w:szCs w:val="24"/>
        </w:rPr>
        <w:t>1861</w:t>
      </w:r>
      <w:r w:rsidRPr="00843E38">
        <w:rPr>
          <w:rFonts w:ascii="Calibri" w:hAnsi="Calibri" w:cs="Calibri"/>
          <w:noProof/>
          <w:sz w:val="18"/>
          <w:szCs w:val="24"/>
        </w:rPr>
        <w:t>, 2598–2608, doi:10.1016/J.BBAGEN.2017.08.016.</w:t>
      </w:r>
    </w:p>
    <w:p w14:paraId="12D29A4D"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107. </w:t>
      </w:r>
      <w:r w:rsidRPr="00843E38">
        <w:rPr>
          <w:rFonts w:ascii="Calibri" w:hAnsi="Calibri" w:cs="Calibri"/>
          <w:noProof/>
          <w:sz w:val="18"/>
          <w:szCs w:val="24"/>
        </w:rPr>
        <w:tab/>
        <w:t xml:space="preserve">Ostlund, C.; Bonne, G.; Schwartz, K.; Worman, H.J. Properties of Lamin A Mutants Found in Emery-Dreifuss Muscular Dystrophy, Cardiomyopathy and Dunnigan-Type Partial Lipodystrophy. </w:t>
      </w:r>
      <w:r w:rsidRPr="00843E38">
        <w:rPr>
          <w:rFonts w:ascii="Calibri" w:hAnsi="Calibri" w:cs="Calibri"/>
          <w:i/>
          <w:iCs/>
          <w:noProof/>
          <w:sz w:val="18"/>
          <w:szCs w:val="24"/>
        </w:rPr>
        <w:t>J. Cell Sci.</w:t>
      </w:r>
      <w:r w:rsidRPr="00843E38">
        <w:rPr>
          <w:rFonts w:ascii="Calibri" w:hAnsi="Calibri" w:cs="Calibri"/>
          <w:noProof/>
          <w:sz w:val="18"/>
          <w:szCs w:val="24"/>
        </w:rPr>
        <w:t xml:space="preserve"> </w:t>
      </w:r>
      <w:r w:rsidRPr="00843E38">
        <w:rPr>
          <w:rFonts w:ascii="Calibri" w:hAnsi="Calibri" w:cs="Calibri"/>
          <w:b/>
          <w:bCs/>
          <w:noProof/>
          <w:sz w:val="18"/>
          <w:szCs w:val="24"/>
        </w:rPr>
        <w:t>2001</w:t>
      </w:r>
      <w:r w:rsidRPr="00843E38">
        <w:rPr>
          <w:rFonts w:ascii="Calibri" w:hAnsi="Calibri" w:cs="Calibri"/>
          <w:noProof/>
          <w:sz w:val="18"/>
          <w:szCs w:val="24"/>
        </w:rPr>
        <w:t xml:space="preserve">, </w:t>
      </w:r>
      <w:r w:rsidRPr="00843E38">
        <w:rPr>
          <w:rFonts w:ascii="Calibri" w:hAnsi="Calibri" w:cs="Calibri"/>
          <w:i/>
          <w:iCs/>
          <w:noProof/>
          <w:sz w:val="18"/>
          <w:szCs w:val="24"/>
        </w:rPr>
        <w:t>114</w:t>
      </w:r>
      <w:r w:rsidRPr="00843E38">
        <w:rPr>
          <w:rFonts w:ascii="Calibri" w:hAnsi="Calibri" w:cs="Calibri"/>
          <w:noProof/>
          <w:sz w:val="18"/>
          <w:szCs w:val="24"/>
        </w:rPr>
        <w:t>, 4435–4445, doi:10.1242/jcs.114.24.4435.</w:t>
      </w:r>
    </w:p>
    <w:p w14:paraId="34762FD3"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108. </w:t>
      </w:r>
      <w:r w:rsidRPr="00843E38">
        <w:rPr>
          <w:rFonts w:ascii="Calibri" w:hAnsi="Calibri" w:cs="Calibri"/>
          <w:noProof/>
          <w:sz w:val="18"/>
          <w:szCs w:val="24"/>
        </w:rPr>
        <w:tab/>
        <w:t xml:space="preserve">Vigouroux, C.; Auclair, M.; Dubosclard, E.; Pouchelet, M.; Capeau, J.; Courvalin, J.C.; Buendia, B. Nuclear Envelope Disorganization in Fibroblasts from Lipodystrophic Patients with Heterozygous R482Q/W Mutations in the Lamin A/C Gene. </w:t>
      </w:r>
      <w:r w:rsidRPr="00843E38">
        <w:rPr>
          <w:rFonts w:ascii="Calibri" w:hAnsi="Calibri" w:cs="Calibri"/>
          <w:i/>
          <w:iCs/>
          <w:noProof/>
          <w:sz w:val="18"/>
          <w:szCs w:val="24"/>
        </w:rPr>
        <w:t>J. Cell Sci.</w:t>
      </w:r>
      <w:r w:rsidRPr="00843E38">
        <w:rPr>
          <w:rFonts w:ascii="Calibri" w:hAnsi="Calibri" w:cs="Calibri"/>
          <w:noProof/>
          <w:sz w:val="18"/>
          <w:szCs w:val="24"/>
        </w:rPr>
        <w:t xml:space="preserve"> </w:t>
      </w:r>
      <w:r w:rsidRPr="00843E38">
        <w:rPr>
          <w:rFonts w:ascii="Calibri" w:hAnsi="Calibri" w:cs="Calibri"/>
          <w:b/>
          <w:bCs/>
          <w:noProof/>
          <w:sz w:val="18"/>
          <w:szCs w:val="24"/>
        </w:rPr>
        <w:t>2001</w:t>
      </w:r>
      <w:r w:rsidRPr="00843E38">
        <w:rPr>
          <w:rFonts w:ascii="Calibri" w:hAnsi="Calibri" w:cs="Calibri"/>
          <w:noProof/>
          <w:sz w:val="18"/>
          <w:szCs w:val="24"/>
        </w:rPr>
        <w:t xml:space="preserve">, </w:t>
      </w:r>
      <w:r w:rsidRPr="00843E38">
        <w:rPr>
          <w:rFonts w:ascii="Calibri" w:hAnsi="Calibri" w:cs="Calibri"/>
          <w:i/>
          <w:iCs/>
          <w:noProof/>
          <w:sz w:val="18"/>
          <w:szCs w:val="24"/>
        </w:rPr>
        <w:t>114</w:t>
      </w:r>
      <w:r w:rsidRPr="00843E38">
        <w:rPr>
          <w:rFonts w:ascii="Calibri" w:hAnsi="Calibri" w:cs="Calibri"/>
          <w:noProof/>
          <w:sz w:val="18"/>
          <w:szCs w:val="24"/>
        </w:rPr>
        <w:t>, 4459–4468, doi:10.1242/jcs.114.24.4459.</w:t>
      </w:r>
    </w:p>
    <w:p w14:paraId="35157FCE"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109. </w:t>
      </w:r>
      <w:r w:rsidRPr="00843E38">
        <w:rPr>
          <w:rFonts w:ascii="Calibri" w:hAnsi="Calibri" w:cs="Calibri"/>
          <w:noProof/>
          <w:sz w:val="18"/>
          <w:szCs w:val="24"/>
        </w:rPr>
        <w:tab/>
        <w:t xml:space="preserve">Muchir, A.; Van Engelen, B.G.; Lammens, M.; Mislow, J.M.; McNally, E.; Schwartz, K.; Bonne, G. Nuclear Envelope Alterations in Fibroblasts from LGMD1B Patients Carrying Nonsense Y259X Heterozygous or Homozygous Mutation in Lamin A/C Gene. </w:t>
      </w:r>
      <w:r w:rsidRPr="00843E38">
        <w:rPr>
          <w:rFonts w:ascii="Calibri" w:hAnsi="Calibri" w:cs="Calibri"/>
          <w:i/>
          <w:iCs/>
          <w:noProof/>
          <w:sz w:val="18"/>
          <w:szCs w:val="24"/>
        </w:rPr>
        <w:t>Exp. Cell Res.</w:t>
      </w:r>
      <w:r w:rsidRPr="00843E38">
        <w:rPr>
          <w:rFonts w:ascii="Calibri" w:hAnsi="Calibri" w:cs="Calibri"/>
          <w:noProof/>
          <w:sz w:val="18"/>
          <w:szCs w:val="24"/>
        </w:rPr>
        <w:t xml:space="preserve"> </w:t>
      </w:r>
      <w:r w:rsidRPr="00843E38">
        <w:rPr>
          <w:rFonts w:ascii="Calibri" w:hAnsi="Calibri" w:cs="Calibri"/>
          <w:b/>
          <w:bCs/>
          <w:noProof/>
          <w:sz w:val="18"/>
          <w:szCs w:val="24"/>
        </w:rPr>
        <w:t>2003</w:t>
      </w:r>
      <w:r w:rsidRPr="00843E38">
        <w:rPr>
          <w:rFonts w:ascii="Calibri" w:hAnsi="Calibri" w:cs="Calibri"/>
          <w:noProof/>
          <w:sz w:val="18"/>
          <w:szCs w:val="24"/>
        </w:rPr>
        <w:t xml:space="preserve">, </w:t>
      </w:r>
      <w:r w:rsidRPr="00843E38">
        <w:rPr>
          <w:rFonts w:ascii="Calibri" w:hAnsi="Calibri" w:cs="Calibri"/>
          <w:i/>
          <w:iCs/>
          <w:noProof/>
          <w:sz w:val="18"/>
          <w:szCs w:val="24"/>
        </w:rPr>
        <w:t>291</w:t>
      </w:r>
      <w:r w:rsidRPr="00843E38">
        <w:rPr>
          <w:rFonts w:ascii="Calibri" w:hAnsi="Calibri" w:cs="Calibri"/>
          <w:noProof/>
          <w:sz w:val="18"/>
          <w:szCs w:val="24"/>
        </w:rPr>
        <w:t>, 352–362, doi:10.1016/J.YEXCR.2003.07.002.</w:t>
      </w:r>
    </w:p>
    <w:p w14:paraId="14D4C6A0"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110. </w:t>
      </w:r>
      <w:r w:rsidRPr="00843E38">
        <w:rPr>
          <w:rFonts w:ascii="Calibri" w:hAnsi="Calibri" w:cs="Calibri"/>
          <w:noProof/>
          <w:sz w:val="18"/>
          <w:szCs w:val="24"/>
        </w:rPr>
        <w:tab/>
        <w:t xml:space="preserve">Osmanagic-Myers, S.; Foisner, R. The Structural and Gene Expression Hypotheses in Laminopathic Diseases - Not so Different after All. </w:t>
      </w:r>
      <w:r w:rsidRPr="00843E38">
        <w:rPr>
          <w:rFonts w:ascii="Calibri" w:hAnsi="Calibri" w:cs="Calibri"/>
          <w:i/>
          <w:iCs/>
          <w:noProof/>
          <w:sz w:val="18"/>
          <w:szCs w:val="24"/>
        </w:rPr>
        <w:t>Mol. Biol. Cell</w:t>
      </w:r>
      <w:r w:rsidRPr="00843E38">
        <w:rPr>
          <w:rFonts w:ascii="Calibri" w:hAnsi="Calibri" w:cs="Calibri"/>
          <w:noProof/>
          <w:sz w:val="18"/>
          <w:szCs w:val="24"/>
        </w:rPr>
        <w:t xml:space="preserve"> </w:t>
      </w:r>
      <w:r w:rsidRPr="00843E38">
        <w:rPr>
          <w:rFonts w:ascii="Calibri" w:hAnsi="Calibri" w:cs="Calibri"/>
          <w:b/>
          <w:bCs/>
          <w:noProof/>
          <w:sz w:val="18"/>
          <w:szCs w:val="24"/>
        </w:rPr>
        <w:t>2019</w:t>
      </w:r>
      <w:r w:rsidRPr="00843E38">
        <w:rPr>
          <w:rFonts w:ascii="Calibri" w:hAnsi="Calibri" w:cs="Calibri"/>
          <w:noProof/>
          <w:sz w:val="18"/>
          <w:szCs w:val="24"/>
        </w:rPr>
        <w:t xml:space="preserve">, </w:t>
      </w:r>
      <w:r w:rsidRPr="00843E38">
        <w:rPr>
          <w:rFonts w:ascii="Calibri" w:hAnsi="Calibri" w:cs="Calibri"/>
          <w:i/>
          <w:iCs/>
          <w:noProof/>
          <w:sz w:val="18"/>
          <w:szCs w:val="24"/>
        </w:rPr>
        <w:t>30</w:t>
      </w:r>
      <w:r w:rsidRPr="00843E38">
        <w:rPr>
          <w:rFonts w:ascii="Calibri" w:hAnsi="Calibri" w:cs="Calibri"/>
          <w:noProof/>
          <w:sz w:val="18"/>
          <w:szCs w:val="24"/>
        </w:rPr>
        <w:t>, 1786–1790, doi:10.1091/MBC.E18-10-0672/ASSET/IMAGES/LARGE/MBC-30-1786-G001.JPEG.</w:t>
      </w:r>
    </w:p>
    <w:p w14:paraId="41D491DC"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111. </w:t>
      </w:r>
      <w:r w:rsidRPr="00843E38">
        <w:rPr>
          <w:rFonts w:ascii="Calibri" w:hAnsi="Calibri" w:cs="Calibri"/>
          <w:noProof/>
          <w:sz w:val="18"/>
          <w:szCs w:val="24"/>
        </w:rPr>
        <w:tab/>
        <w:t xml:space="preserve">Clements, L.; Manilal, S.; Love, D.R.; Morris, G.E. Direct Interaction between Emerin and Lamin A. </w:t>
      </w:r>
      <w:r w:rsidRPr="00843E38">
        <w:rPr>
          <w:rFonts w:ascii="Calibri" w:hAnsi="Calibri" w:cs="Calibri"/>
          <w:i/>
          <w:iCs/>
          <w:noProof/>
          <w:sz w:val="18"/>
          <w:szCs w:val="24"/>
        </w:rPr>
        <w:t>Biochem. Biophys. Res. Commun.</w:t>
      </w:r>
      <w:r w:rsidRPr="00843E38">
        <w:rPr>
          <w:rFonts w:ascii="Calibri" w:hAnsi="Calibri" w:cs="Calibri"/>
          <w:noProof/>
          <w:sz w:val="18"/>
          <w:szCs w:val="24"/>
        </w:rPr>
        <w:t xml:space="preserve"> </w:t>
      </w:r>
      <w:r w:rsidRPr="00843E38">
        <w:rPr>
          <w:rFonts w:ascii="Calibri" w:hAnsi="Calibri" w:cs="Calibri"/>
          <w:b/>
          <w:bCs/>
          <w:noProof/>
          <w:sz w:val="18"/>
          <w:szCs w:val="24"/>
        </w:rPr>
        <w:t>2000</w:t>
      </w:r>
      <w:r w:rsidRPr="00843E38">
        <w:rPr>
          <w:rFonts w:ascii="Calibri" w:hAnsi="Calibri" w:cs="Calibri"/>
          <w:noProof/>
          <w:sz w:val="18"/>
          <w:szCs w:val="24"/>
        </w:rPr>
        <w:t xml:space="preserve">, </w:t>
      </w:r>
      <w:r w:rsidRPr="00843E38">
        <w:rPr>
          <w:rFonts w:ascii="Calibri" w:hAnsi="Calibri" w:cs="Calibri"/>
          <w:i/>
          <w:iCs/>
          <w:noProof/>
          <w:sz w:val="18"/>
          <w:szCs w:val="24"/>
        </w:rPr>
        <w:t>267</w:t>
      </w:r>
      <w:r w:rsidRPr="00843E38">
        <w:rPr>
          <w:rFonts w:ascii="Calibri" w:hAnsi="Calibri" w:cs="Calibri"/>
          <w:noProof/>
          <w:sz w:val="18"/>
          <w:szCs w:val="24"/>
        </w:rPr>
        <w:t>, 709–714, doi:10.1006/bbrc.1999.2023.</w:t>
      </w:r>
    </w:p>
    <w:p w14:paraId="12EC856F"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112. </w:t>
      </w:r>
      <w:r w:rsidRPr="00843E38">
        <w:rPr>
          <w:rFonts w:ascii="Calibri" w:hAnsi="Calibri" w:cs="Calibri"/>
          <w:noProof/>
          <w:sz w:val="18"/>
          <w:szCs w:val="24"/>
        </w:rPr>
        <w:tab/>
        <w:t xml:space="preserve">Lee, K.K.; Haraguchi, T.; Lee, R.S.; Koujin, T.; Hiraoka, Y.; Wilson, K.L. Distinct Functional Domains in Emerin Bind Lamin A and DNA-Bridging Protein BAF. </w:t>
      </w:r>
      <w:r w:rsidRPr="00843E38">
        <w:rPr>
          <w:rFonts w:ascii="Calibri" w:hAnsi="Calibri" w:cs="Calibri"/>
          <w:i/>
          <w:iCs/>
          <w:noProof/>
          <w:sz w:val="18"/>
          <w:szCs w:val="24"/>
        </w:rPr>
        <w:t>J. Cell Sci.</w:t>
      </w:r>
      <w:r w:rsidRPr="00843E38">
        <w:rPr>
          <w:rFonts w:ascii="Calibri" w:hAnsi="Calibri" w:cs="Calibri"/>
          <w:noProof/>
          <w:sz w:val="18"/>
          <w:szCs w:val="24"/>
        </w:rPr>
        <w:t xml:space="preserve"> </w:t>
      </w:r>
      <w:r w:rsidRPr="00843E38">
        <w:rPr>
          <w:rFonts w:ascii="Calibri" w:hAnsi="Calibri" w:cs="Calibri"/>
          <w:b/>
          <w:bCs/>
          <w:noProof/>
          <w:sz w:val="18"/>
          <w:szCs w:val="24"/>
        </w:rPr>
        <w:t>2001</w:t>
      </w:r>
      <w:r w:rsidRPr="00843E38">
        <w:rPr>
          <w:rFonts w:ascii="Calibri" w:hAnsi="Calibri" w:cs="Calibri"/>
          <w:noProof/>
          <w:sz w:val="18"/>
          <w:szCs w:val="24"/>
        </w:rPr>
        <w:t xml:space="preserve">, </w:t>
      </w:r>
      <w:r w:rsidRPr="00843E38">
        <w:rPr>
          <w:rFonts w:ascii="Calibri" w:hAnsi="Calibri" w:cs="Calibri"/>
          <w:i/>
          <w:iCs/>
          <w:noProof/>
          <w:sz w:val="18"/>
          <w:szCs w:val="24"/>
        </w:rPr>
        <w:t>114</w:t>
      </w:r>
      <w:r w:rsidRPr="00843E38">
        <w:rPr>
          <w:rFonts w:ascii="Calibri" w:hAnsi="Calibri" w:cs="Calibri"/>
          <w:noProof/>
          <w:sz w:val="18"/>
          <w:szCs w:val="24"/>
        </w:rPr>
        <w:t>, 4567–4573, doi:10.1242/JCS.114.24.4567.</w:t>
      </w:r>
    </w:p>
    <w:p w14:paraId="16C7A501"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113. </w:t>
      </w:r>
      <w:r w:rsidRPr="00843E38">
        <w:rPr>
          <w:rFonts w:ascii="Calibri" w:hAnsi="Calibri" w:cs="Calibri"/>
          <w:noProof/>
          <w:sz w:val="18"/>
          <w:szCs w:val="24"/>
        </w:rPr>
        <w:tab/>
        <w:t xml:space="preserve">Sakaki, M.; Koike, H.; Takahashi, N.; Sasagawa, N.; Tomioka, S.; Arahata, K.; Ishiura, S. Interaction between Emerin and Nuclear Lamins. </w:t>
      </w:r>
      <w:r w:rsidRPr="00843E38">
        <w:rPr>
          <w:rFonts w:ascii="Calibri" w:hAnsi="Calibri" w:cs="Calibri"/>
          <w:i/>
          <w:iCs/>
          <w:noProof/>
          <w:sz w:val="18"/>
          <w:szCs w:val="24"/>
        </w:rPr>
        <w:t>J. Biochem.</w:t>
      </w:r>
      <w:r w:rsidRPr="00843E38">
        <w:rPr>
          <w:rFonts w:ascii="Calibri" w:hAnsi="Calibri" w:cs="Calibri"/>
          <w:noProof/>
          <w:sz w:val="18"/>
          <w:szCs w:val="24"/>
        </w:rPr>
        <w:t xml:space="preserve"> </w:t>
      </w:r>
      <w:r w:rsidRPr="00843E38">
        <w:rPr>
          <w:rFonts w:ascii="Calibri" w:hAnsi="Calibri" w:cs="Calibri"/>
          <w:b/>
          <w:bCs/>
          <w:noProof/>
          <w:sz w:val="18"/>
          <w:szCs w:val="24"/>
        </w:rPr>
        <w:t>2001</w:t>
      </w:r>
      <w:r w:rsidRPr="00843E38">
        <w:rPr>
          <w:rFonts w:ascii="Calibri" w:hAnsi="Calibri" w:cs="Calibri"/>
          <w:noProof/>
          <w:sz w:val="18"/>
          <w:szCs w:val="24"/>
        </w:rPr>
        <w:t xml:space="preserve">, </w:t>
      </w:r>
      <w:r w:rsidRPr="00843E38">
        <w:rPr>
          <w:rFonts w:ascii="Calibri" w:hAnsi="Calibri" w:cs="Calibri"/>
          <w:i/>
          <w:iCs/>
          <w:noProof/>
          <w:sz w:val="18"/>
          <w:szCs w:val="24"/>
        </w:rPr>
        <w:t>129</w:t>
      </w:r>
      <w:r w:rsidRPr="00843E38">
        <w:rPr>
          <w:rFonts w:ascii="Calibri" w:hAnsi="Calibri" w:cs="Calibri"/>
          <w:noProof/>
          <w:sz w:val="18"/>
          <w:szCs w:val="24"/>
        </w:rPr>
        <w:t>, 321–327, doi:10.1093/OXFORDJOURNALS.JBCHEM.A002860.</w:t>
      </w:r>
    </w:p>
    <w:p w14:paraId="0411DB41"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114. </w:t>
      </w:r>
      <w:r w:rsidRPr="00843E38">
        <w:rPr>
          <w:rFonts w:ascii="Calibri" w:hAnsi="Calibri" w:cs="Calibri"/>
          <w:noProof/>
          <w:sz w:val="18"/>
          <w:szCs w:val="24"/>
        </w:rPr>
        <w:tab/>
        <w:t xml:space="preserve">Holt, I.; Östlund, C.; Stewart, C.L.; thi Man, N.; Worman, H.J.; Morris, G.E. Effect of Pathogenic Mis-Sense Mutations in Lamin A on Its Interaction with Emerin in Vivo. </w:t>
      </w:r>
      <w:r w:rsidRPr="00843E38">
        <w:rPr>
          <w:rFonts w:ascii="Calibri" w:hAnsi="Calibri" w:cs="Calibri"/>
          <w:i/>
          <w:iCs/>
          <w:noProof/>
          <w:sz w:val="18"/>
          <w:szCs w:val="24"/>
        </w:rPr>
        <w:t>J. Cell Sci.</w:t>
      </w:r>
      <w:r w:rsidRPr="00843E38">
        <w:rPr>
          <w:rFonts w:ascii="Calibri" w:hAnsi="Calibri" w:cs="Calibri"/>
          <w:noProof/>
          <w:sz w:val="18"/>
          <w:szCs w:val="24"/>
        </w:rPr>
        <w:t xml:space="preserve"> </w:t>
      </w:r>
      <w:r w:rsidRPr="00843E38">
        <w:rPr>
          <w:rFonts w:ascii="Calibri" w:hAnsi="Calibri" w:cs="Calibri"/>
          <w:b/>
          <w:bCs/>
          <w:noProof/>
          <w:sz w:val="18"/>
          <w:szCs w:val="24"/>
        </w:rPr>
        <w:t>2003</w:t>
      </w:r>
      <w:r w:rsidRPr="00843E38">
        <w:rPr>
          <w:rFonts w:ascii="Calibri" w:hAnsi="Calibri" w:cs="Calibri"/>
          <w:noProof/>
          <w:sz w:val="18"/>
          <w:szCs w:val="24"/>
        </w:rPr>
        <w:t xml:space="preserve">, </w:t>
      </w:r>
      <w:r w:rsidRPr="00843E38">
        <w:rPr>
          <w:rFonts w:ascii="Calibri" w:hAnsi="Calibri" w:cs="Calibri"/>
          <w:i/>
          <w:iCs/>
          <w:noProof/>
          <w:sz w:val="18"/>
          <w:szCs w:val="24"/>
        </w:rPr>
        <w:t>116</w:t>
      </w:r>
      <w:r w:rsidRPr="00843E38">
        <w:rPr>
          <w:rFonts w:ascii="Calibri" w:hAnsi="Calibri" w:cs="Calibri"/>
          <w:noProof/>
          <w:sz w:val="18"/>
          <w:szCs w:val="24"/>
        </w:rPr>
        <w:t>, 3027–3035, doi:10.1242/jcs.00599.</w:t>
      </w:r>
    </w:p>
    <w:p w14:paraId="3C14EF75"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115. </w:t>
      </w:r>
      <w:r w:rsidRPr="00843E38">
        <w:rPr>
          <w:rFonts w:ascii="Calibri" w:hAnsi="Calibri" w:cs="Calibri"/>
          <w:noProof/>
          <w:sz w:val="18"/>
          <w:szCs w:val="24"/>
        </w:rPr>
        <w:tab/>
        <w:t xml:space="preserve">Mziaut, H.; Korza, G.; Elkahloun, A.G.; Ozols, J. Induction of Stearoyl CoA Desaturase Is Associated with High-Level Induction of Emerin RNA. </w:t>
      </w:r>
      <w:r w:rsidRPr="00843E38">
        <w:rPr>
          <w:rFonts w:ascii="Calibri" w:hAnsi="Calibri" w:cs="Calibri"/>
          <w:i/>
          <w:iCs/>
          <w:noProof/>
          <w:sz w:val="18"/>
          <w:szCs w:val="24"/>
        </w:rPr>
        <w:t>Biochem. Biophys. Res. Commun.</w:t>
      </w:r>
      <w:r w:rsidRPr="00843E38">
        <w:rPr>
          <w:rFonts w:ascii="Calibri" w:hAnsi="Calibri" w:cs="Calibri"/>
          <w:noProof/>
          <w:sz w:val="18"/>
          <w:szCs w:val="24"/>
        </w:rPr>
        <w:t xml:space="preserve"> </w:t>
      </w:r>
      <w:r w:rsidRPr="00843E38">
        <w:rPr>
          <w:rFonts w:ascii="Calibri" w:hAnsi="Calibri" w:cs="Calibri"/>
          <w:b/>
          <w:bCs/>
          <w:noProof/>
          <w:sz w:val="18"/>
          <w:szCs w:val="24"/>
        </w:rPr>
        <w:t>2001</w:t>
      </w:r>
      <w:r w:rsidRPr="00843E38">
        <w:rPr>
          <w:rFonts w:ascii="Calibri" w:hAnsi="Calibri" w:cs="Calibri"/>
          <w:noProof/>
          <w:sz w:val="18"/>
          <w:szCs w:val="24"/>
        </w:rPr>
        <w:t xml:space="preserve">, </w:t>
      </w:r>
      <w:r w:rsidRPr="00843E38">
        <w:rPr>
          <w:rFonts w:ascii="Calibri" w:hAnsi="Calibri" w:cs="Calibri"/>
          <w:i/>
          <w:iCs/>
          <w:noProof/>
          <w:sz w:val="18"/>
          <w:szCs w:val="24"/>
        </w:rPr>
        <w:t>282</w:t>
      </w:r>
      <w:r w:rsidRPr="00843E38">
        <w:rPr>
          <w:rFonts w:ascii="Calibri" w:hAnsi="Calibri" w:cs="Calibri"/>
          <w:noProof/>
          <w:sz w:val="18"/>
          <w:szCs w:val="24"/>
        </w:rPr>
        <w:t>, 910–915, doi:10.1006/BBRC.2001.4658.</w:t>
      </w:r>
    </w:p>
    <w:p w14:paraId="0A3320BE"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116. </w:t>
      </w:r>
      <w:r w:rsidRPr="00843E38">
        <w:rPr>
          <w:rFonts w:ascii="Calibri" w:hAnsi="Calibri" w:cs="Calibri"/>
          <w:noProof/>
          <w:sz w:val="18"/>
          <w:szCs w:val="24"/>
        </w:rPr>
        <w:tab/>
        <w:t xml:space="preserve">Dharmaraj, T.; Guan, Y.; Liu, J.; Badens, C.; Gaborit, B.; Wilson, K.L. Rare BANF1 Alleles and Relatively Frequent EMD Alleles Including “Healthy Lipid” Emerin p.D149H in the ExAC Cohort. </w:t>
      </w:r>
      <w:r w:rsidRPr="00843E38">
        <w:rPr>
          <w:rFonts w:ascii="Calibri" w:hAnsi="Calibri" w:cs="Calibri"/>
          <w:i/>
          <w:iCs/>
          <w:noProof/>
          <w:sz w:val="18"/>
          <w:szCs w:val="24"/>
        </w:rPr>
        <w:t>Front. cell Dev. Biol.</w:t>
      </w:r>
      <w:r w:rsidRPr="00843E38">
        <w:rPr>
          <w:rFonts w:ascii="Calibri" w:hAnsi="Calibri" w:cs="Calibri"/>
          <w:noProof/>
          <w:sz w:val="18"/>
          <w:szCs w:val="24"/>
        </w:rPr>
        <w:t xml:space="preserve"> </w:t>
      </w:r>
      <w:r w:rsidRPr="00843E38">
        <w:rPr>
          <w:rFonts w:ascii="Calibri" w:hAnsi="Calibri" w:cs="Calibri"/>
          <w:b/>
          <w:bCs/>
          <w:noProof/>
          <w:sz w:val="18"/>
          <w:szCs w:val="24"/>
        </w:rPr>
        <w:t>2019</w:t>
      </w:r>
      <w:r w:rsidRPr="00843E38">
        <w:rPr>
          <w:rFonts w:ascii="Calibri" w:hAnsi="Calibri" w:cs="Calibri"/>
          <w:noProof/>
          <w:sz w:val="18"/>
          <w:szCs w:val="24"/>
        </w:rPr>
        <w:t xml:space="preserve">, </w:t>
      </w:r>
      <w:r w:rsidRPr="00843E38">
        <w:rPr>
          <w:rFonts w:ascii="Calibri" w:hAnsi="Calibri" w:cs="Calibri"/>
          <w:i/>
          <w:iCs/>
          <w:noProof/>
          <w:sz w:val="18"/>
          <w:szCs w:val="24"/>
        </w:rPr>
        <w:t>7</w:t>
      </w:r>
      <w:r w:rsidRPr="00843E38">
        <w:rPr>
          <w:rFonts w:ascii="Calibri" w:hAnsi="Calibri" w:cs="Calibri"/>
          <w:noProof/>
          <w:sz w:val="18"/>
          <w:szCs w:val="24"/>
        </w:rPr>
        <w:t>, 48, doi:10.3389/fcell.2019.00048.</w:t>
      </w:r>
    </w:p>
    <w:p w14:paraId="667BC634"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117. </w:t>
      </w:r>
      <w:r w:rsidRPr="00843E38">
        <w:rPr>
          <w:rFonts w:ascii="Calibri" w:hAnsi="Calibri" w:cs="Calibri"/>
          <w:noProof/>
          <w:sz w:val="18"/>
          <w:szCs w:val="24"/>
        </w:rPr>
        <w:tab/>
        <w:t xml:space="preserve">Tang, K.; Finley, R.L.; Nie, D.; Honn, K. V. Identification of 12-Lipoxygenase Interaction with Cellular Proteins by Yeast Two-Hybrid Screening. </w:t>
      </w:r>
      <w:r w:rsidRPr="00843E38">
        <w:rPr>
          <w:rFonts w:ascii="Calibri" w:hAnsi="Calibri" w:cs="Calibri"/>
          <w:i/>
          <w:iCs/>
          <w:noProof/>
          <w:sz w:val="18"/>
          <w:szCs w:val="24"/>
        </w:rPr>
        <w:t>Biochemistry</w:t>
      </w:r>
      <w:r w:rsidRPr="00843E38">
        <w:rPr>
          <w:rFonts w:ascii="Calibri" w:hAnsi="Calibri" w:cs="Calibri"/>
          <w:noProof/>
          <w:sz w:val="18"/>
          <w:szCs w:val="24"/>
        </w:rPr>
        <w:t xml:space="preserve"> </w:t>
      </w:r>
      <w:r w:rsidRPr="00843E38">
        <w:rPr>
          <w:rFonts w:ascii="Calibri" w:hAnsi="Calibri" w:cs="Calibri"/>
          <w:b/>
          <w:bCs/>
          <w:noProof/>
          <w:sz w:val="18"/>
          <w:szCs w:val="24"/>
        </w:rPr>
        <w:t>2000</w:t>
      </w:r>
      <w:r w:rsidRPr="00843E38">
        <w:rPr>
          <w:rFonts w:ascii="Calibri" w:hAnsi="Calibri" w:cs="Calibri"/>
          <w:noProof/>
          <w:sz w:val="18"/>
          <w:szCs w:val="24"/>
        </w:rPr>
        <w:t xml:space="preserve">, </w:t>
      </w:r>
      <w:r w:rsidRPr="00843E38">
        <w:rPr>
          <w:rFonts w:ascii="Calibri" w:hAnsi="Calibri" w:cs="Calibri"/>
          <w:i/>
          <w:iCs/>
          <w:noProof/>
          <w:sz w:val="18"/>
          <w:szCs w:val="24"/>
        </w:rPr>
        <w:t>39</w:t>
      </w:r>
      <w:r w:rsidRPr="00843E38">
        <w:rPr>
          <w:rFonts w:ascii="Calibri" w:hAnsi="Calibri" w:cs="Calibri"/>
          <w:noProof/>
          <w:sz w:val="18"/>
          <w:szCs w:val="24"/>
        </w:rPr>
        <w:t>, 3185–3191, doi:10.1021/BI992664V.</w:t>
      </w:r>
    </w:p>
    <w:p w14:paraId="356FA709"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118. </w:t>
      </w:r>
      <w:r w:rsidRPr="00843E38">
        <w:rPr>
          <w:rFonts w:ascii="Calibri" w:hAnsi="Calibri" w:cs="Calibri"/>
          <w:noProof/>
          <w:sz w:val="18"/>
          <w:szCs w:val="24"/>
        </w:rPr>
        <w:tab/>
        <w:t xml:space="preserve">Dobrian, A.D.; Morris, M.A.; Taylor-Fishwick, D.A.; Holman, T.R.; Imai, Y.; Mirmira, R.G.; Nadler, J.L. Role of the 12-Lipoxygenase Pathway in Diabetes Pathogenesis and Complications. </w:t>
      </w:r>
      <w:r w:rsidRPr="00843E38">
        <w:rPr>
          <w:rFonts w:ascii="Calibri" w:hAnsi="Calibri" w:cs="Calibri"/>
          <w:i/>
          <w:iCs/>
          <w:noProof/>
          <w:sz w:val="18"/>
          <w:szCs w:val="24"/>
        </w:rPr>
        <w:t>Pharmacol. Ther.</w:t>
      </w:r>
      <w:r w:rsidRPr="00843E38">
        <w:rPr>
          <w:rFonts w:ascii="Calibri" w:hAnsi="Calibri" w:cs="Calibri"/>
          <w:noProof/>
          <w:sz w:val="18"/>
          <w:szCs w:val="24"/>
        </w:rPr>
        <w:t xml:space="preserve"> </w:t>
      </w:r>
      <w:r w:rsidRPr="00843E38">
        <w:rPr>
          <w:rFonts w:ascii="Calibri" w:hAnsi="Calibri" w:cs="Calibri"/>
          <w:b/>
          <w:bCs/>
          <w:noProof/>
          <w:sz w:val="18"/>
          <w:szCs w:val="24"/>
        </w:rPr>
        <w:t>2019</w:t>
      </w:r>
      <w:r w:rsidRPr="00843E38">
        <w:rPr>
          <w:rFonts w:ascii="Calibri" w:hAnsi="Calibri" w:cs="Calibri"/>
          <w:noProof/>
          <w:sz w:val="18"/>
          <w:szCs w:val="24"/>
        </w:rPr>
        <w:t xml:space="preserve">, </w:t>
      </w:r>
      <w:r w:rsidRPr="00843E38">
        <w:rPr>
          <w:rFonts w:ascii="Calibri" w:hAnsi="Calibri" w:cs="Calibri"/>
          <w:i/>
          <w:iCs/>
          <w:noProof/>
          <w:sz w:val="18"/>
          <w:szCs w:val="24"/>
        </w:rPr>
        <w:t>195</w:t>
      </w:r>
      <w:r w:rsidRPr="00843E38">
        <w:rPr>
          <w:rFonts w:ascii="Calibri" w:hAnsi="Calibri" w:cs="Calibri"/>
          <w:noProof/>
          <w:sz w:val="18"/>
          <w:szCs w:val="24"/>
        </w:rPr>
        <w:t>, 100–110, doi:10.1016/J.PHARMTHERA.2018.10.010.</w:t>
      </w:r>
    </w:p>
    <w:p w14:paraId="1767DE90"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119. </w:t>
      </w:r>
      <w:r w:rsidRPr="00843E38">
        <w:rPr>
          <w:rFonts w:ascii="Calibri" w:hAnsi="Calibri" w:cs="Calibri"/>
          <w:noProof/>
          <w:sz w:val="18"/>
          <w:szCs w:val="24"/>
        </w:rPr>
        <w:tab/>
        <w:t xml:space="preserve">Dong, C.; Liu, S.; Cui, Y.; Guo, Q. 12-Lipoxygenase as a Key Pharmacological Target in the Pathogenesis of Diabetic Nephropathy. </w:t>
      </w:r>
      <w:r w:rsidRPr="00843E38">
        <w:rPr>
          <w:rFonts w:ascii="Calibri" w:hAnsi="Calibri" w:cs="Calibri"/>
          <w:i/>
          <w:iCs/>
          <w:noProof/>
          <w:sz w:val="18"/>
          <w:szCs w:val="24"/>
        </w:rPr>
        <w:t>Eur. J. Pharmacol.</w:t>
      </w:r>
      <w:r w:rsidRPr="00843E38">
        <w:rPr>
          <w:rFonts w:ascii="Calibri" w:hAnsi="Calibri" w:cs="Calibri"/>
          <w:noProof/>
          <w:sz w:val="18"/>
          <w:szCs w:val="24"/>
        </w:rPr>
        <w:t xml:space="preserve"> </w:t>
      </w:r>
      <w:r w:rsidRPr="00843E38">
        <w:rPr>
          <w:rFonts w:ascii="Calibri" w:hAnsi="Calibri" w:cs="Calibri"/>
          <w:b/>
          <w:bCs/>
          <w:noProof/>
          <w:sz w:val="18"/>
          <w:szCs w:val="24"/>
        </w:rPr>
        <w:t>2020</w:t>
      </w:r>
      <w:r w:rsidRPr="00843E38">
        <w:rPr>
          <w:rFonts w:ascii="Calibri" w:hAnsi="Calibri" w:cs="Calibri"/>
          <w:noProof/>
          <w:sz w:val="18"/>
          <w:szCs w:val="24"/>
        </w:rPr>
        <w:t xml:space="preserve">, </w:t>
      </w:r>
      <w:r w:rsidRPr="00843E38">
        <w:rPr>
          <w:rFonts w:ascii="Calibri" w:hAnsi="Calibri" w:cs="Calibri"/>
          <w:i/>
          <w:iCs/>
          <w:noProof/>
          <w:sz w:val="18"/>
          <w:szCs w:val="24"/>
        </w:rPr>
        <w:t>879</w:t>
      </w:r>
      <w:r w:rsidRPr="00843E38">
        <w:rPr>
          <w:rFonts w:ascii="Calibri" w:hAnsi="Calibri" w:cs="Calibri"/>
          <w:noProof/>
          <w:sz w:val="18"/>
          <w:szCs w:val="24"/>
        </w:rPr>
        <w:t>, 173122, doi:10.1016/J.EJPHAR.2020.173122.</w:t>
      </w:r>
    </w:p>
    <w:p w14:paraId="06D1E912"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120. </w:t>
      </w:r>
      <w:r w:rsidRPr="00843E38">
        <w:rPr>
          <w:rFonts w:ascii="Calibri" w:hAnsi="Calibri" w:cs="Calibri"/>
          <w:noProof/>
          <w:sz w:val="18"/>
          <w:szCs w:val="24"/>
        </w:rPr>
        <w:tab/>
        <w:t xml:space="preserve">Grzesik, W.J.; Nadler, J.L.; Machida, Y.; Nadler, J.L.; Imai, Y.; Morris, M.A. Expression Pattern of 12-Lipoxygenase in Human Islets With Type 1 Diabetes and Type 2 Diabetes. </w:t>
      </w:r>
      <w:r w:rsidRPr="00843E38">
        <w:rPr>
          <w:rFonts w:ascii="Calibri" w:hAnsi="Calibri" w:cs="Calibri"/>
          <w:i/>
          <w:iCs/>
          <w:noProof/>
          <w:sz w:val="18"/>
          <w:szCs w:val="24"/>
        </w:rPr>
        <w:t>J. Clin. Endocrinol. Metab.</w:t>
      </w:r>
      <w:r w:rsidRPr="00843E38">
        <w:rPr>
          <w:rFonts w:ascii="Calibri" w:hAnsi="Calibri" w:cs="Calibri"/>
          <w:noProof/>
          <w:sz w:val="18"/>
          <w:szCs w:val="24"/>
        </w:rPr>
        <w:t xml:space="preserve"> </w:t>
      </w:r>
      <w:r w:rsidRPr="00843E38">
        <w:rPr>
          <w:rFonts w:ascii="Calibri" w:hAnsi="Calibri" w:cs="Calibri"/>
          <w:b/>
          <w:bCs/>
          <w:noProof/>
          <w:sz w:val="18"/>
          <w:szCs w:val="24"/>
        </w:rPr>
        <w:t>2015</w:t>
      </w:r>
      <w:r w:rsidRPr="00843E38">
        <w:rPr>
          <w:rFonts w:ascii="Calibri" w:hAnsi="Calibri" w:cs="Calibri"/>
          <w:noProof/>
          <w:sz w:val="18"/>
          <w:szCs w:val="24"/>
        </w:rPr>
        <w:t xml:space="preserve">, </w:t>
      </w:r>
      <w:r w:rsidRPr="00843E38">
        <w:rPr>
          <w:rFonts w:ascii="Calibri" w:hAnsi="Calibri" w:cs="Calibri"/>
          <w:i/>
          <w:iCs/>
          <w:noProof/>
          <w:sz w:val="18"/>
          <w:szCs w:val="24"/>
        </w:rPr>
        <w:t>100</w:t>
      </w:r>
      <w:r w:rsidRPr="00843E38">
        <w:rPr>
          <w:rFonts w:ascii="Calibri" w:hAnsi="Calibri" w:cs="Calibri"/>
          <w:noProof/>
          <w:sz w:val="18"/>
          <w:szCs w:val="24"/>
        </w:rPr>
        <w:t>, E387–E395, doi:10.1210/JC.2014-3630.</w:t>
      </w:r>
    </w:p>
    <w:p w14:paraId="3DE71834"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121. </w:t>
      </w:r>
      <w:r w:rsidRPr="00843E38">
        <w:rPr>
          <w:rFonts w:ascii="Calibri" w:hAnsi="Calibri" w:cs="Calibri"/>
          <w:noProof/>
          <w:sz w:val="18"/>
          <w:szCs w:val="24"/>
        </w:rPr>
        <w:tab/>
        <w:t xml:space="preserve">Prasad, K.M.R.; Thimmalapura, P.R.R.; Woode, E.A.A.; Nadler, J.L. Evidence That Increased 12-Lipoxygenase Expression Impairs Pancreatic β Cell Function and Viability. </w:t>
      </w:r>
      <w:r w:rsidRPr="00843E38">
        <w:rPr>
          <w:rFonts w:ascii="Calibri" w:hAnsi="Calibri" w:cs="Calibri"/>
          <w:i/>
          <w:iCs/>
          <w:noProof/>
          <w:sz w:val="18"/>
          <w:szCs w:val="24"/>
        </w:rPr>
        <w:t>Biochem. Biophys. Res. Commun.</w:t>
      </w:r>
      <w:r w:rsidRPr="00843E38">
        <w:rPr>
          <w:rFonts w:ascii="Calibri" w:hAnsi="Calibri" w:cs="Calibri"/>
          <w:noProof/>
          <w:sz w:val="18"/>
          <w:szCs w:val="24"/>
        </w:rPr>
        <w:t xml:space="preserve"> </w:t>
      </w:r>
      <w:r w:rsidRPr="00843E38">
        <w:rPr>
          <w:rFonts w:ascii="Calibri" w:hAnsi="Calibri" w:cs="Calibri"/>
          <w:b/>
          <w:bCs/>
          <w:noProof/>
          <w:sz w:val="18"/>
          <w:szCs w:val="24"/>
        </w:rPr>
        <w:t>2003</w:t>
      </w:r>
      <w:r w:rsidRPr="00843E38">
        <w:rPr>
          <w:rFonts w:ascii="Calibri" w:hAnsi="Calibri" w:cs="Calibri"/>
          <w:noProof/>
          <w:sz w:val="18"/>
          <w:szCs w:val="24"/>
        </w:rPr>
        <w:t xml:space="preserve">, </w:t>
      </w:r>
      <w:r w:rsidRPr="00843E38">
        <w:rPr>
          <w:rFonts w:ascii="Calibri" w:hAnsi="Calibri" w:cs="Calibri"/>
          <w:i/>
          <w:iCs/>
          <w:noProof/>
          <w:sz w:val="18"/>
          <w:szCs w:val="24"/>
        </w:rPr>
        <w:t>308</w:t>
      </w:r>
      <w:r w:rsidRPr="00843E38">
        <w:rPr>
          <w:rFonts w:ascii="Calibri" w:hAnsi="Calibri" w:cs="Calibri"/>
          <w:noProof/>
          <w:sz w:val="18"/>
          <w:szCs w:val="24"/>
        </w:rPr>
        <w:t>, 427–432, doi:10.1016/S0006-291X(03)01418-9.</w:t>
      </w:r>
    </w:p>
    <w:p w14:paraId="6598535D"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122. </w:t>
      </w:r>
      <w:r w:rsidRPr="00843E38">
        <w:rPr>
          <w:rFonts w:ascii="Calibri" w:hAnsi="Calibri" w:cs="Calibri"/>
          <w:noProof/>
          <w:sz w:val="18"/>
          <w:szCs w:val="24"/>
        </w:rPr>
        <w:tab/>
        <w:t xml:space="preserve">Sasseville, A.M.-J.; Langelier, Y. In Vitro Interaction of the Carboxy-Terminal Domain of Lamin A with Actin. </w:t>
      </w:r>
      <w:r w:rsidRPr="00843E38">
        <w:rPr>
          <w:rFonts w:ascii="Calibri" w:hAnsi="Calibri" w:cs="Calibri"/>
          <w:i/>
          <w:iCs/>
          <w:noProof/>
          <w:sz w:val="18"/>
          <w:szCs w:val="24"/>
        </w:rPr>
        <w:t>FEBS Lett.</w:t>
      </w:r>
      <w:r w:rsidRPr="00843E38">
        <w:rPr>
          <w:rFonts w:ascii="Calibri" w:hAnsi="Calibri" w:cs="Calibri"/>
          <w:noProof/>
          <w:sz w:val="18"/>
          <w:szCs w:val="24"/>
        </w:rPr>
        <w:t xml:space="preserve"> </w:t>
      </w:r>
      <w:r w:rsidRPr="00843E38">
        <w:rPr>
          <w:rFonts w:ascii="Calibri" w:hAnsi="Calibri" w:cs="Calibri"/>
          <w:b/>
          <w:bCs/>
          <w:noProof/>
          <w:sz w:val="18"/>
          <w:szCs w:val="24"/>
        </w:rPr>
        <w:t>1998</w:t>
      </w:r>
      <w:r w:rsidRPr="00843E38">
        <w:rPr>
          <w:rFonts w:ascii="Calibri" w:hAnsi="Calibri" w:cs="Calibri"/>
          <w:noProof/>
          <w:sz w:val="18"/>
          <w:szCs w:val="24"/>
        </w:rPr>
        <w:t xml:space="preserve">, </w:t>
      </w:r>
      <w:r w:rsidRPr="00843E38">
        <w:rPr>
          <w:rFonts w:ascii="Calibri" w:hAnsi="Calibri" w:cs="Calibri"/>
          <w:i/>
          <w:iCs/>
          <w:noProof/>
          <w:sz w:val="18"/>
          <w:szCs w:val="24"/>
        </w:rPr>
        <w:t>425</w:t>
      </w:r>
      <w:r w:rsidRPr="00843E38">
        <w:rPr>
          <w:rFonts w:ascii="Calibri" w:hAnsi="Calibri" w:cs="Calibri"/>
          <w:noProof/>
          <w:sz w:val="18"/>
          <w:szCs w:val="24"/>
        </w:rPr>
        <w:t>, 485–489, doi:10.1016/S0014-5793(98)00294-4.</w:t>
      </w:r>
    </w:p>
    <w:p w14:paraId="1FC2F3C6"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123. </w:t>
      </w:r>
      <w:r w:rsidRPr="00843E38">
        <w:rPr>
          <w:rFonts w:ascii="Calibri" w:hAnsi="Calibri" w:cs="Calibri"/>
          <w:noProof/>
          <w:sz w:val="18"/>
          <w:szCs w:val="24"/>
        </w:rPr>
        <w:tab/>
        <w:t xml:space="preserve">Stierlé, V.; Couprie, J.; Ostlund, C.; Krimm, I.; Zinn-Justin, S.; Hossenlopp, P.; Worman, H.J.; Courvalin, J.-C.; Duband-Goulet, I. The Carboxyl-Terminal Region Common to Lamins A and C Contains a DNA Binding Domain. </w:t>
      </w:r>
      <w:r w:rsidRPr="00843E38">
        <w:rPr>
          <w:rFonts w:ascii="Calibri" w:hAnsi="Calibri" w:cs="Calibri"/>
          <w:i/>
          <w:iCs/>
          <w:noProof/>
          <w:sz w:val="18"/>
          <w:szCs w:val="24"/>
        </w:rPr>
        <w:t>Biochemistry</w:t>
      </w:r>
      <w:r w:rsidRPr="00843E38">
        <w:rPr>
          <w:rFonts w:ascii="Calibri" w:hAnsi="Calibri" w:cs="Calibri"/>
          <w:noProof/>
          <w:sz w:val="18"/>
          <w:szCs w:val="24"/>
        </w:rPr>
        <w:t xml:space="preserve"> </w:t>
      </w:r>
      <w:r w:rsidRPr="00843E38">
        <w:rPr>
          <w:rFonts w:ascii="Calibri" w:hAnsi="Calibri" w:cs="Calibri"/>
          <w:b/>
          <w:bCs/>
          <w:noProof/>
          <w:sz w:val="18"/>
          <w:szCs w:val="24"/>
        </w:rPr>
        <w:t>2003</w:t>
      </w:r>
      <w:r w:rsidRPr="00843E38">
        <w:rPr>
          <w:rFonts w:ascii="Calibri" w:hAnsi="Calibri" w:cs="Calibri"/>
          <w:noProof/>
          <w:sz w:val="18"/>
          <w:szCs w:val="24"/>
        </w:rPr>
        <w:t xml:space="preserve">, </w:t>
      </w:r>
      <w:r w:rsidRPr="00843E38">
        <w:rPr>
          <w:rFonts w:ascii="Calibri" w:hAnsi="Calibri" w:cs="Calibri"/>
          <w:i/>
          <w:iCs/>
          <w:noProof/>
          <w:sz w:val="18"/>
          <w:szCs w:val="24"/>
        </w:rPr>
        <w:t>42</w:t>
      </w:r>
      <w:r w:rsidRPr="00843E38">
        <w:rPr>
          <w:rFonts w:ascii="Calibri" w:hAnsi="Calibri" w:cs="Calibri"/>
          <w:noProof/>
          <w:sz w:val="18"/>
          <w:szCs w:val="24"/>
        </w:rPr>
        <w:t>, 4819–4828, doi:10.1021/bi020704g.</w:t>
      </w:r>
    </w:p>
    <w:p w14:paraId="150EB65E"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124. </w:t>
      </w:r>
      <w:r w:rsidRPr="00843E38">
        <w:rPr>
          <w:rFonts w:ascii="Calibri" w:hAnsi="Calibri" w:cs="Calibri"/>
          <w:noProof/>
          <w:sz w:val="18"/>
          <w:szCs w:val="24"/>
        </w:rPr>
        <w:tab/>
        <w:t xml:space="preserve">Koch, A.J.; Holaska, J.M. Emerin in Health and Disease. </w:t>
      </w:r>
      <w:r w:rsidRPr="00843E38">
        <w:rPr>
          <w:rFonts w:ascii="Calibri" w:hAnsi="Calibri" w:cs="Calibri"/>
          <w:i/>
          <w:iCs/>
          <w:noProof/>
          <w:sz w:val="18"/>
          <w:szCs w:val="24"/>
        </w:rPr>
        <w:t>Semin. Cell Dev. Biol.</w:t>
      </w:r>
      <w:r w:rsidRPr="00843E38">
        <w:rPr>
          <w:rFonts w:ascii="Calibri" w:hAnsi="Calibri" w:cs="Calibri"/>
          <w:noProof/>
          <w:sz w:val="18"/>
          <w:szCs w:val="24"/>
        </w:rPr>
        <w:t xml:space="preserve"> </w:t>
      </w:r>
      <w:r w:rsidRPr="00843E38">
        <w:rPr>
          <w:rFonts w:ascii="Calibri" w:hAnsi="Calibri" w:cs="Calibri"/>
          <w:b/>
          <w:bCs/>
          <w:noProof/>
          <w:sz w:val="18"/>
          <w:szCs w:val="24"/>
        </w:rPr>
        <w:t>2014</w:t>
      </w:r>
      <w:r w:rsidRPr="00843E38">
        <w:rPr>
          <w:rFonts w:ascii="Calibri" w:hAnsi="Calibri" w:cs="Calibri"/>
          <w:noProof/>
          <w:sz w:val="18"/>
          <w:szCs w:val="24"/>
        </w:rPr>
        <w:t xml:space="preserve">, </w:t>
      </w:r>
      <w:r w:rsidRPr="00843E38">
        <w:rPr>
          <w:rFonts w:ascii="Calibri" w:hAnsi="Calibri" w:cs="Calibri"/>
          <w:i/>
          <w:iCs/>
          <w:noProof/>
          <w:sz w:val="18"/>
          <w:szCs w:val="24"/>
        </w:rPr>
        <w:t>29</w:t>
      </w:r>
      <w:r w:rsidRPr="00843E38">
        <w:rPr>
          <w:rFonts w:ascii="Calibri" w:hAnsi="Calibri" w:cs="Calibri"/>
          <w:noProof/>
          <w:sz w:val="18"/>
          <w:szCs w:val="24"/>
        </w:rPr>
        <w:t>, 95–106, doi:10.1016/j.semcdb.2013.12.008.</w:t>
      </w:r>
    </w:p>
    <w:p w14:paraId="7076F9E7"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125. </w:t>
      </w:r>
      <w:r w:rsidRPr="00843E38">
        <w:rPr>
          <w:rFonts w:ascii="Calibri" w:hAnsi="Calibri" w:cs="Calibri"/>
          <w:noProof/>
          <w:sz w:val="18"/>
          <w:szCs w:val="24"/>
        </w:rPr>
        <w:tab/>
        <w:t xml:space="preserve">Manilal, S.; Recan, D.; Sewry, C.A.; Hoeltzenbein, M.; Llense, S.; Leturcq, F.; Deburgrave, N.; Barbot, J.; Man, N.; Muntoni, F.; et al. Mutations in Emery-Dreifuss Muscular Dystrophy and Their Effects on Emerin Protein Expression. </w:t>
      </w:r>
      <w:r w:rsidRPr="00843E38">
        <w:rPr>
          <w:rFonts w:ascii="Calibri" w:hAnsi="Calibri" w:cs="Calibri"/>
          <w:i/>
          <w:iCs/>
          <w:noProof/>
          <w:sz w:val="18"/>
          <w:szCs w:val="24"/>
        </w:rPr>
        <w:t>Hum. Mol. Genet.</w:t>
      </w:r>
      <w:r w:rsidRPr="00843E38">
        <w:rPr>
          <w:rFonts w:ascii="Calibri" w:hAnsi="Calibri" w:cs="Calibri"/>
          <w:noProof/>
          <w:sz w:val="18"/>
          <w:szCs w:val="24"/>
        </w:rPr>
        <w:t xml:space="preserve"> </w:t>
      </w:r>
      <w:r w:rsidRPr="00843E38">
        <w:rPr>
          <w:rFonts w:ascii="Calibri" w:hAnsi="Calibri" w:cs="Calibri"/>
          <w:b/>
          <w:bCs/>
          <w:noProof/>
          <w:sz w:val="18"/>
          <w:szCs w:val="24"/>
        </w:rPr>
        <w:t>1998</w:t>
      </w:r>
      <w:r w:rsidRPr="00843E38">
        <w:rPr>
          <w:rFonts w:ascii="Calibri" w:hAnsi="Calibri" w:cs="Calibri"/>
          <w:noProof/>
          <w:sz w:val="18"/>
          <w:szCs w:val="24"/>
        </w:rPr>
        <w:t xml:space="preserve">, </w:t>
      </w:r>
      <w:r w:rsidRPr="00843E38">
        <w:rPr>
          <w:rFonts w:ascii="Calibri" w:hAnsi="Calibri" w:cs="Calibri"/>
          <w:i/>
          <w:iCs/>
          <w:noProof/>
          <w:sz w:val="18"/>
          <w:szCs w:val="24"/>
        </w:rPr>
        <w:t>7</w:t>
      </w:r>
      <w:r w:rsidRPr="00843E38">
        <w:rPr>
          <w:rFonts w:ascii="Calibri" w:hAnsi="Calibri" w:cs="Calibri"/>
          <w:noProof/>
          <w:sz w:val="18"/>
          <w:szCs w:val="24"/>
        </w:rPr>
        <w:t>, 855–864, doi:10.1093/hmg/7.5.855.</w:t>
      </w:r>
    </w:p>
    <w:p w14:paraId="1F5E173E"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126. </w:t>
      </w:r>
      <w:r w:rsidRPr="00843E38">
        <w:rPr>
          <w:rFonts w:ascii="Calibri" w:hAnsi="Calibri" w:cs="Calibri"/>
          <w:noProof/>
          <w:sz w:val="18"/>
          <w:szCs w:val="24"/>
        </w:rPr>
        <w:tab/>
        <w:t xml:space="preserve">Zhou, C.; Li, C.; Zhou, B.; Sun, H.; Koullourou, V.; Holt, I.; Puckelwartz, M.J.; Warren, D.T.; Hayward, R.; Lin, Z.; et al. Novel Nesprin-1 Mutations Associated with Dilated Cardiomyopathy Cause Nuclear Envelope Disruption and Defects in Myogenesis. </w:t>
      </w:r>
      <w:r w:rsidRPr="00843E38">
        <w:rPr>
          <w:rFonts w:ascii="Calibri" w:hAnsi="Calibri" w:cs="Calibri"/>
          <w:i/>
          <w:iCs/>
          <w:noProof/>
          <w:sz w:val="18"/>
          <w:szCs w:val="24"/>
        </w:rPr>
        <w:t>Hum. Mol. Genet.</w:t>
      </w:r>
      <w:r w:rsidRPr="00843E38">
        <w:rPr>
          <w:rFonts w:ascii="Calibri" w:hAnsi="Calibri" w:cs="Calibri"/>
          <w:noProof/>
          <w:sz w:val="18"/>
          <w:szCs w:val="24"/>
        </w:rPr>
        <w:t xml:space="preserve"> </w:t>
      </w:r>
      <w:r w:rsidRPr="00843E38">
        <w:rPr>
          <w:rFonts w:ascii="Calibri" w:hAnsi="Calibri" w:cs="Calibri"/>
          <w:b/>
          <w:bCs/>
          <w:noProof/>
          <w:sz w:val="18"/>
          <w:szCs w:val="24"/>
        </w:rPr>
        <w:t>2017</w:t>
      </w:r>
      <w:r w:rsidRPr="00843E38">
        <w:rPr>
          <w:rFonts w:ascii="Calibri" w:hAnsi="Calibri" w:cs="Calibri"/>
          <w:noProof/>
          <w:sz w:val="18"/>
          <w:szCs w:val="24"/>
        </w:rPr>
        <w:t xml:space="preserve">, </w:t>
      </w:r>
      <w:r w:rsidRPr="00843E38">
        <w:rPr>
          <w:rFonts w:ascii="Calibri" w:hAnsi="Calibri" w:cs="Calibri"/>
          <w:i/>
          <w:iCs/>
          <w:noProof/>
          <w:sz w:val="18"/>
          <w:szCs w:val="24"/>
        </w:rPr>
        <w:t>26</w:t>
      </w:r>
      <w:r w:rsidRPr="00843E38">
        <w:rPr>
          <w:rFonts w:ascii="Calibri" w:hAnsi="Calibri" w:cs="Calibri"/>
          <w:noProof/>
          <w:sz w:val="18"/>
          <w:szCs w:val="24"/>
        </w:rPr>
        <w:t>, 2258–2276, doi:10.1093/hmg/ddx116.</w:t>
      </w:r>
    </w:p>
    <w:p w14:paraId="77AE76F8"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127. </w:t>
      </w:r>
      <w:r w:rsidRPr="00843E38">
        <w:rPr>
          <w:rFonts w:ascii="Calibri" w:hAnsi="Calibri" w:cs="Calibri"/>
          <w:noProof/>
          <w:sz w:val="18"/>
          <w:szCs w:val="24"/>
        </w:rPr>
        <w:tab/>
        <w:t xml:space="preserve">Zhang, X.; Lei, K.; Yuan, X.; Wu, X.; Zhuang, Y.; Xu, T.; Xu, R.; Han, M. SUN1/2 and Syne/Nesprin-1/2 Complexes Connect Centrosome to the Nucleus during Neurogenesis and Neuronal Migration in Mice. </w:t>
      </w:r>
      <w:r w:rsidRPr="00843E38">
        <w:rPr>
          <w:rFonts w:ascii="Calibri" w:hAnsi="Calibri" w:cs="Calibri"/>
          <w:i/>
          <w:iCs/>
          <w:noProof/>
          <w:sz w:val="18"/>
          <w:szCs w:val="24"/>
        </w:rPr>
        <w:t>Neuron</w:t>
      </w:r>
      <w:r w:rsidRPr="00843E38">
        <w:rPr>
          <w:rFonts w:ascii="Calibri" w:hAnsi="Calibri" w:cs="Calibri"/>
          <w:noProof/>
          <w:sz w:val="18"/>
          <w:szCs w:val="24"/>
        </w:rPr>
        <w:t xml:space="preserve"> </w:t>
      </w:r>
      <w:r w:rsidRPr="00843E38">
        <w:rPr>
          <w:rFonts w:ascii="Calibri" w:hAnsi="Calibri" w:cs="Calibri"/>
          <w:b/>
          <w:bCs/>
          <w:noProof/>
          <w:sz w:val="18"/>
          <w:szCs w:val="24"/>
        </w:rPr>
        <w:t>2009</w:t>
      </w:r>
      <w:r w:rsidRPr="00843E38">
        <w:rPr>
          <w:rFonts w:ascii="Calibri" w:hAnsi="Calibri" w:cs="Calibri"/>
          <w:noProof/>
          <w:sz w:val="18"/>
          <w:szCs w:val="24"/>
        </w:rPr>
        <w:t xml:space="preserve">, </w:t>
      </w:r>
      <w:r w:rsidRPr="00843E38">
        <w:rPr>
          <w:rFonts w:ascii="Calibri" w:hAnsi="Calibri" w:cs="Calibri"/>
          <w:i/>
          <w:iCs/>
          <w:noProof/>
          <w:sz w:val="18"/>
          <w:szCs w:val="24"/>
        </w:rPr>
        <w:t>64</w:t>
      </w:r>
      <w:r w:rsidRPr="00843E38">
        <w:rPr>
          <w:rFonts w:ascii="Calibri" w:hAnsi="Calibri" w:cs="Calibri"/>
          <w:noProof/>
          <w:sz w:val="18"/>
          <w:szCs w:val="24"/>
        </w:rPr>
        <w:t>, 173–187, doi:10.1016/J.NEURON.2009.08.018.</w:t>
      </w:r>
    </w:p>
    <w:p w14:paraId="7B16F2F0"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128. </w:t>
      </w:r>
      <w:r w:rsidRPr="00843E38">
        <w:rPr>
          <w:rFonts w:ascii="Calibri" w:hAnsi="Calibri" w:cs="Calibri"/>
          <w:noProof/>
          <w:sz w:val="18"/>
          <w:szCs w:val="24"/>
        </w:rPr>
        <w:tab/>
        <w:t xml:space="preserve">Clancy, J.P.; Bebök, Z.; Ruiz, F.; King, C.; Jones, J.; Walker, L.; Greer, H.; Hong, J.; Wing, L.; Macaluso, M.; et al. Evidence That Systemic Gentamicin Suppresses Premature Stop Mutations in Patients with Cystic Fibrosis. </w:t>
      </w:r>
      <w:r w:rsidRPr="00843E38">
        <w:rPr>
          <w:rFonts w:ascii="Calibri" w:hAnsi="Calibri" w:cs="Calibri"/>
          <w:i/>
          <w:iCs/>
          <w:noProof/>
          <w:sz w:val="18"/>
          <w:szCs w:val="24"/>
        </w:rPr>
        <w:t>Am. J. Respir. Crit. Care Med.</w:t>
      </w:r>
      <w:r w:rsidRPr="00843E38">
        <w:rPr>
          <w:rFonts w:ascii="Calibri" w:hAnsi="Calibri" w:cs="Calibri"/>
          <w:noProof/>
          <w:sz w:val="18"/>
          <w:szCs w:val="24"/>
        </w:rPr>
        <w:t xml:space="preserve"> </w:t>
      </w:r>
      <w:r w:rsidRPr="00843E38">
        <w:rPr>
          <w:rFonts w:ascii="Calibri" w:hAnsi="Calibri" w:cs="Calibri"/>
          <w:b/>
          <w:bCs/>
          <w:noProof/>
          <w:sz w:val="18"/>
          <w:szCs w:val="24"/>
        </w:rPr>
        <w:t>2001</w:t>
      </w:r>
      <w:r w:rsidRPr="00843E38">
        <w:rPr>
          <w:rFonts w:ascii="Calibri" w:hAnsi="Calibri" w:cs="Calibri"/>
          <w:noProof/>
          <w:sz w:val="18"/>
          <w:szCs w:val="24"/>
        </w:rPr>
        <w:t xml:space="preserve">, </w:t>
      </w:r>
      <w:r w:rsidRPr="00843E38">
        <w:rPr>
          <w:rFonts w:ascii="Calibri" w:hAnsi="Calibri" w:cs="Calibri"/>
          <w:i/>
          <w:iCs/>
          <w:noProof/>
          <w:sz w:val="18"/>
          <w:szCs w:val="24"/>
        </w:rPr>
        <w:t>163</w:t>
      </w:r>
      <w:r w:rsidRPr="00843E38">
        <w:rPr>
          <w:rFonts w:ascii="Calibri" w:hAnsi="Calibri" w:cs="Calibri"/>
          <w:noProof/>
          <w:sz w:val="18"/>
          <w:szCs w:val="24"/>
        </w:rPr>
        <w:t>, 1683–1692, doi:10.1164/AJRCCM.163.7.2004001.</w:t>
      </w:r>
    </w:p>
    <w:p w14:paraId="3A72E24A"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129. </w:t>
      </w:r>
      <w:r w:rsidRPr="00843E38">
        <w:rPr>
          <w:rFonts w:ascii="Calibri" w:hAnsi="Calibri" w:cs="Calibri"/>
          <w:noProof/>
          <w:sz w:val="18"/>
          <w:szCs w:val="24"/>
        </w:rPr>
        <w:tab/>
        <w:t xml:space="preserve">Wilschanski, M.; Famini, C.; Blau, H.; Rivlin, J.; Augarten, A.; Avital, A.; Kerem, B.; Kerem, E. A Pilot Study of the Effect of Gentamicin on Nasal Potential Difference Measurements in Cystic Fibrosis Patients Carrying Stop Mutations. </w:t>
      </w:r>
      <w:r w:rsidRPr="00843E38">
        <w:rPr>
          <w:rFonts w:ascii="Calibri" w:hAnsi="Calibri" w:cs="Calibri"/>
          <w:i/>
          <w:iCs/>
          <w:noProof/>
          <w:sz w:val="18"/>
          <w:szCs w:val="24"/>
        </w:rPr>
        <w:t xml:space="preserve">Am. </w:t>
      </w:r>
      <w:r w:rsidRPr="00843E38">
        <w:rPr>
          <w:rFonts w:ascii="Calibri" w:hAnsi="Calibri" w:cs="Calibri"/>
          <w:i/>
          <w:iCs/>
          <w:noProof/>
          <w:sz w:val="18"/>
          <w:szCs w:val="24"/>
        </w:rPr>
        <w:lastRenderedPageBreak/>
        <w:t>J. Respir. Crit. Care Med.</w:t>
      </w:r>
      <w:r w:rsidRPr="00843E38">
        <w:rPr>
          <w:rFonts w:ascii="Calibri" w:hAnsi="Calibri" w:cs="Calibri"/>
          <w:noProof/>
          <w:sz w:val="18"/>
          <w:szCs w:val="24"/>
        </w:rPr>
        <w:t xml:space="preserve"> </w:t>
      </w:r>
      <w:r w:rsidRPr="00843E38">
        <w:rPr>
          <w:rFonts w:ascii="Calibri" w:hAnsi="Calibri" w:cs="Calibri"/>
          <w:b/>
          <w:bCs/>
          <w:noProof/>
          <w:sz w:val="18"/>
          <w:szCs w:val="24"/>
        </w:rPr>
        <w:t>2000</w:t>
      </w:r>
      <w:r w:rsidRPr="00843E38">
        <w:rPr>
          <w:rFonts w:ascii="Calibri" w:hAnsi="Calibri" w:cs="Calibri"/>
          <w:noProof/>
          <w:sz w:val="18"/>
          <w:szCs w:val="24"/>
        </w:rPr>
        <w:t xml:space="preserve">, </w:t>
      </w:r>
      <w:r w:rsidRPr="00843E38">
        <w:rPr>
          <w:rFonts w:ascii="Calibri" w:hAnsi="Calibri" w:cs="Calibri"/>
          <w:i/>
          <w:iCs/>
          <w:noProof/>
          <w:sz w:val="18"/>
          <w:szCs w:val="24"/>
        </w:rPr>
        <w:t>161</w:t>
      </w:r>
      <w:r w:rsidRPr="00843E38">
        <w:rPr>
          <w:rFonts w:ascii="Calibri" w:hAnsi="Calibri" w:cs="Calibri"/>
          <w:noProof/>
          <w:sz w:val="18"/>
          <w:szCs w:val="24"/>
        </w:rPr>
        <w:t>, 860–865, doi:10.1164/AJRCCM.161.3.9904116.</w:t>
      </w:r>
    </w:p>
    <w:p w14:paraId="64600985"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130. </w:t>
      </w:r>
      <w:r w:rsidRPr="00843E38">
        <w:rPr>
          <w:rFonts w:ascii="Calibri" w:hAnsi="Calibri" w:cs="Calibri"/>
          <w:noProof/>
          <w:sz w:val="18"/>
          <w:szCs w:val="24"/>
        </w:rPr>
        <w:tab/>
        <w:t xml:space="preserve">Malik, V.; Rodino Klapac, L.R.; Viollet, L.; Mendell, J.R. Aminoglycoside-Induced Mutation Suppression (Stop Codon Readthrough) as a Therapeutic Strategy for Duchenne Muscular Dystrophy. </w:t>
      </w:r>
      <w:r w:rsidRPr="00843E38">
        <w:rPr>
          <w:rFonts w:ascii="Calibri" w:hAnsi="Calibri" w:cs="Calibri"/>
          <w:i/>
          <w:iCs/>
          <w:noProof/>
          <w:sz w:val="18"/>
          <w:szCs w:val="24"/>
        </w:rPr>
        <w:t>Ther. Adv. Neurol. Disord.</w:t>
      </w:r>
      <w:r w:rsidRPr="00843E38">
        <w:rPr>
          <w:rFonts w:ascii="Calibri" w:hAnsi="Calibri" w:cs="Calibri"/>
          <w:noProof/>
          <w:sz w:val="18"/>
          <w:szCs w:val="24"/>
        </w:rPr>
        <w:t xml:space="preserve"> </w:t>
      </w:r>
      <w:r w:rsidRPr="00843E38">
        <w:rPr>
          <w:rFonts w:ascii="Calibri" w:hAnsi="Calibri" w:cs="Calibri"/>
          <w:b/>
          <w:bCs/>
          <w:noProof/>
          <w:sz w:val="18"/>
          <w:szCs w:val="24"/>
        </w:rPr>
        <w:t>2010</w:t>
      </w:r>
      <w:r w:rsidRPr="00843E38">
        <w:rPr>
          <w:rFonts w:ascii="Calibri" w:hAnsi="Calibri" w:cs="Calibri"/>
          <w:noProof/>
          <w:sz w:val="18"/>
          <w:szCs w:val="24"/>
        </w:rPr>
        <w:t xml:space="preserve">, </w:t>
      </w:r>
      <w:r w:rsidRPr="00843E38">
        <w:rPr>
          <w:rFonts w:ascii="Calibri" w:hAnsi="Calibri" w:cs="Calibri"/>
          <w:i/>
          <w:iCs/>
          <w:noProof/>
          <w:sz w:val="18"/>
          <w:szCs w:val="24"/>
        </w:rPr>
        <w:t>3</w:t>
      </w:r>
      <w:r w:rsidRPr="00843E38">
        <w:rPr>
          <w:rFonts w:ascii="Calibri" w:hAnsi="Calibri" w:cs="Calibri"/>
          <w:noProof/>
          <w:sz w:val="18"/>
          <w:szCs w:val="24"/>
        </w:rPr>
        <w:t>, 379–389, doi:10.1177/1756285610388693.</w:t>
      </w:r>
    </w:p>
    <w:p w14:paraId="535A2EF2"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131. </w:t>
      </w:r>
      <w:r w:rsidRPr="00843E38">
        <w:rPr>
          <w:rFonts w:ascii="Calibri" w:hAnsi="Calibri" w:cs="Calibri"/>
          <w:noProof/>
          <w:sz w:val="18"/>
          <w:szCs w:val="24"/>
        </w:rPr>
        <w:tab/>
        <w:t xml:space="preserve">Politano, L.; Nigro, G.; Nigro, V.; Piluso, G.; Papparella, S.; Paciello, O.; Comi, L. Gentamicin Administration in Duchenne Patients with Premature Stop Codon. Preliminary Results. </w:t>
      </w:r>
      <w:r w:rsidRPr="00843E38">
        <w:rPr>
          <w:rFonts w:ascii="Calibri" w:hAnsi="Calibri" w:cs="Calibri"/>
          <w:i/>
          <w:iCs/>
          <w:noProof/>
          <w:sz w:val="18"/>
          <w:szCs w:val="24"/>
        </w:rPr>
        <w:t>Off. J. Mediterr. Soc. Myol.</w:t>
      </w:r>
      <w:r w:rsidRPr="00843E38">
        <w:rPr>
          <w:rFonts w:ascii="Calibri" w:hAnsi="Calibri" w:cs="Calibri"/>
          <w:noProof/>
          <w:sz w:val="18"/>
          <w:szCs w:val="24"/>
        </w:rPr>
        <w:t xml:space="preserve"> </w:t>
      </w:r>
      <w:r w:rsidRPr="00843E38">
        <w:rPr>
          <w:rFonts w:ascii="Calibri" w:hAnsi="Calibri" w:cs="Calibri"/>
          <w:b/>
          <w:bCs/>
          <w:noProof/>
          <w:sz w:val="18"/>
          <w:szCs w:val="24"/>
        </w:rPr>
        <w:t>2003</w:t>
      </w:r>
      <w:r w:rsidRPr="00843E38">
        <w:rPr>
          <w:rFonts w:ascii="Calibri" w:hAnsi="Calibri" w:cs="Calibri"/>
          <w:noProof/>
          <w:sz w:val="18"/>
          <w:szCs w:val="24"/>
        </w:rPr>
        <w:t xml:space="preserve">, </w:t>
      </w:r>
      <w:r w:rsidRPr="00843E38">
        <w:rPr>
          <w:rFonts w:ascii="Calibri" w:hAnsi="Calibri" w:cs="Calibri"/>
          <w:i/>
          <w:iCs/>
          <w:noProof/>
          <w:sz w:val="18"/>
          <w:szCs w:val="24"/>
        </w:rPr>
        <w:t>22</w:t>
      </w:r>
      <w:r w:rsidRPr="00843E38">
        <w:rPr>
          <w:rFonts w:ascii="Calibri" w:hAnsi="Calibri" w:cs="Calibri"/>
          <w:noProof/>
          <w:sz w:val="18"/>
          <w:szCs w:val="24"/>
        </w:rPr>
        <w:t>, 15–21.</w:t>
      </w:r>
    </w:p>
    <w:p w14:paraId="45C7EEE1"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132. </w:t>
      </w:r>
      <w:r w:rsidRPr="00843E38">
        <w:rPr>
          <w:rFonts w:ascii="Calibri" w:hAnsi="Calibri" w:cs="Calibri"/>
          <w:noProof/>
          <w:sz w:val="18"/>
          <w:szCs w:val="24"/>
        </w:rPr>
        <w:tab/>
        <w:t xml:space="preserve">James, P.D.; Raut, S.; Rivard, G.E.; Poon, M.C.; Warner, M.; McKenna, S.; Leggo, J.; Lillicrap, D. Aminoglycoside Suppression of Nonsense Mutations in Severe Hemophilia. </w:t>
      </w:r>
      <w:r w:rsidRPr="00843E38">
        <w:rPr>
          <w:rFonts w:ascii="Calibri" w:hAnsi="Calibri" w:cs="Calibri"/>
          <w:i/>
          <w:iCs/>
          <w:noProof/>
          <w:sz w:val="18"/>
          <w:szCs w:val="24"/>
        </w:rPr>
        <w:t>Blood</w:t>
      </w:r>
      <w:r w:rsidRPr="00843E38">
        <w:rPr>
          <w:rFonts w:ascii="Calibri" w:hAnsi="Calibri" w:cs="Calibri"/>
          <w:noProof/>
          <w:sz w:val="18"/>
          <w:szCs w:val="24"/>
        </w:rPr>
        <w:t xml:space="preserve"> </w:t>
      </w:r>
      <w:r w:rsidRPr="00843E38">
        <w:rPr>
          <w:rFonts w:ascii="Calibri" w:hAnsi="Calibri" w:cs="Calibri"/>
          <w:b/>
          <w:bCs/>
          <w:noProof/>
          <w:sz w:val="18"/>
          <w:szCs w:val="24"/>
        </w:rPr>
        <w:t>2005</w:t>
      </w:r>
      <w:r w:rsidRPr="00843E38">
        <w:rPr>
          <w:rFonts w:ascii="Calibri" w:hAnsi="Calibri" w:cs="Calibri"/>
          <w:noProof/>
          <w:sz w:val="18"/>
          <w:szCs w:val="24"/>
        </w:rPr>
        <w:t xml:space="preserve">, </w:t>
      </w:r>
      <w:r w:rsidRPr="00843E38">
        <w:rPr>
          <w:rFonts w:ascii="Calibri" w:hAnsi="Calibri" w:cs="Calibri"/>
          <w:i/>
          <w:iCs/>
          <w:noProof/>
          <w:sz w:val="18"/>
          <w:szCs w:val="24"/>
        </w:rPr>
        <w:t>106</w:t>
      </w:r>
      <w:r w:rsidRPr="00843E38">
        <w:rPr>
          <w:rFonts w:ascii="Calibri" w:hAnsi="Calibri" w:cs="Calibri"/>
          <w:noProof/>
          <w:sz w:val="18"/>
          <w:szCs w:val="24"/>
        </w:rPr>
        <w:t>, 3043–3048, doi:10.1182/BLOOD-2005-03-1307.</w:t>
      </w:r>
    </w:p>
    <w:p w14:paraId="2223F5F9"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133. </w:t>
      </w:r>
      <w:r w:rsidRPr="00843E38">
        <w:rPr>
          <w:rFonts w:ascii="Calibri" w:hAnsi="Calibri" w:cs="Calibri"/>
          <w:noProof/>
          <w:sz w:val="18"/>
          <w:szCs w:val="24"/>
        </w:rPr>
        <w:tab/>
        <w:t xml:space="preserve">Taguchi, A.; Hamada, K.; Shiozuka, M.; Kobayashi, M.; Murakami, S.; Takayama, K.; Taniguchi, A.; Usui, T.; Matsuda, R.; Hayashi, Y. Structure-Activity Relationship Study of Leucyl-3-Epi-Deoxynegamycin for Potent Premature Termination Codon Readthrough. </w:t>
      </w:r>
      <w:r w:rsidRPr="00843E38">
        <w:rPr>
          <w:rFonts w:ascii="Calibri" w:hAnsi="Calibri" w:cs="Calibri"/>
          <w:i/>
          <w:iCs/>
          <w:noProof/>
          <w:sz w:val="18"/>
          <w:szCs w:val="24"/>
        </w:rPr>
        <w:t>ACS Med. Chem. Lett.</w:t>
      </w:r>
      <w:r w:rsidRPr="00843E38">
        <w:rPr>
          <w:rFonts w:ascii="Calibri" w:hAnsi="Calibri" w:cs="Calibri"/>
          <w:noProof/>
          <w:sz w:val="18"/>
          <w:szCs w:val="24"/>
        </w:rPr>
        <w:t xml:space="preserve"> </w:t>
      </w:r>
      <w:r w:rsidRPr="00843E38">
        <w:rPr>
          <w:rFonts w:ascii="Calibri" w:hAnsi="Calibri" w:cs="Calibri"/>
          <w:b/>
          <w:bCs/>
          <w:noProof/>
          <w:sz w:val="18"/>
          <w:szCs w:val="24"/>
        </w:rPr>
        <w:t>2017</w:t>
      </w:r>
      <w:r w:rsidRPr="00843E38">
        <w:rPr>
          <w:rFonts w:ascii="Calibri" w:hAnsi="Calibri" w:cs="Calibri"/>
          <w:noProof/>
          <w:sz w:val="18"/>
          <w:szCs w:val="24"/>
        </w:rPr>
        <w:t xml:space="preserve">, </w:t>
      </w:r>
      <w:r w:rsidRPr="00843E38">
        <w:rPr>
          <w:rFonts w:ascii="Calibri" w:hAnsi="Calibri" w:cs="Calibri"/>
          <w:i/>
          <w:iCs/>
          <w:noProof/>
          <w:sz w:val="18"/>
          <w:szCs w:val="24"/>
        </w:rPr>
        <w:t>8</w:t>
      </w:r>
      <w:r w:rsidRPr="00843E38">
        <w:rPr>
          <w:rFonts w:ascii="Calibri" w:hAnsi="Calibri" w:cs="Calibri"/>
          <w:noProof/>
          <w:sz w:val="18"/>
          <w:szCs w:val="24"/>
        </w:rPr>
        <w:t>, 1060–1065, doi:10.1021/ACSMEDCHEMLETT.7B00269/SUPPL_FILE/ML7B00269_SI_001.PDF.</w:t>
      </w:r>
    </w:p>
    <w:p w14:paraId="58A008D4"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134. </w:t>
      </w:r>
      <w:r w:rsidRPr="00843E38">
        <w:rPr>
          <w:rFonts w:ascii="Calibri" w:hAnsi="Calibri" w:cs="Calibri"/>
          <w:noProof/>
          <w:sz w:val="18"/>
          <w:szCs w:val="24"/>
        </w:rPr>
        <w:tab/>
        <w:t xml:space="preserve">Hamada, K.; Omura, N.; Taguchi, A.; Baradaran-Heravi, A.; Kotake, M.; Arai, M.; Takayama, K.; Taniguchi, A.; Roberge, M.; Hayashi, Y. New Negamycin-Based Potent Readthrough Derivative Effective against TGA-Type Nonsense Mutations. </w:t>
      </w:r>
      <w:r w:rsidRPr="00843E38">
        <w:rPr>
          <w:rFonts w:ascii="Calibri" w:hAnsi="Calibri" w:cs="Calibri"/>
          <w:i/>
          <w:iCs/>
          <w:noProof/>
          <w:sz w:val="18"/>
          <w:szCs w:val="24"/>
        </w:rPr>
        <w:t>ACS Med. Chem. Lett.</w:t>
      </w:r>
      <w:r w:rsidRPr="00843E38">
        <w:rPr>
          <w:rFonts w:ascii="Calibri" w:hAnsi="Calibri" w:cs="Calibri"/>
          <w:noProof/>
          <w:sz w:val="18"/>
          <w:szCs w:val="24"/>
        </w:rPr>
        <w:t xml:space="preserve"> </w:t>
      </w:r>
      <w:r w:rsidRPr="00843E38">
        <w:rPr>
          <w:rFonts w:ascii="Calibri" w:hAnsi="Calibri" w:cs="Calibri"/>
          <w:b/>
          <w:bCs/>
          <w:noProof/>
          <w:sz w:val="18"/>
          <w:szCs w:val="24"/>
        </w:rPr>
        <w:t>2019</w:t>
      </w:r>
      <w:r w:rsidRPr="00843E38">
        <w:rPr>
          <w:rFonts w:ascii="Calibri" w:hAnsi="Calibri" w:cs="Calibri"/>
          <w:noProof/>
          <w:sz w:val="18"/>
          <w:szCs w:val="24"/>
        </w:rPr>
        <w:t xml:space="preserve">, </w:t>
      </w:r>
      <w:r w:rsidRPr="00843E38">
        <w:rPr>
          <w:rFonts w:ascii="Calibri" w:hAnsi="Calibri" w:cs="Calibri"/>
          <w:i/>
          <w:iCs/>
          <w:noProof/>
          <w:sz w:val="18"/>
          <w:szCs w:val="24"/>
        </w:rPr>
        <w:t>10</w:t>
      </w:r>
      <w:r w:rsidRPr="00843E38">
        <w:rPr>
          <w:rFonts w:ascii="Calibri" w:hAnsi="Calibri" w:cs="Calibri"/>
          <w:noProof/>
          <w:sz w:val="18"/>
          <w:szCs w:val="24"/>
        </w:rPr>
        <w:t>, 1450–1456, doi:10.1021/ACSMEDCHEMLETT.9B00273/SUPPL_FILE/ML9B00273_SI_001.PDF.</w:t>
      </w:r>
    </w:p>
    <w:p w14:paraId="0E7F8FC6"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135. </w:t>
      </w:r>
      <w:r w:rsidRPr="00843E38">
        <w:rPr>
          <w:rFonts w:ascii="Calibri" w:hAnsi="Calibri" w:cs="Calibri"/>
          <w:noProof/>
          <w:sz w:val="18"/>
          <w:szCs w:val="24"/>
        </w:rPr>
        <w:tab/>
        <w:t xml:space="preserve">Wilschanski, M.; Yahav, Y.; Yaacov, Y.; Blau, H.; Bentur, L.; Rivlin, J.; Aviram, M.; Bdolah-Abram, T.; Bebok, Z.; Shushi, L.; et al. Gentamicin-Induced Correction of CFTR Function in Patients with Cystic Fibrosis and CFTR Stop Mutations. </w:t>
      </w:r>
      <w:r w:rsidRPr="00843E38">
        <w:rPr>
          <w:rFonts w:ascii="Calibri" w:hAnsi="Calibri" w:cs="Calibri"/>
          <w:i/>
          <w:iCs/>
          <w:noProof/>
          <w:sz w:val="18"/>
          <w:szCs w:val="24"/>
        </w:rPr>
        <w:t>N. Engl. J. Med.</w:t>
      </w:r>
      <w:r w:rsidRPr="00843E38">
        <w:rPr>
          <w:rFonts w:ascii="Calibri" w:hAnsi="Calibri" w:cs="Calibri"/>
          <w:noProof/>
          <w:sz w:val="18"/>
          <w:szCs w:val="24"/>
        </w:rPr>
        <w:t xml:space="preserve"> </w:t>
      </w:r>
      <w:r w:rsidRPr="00843E38">
        <w:rPr>
          <w:rFonts w:ascii="Calibri" w:hAnsi="Calibri" w:cs="Calibri"/>
          <w:b/>
          <w:bCs/>
          <w:noProof/>
          <w:sz w:val="18"/>
          <w:szCs w:val="24"/>
        </w:rPr>
        <w:t>2009</w:t>
      </w:r>
      <w:r w:rsidRPr="00843E38">
        <w:rPr>
          <w:rFonts w:ascii="Calibri" w:hAnsi="Calibri" w:cs="Calibri"/>
          <w:noProof/>
          <w:sz w:val="18"/>
          <w:szCs w:val="24"/>
        </w:rPr>
        <w:t xml:space="preserve">, </w:t>
      </w:r>
      <w:r w:rsidRPr="00843E38">
        <w:rPr>
          <w:rFonts w:ascii="Calibri" w:hAnsi="Calibri" w:cs="Calibri"/>
          <w:i/>
          <w:iCs/>
          <w:noProof/>
          <w:sz w:val="18"/>
          <w:szCs w:val="24"/>
        </w:rPr>
        <w:t>349</w:t>
      </w:r>
      <w:r w:rsidRPr="00843E38">
        <w:rPr>
          <w:rFonts w:ascii="Calibri" w:hAnsi="Calibri" w:cs="Calibri"/>
          <w:noProof/>
          <w:sz w:val="18"/>
          <w:szCs w:val="24"/>
        </w:rPr>
        <w:t>, 1433–1441, doi:10.1056/NEJMOA022170.</w:t>
      </w:r>
    </w:p>
    <w:p w14:paraId="4EBB61D7"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136. </w:t>
      </w:r>
      <w:r w:rsidRPr="00843E38">
        <w:rPr>
          <w:rFonts w:ascii="Calibri" w:hAnsi="Calibri" w:cs="Calibri"/>
          <w:noProof/>
          <w:sz w:val="18"/>
          <w:szCs w:val="24"/>
        </w:rPr>
        <w:tab/>
        <w:t xml:space="preserve">Kellermayer, R.; Szigeti, R.; Keeling, K.M.; Bedekovics, T.; Bedwell, D.M. Aminoglycosides as Potential Pharmacogenetic Agents in the Treatment of Hailey-Hailey Disease. </w:t>
      </w:r>
      <w:r w:rsidRPr="00843E38">
        <w:rPr>
          <w:rFonts w:ascii="Calibri" w:hAnsi="Calibri" w:cs="Calibri"/>
          <w:i/>
          <w:iCs/>
          <w:noProof/>
          <w:sz w:val="18"/>
          <w:szCs w:val="24"/>
        </w:rPr>
        <w:t>J. Invest. Dermatol.</w:t>
      </w:r>
      <w:r w:rsidRPr="00843E38">
        <w:rPr>
          <w:rFonts w:ascii="Calibri" w:hAnsi="Calibri" w:cs="Calibri"/>
          <w:noProof/>
          <w:sz w:val="18"/>
          <w:szCs w:val="24"/>
        </w:rPr>
        <w:t xml:space="preserve"> </w:t>
      </w:r>
      <w:r w:rsidRPr="00843E38">
        <w:rPr>
          <w:rFonts w:ascii="Calibri" w:hAnsi="Calibri" w:cs="Calibri"/>
          <w:b/>
          <w:bCs/>
          <w:noProof/>
          <w:sz w:val="18"/>
          <w:szCs w:val="24"/>
        </w:rPr>
        <w:t>2006</w:t>
      </w:r>
      <w:r w:rsidRPr="00843E38">
        <w:rPr>
          <w:rFonts w:ascii="Calibri" w:hAnsi="Calibri" w:cs="Calibri"/>
          <w:noProof/>
          <w:sz w:val="18"/>
          <w:szCs w:val="24"/>
        </w:rPr>
        <w:t xml:space="preserve">, </w:t>
      </w:r>
      <w:r w:rsidRPr="00843E38">
        <w:rPr>
          <w:rFonts w:ascii="Calibri" w:hAnsi="Calibri" w:cs="Calibri"/>
          <w:i/>
          <w:iCs/>
          <w:noProof/>
          <w:sz w:val="18"/>
          <w:szCs w:val="24"/>
        </w:rPr>
        <w:t>126</w:t>
      </w:r>
      <w:r w:rsidRPr="00843E38">
        <w:rPr>
          <w:rFonts w:ascii="Calibri" w:hAnsi="Calibri" w:cs="Calibri"/>
          <w:noProof/>
          <w:sz w:val="18"/>
          <w:szCs w:val="24"/>
        </w:rPr>
        <w:t>, 229–231, doi:10.1038/SJ.JID.5700031.</w:t>
      </w:r>
    </w:p>
    <w:p w14:paraId="05A556D1"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137. </w:t>
      </w:r>
      <w:r w:rsidRPr="00843E38">
        <w:rPr>
          <w:rFonts w:ascii="Calibri" w:hAnsi="Calibri" w:cs="Calibri"/>
          <w:noProof/>
          <w:sz w:val="18"/>
          <w:szCs w:val="24"/>
        </w:rPr>
        <w:tab/>
        <w:t>Inc., P.T. PTC Therapeutics Receives Conditional Approval in the European Union for Translarna&amp;#153; For the Treatment of Nonsense Mutation Duchenne Muscular Dystrophy | PTC Therapeutics, Inc. 2014.</w:t>
      </w:r>
    </w:p>
    <w:p w14:paraId="33003E02"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138. </w:t>
      </w:r>
      <w:r w:rsidRPr="00843E38">
        <w:rPr>
          <w:rFonts w:ascii="Calibri" w:hAnsi="Calibri" w:cs="Calibri"/>
          <w:noProof/>
          <w:sz w:val="18"/>
          <w:szCs w:val="24"/>
        </w:rPr>
        <w:tab/>
        <w:t xml:space="preserve">McDonald, C.M.; Campbell, C.; Torricelli, R.E.; Finkel, R.S.; Flanigan, K.M.; Goemans, N.; Heydemann, P.; Kaminska, A.; Kirschner, J.; Muntoni, F.; et al. Ataluren in Patients with Nonsense Mutation Duchenne Muscular Dystrophy (ACT DMD): A Multicentre, Randomised, Double-Blind, Placebo-Controlled, Phase 3 Trial. </w:t>
      </w:r>
      <w:r w:rsidRPr="00843E38">
        <w:rPr>
          <w:rFonts w:ascii="Calibri" w:hAnsi="Calibri" w:cs="Calibri"/>
          <w:i/>
          <w:iCs/>
          <w:noProof/>
          <w:sz w:val="18"/>
          <w:szCs w:val="24"/>
        </w:rPr>
        <w:t>Lancet</w:t>
      </w:r>
      <w:r w:rsidRPr="00843E38">
        <w:rPr>
          <w:rFonts w:ascii="Calibri" w:hAnsi="Calibri" w:cs="Calibri"/>
          <w:noProof/>
          <w:sz w:val="18"/>
          <w:szCs w:val="24"/>
        </w:rPr>
        <w:t xml:space="preserve"> </w:t>
      </w:r>
      <w:r w:rsidRPr="00843E38">
        <w:rPr>
          <w:rFonts w:ascii="Calibri" w:hAnsi="Calibri" w:cs="Calibri"/>
          <w:b/>
          <w:bCs/>
          <w:noProof/>
          <w:sz w:val="18"/>
          <w:szCs w:val="24"/>
        </w:rPr>
        <w:t>2017</w:t>
      </w:r>
      <w:r w:rsidRPr="00843E38">
        <w:rPr>
          <w:rFonts w:ascii="Calibri" w:hAnsi="Calibri" w:cs="Calibri"/>
          <w:noProof/>
          <w:sz w:val="18"/>
          <w:szCs w:val="24"/>
        </w:rPr>
        <w:t xml:space="preserve">, </w:t>
      </w:r>
      <w:r w:rsidRPr="00843E38">
        <w:rPr>
          <w:rFonts w:ascii="Calibri" w:hAnsi="Calibri" w:cs="Calibri"/>
          <w:i/>
          <w:iCs/>
          <w:noProof/>
          <w:sz w:val="18"/>
          <w:szCs w:val="24"/>
        </w:rPr>
        <w:t>390</w:t>
      </w:r>
      <w:r w:rsidRPr="00843E38">
        <w:rPr>
          <w:rFonts w:ascii="Calibri" w:hAnsi="Calibri" w:cs="Calibri"/>
          <w:noProof/>
          <w:sz w:val="18"/>
          <w:szCs w:val="24"/>
        </w:rPr>
        <w:t>, 1489–1498, doi:10.1016/S0140-6736(17)31611-2.</w:t>
      </w:r>
    </w:p>
    <w:p w14:paraId="2B57A167"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139. </w:t>
      </w:r>
      <w:r w:rsidRPr="00843E38">
        <w:rPr>
          <w:rFonts w:ascii="Calibri" w:hAnsi="Calibri" w:cs="Calibri"/>
          <w:noProof/>
          <w:sz w:val="18"/>
          <w:szCs w:val="24"/>
        </w:rPr>
        <w:tab/>
        <w:t xml:space="preserve">Folker, E.S.; Östlund, C.; Luxton, G.W.G.; Worman, H.J.; Gundersen, G.G. Lamin A Variants That Cause Striated Muscle Disease Are Defective in Anchoring Transmembrane Actin-Associated Nuclear Lines for Nuclear Movement. </w:t>
      </w:r>
      <w:r w:rsidRPr="00843E38">
        <w:rPr>
          <w:rFonts w:ascii="Calibri" w:hAnsi="Calibri" w:cs="Calibri"/>
          <w:i/>
          <w:iCs/>
          <w:noProof/>
          <w:sz w:val="18"/>
          <w:szCs w:val="24"/>
        </w:rPr>
        <w:t>Proc. Natl. Acad. Sci. U. S. A.</w:t>
      </w:r>
      <w:r w:rsidRPr="00843E38">
        <w:rPr>
          <w:rFonts w:ascii="Calibri" w:hAnsi="Calibri" w:cs="Calibri"/>
          <w:noProof/>
          <w:sz w:val="18"/>
          <w:szCs w:val="24"/>
        </w:rPr>
        <w:t xml:space="preserve"> </w:t>
      </w:r>
      <w:r w:rsidRPr="00843E38">
        <w:rPr>
          <w:rFonts w:ascii="Calibri" w:hAnsi="Calibri" w:cs="Calibri"/>
          <w:b/>
          <w:bCs/>
          <w:noProof/>
          <w:sz w:val="18"/>
          <w:szCs w:val="24"/>
        </w:rPr>
        <w:t>2011</w:t>
      </w:r>
      <w:r w:rsidRPr="00843E38">
        <w:rPr>
          <w:rFonts w:ascii="Calibri" w:hAnsi="Calibri" w:cs="Calibri"/>
          <w:noProof/>
          <w:sz w:val="18"/>
          <w:szCs w:val="24"/>
        </w:rPr>
        <w:t xml:space="preserve">, </w:t>
      </w:r>
      <w:r w:rsidRPr="00843E38">
        <w:rPr>
          <w:rFonts w:ascii="Calibri" w:hAnsi="Calibri" w:cs="Calibri"/>
          <w:i/>
          <w:iCs/>
          <w:noProof/>
          <w:sz w:val="18"/>
          <w:szCs w:val="24"/>
        </w:rPr>
        <w:t>108</w:t>
      </w:r>
      <w:r w:rsidRPr="00843E38">
        <w:rPr>
          <w:rFonts w:ascii="Calibri" w:hAnsi="Calibri" w:cs="Calibri"/>
          <w:noProof/>
          <w:sz w:val="18"/>
          <w:szCs w:val="24"/>
        </w:rPr>
        <w:t>, 131–136, doi:10.1073/PNAS.1000824108/SUPPL_FILE/PNAS.201000824SI.PDF.</w:t>
      </w:r>
    </w:p>
    <w:p w14:paraId="5BD7BB9E"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140. </w:t>
      </w:r>
      <w:r w:rsidRPr="00843E38">
        <w:rPr>
          <w:rFonts w:ascii="Calibri" w:hAnsi="Calibri" w:cs="Calibri"/>
          <w:noProof/>
          <w:sz w:val="18"/>
          <w:szCs w:val="24"/>
        </w:rPr>
        <w:tab/>
        <w:t xml:space="preserve">Chang, W.; Antoku, S.; Östlund, C.; Worman, H.J.; Gundersen, G.G. Linker of Nucleoskeleton and Cytoskeleton (LINC) Complex-Mediated Actin-Dependent Nuclear Positioning Orients Centrosomes in Migrating Myoblasts. </w:t>
      </w:r>
      <w:r w:rsidRPr="00843E38">
        <w:rPr>
          <w:rFonts w:ascii="Calibri" w:hAnsi="Calibri" w:cs="Calibri"/>
          <w:i/>
          <w:iCs/>
          <w:noProof/>
          <w:sz w:val="18"/>
          <w:szCs w:val="24"/>
        </w:rPr>
        <w:t>Nucleus</w:t>
      </w:r>
      <w:r w:rsidRPr="00843E38">
        <w:rPr>
          <w:rFonts w:ascii="Calibri" w:hAnsi="Calibri" w:cs="Calibri"/>
          <w:noProof/>
          <w:sz w:val="18"/>
          <w:szCs w:val="24"/>
        </w:rPr>
        <w:t xml:space="preserve"> </w:t>
      </w:r>
      <w:r w:rsidRPr="00843E38">
        <w:rPr>
          <w:rFonts w:ascii="Calibri" w:hAnsi="Calibri" w:cs="Calibri"/>
          <w:b/>
          <w:bCs/>
          <w:noProof/>
          <w:sz w:val="18"/>
          <w:szCs w:val="24"/>
        </w:rPr>
        <w:t>2015</w:t>
      </w:r>
      <w:r w:rsidRPr="00843E38">
        <w:rPr>
          <w:rFonts w:ascii="Calibri" w:hAnsi="Calibri" w:cs="Calibri"/>
          <w:noProof/>
          <w:sz w:val="18"/>
          <w:szCs w:val="24"/>
        </w:rPr>
        <w:t xml:space="preserve">, </w:t>
      </w:r>
      <w:r w:rsidRPr="00843E38">
        <w:rPr>
          <w:rFonts w:ascii="Calibri" w:hAnsi="Calibri" w:cs="Calibri"/>
          <w:i/>
          <w:iCs/>
          <w:noProof/>
          <w:sz w:val="18"/>
          <w:szCs w:val="24"/>
        </w:rPr>
        <w:t>6</w:t>
      </w:r>
      <w:r w:rsidRPr="00843E38">
        <w:rPr>
          <w:rFonts w:ascii="Calibri" w:hAnsi="Calibri" w:cs="Calibri"/>
          <w:noProof/>
          <w:sz w:val="18"/>
          <w:szCs w:val="24"/>
        </w:rPr>
        <w:t>, 77–88, doi:10.1080/19491034.2015.1004947.</w:t>
      </w:r>
    </w:p>
    <w:p w14:paraId="7E457602"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141. </w:t>
      </w:r>
      <w:r w:rsidRPr="00843E38">
        <w:rPr>
          <w:rFonts w:ascii="Calibri" w:hAnsi="Calibri" w:cs="Calibri"/>
          <w:noProof/>
          <w:sz w:val="18"/>
          <w:szCs w:val="24"/>
        </w:rPr>
        <w:tab/>
        <w:t xml:space="preserve">Kirby, T.J.; Lammerding, J. Emerging Views of the Nucleus as a Cellular Mechanosensor. </w:t>
      </w:r>
      <w:r w:rsidRPr="00843E38">
        <w:rPr>
          <w:rFonts w:ascii="Calibri" w:hAnsi="Calibri" w:cs="Calibri"/>
          <w:i/>
          <w:iCs/>
          <w:noProof/>
          <w:sz w:val="18"/>
          <w:szCs w:val="24"/>
        </w:rPr>
        <w:t>Nat. Cell Biol.</w:t>
      </w:r>
      <w:r w:rsidRPr="00843E38">
        <w:rPr>
          <w:rFonts w:ascii="Calibri" w:hAnsi="Calibri" w:cs="Calibri"/>
          <w:noProof/>
          <w:sz w:val="18"/>
          <w:szCs w:val="24"/>
        </w:rPr>
        <w:t xml:space="preserve"> </w:t>
      </w:r>
      <w:r w:rsidRPr="00843E38">
        <w:rPr>
          <w:rFonts w:ascii="Calibri" w:hAnsi="Calibri" w:cs="Calibri"/>
          <w:b/>
          <w:bCs/>
          <w:noProof/>
          <w:sz w:val="18"/>
          <w:szCs w:val="24"/>
        </w:rPr>
        <w:t>2018</w:t>
      </w:r>
      <w:r w:rsidRPr="00843E38">
        <w:rPr>
          <w:rFonts w:ascii="Calibri" w:hAnsi="Calibri" w:cs="Calibri"/>
          <w:noProof/>
          <w:sz w:val="18"/>
          <w:szCs w:val="24"/>
        </w:rPr>
        <w:t xml:space="preserve">, </w:t>
      </w:r>
      <w:r w:rsidRPr="00843E38">
        <w:rPr>
          <w:rFonts w:ascii="Calibri" w:hAnsi="Calibri" w:cs="Calibri"/>
          <w:i/>
          <w:iCs/>
          <w:noProof/>
          <w:sz w:val="18"/>
          <w:szCs w:val="24"/>
        </w:rPr>
        <w:t>20</w:t>
      </w:r>
      <w:r w:rsidRPr="00843E38">
        <w:rPr>
          <w:rFonts w:ascii="Calibri" w:hAnsi="Calibri" w:cs="Calibri"/>
          <w:noProof/>
          <w:sz w:val="18"/>
          <w:szCs w:val="24"/>
        </w:rPr>
        <w:t>, 373–381, doi:10.1038/s41556-018-0038-y.</w:t>
      </w:r>
    </w:p>
    <w:p w14:paraId="49CD3438"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142. </w:t>
      </w:r>
      <w:r w:rsidRPr="00843E38">
        <w:rPr>
          <w:rFonts w:ascii="Calibri" w:hAnsi="Calibri" w:cs="Calibri"/>
          <w:noProof/>
          <w:sz w:val="18"/>
          <w:szCs w:val="24"/>
        </w:rPr>
        <w:tab/>
        <w:t xml:space="preserve">Lombardi, M.L.; Jaalouk, D.E.; Shanahan, C.M.; Burke, B.; Roux, K.J.; Lammerding, J. The Interaction between Nesprins and Sun Proteins at the Nuclear Envelope Is Critical for Force Transmission between the Nucleus and Cytoskeleton. </w:t>
      </w:r>
      <w:r w:rsidRPr="00843E38">
        <w:rPr>
          <w:rFonts w:ascii="Calibri" w:hAnsi="Calibri" w:cs="Calibri"/>
          <w:i/>
          <w:iCs/>
          <w:noProof/>
          <w:sz w:val="18"/>
          <w:szCs w:val="24"/>
        </w:rPr>
        <w:t>J. Biol. Chem.</w:t>
      </w:r>
      <w:r w:rsidRPr="00843E38">
        <w:rPr>
          <w:rFonts w:ascii="Calibri" w:hAnsi="Calibri" w:cs="Calibri"/>
          <w:noProof/>
          <w:sz w:val="18"/>
          <w:szCs w:val="24"/>
        </w:rPr>
        <w:t xml:space="preserve"> </w:t>
      </w:r>
      <w:r w:rsidRPr="00843E38">
        <w:rPr>
          <w:rFonts w:ascii="Calibri" w:hAnsi="Calibri" w:cs="Calibri"/>
          <w:b/>
          <w:bCs/>
          <w:noProof/>
          <w:sz w:val="18"/>
          <w:szCs w:val="24"/>
        </w:rPr>
        <w:t>2011</w:t>
      </w:r>
      <w:r w:rsidRPr="00843E38">
        <w:rPr>
          <w:rFonts w:ascii="Calibri" w:hAnsi="Calibri" w:cs="Calibri"/>
          <w:noProof/>
          <w:sz w:val="18"/>
          <w:szCs w:val="24"/>
        </w:rPr>
        <w:t xml:space="preserve">, </w:t>
      </w:r>
      <w:r w:rsidRPr="00843E38">
        <w:rPr>
          <w:rFonts w:ascii="Calibri" w:hAnsi="Calibri" w:cs="Calibri"/>
          <w:i/>
          <w:iCs/>
          <w:noProof/>
          <w:sz w:val="18"/>
          <w:szCs w:val="24"/>
        </w:rPr>
        <w:t>286</w:t>
      </w:r>
      <w:r w:rsidRPr="00843E38">
        <w:rPr>
          <w:rFonts w:ascii="Calibri" w:hAnsi="Calibri" w:cs="Calibri"/>
          <w:noProof/>
          <w:sz w:val="18"/>
          <w:szCs w:val="24"/>
        </w:rPr>
        <w:t>, 26743–26753, doi:doi.org/10.1074/jbc.M111.233700.</w:t>
      </w:r>
    </w:p>
    <w:p w14:paraId="60592E2B"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143. </w:t>
      </w:r>
      <w:r w:rsidRPr="00843E38">
        <w:rPr>
          <w:rFonts w:ascii="Calibri" w:hAnsi="Calibri" w:cs="Calibri"/>
          <w:noProof/>
          <w:sz w:val="18"/>
          <w:szCs w:val="24"/>
        </w:rPr>
        <w:tab/>
        <w:t xml:space="preserve">Swift, J.; Ivanovska, I.L.; Buxboim, A.; Harada, T.; Dingal, P.C.D.P.; Pinter, J.; Pajerowski, J.D.; Spinler, K.R.; Shin, J.W.; Tewari, M.; et al. Nuclear Lamin-A Scales with Tissue Stiffness and Enhances Matrix-Directed Differentiation. </w:t>
      </w:r>
      <w:r w:rsidRPr="00843E38">
        <w:rPr>
          <w:rFonts w:ascii="Calibri" w:hAnsi="Calibri" w:cs="Calibri"/>
          <w:i/>
          <w:iCs/>
          <w:noProof/>
          <w:sz w:val="18"/>
          <w:szCs w:val="24"/>
        </w:rPr>
        <w:t>Science (80-. ).</w:t>
      </w:r>
      <w:r w:rsidRPr="00843E38">
        <w:rPr>
          <w:rFonts w:ascii="Calibri" w:hAnsi="Calibri" w:cs="Calibri"/>
          <w:noProof/>
          <w:sz w:val="18"/>
          <w:szCs w:val="24"/>
        </w:rPr>
        <w:t xml:space="preserve"> </w:t>
      </w:r>
      <w:r w:rsidRPr="00843E38">
        <w:rPr>
          <w:rFonts w:ascii="Calibri" w:hAnsi="Calibri" w:cs="Calibri"/>
          <w:b/>
          <w:bCs/>
          <w:noProof/>
          <w:sz w:val="18"/>
          <w:szCs w:val="24"/>
        </w:rPr>
        <w:t>2013</w:t>
      </w:r>
      <w:r w:rsidRPr="00843E38">
        <w:rPr>
          <w:rFonts w:ascii="Calibri" w:hAnsi="Calibri" w:cs="Calibri"/>
          <w:noProof/>
          <w:sz w:val="18"/>
          <w:szCs w:val="24"/>
        </w:rPr>
        <w:t xml:space="preserve">, </w:t>
      </w:r>
      <w:r w:rsidRPr="00843E38">
        <w:rPr>
          <w:rFonts w:ascii="Calibri" w:hAnsi="Calibri" w:cs="Calibri"/>
          <w:i/>
          <w:iCs/>
          <w:noProof/>
          <w:sz w:val="18"/>
          <w:szCs w:val="24"/>
        </w:rPr>
        <w:t>341</w:t>
      </w:r>
      <w:r w:rsidRPr="00843E38">
        <w:rPr>
          <w:rFonts w:ascii="Calibri" w:hAnsi="Calibri" w:cs="Calibri"/>
          <w:noProof/>
          <w:sz w:val="18"/>
          <w:szCs w:val="24"/>
        </w:rPr>
        <w:t>, doi:10.1126/science.1240104.</w:t>
      </w:r>
    </w:p>
    <w:p w14:paraId="584D220E"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144. </w:t>
      </w:r>
      <w:r w:rsidRPr="00843E38">
        <w:rPr>
          <w:rFonts w:ascii="Calibri" w:hAnsi="Calibri" w:cs="Calibri"/>
          <w:noProof/>
          <w:sz w:val="18"/>
          <w:szCs w:val="24"/>
        </w:rPr>
        <w:tab/>
        <w:t xml:space="preserve">Brosig, M.; Ferralli, J.; Gelman, L.; Chiquet, M.; Chiquet-Ehrismann, R. Interfering with the Connection between the Nucleus and the Cytoskeleton Affects Nuclear Rotation, Mechanotransduction and Myogenesis. </w:t>
      </w:r>
      <w:r w:rsidRPr="00843E38">
        <w:rPr>
          <w:rFonts w:ascii="Calibri" w:hAnsi="Calibri" w:cs="Calibri"/>
          <w:i/>
          <w:iCs/>
          <w:noProof/>
          <w:sz w:val="18"/>
          <w:szCs w:val="24"/>
        </w:rPr>
        <w:t>Int. J. Biochem. Cell Biol.</w:t>
      </w:r>
      <w:r w:rsidRPr="00843E38">
        <w:rPr>
          <w:rFonts w:ascii="Calibri" w:hAnsi="Calibri" w:cs="Calibri"/>
          <w:noProof/>
          <w:sz w:val="18"/>
          <w:szCs w:val="24"/>
        </w:rPr>
        <w:t xml:space="preserve"> </w:t>
      </w:r>
      <w:r w:rsidRPr="00843E38">
        <w:rPr>
          <w:rFonts w:ascii="Calibri" w:hAnsi="Calibri" w:cs="Calibri"/>
          <w:b/>
          <w:bCs/>
          <w:noProof/>
          <w:sz w:val="18"/>
          <w:szCs w:val="24"/>
        </w:rPr>
        <w:t>2010</w:t>
      </w:r>
      <w:r w:rsidRPr="00843E38">
        <w:rPr>
          <w:rFonts w:ascii="Calibri" w:hAnsi="Calibri" w:cs="Calibri"/>
          <w:noProof/>
          <w:sz w:val="18"/>
          <w:szCs w:val="24"/>
        </w:rPr>
        <w:t xml:space="preserve">, </w:t>
      </w:r>
      <w:r w:rsidRPr="00843E38">
        <w:rPr>
          <w:rFonts w:ascii="Calibri" w:hAnsi="Calibri" w:cs="Calibri"/>
          <w:i/>
          <w:iCs/>
          <w:noProof/>
          <w:sz w:val="18"/>
          <w:szCs w:val="24"/>
        </w:rPr>
        <w:t>42</w:t>
      </w:r>
      <w:r w:rsidRPr="00843E38">
        <w:rPr>
          <w:rFonts w:ascii="Calibri" w:hAnsi="Calibri" w:cs="Calibri"/>
          <w:noProof/>
          <w:sz w:val="18"/>
          <w:szCs w:val="24"/>
        </w:rPr>
        <w:t>, 1717–1728, doi:10.1016/J.BIOCEL.2010.07.001.</w:t>
      </w:r>
    </w:p>
    <w:p w14:paraId="22204549"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145. </w:t>
      </w:r>
      <w:r w:rsidRPr="00843E38">
        <w:rPr>
          <w:rFonts w:ascii="Calibri" w:hAnsi="Calibri" w:cs="Calibri"/>
          <w:noProof/>
          <w:sz w:val="18"/>
          <w:szCs w:val="24"/>
        </w:rPr>
        <w:tab/>
        <w:t xml:space="preserve">Muchir, A.; van Engelen, B.G.; Lammens, M.; Mislow, J.M.; McNally, E.; Schwartz, K.; Bonne, G. Nuclear Envelope Alterations in Fibroblasts from LGMD1B Patients Carrying Nonsense Y259X Heterozygous or Homozygous Mutation in Lamin A/C Gene. </w:t>
      </w:r>
      <w:r w:rsidRPr="00843E38">
        <w:rPr>
          <w:rFonts w:ascii="Calibri" w:hAnsi="Calibri" w:cs="Calibri"/>
          <w:i/>
          <w:iCs/>
          <w:noProof/>
          <w:sz w:val="18"/>
          <w:szCs w:val="24"/>
        </w:rPr>
        <w:t>Exp. Cell Res.</w:t>
      </w:r>
      <w:r w:rsidRPr="00843E38">
        <w:rPr>
          <w:rFonts w:ascii="Calibri" w:hAnsi="Calibri" w:cs="Calibri"/>
          <w:noProof/>
          <w:sz w:val="18"/>
          <w:szCs w:val="24"/>
        </w:rPr>
        <w:t xml:space="preserve"> </w:t>
      </w:r>
      <w:r w:rsidRPr="00843E38">
        <w:rPr>
          <w:rFonts w:ascii="Calibri" w:hAnsi="Calibri" w:cs="Calibri"/>
          <w:b/>
          <w:bCs/>
          <w:noProof/>
          <w:sz w:val="18"/>
          <w:szCs w:val="24"/>
        </w:rPr>
        <w:t>2003</w:t>
      </w:r>
      <w:r w:rsidRPr="00843E38">
        <w:rPr>
          <w:rFonts w:ascii="Calibri" w:hAnsi="Calibri" w:cs="Calibri"/>
          <w:noProof/>
          <w:sz w:val="18"/>
          <w:szCs w:val="24"/>
        </w:rPr>
        <w:t xml:space="preserve">, </w:t>
      </w:r>
      <w:r w:rsidRPr="00843E38">
        <w:rPr>
          <w:rFonts w:ascii="Calibri" w:hAnsi="Calibri" w:cs="Calibri"/>
          <w:i/>
          <w:iCs/>
          <w:noProof/>
          <w:sz w:val="18"/>
          <w:szCs w:val="24"/>
        </w:rPr>
        <w:t>291</w:t>
      </w:r>
      <w:r w:rsidRPr="00843E38">
        <w:rPr>
          <w:rFonts w:ascii="Calibri" w:hAnsi="Calibri" w:cs="Calibri"/>
          <w:noProof/>
          <w:sz w:val="18"/>
          <w:szCs w:val="24"/>
        </w:rPr>
        <w:t>, 352–362, doi:10.1016/j.yexcr.2003.07.002.</w:t>
      </w:r>
    </w:p>
    <w:p w14:paraId="4B0EBEF6"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146. </w:t>
      </w:r>
      <w:r w:rsidRPr="00843E38">
        <w:rPr>
          <w:rFonts w:ascii="Calibri" w:hAnsi="Calibri" w:cs="Calibri"/>
          <w:noProof/>
          <w:sz w:val="18"/>
          <w:szCs w:val="24"/>
        </w:rPr>
        <w:tab/>
        <w:t xml:space="preserve">Matsumoto, A.; Hieda, M.; Yokoyama, Y.; Nishioka, Y.; Yoshidome, K.; Tsujimoto, M.; Matsuura, N. Global Loss of a Nuclear Lamina Component, Lamin A/C, and LINC Complex Components SUN1, SUN2, and Nesprin-2 in Breast Cancer. </w:t>
      </w:r>
      <w:r w:rsidRPr="00843E38">
        <w:rPr>
          <w:rFonts w:ascii="Calibri" w:hAnsi="Calibri" w:cs="Calibri"/>
          <w:i/>
          <w:iCs/>
          <w:noProof/>
          <w:sz w:val="18"/>
          <w:szCs w:val="24"/>
        </w:rPr>
        <w:t>Cancer Med.</w:t>
      </w:r>
      <w:r w:rsidRPr="00843E38">
        <w:rPr>
          <w:rFonts w:ascii="Calibri" w:hAnsi="Calibri" w:cs="Calibri"/>
          <w:noProof/>
          <w:sz w:val="18"/>
          <w:szCs w:val="24"/>
        </w:rPr>
        <w:t xml:space="preserve"> </w:t>
      </w:r>
      <w:r w:rsidRPr="00843E38">
        <w:rPr>
          <w:rFonts w:ascii="Calibri" w:hAnsi="Calibri" w:cs="Calibri"/>
          <w:b/>
          <w:bCs/>
          <w:noProof/>
          <w:sz w:val="18"/>
          <w:szCs w:val="24"/>
        </w:rPr>
        <w:t>2015</w:t>
      </w:r>
      <w:r w:rsidRPr="00843E38">
        <w:rPr>
          <w:rFonts w:ascii="Calibri" w:hAnsi="Calibri" w:cs="Calibri"/>
          <w:noProof/>
          <w:sz w:val="18"/>
          <w:szCs w:val="24"/>
        </w:rPr>
        <w:t xml:space="preserve">, </w:t>
      </w:r>
      <w:r w:rsidRPr="00843E38">
        <w:rPr>
          <w:rFonts w:ascii="Calibri" w:hAnsi="Calibri" w:cs="Calibri"/>
          <w:i/>
          <w:iCs/>
          <w:noProof/>
          <w:sz w:val="18"/>
          <w:szCs w:val="24"/>
        </w:rPr>
        <w:t>4</w:t>
      </w:r>
      <w:r w:rsidRPr="00843E38">
        <w:rPr>
          <w:rFonts w:ascii="Calibri" w:hAnsi="Calibri" w:cs="Calibri"/>
          <w:noProof/>
          <w:sz w:val="18"/>
          <w:szCs w:val="24"/>
        </w:rPr>
        <w:t>, 1547–1557, doi:10.1002/CAM4.495.</w:t>
      </w:r>
    </w:p>
    <w:p w14:paraId="0FC0BB1D"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147. </w:t>
      </w:r>
      <w:r w:rsidRPr="00843E38">
        <w:rPr>
          <w:rFonts w:ascii="Calibri" w:hAnsi="Calibri" w:cs="Calibri"/>
          <w:noProof/>
          <w:sz w:val="18"/>
          <w:szCs w:val="24"/>
        </w:rPr>
        <w:tab/>
        <w:t xml:space="preserve">Masica, D.L.; Karchin, R. Correlation of Somatic Mutation and Expression Identifies Genes Important in Human Glioblastoma Progression and Survival. </w:t>
      </w:r>
      <w:r w:rsidRPr="00843E38">
        <w:rPr>
          <w:rFonts w:ascii="Calibri" w:hAnsi="Calibri" w:cs="Calibri"/>
          <w:i/>
          <w:iCs/>
          <w:noProof/>
          <w:sz w:val="18"/>
          <w:szCs w:val="24"/>
        </w:rPr>
        <w:t>Cancer Res.</w:t>
      </w:r>
      <w:r w:rsidRPr="00843E38">
        <w:rPr>
          <w:rFonts w:ascii="Calibri" w:hAnsi="Calibri" w:cs="Calibri"/>
          <w:noProof/>
          <w:sz w:val="18"/>
          <w:szCs w:val="24"/>
        </w:rPr>
        <w:t xml:space="preserve"> </w:t>
      </w:r>
      <w:r w:rsidRPr="00843E38">
        <w:rPr>
          <w:rFonts w:ascii="Calibri" w:hAnsi="Calibri" w:cs="Calibri"/>
          <w:b/>
          <w:bCs/>
          <w:noProof/>
          <w:sz w:val="18"/>
          <w:szCs w:val="24"/>
        </w:rPr>
        <w:t>2011</w:t>
      </w:r>
      <w:r w:rsidRPr="00843E38">
        <w:rPr>
          <w:rFonts w:ascii="Calibri" w:hAnsi="Calibri" w:cs="Calibri"/>
          <w:noProof/>
          <w:sz w:val="18"/>
          <w:szCs w:val="24"/>
        </w:rPr>
        <w:t xml:space="preserve">, </w:t>
      </w:r>
      <w:r w:rsidRPr="00843E38">
        <w:rPr>
          <w:rFonts w:ascii="Calibri" w:hAnsi="Calibri" w:cs="Calibri"/>
          <w:i/>
          <w:iCs/>
          <w:noProof/>
          <w:sz w:val="18"/>
          <w:szCs w:val="24"/>
        </w:rPr>
        <w:t>71</w:t>
      </w:r>
      <w:r w:rsidRPr="00843E38">
        <w:rPr>
          <w:rFonts w:ascii="Calibri" w:hAnsi="Calibri" w:cs="Calibri"/>
          <w:noProof/>
          <w:sz w:val="18"/>
          <w:szCs w:val="24"/>
        </w:rPr>
        <w:t>, 4561, doi:10.1158/0008-5472.CAN-11-0180.</w:t>
      </w:r>
    </w:p>
    <w:p w14:paraId="6FD6EF8B"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148. </w:t>
      </w:r>
      <w:r w:rsidRPr="00843E38">
        <w:rPr>
          <w:rFonts w:ascii="Calibri" w:hAnsi="Calibri" w:cs="Calibri"/>
          <w:noProof/>
          <w:sz w:val="18"/>
          <w:szCs w:val="24"/>
        </w:rPr>
        <w:tab/>
        <w:t xml:space="preserve">Xu, Y.; Luo, H.; Hu, Q.; Zhu, H. Identification of Potential Driver Genes Based on Multi-Genomic Data in Cervical Cancer. </w:t>
      </w:r>
      <w:r w:rsidRPr="00843E38">
        <w:rPr>
          <w:rFonts w:ascii="Calibri" w:hAnsi="Calibri" w:cs="Calibri"/>
          <w:i/>
          <w:iCs/>
          <w:noProof/>
          <w:sz w:val="18"/>
          <w:szCs w:val="24"/>
        </w:rPr>
        <w:t>Front. Genet.</w:t>
      </w:r>
      <w:r w:rsidRPr="00843E38">
        <w:rPr>
          <w:rFonts w:ascii="Calibri" w:hAnsi="Calibri" w:cs="Calibri"/>
          <w:noProof/>
          <w:sz w:val="18"/>
          <w:szCs w:val="24"/>
        </w:rPr>
        <w:t xml:space="preserve"> </w:t>
      </w:r>
      <w:r w:rsidRPr="00843E38">
        <w:rPr>
          <w:rFonts w:ascii="Calibri" w:hAnsi="Calibri" w:cs="Calibri"/>
          <w:b/>
          <w:bCs/>
          <w:noProof/>
          <w:sz w:val="18"/>
          <w:szCs w:val="24"/>
        </w:rPr>
        <w:t>2021</w:t>
      </w:r>
      <w:r w:rsidRPr="00843E38">
        <w:rPr>
          <w:rFonts w:ascii="Calibri" w:hAnsi="Calibri" w:cs="Calibri"/>
          <w:noProof/>
          <w:sz w:val="18"/>
          <w:szCs w:val="24"/>
        </w:rPr>
        <w:t xml:space="preserve">, </w:t>
      </w:r>
      <w:r w:rsidRPr="00843E38">
        <w:rPr>
          <w:rFonts w:ascii="Calibri" w:hAnsi="Calibri" w:cs="Calibri"/>
          <w:i/>
          <w:iCs/>
          <w:noProof/>
          <w:sz w:val="18"/>
          <w:szCs w:val="24"/>
        </w:rPr>
        <w:t>12</w:t>
      </w:r>
      <w:r w:rsidRPr="00843E38">
        <w:rPr>
          <w:rFonts w:ascii="Calibri" w:hAnsi="Calibri" w:cs="Calibri"/>
          <w:noProof/>
          <w:sz w:val="18"/>
          <w:szCs w:val="24"/>
        </w:rPr>
        <w:t>, 598304, doi:10.3389/FGENE.2021.598304/FULL.</w:t>
      </w:r>
    </w:p>
    <w:p w14:paraId="23B0A78D"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149. </w:t>
      </w:r>
      <w:r w:rsidRPr="00843E38">
        <w:rPr>
          <w:rFonts w:ascii="Calibri" w:hAnsi="Calibri" w:cs="Calibri"/>
          <w:noProof/>
          <w:sz w:val="18"/>
          <w:szCs w:val="24"/>
        </w:rPr>
        <w:tab/>
        <w:t xml:space="preserve">Zhang, Q.; Narayanan, V.; Mui, K.L.; O’Bryan, C.S.; Anderson, R.H.; KC, B.; Cabe, J.I.; Denis, K.B.; Antoku, S.; Roux, K.J.; et al. Mechanical Stabilization of the Glandular Acinus by Linker of Nucleoskeleton and Cytoskeleton Complex. </w:t>
      </w:r>
      <w:r w:rsidRPr="00843E38">
        <w:rPr>
          <w:rFonts w:ascii="Calibri" w:hAnsi="Calibri" w:cs="Calibri"/>
          <w:i/>
          <w:iCs/>
          <w:noProof/>
          <w:sz w:val="18"/>
          <w:szCs w:val="24"/>
        </w:rPr>
        <w:t>Curr. Biol.</w:t>
      </w:r>
      <w:r w:rsidRPr="00843E38">
        <w:rPr>
          <w:rFonts w:ascii="Calibri" w:hAnsi="Calibri" w:cs="Calibri"/>
          <w:noProof/>
          <w:sz w:val="18"/>
          <w:szCs w:val="24"/>
        </w:rPr>
        <w:t xml:space="preserve"> </w:t>
      </w:r>
      <w:r w:rsidRPr="00843E38">
        <w:rPr>
          <w:rFonts w:ascii="Calibri" w:hAnsi="Calibri" w:cs="Calibri"/>
          <w:b/>
          <w:bCs/>
          <w:noProof/>
          <w:sz w:val="18"/>
          <w:szCs w:val="24"/>
        </w:rPr>
        <w:t>2019</w:t>
      </w:r>
      <w:r w:rsidRPr="00843E38">
        <w:rPr>
          <w:rFonts w:ascii="Calibri" w:hAnsi="Calibri" w:cs="Calibri"/>
          <w:noProof/>
          <w:sz w:val="18"/>
          <w:szCs w:val="24"/>
        </w:rPr>
        <w:t xml:space="preserve">, </w:t>
      </w:r>
      <w:r w:rsidRPr="00843E38">
        <w:rPr>
          <w:rFonts w:ascii="Calibri" w:hAnsi="Calibri" w:cs="Calibri"/>
          <w:i/>
          <w:iCs/>
          <w:noProof/>
          <w:sz w:val="18"/>
          <w:szCs w:val="24"/>
        </w:rPr>
        <w:t>29</w:t>
      </w:r>
      <w:r w:rsidRPr="00843E38">
        <w:rPr>
          <w:rFonts w:ascii="Calibri" w:hAnsi="Calibri" w:cs="Calibri"/>
          <w:noProof/>
          <w:sz w:val="18"/>
          <w:szCs w:val="24"/>
        </w:rPr>
        <w:t>, 2839.e4., doi:10.1016/J.CUB.2019.07.021.</w:t>
      </w:r>
    </w:p>
    <w:p w14:paraId="4B189008"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t xml:space="preserve">150. </w:t>
      </w:r>
      <w:r w:rsidRPr="00843E38">
        <w:rPr>
          <w:rFonts w:ascii="Calibri" w:hAnsi="Calibri" w:cs="Calibri"/>
          <w:noProof/>
          <w:sz w:val="18"/>
          <w:szCs w:val="24"/>
        </w:rPr>
        <w:tab/>
        <w:t xml:space="preserve">De Sandre-Giovannoli, A.; Bernard, R.; Cau, P.; Navarro, C.; Amiel, J.; Boccaccio, I.; Lyonnet, S.; Stewart, C.L.; Munnich, A.; Le Merrer, M.; et al. Lamin A Truncation in Hutchinson-Gilford Progeria. </w:t>
      </w:r>
      <w:r w:rsidRPr="00843E38">
        <w:rPr>
          <w:rFonts w:ascii="Calibri" w:hAnsi="Calibri" w:cs="Calibri"/>
          <w:i/>
          <w:iCs/>
          <w:noProof/>
          <w:sz w:val="18"/>
          <w:szCs w:val="24"/>
        </w:rPr>
        <w:t>Science (80-. ).</w:t>
      </w:r>
      <w:r w:rsidRPr="00843E38">
        <w:rPr>
          <w:rFonts w:ascii="Calibri" w:hAnsi="Calibri" w:cs="Calibri"/>
          <w:noProof/>
          <w:sz w:val="18"/>
          <w:szCs w:val="24"/>
        </w:rPr>
        <w:t xml:space="preserve"> </w:t>
      </w:r>
      <w:r w:rsidRPr="00843E38">
        <w:rPr>
          <w:rFonts w:ascii="Calibri" w:hAnsi="Calibri" w:cs="Calibri"/>
          <w:b/>
          <w:bCs/>
          <w:noProof/>
          <w:sz w:val="18"/>
          <w:szCs w:val="24"/>
        </w:rPr>
        <w:t>2003</w:t>
      </w:r>
      <w:r w:rsidRPr="00843E38">
        <w:rPr>
          <w:rFonts w:ascii="Calibri" w:hAnsi="Calibri" w:cs="Calibri"/>
          <w:noProof/>
          <w:sz w:val="18"/>
          <w:szCs w:val="24"/>
        </w:rPr>
        <w:t xml:space="preserve">, </w:t>
      </w:r>
      <w:r w:rsidRPr="00843E38">
        <w:rPr>
          <w:rFonts w:ascii="Calibri" w:hAnsi="Calibri" w:cs="Calibri"/>
          <w:i/>
          <w:iCs/>
          <w:noProof/>
          <w:sz w:val="18"/>
          <w:szCs w:val="24"/>
        </w:rPr>
        <w:t>300</w:t>
      </w:r>
      <w:r w:rsidRPr="00843E38">
        <w:rPr>
          <w:rFonts w:ascii="Calibri" w:hAnsi="Calibri" w:cs="Calibri"/>
          <w:noProof/>
          <w:sz w:val="18"/>
          <w:szCs w:val="24"/>
        </w:rPr>
        <w:t>, 2055, doi:10.1126/SCIENCE.1084125/SUPPL_FILE/DESANDRE.SOM.PDF.</w:t>
      </w:r>
    </w:p>
    <w:p w14:paraId="085A6B83"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szCs w:val="24"/>
        </w:rPr>
      </w:pPr>
      <w:r w:rsidRPr="00843E38">
        <w:rPr>
          <w:rFonts w:ascii="Calibri" w:hAnsi="Calibri" w:cs="Calibri"/>
          <w:noProof/>
          <w:sz w:val="18"/>
          <w:szCs w:val="24"/>
        </w:rPr>
        <w:lastRenderedPageBreak/>
        <w:t xml:space="preserve">151. </w:t>
      </w:r>
      <w:r w:rsidRPr="00843E38">
        <w:rPr>
          <w:rFonts w:ascii="Calibri" w:hAnsi="Calibri" w:cs="Calibri"/>
          <w:noProof/>
          <w:sz w:val="18"/>
          <w:szCs w:val="24"/>
        </w:rPr>
        <w:tab/>
        <w:t xml:space="preserve">Chang, W.; Wang, Y.; Gant Luxton, G.W.; Östlund, C.; Worman, H.J.; Gundersen, G.G. Imbalanced Nucleocytoskeletal Connections Create Common Polarity Defects in Progeria and Physiological Aging. </w:t>
      </w:r>
      <w:r w:rsidRPr="00843E38">
        <w:rPr>
          <w:rFonts w:ascii="Calibri" w:hAnsi="Calibri" w:cs="Calibri"/>
          <w:i/>
          <w:iCs/>
          <w:noProof/>
          <w:sz w:val="18"/>
          <w:szCs w:val="24"/>
        </w:rPr>
        <w:t>Proc. Natl. Acad. Sci. U. S. A.</w:t>
      </w:r>
      <w:r w:rsidRPr="00843E38">
        <w:rPr>
          <w:rFonts w:ascii="Calibri" w:hAnsi="Calibri" w:cs="Calibri"/>
          <w:noProof/>
          <w:sz w:val="18"/>
          <w:szCs w:val="24"/>
        </w:rPr>
        <w:t xml:space="preserve"> </w:t>
      </w:r>
      <w:r w:rsidRPr="00843E38">
        <w:rPr>
          <w:rFonts w:ascii="Calibri" w:hAnsi="Calibri" w:cs="Calibri"/>
          <w:b/>
          <w:bCs/>
          <w:noProof/>
          <w:sz w:val="18"/>
          <w:szCs w:val="24"/>
        </w:rPr>
        <w:t>2019</w:t>
      </w:r>
      <w:r w:rsidRPr="00843E38">
        <w:rPr>
          <w:rFonts w:ascii="Calibri" w:hAnsi="Calibri" w:cs="Calibri"/>
          <w:noProof/>
          <w:sz w:val="18"/>
          <w:szCs w:val="24"/>
        </w:rPr>
        <w:t xml:space="preserve">, </w:t>
      </w:r>
      <w:r w:rsidRPr="00843E38">
        <w:rPr>
          <w:rFonts w:ascii="Calibri" w:hAnsi="Calibri" w:cs="Calibri"/>
          <w:i/>
          <w:iCs/>
          <w:noProof/>
          <w:sz w:val="18"/>
          <w:szCs w:val="24"/>
        </w:rPr>
        <w:t>116</w:t>
      </w:r>
      <w:r w:rsidRPr="00843E38">
        <w:rPr>
          <w:rFonts w:ascii="Calibri" w:hAnsi="Calibri" w:cs="Calibri"/>
          <w:noProof/>
          <w:sz w:val="18"/>
          <w:szCs w:val="24"/>
        </w:rPr>
        <w:t>, 3578–3583, doi:10.1073/PNAS.1809683116/SUPPL_FILE/PNAS.1809683116.SM03.MP4.</w:t>
      </w:r>
    </w:p>
    <w:p w14:paraId="0FDB2396" w14:textId="77777777" w:rsidR="00843E38" w:rsidRPr="00843E38" w:rsidRDefault="00843E38" w:rsidP="00843E38">
      <w:pPr>
        <w:widowControl w:val="0"/>
        <w:autoSpaceDE w:val="0"/>
        <w:autoSpaceDN w:val="0"/>
        <w:adjustRightInd w:val="0"/>
        <w:spacing w:line="240" w:lineRule="auto"/>
        <w:ind w:left="640" w:hanging="640"/>
        <w:rPr>
          <w:rFonts w:ascii="Calibri" w:hAnsi="Calibri" w:cs="Calibri"/>
          <w:noProof/>
          <w:sz w:val="18"/>
        </w:rPr>
      </w:pPr>
      <w:r w:rsidRPr="00843E38">
        <w:rPr>
          <w:rFonts w:ascii="Calibri" w:hAnsi="Calibri" w:cs="Calibri"/>
          <w:noProof/>
          <w:sz w:val="18"/>
          <w:szCs w:val="24"/>
        </w:rPr>
        <w:t xml:space="preserve">152. </w:t>
      </w:r>
      <w:r w:rsidRPr="00843E38">
        <w:rPr>
          <w:rFonts w:ascii="Calibri" w:hAnsi="Calibri" w:cs="Calibri"/>
          <w:noProof/>
          <w:sz w:val="18"/>
          <w:szCs w:val="24"/>
        </w:rPr>
        <w:tab/>
        <w:t xml:space="preserve">Cann, F.; Corbett, M.; O’Sullivan, D.; Tennant, S.; Hailey, H.; Grieve, J.H.K.; Broadhurst, P.; Rankin, R.; Dean, J.C.S. Phenotype-Driven Molecular Autopsy for Sudden Cardiac Death. </w:t>
      </w:r>
      <w:r w:rsidRPr="00843E38">
        <w:rPr>
          <w:rFonts w:ascii="Calibri" w:hAnsi="Calibri" w:cs="Calibri"/>
          <w:i/>
          <w:iCs/>
          <w:noProof/>
          <w:sz w:val="18"/>
          <w:szCs w:val="24"/>
        </w:rPr>
        <w:t>Clin. Genet.</w:t>
      </w:r>
      <w:r w:rsidRPr="00843E38">
        <w:rPr>
          <w:rFonts w:ascii="Calibri" w:hAnsi="Calibri" w:cs="Calibri"/>
          <w:noProof/>
          <w:sz w:val="18"/>
          <w:szCs w:val="24"/>
        </w:rPr>
        <w:t xml:space="preserve"> </w:t>
      </w:r>
      <w:r w:rsidRPr="00843E38">
        <w:rPr>
          <w:rFonts w:ascii="Calibri" w:hAnsi="Calibri" w:cs="Calibri"/>
          <w:b/>
          <w:bCs/>
          <w:noProof/>
          <w:sz w:val="18"/>
          <w:szCs w:val="24"/>
        </w:rPr>
        <w:t>2017</w:t>
      </w:r>
      <w:r w:rsidRPr="00843E38">
        <w:rPr>
          <w:rFonts w:ascii="Calibri" w:hAnsi="Calibri" w:cs="Calibri"/>
          <w:noProof/>
          <w:sz w:val="18"/>
          <w:szCs w:val="24"/>
        </w:rPr>
        <w:t xml:space="preserve">, </w:t>
      </w:r>
      <w:r w:rsidRPr="00843E38">
        <w:rPr>
          <w:rFonts w:ascii="Calibri" w:hAnsi="Calibri" w:cs="Calibri"/>
          <w:i/>
          <w:iCs/>
          <w:noProof/>
          <w:sz w:val="18"/>
          <w:szCs w:val="24"/>
        </w:rPr>
        <w:t>91</w:t>
      </w:r>
      <w:r w:rsidRPr="00843E38">
        <w:rPr>
          <w:rFonts w:ascii="Calibri" w:hAnsi="Calibri" w:cs="Calibri"/>
          <w:noProof/>
          <w:sz w:val="18"/>
          <w:szCs w:val="24"/>
        </w:rPr>
        <w:t>, 22–29, doi:10.1111/CGE.12778.</w:t>
      </w:r>
    </w:p>
    <w:p w14:paraId="51766982" w14:textId="77777777" w:rsidR="001E66EE" w:rsidRPr="000E4788" w:rsidRDefault="001E66EE" w:rsidP="00843E38">
      <w:pPr>
        <w:widowControl w:val="0"/>
        <w:autoSpaceDE w:val="0"/>
        <w:autoSpaceDN w:val="0"/>
        <w:adjustRightInd w:val="0"/>
        <w:spacing w:line="240" w:lineRule="auto"/>
        <w:ind w:left="640" w:hanging="640"/>
        <w:rPr>
          <w:sz w:val="24"/>
          <w:szCs w:val="24"/>
        </w:rPr>
        <w:sectPr w:rsidR="001E66EE" w:rsidRPr="000E4788">
          <w:pgSz w:w="11906" w:h="16838"/>
          <w:pgMar w:top="1440" w:right="1440" w:bottom="1440" w:left="1440" w:header="708" w:footer="708" w:gutter="0"/>
          <w:cols w:space="708"/>
          <w:docGrid w:linePitch="360"/>
        </w:sectPr>
      </w:pPr>
      <w:r w:rsidRPr="005A1AC5">
        <w:rPr>
          <w:color w:val="2B579A"/>
          <w:sz w:val="18"/>
          <w:szCs w:val="24"/>
          <w:shd w:val="clear" w:color="auto" w:fill="E6E6E6"/>
        </w:rPr>
        <w:fldChar w:fldCharType="end"/>
      </w:r>
    </w:p>
    <w:p w14:paraId="46BA76EB" w14:textId="77777777" w:rsidR="001E66EE" w:rsidRPr="009A5BC9" w:rsidRDefault="001E66EE" w:rsidP="001E66EE">
      <w:pPr>
        <w:rPr>
          <w:sz w:val="4"/>
          <w:szCs w:val="4"/>
        </w:rPr>
      </w:pPr>
    </w:p>
    <w:p w14:paraId="454F7C4D" w14:textId="2C506DB9" w:rsidR="00480258" w:rsidRPr="001E66EE" w:rsidRDefault="00480258" w:rsidP="002469C0">
      <w:pPr>
        <w:jc w:val="right"/>
      </w:pPr>
    </w:p>
    <w:sectPr w:rsidR="00480258" w:rsidRPr="001E66EE" w:rsidSect="00D516E3">
      <w:headerReference w:type="even" r:id="rId16"/>
      <w:headerReference w:type="default" r:id="rId17"/>
      <w:footerReference w:type="default" r:id="rId18"/>
      <w:headerReference w:type="first" r:id="rId19"/>
      <w:footerReference w:type="first" r:id="rId20"/>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9F688" w14:textId="77777777" w:rsidR="0016760A" w:rsidRDefault="0016760A">
      <w:pPr>
        <w:spacing w:line="240" w:lineRule="auto"/>
      </w:pPr>
      <w:r>
        <w:separator/>
      </w:r>
    </w:p>
  </w:endnote>
  <w:endnote w:type="continuationSeparator" w:id="0">
    <w:p w14:paraId="2D87A0AB" w14:textId="77777777" w:rsidR="0016760A" w:rsidRDefault="001676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926652"/>
      <w:docPartObj>
        <w:docPartGallery w:val="Page Numbers (Bottom of Page)"/>
        <w:docPartUnique/>
      </w:docPartObj>
    </w:sdtPr>
    <w:sdtEndPr/>
    <w:sdtContent>
      <w:p w14:paraId="6D548947" w14:textId="77777777" w:rsidR="001E66EE" w:rsidRPr="00362C1B" w:rsidRDefault="001E66EE">
        <w:pPr>
          <w:pStyle w:val="Footer"/>
          <w:jc w:val="center"/>
          <w:rPr>
            <w:sz w:val="2"/>
            <w:szCs w:val="2"/>
          </w:rPr>
        </w:pPr>
        <w:r>
          <w:fldChar w:fldCharType="begin"/>
        </w:r>
        <w:r>
          <w:instrText xml:space="preserve"> PAGE   \* MERGEFORMAT </w:instrText>
        </w:r>
        <w:r>
          <w:fldChar w:fldCharType="separate"/>
        </w:r>
        <w:r>
          <w:t>2</w:t>
        </w:r>
        <w:r>
          <w:fldChar w:fldCharType="end"/>
        </w:r>
      </w:p>
    </w:sdtContent>
  </w:sdt>
  <w:p w14:paraId="5F236625" w14:textId="77777777" w:rsidR="001E66EE" w:rsidRPr="00362C1B" w:rsidRDefault="001E66EE">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98F68" w14:textId="77777777" w:rsidR="00971111" w:rsidRPr="00F2034D" w:rsidRDefault="00971111" w:rsidP="00971111">
    <w:pPr>
      <w:pStyle w:val="Footer"/>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FA71" w14:textId="77777777" w:rsidR="00BA1073" w:rsidRDefault="00BA1073" w:rsidP="00C248F9">
    <w:pPr>
      <w:pBdr>
        <w:top w:val="single" w:sz="4" w:space="0" w:color="000000"/>
      </w:pBdr>
      <w:tabs>
        <w:tab w:val="right" w:pos="8844"/>
      </w:tabs>
      <w:adjustRightInd w:val="0"/>
      <w:snapToGrid w:val="0"/>
      <w:spacing w:before="480" w:line="100" w:lineRule="exact"/>
      <w:jc w:val="left"/>
      <w:rPr>
        <w:i/>
        <w:sz w:val="16"/>
        <w:szCs w:val="16"/>
      </w:rPr>
    </w:pPr>
  </w:p>
  <w:p w14:paraId="21CFB1BF" w14:textId="77777777" w:rsidR="00971111" w:rsidRPr="00372FCD" w:rsidRDefault="00971111" w:rsidP="00154913">
    <w:pPr>
      <w:tabs>
        <w:tab w:val="right" w:pos="10466"/>
      </w:tabs>
      <w:adjustRightInd w:val="0"/>
      <w:snapToGrid w:val="0"/>
      <w:spacing w:line="240" w:lineRule="auto"/>
      <w:rPr>
        <w:sz w:val="16"/>
        <w:szCs w:val="16"/>
        <w:lang w:val="fr-CH"/>
      </w:rPr>
    </w:pPr>
    <w:r w:rsidRPr="00547466">
      <w:rPr>
        <w:i/>
        <w:sz w:val="16"/>
        <w:szCs w:val="16"/>
      </w:rPr>
      <w:t>Cells</w:t>
    </w:r>
    <w:r>
      <w:rPr>
        <w:i/>
        <w:sz w:val="16"/>
        <w:szCs w:val="16"/>
      </w:rPr>
      <w:t xml:space="preserve"> </w:t>
    </w:r>
    <w:r w:rsidR="000F3D7C">
      <w:rPr>
        <w:b/>
        <w:bCs/>
        <w:iCs/>
        <w:sz w:val="16"/>
        <w:szCs w:val="16"/>
      </w:rPr>
      <w:t>2022</w:t>
    </w:r>
    <w:r w:rsidR="005C3BB4" w:rsidRPr="005C3BB4">
      <w:rPr>
        <w:bCs/>
        <w:iCs/>
        <w:sz w:val="16"/>
        <w:szCs w:val="16"/>
      </w:rPr>
      <w:t>,</w:t>
    </w:r>
    <w:r w:rsidR="000F3D7C">
      <w:rPr>
        <w:bCs/>
        <w:i/>
        <w:iCs/>
        <w:sz w:val="16"/>
        <w:szCs w:val="16"/>
      </w:rPr>
      <w:t xml:space="preserve"> 11</w:t>
    </w:r>
    <w:r w:rsidR="005C3BB4" w:rsidRPr="005C3BB4">
      <w:rPr>
        <w:bCs/>
        <w:iCs/>
        <w:sz w:val="16"/>
        <w:szCs w:val="16"/>
      </w:rPr>
      <w:t xml:space="preserve">, </w:t>
    </w:r>
    <w:r w:rsidR="003F6859">
      <w:rPr>
        <w:bCs/>
        <w:iCs/>
        <w:sz w:val="16"/>
        <w:szCs w:val="16"/>
      </w:rPr>
      <w:t>x</w:t>
    </w:r>
    <w:r w:rsidR="00BA1073">
      <w:rPr>
        <w:bCs/>
        <w:iCs/>
        <w:sz w:val="16"/>
        <w:szCs w:val="16"/>
      </w:rPr>
      <w:t>. https://doi.org/10.3390/xxxxx</w:t>
    </w:r>
    <w:r w:rsidR="00154913" w:rsidRPr="00372FCD">
      <w:rPr>
        <w:sz w:val="16"/>
        <w:szCs w:val="16"/>
        <w:lang w:val="fr-CH"/>
      </w:rPr>
      <w:tab/>
    </w:r>
    <w:r w:rsidRPr="00372FCD">
      <w:rPr>
        <w:sz w:val="16"/>
        <w:szCs w:val="16"/>
        <w:lang w:val="fr-CH"/>
      </w:rPr>
      <w:t>www.mdpi.com/journal/</w:t>
    </w:r>
    <w:r w:rsidRPr="00547466">
      <w:rPr>
        <w:sz w:val="16"/>
        <w:szCs w:val="16"/>
      </w:rPr>
      <w:t>cells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7BC4A" w14:textId="77777777" w:rsidR="0016760A" w:rsidRDefault="0016760A">
      <w:pPr>
        <w:spacing w:line="240" w:lineRule="auto"/>
      </w:pPr>
      <w:r>
        <w:separator/>
      </w:r>
    </w:p>
  </w:footnote>
  <w:footnote w:type="continuationSeparator" w:id="0">
    <w:p w14:paraId="74D754CF" w14:textId="77777777" w:rsidR="0016760A" w:rsidRDefault="001676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B0FE" w14:textId="77777777" w:rsidR="001E66EE" w:rsidRPr="00805797" w:rsidRDefault="001E66EE">
    <w:pPr>
      <w:pStyle w:val="Header"/>
      <w:rPr>
        <w:sz w:val="2"/>
        <w:szCs w:val="2"/>
      </w:rPr>
    </w:pPr>
  </w:p>
  <w:p w14:paraId="383DD432" w14:textId="77777777" w:rsidR="001E66EE" w:rsidRPr="00362C1B" w:rsidRDefault="001E66EE">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35EE6" w14:textId="77777777" w:rsidR="00971111" w:rsidRDefault="00971111" w:rsidP="00971111">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013A2" w14:textId="77777777" w:rsidR="00BA1073" w:rsidRDefault="00971111" w:rsidP="00154913">
    <w:pPr>
      <w:tabs>
        <w:tab w:val="right" w:pos="10466"/>
      </w:tabs>
      <w:adjustRightInd w:val="0"/>
      <w:snapToGrid w:val="0"/>
      <w:spacing w:line="240" w:lineRule="auto"/>
      <w:rPr>
        <w:sz w:val="16"/>
      </w:rPr>
    </w:pPr>
    <w:r>
      <w:rPr>
        <w:i/>
        <w:sz w:val="16"/>
      </w:rPr>
      <w:t xml:space="preserve">Cells </w:t>
    </w:r>
    <w:r w:rsidR="000F3D7C">
      <w:rPr>
        <w:b/>
        <w:sz w:val="16"/>
      </w:rPr>
      <w:t>2022</w:t>
    </w:r>
    <w:r w:rsidR="005C3BB4" w:rsidRPr="005C3BB4">
      <w:rPr>
        <w:sz w:val="16"/>
      </w:rPr>
      <w:t>,</w:t>
    </w:r>
    <w:r w:rsidR="000F3D7C">
      <w:rPr>
        <w:i/>
        <w:sz w:val="16"/>
      </w:rPr>
      <w:t xml:space="preserve"> 11</w:t>
    </w:r>
    <w:r w:rsidR="003F6859">
      <w:rPr>
        <w:sz w:val="16"/>
      </w:rPr>
      <w:t>, x FOR PEER REVIEW</w:t>
    </w:r>
    <w:r w:rsidR="00154913">
      <w:rPr>
        <w:sz w:val="16"/>
      </w:rPr>
      <w:tab/>
    </w:r>
    <w:r w:rsidR="003F6859">
      <w:rPr>
        <w:sz w:val="16"/>
      </w:rPr>
      <w:fldChar w:fldCharType="begin"/>
    </w:r>
    <w:r w:rsidR="003F6859">
      <w:rPr>
        <w:sz w:val="16"/>
      </w:rPr>
      <w:instrText xml:space="preserve"> PAGE   \* MERGEFORMAT </w:instrText>
    </w:r>
    <w:r w:rsidR="003F6859">
      <w:rPr>
        <w:sz w:val="16"/>
      </w:rPr>
      <w:fldChar w:fldCharType="separate"/>
    </w:r>
    <w:r w:rsidR="00724E98">
      <w:rPr>
        <w:sz w:val="16"/>
      </w:rPr>
      <w:t>5</w:t>
    </w:r>
    <w:r w:rsidR="003F6859">
      <w:rPr>
        <w:sz w:val="16"/>
      </w:rPr>
      <w:fldChar w:fldCharType="end"/>
    </w:r>
    <w:r w:rsidR="003F6859">
      <w:rPr>
        <w:sz w:val="16"/>
      </w:rPr>
      <w:t xml:space="preserve"> of </w:t>
    </w:r>
    <w:r w:rsidR="003F6859">
      <w:rPr>
        <w:sz w:val="16"/>
      </w:rPr>
      <w:fldChar w:fldCharType="begin"/>
    </w:r>
    <w:r w:rsidR="003F6859">
      <w:rPr>
        <w:sz w:val="16"/>
      </w:rPr>
      <w:instrText xml:space="preserve"> NUMPAGES   \* MERGEFORMAT </w:instrText>
    </w:r>
    <w:r w:rsidR="003F6859">
      <w:rPr>
        <w:sz w:val="16"/>
      </w:rPr>
      <w:fldChar w:fldCharType="separate"/>
    </w:r>
    <w:r w:rsidR="00724E98">
      <w:rPr>
        <w:sz w:val="16"/>
      </w:rPr>
      <w:t>5</w:t>
    </w:r>
    <w:r w:rsidR="003F6859">
      <w:rPr>
        <w:sz w:val="16"/>
      </w:rPr>
      <w:fldChar w:fldCharType="end"/>
    </w:r>
  </w:p>
  <w:p w14:paraId="408E1F4B" w14:textId="77777777" w:rsidR="00971111" w:rsidRPr="0013498B" w:rsidRDefault="00971111" w:rsidP="00C248F9">
    <w:pPr>
      <w:pBdr>
        <w:bottom w:val="single" w:sz="4" w:space="1" w:color="000000"/>
      </w:pBdr>
      <w:tabs>
        <w:tab w:val="right" w:pos="8844"/>
      </w:tabs>
      <w:adjustRightInd w:val="0"/>
      <w:snapToGrid w:val="0"/>
      <w:spacing w:after="480" w:line="100" w:lineRule="exact"/>
      <w:jc w:val="left"/>
      <w:rPr>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BA1073" w:rsidRPr="00154913" w14:paraId="07C034B5" w14:textId="77777777" w:rsidTr="00154913">
      <w:trPr>
        <w:trHeight w:val="686"/>
      </w:trPr>
      <w:tc>
        <w:tcPr>
          <w:tcW w:w="3679" w:type="dxa"/>
          <w:shd w:val="clear" w:color="auto" w:fill="auto"/>
          <w:vAlign w:val="center"/>
        </w:tcPr>
        <w:p w14:paraId="07E9CE70" w14:textId="77777777" w:rsidR="00BA1073" w:rsidRPr="00910C8D" w:rsidRDefault="00933314" w:rsidP="00154913">
          <w:pPr>
            <w:pStyle w:val="Header"/>
            <w:pBdr>
              <w:bottom w:val="none" w:sz="0" w:space="0" w:color="auto"/>
            </w:pBdr>
            <w:jc w:val="left"/>
            <w:rPr>
              <w:rFonts w:eastAsia="DengXian"/>
              <w:b/>
              <w:bCs/>
            </w:rPr>
          </w:pPr>
          <w:r w:rsidRPr="00910C8D">
            <w:rPr>
              <w:rFonts w:eastAsia="DengXian"/>
              <w:b/>
              <w:bCs/>
              <w:noProof/>
            </w:rPr>
            <w:drawing>
              <wp:inline distT="0" distB="0" distL="0" distR="0" wp14:anchorId="7814EFE5" wp14:editId="56441662">
                <wp:extent cx="1198245" cy="429260"/>
                <wp:effectExtent l="0" t="0" r="0" b="0"/>
                <wp:docPr id="1" name="Picture 5" descr="C:\Users\home\Desktop\logos\带白边的logo\Biology-Data\Cells\Cells_high-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带白边的logo\Biology-Data\Cells\Cells_high-01.png"/>
                        <pic:cNvPicPr>
                          <a:picLocks noChangeAspect="1" noChangeArrowheads="1"/>
                        </pic:cNvPicPr>
                      </pic:nvPicPr>
                      <pic:blipFill>
                        <a:blip r:embed="rId1">
                          <a:extLst>
                            <a:ext uri="{28A0092B-C50C-407E-A947-70E740481C1C}">
                              <a14:useLocalDpi xmlns:a14="http://schemas.microsoft.com/office/drawing/2010/main" val="0"/>
                            </a:ext>
                          </a:extLst>
                        </a:blip>
                        <a:srcRect l="4626" t="10658" b="9895"/>
                        <a:stretch>
                          <a:fillRect/>
                        </a:stretch>
                      </pic:blipFill>
                      <pic:spPr bwMode="auto">
                        <a:xfrm>
                          <a:off x="0" y="0"/>
                          <a:ext cx="1198245" cy="429260"/>
                        </a:xfrm>
                        <a:prstGeom prst="rect">
                          <a:avLst/>
                        </a:prstGeom>
                        <a:noFill/>
                        <a:ln>
                          <a:noFill/>
                        </a:ln>
                      </pic:spPr>
                    </pic:pic>
                  </a:graphicData>
                </a:graphic>
              </wp:inline>
            </w:drawing>
          </w:r>
        </w:p>
      </w:tc>
      <w:tc>
        <w:tcPr>
          <w:tcW w:w="4535" w:type="dxa"/>
          <w:shd w:val="clear" w:color="auto" w:fill="auto"/>
          <w:vAlign w:val="center"/>
        </w:tcPr>
        <w:p w14:paraId="2FA16366" w14:textId="77777777" w:rsidR="00BA1073" w:rsidRPr="00910C8D" w:rsidRDefault="00BA1073" w:rsidP="00154913">
          <w:pPr>
            <w:pStyle w:val="Header"/>
            <w:pBdr>
              <w:bottom w:val="none" w:sz="0" w:space="0" w:color="auto"/>
            </w:pBdr>
            <w:rPr>
              <w:rFonts w:eastAsia="DengXian"/>
              <w:b/>
              <w:bCs/>
            </w:rPr>
          </w:pPr>
        </w:p>
      </w:tc>
      <w:tc>
        <w:tcPr>
          <w:tcW w:w="2273" w:type="dxa"/>
          <w:shd w:val="clear" w:color="auto" w:fill="auto"/>
          <w:vAlign w:val="center"/>
        </w:tcPr>
        <w:p w14:paraId="5D6F092F" w14:textId="77777777" w:rsidR="00BA1073" w:rsidRPr="00910C8D" w:rsidRDefault="00933314" w:rsidP="00154913">
          <w:pPr>
            <w:pStyle w:val="Header"/>
            <w:pBdr>
              <w:bottom w:val="none" w:sz="0" w:space="0" w:color="auto"/>
            </w:pBdr>
            <w:jc w:val="right"/>
            <w:rPr>
              <w:rFonts w:eastAsia="DengXian"/>
              <w:b/>
              <w:bCs/>
            </w:rPr>
          </w:pPr>
          <w:r w:rsidRPr="00910C8D">
            <w:rPr>
              <w:rFonts w:eastAsia="DengXian"/>
              <w:b/>
              <w:bCs/>
              <w:noProof/>
            </w:rPr>
            <w:drawing>
              <wp:inline distT="0" distB="0" distL="0" distR="0" wp14:anchorId="0D1B808D" wp14:editId="731F579E">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73B2B50E" w14:textId="77777777" w:rsidR="00971111" w:rsidRPr="00BA1073" w:rsidRDefault="00971111" w:rsidP="00C248F9">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18C8EE34"/>
    <w:lvl w:ilvl="0" w:tplc="CE182E06">
      <w:start w:val="1"/>
      <w:numFmt w:val="decimal"/>
      <w:lvlRestart w:val="0"/>
      <w:pStyle w:val="MDPI37itemize"/>
      <w:lvlText w:val="%1."/>
      <w:lvlJc w:val="left"/>
      <w:pPr>
        <w:ind w:left="3033"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D008A1"/>
    <w:multiLevelType w:val="hybridMultilevel"/>
    <w:tmpl w:val="007850F4"/>
    <w:lvl w:ilvl="0" w:tplc="896219D2">
      <w:start w:val="1"/>
      <w:numFmt w:val="decimal"/>
      <w:lvlRestart w:val="0"/>
      <w:pStyle w:val="MDPI71Referenc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EA1001D6"/>
    <w:lvl w:ilvl="0" w:tplc="39087B84">
      <w:start w:val="1"/>
      <w:numFmt w:val="decimal"/>
      <w:lvlRestart w:val="0"/>
      <w:pStyle w:val="MDPI71FootNotes"/>
      <w:lvlText w:val="%1."/>
      <w:lvlJc w:val="left"/>
      <w:pPr>
        <w:ind w:left="425" w:hanging="425"/>
      </w:pPr>
      <w:rPr>
        <w:rFonts w:hint="default"/>
        <w:vertAlign w:val="superscrip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D4182B"/>
    <w:multiLevelType w:val="hybridMultilevel"/>
    <w:tmpl w:val="1A36C9B0"/>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3416FC"/>
    <w:multiLevelType w:val="hybridMultilevel"/>
    <w:tmpl w:val="DEC83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EE4189"/>
    <w:multiLevelType w:val="hybridMultilevel"/>
    <w:tmpl w:val="C37E3612"/>
    <w:lvl w:ilvl="0" w:tplc="1B62C4E2">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934B56"/>
    <w:multiLevelType w:val="hybridMultilevel"/>
    <w:tmpl w:val="CE02A670"/>
    <w:lvl w:ilvl="0" w:tplc="07ACB6A8">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num w:numId="1">
    <w:abstractNumId w:val="5"/>
  </w:num>
  <w:num w:numId="2">
    <w:abstractNumId w:val="7"/>
  </w:num>
  <w:num w:numId="3">
    <w:abstractNumId w:val="3"/>
  </w:num>
  <w:num w:numId="4">
    <w:abstractNumId w:val="6"/>
  </w:num>
  <w:num w:numId="5">
    <w:abstractNumId w:val="9"/>
  </w:num>
  <w:num w:numId="6">
    <w:abstractNumId w:val="2"/>
  </w:num>
  <w:num w:numId="7">
    <w:abstractNumId w:val="9"/>
  </w:num>
  <w:num w:numId="8">
    <w:abstractNumId w:val="2"/>
  </w:num>
  <w:num w:numId="9">
    <w:abstractNumId w:val="9"/>
  </w:num>
  <w:num w:numId="10">
    <w:abstractNumId w:val="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3"/>
  </w:num>
  <w:num w:numId="14">
    <w:abstractNumId w:val="9"/>
  </w:num>
  <w:num w:numId="15">
    <w:abstractNumId w:val="2"/>
  </w:num>
  <w:num w:numId="16">
    <w:abstractNumId w:val="0"/>
  </w:num>
  <w:num w:numId="17">
    <w:abstractNumId w:val="8"/>
  </w:num>
  <w:num w:numId="18">
    <w:abstractNumId w:val="0"/>
  </w:num>
  <w:num w:numId="19">
    <w:abstractNumId w:val="9"/>
  </w:num>
  <w:num w:numId="20">
    <w:abstractNumId w:val="2"/>
  </w:num>
  <w:num w:numId="21">
    <w:abstractNumId w:val="0"/>
  </w:num>
  <w:num w:numId="22">
    <w:abstractNumId w:val="14"/>
  </w:num>
  <w:num w:numId="23">
    <w:abstractNumId w:val="1"/>
  </w:num>
  <w:num w:numId="24">
    <w:abstractNumId w:val="12"/>
  </w:num>
  <w:num w:numId="25">
    <w:abstractNumId w:val="4"/>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2s7AwMLcwMzc3MDNS0lEKTi0uzszPAykwrgUA64Zn0SwAAAA="/>
  </w:docVars>
  <w:rsids>
    <w:rsidRoot w:val="001E66EE"/>
    <w:rsid w:val="00003AEE"/>
    <w:rsid w:val="000077D0"/>
    <w:rsid w:val="00007AB1"/>
    <w:rsid w:val="00014B2D"/>
    <w:rsid w:val="00027665"/>
    <w:rsid w:val="00034824"/>
    <w:rsid w:val="00036FA8"/>
    <w:rsid w:val="000377C3"/>
    <w:rsid w:val="00056CB1"/>
    <w:rsid w:val="0007350A"/>
    <w:rsid w:val="0008004C"/>
    <w:rsid w:val="00091E0C"/>
    <w:rsid w:val="00096B09"/>
    <w:rsid w:val="000A6692"/>
    <w:rsid w:val="000B6527"/>
    <w:rsid w:val="000C0792"/>
    <w:rsid w:val="000C0A10"/>
    <w:rsid w:val="000C0D7C"/>
    <w:rsid w:val="000C31B9"/>
    <w:rsid w:val="000E4397"/>
    <w:rsid w:val="000F3D7C"/>
    <w:rsid w:val="0010080C"/>
    <w:rsid w:val="00103ABD"/>
    <w:rsid w:val="00124F8A"/>
    <w:rsid w:val="00125D86"/>
    <w:rsid w:val="001330A9"/>
    <w:rsid w:val="00141264"/>
    <w:rsid w:val="00146297"/>
    <w:rsid w:val="001469F1"/>
    <w:rsid w:val="00154913"/>
    <w:rsid w:val="00156246"/>
    <w:rsid w:val="0016760A"/>
    <w:rsid w:val="00173C7D"/>
    <w:rsid w:val="001A27D0"/>
    <w:rsid w:val="001C00FC"/>
    <w:rsid w:val="001C0209"/>
    <w:rsid w:val="001C38FB"/>
    <w:rsid w:val="001E2AEB"/>
    <w:rsid w:val="001E2C02"/>
    <w:rsid w:val="001E66EE"/>
    <w:rsid w:val="002108BB"/>
    <w:rsid w:val="00211B04"/>
    <w:rsid w:val="0022138C"/>
    <w:rsid w:val="00222C4C"/>
    <w:rsid w:val="002230EE"/>
    <w:rsid w:val="00233DFE"/>
    <w:rsid w:val="00236BEF"/>
    <w:rsid w:val="0024576E"/>
    <w:rsid w:val="00245CF3"/>
    <w:rsid w:val="002469C0"/>
    <w:rsid w:val="00254875"/>
    <w:rsid w:val="00264A8B"/>
    <w:rsid w:val="002718E3"/>
    <w:rsid w:val="00292B87"/>
    <w:rsid w:val="00293B61"/>
    <w:rsid w:val="002A7CBF"/>
    <w:rsid w:val="002E0674"/>
    <w:rsid w:val="003010C8"/>
    <w:rsid w:val="0032364D"/>
    <w:rsid w:val="003256B3"/>
    <w:rsid w:val="00326141"/>
    <w:rsid w:val="00327521"/>
    <w:rsid w:val="003322B7"/>
    <w:rsid w:val="003477C9"/>
    <w:rsid w:val="00350574"/>
    <w:rsid w:val="003531E5"/>
    <w:rsid w:val="00355D6E"/>
    <w:rsid w:val="00363CEF"/>
    <w:rsid w:val="00385063"/>
    <w:rsid w:val="0039076D"/>
    <w:rsid w:val="0039361C"/>
    <w:rsid w:val="003A7FD6"/>
    <w:rsid w:val="003B25B0"/>
    <w:rsid w:val="003D0897"/>
    <w:rsid w:val="003D14B8"/>
    <w:rsid w:val="003D619F"/>
    <w:rsid w:val="003D7446"/>
    <w:rsid w:val="003E3D26"/>
    <w:rsid w:val="003F5D54"/>
    <w:rsid w:val="003F6859"/>
    <w:rsid w:val="00401D30"/>
    <w:rsid w:val="004377F7"/>
    <w:rsid w:val="00442299"/>
    <w:rsid w:val="00442BA1"/>
    <w:rsid w:val="00445E9E"/>
    <w:rsid w:val="004637A5"/>
    <w:rsid w:val="00480258"/>
    <w:rsid w:val="00480683"/>
    <w:rsid w:val="004A3674"/>
    <w:rsid w:val="004B2B04"/>
    <w:rsid w:val="004C2BA5"/>
    <w:rsid w:val="004D4344"/>
    <w:rsid w:val="004E10F3"/>
    <w:rsid w:val="004E6A47"/>
    <w:rsid w:val="004F4CA8"/>
    <w:rsid w:val="00506353"/>
    <w:rsid w:val="0053202B"/>
    <w:rsid w:val="005440A7"/>
    <w:rsid w:val="005665FF"/>
    <w:rsid w:val="00571B42"/>
    <w:rsid w:val="00577C42"/>
    <w:rsid w:val="00587A2B"/>
    <w:rsid w:val="00587FCB"/>
    <w:rsid w:val="00594844"/>
    <w:rsid w:val="005A13A0"/>
    <w:rsid w:val="005A1AC5"/>
    <w:rsid w:val="005B101F"/>
    <w:rsid w:val="005C3BB4"/>
    <w:rsid w:val="005D6B39"/>
    <w:rsid w:val="005E1801"/>
    <w:rsid w:val="005E28D6"/>
    <w:rsid w:val="005F2806"/>
    <w:rsid w:val="005F3ED2"/>
    <w:rsid w:val="005F77B7"/>
    <w:rsid w:val="006115E5"/>
    <w:rsid w:val="00614122"/>
    <w:rsid w:val="0063445C"/>
    <w:rsid w:val="00640DDC"/>
    <w:rsid w:val="006419F6"/>
    <w:rsid w:val="006573CF"/>
    <w:rsid w:val="00657CE6"/>
    <w:rsid w:val="0066793B"/>
    <w:rsid w:val="00670A10"/>
    <w:rsid w:val="00674463"/>
    <w:rsid w:val="006834F1"/>
    <w:rsid w:val="00687DF5"/>
    <w:rsid w:val="006904DA"/>
    <w:rsid w:val="00692393"/>
    <w:rsid w:val="006A71DB"/>
    <w:rsid w:val="006C3737"/>
    <w:rsid w:val="006F18D9"/>
    <w:rsid w:val="00700F8F"/>
    <w:rsid w:val="00705552"/>
    <w:rsid w:val="00705AFE"/>
    <w:rsid w:val="007154EF"/>
    <w:rsid w:val="0072010E"/>
    <w:rsid w:val="0072289F"/>
    <w:rsid w:val="00723F43"/>
    <w:rsid w:val="00724E98"/>
    <w:rsid w:val="00730768"/>
    <w:rsid w:val="0073548A"/>
    <w:rsid w:val="0079378A"/>
    <w:rsid w:val="007A27D9"/>
    <w:rsid w:val="007A42A9"/>
    <w:rsid w:val="007A78F7"/>
    <w:rsid w:val="007E144A"/>
    <w:rsid w:val="007E4849"/>
    <w:rsid w:val="007E5152"/>
    <w:rsid w:val="007E6D36"/>
    <w:rsid w:val="007F25EE"/>
    <w:rsid w:val="007F69B9"/>
    <w:rsid w:val="00803530"/>
    <w:rsid w:val="00813CEC"/>
    <w:rsid w:val="008152BE"/>
    <w:rsid w:val="00816234"/>
    <w:rsid w:val="00843E38"/>
    <w:rsid w:val="0084424D"/>
    <w:rsid w:val="00846311"/>
    <w:rsid w:val="008727EF"/>
    <w:rsid w:val="00892CDD"/>
    <w:rsid w:val="008B18F3"/>
    <w:rsid w:val="008C1B5A"/>
    <w:rsid w:val="008C7F0C"/>
    <w:rsid w:val="008D2579"/>
    <w:rsid w:val="008F0FEC"/>
    <w:rsid w:val="008F3BB4"/>
    <w:rsid w:val="008F5B35"/>
    <w:rsid w:val="00900C00"/>
    <w:rsid w:val="00904204"/>
    <w:rsid w:val="0090511C"/>
    <w:rsid w:val="00910C8D"/>
    <w:rsid w:val="00911797"/>
    <w:rsid w:val="0091598C"/>
    <w:rsid w:val="009211AA"/>
    <w:rsid w:val="00933314"/>
    <w:rsid w:val="00935E3B"/>
    <w:rsid w:val="00937D64"/>
    <w:rsid w:val="0095514A"/>
    <w:rsid w:val="0095732C"/>
    <w:rsid w:val="0096110B"/>
    <w:rsid w:val="00967A38"/>
    <w:rsid w:val="00971081"/>
    <w:rsid w:val="00971111"/>
    <w:rsid w:val="00973720"/>
    <w:rsid w:val="00977422"/>
    <w:rsid w:val="00985F8B"/>
    <w:rsid w:val="009933DC"/>
    <w:rsid w:val="009957E6"/>
    <w:rsid w:val="009A44F6"/>
    <w:rsid w:val="009B4E1A"/>
    <w:rsid w:val="009C29A6"/>
    <w:rsid w:val="009C681E"/>
    <w:rsid w:val="009F6ED9"/>
    <w:rsid w:val="009F70E6"/>
    <w:rsid w:val="00A00DE7"/>
    <w:rsid w:val="00A05BC8"/>
    <w:rsid w:val="00A15BA5"/>
    <w:rsid w:val="00A15EFF"/>
    <w:rsid w:val="00A259C2"/>
    <w:rsid w:val="00A34BA1"/>
    <w:rsid w:val="00A42885"/>
    <w:rsid w:val="00A43EEF"/>
    <w:rsid w:val="00A61C5F"/>
    <w:rsid w:val="00A65DC9"/>
    <w:rsid w:val="00A67311"/>
    <w:rsid w:val="00A74472"/>
    <w:rsid w:val="00A80672"/>
    <w:rsid w:val="00A86B56"/>
    <w:rsid w:val="00A97DC5"/>
    <w:rsid w:val="00AA2AD5"/>
    <w:rsid w:val="00AC754B"/>
    <w:rsid w:val="00AD0033"/>
    <w:rsid w:val="00AD0A91"/>
    <w:rsid w:val="00AD7376"/>
    <w:rsid w:val="00B02203"/>
    <w:rsid w:val="00B12FA5"/>
    <w:rsid w:val="00B32CDA"/>
    <w:rsid w:val="00B4582E"/>
    <w:rsid w:val="00B613D5"/>
    <w:rsid w:val="00B72B40"/>
    <w:rsid w:val="00B913E8"/>
    <w:rsid w:val="00BA1073"/>
    <w:rsid w:val="00BE3C93"/>
    <w:rsid w:val="00BE4627"/>
    <w:rsid w:val="00BE4865"/>
    <w:rsid w:val="00C00F51"/>
    <w:rsid w:val="00C044CC"/>
    <w:rsid w:val="00C15C91"/>
    <w:rsid w:val="00C248F9"/>
    <w:rsid w:val="00C33A0A"/>
    <w:rsid w:val="00C47469"/>
    <w:rsid w:val="00C7286F"/>
    <w:rsid w:val="00CA6A09"/>
    <w:rsid w:val="00CC5A41"/>
    <w:rsid w:val="00CC7C3B"/>
    <w:rsid w:val="00CE5115"/>
    <w:rsid w:val="00CF2280"/>
    <w:rsid w:val="00D06ACA"/>
    <w:rsid w:val="00D246C0"/>
    <w:rsid w:val="00D34717"/>
    <w:rsid w:val="00D465C1"/>
    <w:rsid w:val="00D516E3"/>
    <w:rsid w:val="00D51997"/>
    <w:rsid w:val="00D527A8"/>
    <w:rsid w:val="00D5322D"/>
    <w:rsid w:val="00D54FEE"/>
    <w:rsid w:val="00D665CD"/>
    <w:rsid w:val="00DA2491"/>
    <w:rsid w:val="00DA3C03"/>
    <w:rsid w:val="00DB138D"/>
    <w:rsid w:val="00DB372E"/>
    <w:rsid w:val="00DD4557"/>
    <w:rsid w:val="00DD5693"/>
    <w:rsid w:val="00DE22D7"/>
    <w:rsid w:val="00DE25E8"/>
    <w:rsid w:val="00DE5128"/>
    <w:rsid w:val="00DE5FCE"/>
    <w:rsid w:val="00DE7946"/>
    <w:rsid w:val="00DE7FA3"/>
    <w:rsid w:val="00DF6686"/>
    <w:rsid w:val="00E06E64"/>
    <w:rsid w:val="00E23E98"/>
    <w:rsid w:val="00E240B0"/>
    <w:rsid w:val="00E301DC"/>
    <w:rsid w:val="00E311B4"/>
    <w:rsid w:val="00E41345"/>
    <w:rsid w:val="00E50BC4"/>
    <w:rsid w:val="00E63514"/>
    <w:rsid w:val="00E84202"/>
    <w:rsid w:val="00E949D7"/>
    <w:rsid w:val="00EC0DEB"/>
    <w:rsid w:val="00ED1436"/>
    <w:rsid w:val="00ED2822"/>
    <w:rsid w:val="00ED68ED"/>
    <w:rsid w:val="00EE0616"/>
    <w:rsid w:val="00EF0B1A"/>
    <w:rsid w:val="00EF6F5F"/>
    <w:rsid w:val="00EF7EB9"/>
    <w:rsid w:val="00F52C2C"/>
    <w:rsid w:val="00F53871"/>
    <w:rsid w:val="00F64DC2"/>
    <w:rsid w:val="00FA27CB"/>
    <w:rsid w:val="00FF62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D563A"/>
  <w15:docId w15:val="{D0F545C1-2263-4D40-9E53-8FE9C7A95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258"/>
    <w:pPr>
      <w:spacing w:line="260" w:lineRule="atLeast"/>
      <w:jc w:val="both"/>
    </w:pPr>
    <w:rPr>
      <w:rFonts w:ascii="Palatino Linotype" w:hAnsi="Palatino Linotype"/>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480258"/>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480258"/>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480258"/>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480258"/>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480258"/>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480258"/>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480258"/>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5A1AC5"/>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657CE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480258"/>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80258"/>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480258"/>
    <w:rPr>
      <w:rFonts w:ascii="Palatino Linotype" w:hAnsi="Palatino Linotype"/>
      <w:noProof/>
      <w:color w:val="000000"/>
      <w:szCs w:val="18"/>
    </w:rPr>
  </w:style>
  <w:style w:type="paragraph" w:styleId="Header">
    <w:name w:val="header"/>
    <w:basedOn w:val="Normal"/>
    <w:link w:val="HeaderChar"/>
    <w:uiPriority w:val="99"/>
    <w:rsid w:val="00480258"/>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480258"/>
    <w:rPr>
      <w:rFonts w:ascii="Palatino Linotype" w:hAnsi="Palatino Linotype"/>
      <w:noProof/>
      <w:color w:val="000000"/>
      <w:szCs w:val="18"/>
    </w:rPr>
  </w:style>
  <w:style w:type="paragraph" w:customStyle="1" w:styleId="MDPIheaderjournallogo">
    <w:name w:val="MDPI_header_journal_logo"/>
    <w:qFormat/>
    <w:rsid w:val="00480258"/>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480258"/>
    <w:pPr>
      <w:ind w:firstLine="0"/>
    </w:pPr>
  </w:style>
  <w:style w:type="paragraph" w:customStyle="1" w:styleId="MDPI31text">
    <w:name w:val="MDPI_3.1_text"/>
    <w:qFormat/>
    <w:rsid w:val="00D34717"/>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480258"/>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48025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480258"/>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A13A0"/>
    <w:pPr>
      <w:numPr>
        <w:numId w:val="21"/>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A13A0"/>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480258"/>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480258"/>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480258"/>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442299"/>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480258"/>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480258"/>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480258"/>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480258"/>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480258"/>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480258"/>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A13A0"/>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480258"/>
    <w:rPr>
      <w:rFonts w:cs="Tahoma"/>
      <w:szCs w:val="18"/>
    </w:rPr>
  </w:style>
  <w:style w:type="character" w:customStyle="1" w:styleId="BalloonTextChar">
    <w:name w:val="Balloon Text Char"/>
    <w:link w:val="BalloonText"/>
    <w:uiPriority w:val="99"/>
    <w:rsid w:val="00480258"/>
    <w:rPr>
      <w:rFonts w:ascii="Palatino Linotype" w:hAnsi="Palatino Linotype" w:cs="Tahoma"/>
      <w:noProof/>
      <w:color w:val="000000"/>
      <w:szCs w:val="18"/>
    </w:rPr>
  </w:style>
  <w:style w:type="character" w:styleId="LineNumber">
    <w:name w:val="line number"/>
    <w:uiPriority w:val="99"/>
    <w:rsid w:val="00D516E3"/>
    <w:rPr>
      <w:rFonts w:ascii="Palatino Linotype" w:hAnsi="Palatino Linotype"/>
      <w:sz w:val="16"/>
    </w:rPr>
  </w:style>
  <w:style w:type="table" w:customStyle="1" w:styleId="MDPI41threelinetable">
    <w:name w:val="MDPI_4.1_three_line_table"/>
    <w:basedOn w:val="TableNormal"/>
    <w:uiPriority w:val="99"/>
    <w:rsid w:val="00480258"/>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480258"/>
    <w:rPr>
      <w:color w:val="0000FF"/>
      <w:u w:val="single"/>
    </w:rPr>
  </w:style>
  <w:style w:type="character" w:styleId="UnresolvedMention">
    <w:name w:val="Unresolved Mention"/>
    <w:uiPriority w:val="99"/>
    <w:unhideWhenUsed/>
    <w:rsid w:val="00D465C1"/>
    <w:rPr>
      <w:color w:val="605E5C"/>
      <w:shd w:val="clear" w:color="auto" w:fill="E1DFDD"/>
    </w:rPr>
  </w:style>
  <w:style w:type="table" w:styleId="PlainTable4">
    <w:name w:val="Plain Table 4"/>
    <w:basedOn w:val="TableNormal"/>
    <w:uiPriority w:val="44"/>
    <w:rsid w:val="005C3B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480258"/>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480258"/>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480258"/>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480258"/>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480258"/>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480258"/>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F3D7C"/>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480258"/>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480258"/>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480258"/>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480258"/>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480258"/>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480258"/>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480258"/>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480258"/>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480258"/>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480258"/>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480258"/>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480258"/>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480258"/>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480258"/>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480258"/>
  </w:style>
  <w:style w:type="paragraph" w:styleId="Bibliography">
    <w:name w:val="Bibliography"/>
    <w:basedOn w:val="Normal"/>
    <w:next w:val="Normal"/>
    <w:uiPriority w:val="37"/>
    <w:semiHidden/>
    <w:unhideWhenUsed/>
    <w:rsid w:val="00480258"/>
  </w:style>
  <w:style w:type="paragraph" w:styleId="BodyText">
    <w:name w:val="Body Text"/>
    <w:link w:val="BodyTextChar"/>
    <w:rsid w:val="00480258"/>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480258"/>
    <w:rPr>
      <w:rFonts w:ascii="Palatino Linotype" w:hAnsi="Palatino Linotype"/>
      <w:color w:val="000000"/>
      <w:sz w:val="24"/>
      <w:lang w:eastAsia="de-DE"/>
    </w:rPr>
  </w:style>
  <w:style w:type="character" w:styleId="CommentReference">
    <w:name w:val="annotation reference"/>
    <w:uiPriority w:val="99"/>
    <w:rsid w:val="00480258"/>
    <w:rPr>
      <w:sz w:val="21"/>
      <w:szCs w:val="21"/>
    </w:rPr>
  </w:style>
  <w:style w:type="paragraph" w:styleId="CommentText">
    <w:name w:val="annotation text"/>
    <w:basedOn w:val="Normal"/>
    <w:link w:val="CommentTextChar"/>
    <w:uiPriority w:val="99"/>
    <w:rsid w:val="00480258"/>
  </w:style>
  <w:style w:type="character" w:customStyle="1" w:styleId="CommentTextChar">
    <w:name w:val="Comment Text Char"/>
    <w:link w:val="CommentText"/>
    <w:uiPriority w:val="99"/>
    <w:rsid w:val="00480258"/>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480258"/>
    <w:rPr>
      <w:b/>
      <w:bCs/>
    </w:rPr>
  </w:style>
  <w:style w:type="character" w:customStyle="1" w:styleId="CommentSubjectChar">
    <w:name w:val="Comment Subject Char"/>
    <w:link w:val="CommentSubject"/>
    <w:uiPriority w:val="99"/>
    <w:rsid w:val="00480258"/>
    <w:rPr>
      <w:rFonts w:ascii="Palatino Linotype" w:hAnsi="Palatino Linotype"/>
      <w:b/>
      <w:bCs/>
      <w:noProof/>
      <w:color w:val="000000"/>
    </w:rPr>
  </w:style>
  <w:style w:type="character" w:styleId="EndnoteReference">
    <w:name w:val="endnote reference"/>
    <w:rsid w:val="00480258"/>
    <w:rPr>
      <w:vertAlign w:val="superscript"/>
    </w:rPr>
  </w:style>
  <w:style w:type="paragraph" w:styleId="EndnoteText">
    <w:name w:val="endnote text"/>
    <w:basedOn w:val="Normal"/>
    <w:link w:val="EndnoteTextChar"/>
    <w:semiHidden/>
    <w:unhideWhenUsed/>
    <w:rsid w:val="00480258"/>
    <w:pPr>
      <w:spacing w:line="240" w:lineRule="auto"/>
    </w:pPr>
  </w:style>
  <w:style w:type="character" w:customStyle="1" w:styleId="EndnoteTextChar">
    <w:name w:val="Endnote Text Char"/>
    <w:link w:val="EndnoteText"/>
    <w:semiHidden/>
    <w:rsid w:val="00480258"/>
    <w:rPr>
      <w:rFonts w:ascii="Palatino Linotype" w:hAnsi="Palatino Linotype"/>
      <w:noProof/>
      <w:color w:val="000000"/>
    </w:rPr>
  </w:style>
  <w:style w:type="character" w:styleId="FollowedHyperlink">
    <w:name w:val="FollowedHyperlink"/>
    <w:rsid w:val="00480258"/>
    <w:rPr>
      <w:color w:val="954F72"/>
      <w:u w:val="single"/>
    </w:rPr>
  </w:style>
  <w:style w:type="paragraph" w:styleId="FootnoteText">
    <w:name w:val="footnote text"/>
    <w:basedOn w:val="Normal"/>
    <w:link w:val="FootnoteTextChar"/>
    <w:uiPriority w:val="99"/>
    <w:semiHidden/>
    <w:unhideWhenUsed/>
    <w:rsid w:val="00480258"/>
    <w:pPr>
      <w:spacing w:line="240" w:lineRule="auto"/>
    </w:pPr>
  </w:style>
  <w:style w:type="character" w:customStyle="1" w:styleId="FootnoteTextChar">
    <w:name w:val="Footnote Text Char"/>
    <w:link w:val="FootnoteText"/>
    <w:uiPriority w:val="99"/>
    <w:semiHidden/>
    <w:rsid w:val="00480258"/>
    <w:rPr>
      <w:rFonts w:ascii="Palatino Linotype" w:hAnsi="Palatino Linotype"/>
      <w:noProof/>
      <w:color w:val="000000"/>
    </w:rPr>
  </w:style>
  <w:style w:type="paragraph" w:styleId="NormalWeb">
    <w:name w:val="Normal (Web)"/>
    <w:basedOn w:val="Normal"/>
    <w:uiPriority w:val="99"/>
    <w:rsid w:val="00480258"/>
    <w:rPr>
      <w:szCs w:val="24"/>
    </w:rPr>
  </w:style>
  <w:style w:type="paragraph" w:customStyle="1" w:styleId="MsoFootnoteText0">
    <w:name w:val="MsoFootnoteText"/>
    <w:basedOn w:val="NormalWeb"/>
    <w:qFormat/>
    <w:rsid w:val="00480258"/>
    <w:rPr>
      <w:rFonts w:ascii="Times New Roman" w:hAnsi="Times New Roman"/>
    </w:rPr>
  </w:style>
  <w:style w:type="character" w:styleId="PageNumber">
    <w:name w:val="page number"/>
    <w:rsid w:val="00480258"/>
  </w:style>
  <w:style w:type="character" w:styleId="PlaceholderText">
    <w:name w:val="Placeholder Text"/>
    <w:uiPriority w:val="99"/>
    <w:semiHidden/>
    <w:rsid w:val="00480258"/>
    <w:rPr>
      <w:color w:val="808080"/>
    </w:rPr>
  </w:style>
  <w:style w:type="paragraph" w:customStyle="1" w:styleId="MDPI71FootNotes">
    <w:name w:val="MDPI_7.1_FootNotes"/>
    <w:qFormat/>
    <w:rsid w:val="005A13A0"/>
    <w:pPr>
      <w:numPr>
        <w:numId w:val="20"/>
      </w:numPr>
      <w:adjustRightInd w:val="0"/>
      <w:snapToGrid w:val="0"/>
      <w:spacing w:line="228" w:lineRule="auto"/>
    </w:pPr>
    <w:rPr>
      <w:rFonts w:ascii="Palatino Linotype" w:eastAsiaTheme="minorEastAsia" w:hAnsi="Palatino Linotype"/>
      <w:noProof/>
      <w:color w:val="000000"/>
      <w:sz w:val="18"/>
    </w:rPr>
  </w:style>
  <w:style w:type="paragraph" w:styleId="ListParagraph">
    <w:name w:val="List Paragraph"/>
    <w:basedOn w:val="Normal"/>
    <w:uiPriority w:val="34"/>
    <w:qFormat/>
    <w:rsid w:val="001E66EE"/>
    <w:pPr>
      <w:spacing w:after="160" w:line="259" w:lineRule="auto"/>
      <w:ind w:left="720"/>
      <w:contextualSpacing/>
      <w:jc w:val="left"/>
    </w:pPr>
    <w:rPr>
      <w:rFonts w:asciiTheme="minorHAnsi" w:eastAsiaTheme="minorHAnsi" w:hAnsiTheme="minorHAnsi" w:cstheme="minorBidi"/>
      <w:color w:val="auto"/>
      <w:sz w:val="22"/>
      <w:szCs w:val="22"/>
      <w:lang w:val="en-GB" w:eastAsia="en-US"/>
    </w:rPr>
  </w:style>
  <w:style w:type="character" w:styleId="Mention">
    <w:name w:val="Mention"/>
    <w:basedOn w:val="DefaultParagraphFont"/>
    <w:uiPriority w:val="99"/>
    <w:unhideWhenUsed/>
    <w:rsid w:val="001E66EE"/>
    <w:rPr>
      <w:color w:val="2B579A"/>
      <w:shd w:val="clear" w:color="auto" w:fill="E6E6E6"/>
    </w:rPr>
  </w:style>
  <w:style w:type="paragraph" w:styleId="Caption">
    <w:name w:val="caption"/>
    <w:basedOn w:val="Normal"/>
    <w:next w:val="Normal"/>
    <w:uiPriority w:val="35"/>
    <w:unhideWhenUsed/>
    <w:qFormat/>
    <w:rsid w:val="001E66EE"/>
    <w:pPr>
      <w:spacing w:after="200" w:line="240" w:lineRule="auto"/>
      <w:jc w:val="left"/>
    </w:pPr>
    <w:rPr>
      <w:rFonts w:asciiTheme="minorHAnsi" w:eastAsiaTheme="minorHAnsi" w:hAnsiTheme="minorHAnsi" w:cstheme="minorBidi"/>
      <w:i/>
      <w:iCs/>
      <w:color w:val="44546A" w:themeColor="text2"/>
      <w:sz w:val="18"/>
      <w:szCs w:val="18"/>
      <w:lang w:val="en-GB" w:eastAsia="en-US"/>
    </w:rPr>
  </w:style>
  <w:style w:type="paragraph" w:styleId="Revision">
    <w:name w:val="Revision"/>
    <w:hidden/>
    <w:uiPriority w:val="99"/>
    <w:semiHidden/>
    <w:rsid w:val="001E66EE"/>
    <w:rPr>
      <w:rFonts w:asciiTheme="minorHAnsi" w:eastAsiaTheme="minorHAnsi" w:hAnsiTheme="minorHAnsi" w:cstheme="minorBidi"/>
      <w:sz w:val="22"/>
      <w:szCs w:val="22"/>
      <w:lang w:val="en-GB" w:eastAsia="en-US"/>
    </w:rPr>
  </w:style>
  <w:style w:type="character" w:styleId="FootnoteReference">
    <w:name w:val="footnote reference"/>
    <w:basedOn w:val="DefaultParagraphFont"/>
    <w:uiPriority w:val="99"/>
    <w:semiHidden/>
    <w:unhideWhenUsed/>
    <w:rsid w:val="001E66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tiff"/><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cells-template-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278F3-31AF-413C-B420-BB2DF2315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cells-template-new</Template>
  <TotalTime>1468</TotalTime>
  <Pages>29</Pages>
  <Words>102694</Words>
  <Characters>585356</Characters>
  <Application>Microsoft Office Word</Application>
  <DocSecurity>0</DocSecurity>
  <Lines>4877</Lines>
  <Paragraphs>1373</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686677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Heidi Fuller</cp:lastModifiedBy>
  <cp:revision>12</cp:revision>
  <cp:lastPrinted>2022-11-14T06:37:00Z</cp:lastPrinted>
  <dcterms:created xsi:type="dcterms:W3CDTF">2022-12-08T11:23:00Z</dcterms:created>
  <dcterms:modified xsi:type="dcterms:W3CDTF">2022-12-13T09:02:00Z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3bddd53b-09a8-405c-916d-d5eb9d7ec92b</vt:lpwstr>
  </property>
  <property fmtid="{D5CDD505-2E9C-101B-9397-08002B2CF9AE}" pid="3" name="Mendeley Document_1">
    <vt:lpwstr>True</vt:lpwstr>
  </property>
  <property fmtid="{D5CDD505-2E9C-101B-9397-08002B2CF9AE}" pid="4" name="Mendeley Unique User Id_1">
    <vt:lpwstr>db875c12-7136-388c-8a8d-b0959e32de48</vt:lpwstr>
  </property>
  <property fmtid="{D5CDD505-2E9C-101B-9397-08002B2CF9AE}" pid="5" name="Mendeley Citation Style_1">
    <vt:lpwstr>http://www.zotero.org/styles/cells</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http://www.zotero.org/styles/cells</vt:lpwstr>
  </property>
  <property fmtid="{D5CDD505-2E9C-101B-9397-08002B2CF9AE}" pid="15" name="Mendeley Recent Style Name 4_1">
    <vt:lpwstr>Cells</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http://www.zotero.org/styles/european-journal-of-medical-genetics</vt:lpwstr>
  </property>
  <property fmtid="{D5CDD505-2E9C-101B-9397-08002B2CF9AE}" pid="19" name="Mendeley Recent Style Name 6_1">
    <vt:lpwstr>European Journal of Medical Genetics</vt:lpwstr>
  </property>
  <property fmtid="{D5CDD505-2E9C-101B-9397-08002B2CF9AE}" pid="20" name="Mendeley Recent Style Id 7_1">
    <vt:lpwstr>http://www.zotero.org/styles/harvard1</vt:lpwstr>
  </property>
  <property fmtid="{D5CDD505-2E9C-101B-9397-08002B2CF9AE}" pid="21" name="Mendeley Recent Style Name 7_1">
    <vt:lpwstr>Harvard reference format 1 (deprecated)</vt:lpwstr>
  </property>
  <property fmtid="{D5CDD505-2E9C-101B-9397-08002B2CF9AE}" pid="22" name="Mendeley Recent Style Id 8_1">
    <vt:lpwstr>http://www.zotero.org/styles/ieee</vt:lpwstr>
  </property>
  <property fmtid="{D5CDD505-2E9C-101B-9397-08002B2CF9AE}" pid="23" name="Mendeley Recent Style Name 8_1">
    <vt:lpwstr>IEEE</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