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80A" w:rsidRPr="007B1B12" w:rsidRDefault="007D680A" w:rsidP="002D2DFE">
      <w:pPr>
        <w:spacing w:line="480" w:lineRule="auto"/>
        <w:rPr>
          <w:b/>
        </w:rPr>
      </w:pPr>
      <w:bookmarkStart w:id="0" w:name="_GoBack"/>
      <w:bookmarkEnd w:id="0"/>
      <w:r w:rsidRPr="007B1B12">
        <w:rPr>
          <w:b/>
        </w:rPr>
        <w:t>The application of tribology in assessing texture perception of oral liquid medicines.</w:t>
      </w:r>
    </w:p>
    <w:p w:rsidR="007D680A" w:rsidRPr="007B1B12" w:rsidRDefault="007D680A" w:rsidP="002D2DFE">
      <w:pPr>
        <w:spacing w:line="480" w:lineRule="auto"/>
      </w:pPr>
      <w:r w:rsidRPr="007B1B12">
        <w:t>Hannah Batchelor</w:t>
      </w:r>
      <w:r w:rsidRPr="004C3AB4">
        <w:rPr>
          <w:vertAlign w:val="superscript"/>
        </w:rPr>
        <w:t>1</w:t>
      </w:r>
      <w:r w:rsidRPr="007B1B12">
        <w:t>, Rebecca Venables</w:t>
      </w:r>
      <w:r w:rsidRPr="004C3AB4">
        <w:rPr>
          <w:vertAlign w:val="superscript"/>
        </w:rPr>
        <w:t>2</w:t>
      </w:r>
      <w:r w:rsidRPr="007B1B12">
        <w:t>, John Marriott</w:t>
      </w:r>
      <w:r w:rsidRPr="00A63619">
        <w:rPr>
          <w:vertAlign w:val="superscript"/>
        </w:rPr>
        <w:t>1</w:t>
      </w:r>
      <w:r w:rsidRPr="007B1B12">
        <w:t xml:space="preserve"> and Tom Mills</w:t>
      </w:r>
      <w:r>
        <w:rPr>
          <w:vertAlign w:val="superscript"/>
        </w:rPr>
        <w:t>3</w:t>
      </w:r>
    </w:p>
    <w:p w:rsidR="007D680A" w:rsidRDefault="007D680A" w:rsidP="002D2DFE">
      <w:pPr>
        <w:spacing w:line="480" w:lineRule="auto"/>
      </w:pPr>
    </w:p>
    <w:p w:rsidR="007D680A" w:rsidRDefault="007D680A" w:rsidP="002D2DFE">
      <w:pPr>
        <w:pStyle w:val="ListParagraph"/>
        <w:numPr>
          <w:ilvl w:val="0"/>
          <w:numId w:val="23"/>
        </w:numPr>
        <w:spacing w:line="480" w:lineRule="auto"/>
      </w:pPr>
      <w:r>
        <w:t xml:space="preserve">Pharmacy and Therapeutics Section, School of Clinical and Experimental Medicine, College of Medical and Dental Sciences, Medical School Building, University of Birmingham, Edgbaston, B15 2TT </w:t>
      </w:r>
    </w:p>
    <w:p w:rsidR="007D680A" w:rsidRDefault="007D680A" w:rsidP="002D2DFE">
      <w:pPr>
        <w:pStyle w:val="ListParagraph"/>
        <w:numPr>
          <w:ilvl w:val="0"/>
          <w:numId w:val="23"/>
        </w:numPr>
        <w:spacing w:line="480" w:lineRule="auto"/>
      </w:pPr>
      <w:r>
        <w:t>School of Pharmacy, Hornbeam Building, Keele University, Keele, Staffordshire, ST5 5BG</w:t>
      </w:r>
    </w:p>
    <w:p w:rsidR="007D680A" w:rsidRDefault="007D680A" w:rsidP="002D2DFE">
      <w:pPr>
        <w:pStyle w:val="ListParagraph"/>
        <w:numPr>
          <w:ilvl w:val="0"/>
          <w:numId w:val="23"/>
        </w:numPr>
        <w:spacing w:line="480" w:lineRule="auto"/>
      </w:pPr>
      <w:r>
        <w:t>School of Chemical Engineering, University of Birmingham, Edgbaston, Birmingham, B15 2TT</w:t>
      </w:r>
    </w:p>
    <w:p w:rsidR="007D680A" w:rsidRDefault="007D680A" w:rsidP="002D2DFE">
      <w:pPr>
        <w:pStyle w:val="ListParagraph"/>
        <w:spacing w:line="480" w:lineRule="auto"/>
      </w:pPr>
    </w:p>
    <w:p w:rsidR="007D680A" w:rsidRDefault="007D680A" w:rsidP="002D2DFE">
      <w:pPr>
        <w:spacing w:line="480" w:lineRule="auto"/>
      </w:pPr>
    </w:p>
    <w:p w:rsidR="007D680A" w:rsidRDefault="007D680A" w:rsidP="002D2DFE">
      <w:pPr>
        <w:spacing w:line="480" w:lineRule="auto"/>
      </w:pPr>
      <w:r>
        <w:t xml:space="preserve">Corresponding author: Hannah Batchelor. Email: h.k.batchelor@bham.ac.uk   </w:t>
      </w:r>
    </w:p>
    <w:p w:rsidR="007D680A" w:rsidRDefault="007D680A" w:rsidP="002D2DFE">
      <w:pPr>
        <w:spacing w:line="480" w:lineRule="auto"/>
      </w:pPr>
      <w:r>
        <w:t xml:space="preserve">Pharmacy and Therapeutics Section, School of Clinical and Experimental Medicine, College of Medical and Dental Sciences, Medical School Building, University of Birmingham, Edgbaston, B15 2TT </w:t>
      </w:r>
    </w:p>
    <w:p w:rsidR="007D680A" w:rsidRDefault="007D680A" w:rsidP="002D2DFE">
      <w:pPr>
        <w:spacing w:line="480" w:lineRule="auto"/>
      </w:pPr>
      <w:r>
        <w:t>Phone: +44 (0)121 414 3717</w:t>
      </w:r>
    </w:p>
    <w:p w:rsidR="007D680A" w:rsidRPr="007B1B12" w:rsidRDefault="007D680A" w:rsidP="002D2DFE">
      <w:pPr>
        <w:spacing w:line="480" w:lineRule="auto"/>
      </w:pPr>
    </w:p>
    <w:p w:rsidR="007D680A" w:rsidRDefault="007D680A" w:rsidP="002D2DFE">
      <w:pPr>
        <w:spacing w:line="480" w:lineRule="auto"/>
        <w:rPr>
          <w:b/>
        </w:rPr>
      </w:pPr>
    </w:p>
    <w:p w:rsidR="007D680A" w:rsidRPr="007B1B12" w:rsidRDefault="007D680A" w:rsidP="002D2DFE">
      <w:pPr>
        <w:spacing w:line="480" w:lineRule="auto"/>
        <w:rPr>
          <w:b/>
        </w:rPr>
      </w:pPr>
      <w:r w:rsidRPr="007B1B12">
        <w:rPr>
          <w:b/>
        </w:rPr>
        <w:t>Abstract</w:t>
      </w:r>
    </w:p>
    <w:p w:rsidR="007D680A" w:rsidRDefault="007D680A" w:rsidP="002D2DFE">
      <w:pPr>
        <w:spacing w:line="480" w:lineRule="auto"/>
      </w:pPr>
      <w:r>
        <w:t xml:space="preserve">The palatability of medicines is likely to have a significant impact on patient adherence and consequently, on the safety and efficacy of a medicinal product. Palatability encompasses properties of medicines not limited to taste including swallowability (e.g. size, shape, </w:t>
      </w:r>
      <w:r>
        <w:lastRenderedPageBreak/>
        <w:t>texture). However, there has been limited work undertaken to measure the texture of medicines and how this may affect palatability and subsequent adherence.</w:t>
      </w:r>
    </w:p>
    <w:p w:rsidR="007D680A" w:rsidRPr="00D3172D" w:rsidRDefault="007D680A" w:rsidP="002D2DFE">
      <w:pPr>
        <w:spacing w:line="480" w:lineRule="auto"/>
      </w:pPr>
      <w:r w:rsidRPr="007B1B12">
        <w:t xml:space="preserve">Tribology offers an understanding of oral processes and </w:t>
      </w:r>
      <w:r w:rsidRPr="00D3172D">
        <w:t xml:space="preserve">can allow physical properties of materials to be linked to “mouthfeel”. This paper describes a preliminary application of tribology to oral liquid medicines </w:t>
      </w:r>
      <w:r>
        <w:t>and demonstrates that</w:t>
      </w:r>
      <w:r w:rsidRPr="00D3172D">
        <w:t xml:space="preserve"> this technique is useful in the development of future oral liquid medicines. </w:t>
      </w:r>
    </w:p>
    <w:p w:rsidR="007D680A" w:rsidRPr="00D3172D" w:rsidRDefault="007D680A" w:rsidP="002D2DFE">
      <w:pPr>
        <w:spacing w:line="480" w:lineRule="auto"/>
        <w:rPr>
          <w:b/>
        </w:rPr>
      </w:pPr>
      <w:r w:rsidRPr="00D3172D">
        <w:rPr>
          <w:b/>
        </w:rPr>
        <w:t>Keywords: Tribology</w:t>
      </w:r>
      <w:r>
        <w:rPr>
          <w:b/>
        </w:rPr>
        <w:t xml:space="preserve">, texture, mouthfeel, medicine, </w:t>
      </w:r>
    </w:p>
    <w:p w:rsidR="007D680A" w:rsidRDefault="007D680A" w:rsidP="002D2DFE">
      <w:pPr>
        <w:spacing w:line="480" w:lineRule="auto"/>
      </w:pPr>
    </w:p>
    <w:p w:rsidR="007D680A" w:rsidRDefault="007D680A" w:rsidP="002D2DFE">
      <w:pPr>
        <w:spacing w:line="480" w:lineRule="auto"/>
        <w:rPr>
          <w:b/>
        </w:rPr>
      </w:pPr>
      <w:r>
        <w:rPr>
          <w:noProof/>
          <w:lang w:eastAsia="en-GB"/>
        </w:rPr>
        <w:drawing>
          <wp:anchor distT="0" distB="0" distL="114300" distR="114300" simplePos="0" relativeHeight="251661312" behindDoc="0" locked="0" layoutInCell="1" allowOverlap="1" wp14:anchorId="39B1D0DA" wp14:editId="75A6067F">
            <wp:simplePos x="0" y="0"/>
            <wp:positionH relativeFrom="column">
              <wp:posOffset>1951630</wp:posOffset>
            </wp:positionH>
            <wp:positionV relativeFrom="paragraph">
              <wp:posOffset>243717</wp:posOffset>
            </wp:positionV>
            <wp:extent cx="2059509" cy="1207827"/>
            <wp:effectExtent l="0" t="0" r="0" b="0"/>
            <wp:wrapNone/>
            <wp:docPr id="9" name="Picture 9" descr="Schematic of MT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tic of MTM2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2902" cy="12098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D47">
        <w:rPr>
          <w:b/>
        </w:rPr>
        <w:t>Graphical abstract</w:t>
      </w:r>
    </w:p>
    <w:p w:rsidR="007D680A" w:rsidRDefault="007D680A" w:rsidP="002D2DFE">
      <w:pPr>
        <w:spacing w:line="480" w:lineRule="auto"/>
        <w:rPr>
          <w:b/>
        </w:rPr>
      </w:pPr>
      <w:r>
        <w:rPr>
          <w:noProof/>
          <w:lang w:eastAsia="en-GB"/>
        </w:rPr>
        <w:drawing>
          <wp:anchor distT="0" distB="0" distL="114300" distR="114300" simplePos="0" relativeHeight="251662336" behindDoc="0" locked="0" layoutInCell="1" allowOverlap="1" wp14:anchorId="7D542507" wp14:editId="201D7727">
            <wp:simplePos x="0" y="0"/>
            <wp:positionH relativeFrom="column">
              <wp:posOffset>4182110</wp:posOffset>
            </wp:positionH>
            <wp:positionV relativeFrom="paragraph">
              <wp:posOffset>-635</wp:posOffset>
            </wp:positionV>
            <wp:extent cx="1993900" cy="1029970"/>
            <wp:effectExtent l="0" t="0" r="6350" b="0"/>
            <wp:wrapNone/>
            <wp:docPr id="10" name="Picture 10" descr="http://nebula.wsimg.com/45e47cd8f3512bc3abb7bd3d16b2bfd5?AccessKeyId=D94639891A03D149BF37&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bula.wsimg.com/45e47cd8f3512bc3abb7bd3d16b2bfd5?AccessKeyId=D94639891A03D149BF37&amp;disposition=0&amp;alloworigin=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390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570E584" wp14:editId="7721C454">
            <wp:extent cx="1530743" cy="1139588"/>
            <wp:effectExtent l="0" t="0" r="0" b="3810"/>
            <wp:docPr id="8" name="Picture 8" descr="http://www.doctorpulse.co/wp-content/uploads/2014/07/Liquid-med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ctorpulse.co/wp-content/uploads/2014/07/Liquid-medicat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709" cy="1139563"/>
                    </a:xfrm>
                    <a:prstGeom prst="rect">
                      <a:avLst/>
                    </a:prstGeom>
                    <a:noFill/>
                    <a:ln>
                      <a:noFill/>
                    </a:ln>
                  </pic:spPr>
                </pic:pic>
              </a:graphicData>
            </a:graphic>
          </wp:inline>
        </w:drawing>
      </w:r>
      <w:r w:rsidRPr="00047D47">
        <w:rPr>
          <w:b/>
        </w:rPr>
        <w:t xml:space="preserve"> </w:t>
      </w:r>
    </w:p>
    <w:p w:rsidR="007D680A" w:rsidRDefault="007D680A" w:rsidP="002D2DFE">
      <w:pPr>
        <w:spacing w:line="480" w:lineRule="auto"/>
        <w:rPr>
          <w:b/>
        </w:rPr>
      </w:pPr>
    </w:p>
    <w:p w:rsidR="007D680A" w:rsidRPr="00047D47" w:rsidRDefault="007D680A" w:rsidP="002D2DFE">
      <w:pPr>
        <w:spacing w:line="480" w:lineRule="auto"/>
        <w:ind w:left="2160" w:firstLine="720"/>
        <w:rPr>
          <w:rFonts w:eastAsiaTheme="majorEastAsia" w:cs="Arial"/>
          <w:b/>
          <w:bCs/>
          <w:szCs w:val="24"/>
          <w:lang w:bidi="en-US"/>
        </w:rPr>
      </w:pPr>
      <w:r>
        <w:rPr>
          <w:b/>
        </w:rPr>
        <w:t xml:space="preserve">Medicine </w:t>
      </w:r>
      <w:r w:rsidRPr="00047D47">
        <w:rPr>
          <w:b/>
        </w:rPr>
        <w:sym w:font="Wingdings" w:char="F0E0"/>
      </w:r>
      <w:r>
        <w:rPr>
          <w:b/>
        </w:rPr>
        <w:t xml:space="preserve"> Tribology </w:t>
      </w:r>
      <w:r w:rsidRPr="00047D47">
        <w:rPr>
          <w:b/>
        </w:rPr>
        <w:sym w:font="Wingdings" w:char="F0E0"/>
      </w:r>
      <w:r>
        <w:rPr>
          <w:b/>
        </w:rPr>
        <w:t xml:space="preserve"> acceptability</w:t>
      </w:r>
      <w:r w:rsidRPr="00047D47">
        <w:rPr>
          <w:b/>
        </w:rPr>
        <w:br w:type="page"/>
      </w:r>
    </w:p>
    <w:p w:rsidR="007D680A" w:rsidRPr="00D3172D" w:rsidRDefault="007D680A" w:rsidP="002D2DFE">
      <w:pPr>
        <w:pStyle w:val="Heading1"/>
      </w:pPr>
      <w:r w:rsidRPr="00D3172D">
        <w:lastRenderedPageBreak/>
        <w:t>Introduction</w:t>
      </w:r>
    </w:p>
    <w:p w:rsidR="007D680A" w:rsidRPr="00D3172D" w:rsidRDefault="007D680A" w:rsidP="002D2DFE">
      <w:pPr>
        <w:spacing w:line="480" w:lineRule="auto"/>
      </w:pPr>
      <w:r w:rsidRPr="00D3172D">
        <w:t xml:space="preserve">Patient acceptability is likely to have a significant effect on medicines adherence and consequently on the safety and efficacy of the medicinal product. Recent EMA guidelines have highlighted that the palatability of a medicine is one of the main elements of patient acceptability of an oral paediatric medicinal product </w:t>
      </w:r>
      <w:r>
        <w:rPr>
          <w:noProof/>
        </w:rPr>
        <w:t>(EMA, 2013)</w:t>
      </w:r>
      <w:r w:rsidRPr="00D3172D">
        <w:t xml:space="preserve">. Palatability is defined as the overall appreciation of a medicinal product in relation to its smell, taste, aftertaste and texture (i.e. feeling in the mouth). It is determined by the characteristics of the active substance, the way the active substance is formulated into a finished medicinal product and by the characteristics of the excipients. </w:t>
      </w:r>
    </w:p>
    <w:p w:rsidR="007D680A" w:rsidRPr="007B1B12" w:rsidRDefault="007D680A" w:rsidP="002D2DFE">
      <w:pPr>
        <w:spacing w:line="480" w:lineRule="auto"/>
      </w:pPr>
      <w:r w:rsidRPr="00D3172D">
        <w:t xml:space="preserve">Much work has been done on the assessment of taste of medicines (e.g. </w:t>
      </w:r>
      <w:r>
        <w:rPr>
          <w:noProof/>
        </w:rPr>
        <w:t>(Baguley et al., 2012; Rieder, 2012; Smith et al., 2013; Somasiri et al., 2013)</w:t>
      </w:r>
      <w:r w:rsidRPr="007B1B12">
        <w:t xml:space="preserve">) </w:t>
      </w:r>
      <w:r w:rsidRPr="00D3172D">
        <w:t xml:space="preserve">but there are very limited reports on the influence of texture of medicines. Allué et al (2012) evaluated the organoleptic properties of oral rehydration solutions in children, including the influence of texture by comparing a “gelatine” and “gel” texture; their results showed that the “gel” texture was preferred however, no </w:t>
      </w:r>
      <w:r>
        <w:t>further details on</w:t>
      </w:r>
      <w:r w:rsidRPr="00D3172D">
        <w:t xml:space="preserve"> this finding w</w:t>
      </w:r>
      <w:r>
        <w:t xml:space="preserve">ere provided </w:t>
      </w:r>
      <w:r w:rsidRPr="00D3172D">
        <w:t xml:space="preserve"> </w:t>
      </w:r>
      <w:r>
        <w:rPr>
          <w:noProof/>
        </w:rPr>
        <w:t>(Polanco Allué et al., 2012)</w:t>
      </w:r>
      <w:r w:rsidRPr="007B1B12">
        <w:t xml:space="preserve">. The need to improve the texture of medicines was also highlighted for antiretroviral </w:t>
      </w:r>
      <w:r w:rsidRPr="00D3172D">
        <w:t xml:space="preserve">therapies </w:t>
      </w:r>
      <w:r>
        <w:rPr>
          <w:rFonts w:cs="Times New Roman"/>
          <w:noProof/>
        </w:rPr>
        <w:t>(2004; Gibb et al., 2003)</w:t>
      </w:r>
      <w:r w:rsidRPr="00D3172D">
        <w:rPr>
          <w:rFonts w:cs="Times New Roman"/>
        </w:rPr>
        <w:t xml:space="preserve">, although details on textural issues were not explicitly reported. The texture of nelfinavir powder has been reported to be an issue in terms of palatability of medicines </w:t>
      </w:r>
      <w:r>
        <w:rPr>
          <w:rFonts w:cs="Times New Roman"/>
          <w:noProof/>
        </w:rPr>
        <w:t>(Reddington et al., 2000; Van Dyke et al., 2002)</w:t>
      </w:r>
      <w:r w:rsidRPr="00D3172D">
        <w:rPr>
          <w:rFonts w:cs="Times New Roman"/>
        </w:rPr>
        <w:t xml:space="preserve">. Nelfinavir is administered in large volumes, for instance, at the dose of 55 mg/kg BID, an average 6-year-old is required to take 25 scoops </w:t>
      </w:r>
      <w:r>
        <w:rPr>
          <w:rFonts w:cs="Times New Roman"/>
        </w:rPr>
        <w:t xml:space="preserve">(6.25 teaspoons) </w:t>
      </w:r>
      <w:r w:rsidRPr="007B1B12">
        <w:rPr>
          <w:rFonts w:cs="Times New Roman"/>
        </w:rPr>
        <w:t>of nelfinavir powder, with food, twice a day.</w:t>
      </w:r>
    </w:p>
    <w:p w:rsidR="007D680A" w:rsidRPr="00D3172D" w:rsidRDefault="007D680A" w:rsidP="002D2DFE">
      <w:pPr>
        <w:spacing w:line="480" w:lineRule="auto"/>
      </w:pPr>
      <w:r w:rsidRPr="00D3172D">
        <w:t xml:space="preserve">A recent study investigated barriers to medicines administration in children and although taste was the most reported issue in medicines refusal texture was the next most frequent reason for refusal </w:t>
      </w:r>
      <w:r>
        <w:rPr>
          <w:noProof/>
        </w:rPr>
        <w:t>(Venables et al., 2014)</w:t>
      </w:r>
      <w:r w:rsidRPr="00D3172D">
        <w:t xml:space="preserve">. Specific medicines identified with textural issues included: lactulose which was described as “oily” and co-trimoxazole liquid described as “thick and gelatinous” </w:t>
      </w:r>
      <w:r>
        <w:rPr>
          <w:noProof/>
        </w:rPr>
        <w:t>(Venables, 2014)</w:t>
      </w:r>
      <w:r w:rsidRPr="00D3172D">
        <w:t xml:space="preserve">. </w:t>
      </w:r>
    </w:p>
    <w:p w:rsidR="007D680A" w:rsidRPr="00D3172D" w:rsidRDefault="007D680A" w:rsidP="002D2DFE">
      <w:pPr>
        <w:spacing w:line="480" w:lineRule="auto"/>
      </w:pPr>
      <w:r w:rsidRPr="00D3172D">
        <w:lastRenderedPageBreak/>
        <w:t>There are no reports on the ideal mouthfeel of a liquid medicine; however it is intuitive to suggest that this needs to be smooth and in the case of a bad tasting medicine a product that is swallowed rapidly and leaves minimal residue on the oral cavity surfaces. Positive attributes of oral formulations reported in a recent study described good textures as being “sherbet” and “fizzy”</w:t>
      </w:r>
      <w:r>
        <w:t xml:space="preserve"> </w:t>
      </w:r>
      <w:r>
        <w:rPr>
          <w:noProof/>
        </w:rPr>
        <w:t>(Venables, 2014)</w:t>
      </w:r>
      <w:r w:rsidRPr="00D3172D">
        <w:t xml:space="preserve">. </w:t>
      </w:r>
    </w:p>
    <w:p w:rsidR="007D680A" w:rsidRPr="00D3172D" w:rsidRDefault="007D680A" w:rsidP="002D2DFE">
      <w:pPr>
        <w:spacing w:line="480" w:lineRule="auto"/>
      </w:pPr>
      <w:r w:rsidRPr="00D3172D">
        <w:t>The mouthfeel of a medicine can be defined as the sensation from the ingestion, mastication and swallowing of the medicine, all of which are influenced by the physical and chemical properties of the medicine being administered. The majority of mouthfeel research has been conducted on foods where there is a tendency to want to maximise sensory pleasure in food consumption to drive preferences in food choices, however, there are key differences required in assessing the mouthfeel of medicines. Medicines are designed to be acceptable rather than preferred choices and there is no requirement to maximise sensory pleasure. Nevertheless, it is critical that the mouthfeel of a medicine is not a barrier to administration.</w:t>
      </w:r>
    </w:p>
    <w:p w:rsidR="007D680A" w:rsidRPr="00D3172D" w:rsidRDefault="007D680A" w:rsidP="002D2DFE">
      <w:pPr>
        <w:spacing w:line="480" w:lineRule="auto"/>
      </w:pPr>
      <w:r w:rsidRPr="00D3172D">
        <w:t xml:space="preserve">Orally administered medicines are manipulated by the tongue, teeth, inside of the cheeks and lips whilst in the oral cavity; this subjects the medicine to forces at a range of speeds and pressures </w:t>
      </w:r>
      <w:r>
        <w:rPr>
          <w:noProof/>
        </w:rPr>
        <w:t>(Prinz et al., 2007)</w:t>
      </w:r>
      <w:r w:rsidRPr="00D3172D">
        <w:t xml:space="preserve">. There are various sensory textural attributes that patients perceive whilst taking oral medicines (as with foods) including hardness, softness, grittiness, creaminess, adhesiveness, slipperiness and many others </w:t>
      </w:r>
      <w:r>
        <w:rPr>
          <w:noProof/>
        </w:rPr>
        <w:t>(De Wijk and Prinz, 2006)</w:t>
      </w:r>
      <w:r w:rsidRPr="00D3172D">
        <w:t xml:space="preserve">. Research in food science has attempted to qualify and quantify physical properties of foods and link </w:t>
      </w:r>
      <w:r w:rsidRPr="00D3172D">
        <w:rPr>
          <w:i/>
        </w:rPr>
        <w:t>in vitro</w:t>
      </w:r>
      <w:r w:rsidRPr="00D3172D">
        <w:t xml:space="preserve"> measurements to sensory attributes. For example, rheological properties have been linked to thickness and breaking forces linked to crispiness </w:t>
      </w:r>
      <w:r>
        <w:rPr>
          <w:noProof/>
        </w:rPr>
        <w:t>(Koliandris et al., 2010; van Vliet et al., 2009)</w:t>
      </w:r>
      <w:r w:rsidRPr="00D3172D">
        <w:t xml:space="preserve">. Tribology is considered the most appropriate method to measure phenomena related to attributes such as creaminess, slipperiness and coating of a liquid on oral surfaces as these are sensations associated with rubbing and squeezing actions within the mouth. Tribology is the study of thin film lubrication </w:t>
      </w:r>
      <w:r>
        <w:rPr>
          <w:noProof/>
        </w:rPr>
        <w:t>(Prakash et al., 2013)</w:t>
      </w:r>
      <w:r w:rsidRPr="007B1B12">
        <w:t xml:space="preserve">. The use of tribology for the study of friction and the behaviour of foods is a relatively new application of this measurement system which has been shown to differentiate foods on the </w:t>
      </w:r>
      <w:r w:rsidRPr="007B1B12">
        <w:lastRenderedPageBreak/>
        <w:t xml:space="preserve">basis of their creaminess </w:t>
      </w:r>
      <w:r>
        <w:rPr>
          <w:noProof/>
        </w:rPr>
        <w:t>(Chojnicka-Paszun et al., 2012; Dresselhuis et al., 2008; Sonne et al., 2014)</w:t>
      </w:r>
      <w:r w:rsidRPr="00D3172D">
        <w:t xml:space="preserve"> and other textural parameters </w:t>
      </w:r>
      <w:r>
        <w:rPr>
          <w:noProof/>
        </w:rPr>
        <w:t>(Mills and Norton, 2013)</w:t>
      </w:r>
      <w:r w:rsidRPr="00D3172D">
        <w:t>.</w:t>
      </w:r>
      <w:r>
        <w:t xml:space="preserve">  In general, it is accepted that while tribology does not provide a one-to-one relation to processing in the mouth, when combined with a number of other characterisation techniques such as rheology, it can offer valuable information on material behaviour.  This knowledge can then be used to help guide the design of new products.  </w:t>
      </w:r>
      <w:r w:rsidRPr="00D3172D">
        <w:t>This paper describes the first use of tribology to assess the lubricating properties of oral liquids.</w:t>
      </w:r>
    </w:p>
    <w:p w:rsidR="007D680A" w:rsidRPr="00D3172D" w:rsidRDefault="007D680A" w:rsidP="002D2DFE">
      <w:pPr>
        <w:spacing w:line="480" w:lineRule="auto"/>
      </w:pPr>
      <w:r w:rsidRPr="00D3172D">
        <w:t>In brief, tribology measures the friction between two interacting surfaces</w:t>
      </w:r>
      <w:r>
        <w:t>, in this case a steel ball on a silicone elastomer disk</w:t>
      </w:r>
      <w:r w:rsidRPr="00D3172D">
        <w:t xml:space="preserve">. </w:t>
      </w:r>
      <w:r>
        <w:t>Lubrication is often categorised by measuring</w:t>
      </w:r>
      <w:r w:rsidRPr="00D3172D">
        <w:t xml:space="preserve"> the friction coefficient across a range of speeds as the extent of lubrication will vary. Often this data is presented as a Stribeck curve, which shows the traction coefficient as a function of speed of motion between surfaces. The Stribeck curve </w:t>
      </w:r>
      <w:r>
        <w:t xml:space="preserve">usually </w:t>
      </w:r>
      <w:r w:rsidRPr="00D3172D">
        <w:t>has three phases:</w:t>
      </w:r>
    </w:p>
    <w:p w:rsidR="007D680A" w:rsidRPr="007B1B12" w:rsidRDefault="007D680A" w:rsidP="002D2DFE">
      <w:pPr>
        <w:pStyle w:val="ListParagraph"/>
        <w:numPr>
          <w:ilvl w:val="0"/>
          <w:numId w:val="1"/>
        </w:numPr>
        <w:spacing w:line="480" w:lineRule="auto"/>
      </w:pPr>
      <w:r w:rsidRPr="00D3172D">
        <w:t xml:space="preserve">Boundary regime: where the speed is low, this measures the ability of the fluid to wet or adsorb to </w:t>
      </w:r>
      <w:r>
        <w:t xml:space="preserve">the </w:t>
      </w:r>
      <w:r w:rsidRPr="00D3172D">
        <w:t xml:space="preserve">surface and has </w:t>
      </w:r>
      <w:r>
        <w:t xml:space="preserve">in some cases </w:t>
      </w:r>
      <w:r w:rsidRPr="007B1B12">
        <w:t xml:space="preserve">been linked to astringency/grittiness </w:t>
      </w:r>
      <w:r>
        <w:rPr>
          <w:noProof/>
        </w:rPr>
        <w:t>(Rossetti et al., 2009)</w:t>
      </w:r>
      <w:r w:rsidRPr="007B1B12">
        <w:t>(high value of friction) and slipperiness/oiliness (low value of friction)</w:t>
      </w:r>
      <w:r>
        <w:rPr>
          <w:noProof/>
        </w:rPr>
        <w:t>(Malone et al., 2003; Prakash et al., 2013)</w:t>
      </w:r>
      <w:r w:rsidRPr="007B1B12">
        <w:t>.</w:t>
      </w:r>
    </w:p>
    <w:p w:rsidR="007D680A" w:rsidRPr="007B1B12" w:rsidRDefault="007D680A" w:rsidP="002D2DFE">
      <w:pPr>
        <w:pStyle w:val="ListParagraph"/>
        <w:numPr>
          <w:ilvl w:val="0"/>
          <w:numId w:val="1"/>
        </w:numPr>
        <w:spacing w:line="480" w:lineRule="auto"/>
      </w:pPr>
      <w:r w:rsidRPr="00D3172D">
        <w:t xml:space="preserve">Mixed regime: where the speed is intermediate and the fluid present can partly separate the two rubbing surfaces. The friction coefficient reaches a minimum in this regime and typically lower values </w:t>
      </w:r>
      <w:r>
        <w:t>have been</w:t>
      </w:r>
      <w:r w:rsidRPr="00D3172D">
        <w:t xml:space="preserve"> associated with creamy textures </w:t>
      </w:r>
      <w:r>
        <w:rPr>
          <w:noProof/>
        </w:rPr>
        <w:t>(Chojnicka-Paszun et al., 2012)</w:t>
      </w:r>
      <w:r w:rsidRPr="007B1B12">
        <w:t>.</w:t>
      </w:r>
    </w:p>
    <w:p w:rsidR="007D680A" w:rsidRPr="00D3172D" w:rsidRDefault="007D680A" w:rsidP="002D2DFE">
      <w:pPr>
        <w:pStyle w:val="ListParagraph"/>
        <w:numPr>
          <w:ilvl w:val="0"/>
          <w:numId w:val="1"/>
        </w:numPr>
        <w:spacing w:line="480" w:lineRule="auto"/>
      </w:pPr>
      <w:r w:rsidRPr="00D3172D">
        <w:t xml:space="preserve">Hydrodynamic regime: where the speed is high and the fluid </w:t>
      </w:r>
      <w:r>
        <w:t>separates</w:t>
      </w:r>
      <w:r w:rsidRPr="00D3172D">
        <w:t xml:space="preserve"> the surfaces; the film thickness and friction generated are dependent upon the viscosity of the food. Often rheology provides greater insights at these speeds to characterise the fluid present.</w:t>
      </w:r>
    </w:p>
    <w:p w:rsidR="007D680A" w:rsidRPr="00D3172D" w:rsidRDefault="007D680A" w:rsidP="002D2DFE">
      <w:pPr>
        <w:spacing w:line="480" w:lineRule="auto"/>
      </w:pPr>
      <w:r w:rsidRPr="00D3172D">
        <w:t xml:space="preserve">In terms of application of tribology to liquid medicines in the mouth we are mostly interested in low to intermediate speed movement </w:t>
      </w:r>
      <w:r>
        <w:t xml:space="preserve">(boundary/mixed regime as described above) </w:t>
      </w:r>
      <w:r w:rsidRPr="00D3172D">
        <w:t xml:space="preserve">to </w:t>
      </w:r>
      <w:r w:rsidRPr="00D3172D">
        <w:lastRenderedPageBreak/>
        <w:t xml:space="preserve">assess the ability </w:t>
      </w:r>
      <w:r>
        <w:t>of</w:t>
      </w:r>
      <w:r w:rsidRPr="00D3172D">
        <w:t xml:space="preserve"> a medicine to coat the oral cavity as we hypothesise that a low-residue (non-coating) product is likely to be preferred</w:t>
      </w:r>
      <w:r>
        <w:t xml:space="preserve"> and it is these regions that have previously been identified to be most relevant when considering oral processing </w:t>
      </w:r>
      <w:r>
        <w:rPr>
          <w:noProof/>
        </w:rPr>
        <w:t>(Malone et al., 2003)</w:t>
      </w:r>
      <w:r w:rsidRPr="00D3172D">
        <w:t>.</w:t>
      </w:r>
    </w:p>
    <w:p w:rsidR="007D680A" w:rsidRPr="00D3172D" w:rsidRDefault="007D680A" w:rsidP="002D2DFE">
      <w:pPr>
        <w:spacing w:line="480" w:lineRule="auto"/>
      </w:pPr>
      <w:r w:rsidRPr="00D3172D">
        <w:t xml:space="preserve">Many oral liquid medicines are formulated as suspensions where drug particles are undissolved within the bulk liquid. The size of the drug particles will influence their mouthfeel as they may result in a gritty texture. Previous work conducted reported that particles as small as 2 µm could be detected in food by trained adult panels </w:t>
      </w:r>
      <w:r>
        <w:rPr>
          <w:noProof/>
        </w:rPr>
        <w:t>(Engelen et al., 2005a)</w:t>
      </w:r>
      <w:r w:rsidRPr="00D3172D">
        <w:t xml:space="preserve">. However, the perception of size of particles was influenced by their characteristics where hard and irregular particles are perceived as larger than soft and round particles of similar size </w:t>
      </w:r>
      <w:r>
        <w:rPr>
          <w:noProof/>
        </w:rPr>
        <w:t>(Engelen et al., 2005b)</w:t>
      </w:r>
      <w:r w:rsidRPr="007B1B12">
        <w:t>.</w:t>
      </w:r>
    </w:p>
    <w:p w:rsidR="007D680A" w:rsidRPr="00D3172D" w:rsidRDefault="007D680A" w:rsidP="002D2DFE">
      <w:pPr>
        <w:spacing w:line="480" w:lineRule="auto"/>
      </w:pPr>
      <w:r w:rsidRPr="00D3172D">
        <w:t>The objective of the present study is to evaluate the effectiveness of tribology as a tool to differentiate between oral liquid medicines based on qualitative feedback regarding their texture. The frictional response of each liquid is measured over a range of speeds to map the Stribeck response for each product</w:t>
      </w:r>
      <w:r>
        <w:t xml:space="preserve"> and compared with viscosity to emphasise the different information that can be gained from this method</w:t>
      </w:r>
      <w:r w:rsidRPr="00D3172D">
        <w:t>. We highlight the potential of tribological measurement to provide insights into texture and mouthfeel perception of medicines.</w:t>
      </w:r>
    </w:p>
    <w:p w:rsidR="007D680A" w:rsidRPr="00F03EAD" w:rsidRDefault="007D680A" w:rsidP="002D2DFE">
      <w:pPr>
        <w:pStyle w:val="Heading1"/>
      </w:pPr>
      <w:r w:rsidRPr="00D3172D">
        <w:t>Materials and methods</w:t>
      </w:r>
    </w:p>
    <w:p w:rsidR="007D680A" w:rsidRPr="00F03EAD" w:rsidRDefault="007D680A" w:rsidP="002D2DFE">
      <w:pPr>
        <w:pStyle w:val="Heading1"/>
        <w:numPr>
          <w:ilvl w:val="1"/>
          <w:numId w:val="19"/>
        </w:numPr>
        <w:rPr>
          <w:b w:val="0"/>
        </w:rPr>
      </w:pPr>
      <w:r w:rsidRPr="00F03EAD">
        <w:rPr>
          <w:b w:val="0"/>
        </w:rPr>
        <w:t xml:space="preserve">Medicinal products </w:t>
      </w:r>
    </w:p>
    <w:p w:rsidR="007D680A" w:rsidRPr="00D3172D" w:rsidRDefault="007D680A" w:rsidP="002D2DFE">
      <w:pPr>
        <w:spacing w:line="480" w:lineRule="auto"/>
      </w:pPr>
      <w:r w:rsidRPr="00D3172D">
        <w:t xml:space="preserve">Oral liquid medicines were selected based on qualitative data from previous work where co-trimoxazole (Septrin®) and Lactulose were reported as having thick and oily textures respectively </w:t>
      </w:r>
      <w:r>
        <w:rPr>
          <w:noProof/>
        </w:rPr>
        <w:t>(Venables, 2014)</w:t>
      </w:r>
      <w:r w:rsidRPr="00D3172D">
        <w:t xml:space="preserve">. Calpol® infant sugar free 120mg/5mL suspension is typically reported to be an ideal medicine in terms of palatability and therefore this was used as a control. Other </w:t>
      </w:r>
      <w:r>
        <w:t xml:space="preserve">generic </w:t>
      </w:r>
      <w:r w:rsidRPr="00D3172D">
        <w:t xml:space="preserve">paracetamol suspensions were investigated to observe whether tribology could differentiate between brands. </w:t>
      </w:r>
    </w:p>
    <w:p w:rsidR="007D680A" w:rsidRPr="00D3172D" w:rsidRDefault="007D680A" w:rsidP="002D2DFE">
      <w:pPr>
        <w:spacing w:line="480" w:lineRule="auto"/>
      </w:pPr>
      <w:r w:rsidRPr="00D3172D">
        <w:lastRenderedPageBreak/>
        <w:t xml:space="preserve">Septrin® Paediatric suspension 40mg/200mg per 5mL (Aspen); Septrin® adult suspension 80mg/400mg per 5mL (Aspen); generic paracetamol sugar free oral suspension 120mg per 5mL (Edict); Calpol® paracetamol sugar free oral suspension 120mg per 5mL (McNeil); generic paracetamol sugar free oral suspension 250mg per 5mL (Pinewood laboratories); lactulose (TEVA UK) were sourced from a local pharmacy (Queen Elizabeth Hospital Pharmacy) and used as received. </w:t>
      </w:r>
    </w:p>
    <w:p w:rsidR="007D680A" w:rsidRPr="00F03EAD" w:rsidRDefault="007D680A" w:rsidP="002D2DFE">
      <w:pPr>
        <w:pStyle w:val="Heading1"/>
        <w:numPr>
          <w:ilvl w:val="1"/>
          <w:numId w:val="19"/>
        </w:numPr>
        <w:rPr>
          <w:b w:val="0"/>
        </w:rPr>
      </w:pPr>
      <w:r w:rsidRPr="00F03EAD">
        <w:rPr>
          <w:b w:val="0"/>
        </w:rPr>
        <w:t>Tribology apparatus and measurement</w:t>
      </w:r>
    </w:p>
    <w:p w:rsidR="007D680A" w:rsidRPr="00D3172D" w:rsidRDefault="007D680A" w:rsidP="002D2DFE">
      <w:pPr>
        <w:spacing w:line="480" w:lineRule="auto"/>
      </w:pPr>
      <w:r w:rsidRPr="00D3172D">
        <w:t xml:space="preserve">The friction properties were measured using a mini traction machine (MTM2 PCS Instruments, London).  The machine consists of a 19.05 mm steel ball loaded onto a 46mm diameter silicone elastomer disc, which are independently driven to allow different relative motion.  Temperature </w:t>
      </w:r>
      <w:r>
        <w:t>wa</w:t>
      </w:r>
      <w:r w:rsidRPr="00D3172D">
        <w:t>s controlled at 20</w:t>
      </w:r>
      <w:r>
        <w:t xml:space="preserve"> </w:t>
      </w:r>
      <w:r w:rsidRPr="00D3172D">
        <w:rPr>
          <w:b/>
        </w:rPr>
        <w:t>°</w:t>
      </w:r>
      <w:r w:rsidRPr="00D3172D">
        <w:t>C</w:t>
      </w:r>
      <w:r>
        <w:t xml:space="preserve">. Typically medicines are retained in the mouth for &lt;20 seconds therefore 20 </w:t>
      </w:r>
      <w:r w:rsidRPr="00D3172D">
        <w:rPr>
          <w:b/>
        </w:rPr>
        <w:t>°</w:t>
      </w:r>
      <w:r w:rsidRPr="00D3172D">
        <w:t>C</w:t>
      </w:r>
      <w:r>
        <w:t xml:space="preserve"> is more representative of the temperature of the product compared to body temperature (37 </w:t>
      </w:r>
      <w:r w:rsidRPr="00D3172D">
        <w:rPr>
          <w:b/>
        </w:rPr>
        <w:t>°</w:t>
      </w:r>
      <w:r w:rsidRPr="00D3172D">
        <w:t>C</w:t>
      </w:r>
      <w:r>
        <w:t>)</w:t>
      </w:r>
      <w:r w:rsidRPr="00D3172D">
        <w:t xml:space="preserve">.  Stribeck curves were formed for all samples by measuring traction from 1-1500 mm/s with a 2 N normal force.  </w:t>
      </w:r>
      <w:r>
        <w:t xml:space="preserve">2 N was chosen to provide contact pressures relevant to oral processing (order of magnitude) found from literature </w:t>
      </w:r>
      <w:r>
        <w:rPr>
          <w:noProof/>
        </w:rPr>
        <w:t>(Hori et al., 2009)</w:t>
      </w:r>
      <w:r w:rsidRPr="006B5235">
        <w:rPr>
          <w:b/>
        </w:rPr>
        <w:fldChar w:fldCharType="begin"/>
      </w:r>
      <w:r w:rsidRPr="006B5235">
        <w:rPr>
          <w:b/>
        </w:rPr>
        <w:fldChar w:fldCharType="separate"/>
      </w:r>
      <w:r w:rsidRPr="006B5235">
        <w:rPr>
          <w:b/>
        </w:rPr>
        <w:t>{Hori, 2009 #16}</w:t>
      </w:r>
      <w:r w:rsidRPr="006B5235">
        <w:rPr>
          <w:b/>
        </w:rPr>
        <w:fldChar w:fldCharType="end"/>
      </w:r>
      <w:r w:rsidRPr="00292A76" w:rsidDel="00292A76">
        <w:rPr>
          <w:b/>
        </w:rPr>
        <w:t xml:space="preserve"> </w:t>
      </w:r>
      <w:r>
        <w:t xml:space="preserve"> while maintaining repeatable data as established in previous work by the authors </w:t>
      </w:r>
      <w:r>
        <w:rPr>
          <w:noProof/>
        </w:rPr>
        <w:t>(Mills et al., 2013)</w:t>
      </w:r>
      <w:r>
        <w:t xml:space="preserve">. </w:t>
      </w:r>
      <w:r w:rsidRPr="00D3172D">
        <w:t xml:space="preserve">Each sample was measured six times alternating from ascending and descending speeds to check for hysteresis. </w:t>
      </w:r>
      <w:r>
        <w:rPr>
          <w:lang w:val="en-US"/>
        </w:rPr>
        <w:t xml:space="preserve">Hysteresis can </w:t>
      </w:r>
      <w:r w:rsidRPr="00FB6DE5">
        <w:rPr>
          <w:lang w:val="en-US"/>
        </w:rPr>
        <w:t xml:space="preserve">sometimes </w:t>
      </w:r>
      <w:r>
        <w:rPr>
          <w:lang w:val="en-US"/>
        </w:rPr>
        <w:t>occur</w:t>
      </w:r>
      <w:r w:rsidRPr="00FB6DE5">
        <w:rPr>
          <w:lang w:val="en-US"/>
        </w:rPr>
        <w:t xml:space="preserve"> when samples are physically altered by the shear in the testing process itself, if this is the case subsequent speed sweeps could drift in value and using an average would not be appropriate when presenting the final results</w:t>
      </w:r>
      <w:r>
        <w:rPr>
          <w:lang w:val="en-US"/>
        </w:rPr>
        <w:t>, this was not evident in the measurements reported here.</w:t>
      </w:r>
      <w:r w:rsidRPr="00FB6DE5">
        <w:t xml:space="preserve"> </w:t>
      </w:r>
      <w:r w:rsidRPr="00D3172D">
        <w:t>Measurements were performed in triplicate and are presented as an average with error bars of one standard deviation.</w:t>
      </w:r>
    </w:p>
    <w:p w:rsidR="007D680A" w:rsidRPr="00F03EAD" w:rsidRDefault="007D680A" w:rsidP="002D2DFE">
      <w:pPr>
        <w:pStyle w:val="Heading1"/>
        <w:numPr>
          <w:ilvl w:val="1"/>
          <w:numId w:val="19"/>
        </w:numPr>
        <w:rPr>
          <w:b w:val="0"/>
        </w:rPr>
      </w:pPr>
      <w:r w:rsidRPr="00F03EAD">
        <w:rPr>
          <w:b w:val="0"/>
        </w:rPr>
        <w:t>Rheological measurement</w:t>
      </w:r>
    </w:p>
    <w:p w:rsidR="007D680A" w:rsidRPr="00D3172D" w:rsidRDefault="007D680A" w:rsidP="002D2DFE">
      <w:pPr>
        <w:spacing w:line="480" w:lineRule="auto"/>
      </w:pPr>
      <w:r w:rsidRPr="00D3172D">
        <w:t xml:space="preserve">Bulk rheology of the products was measured </w:t>
      </w:r>
      <w:r>
        <w:t>to act as a comparison to the tribology data obtained. A</w:t>
      </w:r>
      <w:r w:rsidRPr="00D3172D">
        <w:t xml:space="preserve"> Bohlin Gemini HR nano rheometer (Malvern, UK) </w:t>
      </w:r>
      <w:r>
        <w:t xml:space="preserve">was used; </w:t>
      </w:r>
      <w:r w:rsidRPr="00D3172D">
        <w:t xml:space="preserve">fitted with a 20 mm </w:t>
      </w:r>
      <w:r w:rsidRPr="00D3172D">
        <w:lastRenderedPageBreak/>
        <w:t>4</w:t>
      </w:r>
      <w:r w:rsidRPr="00D3172D">
        <w:rPr>
          <w:b/>
        </w:rPr>
        <w:t>°</w:t>
      </w:r>
      <w:r w:rsidRPr="00D3172D">
        <w:t xml:space="preserve"> cone and plate at 20 </w:t>
      </w:r>
      <w:r w:rsidRPr="00D3172D">
        <w:rPr>
          <w:b/>
        </w:rPr>
        <w:t>°</w:t>
      </w:r>
      <w:r w:rsidRPr="00D3172D">
        <w:t>C.  Shear rates from 0.01 to 300 s</w:t>
      </w:r>
      <w:r w:rsidRPr="00D3172D">
        <w:rPr>
          <w:vertAlign w:val="superscript"/>
        </w:rPr>
        <w:t xml:space="preserve">-1 </w:t>
      </w:r>
      <w:r w:rsidRPr="00D3172D">
        <w:t>ascending and descending were applied. Results are presented as an average of three repeats with error bars of one standard deviation.</w:t>
      </w:r>
    </w:p>
    <w:p w:rsidR="007D680A" w:rsidRPr="00F03EAD" w:rsidRDefault="007D680A" w:rsidP="002D2DFE">
      <w:pPr>
        <w:pStyle w:val="Heading1"/>
        <w:numPr>
          <w:ilvl w:val="1"/>
          <w:numId w:val="19"/>
        </w:numPr>
        <w:rPr>
          <w:b w:val="0"/>
        </w:rPr>
      </w:pPr>
      <w:r w:rsidRPr="00F03EAD">
        <w:rPr>
          <w:b w:val="0"/>
        </w:rPr>
        <w:t>Particle size and shape</w:t>
      </w:r>
    </w:p>
    <w:p w:rsidR="007D680A" w:rsidRPr="00D3172D" w:rsidRDefault="007D680A" w:rsidP="002D2DFE">
      <w:pPr>
        <w:spacing w:line="480" w:lineRule="auto"/>
      </w:pPr>
      <w:r w:rsidRPr="00D3172D">
        <w:t>A drop of each commercial product was placed onto a microscope slide and a coverslip was used to prevent dehydration of the sample. A Zeiss Axiosop 2 Plus upright microscope was used to view each product to directly observe the particle size and shape at x10 magnification. The axiovision programme was used to capture a representative image from each sample together with a scale bar. The crystals were measured at their widest part in two perpendicular directions</w:t>
      </w:r>
      <w:r>
        <w:t xml:space="preserve"> from 3 fields of view where at least 4 crystals were present (a total of n=12 crystals were included)</w:t>
      </w:r>
      <w:r w:rsidRPr="00D3172D">
        <w:t xml:space="preserve"> and the mean diameter reported together with </w:t>
      </w:r>
      <w:r>
        <w:t>one</w:t>
      </w:r>
      <w:r w:rsidRPr="00D3172D">
        <w:t xml:space="preserve"> standard deviation for each product.</w:t>
      </w:r>
      <w:r>
        <w:t xml:space="preserve"> Analysis of Variance (ANOVA) tests were performed at a significance level of 5%. Results were stated to be different when the p value was less than 0.05.</w:t>
      </w:r>
    </w:p>
    <w:p w:rsidR="007D680A" w:rsidRPr="00D3172D" w:rsidRDefault="007D680A" w:rsidP="002D2DFE">
      <w:pPr>
        <w:pStyle w:val="Heading1"/>
      </w:pPr>
      <w:r w:rsidRPr="00D3172D">
        <w:t>Results and discussion</w:t>
      </w:r>
    </w:p>
    <w:p w:rsidR="007D680A" w:rsidRPr="00F03EAD" w:rsidRDefault="007D680A" w:rsidP="002D2DFE">
      <w:pPr>
        <w:pStyle w:val="Heading1"/>
        <w:numPr>
          <w:ilvl w:val="1"/>
          <w:numId w:val="19"/>
        </w:numPr>
        <w:rPr>
          <w:b w:val="0"/>
        </w:rPr>
      </w:pPr>
      <w:r w:rsidRPr="00F03EAD">
        <w:rPr>
          <w:b w:val="0"/>
        </w:rPr>
        <w:t xml:space="preserve">Tribology </w:t>
      </w:r>
      <w:r>
        <w:rPr>
          <w:b w:val="0"/>
        </w:rPr>
        <w:t xml:space="preserve">and rheology </w:t>
      </w:r>
    </w:p>
    <w:p w:rsidR="007D680A" w:rsidRDefault="007D680A" w:rsidP="002D2DFE">
      <w:pPr>
        <w:spacing w:line="480" w:lineRule="auto"/>
      </w:pPr>
      <w:r w:rsidRPr="00D3172D">
        <w:t>The lubricating properties of the medicines were measured</w:t>
      </w:r>
      <w:r>
        <w:t xml:space="preserve"> to determine if any differences could be identified for a range of samples</w:t>
      </w:r>
      <w:r w:rsidRPr="00D3172D">
        <w:t xml:space="preserve">. </w:t>
      </w:r>
      <w:r>
        <w:t xml:space="preserve">An overall comparison of the five samples is made as well as two smaller comparisons within the Septrin formulations and the paracetamol formulations. </w:t>
      </w:r>
      <w:r w:rsidRPr="00D3172D">
        <w:fldChar w:fldCharType="begin"/>
      </w:r>
      <w:r w:rsidRPr="00D3172D">
        <w:instrText xml:space="preserve"> REF _Ref275692299 \r \h </w:instrText>
      </w:r>
      <w:r>
        <w:instrText xml:space="preserve"> \* MERGEFORMAT </w:instrText>
      </w:r>
      <w:r w:rsidRPr="00D3172D">
        <w:fldChar w:fldCharType="separate"/>
      </w:r>
      <w:r>
        <w:t>Figure 1</w:t>
      </w:r>
      <w:r w:rsidRPr="00D3172D">
        <w:fldChar w:fldCharType="end"/>
      </w:r>
      <w:r w:rsidRPr="00D3172D">
        <w:t xml:space="preserve"> shows </w:t>
      </w:r>
      <w:r>
        <w:t>the</w:t>
      </w:r>
      <w:r w:rsidRPr="00D3172D">
        <w:t xml:space="preserve"> Stribeck curve</w:t>
      </w:r>
      <w:r>
        <w:t>s collected</w:t>
      </w:r>
      <w:r w:rsidRPr="00D3172D">
        <w:t xml:space="preserve"> where the traction coefficient </w:t>
      </w:r>
      <w:r>
        <w:t xml:space="preserve">is </w:t>
      </w:r>
      <w:r w:rsidRPr="00D3172D">
        <w:t xml:space="preserve">plotted as a function of speed for all samples.  Under the conditions studied, differences in the materials can be observed </w:t>
      </w:r>
      <w:r>
        <w:t xml:space="preserve">mainly </w:t>
      </w:r>
      <w:r w:rsidRPr="00D3172D">
        <w:t xml:space="preserve">at low to intermediate speeds. These differences relate to the lubricating properties </w:t>
      </w:r>
      <w:r>
        <w:t xml:space="preserve">and entrainment between the measurement surfaces </w:t>
      </w:r>
      <w:r w:rsidRPr="00D3172D">
        <w:t xml:space="preserve">of the materials </w:t>
      </w:r>
      <w:r>
        <w:t>and would highlight differences that could be perceived during consumption</w:t>
      </w:r>
      <w:r w:rsidRPr="00D3172D">
        <w:t xml:space="preserve">. The oily nature of lactulose </w:t>
      </w:r>
      <w:r>
        <w:t xml:space="preserve">as identified in earlier work </w:t>
      </w:r>
      <w:r w:rsidRPr="00D3172D">
        <w:t xml:space="preserve">is evident from the low </w:t>
      </w:r>
      <w:r w:rsidRPr="00D3172D">
        <w:lastRenderedPageBreak/>
        <w:t>traction coefficient values, which demonstrate</w:t>
      </w:r>
      <w:r>
        <w:t>s</w:t>
      </w:r>
      <w:r w:rsidRPr="00D3172D">
        <w:t xml:space="preserve"> that this product is likely to coat surfaces easily. </w:t>
      </w:r>
    </w:p>
    <w:p w:rsidR="007D680A" w:rsidRDefault="007D680A" w:rsidP="002D2DFE">
      <w:pPr>
        <w:spacing w:line="480" w:lineRule="auto"/>
      </w:pPr>
      <w:r w:rsidRPr="00D3172D">
        <w:t>Gritty or “dry” products are anticipated to show high traction coefficients at low speeds due to their lack of lubrication</w:t>
      </w:r>
      <w:r>
        <w:t xml:space="preserve"> and surface </w:t>
      </w:r>
      <w:r w:rsidRPr="00405A9E">
        <w:t xml:space="preserve">coating. Many liquid medicines are suspensions with particle sizes ranging from 1 to 50 </w:t>
      </w:r>
      <w:r w:rsidRPr="00405A9E">
        <w:rPr>
          <w:rFonts w:cs="Arial"/>
        </w:rPr>
        <w:t>µ</w:t>
      </w:r>
      <w:r w:rsidRPr="00405A9E">
        <w:t xml:space="preserve">m </w:t>
      </w:r>
      <w:r w:rsidRPr="00405A9E">
        <w:rPr>
          <w:noProof/>
        </w:rPr>
        <w:t>(Allen et al., 2005)</w:t>
      </w:r>
      <w:r w:rsidRPr="00405A9E">
        <w:t>. However, there is currently no data that correlates grittiness perception in medicines to particle size. This study used products with particle sizes that are known to be detectable in human panel studies which also represent typical liquid medicines. The fact</w:t>
      </w:r>
      <w:r w:rsidRPr="00D3172D">
        <w:t xml:space="preserve"> that Calpol</w:t>
      </w:r>
      <w:r>
        <w:t>®</w:t>
      </w:r>
      <w:r w:rsidRPr="00D3172D">
        <w:t xml:space="preserve"> does not result in higher friction values or a gritty mouthfeel despite having particles large enough to be perceived could suggest that</w:t>
      </w:r>
      <w:r>
        <w:t>,</w:t>
      </w:r>
      <w:r w:rsidRPr="00D3172D">
        <w:t xml:space="preserve"> as suggested by Engelen </w:t>
      </w:r>
      <w:r w:rsidRPr="005E35B6">
        <w:rPr>
          <w:i/>
        </w:rPr>
        <w:t>et al</w:t>
      </w:r>
      <w:r w:rsidRPr="007B1B12">
        <w:rPr>
          <w:i/>
        </w:rPr>
        <w:t>.</w:t>
      </w:r>
      <w:r>
        <w:rPr>
          <w:i/>
        </w:rPr>
        <w:t>,</w:t>
      </w:r>
      <w:r w:rsidRPr="00D3172D">
        <w:t xml:space="preserve"> the particles are not hard enough to affect perception</w:t>
      </w:r>
      <w:r>
        <w:t xml:space="preserve"> or that their shape is affecting their perception </w:t>
      </w:r>
      <w:r>
        <w:rPr>
          <w:noProof/>
        </w:rPr>
        <w:t>(Engelen et al., 2005a)</w:t>
      </w:r>
      <w:r w:rsidRPr="00D3172D">
        <w:t xml:space="preserve">.  For the generic paracetamol samples a large difference is identified between the different brands with the </w:t>
      </w:r>
      <w:r>
        <w:t>250 mg/5mL</w:t>
      </w:r>
      <w:r w:rsidRPr="00D3172D">
        <w:t xml:space="preserve"> </w:t>
      </w:r>
      <w:r>
        <w:t>product</w:t>
      </w:r>
      <w:r w:rsidRPr="00D3172D">
        <w:t xml:space="preserve"> being more lubricating overall</w:t>
      </w:r>
      <w:r>
        <w:t xml:space="preserve"> and very similar to the Calpol® formulation</w:t>
      </w:r>
      <w:r w:rsidRPr="00D3172D">
        <w:t xml:space="preserve">. When compared to viscosity (see </w:t>
      </w:r>
      <w:r w:rsidRPr="00D3172D">
        <w:fldChar w:fldCharType="begin"/>
      </w:r>
      <w:r w:rsidRPr="00D3172D">
        <w:instrText xml:space="preserve"> REF _Ref276045083 \r \h </w:instrText>
      </w:r>
      <w:r>
        <w:instrText xml:space="preserve"> \* MERGEFORMAT </w:instrText>
      </w:r>
      <w:r w:rsidRPr="00D3172D">
        <w:fldChar w:fldCharType="separate"/>
      </w:r>
      <w:r>
        <w:t>Figure 2</w:t>
      </w:r>
      <w:r w:rsidRPr="00D3172D">
        <w:fldChar w:fldCharType="end"/>
      </w:r>
      <w:r w:rsidRPr="00D3172D">
        <w:t xml:space="preserve">) at lower shear rates both </w:t>
      </w:r>
      <w:r>
        <w:t>generic products</w:t>
      </w:r>
      <w:r w:rsidRPr="00D3172D">
        <w:t xml:space="preserve"> behave similarly</w:t>
      </w:r>
      <w:r>
        <w:t xml:space="preserve"> to each other, with the Calpol® at a reduced viscosity at lower shear rates</w:t>
      </w:r>
      <w:r w:rsidRPr="00D3172D">
        <w:t xml:space="preserve">, however the </w:t>
      </w:r>
      <w:r>
        <w:t>120 mg/5mL product</w:t>
      </w:r>
      <w:r w:rsidRPr="00D3172D">
        <w:t xml:space="preserve"> is more shear thinning (i.e. viscosity reduces with increasing shear rate) which would suggest a reduced ability to support the contacting surfaces and reduce lubrication</w:t>
      </w:r>
      <w:r>
        <w:t xml:space="preserve"> for the tribology measurement</w:t>
      </w:r>
      <w:r w:rsidRPr="00D3172D">
        <w:t>.</w:t>
      </w:r>
      <w:r>
        <w:t xml:space="preserve">  These differences are expected since the different brands would use different formulations but these changes in behaviour highlight why two products may have very different feedback on their palatability despite containing the same quantity of active ingredient.</w:t>
      </w:r>
    </w:p>
    <w:p w:rsidR="007D680A" w:rsidRDefault="007D680A" w:rsidP="002D2DFE">
      <w:pPr>
        <w:spacing w:line="480" w:lineRule="auto"/>
      </w:pPr>
      <w:r w:rsidRPr="00D3172D">
        <w:t>Both Septrin</w:t>
      </w:r>
      <w:r>
        <w:t>®</w:t>
      </w:r>
      <w:r w:rsidRPr="00D3172D">
        <w:t xml:space="preserve"> formulations show very similar lubrication behaviour and viscosity over the studied range, which could be expected since they are both from the same manufacturer. Despite having different concentrations of active ingredient these results suggest that the excipients likely dominate the material behaviour, so any differences experienced in liking are expected to be from flavour cues. The approach to maintain this behaviour for both adult </w:t>
      </w:r>
      <w:r w:rsidRPr="00D3172D">
        <w:lastRenderedPageBreak/>
        <w:t>and paediatric formulations may not be the best design approach since differences in preferences would likely exist</w:t>
      </w:r>
      <w:r>
        <w:t xml:space="preserve"> at different ages</w:t>
      </w:r>
      <w:r w:rsidRPr="00D3172D">
        <w:t xml:space="preserve">. </w:t>
      </w:r>
    </w:p>
    <w:p w:rsidR="007D680A" w:rsidRPr="00D3172D" w:rsidRDefault="007D680A" w:rsidP="002D2DFE">
      <w:pPr>
        <w:spacing w:line="480" w:lineRule="auto"/>
      </w:pPr>
      <w:r w:rsidRPr="00D3172D">
        <w:t>Th</w:t>
      </w:r>
      <w:r>
        <w:t>ese results have demonstrated that tribology can detect differences in oral liquid medicines which may relate to mouthfeel. Th</w:t>
      </w:r>
      <w:r w:rsidRPr="00D3172D">
        <w:t xml:space="preserve">ere are also further opportunities to use tribology </w:t>
      </w:r>
      <w:r>
        <w:t>in</w:t>
      </w:r>
      <w:r w:rsidRPr="00D3172D">
        <w:t xml:space="preserve"> a wider range of oral medicines including orally disintegrating tablets, chewable tablets, oral films and gels.</w:t>
      </w:r>
    </w:p>
    <w:p w:rsidR="007D680A" w:rsidRPr="007B1B12" w:rsidRDefault="007D680A" w:rsidP="002D2DFE">
      <w:pPr>
        <w:spacing w:line="480" w:lineRule="auto"/>
      </w:pPr>
      <w:r>
        <w:rPr>
          <w:noProof/>
          <w:lang w:eastAsia="en-GB"/>
        </w:rPr>
        <w:drawing>
          <wp:inline distT="0" distB="0" distL="0" distR="0" wp14:anchorId="6575C060" wp14:editId="7162186F">
            <wp:extent cx="4833996" cy="2952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3996" cy="2952000"/>
                    </a:xfrm>
                    <a:prstGeom prst="rect">
                      <a:avLst/>
                    </a:prstGeom>
                    <a:noFill/>
                    <a:ln>
                      <a:noFill/>
                    </a:ln>
                  </pic:spPr>
                </pic:pic>
              </a:graphicData>
            </a:graphic>
          </wp:inline>
        </w:drawing>
      </w:r>
    </w:p>
    <w:p w:rsidR="007D680A" w:rsidRDefault="007D680A" w:rsidP="002D2DFE">
      <w:pPr>
        <w:pStyle w:val="Heading5"/>
        <w:spacing w:line="480" w:lineRule="auto"/>
      </w:pPr>
      <w:bookmarkStart w:id="1" w:name="_Ref275692299"/>
      <w:r>
        <w:t xml:space="preserve"> </w:t>
      </w:r>
      <w:r w:rsidRPr="00D3172D">
        <w:t xml:space="preserve">Stribeck </w:t>
      </w:r>
      <w:bookmarkEnd w:id="1"/>
      <w:r>
        <w:rPr>
          <w:color w:val="000000"/>
        </w:rPr>
        <w:t>curves (coefficient of friction versus speed) of measured samples. Data points are mean values with error bars representing 1 standard deviation</w:t>
      </w:r>
    </w:p>
    <w:p w:rsidR="007D680A" w:rsidRPr="00685E04" w:rsidRDefault="007D680A" w:rsidP="002D2DFE">
      <w:pPr>
        <w:spacing w:line="480" w:lineRule="auto"/>
        <w:rPr>
          <w:lang w:bidi="en-US"/>
        </w:rPr>
      </w:pPr>
    </w:p>
    <w:p w:rsidR="007D680A" w:rsidRPr="007B1B12" w:rsidRDefault="007D680A" w:rsidP="002D2DFE">
      <w:pPr>
        <w:spacing w:line="480" w:lineRule="auto"/>
      </w:pPr>
      <w:r w:rsidRPr="00351083">
        <w:rPr>
          <w:noProof/>
          <w:lang w:eastAsia="en-GB"/>
        </w:rPr>
        <w:lastRenderedPageBreak/>
        <w:drawing>
          <wp:inline distT="0" distB="0" distL="0" distR="0" wp14:anchorId="5B505A4D" wp14:editId="34A51F1B">
            <wp:extent cx="4756878" cy="292227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596" cy="2923940"/>
                    </a:xfrm>
                    <a:prstGeom prst="rect">
                      <a:avLst/>
                    </a:prstGeom>
                    <a:noFill/>
                    <a:ln>
                      <a:noFill/>
                    </a:ln>
                  </pic:spPr>
                </pic:pic>
              </a:graphicData>
            </a:graphic>
          </wp:inline>
        </w:drawing>
      </w:r>
    </w:p>
    <w:p w:rsidR="007D680A" w:rsidRPr="00D3172D" w:rsidRDefault="007D680A" w:rsidP="002D2DFE">
      <w:pPr>
        <w:pStyle w:val="Heading5"/>
        <w:spacing w:line="480" w:lineRule="auto"/>
      </w:pPr>
      <w:bookmarkStart w:id="2" w:name="_Ref276045083"/>
      <w:r w:rsidRPr="00D3172D">
        <w:t xml:space="preserve">Viscosity </w:t>
      </w:r>
      <w:r>
        <w:rPr>
          <w:color w:val="000000"/>
        </w:rPr>
        <w:t>measurements of samples over a shear rate range of 0.01 to 1000 s</w:t>
      </w:r>
      <w:r w:rsidRPr="006B5235">
        <w:rPr>
          <w:color w:val="000000"/>
          <w:vertAlign w:val="superscript"/>
        </w:rPr>
        <w:t>-1</w:t>
      </w:r>
      <w:r>
        <w:rPr>
          <w:color w:val="000000"/>
        </w:rPr>
        <w:t>. Data points are mean values with error bars representing 1 standard deviation</w:t>
      </w:r>
      <w:bookmarkEnd w:id="2"/>
    </w:p>
    <w:p w:rsidR="007D680A" w:rsidRPr="00D3172D" w:rsidRDefault="007D680A" w:rsidP="002D2DFE">
      <w:pPr>
        <w:spacing w:line="480" w:lineRule="auto"/>
      </w:pPr>
    </w:p>
    <w:p w:rsidR="007D680A" w:rsidRPr="00D3172D" w:rsidRDefault="007D680A" w:rsidP="002D2DFE">
      <w:pPr>
        <w:pStyle w:val="Heading1"/>
        <w:numPr>
          <w:ilvl w:val="1"/>
          <w:numId w:val="19"/>
        </w:numPr>
      </w:pPr>
      <w:r w:rsidRPr="00D3172D">
        <w:t>Particle size and shape</w:t>
      </w:r>
    </w:p>
    <w:p w:rsidR="007D680A" w:rsidRPr="00D3172D" w:rsidRDefault="007D680A" w:rsidP="002D2DFE">
      <w:pPr>
        <w:spacing w:line="480" w:lineRule="auto"/>
      </w:pPr>
      <w:r w:rsidRPr="00D3172D">
        <w:fldChar w:fldCharType="begin"/>
      </w:r>
      <w:r w:rsidRPr="00D3172D">
        <w:instrText xml:space="preserve"> REF _Ref275692404 \r \h </w:instrText>
      </w:r>
      <w:r>
        <w:instrText xml:space="preserve"> \* MERGEFORMAT </w:instrText>
      </w:r>
      <w:r w:rsidRPr="00D3172D">
        <w:fldChar w:fldCharType="separate"/>
      </w:r>
      <w:r>
        <w:t>Figure 3</w:t>
      </w:r>
      <w:r w:rsidRPr="00D3172D">
        <w:fldChar w:fldCharType="end"/>
      </w:r>
      <w:r w:rsidRPr="00D3172D">
        <w:t xml:space="preserve"> shows representative images of each of the products viewed with the microscope. The mean particle size of the </w:t>
      </w:r>
      <w:r>
        <w:t xml:space="preserve">4 </w:t>
      </w:r>
      <w:r w:rsidRPr="00D3172D">
        <w:t>largest particles present in each product was measured manually via the scale bar from at least 3 representative images. This technique provides a simple means of measuring the particle size of the largest particles present in each product, as the larger particles are likely to dominate mouthfeel.</w:t>
      </w:r>
    </w:p>
    <w:p w:rsidR="007D680A" w:rsidRPr="00D3172D" w:rsidRDefault="007D680A" w:rsidP="002D2DFE">
      <w:pPr>
        <w:spacing w:line="480" w:lineRule="auto"/>
      </w:pPr>
      <w:r w:rsidRPr="00D3172D">
        <w:t>The results in</w:t>
      </w:r>
      <w:r>
        <w:t xml:space="preserve"> Table 1</w:t>
      </w:r>
      <w:r w:rsidRPr="00D3172D">
        <w:t xml:space="preserve"> compare the mean particle diameter for the largest particles observed as well as the standard deviation of each.</w:t>
      </w:r>
    </w:p>
    <w:p w:rsidR="007D680A" w:rsidRPr="00D3172D" w:rsidRDefault="007D680A" w:rsidP="002D2DFE">
      <w:pPr>
        <w:spacing w:line="480" w:lineRule="auto"/>
      </w:pPr>
      <w:bookmarkStart w:id="3" w:name="_Ref275686235"/>
      <w:r>
        <w:t xml:space="preserve">Table 1. </w:t>
      </w:r>
      <w:r w:rsidRPr="00D3172D">
        <w:t>Particle size information</w:t>
      </w:r>
      <w:bookmarkEnd w:id="3"/>
      <w:r>
        <w:t xml:space="preserve"> of the suspension products tested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134"/>
        <w:gridCol w:w="1196"/>
      </w:tblGrid>
      <w:tr w:rsidR="007D680A" w:rsidRPr="00D3172D" w:rsidTr="00C525AA">
        <w:tc>
          <w:tcPr>
            <w:tcW w:w="6912" w:type="dxa"/>
            <w:tcBorders>
              <w:top w:val="single" w:sz="4" w:space="0" w:color="auto"/>
              <w:bottom w:val="single" w:sz="4" w:space="0" w:color="auto"/>
            </w:tcBorders>
          </w:tcPr>
          <w:p w:rsidR="007D680A" w:rsidRPr="00D3172D" w:rsidRDefault="007D680A" w:rsidP="002D2DFE">
            <w:pPr>
              <w:spacing w:line="480" w:lineRule="auto"/>
            </w:pPr>
            <w:r w:rsidRPr="00D3172D">
              <w:t>Product</w:t>
            </w:r>
          </w:p>
        </w:tc>
        <w:tc>
          <w:tcPr>
            <w:tcW w:w="1134" w:type="dxa"/>
            <w:tcBorders>
              <w:top w:val="single" w:sz="4" w:space="0" w:color="auto"/>
              <w:bottom w:val="single" w:sz="4" w:space="0" w:color="auto"/>
            </w:tcBorders>
          </w:tcPr>
          <w:p w:rsidR="007D680A" w:rsidRPr="00D3172D" w:rsidRDefault="007D680A" w:rsidP="002D2DFE">
            <w:pPr>
              <w:spacing w:line="480" w:lineRule="auto"/>
            </w:pPr>
            <w:r w:rsidRPr="00D3172D">
              <w:t>Mean diameter (μm)</w:t>
            </w:r>
          </w:p>
        </w:tc>
        <w:tc>
          <w:tcPr>
            <w:tcW w:w="1196" w:type="dxa"/>
            <w:tcBorders>
              <w:top w:val="single" w:sz="4" w:space="0" w:color="auto"/>
              <w:bottom w:val="single" w:sz="4" w:space="0" w:color="auto"/>
            </w:tcBorders>
          </w:tcPr>
          <w:p w:rsidR="007D680A" w:rsidRPr="00D3172D" w:rsidRDefault="007D680A" w:rsidP="002D2DFE">
            <w:pPr>
              <w:spacing w:line="480" w:lineRule="auto"/>
            </w:pPr>
            <w:r w:rsidRPr="00D3172D">
              <w:t>Standard deviation (μm)</w:t>
            </w:r>
          </w:p>
        </w:tc>
      </w:tr>
      <w:tr w:rsidR="007D680A" w:rsidRPr="00D3172D" w:rsidTr="00C525AA">
        <w:tc>
          <w:tcPr>
            <w:tcW w:w="6912" w:type="dxa"/>
            <w:tcBorders>
              <w:top w:val="single" w:sz="4" w:space="0" w:color="auto"/>
            </w:tcBorders>
          </w:tcPr>
          <w:p w:rsidR="007D680A" w:rsidRPr="00D3172D" w:rsidRDefault="007D680A" w:rsidP="002D2DFE">
            <w:pPr>
              <w:spacing w:line="480" w:lineRule="auto"/>
            </w:pPr>
            <w:r w:rsidRPr="00D3172D">
              <w:lastRenderedPageBreak/>
              <w:t>Septrin® Paediatric suspension 40mg/200mg per 5mL (Aspen)</w:t>
            </w:r>
          </w:p>
        </w:tc>
        <w:tc>
          <w:tcPr>
            <w:tcW w:w="1134" w:type="dxa"/>
            <w:tcBorders>
              <w:top w:val="single" w:sz="4" w:space="0" w:color="auto"/>
            </w:tcBorders>
          </w:tcPr>
          <w:p w:rsidR="007D680A" w:rsidRPr="00D3172D" w:rsidRDefault="007D680A" w:rsidP="002D2DFE">
            <w:pPr>
              <w:spacing w:line="480" w:lineRule="auto"/>
            </w:pPr>
            <w:r w:rsidRPr="00D3172D">
              <w:t>25.28</w:t>
            </w:r>
          </w:p>
        </w:tc>
        <w:tc>
          <w:tcPr>
            <w:tcW w:w="1196" w:type="dxa"/>
            <w:tcBorders>
              <w:top w:val="single" w:sz="4" w:space="0" w:color="auto"/>
            </w:tcBorders>
          </w:tcPr>
          <w:p w:rsidR="007D680A" w:rsidRPr="00D3172D" w:rsidRDefault="007D680A" w:rsidP="002D2DFE">
            <w:pPr>
              <w:spacing w:line="480" w:lineRule="auto"/>
            </w:pPr>
            <w:r w:rsidRPr="00D3172D">
              <w:t>8.65</w:t>
            </w:r>
          </w:p>
        </w:tc>
      </w:tr>
      <w:tr w:rsidR="007D680A" w:rsidRPr="00D3172D" w:rsidTr="00C525AA">
        <w:tc>
          <w:tcPr>
            <w:tcW w:w="6912" w:type="dxa"/>
          </w:tcPr>
          <w:p w:rsidR="007D680A" w:rsidRPr="00D3172D" w:rsidRDefault="007D680A" w:rsidP="002D2DFE">
            <w:pPr>
              <w:spacing w:line="480" w:lineRule="auto"/>
            </w:pPr>
            <w:r w:rsidRPr="00D3172D">
              <w:t>Septrin® adult suspension 80mg/400mg per 5mL (Aspen)</w:t>
            </w:r>
          </w:p>
        </w:tc>
        <w:tc>
          <w:tcPr>
            <w:tcW w:w="1134" w:type="dxa"/>
          </w:tcPr>
          <w:p w:rsidR="007D680A" w:rsidRPr="00D3172D" w:rsidRDefault="007D680A" w:rsidP="002D2DFE">
            <w:pPr>
              <w:spacing w:line="480" w:lineRule="auto"/>
            </w:pPr>
            <w:r w:rsidRPr="00D3172D">
              <w:t>36.90</w:t>
            </w:r>
          </w:p>
        </w:tc>
        <w:tc>
          <w:tcPr>
            <w:tcW w:w="1196" w:type="dxa"/>
          </w:tcPr>
          <w:p w:rsidR="007D680A" w:rsidRPr="00D3172D" w:rsidRDefault="007D680A" w:rsidP="002D2DFE">
            <w:pPr>
              <w:spacing w:line="480" w:lineRule="auto"/>
            </w:pPr>
            <w:r w:rsidRPr="00D3172D">
              <w:t>8.25</w:t>
            </w:r>
          </w:p>
        </w:tc>
      </w:tr>
      <w:tr w:rsidR="007D680A" w:rsidRPr="00D3172D" w:rsidTr="00C525AA">
        <w:tc>
          <w:tcPr>
            <w:tcW w:w="6912" w:type="dxa"/>
          </w:tcPr>
          <w:p w:rsidR="007D680A" w:rsidRPr="00D3172D" w:rsidRDefault="007D680A" w:rsidP="002D2DFE">
            <w:pPr>
              <w:spacing w:line="480" w:lineRule="auto"/>
            </w:pPr>
            <w:r w:rsidRPr="00D3172D">
              <w:t>Generic paracetamol sugar free oral suspension 120mg per 5mL (Edict)</w:t>
            </w:r>
          </w:p>
        </w:tc>
        <w:tc>
          <w:tcPr>
            <w:tcW w:w="1134" w:type="dxa"/>
          </w:tcPr>
          <w:p w:rsidR="007D680A" w:rsidRPr="00D3172D" w:rsidRDefault="007D680A" w:rsidP="002D2DFE">
            <w:pPr>
              <w:spacing w:line="480" w:lineRule="auto"/>
            </w:pPr>
            <w:r w:rsidRPr="00D3172D">
              <w:t>50.56</w:t>
            </w:r>
          </w:p>
        </w:tc>
        <w:tc>
          <w:tcPr>
            <w:tcW w:w="1196" w:type="dxa"/>
          </w:tcPr>
          <w:p w:rsidR="007D680A" w:rsidRPr="00D3172D" w:rsidRDefault="007D680A" w:rsidP="002D2DFE">
            <w:pPr>
              <w:spacing w:line="480" w:lineRule="auto"/>
            </w:pPr>
            <w:r w:rsidRPr="00D3172D">
              <w:t>12.41</w:t>
            </w:r>
          </w:p>
        </w:tc>
      </w:tr>
      <w:tr w:rsidR="007D680A" w:rsidRPr="00D3172D" w:rsidTr="00C525AA">
        <w:tc>
          <w:tcPr>
            <w:tcW w:w="6912" w:type="dxa"/>
          </w:tcPr>
          <w:p w:rsidR="007D680A" w:rsidRPr="00D3172D" w:rsidRDefault="007D680A" w:rsidP="002D2DFE">
            <w:pPr>
              <w:spacing w:line="480" w:lineRule="auto"/>
            </w:pPr>
            <w:r w:rsidRPr="00D3172D">
              <w:t>Generic paracetamol sugar free oral suspension 250mg per 5mL (Pinewood laboratories)</w:t>
            </w:r>
          </w:p>
        </w:tc>
        <w:tc>
          <w:tcPr>
            <w:tcW w:w="1134" w:type="dxa"/>
          </w:tcPr>
          <w:p w:rsidR="007D680A" w:rsidRPr="00D3172D" w:rsidRDefault="007D680A" w:rsidP="002D2DFE">
            <w:pPr>
              <w:spacing w:line="480" w:lineRule="auto"/>
            </w:pPr>
            <w:r w:rsidRPr="00D3172D">
              <w:t>48.33</w:t>
            </w:r>
          </w:p>
        </w:tc>
        <w:tc>
          <w:tcPr>
            <w:tcW w:w="1196" w:type="dxa"/>
          </w:tcPr>
          <w:p w:rsidR="007D680A" w:rsidRPr="00D3172D" w:rsidRDefault="007D680A" w:rsidP="002D2DFE">
            <w:pPr>
              <w:spacing w:line="480" w:lineRule="auto"/>
            </w:pPr>
            <w:r w:rsidRPr="00D3172D">
              <w:t>19.79</w:t>
            </w:r>
          </w:p>
        </w:tc>
      </w:tr>
      <w:tr w:rsidR="007D680A" w:rsidRPr="00D3172D" w:rsidTr="00C525AA">
        <w:tc>
          <w:tcPr>
            <w:tcW w:w="6912" w:type="dxa"/>
            <w:tcBorders>
              <w:bottom w:val="single" w:sz="4" w:space="0" w:color="auto"/>
            </w:tcBorders>
          </w:tcPr>
          <w:p w:rsidR="007D680A" w:rsidRPr="00D3172D" w:rsidRDefault="007D680A" w:rsidP="002D2DFE">
            <w:pPr>
              <w:spacing w:line="480" w:lineRule="auto"/>
            </w:pPr>
            <w:r w:rsidRPr="00D3172D">
              <w:t>Calpol® paracetamol sugar free oral suspension 120mg per 5mL (McNeil)</w:t>
            </w:r>
          </w:p>
        </w:tc>
        <w:tc>
          <w:tcPr>
            <w:tcW w:w="1134" w:type="dxa"/>
            <w:tcBorders>
              <w:bottom w:val="single" w:sz="4" w:space="0" w:color="auto"/>
            </w:tcBorders>
          </w:tcPr>
          <w:p w:rsidR="007D680A" w:rsidRPr="00D3172D" w:rsidRDefault="007D680A" w:rsidP="002D2DFE">
            <w:pPr>
              <w:spacing w:line="480" w:lineRule="auto"/>
            </w:pPr>
            <w:r w:rsidRPr="00D3172D">
              <w:t>69.72</w:t>
            </w:r>
          </w:p>
        </w:tc>
        <w:tc>
          <w:tcPr>
            <w:tcW w:w="1196" w:type="dxa"/>
            <w:tcBorders>
              <w:bottom w:val="single" w:sz="4" w:space="0" w:color="auto"/>
            </w:tcBorders>
          </w:tcPr>
          <w:p w:rsidR="007D680A" w:rsidRPr="00D3172D" w:rsidRDefault="007D680A" w:rsidP="002D2DFE">
            <w:pPr>
              <w:spacing w:line="480" w:lineRule="auto"/>
            </w:pPr>
            <w:r w:rsidRPr="00D3172D">
              <w:t>38.89</w:t>
            </w:r>
          </w:p>
        </w:tc>
      </w:tr>
    </w:tbl>
    <w:p w:rsidR="007D680A" w:rsidRPr="00D3172D" w:rsidRDefault="007D680A" w:rsidP="002D2DFE">
      <w:pPr>
        <w:spacing w:line="480" w:lineRule="auto"/>
      </w:pPr>
    </w:p>
    <w:p w:rsidR="007D680A" w:rsidRDefault="007D680A" w:rsidP="002D2DFE">
      <w:pPr>
        <w:spacing w:line="480" w:lineRule="auto"/>
      </w:pPr>
      <w:r w:rsidRPr="00D3172D">
        <w:t xml:space="preserve">The particle size varied between products, as did the </w:t>
      </w:r>
      <w:r>
        <w:t>number</w:t>
      </w:r>
      <w:r w:rsidRPr="00D3172D">
        <w:t xml:space="preserve"> of particles present. However, Calpol® contained particles of the largest dimensions (although not statistically significantly larger </w:t>
      </w:r>
      <w:r>
        <w:t xml:space="preserve">(p&gt;0.05) </w:t>
      </w:r>
      <w:r w:rsidRPr="00D3172D">
        <w:t>in this estimated methodology) yet there are no mouthfeel issues associated with this product. This may also be due to the taste being the most important factor, which masks potentially problematic mouthfeel.</w:t>
      </w:r>
      <w:r>
        <w:t xml:space="preserve"> All products had particles greater than </w:t>
      </w:r>
      <w:r w:rsidRPr="00D3172D">
        <w:t xml:space="preserve">2 µm </w:t>
      </w:r>
      <w:r>
        <w:t xml:space="preserve">which was previously reported as detectable in food </w:t>
      </w:r>
      <w:r w:rsidRPr="00D3172D">
        <w:t xml:space="preserve">by trained adult panels </w:t>
      </w:r>
      <w:r>
        <w:rPr>
          <w:noProof/>
        </w:rPr>
        <w:t>(Engelen et al., 2005a)</w:t>
      </w:r>
      <w:r w:rsidRPr="00D3172D">
        <w:t xml:space="preserve">. However, </w:t>
      </w:r>
      <w:r>
        <w:t xml:space="preserve">it may be expected that medicines contain particles and grittiness may not be reported as an issue in such products. </w:t>
      </w:r>
    </w:p>
    <w:p w:rsidR="007D680A" w:rsidRDefault="007D680A" w:rsidP="002D2DFE">
      <w:pPr>
        <w:spacing w:line="480" w:lineRule="auto"/>
      </w:pPr>
      <w:r>
        <w:br w:type="page"/>
      </w:r>
    </w:p>
    <w:p w:rsidR="007D680A" w:rsidRPr="00D3172D" w:rsidRDefault="007D680A" w:rsidP="002D2DFE">
      <w:pPr>
        <w:spacing w:line="480" w:lineRule="auto"/>
      </w:pPr>
    </w:p>
    <w:p w:rsidR="007D680A" w:rsidRPr="00D3172D" w:rsidRDefault="007D680A" w:rsidP="002D2DFE">
      <w:pPr>
        <w:spacing w:line="480" w:lineRule="auto"/>
      </w:pPr>
    </w:p>
    <w:p w:rsidR="007D680A" w:rsidRPr="007B1B12" w:rsidRDefault="007D680A" w:rsidP="002D2DFE">
      <w:pPr>
        <w:spacing w:line="480" w:lineRule="auto"/>
      </w:pPr>
      <w:r w:rsidRPr="00341A7B">
        <w:rPr>
          <w:noProof/>
          <w:lang w:eastAsia="en-GB"/>
        </w:rPr>
        <mc:AlternateContent>
          <mc:Choice Requires="wps">
            <w:drawing>
              <wp:anchor distT="0" distB="0" distL="114300" distR="114300" simplePos="0" relativeHeight="251667456" behindDoc="0" locked="0" layoutInCell="1" allowOverlap="1" wp14:anchorId="3DA70E33" wp14:editId="4CD887A1">
                <wp:simplePos x="0" y="0"/>
                <wp:positionH relativeFrom="column">
                  <wp:posOffset>-3185795</wp:posOffset>
                </wp:positionH>
                <wp:positionV relativeFrom="paragraph">
                  <wp:posOffset>5337175</wp:posOffset>
                </wp:positionV>
                <wp:extent cx="252095" cy="279400"/>
                <wp:effectExtent l="0" t="0" r="14605" b="25400"/>
                <wp:wrapNone/>
                <wp:docPr id="15" name="Text Box 15"/>
                <wp:cNvGraphicFramePr/>
                <a:graphic xmlns:a="http://schemas.openxmlformats.org/drawingml/2006/main">
                  <a:graphicData uri="http://schemas.microsoft.com/office/word/2010/wordprocessingShape">
                    <wps:wsp>
                      <wps:cNvSpPr txBox="1"/>
                      <wps:spPr>
                        <a:xfrm>
                          <a:off x="0" y="0"/>
                          <a:ext cx="25209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680A" w:rsidRDefault="007D680A" w:rsidP="00341A7B">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250.85pt;margin-top:420.25pt;width:19.85pt;height: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" fillcolor="white [3201]" strokeweight=".5pt">
                <v:textbox>
                  <w:txbxContent>
                    <w:p w:rsidR="007D680A" w:rsidRDefault="007D680A" w:rsidP="00341A7B">
                      <w:r>
                        <w:t>E</w:t>
                      </w:r>
                    </w:p>
                  </w:txbxContent>
                </v:textbox>
              </v:shape>
            </w:pict>
          </mc:Fallback>
        </mc:AlternateContent>
      </w:r>
      <w:r w:rsidRPr="00341A7B">
        <w:rPr>
          <w:noProof/>
          <w:lang w:eastAsia="en-GB"/>
        </w:rPr>
        <mc:AlternateContent>
          <mc:Choice Requires="wps">
            <w:drawing>
              <wp:anchor distT="0" distB="0" distL="114300" distR="114300" simplePos="0" relativeHeight="251666432" behindDoc="0" locked="0" layoutInCell="1" allowOverlap="1" wp14:anchorId="29D801CF" wp14:editId="5ECA1F44">
                <wp:simplePos x="0" y="0"/>
                <wp:positionH relativeFrom="column">
                  <wp:posOffset>88900</wp:posOffset>
                </wp:positionH>
                <wp:positionV relativeFrom="paragraph">
                  <wp:posOffset>2614295</wp:posOffset>
                </wp:positionV>
                <wp:extent cx="252095" cy="279400"/>
                <wp:effectExtent l="0" t="0" r="14605" b="25400"/>
                <wp:wrapNone/>
                <wp:docPr id="14" name="Text Box 14"/>
                <wp:cNvGraphicFramePr/>
                <a:graphic xmlns:a="http://schemas.openxmlformats.org/drawingml/2006/main">
                  <a:graphicData uri="http://schemas.microsoft.com/office/word/2010/wordprocessingShape">
                    <wps:wsp>
                      <wps:cNvSpPr txBox="1"/>
                      <wps:spPr>
                        <a:xfrm>
                          <a:off x="0" y="0"/>
                          <a:ext cx="25209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680A" w:rsidRDefault="007D680A" w:rsidP="00341A7B">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7pt;margin-top:205.85pt;width:19.85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" fillcolor="white [3201]" strokeweight=".5pt">
                <v:textbox>
                  <w:txbxContent>
                    <w:p w:rsidR="007D680A" w:rsidRDefault="007D680A" w:rsidP="00341A7B">
                      <w:r>
                        <w:t>D</w:t>
                      </w:r>
                    </w:p>
                  </w:txbxContent>
                </v:textbox>
              </v:shape>
            </w:pict>
          </mc:Fallback>
        </mc:AlternateContent>
      </w:r>
      <w:r w:rsidRPr="00341A7B">
        <w:rPr>
          <w:noProof/>
          <w:lang w:eastAsia="en-GB"/>
        </w:rPr>
        <mc:AlternateContent>
          <mc:Choice Requires="wps">
            <w:drawing>
              <wp:anchor distT="0" distB="0" distL="114300" distR="114300" simplePos="0" relativeHeight="251665408" behindDoc="0" locked="0" layoutInCell="1" allowOverlap="1" wp14:anchorId="0B1E4EF8" wp14:editId="24C83CB6">
                <wp:simplePos x="0" y="0"/>
                <wp:positionH relativeFrom="column">
                  <wp:posOffset>-3086100</wp:posOffset>
                </wp:positionH>
                <wp:positionV relativeFrom="paragraph">
                  <wp:posOffset>2612390</wp:posOffset>
                </wp:positionV>
                <wp:extent cx="252095" cy="279400"/>
                <wp:effectExtent l="0" t="0" r="14605" b="25400"/>
                <wp:wrapNone/>
                <wp:docPr id="13" name="Text Box 13"/>
                <wp:cNvGraphicFramePr/>
                <a:graphic xmlns:a="http://schemas.openxmlformats.org/drawingml/2006/main">
                  <a:graphicData uri="http://schemas.microsoft.com/office/word/2010/wordprocessingShape">
                    <wps:wsp>
                      <wps:cNvSpPr txBox="1"/>
                      <wps:spPr>
                        <a:xfrm>
                          <a:off x="0" y="0"/>
                          <a:ext cx="25209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680A" w:rsidRDefault="007D680A" w:rsidP="00341A7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43pt;margin-top:205.7pt;width:19.85pt;height: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" fillcolor="white [3201]" strokeweight=".5pt">
                <v:textbox>
                  <w:txbxContent>
                    <w:p w:rsidR="007D680A" w:rsidRDefault="007D680A" w:rsidP="00341A7B">
                      <w:r>
                        <w:t>C</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30CDE9EF" wp14:editId="66944B2A">
                <wp:simplePos x="0" y="0"/>
                <wp:positionH relativeFrom="column">
                  <wp:posOffset>86995</wp:posOffset>
                </wp:positionH>
                <wp:positionV relativeFrom="paragraph">
                  <wp:posOffset>107950</wp:posOffset>
                </wp:positionV>
                <wp:extent cx="252095" cy="279400"/>
                <wp:effectExtent l="0" t="0" r="14605" b="25400"/>
                <wp:wrapNone/>
                <wp:docPr id="12" name="Text Box 12"/>
                <wp:cNvGraphicFramePr/>
                <a:graphic xmlns:a="http://schemas.openxmlformats.org/drawingml/2006/main">
                  <a:graphicData uri="http://schemas.microsoft.com/office/word/2010/wordprocessingShape">
                    <wps:wsp>
                      <wps:cNvSpPr txBox="1"/>
                      <wps:spPr>
                        <a:xfrm>
                          <a:off x="0" y="0"/>
                          <a:ext cx="252095" cy="279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680A" w:rsidRDefault="007D680A" w:rsidP="00341A7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6.85pt;margin-top:8.5pt;width:19.85pt;height: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" fillcolor="white [3201]" strokeweight=".5pt">
                <v:textbox>
                  <w:txbxContent>
                    <w:p w:rsidR="007D680A" w:rsidRDefault="007D680A" w:rsidP="00341A7B">
                      <w:r>
                        <w:t>B</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2148630" wp14:editId="486CC9E9">
                <wp:simplePos x="0" y="0"/>
                <wp:positionH relativeFrom="column">
                  <wp:posOffset>-3088374</wp:posOffset>
                </wp:positionH>
                <wp:positionV relativeFrom="paragraph">
                  <wp:posOffset>106490</wp:posOffset>
                </wp:positionV>
                <wp:extent cx="252484" cy="279780"/>
                <wp:effectExtent l="0" t="0" r="14605" b="25400"/>
                <wp:wrapNone/>
                <wp:docPr id="11" name="Text Box 11"/>
                <wp:cNvGraphicFramePr/>
                <a:graphic xmlns:a="http://schemas.openxmlformats.org/drawingml/2006/main">
                  <a:graphicData uri="http://schemas.microsoft.com/office/word/2010/wordprocessingShape">
                    <wps:wsp>
                      <wps:cNvSpPr txBox="1"/>
                      <wps:spPr>
                        <a:xfrm>
                          <a:off x="0" y="0"/>
                          <a:ext cx="252484" cy="279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680A" w:rsidRDefault="007D680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243.2pt;margin-top:8.4pt;width:19.9pt;height:2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" fillcolor="white [3201]" strokeweight=".5pt">
                <v:textbox>
                  <w:txbxContent>
                    <w:p w:rsidR="007D680A" w:rsidRDefault="007D680A">
                      <w:r>
                        <w:t>A</w:t>
                      </w:r>
                    </w:p>
                  </w:txbxContent>
                </v:textbox>
              </v:shape>
            </w:pict>
          </mc:Fallback>
        </mc:AlternateContent>
      </w:r>
      <w:r w:rsidRPr="00351083">
        <w:rPr>
          <w:noProof/>
          <w:lang w:eastAsia="en-GB"/>
        </w:rPr>
        <w:drawing>
          <wp:anchor distT="0" distB="0" distL="114300" distR="114300" simplePos="0" relativeHeight="251660288" behindDoc="0" locked="0" layoutInCell="1" allowOverlap="1" wp14:anchorId="108ACDC2" wp14:editId="38044459">
            <wp:simplePos x="0" y="0"/>
            <wp:positionH relativeFrom="column">
              <wp:posOffset>635</wp:posOffset>
            </wp:positionH>
            <wp:positionV relativeFrom="paragraph">
              <wp:posOffset>2514600</wp:posOffset>
            </wp:positionV>
            <wp:extent cx="3121025" cy="2472690"/>
            <wp:effectExtent l="0" t="0" r="317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250 2 w scale.tif"/>
                    <pic:cNvPicPr/>
                  </pic:nvPicPr>
                  <pic:blipFill>
                    <a:blip r:embed="rId11">
                      <a:extLst>
                        <a:ext uri="{28A0092B-C50C-407E-A947-70E740481C1C}">
                          <a14:useLocalDpi xmlns:a14="http://schemas.microsoft.com/office/drawing/2010/main" val="0"/>
                        </a:ext>
                      </a:extLst>
                    </a:blip>
                    <a:stretch>
                      <a:fillRect/>
                    </a:stretch>
                  </pic:blipFill>
                  <pic:spPr>
                    <a:xfrm>
                      <a:off x="0" y="0"/>
                      <a:ext cx="3121025" cy="2472690"/>
                    </a:xfrm>
                    <a:prstGeom prst="rect">
                      <a:avLst/>
                    </a:prstGeom>
                  </pic:spPr>
                </pic:pic>
              </a:graphicData>
            </a:graphic>
            <wp14:sizeRelH relativeFrom="page">
              <wp14:pctWidth>0</wp14:pctWidth>
            </wp14:sizeRelH>
            <wp14:sizeRelV relativeFrom="page">
              <wp14:pctHeight>0</wp14:pctHeight>
            </wp14:sizeRelV>
          </wp:anchor>
        </w:drawing>
      </w:r>
      <w:r w:rsidRPr="00351083">
        <w:rPr>
          <w:noProof/>
          <w:lang w:eastAsia="en-GB"/>
        </w:rPr>
        <w:drawing>
          <wp:anchor distT="0" distB="0" distL="114300" distR="114300" simplePos="0" relativeHeight="251659264" behindDoc="0" locked="0" layoutInCell="1" allowOverlap="1" wp14:anchorId="16BEDF01" wp14:editId="337DE695">
            <wp:simplePos x="0" y="0"/>
            <wp:positionH relativeFrom="column">
              <wp:posOffset>0</wp:posOffset>
            </wp:positionH>
            <wp:positionV relativeFrom="paragraph">
              <wp:posOffset>-2540</wp:posOffset>
            </wp:positionV>
            <wp:extent cx="3121025" cy="2472690"/>
            <wp:effectExtent l="0" t="0" r="317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rin paed w scale.tif"/>
                    <pic:cNvPicPr/>
                  </pic:nvPicPr>
                  <pic:blipFill>
                    <a:blip r:embed="rId12">
                      <a:extLst>
                        <a:ext uri="{28A0092B-C50C-407E-A947-70E740481C1C}">
                          <a14:useLocalDpi xmlns:a14="http://schemas.microsoft.com/office/drawing/2010/main" val="0"/>
                        </a:ext>
                      </a:extLst>
                    </a:blip>
                    <a:stretch>
                      <a:fillRect/>
                    </a:stretch>
                  </pic:blipFill>
                  <pic:spPr>
                    <a:xfrm>
                      <a:off x="0" y="0"/>
                      <a:ext cx="3121025" cy="2472690"/>
                    </a:xfrm>
                    <a:prstGeom prst="rect">
                      <a:avLst/>
                    </a:prstGeom>
                  </pic:spPr>
                </pic:pic>
              </a:graphicData>
            </a:graphic>
            <wp14:sizeRelH relativeFrom="page">
              <wp14:pctWidth>0</wp14:pctWidth>
            </wp14:sizeRelH>
            <wp14:sizeRelV relativeFrom="page">
              <wp14:pctHeight>0</wp14:pctHeight>
            </wp14:sizeRelV>
          </wp:anchor>
        </w:drawing>
      </w:r>
      <w:r w:rsidRPr="00351083">
        <w:rPr>
          <w:noProof/>
          <w:lang w:eastAsia="en-GB"/>
        </w:rPr>
        <w:drawing>
          <wp:inline distT="0" distB="0" distL="0" distR="0" wp14:anchorId="0003A4F8" wp14:editId="26DC7278">
            <wp:extent cx="3121200" cy="2473200"/>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rin adult2 w scale.tif"/>
                    <pic:cNvPicPr/>
                  </pic:nvPicPr>
                  <pic:blipFill>
                    <a:blip r:embed="rId13">
                      <a:extLst>
                        <a:ext uri="{28A0092B-C50C-407E-A947-70E740481C1C}">
                          <a14:useLocalDpi xmlns:a14="http://schemas.microsoft.com/office/drawing/2010/main" val="0"/>
                        </a:ext>
                      </a:extLst>
                    </a:blip>
                    <a:stretch>
                      <a:fillRect/>
                    </a:stretch>
                  </pic:blipFill>
                  <pic:spPr>
                    <a:xfrm>
                      <a:off x="0" y="0"/>
                      <a:ext cx="3121200" cy="2473200"/>
                    </a:xfrm>
                    <a:prstGeom prst="rect">
                      <a:avLst/>
                    </a:prstGeom>
                  </pic:spPr>
                </pic:pic>
              </a:graphicData>
            </a:graphic>
          </wp:inline>
        </w:drawing>
      </w:r>
      <w:r w:rsidRPr="00351083">
        <w:rPr>
          <w:noProof/>
          <w:lang w:eastAsia="en-GB"/>
        </w:rPr>
        <w:drawing>
          <wp:inline distT="0" distB="0" distL="0" distR="0" wp14:anchorId="72203E28" wp14:editId="59FD8705">
            <wp:extent cx="3121051" cy="2472833"/>
            <wp:effectExtent l="0" t="0" r="317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120 w scale.tif"/>
                    <pic:cNvPicPr/>
                  </pic:nvPicPr>
                  <pic:blipFill>
                    <a:blip r:embed="rId14">
                      <a:extLst>
                        <a:ext uri="{28A0092B-C50C-407E-A947-70E740481C1C}">
                          <a14:useLocalDpi xmlns:a14="http://schemas.microsoft.com/office/drawing/2010/main" val="0"/>
                        </a:ext>
                      </a:extLst>
                    </a:blip>
                    <a:stretch>
                      <a:fillRect/>
                    </a:stretch>
                  </pic:blipFill>
                  <pic:spPr>
                    <a:xfrm>
                      <a:off x="0" y="0"/>
                      <a:ext cx="3122787" cy="2474208"/>
                    </a:xfrm>
                    <a:prstGeom prst="rect">
                      <a:avLst/>
                    </a:prstGeom>
                  </pic:spPr>
                </pic:pic>
              </a:graphicData>
            </a:graphic>
          </wp:inline>
        </w:drawing>
      </w:r>
      <w:r w:rsidRPr="007B1B12">
        <w:rPr>
          <w:noProof/>
          <w:lang w:eastAsia="en-GB"/>
        </w:rPr>
        <w:t xml:space="preserve"> </w:t>
      </w:r>
      <w:r w:rsidRPr="00351083">
        <w:rPr>
          <w:noProof/>
          <w:lang w:eastAsia="en-GB"/>
        </w:rPr>
        <w:drawing>
          <wp:inline distT="0" distB="0" distL="0" distR="0" wp14:anchorId="6E319E0F" wp14:editId="00899E17">
            <wp:extent cx="3121200" cy="2473200"/>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pol w scale.tif"/>
                    <pic:cNvPicPr/>
                  </pic:nvPicPr>
                  <pic:blipFill>
                    <a:blip r:embed="rId15">
                      <a:extLst>
                        <a:ext uri="{28A0092B-C50C-407E-A947-70E740481C1C}">
                          <a14:useLocalDpi xmlns:a14="http://schemas.microsoft.com/office/drawing/2010/main" val="0"/>
                        </a:ext>
                      </a:extLst>
                    </a:blip>
                    <a:stretch>
                      <a:fillRect/>
                    </a:stretch>
                  </pic:blipFill>
                  <pic:spPr>
                    <a:xfrm>
                      <a:off x="0" y="0"/>
                      <a:ext cx="3121200" cy="2473200"/>
                    </a:xfrm>
                    <a:prstGeom prst="rect">
                      <a:avLst/>
                    </a:prstGeom>
                  </pic:spPr>
                </pic:pic>
              </a:graphicData>
            </a:graphic>
          </wp:inline>
        </w:drawing>
      </w:r>
    </w:p>
    <w:p w:rsidR="007D680A" w:rsidRPr="00D3172D" w:rsidRDefault="007D680A" w:rsidP="002D2DFE">
      <w:pPr>
        <w:pStyle w:val="Heading5"/>
        <w:spacing w:line="480" w:lineRule="auto"/>
        <w:ind w:left="0" w:firstLine="0"/>
      </w:pPr>
      <w:bookmarkStart w:id="4" w:name="_Ref275692404"/>
      <w:r w:rsidRPr="00D3172D">
        <w:lastRenderedPageBreak/>
        <w:t>Representative images of the products ((</w:t>
      </w:r>
      <w:r>
        <w:t>A</w:t>
      </w:r>
      <w:r w:rsidRPr="00D3172D">
        <w:t>) =</w:t>
      </w:r>
      <w:r>
        <w:t xml:space="preserve"> </w:t>
      </w:r>
      <w:r w:rsidRPr="00D3172D">
        <w:t>Septrin® Paediatric suspension 40mg/200mg per 5mL (Aspen); (</w:t>
      </w:r>
      <w:r>
        <w:t>B</w:t>
      </w:r>
      <w:r w:rsidRPr="00D3172D">
        <w:t>) = Septrin® adult suspension 80mg/400mg per 5mL (Aspen); (</w:t>
      </w:r>
      <w:r>
        <w:t>C</w:t>
      </w:r>
      <w:r w:rsidRPr="00D3172D">
        <w:t>) = generic paracetamol sugar free oral suspension 120mg per 5mL (Edict); (</w:t>
      </w:r>
      <w:r>
        <w:t>D</w:t>
      </w:r>
      <w:r w:rsidRPr="00D3172D">
        <w:t>) = generic paracetamol sugar free oral suspension 250mg per 5mL (Pinewood laboratories) and (</w:t>
      </w:r>
      <w:r>
        <w:t>E</w:t>
      </w:r>
      <w:r w:rsidRPr="00D3172D">
        <w:t>) = Calpol® paracetamol sugar free oral suspension 120mg per 5mL (McNeil)) used to calculate the diameter of the largest particles present. Scale bar = 50μm.</w:t>
      </w:r>
      <w:bookmarkEnd w:id="4"/>
      <w:r w:rsidRPr="00D3172D">
        <w:t xml:space="preserve"> </w:t>
      </w:r>
    </w:p>
    <w:p w:rsidR="007D680A" w:rsidRPr="00D3172D" w:rsidRDefault="007D680A" w:rsidP="002D2DFE">
      <w:pPr>
        <w:pStyle w:val="Heading1"/>
      </w:pPr>
      <w:r w:rsidRPr="00D3172D">
        <w:t>Conclusions</w:t>
      </w:r>
    </w:p>
    <w:p w:rsidR="007D680A" w:rsidRPr="00D3172D" w:rsidRDefault="007D680A" w:rsidP="002D2DFE">
      <w:pPr>
        <w:spacing w:line="480" w:lineRule="auto"/>
        <w:rPr>
          <w:b/>
        </w:rPr>
      </w:pPr>
      <w:r w:rsidRPr="00D3172D">
        <w:t xml:space="preserve">These results highlight the use of tribology as a tool to understand lubrication processes involving oral liquid medicines and the unique information it can provide. However, like any physical </w:t>
      </w:r>
      <w:r w:rsidRPr="00D3172D">
        <w:rPr>
          <w:i/>
        </w:rPr>
        <w:t>in vitro</w:t>
      </w:r>
      <w:r w:rsidRPr="00D3172D">
        <w:t xml:space="preserve"> technique, it is still difficult to directly relate tribological measurement to sensory perception and developments therefore additional work is required to better </w:t>
      </w:r>
      <w:r>
        <w:t xml:space="preserve">utilise </w:t>
      </w:r>
      <w:r w:rsidRPr="00D3172D">
        <w:t xml:space="preserve">sensory panel </w:t>
      </w:r>
      <w:r>
        <w:t>and</w:t>
      </w:r>
      <w:r w:rsidRPr="00D3172D">
        <w:t xml:space="preserve"> </w:t>
      </w:r>
      <w:r w:rsidRPr="00D3172D">
        <w:rPr>
          <w:i/>
        </w:rPr>
        <w:t>in vitro</w:t>
      </w:r>
      <w:r w:rsidRPr="00D3172D">
        <w:t xml:space="preserve"> data from a range of measurements</w:t>
      </w:r>
      <w:r>
        <w:t xml:space="preserve"> for future products</w:t>
      </w:r>
      <w:r w:rsidRPr="00D3172D">
        <w:t xml:space="preserve">. The application of tribology in this context has the potential to add value to the design process by allowing measurements at a different scale to rheology and </w:t>
      </w:r>
      <w:r>
        <w:t>more traditional</w:t>
      </w:r>
      <w:r w:rsidRPr="00D3172D">
        <w:t xml:space="preserve"> methods. This could play a crucial role in the rational design of oral liquid medicines with high consumer acceptability. </w:t>
      </w:r>
      <w:r w:rsidRPr="00D3172D">
        <w:br w:type="page"/>
      </w:r>
      <w:r w:rsidRPr="00D3172D">
        <w:rPr>
          <w:b/>
        </w:rPr>
        <w:t>References</w:t>
      </w:r>
    </w:p>
    <w:p w:rsidR="007D680A" w:rsidRDefault="007D680A" w:rsidP="002D2DFE">
      <w:pPr>
        <w:spacing w:after="0" w:line="480" w:lineRule="auto"/>
        <w:rPr>
          <w:rFonts w:ascii="Calibri" w:hAnsi="Calibri"/>
          <w:noProof/>
        </w:rPr>
      </w:pPr>
      <w:bookmarkStart w:id="5" w:name="_ENREF_1"/>
      <w:r>
        <w:rPr>
          <w:rFonts w:ascii="Calibri" w:hAnsi="Calibri"/>
          <w:noProof/>
        </w:rPr>
        <w:t>Allen, L., Popovich, N., Ansel, H., 2005. Ansel’s Pharmaceutical Dosage Forms and Drug Delivery Systems, Ninth Edition ed. Lippincott Milliams &amp; Wilkins, a Wolters Kluwer business, Baltimore.</w:t>
      </w:r>
      <w:bookmarkEnd w:id="5"/>
    </w:p>
    <w:p w:rsidR="007D680A" w:rsidRDefault="007D680A" w:rsidP="002D2DFE">
      <w:pPr>
        <w:spacing w:after="0" w:line="480" w:lineRule="auto"/>
        <w:rPr>
          <w:rFonts w:ascii="Calibri" w:hAnsi="Calibri"/>
          <w:noProof/>
        </w:rPr>
      </w:pPr>
      <w:bookmarkStart w:id="6" w:name="_ENREF_2"/>
      <w:r>
        <w:rPr>
          <w:rFonts w:ascii="Calibri" w:hAnsi="Calibri"/>
          <w:noProof/>
        </w:rPr>
        <w:t>Baguley, D., Lim, E., Bevan, A., Pallet, A., Faust, S.N., 2012. Prescribing for children - Taste and palatability affect adherence to antibiotics: A review. Arch</w:t>
      </w:r>
      <w:r w:rsidR="002D2DFE">
        <w:rPr>
          <w:rFonts w:ascii="Calibri" w:hAnsi="Calibri"/>
          <w:noProof/>
        </w:rPr>
        <w:t xml:space="preserve">. </w:t>
      </w:r>
      <w:r>
        <w:rPr>
          <w:rFonts w:ascii="Calibri" w:hAnsi="Calibri"/>
          <w:noProof/>
        </w:rPr>
        <w:t>Dis</w:t>
      </w:r>
      <w:r w:rsidR="002D2DFE">
        <w:rPr>
          <w:rFonts w:ascii="Calibri" w:hAnsi="Calibri"/>
          <w:noProof/>
        </w:rPr>
        <w:t>.</w:t>
      </w:r>
      <w:r>
        <w:rPr>
          <w:rFonts w:ascii="Calibri" w:hAnsi="Calibri"/>
          <w:noProof/>
        </w:rPr>
        <w:t xml:space="preserve"> Child</w:t>
      </w:r>
      <w:r w:rsidR="002D2DFE">
        <w:rPr>
          <w:rFonts w:ascii="Calibri" w:hAnsi="Calibri"/>
          <w:noProof/>
        </w:rPr>
        <w:t>.</w:t>
      </w:r>
      <w:r>
        <w:rPr>
          <w:rFonts w:ascii="Calibri" w:hAnsi="Calibri"/>
          <w:noProof/>
        </w:rPr>
        <w:t xml:space="preserve"> 97, 293-297.</w:t>
      </w:r>
      <w:bookmarkEnd w:id="6"/>
    </w:p>
    <w:p w:rsidR="007D680A" w:rsidRDefault="007D680A" w:rsidP="002D2DFE">
      <w:pPr>
        <w:spacing w:after="0" w:line="480" w:lineRule="auto"/>
        <w:rPr>
          <w:rFonts w:ascii="Calibri" w:hAnsi="Calibri"/>
          <w:noProof/>
        </w:rPr>
      </w:pPr>
      <w:bookmarkStart w:id="7" w:name="_ENREF_3"/>
      <w:r>
        <w:rPr>
          <w:rFonts w:ascii="Calibri" w:hAnsi="Calibri"/>
          <w:noProof/>
        </w:rPr>
        <w:t>Chojnicka-Paszun, A., de Jongh, H.H.J., de Kruif, C.G., 2012. Sensory perception and lubrication properties of milk: Influence of fat content. Int</w:t>
      </w:r>
      <w:r w:rsidR="002D2DFE">
        <w:rPr>
          <w:rFonts w:ascii="Calibri" w:hAnsi="Calibri"/>
          <w:noProof/>
        </w:rPr>
        <w:t xml:space="preserve">. </w:t>
      </w:r>
      <w:r>
        <w:rPr>
          <w:rFonts w:ascii="Calibri" w:hAnsi="Calibri"/>
          <w:noProof/>
        </w:rPr>
        <w:t>Dairy J</w:t>
      </w:r>
      <w:r w:rsidR="002D2DFE">
        <w:rPr>
          <w:rFonts w:ascii="Calibri" w:hAnsi="Calibri"/>
          <w:noProof/>
        </w:rPr>
        <w:t>.</w:t>
      </w:r>
      <w:r>
        <w:rPr>
          <w:rFonts w:ascii="Calibri" w:hAnsi="Calibri"/>
          <w:noProof/>
        </w:rPr>
        <w:t xml:space="preserve"> 26, 15-22.</w:t>
      </w:r>
      <w:bookmarkEnd w:id="7"/>
    </w:p>
    <w:p w:rsidR="007D680A" w:rsidRDefault="007D680A" w:rsidP="002D2DFE">
      <w:pPr>
        <w:spacing w:after="0" w:line="480" w:lineRule="auto"/>
        <w:rPr>
          <w:rFonts w:ascii="Calibri" w:hAnsi="Calibri"/>
          <w:noProof/>
        </w:rPr>
      </w:pPr>
      <w:bookmarkStart w:id="8" w:name="_ENREF_4"/>
      <w:r>
        <w:rPr>
          <w:rFonts w:ascii="Calibri" w:hAnsi="Calibri"/>
          <w:noProof/>
        </w:rPr>
        <w:t>De Wijk, R.A., Prinz, J.F., 2006. Mechanisms underlying the role of friction in oral texture. J</w:t>
      </w:r>
      <w:r w:rsidR="002D2DFE">
        <w:rPr>
          <w:rFonts w:ascii="Calibri" w:hAnsi="Calibri"/>
          <w:noProof/>
        </w:rPr>
        <w:t>.</w:t>
      </w:r>
      <w:r>
        <w:rPr>
          <w:rFonts w:ascii="Calibri" w:hAnsi="Calibri"/>
          <w:noProof/>
        </w:rPr>
        <w:t>Texture Stud</w:t>
      </w:r>
      <w:r w:rsidR="002D2DFE">
        <w:rPr>
          <w:rFonts w:ascii="Calibri" w:hAnsi="Calibri"/>
          <w:noProof/>
        </w:rPr>
        <w:t>.</w:t>
      </w:r>
      <w:r>
        <w:rPr>
          <w:rFonts w:ascii="Calibri" w:hAnsi="Calibri"/>
          <w:noProof/>
        </w:rPr>
        <w:t xml:space="preserve"> 37, 413-427.</w:t>
      </w:r>
      <w:bookmarkEnd w:id="8"/>
    </w:p>
    <w:p w:rsidR="007D680A" w:rsidRDefault="007D680A" w:rsidP="002D2DFE">
      <w:pPr>
        <w:spacing w:after="0" w:line="480" w:lineRule="auto"/>
        <w:rPr>
          <w:rFonts w:ascii="Calibri" w:hAnsi="Calibri"/>
          <w:noProof/>
        </w:rPr>
      </w:pPr>
      <w:bookmarkStart w:id="9" w:name="_ENREF_5"/>
      <w:r>
        <w:rPr>
          <w:rFonts w:ascii="Calibri" w:hAnsi="Calibri"/>
          <w:noProof/>
        </w:rPr>
        <w:t>Dresselhuis, D.M., de Hoog, E.H.A., Cohen Stuart, M.A., Vingerhoeds, M.H., van Aken, G.A., 2008. The occurrence of in-mouth coalescence of emulsion droplets in relation to perception of fat. Food Hydrocoll</w:t>
      </w:r>
      <w:r w:rsidR="002D2DFE">
        <w:rPr>
          <w:rFonts w:ascii="Calibri" w:hAnsi="Calibri"/>
          <w:noProof/>
        </w:rPr>
        <w:t>.</w:t>
      </w:r>
      <w:r>
        <w:rPr>
          <w:rFonts w:ascii="Calibri" w:hAnsi="Calibri"/>
          <w:noProof/>
        </w:rPr>
        <w:t xml:space="preserve"> 22, 1170-1183.</w:t>
      </w:r>
      <w:bookmarkEnd w:id="9"/>
    </w:p>
    <w:p w:rsidR="007D680A" w:rsidRDefault="007D680A" w:rsidP="002D2DFE">
      <w:pPr>
        <w:spacing w:after="0" w:line="480" w:lineRule="auto"/>
        <w:rPr>
          <w:rFonts w:ascii="Calibri" w:hAnsi="Calibri"/>
          <w:noProof/>
        </w:rPr>
      </w:pPr>
      <w:bookmarkStart w:id="10" w:name="_ENREF_6"/>
      <w:r>
        <w:rPr>
          <w:rFonts w:ascii="Calibri" w:hAnsi="Calibri"/>
          <w:noProof/>
        </w:rPr>
        <w:t xml:space="preserve">EMA, 2013. Guideline on pharmaceutical development of medicines for paediatric use. EMA Committee for Medicinal Products for Human Use (CHMP). Paediatric Committee (PDCO) </w:t>
      </w:r>
      <w:hyperlink r:id="rId16" w:history="1">
        <w:r w:rsidR="002D2DFE" w:rsidRPr="00794C2B">
          <w:rPr>
            <w:rStyle w:val="Hyperlink"/>
            <w:rFonts w:ascii="Calibri" w:hAnsi="Calibri"/>
            <w:noProof/>
          </w:rPr>
          <w:t>http://www.ema.europa.eu/docs/en_GB/document_library/Scientific_guideline/2013/07/WC500147002.pdf</w:t>
        </w:r>
      </w:hyperlink>
      <w:bookmarkEnd w:id="10"/>
      <w:r w:rsidR="002D2DFE">
        <w:rPr>
          <w:rFonts w:ascii="Calibri" w:hAnsi="Calibri"/>
          <w:noProof/>
        </w:rPr>
        <w:t xml:space="preserve"> (accessed November 2014)</w:t>
      </w:r>
    </w:p>
    <w:p w:rsidR="007D680A" w:rsidRDefault="007D680A" w:rsidP="002D2DFE">
      <w:pPr>
        <w:spacing w:after="0" w:line="480" w:lineRule="auto"/>
        <w:rPr>
          <w:rFonts w:ascii="Calibri" w:hAnsi="Calibri"/>
          <w:noProof/>
        </w:rPr>
      </w:pPr>
      <w:bookmarkStart w:id="11" w:name="_ENREF_7"/>
      <w:r>
        <w:rPr>
          <w:rFonts w:ascii="Calibri" w:hAnsi="Calibri"/>
          <w:noProof/>
        </w:rPr>
        <w:t>Engelen, L., De Wijk, R.A., Van Der Bilt, A., Prinz, J.F., Janssen, A.M., Bosman, F., 2005a. Relating particles and texture perception. Physiol</w:t>
      </w:r>
      <w:r w:rsidR="002D2DFE">
        <w:rPr>
          <w:rFonts w:ascii="Calibri" w:hAnsi="Calibri"/>
          <w:noProof/>
        </w:rPr>
        <w:t>.</w:t>
      </w:r>
      <w:r>
        <w:rPr>
          <w:rFonts w:ascii="Calibri" w:hAnsi="Calibri"/>
          <w:noProof/>
        </w:rPr>
        <w:t xml:space="preserve"> Behav</w:t>
      </w:r>
      <w:r w:rsidR="002D2DFE">
        <w:rPr>
          <w:rFonts w:ascii="Calibri" w:hAnsi="Calibri"/>
          <w:noProof/>
        </w:rPr>
        <w:t>.</w:t>
      </w:r>
      <w:r>
        <w:rPr>
          <w:rFonts w:ascii="Calibri" w:hAnsi="Calibri"/>
          <w:noProof/>
        </w:rPr>
        <w:t xml:space="preserve"> 86, 111-117.</w:t>
      </w:r>
      <w:bookmarkEnd w:id="11"/>
    </w:p>
    <w:p w:rsidR="007D680A" w:rsidRDefault="007D680A" w:rsidP="002D2DFE">
      <w:pPr>
        <w:spacing w:after="0" w:line="480" w:lineRule="auto"/>
        <w:rPr>
          <w:rFonts w:ascii="Calibri" w:hAnsi="Calibri"/>
          <w:noProof/>
        </w:rPr>
      </w:pPr>
      <w:bookmarkStart w:id="12" w:name="_ENREF_8"/>
      <w:r>
        <w:rPr>
          <w:rFonts w:ascii="Calibri" w:hAnsi="Calibri"/>
          <w:noProof/>
        </w:rPr>
        <w:t xml:space="preserve">Engelen, L., Van Der Bilt, A., Schipper, M., Bosman, F., 2005b. Oral size perception of particles: Effect of size, type, viscosity and method. </w:t>
      </w:r>
      <w:r w:rsidR="002D2DFE">
        <w:rPr>
          <w:rFonts w:ascii="Calibri" w:hAnsi="Calibri"/>
          <w:noProof/>
        </w:rPr>
        <w:t xml:space="preserve">J.Texture Stud. </w:t>
      </w:r>
      <w:r>
        <w:rPr>
          <w:rFonts w:ascii="Calibri" w:hAnsi="Calibri"/>
          <w:noProof/>
        </w:rPr>
        <w:t>36, 373-386.</w:t>
      </w:r>
      <w:bookmarkEnd w:id="12"/>
    </w:p>
    <w:p w:rsidR="007C2B48" w:rsidRDefault="007D680A" w:rsidP="007C2B48">
      <w:pPr>
        <w:spacing w:line="480" w:lineRule="auto"/>
        <w:rPr>
          <w:rFonts w:ascii="Calibri" w:hAnsi="Calibri"/>
          <w:noProof/>
        </w:rPr>
      </w:pPr>
      <w:bookmarkStart w:id="13" w:name="_ENREF_9"/>
      <w:r>
        <w:rPr>
          <w:rFonts w:ascii="Calibri" w:hAnsi="Calibri"/>
          <w:noProof/>
        </w:rPr>
        <w:t>Esteban Gomez, M.J., Escobar Rodriguez, I., Vicario Zubizarreta, M.J., Clemente Pollan, J., Herreros De Tejada, A., 2004. Influence of antiretroviral therapy characteristics o</w:t>
      </w:r>
      <w:r w:rsidR="007C2B48">
        <w:rPr>
          <w:rFonts w:ascii="Calibri" w:hAnsi="Calibri"/>
          <w:noProof/>
        </w:rPr>
        <w:t>n pediatric patient adherence. Farm. Hosp. 28, 34-39</w:t>
      </w:r>
      <w:bookmarkStart w:id="14" w:name="_ENREF_10"/>
      <w:bookmarkEnd w:id="13"/>
    </w:p>
    <w:p w:rsidR="007D680A" w:rsidRDefault="007D680A" w:rsidP="007C2B48">
      <w:pPr>
        <w:spacing w:line="480" w:lineRule="auto"/>
        <w:rPr>
          <w:rFonts w:ascii="Calibri" w:hAnsi="Calibri"/>
          <w:noProof/>
        </w:rPr>
      </w:pPr>
      <w:r>
        <w:rPr>
          <w:rFonts w:ascii="Calibri" w:hAnsi="Calibri"/>
          <w:noProof/>
        </w:rPr>
        <w:t>Gibb, D.M., Goodall, R.L., Giacomet, V., McGee, L., Compagnucci, A., Lyall, H., 2003. Adherence to prescribed antiretroviral therapy in human immunodeficiency virus-infected ch</w:t>
      </w:r>
      <w:r w:rsidR="007C2B48">
        <w:rPr>
          <w:rFonts w:ascii="Calibri" w:hAnsi="Calibri"/>
          <w:noProof/>
        </w:rPr>
        <w:t xml:space="preserve">ildren in the PENTA 5 trial. </w:t>
      </w:r>
      <w:r>
        <w:rPr>
          <w:rFonts w:ascii="Calibri" w:hAnsi="Calibri"/>
          <w:noProof/>
        </w:rPr>
        <w:t>Ped</w:t>
      </w:r>
      <w:r w:rsidR="007C2B48">
        <w:rPr>
          <w:rFonts w:ascii="Calibri" w:hAnsi="Calibri"/>
          <w:noProof/>
        </w:rPr>
        <w:t xml:space="preserve">. Infect. Dis. J. </w:t>
      </w:r>
      <w:r>
        <w:rPr>
          <w:rFonts w:ascii="Calibri" w:hAnsi="Calibri"/>
          <w:noProof/>
        </w:rPr>
        <w:t>22, 56-62.</w:t>
      </w:r>
      <w:bookmarkEnd w:id="14"/>
    </w:p>
    <w:p w:rsidR="007D680A" w:rsidRDefault="007D680A" w:rsidP="002D2DFE">
      <w:pPr>
        <w:spacing w:after="0" w:line="480" w:lineRule="auto"/>
        <w:rPr>
          <w:rFonts w:ascii="Calibri" w:hAnsi="Calibri"/>
          <w:noProof/>
        </w:rPr>
      </w:pPr>
      <w:bookmarkStart w:id="15" w:name="_ENREF_11"/>
      <w:r>
        <w:rPr>
          <w:rFonts w:ascii="Calibri" w:hAnsi="Calibri"/>
          <w:noProof/>
        </w:rPr>
        <w:t>Hori, K., Ono, T., Tamine, K.-i., Kondo, J., Hamanaka, S., Maeda, Y., Dong, J., Hatsuda, M., 2009. Newly developed sensor sheet for measuring tongue pressure during swallowing. J</w:t>
      </w:r>
      <w:r w:rsidR="007C2B48">
        <w:rPr>
          <w:rFonts w:ascii="Calibri" w:hAnsi="Calibri"/>
          <w:noProof/>
        </w:rPr>
        <w:t>.</w:t>
      </w:r>
      <w:r>
        <w:rPr>
          <w:rFonts w:ascii="Calibri" w:hAnsi="Calibri"/>
          <w:noProof/>
        </w:rPr>
        <w:t xml:space="preserve"> Prosthodont</w:t>
      </w:r>
      <w:r w:rsidR="007C2B48">
        <w:rPr>
          <w:rFonts w:ascii="Calibri" w:hAnsi="Calibri"/>
          <w:noProof/>
        </w:rPr>
        <w:t>.</w:t>
      </w:r>
      <w:r>
        <w:rPr>
          <w:rFonts w:ascii="Calibri" w:hAnsi="Calibri"/>
          <w:noProof/>
        </w:rPr>
        <w:t xml:space="preserve"> Res</w:t>
      </w:r>
      <w:r w:rsidR="007C2B48">
        <w:rPr>
          <w:rFonts w:ascii="Calibri" w:hAnsi="Calibri"/>
          <w:noProof/>
        </w:rPr>
        <w:t>.</w:t>
      </w:r>
      <w:r>
        <w:rPr>
          <w:rFonts w:ascii="Calibri" w:hAnsi="Calibri"/>
          <w:noProof/>
        </w:rPr>
        <w:t xml:space="preserve"> 53, 28-32.</w:t>
      </w:r>
      <w:bookmarkEnd w:id="15"/>
    </w:p>
    <w:p w:rsidR="007D680A" w:rsidRDefault="007D680A" w:rsidP="002D2DFE">
      <w:pPr>
        <w:spacing w:after="0" w:line="480" w:lineRule="auto"/>
        <w:rPr>
          <w:rFonts w:ascii="Calibri" w:hAnsi="Calibri"/>
          <w:noProof/>
        </w:rPr>
      </w:pPr>
      <w:bookmarkStart w:id="16" w:name="_ENREF_12"/>
      <w:r>
        <w:rPr>
          <w:rFonts w:ascii="Calibri" w:hAnsi="Calibri"/>
          <w:noProof/>
        </w:rPr>
        <w:t>Koliandris, A.L., Morris, C., Hewson, L., Hort, J., Taylor, A.J., Wolf, B., 2010. Correlation between saltiness perception and shear flow behaviour for viscous solutions. Food Hydrocoll</w:t>
      </w:r>
      <w:r w:rsidR="007C2B48">
        <w:rPr>
          <w:rFonts w:ascii="Calibri" w:hAnsi="Calibri"/>
          <w:noProof/>
        </w:rPr>
        <w:t>.</w:t>
      </w:r>
      <w:r>
        <w:rPr>
          <w:rFonts w:ascii="Calibri" w:hAnsi="Calibri"/>
          <w:noProof/>
        </w:rPr>
        <w:t xml:space="preserve"> 24, 792-799.</w:t>
      </w:r>
      <w:bookmarkEnd w:id="16"/>
    </w:p>
    <w:p w:rsidR="007D680A" w:rsidRDefault="007D680A" w:rsidP="002D2DFE">
      <w:pPr>
        <w:spacing w:after="0" w:line="480" w:lineRule="auto"/>
        <w:rPr>
          <w:rFonts w:ascii="Calibri" w:hAnsi="Calibri"/>
          <w:noProof/>
        </w:rPr>
      </w:pPr>
      <w:bookmarkStart w:id="17" w:name="_ENREF_13"/>
      <w:r>
        <w:rPr>
          <w:rFonts w:ascii="Calibri" w:hAnsi="Calibri"/>
          <w:noProof/>
        </w:rPr>
        <w:t>Malone, M.E., Appelqvist, I.A.M., Norton, I.T., 2003. Oral behaviour of food hydrocolloids and emulsions. Part 1. Lubrication and deposition considerations. Food Hydrocoll</w:t>
      </w:r>
      <w:r w:rsidR="007C2B48">
        <w:rPr>
          <w:rFonts w:ascii="Calibri" w:hAnsi="Calibri"/>
          <w:noProof/>
        </w:rPr>
        <w:t>.</w:t>
      </w:r>
      <w:r>
        <w:rPr>
          <w:rFonts w:ascii="Calibri" w:hAnsi="Calibri"/>
          <w:noProof/>
        </w:rPr>
        <w:t xml:space="preserve"> 17, 763-773.</w:t>
      </w:r>
      <w:bookmarkEnd w:id="17"/>
    </w:p>
    <w:p w:rsidR="007D680A" w:rsidRDefault="007D680A" w:rsidP="002D2DFE">
      <w:pPr>
        <w:spacing w:after="0" w:line="480" w:lineRule="auto"/>
        <w:rPr>
          <w:rFonts w:ascii="Calibri" w:hAnsi="Calibri"/>
          <w:noProof/>
        </w:rPr>
      </w:pPr>
      <w:bookmarkStart w:id="18" w:name="_ENREF_14"/>
      <w:r>
        <w:rPr>
          <w:rFonts w:ascii="Calibri" w:hAnsi="Calibri"/>
          <w:noProof/>
        </w:rPr>
        <w:t>Mills, T., Koay, A., Norton, I.T., 2013. Fluid gel lubrication as a function of solvent quality. Food Hydrocoll</w:t>
      </w:r>
      <w:r w:rsidR="007C2B48">
        <w:rPr>
          <w:rFonts w:ascii="Calibri" w:hAnsi="Calibri"/>
          <w:noProof/>
        </w:rPr>
        <w:t>.</w:t>
      </w:r>
      <w:r>
        <w:rPr>
          <w:rFonts w:ascii="Calibri" w:hAnsi="Calibri"/>
          <w:noProof/>
        </w:rPr>
        <w:t xml:space="preserve"> 32, 172-177.</w:t>
      </w:r>
      <w:bookmarkEnd w:id="18"/>
    </w:p>
    <w:p w:rsidR="007D680A" w:rsidRDefault="007D680A" w:rsidP="002D2DFE">
      <w:pPr>
        <w:spacing w:after="0" w:line="480" w:lineRule="auto"/>
        <w:rPr>
          <w:rFonts w:ascii="Calibri" w:hAnsi="Calibri"/>
          <w:noProof/>
        </w:rPr>
      </w:pPr>
      <w:bookmarkStart w:id="19" w:name="_ENREF_15"/>
      <w:r>
        <w:rPr>
          <w:rFonts w:ascii="Calibri" w:hAnsi="Calibri"/>
          <w:noProof/>
        </w:rPr>
        <w:t>Mills, T.B., Norton, I.T., 2013. 11 - Tribology measurement and analysis: applications to food microstructures, in: Morris, V.J., Groves, K. (Eds.), Food Microstructures. Woodhead Publishing, pp. 292-309.</w:t>
      </w:r>
      <w:bookmarkEnd w:id="19"/>
    </w:p>
    <w:p w:rsidR="007D680A" w:rsidRDefault="007D680A" w:rsidP="002D2DFE">
      <w:pPr>
        <w:spacing w:after="0" w:line="480" w:lineRule="auto"/>
        <w:rPr>
          <w:rFonts w:ascii="Calibri" w:hAnsi="Calibri"/>
          <w:noProof/>
        </w:rPr>
      </w:pPr>
      <w:bookmarkStart w:id="20" w:name="_ENREF_16"/>
      <w:r>
        <w:rPr>
          <w:rFonts w:ascii="Calibri" w:hAnsi="Calibri"/>
          <w:noProof/>
        </w:rPr>
        <w:t>Polanco Allué, I., Sánchez Climent, M.J., Castro Millán, A., Alonso Vicente, C., 2012. New routes of administration of salt solutions (oral rehydration solutions) in the treatment of acute gastroenteritis: Prospective, controlled and organoleptic study of satisfaction. Acta Ped</w:t>
      </w:r>
      <w:r w:rsidR="007C2B48">
        <w:rPr>
          <w:rFonts w:ascii="Calibri" w:hAnsi="Calibri"/>
          <w:noProof/>
        </w:rPr>
        <w:t>.</w:t>
      </w:r>
      <w:r>
        <w:rPr>
          <w:rFonts w:ascii="Calibri" w:hAnsi="Calibri"/>
          <w:noProof/>
        </w:rPr>
        <w:t xml:space="preserve"> Espan</w:t>
      </w:r>
      <w:r w:rsidR="007C2B48">
        <w:rPr>
          <w:rFonts w:ascii="Calibri" w:hAnsi="Calibri"/>
          <w:noProof/>
        </w:rPr>
        <w:t>.</w:t>
      </w:r>
      <w:r>
        <w:rPr>
          <w:rFonts w:ascii="Calibri" w:hAnsi="Calibri"/>
          <w:noProof/>
        </w:rPr>
        <w:t xml:space="preserve"> 70, 87-92.</w:t>
      </w:r>
      <w:bookmarkEnd w:id="20"/>
    </w:p>
    <w:p w:rsidR="007D680A" w:rsidRDefault="007D680A" w:rsidP="002D2DFE">
      <w:pPr>
        <w:spacing w:after="0" w:line="480" w:lineRule="auto"/>
        <w:rPr>
          <w:rFonts w:ascii="Calibri" w:hAnsi="Calibri"/>
          <w:noProof/>
        </w:rPr>
      </w:pPr>
      <w:bookmarkStart w:id="21" w:name="_ENREF_17"/>
      <w:r>
        <w:rPr>
          <w:rFonts w:ascii="Calibri" w:hAnsi="Calibri"/>
          <w:noProof/>
        </w:rPr>
        <w:t>Prakash, S., Tan, D.D.Y., Chen, J., 2013. Applications of tribology in studying food oral processing and texture perception. Food Res</w:t>
      </w:r>
      <w:r w:rsidR="007C2B48">
        <w:rPr>
          <w:rFonts w:ascii="Calibri" w:hAnsi="Calibri"/>
          <w:noProof/>
        </w:rPr>
        <w:t>.</w:t>
      </w:r>
      <w:r>
        <w:rPr>
          <w:rFonts w:ascii="Calibri" w:hAnsi="Calibri"/>
          <w:noProof/>
        </w:rPr>
        <w:t>Int</w:t>
      </w:r>
      <w:r w:rsidR="007C2B48">
        <w:rPr>
          <w:rFonts w:ascii="Calibri" w:hAnsi="Calibri"/>
          <w:noProof/>
        </w:rPr>
        <w:t>.</w:t>
      </w:r>
      <w:r>
        <w:rPr>
          <w:rFonts w:ascii="Calibri" w:hAnsi="Calibri"/>
          <w:noProof/>
        </w:rPr>
        <w:t xml:space="preserve"> 54, 1627-1635.</w:t>
      </w:r>
      <w:bookmarkEnd w:id="21"/>
    </w:p>
    <w:p w:rsidR="007D680A" w:rsidRDefault="007D680A" w:rsidP="002D2DFE">
      <w:pPr>
        <w:spacing w:after="0" w:line="480" w:lineRule="auto"/>
        <w:rPr>
          <w:rFonts w:ascii="Calibri" w:hAnsi="Calibri"/>
          <w:noProof/>
        </w:rPr>
      </w:pPr>
      <w:bookmarkStart w:id="22" w:name="_ENREF_18"/>
      <w:r>
        <w:rPr>
          <w:rFonts w:ascii="Calibri" w:hAnsi="Calibri"/>
          <w:noProof/>
        </w:rPr>
        <w:t>Prinz, J.F., de Wijk, R.A., Huntjens, L., 2007. Load dependency of the coefficient of friction of oral mucosa. Food Hydrocoll</w:t>
      </w:r>
      <w:r w:rsidR="007C2B48">
        <w:rPr>
          <w:rFonts w:ascii="Calibri" w:hAnsi="Calibri"/>
          <w:noProof/>
        </w:rPr>
        <w:t>.</w:t>
      </w:r>
      <w:r>
        <w:rPr>
          <w:rFonts w:ascii="Calibri" w:hAnsi="Calibri"/>
          <w:noProof/>
        </w:rPr>
        <w:t xml:space="preserve"> 21, 402-408.</w:t>
      </w:r>
      <w:bookmarkEnd w:id="22"/>
    </w:p>
    <w:p w:rsidR="007D680A" w:rsidRDefault="007D680A" w:rsidP="002D2DFE">
      <w:pPr>
        <w:spacing w:after="0" w:line="480" w:lineRule="auto"/>
        <w:rPr>
          <w:rFonts w:ascii="Calibri" w:hAnsi="Calibri"/>
          <w:noProof/>
        </w:rPr>
      </w:pPr>
      <w:bookmarkStart w:id="23" w:name="_ENREF_19"/>
      <w:r>
        <w:rPr>
          <w:rFonts w:ascii="Calibri" w:hAnsi="Calibri"/>
          <w:noProof/>
        </w:rPr>
        <w:t xml:space="preserve">Reddington, C., Cohen, J., Baldillo, A., Toye, M., Smith, D., Kneut, C., Demaria, A., Bertolli, J., Hsu, H.W., 2000. Adherence to medication regimens among children with human immunodeficiency virus infection. </w:t>
      </w:r>
      <w:r w:rsidR="007C2B48">
        <w:rPr>
          <w:rFonts w:ascii="Calibri" w:hAnsi="Calibri"/>
          <w:noProof/>
        </w:rPr>
        <w:t xml:space="preserve">Ped. Infect. Dis. J. </w:t>
      </w:r>
      <w:r>
        <w:rPr>
          <w:rFonts w:ascii="Calibri" w:hAnsi="Calibri"/>
          <w:noProof/>
        </w:rPr>
        <w:t>19, 1148-1153.</w:t>
      </w:r>
      <w:bookmarkEnd w:id="23"/>
    </w:p>
    <w:p w:rsidR="007D680A" w:rsidRDefault="007D680A" w:rsidP="002D2DFE">
      <w:pPr>
        <w:spacing w:after="0" w:line="480" w:lineRule="auto"/>
        <w:rPr>
          <w:rFonts w:ascii="Calibri" w:hAnsi="Calibri"/>
          <w:noProof/>
        </w:rPr>
      </w:pPr>
      <w:bookmarkStart w:id="24" w:name="_ENREF_20"/>
      <w:r>
        <w:rPr>
          <w:rFonts w:ascii="Calibri" w:hAnsi="Calibri"/>
          <w:noProof/>
        </w:rPr>
        <w:t>Rieder, M., 2012. How sweet it isn't: A new formulation of sodium phenylbutyrate and the challenge of palatability for medicines for children. Arch</w:t>
      </w:r>
      <w:r w:rsidR="007C2B48">
        <w:rPr>
          <w:rFonts w:ascii="Calibri" w:hAnsi="Calibri"/>
          <w:noProof/>
        </w:rPr>
        <w:t xml:space="preserve">. Dis. Child. </w:t>
      </w:r>
      <w:r>
        <w:rPr>
          <w:rFonts w:ascii="Calibri" w:hAnsi="Calibri"/>
          <w:noProof/>
        </w:rPr>
        <w:t>97, 1080.</w:t>
      </w:r>
      <w:bookmarkEnd w:id="24"/>
    </w:p>
    <w:p w:rsidR="007D680A" w:rsidRDefault="007D680A" w:rsidP="002D2DFE">
      <w:pPr>
        <w:spacing w:after="0" w:line="480" w:lineRule="auto"/>
        <w:rPr>
          <w:rFonts w:ascii="Calibri" w:hAnsi="Calibri"/>
          <w:noProof/>
        </w:rPr>
      </w:pPr>
      <w:bookmarkStart w:id="25" w:name="_ENREF_21"/>
      <w:r>
        <w:rPr>
          <w:rFonts w:ascii="Calibri" w:hAnsi="Calibri"/>
          <w:noProof/>
        </w:rPr>
        <w:t>Rossetti, D., Bongaerts, J.H.H., Wantling, E., Stokes, J.R., Williamson, A.M., 2009. Astringency of tea catechins: More than an oral lubrication tactile percept. Food Hydrocoll</w:t>
      </w:r>
      <w:r w:rsidR="007C2B48">
        <w:rPr>
          <w:rFonts w:ascii="Calibri" w:hAnsi="Calibri"/>
          <w:noProof/>
        </w:rPr>
        <w:t>.</w:t>
      </w:r>
      <w:r>
        <w:rPr>
          <w:rFonts w:ascii="Calibri" w:hAnsi="Calibri"/>
          <w:noProof/>
        </w:rPr>
        <w:t xml:space="preserve"> 23, 1984-1992.</w:t>
      </w:r>
      <w:bookmarkEnd w:id="25"/>
    </w:p>
    <w:p w:rsidR="007D680A" w:rsidRDefault="007D680A" w:rsidP="002D2DFE">
      <w:pPr>
        <w:spacing w:after="0" w:line="480" w:lineRule="auto"/>
        <w:rPr>
          <w:rFonts w:ascii="Calibri" w:hAnsi="Calibri"/>
          <w:noProof/>
        </w:rPr>
      </w:pPr>
      <w:bookmarkStart w:id="26" w:name="_ENREF_22"/>
      <w:r>
        <w:rPr>
          <w:rFonts w:ascii="Calibri" w:hAnsi="Calibri"/>
          <w:noProof/>
        </w:rPr>
        <w:t xml:space="preserve">Smith, C.J., Sammons, H.M., Fakis, A., Conroy, S., 2013. A prospective study to assess the palatability of analgesic medicines in children. </w:t>
      </w:r>
      <w:r w:rsidR="007C2B48">
        <w:rPr>
          <w:rFonts w:ascii="Calibri" w:hAnsi="Calibri"/>
          <w:noProof/>
        </w:rPr>
        <w:t>J.</w:t>
      </w:r>
      <w:r>
        <w:rPr>
          <w:rFonts w:ascii="Calibri" w:hAnsi="Calibri"/>
          <w:noProof/>
        </w:rPr>
        <w:t xml:space="preserve"> Adv</w:t>
      </w:r>
      <w:r w:rsidR="007C2B48">
        <w:rPr>
          <w:rFonts w:ascii="Calibri" w:hAnsi="Calibri"/>
          <w:noProof/>
        </w:rPr>
        <w:t>.</w:t>
      </w:r>
      <w:r>
        <w:rPr>
          <w:rFonts w:ascii="Calibri" w:hAnsi="Calibri"/>
          <w:noProof/>
        </w:rPr>
        <w:t xml:space="preserve"> Nurs</w:t>
      </w:r>
      <w:r w:rsidR="007C2B48">
        <w:rPr>
          <w:rFonts w:ascii="Calibri" w:hAnsi="Calibri"/>
          <w:noProof/>
        </w:rPr>
        <w:t>.</w:t>
      </w:r>
      <w:r>
        <w:rPr>
          <w:rFonts w:ascii="Calibri" w:hAnsi="Calibri"/>
          <w:noProof/>
        </w:rPr>
        <w:t xml:space="preserve"> 69, 655-663.</w:t>
      </w:r>
      <w:bookmarkEnd w:id="26"/>
    </w:p>
    <w:p w:rsidR="007D680A" w:rsidRDefault="007D680A" w:rsidP="002D2DFE">
      <w:pPr>
        <w:spacing w:after="0" w:line="480" w:lineRule="auto"/>
        <w:rPr>
          <w:rFonts w:ascii="Calibri" w:hAnsi="Calibri"/>
          <w:noProof/>
        </w:rPr>
      </w:pPr>
      <w:bookmarkStart w:id="27" w:name="_ENREF_23"/>
      <w:r>
        <w:rPr>
          <w:rFonts w:ascii="Calibri" w:hAnsi="Calibri"/>
          <w:noProof/>
        </w:rPr>
        <w:t>Somasiri, U.L., Thillainathan, S., Fernandopulle, R., Sri Ranganathan, S.S., 2013. Antiepileptic drugs for children: Availability, suitability and acceptability. Sri Lanka J</w:t>
      </w:r>
      <w:r w:rsidR="007C2B48">
        <w:rPr>
          <w:rFonts w:ascii="Calibri" w:hAnsi="Calibri"/>
          <w:noProof/>
        </w:rPr>
        <w:t xml:space="preserve">. </w:t>
      </w:r>
      <w:r>
        <w:rPr>
          <w:rFonts w:ascii="Calibri" w:hAnsi="Calibri"/>
          <w:noProof/>
        </w:rPr>
        <w:t>Child Health 42, 38-39.</w:t>
      </w:r>
      <w:bookmarkEnd w:id="27"/>
    </w:p>
    <w:p w:rsidR="007D680A" w:rsidRDefault="007D680A" w:rsidP="002D2DFE">
      <w:pPr>
        <w:spacing w:after="0" w:line="480" w:lineRule="auto"/>
        <w:rPr>
          <w:rFonts w:ascii="Calibri" w:hAnsi="Calibri"/>
          <w:noProof/>
        </w:rPr>
      </w:pPr>
      <w:bookmarkStart w:id="28" w:name="_ENREF_24"/>
      <w:r>
        <w:rPr>
          <w:rFonts w:ascii="Calibri" w:hAnsi="Calibri"/>
          <w:noProof/>
        </w:rPr>
        <w:t>Sonne, A., Busch-Stockfisch, M., Weiss, J., Hinrichs, J., 2014. Improved mapping of in-mouth creaminess of semi-solid dairy products by combining rheology, particle size, and tribology data. LWT - Food Sci</w:t>
      </w:r>
      <w:r w:rsidR="007C2B48">
        <w:rPr>
          <w:rFonts w:ascii="Calibri" w:hAnsi="Calibri"/>
          <w:noProof/>
        </w:rPr>
        <w:t>.</w:t>
      </w:r>
      <w:r>
        <w:rPr>
          <w:rFonts w:ascii="Calibri" w:hAnsi="Calibri"/>
          <w:noProof/>
        </w:rPr>
        <w:t xml:space="preserve"> Tech</w:t>
      </w:r>
      <w:r w:rsidR="007C2B48">
        <w:rPr>
          <w:rFonts w:ascii="Calibri" w:hAnsi="Calibri"/>
          <w:noProof/>
        </w:rPr>
        <w:t>.</w:t>
      </w:r>
      <w:r>
        <w:rPr>
          <w:rFonts w:ascii="Calibri" w:hAnsi="Calibri"/>
          <w:noProof/>
        </w:rPr>
        <w:t xml:space="preserve"> 59, 342-347.</w:t>
      </w:r>
      <w:bookmarkEnd w:id="28"/>
    </w:p>
    <w:p w:rsidR="007D680A" w:rsidRDefault="007D680A" w:rsidP="002D2DFE">
      <w:pPr>
        <w:spacing w:after="0" w:line="480" w:lineRule="auto"/>
        <w:rPr>
          <w:rFonts w:ascii="Calibri" w:hAnsi="Calibri"/>
          <w:noProof/>
        </w:rPr>
      </w:pPr>
      <w:bookmarkStart w:id="29" w:name="_ENREF_25"/>
      <w:r>
        <w:rPr>
          <w:rFonts w:ascii="Calibri" w:hAnsi="Calibri"/>
          <w:noProof/>
        </w:rPr>
        <w:t>Van Dyke, R.B., Lee, S., Johnson, G.M., Wiznia, A., Mohan, K., Stanley, K., Morse, E.V., Krogstad, P.A., Nachman, S., 2002. Reported adherence as a determinant of response to highly active antiretroviral therapy in children who have human immunodeficiency virus infection. Pediatrics 109, e61.</w:t>
      </w:r>
      <w:bookmarkEnd w:id="29"/>
    </w:p>
    <w:p w:rsidR="007D680A" w:rsidRDefault="007D680A" w:rsidP="002D2DFE">
      <w:pPr>
        <w:spacing w:after="0" w:line="480" w:lineRule="auto"/>
        <w:rPr>
          <w:rFonts w:ascii="Calibri" w:hAnsi="Calibri"/>
          <w:noProof/>
        </w:rPr>
      </w:pPr>
      <w:bookmarkStart w:id="30" w:name="_ENREF_26"/>
      <w:r>
        <w:rPr>
          <w:rFonts w:ascii="Calibri" w:hAnsi="Calibri"/>
          <w:noProof/>
        </w:rPr>
        <w:t>van Vliet, T., van Aken, G.A., de Jongh, H.H., Hamer, R.J., 2009. Colloidal aspects of texture perception. Adv</w:t>
      </w:r>
      <w:r w:rsidR="007C2B48">
        <w:rPr>
          <w:rFonts w:ascii="Calibri" w:hAnsi="Calibri"/>
          <w:noProof/>
        </w:rPr>
        <w:t>.</w:t>
      </w:r>
      <w:r>
        <w:rPr>
          <w:rFonts w:ascii="Calibri" w:hAnsi="Calibri"/>
          <w:noProof/>
        </w:rPr>
        <w:t xml:space="preserve"> Colloid Interface Sci</w:t>
      </w:r>
      <w:r w:rsidR="007C2B48">
        <w:rPr>
          <w:rFonts w:ascii="Calibri" w:hAnsi="Calibri"/>
          <w:noProof/>
        </w:rPr>
        <w:t>.</w:t>
      </w:r>
      <w:r>
        <w:rPr>
          <w:rFonts w:ascii="Calibri" w:hAnsi="Calibri"/>
          <w:noProof/>
        </w:rPr>
        <w:t xml:space="preserve"> 150, 27-40.</w:t>
      </w:r>
      <w:bookmarkEnd w:id="30"/>
    </w:p>
    <w:p w:rsidR="007D680A" w:rsidRDefault="007D680A" w:rsidP="002D2DFE">
      <w:pPr>
        <w:spacing w:after="0" w:line="480" w:lineRule="auto"/>
        <w:rPr>
          <w:rFonts w:ascii="Calibri" w:hAnsi="Calibri"/>
          <w:noProof/>
        </w:rPr>
      </w:pPr>
      <w:bookmarkStart w:id="31" w:name="_ENREF_27"/>
      <w:r>
        <w:rPr>
          <w:rFonts w:ascii="Calibri" w:hAnsi="Calibri"/>
          <w:noProof/>
        </w:rPr>
        <w:t xml:space="preserve">Venables, R., 2014. </w:t>
      </w:r>
      <w:r w:rsidR="007C2B48">
        <w:rPr>
          <w:rFonts w:ascii="Calibri" w:hAnsi="Calibri"/>
          <w:noProof/>
        </w:rPr>
        <w:t xml:space="preserve">PhD thesis: </w:t>
      </w:r>
      <w:r w:rsidR="007C2B48" w:rsidRPr="007C2B48">
        <w:rPr>
          <w:rFonts w:ascii="Calibri" w:hAnsi="Calibri"/>
          <w:noProof/>
        </w:rPr>
        <w:t>Determining the prevalence and nature of oral formulation-related barriers to medicines administration in paediatric patients suffering from chronic conditions</w:t>
      </w:r>
      <w:r w:rsidR="007C2B48">
        <w:rPr>
          <w:rFonts w:ascii="Calibri" w:hAnsi="Calibri"/>
          <w:noProof/>
        </w:rPr>
        <w:t>.</w:t>
      </w:r>
      <w:r>
        <w:rPr>
          <w:rFonts w:ascii="Calibri" w:hAnsi="Calibri"/>
          <w:noProof/>
        </w:rPr>
        <w:t xml:space="preserve"> University of Birmingham</w:t>
      </w:r>
      <w:r w:rsidR="007C2B48">
        <w:rPr>
          <w:rFonts w:ascii="Calibri" w:hAnsi="Calibri"/>
          <w:noProof/>
        </w:rPr>
        <w:t xml:space="preserve">, </w:t>
      </w:r>
      <w:hyperlink r:id="rId17" w:history="1">
        <w:r w:rsidR="007C2B48" w:rsidRPr="00794C2B">
          <w:rPr>
            <w:rStyle w:val="Hyperlink"/>
            <w:rFonts w:ascii="Calibri" w:hAnsi="Calibri"/>
            <w:noProof/>
          </w:rPr>
          <w:t>http://etheses.bham.ac.uk/4799/</w:t>
        </w:r>
      </w:hyperlink>
      <w:r w:rsidR="007C2B48">
        <w:rPr>
          <w:rFonts w:ascii="Calibri" w:hAnsi="Calibri"/>
          <w:noProof/>
        </w:rPr>
        <w:t xml:space="preserve"> (accessed November 2014)</w:t>
      </w:r>
      <w:r>
        <w:rPr>
          <w:rFonts w:ascii="Calibri" w:hAnsi="Calibri"/>
          <w:noProof/>
        </w:rPr>
        <w:t>.</w:t>
      </w:r>
      <w:bookmarkEnd w:id="31"/>
    </w:p>
    <w:p w:rsidR="007D680A" w:rsidRDefault="007D680A" w:rsidP="002D2DFE">
      <w:pPr>
        <w:spacing w:line="480" w:lineRule="auto"/>
        <w:rPr>
          <w:rFonts w:ascii="Calibri" w:hAnsi="Calibri"/>
          <w:noProof/>
        </w:rPr>
      </w:pPr>
      <w:bookmarkStart w:id="32" w:name="_ENREF_28"/>
      <w:r>
        <w:rPr>
          <w:rFonts w:ascii="Calibri" w:hAnsi="Calibri"/>
          <w:noProof/>
        </w:rPr>
        <w:t>Venables, R., Stirling, H., Marriott, J., 2014. Oral formulation-related barriers to medicines administration in children with chronic conditions: views</w:t>
      </w:r>
      <w:r w:rsidR="007C2B48">
        <w:rPr>
          <w:rFonts w:ascii="Calibri" w:hAnsi="Calibri"/>
          <w:noProof/>
        </w:rPr>
        <w:t xml:space="preserve"> of parents and young people. Arch. Dis. Child. </w:t>
      </w:r>
      <w:r>
        <w:rPr>
          <w:rFonts w:ascii="Calibri" w:hAnsi="Calibri"/>
          <w:noProof/>
        </w:rPr>
        <w:t>99, A169-170.</w:t>
      </w:r>
      <w:bookmarkEnd w:id="32"/>
    </w:p>
    <w:p w:rsidR="007D680A" w:rsidRDefault="007D680A" w:rsidP="002D2DFE">
      <w:pPr>
        <w:spacing w:line="480" w:lineRule="auto"/>
        <w:rPr>
          <w:rFonts w:ascii="Calibri" w:hAnsi="Calibri"/>
          <w:noProof/>
        </w:rPr>
      </w:pPr>
    </w:p>
    <w:p w:rsidR="007D680A" w:rsidRPr="007B1B12" w:rsidRDefault="007D680A" w:rsidP="002D2DFE">
      <w:pPr>
        <w:spacing w:line="480" w:lineRule="auto"/>
      </w:pPr>
      <w:r>
        <w:fldChar w:fldCharType="begin"/>
      </w:r>
      <w:r>
        <w:instrText xml:space="preserve"> ADDIN </w:instrText>
      </w:r>
      <w:r>
        <w:fldChar w:fldCharType="end"/>
      </w:r>
    </w:p>
    <w:p w:rsidR="0024699F" w:rsidRDefault="007750A1" w:rsidP="002D2DFE">
      <w:pPr>
        <w:spacing w:line="480" w:lineRule="auto"/>
      </w:pPr>
    </w:p>
    <w:sectPr w:rsidR="0024699F" w:rsidSect="002D2DFE">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5B82B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3FEC2F8"/>
    <w:lvl w:ilvl="0">
      <w:start w:val="1"/>
      <w:numFmt w:val="decimal"/>
      <w:lvlText w:val="%1."/>
      <w:lvlJc w:val="left"/>
      <w:pPr>
        <w:tabs>
          <w:tab w:val="num" w:pos="1492"/>
        </w:tabs>
        <w:ind w:left="1492" w:hanging="360"/>
      </w:pPr>
    </w:lvl>
  </w:abstractNum>
  <w:abstractNum w:abstractNumId="2">
    <w:nsid w:val="FFFFFF7D"/>
    <w:multiLevelType w:val="singleLevel"/>
    <w:tmpl w:val="2B70CDB8"/>
    <w:lvl w:ilvl="0">
      <w:start w:val="1"/>
      <w:numFmt w:val="decimal"/>
      <w:lvlText w:val="%1."/>
      <w:lvlJc w:val="left"/>
      <w:pPr>
        <w:tabs>
          <w:tab w:val="num" w:pos="1209"/>
        </w:tabs>
        <w:ind w:left="1209" w:hanging="360"/>
      </w:pPr>
    </w:lvl>
  </w:abstractNum>
  <w:abstractNum w:abstractNumId="3">
    <w:nsid w:val="FFFFFF7E"/>
    <w:multiLevelType w:val="singleLevel"/>
    <w:tmpl w:val="0C4C150C"/>
    <w:lvl w:ilvl="0">
      <w:start w:val="1"/>
      <w:numFmt w:val="decimal"/>
      <w:lvlText w:val="%1."/>
      <w:lvlJc w:val="left"/>
      <w:pPr>
        <w:tabs>
          <w:tab w:val="num" w:pos="926"/>
        </w:tabs>
        <w:ind w:left="926" w:hanging="360"/>
      </w:pPr>
    </w:lvl>
  </w:abstractNum>
  <w:abstractNum w:abstractNumId="4">
    <w:nsid w:val="FFFFFF7F"/>
    <w:multiLevelType w:val="singleLevel"/>
    <w:tmpl w:val="6FD6D4D8"/>
    <w:lvl w:ilvl="0">
      <w:start w:val="1"/>
      <w:numFmt w:val="decimal"/>
      <w:lvlText w:val="%1."/>
      <w:lvlJc w:val="left"/>
      <w:pPr>
        <w:tabs>
          <w:tab w:val="num" w:pos="643"/>
        </w:tabs>
        <w:ind w:left="643" w:hanging="360"/>
      </w:pPr>
    </w:lvl>
  </w:abstractNum>
  <w:abstractNum w:abstractNumId="5">
    <w:nsid w:val="FFFFFF80"/>
    <w:multiLevelType w:val="singleLevel"/>
    <w:tmpl w:val="DA68595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A54556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03E64A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02478F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4948C2C"/>
    <w:lvl w:ilvl="0">
      <w:start w:val="1"/>
      <w:numFmt w:val="decimal"/>
      <w:lvlText w:val="%1."/>
      <w:lvlJc w:val="left"/>
      <w:pPr>
        <w:tabs>
          <w:tab w:val="num" w:pos="360"/>
        </w:tabs>
        <w:ind w:left="360" w:hanging="360"/>
      </w:pPr>
    </w:lvl>
  </w:abstractNum>
  <w:abstractNum w:abstractNumId="10">
    <w:nsid w:val="FFFFFF89"/>
    <w:multiLevelType w:val="singleLevel"/>
    <w:tmpl w:val="B4F6B296"/>
    <w:lvl w:ilvl="0">
      <w:start w:val="1"/>
      <w:numFmt w:val="bullet"/>
      <w:lvlText w:val=""/>
      <w:lvlJc w:val="left"/>
      <w:pPr>
        <w:tabs>
          <w:tab w:val="num" w:pos="360"/>
        </w:tabs>
        <w:ind w:left="360" w:hanging="360"/>
      </w:pPr>
      <w:rPr>
        <w:rFonts w:ascii="Symbol" w:hAnsi="Symbol" w:hint="default"/>
      </w:rPr>
    </w:lvl>
  </w:abstractNum>
  <w:abstractNum w:abstractNumId="11">
    <w:nsid w:val="07C5370D"/>
    <w:multiLevelType w:val="multilevel"/>
    <w:tmpl w:val="F7808D0C"/>
    <w:lvl w:ilvl="0">
      <w:start w:val="1"/>
      <w:numFmt w:val="decimal"/>
      <w:lvlText w:val="Table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Table %1.%4"/>
      <w:lvlJc w:val="left"/>
      <w:pPr>
        <w:ind w:left="864" w:hanging="864"/>
      </w:pPr>
      <w:rPr>
        <w:rFonts w:hint="default"/>
      </w:rPr>
    </w:lvl>
    <w:lvl w:ilvl="4">
      <w:start w:val="1"/>
      <w:numFmt w:val="decimal"/>
      <w:lvlText w:val="Figure %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A9153A3"/>
    <w:multiLevelType w:val="multilevel"/>
    <w:tmpl w:val="7750C418"/>
    <w:lvl w:ilvl="0">
      <w:start w:val="1"/>
      <w:numFmt w:val="decimal"/>
      <w:lvlText w:val="Table %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Table %1.%4"/>
      <w:lvlJc w:val="left"/>
      <w:pPr>
        <w:ind w:left="864" w:hanging="864"/>
      </w:pPr>
      <w:rPr>
        <w:rFonts w:hint="default"/>
      </w:rPr>
    </w:lvl>
    <w:lvl w:ilvl="4">
      <w:start w:val="1"/>
      <w:numFmt w:val="none"/>
      <w:lvlText w:val="Figure %1"/>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8D77F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6DB2A2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6F51EAA"/>
    <w:multiLevelType w:val="multilevel"/>
    <w:tmpl w:val="0409001F"/>
    <w:numStyleLink w:val="111111"/>
  </w:abstractNum>
  <w:abstractNum w:abstractNumId="16">
    <w:nsid w:val="428F34F5"/>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73D33FF"/>
    <w:multiLevelType w:val="multilevel"/>
    <w:tmpl w:val="8EA6E868"/>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50D4230A"/>
    <w:multiLevelType w:val="hybridMultilevel"/>
    <w:tmpl w:val="7A42C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D42A44"/>
    <w:multiLevelType w:val="hybridMultilevel"/>
    <w:tmpl w:val="92D80D86"/>
    <w:lvl w:ilvl="0" w:tplc="3D425EA6">
      <w:start w:val="1"/>
      <w:numFmt w:val="decimal"/>
      <w:pStyle w:val="Heading5"/>
      <w:lvlText w:val="Figure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345D97"/>
    <w:multiLevelType w:val="hybridMultilevel"/>
    <w:tmpl w:val="7A42C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8750F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273549"/>
    <w:multiLevelType w:val="hybridMultilevel"/>
    <w:tmpl w:val="A9EAE3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68064F4"/>
    <w:multiLevelType w:val="multilevel"/>
    <w:tmpl w:val="D8E4651A"/>
    <w:lvl w:ilvl="0">
      <w:start w:val="1"/>
      <w:numFmt w:val="decimal"/>
      <w:lvlText w:val="Table %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Table %1.%4"/>
      <w:lvlJc w:val="left"/>
      <w:pPr>
        <w:ind w:left="864" w:hanging="864"/>
      </w:pPr>
      <w:rPr>
        <w:rFonts w:hint="default"/>
      </w:rPr>
    </w:lvl>
    <w:lvl w:ilvl="4">
      <w:start w:val="1"/>
      <w:numFmt w:val="decimal"/>
      <w:lvlText w:val="Figure %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2"/>
  </w:num>
  <w:num w:numId="2">
    <w:abstractNumId w:val="16"/>
  </w:num>
  <w:num w:numId="3">
    <w:abstractNumId w:val="13"/>
  </w:num>
  <w:num w:numId="4">
    <w:abstractNumId w:val="21"/>
  </w:num>
  <w:num w:numId="5">
    <w:abstractNumId w:val="14"/>
  </w:num>
  <w:num w:numId="6">
    <w:abstractNumId w:val="15"/>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2"/>
  </w:num>
  <w:num w:numId="19">
    <w:abstractNumId w:val="17"/>
  </w:num>
  <w:num w:numId="20">
    <w:abstractNumId w:val="19"/>
  </w:num>
  <w:num w:numId="21">
    <w:abstractNumId w:val="11"/>
  </w:num>
  <w:num w:numId="22">
    <w:abstractNumId w:val="23"/>
  </w:num>
  <w:num w:numId="23">
    <w:abstractNumId w:val="18"/>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D680A"/>
    <w:rsid w:val="0021268F"/>
    <w:rsid w:val="002A54D4"/>
    <w:rsid w:val="002D2DFE"/>
    <w:rsid w:val="0030399A"/>
    <w:rsid w:val="006426EF"/>
    <w:rsid w:val="007750A1"/>
    <w:rsid w:val="007C2B48"/>
    <w:rsid w:val="007D680A"/>
    <w:rsid w:val="009F1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0A"/>
    <w:rPr>
      <w:rFonts w:ascii="Arial" w:hAnsi="Arial"/>
    </w:rPr>
  </w:style>
  <w:style w:type="paragraph" w:styleId="Heading1">
    <w:name w:val="heading 1"/>
    <w:basedOn w:val="Normal"/>
    <w:next w:val="Normal"/>
    <w:link w:val="Heading1Char"/>
    <w:uiPriority w:val="9"/>
    <w:qFormat/>
    <w:rsid w:val="007D680A"/>
    <w:pPr>
      <w:numPr>
        <w:numId w:val="19"/>
      </w:numPr>
      <w:spacing w:before="480" w:after="0" w:line="480" w:lineRule="auto"/>
      <w:contextualSpacing/>
      <w:outlineLvl w:val="0"/>
    </w:pPr>
    <w:rPr>
      <w:rFonts w:eastAsiaTheme="majorEastAsia" w:cs="Arial"/>
      <w:b/>
      <w:bCs/>
      <w:szCs w:val="24"/>
      <w:lang w:bidi="en-US"/>
    </w:rPr>
  </w:style>
  <w:style w:type="paragraph" w:styleId="Heading2">
    <w:name w:val="heading 2"/>
    <w:basedOn w:val="Normal"/>
    <w:next w:val="Normal"/>
    <w:link w:val="Heading2Char"/>
    <w:uiPriority w:val="9"/>
    <w:unhideWhenUsed/>
    <w:qFormat/>
    <w:rsid w:val="007D680A"/>
    <w:pPr>
      <w:numPr>
        <w:ilvl w:val="1"/>
        <w:numId w:val="18"/>
      </w:numPr>
      <w:spacing w:before="200" w:after="0" w:line="480" w:lineRule="auto"/>
      <w:outlineLvl w:val="1"/>
    </w:pPr>
    <w:rPr>
      <w:rFonts w:eastAsiaTheme="majorEastAsia" w:cs="Arial"/>
      <w:bCs/>
      <w:szCs w:val="26"/>
      <w:lang w:bidi="en-US"/>
    </w:rPr>
  </w:style>
  <w:style w:type="paragraph" w:styleId="Heading3">
    <w:name w:val="heading 3"/>
    <w:basedOn w:val="Normal"/>
    <w:next w:val="Normal"/>
    <w:link w:val="Heading3Char"/>
    <w:uiPriority w:val="9"/>
    <w:unhideWhenUsed/>
    <w:qFormat/>
    <w:rsid w:val="007D680A"/>
    <w:pPr>
      <w:keepNext/>
      <w:keepLines/>
      <w:numPr>
        <w:ilvl w:val="2"/>
        <w:numId w:val="18"/>
      </w:numPr>
      <w:spacing w:before="200" w:after="0"/>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unhideWhenUsed/>
    <w:qFormat/>
    <w:rsid w:val="007D680A"/>
    <w:pPr>
      <w:keepNext/>
      <w:keepLines/>
      <w:numPr>
        <w:ilvl w:val="3"/>
        <w:numId w:val="18"/>
      </w:numPr>
      <w:spacing w:before="200" w:after="0" w:line="240" w:lineRule="auto"/>
      <w:outlineLvl w:val="3"/>
    </w:pPr>
    <w:rPr>
      <w:rFonts w:asciiTheme="majorHAnsi" w:eastAsiaTheme="majorEastAsia" w:hAnsiTheme="majorHAnsi" w:cstheme="majorBidi"/>
      <w:i/>
      <w:lang w:bidi="en-US"/>
    </w:rPr>
  </w:style>
  <w:style w:type="paragraph" w:styleId="Heading5">
    <w:name w:val="heading 5"/>
    <w:basedOn w:val="Heading2"/>
    <w:next w:val="Normal"/>
    <w:link w:val="Heading5Char"/>
    <w:uiPriority w:val="9"/>
    <w:unhideWhenUsed/>
    <w:qFormat/>
    <w:rsid w:val="007D680A"/>
    <w:pPr>
      <w:numPr>
        <w:ilvl w:val="0"/>
        <w:numId w:val="20"/>
      </w:numPr>
      <w:spacing w:line="240" w:lineRule="auto"/>
      <w:outlineLvl w:val="4"/>
    </w:pPr>
  </w:style>
  <w:style w:type="paragraph" w:styleId="Heading6">
    <w:name w:val="heading 6"/>
    <w:basedOn w:val="Normal"/>
    <w:next w:val="Normal"/>
    <w:link w:val="Heading6Char"/>
    <w:uiPriority w:val="9"/>
    <w:semiHidden/>
    <w:unhideWhenUsed/>
    <w:qFormat/>
    <w:rsid w:val="007D680A"/>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680A"/>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680A"/>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680A"/>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80A"/>
    <w:rPr>
      <w:rFonts w:ascii="Arial" w:eastAsiaTheme="majorEastAsia" w:hAnsi="Arial" w:cs="Arial"/>
      <w:b/>
      <w:bCs/>
      <w:szCs w:val="24"/>
      <w:lang w:bidi="en-US"/>
    </w:rPr>
  </w:style>
  <w:style w:type="character" w:customStyle="1" w:styleId="Heading2Char">
    <w:name w:val="Heading 2 Char"/>
    <w:basedOn w:val="DefaultParagraphFont"/>
    <w:link w:val="Heading2"/>
    <w:uiPriority w:val="9"/>
    <w:rsid w:val="007D680A"/>
    <w:rPr>
      <w:rFonts w:ascii="Arial" w:eastAsiaTheme="majorEastAsia" w:hAnsi="Arial" w:cs="Arial"/>
      <w:bCs/>
      <w:szCs w:val="26"/>
      <w:lang w:bidi="en-US"/>
    </w:rPr>
  </w:style>
  <w:style w:type="character" w:customStyle="1" w:styleId="Heading3Char">
    <w:name w:val="Heading 3 Char"/>
    <w:basedOn w:val="DefaultParagraphFont"/>
    <w:link w:val="Heading3"/>
    <w:uiPriority w:val="9"/>
    <w:rsid w:val="007D680A"/>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rsid w:val="007D680A"/>
    <w:rPr>
      <w:rFonts w:asciiTheme="majorHAnsi" w:eastAsiaTheme="majorEastAsia" w:hAnsiTheme="majorHAnsi" w:cstheme="majorBidi"/>
      <w:i/>
      <w:lang w:bidi="en-US"/>
    </w:rPr>
  </w:style>
  <w:style w:type="character" w:customStyle="1" w:styleId="Heading5Char">
    <w:name w:val="Heading 5 Char"/>
    <w:basedOn w:val="DefaultParagraphFont"/>
    <w:link w:val="Heading5"/>
    <w:uiPriority w:val="9"/>
    <w:rsid w:val="007D680A"/>
    <w:rPr>
      <w:rFonts w:ascii="Arial" w:eastAsiaTheme="majorEastAsia" w:hAnsi="Arial" w:cs="Arial"/>
      <w:bCs/>
      <w:szCs w:val="26"/>
      <w:lang w:bidi="en-US"/>
    </w:rPr>
  </w:style>
  <w:style w:type="character" w:customStyle="1" w:styleId="Heading6Char">
    <w:name w:val="Heading 6 Char"/>
    <w:basedOn w:val="DefaultParagraphFont"/>
    <w:link w:val="Heading6"/>
    <w:uiPriority w:val="9"/>
    <w:semiHidden/>
    <w:rsid w:val="007D68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68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68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680A"/>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D680A"/>
    <w:rPr>
      <w:color w:val="0000FF" w:themeColor="hyperlink"/>
      <w:u w:val="single"/>
    </w:rPr>
  </w:style>
  <w:style w:type="paragraph" w:styleId="Caption">
    <w:name w:val="caption"/>
    <w:basedOn w:val="Normal"/>
    <w:next w:val="Normal"/>
    <w:uiPriority w:val="35"/>
    <w:unhideWhenUsed/>
    <w:qFormat/>
    <w:rsid w:val="007D680A"/>
    <w:pPr>
      <w:spacing w:line="240" w:lineRule="auto"/>
    </w:pPr>
    <w:rPr>
      <w:rFonts w:eastAsiaTheme="minorEastAsia"/>
      <w:b/>
      <w:bCs/>
      <w:color w:val="4F81BD" w:themeColor="accent1"/>
      <w:sz w:val="18"/>
      <w:szCs w:val="18"/>
      <w:lang w:eastAsia="en-GB"/>
    </w:rPr>
  </w:style>
  <w:style w:type="table" w:styleId="TableGrid">
    <w:name w:val="Table Grid"/>
    <w:basedOn w:val="TableNormal"/>
    <w:uiPriority w:val="59"/>
    <w:rsid w:val="007D680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680A"/>
    <w:rPr>
      <w:sz w:val="16"/>
      <w:szCs w:val="16"/>
    </w:rPr>
  </w:style>
  <w:style w:type="paragraph" w:styleId="CommentText">
    <w:name w:val="annotation text"/>
    <w:basedOn w:val="Normal"/>
    <w:link w:val="CommentTextChar"/>
    <w:uiPriority w:val="99"/>
    <w:semiHidden/>
    <w:unhideWhenUsed/>
    <w:rsid w:val="007D680A"/>
    <w:pPr>
      <w:spacing w:line="240" w:lineRule="auto"/>
    </w:pPr>
    <w:rPr>
      <w:sz w:val="20"/>
      <w:szCs w:val="20"/>
    </w:rPr>
  </w:style>
  <w:style w:type="character" w:customStyle="1" w:styleId="CommentTextChar">
    <w:name w:val="Comment Text Char"/>
    <w:basedOn w:val="DefaultParagraphFont"/>
    <w:link w:val="CommentText"/>
    <w:uiPriority w:val="99"/>
    <w:semiHidden/>
    <w:rsid w:val="007D68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680A"/>
    <w:rPr>
      <w:b/>
      <w:bCs/>
    </w:rPr>
  </w:style>
  <w:style w:type="character" w:customStyle="1" w:styleId="CommentSubjectChar">
    <w:name w:val="Comment Subject Char"/>
    <w:basedOn w:val="CommentTextChar"/>
    <w:link w:val="CommentSubject"/>
    <w:uiPriority w:val="99"/>
    <w:semiHidden/>
    <w:rsid w:val="007D680A"/>
    <w:rPr>
      <w:rFonts w:ascii="Arial" w:hAnsi="Arial"/>
      <w:b/>
      <w:bCs/>
      <w:sz w:val="20"/>
      <w:szCs w:val="20"/>
    </w:rPr>
  </w:style>
  <w:style w:type="paragraph" w:styleId="BalloonText">
    <w:name w:val="Balloon Text"/>
    <w:basedOn w:val="Normal"/>
    <w:link w:val="BalloonTextChar"/>
    <w:uiPriority w:val="99"/>
    <w:semiHidden/>
    <w:unhideWhenUsed/>
    <w:rsid w:val="007D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80A"/>
    <w:rPr>
      <w:rFonts w:ascii="Tahoma" w:hAnsi="Tahoma" w:cs="Tahoma"/>
      <w:sz w:val="16"/>
      <w:szCs w:val="16"/>
    </w:rPr>
  </w:style>
  <w:style w:type="paragraph" w:styleId="ListParagraph">
    <w:name w:val="List Paragraph"/>
    <w:basedOn w:val="Normal"/>
    <w:uiPriority w:val="34"/>
    <w:qFormat/>
    <w:rsid w:val="007D680A"/>
    <w:pPr>
      <w:ind w:left="720"/>
      <w:contextualSpacing/>
    </w:pPr>
  </w:style>
  <w:style w:type="numbering" w:styleId="111111">
    <w:name w:val="Outline List 2"/>
    <w:basedOn w:val="NoList"/>
    <w:uiPriority w:val="99"/>
    <w:semiHidden/>
    <w:unhideWhenUsed/>
    <w:rsid w:val="007D680A"/>
    <w:pPr>
      <w:numPr>
        <w:numId w:val="5"/>
      </w:numPr>
    </w:pPr>
  </w:style>
  <w:style w:type="paragraph" w:customStyle="1" w:styleId="EndNoteBibliographyTitle">
    <w:name w:val="EndNote Bibliography Title"/>
    <w:basedOn w:val="Normal"/>
    <w:rsid w:val="007D680A"/>
    <w:pPr>
      <w:spacing w:after="0"/>
      <w:jc w:val="center"/>
    </w:pPr>
    <w:rPr>
      <w:rFonts w:ascii="Calibri" w:hAnsi="Calibri"/>
      <w:lang w:val="en-US"/>
    </w:rPr>
  </w:style>
  <w:style w:type="paragraph" w:customStyle="1" w:styleId="EndNoteBibliography">
    <w:name w:val="EndNote Bibliography"/>
    <w:basedOn w:val="Normal"/>
    <w:rsid w:val="007D680A"/>
    <w:pPr>
      <w:spacing w:line="240" w:lineRule="auto"/>
    </w:pPr>
    <w:rPr>
      <w:rFonts w:ascii="Calibri" w:hAnsi="Calibri"/>
      <w:lang w:val="en-US"/>
    </w:rPr>
  </w:style>
  <w:style w:type="paragraph" w:styleId="Revision">
    <w:name w:val="Revision"/>
    <w:hidden/>
    <w:uiPriority w:val="99"/>
    <w:semiHidden/>
    <w:rsid w:val="007D680A"/>
    <w:pPr>
      <w:spacing w:after="0" w:line="240" w:lineRule="auto"/>
    </w:pPr>
    <w:rPr>
      <w:rFonts w:ascii="Arial" w:hAnsi="Arial"/>
    </w:rPr>
  </w:style>
  <w:style w:type="character" w:styleId="LineNumber">
    <w:name w:val="line number"/>
    <w:basedOn w:val="DefaultParagraphFont"/>
    <w:uiPriority w:val="99"/>
    <w:semiHidden/>
    <w:unhideWhenUsed/>
    <w:rsid w:val="007D68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0A"/>
    <w:rPr>
      <w:rFonts w:ascii="Arial" w:hAnsi="Arial"/>
    </w:rPr>
  </w:style>
  <w:style w:type="paragraph" w:styleId="Heading1">
    <w:name w:val="heading 1"/>
    <w:basedOn w:val="Normal"/>
    <w:next w:val="Normal"/>
    <w:link w:val="Heading1Char"/>
    <w:uiPriority w:val="9"/>
    <w:qFormat/>
    <w:rsid w:val="007D680A"/>
    <w:pPr>
      <w:numPr>
        <w:numId w:val="19"/>
      </w:numPr>
      <w:spacing w:before="480" w:after="0" w:line="480" w:lineRule="auto"/>
      <w:contextualSpacing/>
      <w:outlineLvl w:val="0"/>
    </w:pPr>
    <w:rPr>
      <w:rFonts w:eastAsiaTheme="majorEastAsia" w:cs="Arial"/>
      <w:b/>
      <w:bCs/>
      <w:szCs w:val="24"/>
      <w:lang w:bidi="en-US"/>
    </w:rPr>
  </w:style>
  <w:style w:type="paragraph" w:styleId="Heading2">
    <w:name w:val="heading 2"/>
    <w:basedOn w:val="Normal"/>
    <w:next w:val="Normal"/>
    <w:link w:val="Heading2Char"/>
    <w:uiPriority w:val="9"/>
    <w:unhideWhenUsed/>
    <w:qFormat/>
    <w:rsid w:val="007D680A"/>
    <w:pPr>
      <w:numPr>
        <w:ilvl w:val="1"/>
        <w:numId w:val="18"/>
      </w:numPr>
      <w:spacing w:before="200" w:after="0" w:line="480" w:lineRule="auto"/>
      <w:outlineLvl w:val="1"/>
    </w:pPr>
    <w:rPr>
      <w:rFonts w:eastAsiaTheme="majorEastAsia" w:cs="Arial"/>
      <w:bCs/>
      <w:szCs w:val="26"/>
      <w:lang w:bidi="en-US"/>
    </w:rPr>
  </w:style>
  <w:style w:type="paragraph" w:styleId="Heading3">
    <w:name w:val="heading 3"/>
    <w:basedOn w:val="Normal"/>
    <w:next w:val="Normal"/>
    <w:link w:val="Heading3Char"/>
    <w:uiPriority w:val="9"/>
    <w:unhideWhenUsed/>
    <w:qFormat/>
    <w:rsid w:val="007D680A"/>
    <w:pPr>
      <w:keepNext/>
      <w:keepLines/>
      <w:numPr>
        <w:ilvl w:val="2"/>
        <w:numId w:val="18"/>
      </w:numPr>
      <w:spacing w:before="200" w:after="0"/>
      <w:outlineLvl w:val="2"/>
    </w:pPr>
    <w:rPr>
      <w:rFonts w:asciiTheme="majorHAnsi" w:eastAsiaTheme="majorEastAsia" w:hAnsiTheme="majorHAnsi" w:cstheme="majorBidi"/>
      <w:b/>
      <w:bCs/>
      <w:lang w:bidi="en-US"/>
    </w:rPr>
  </w:style>
  <w:style w:type="paragraph" w:styleId="Heading4">
    <w:name w:val="heading 4"/>
    <w:basedOn w:val="Normal"/>
    <w:next w:val="Normal"/>
    <w:link w:val="Heading4Char"/>
    <w:uiPriority w:val="9"/>
    <w:unhideWhenUsed/>
    <w:qFormat/>
    <w:rsid w:val="007D680A"/>
    <w:pPr>
      <w:keepNext/>
      <w:keepLines/>
      <w:numPr>
        <w:ilvl w:val="3"/>
        <w:numId w:val="18"/>
      </w:numPr>
      <w:spacing w:before="200" w:after="0" w:line="240" w:lineRule="auto"/>
      <w:outlineLvl w:val="3"/>
    </w:pPr>
    <w:rPr>
      <w:rFonts w:asciiTheme="majorHAnsi" w:eastAsiaTheme="majorEastAsia" w:hAnsiTheme="majorHAnsi" w:cstheme="majorBidi"/>
      <w:i/>
      <w:lang w:bidi="en-US"/>
    </w:rPr>
  </w:style>
  <w:style w:type="paragraph" w:styleId="Heading5">
    <w:name w:val="heading 5"/>
    <w:basedOn w:val="Heading2"/>
    <w:next w:val="Normal"/>
    <w:link w:val="Heading5Char"/>
    <w:uiPriority w:val="9"/>
    <w:unhideWhenUsed/>
    <w:qFormat/>
    <w:rsid w:val="007D680A"/>
    <w:pPr>
      <w:numPr>
        <w:ilvl w:val="0"/>
        <w:numId w:val="20"/>
      </w:numPr>
      <w:spacing w:line="240" w:lineRule="auto"/>
      <w:outlineLvl w:val="4"/>
    </w:pPr>
  </w:style>
  <w:style w:type="paragraph" w:styleId="Heading6">
    <w:name w:val="heading 6"/>
    <w:basedOn w:val="Normal"/>
    <w:next w:val="Normal"/>
    <w:link w:val="Heading6Char"/>
    <w:uiPriority w:val="9"/>
    <w:semiHidden/>
    <w:unhideWhenUsed/>
    <w:qFormat/>
    <w:rsid w:val="007D680A"/>
    <w:pPr>
      <w:keepNext/>
      <w:keepLines/>
      <w:numPr>
        <w:ilvl w:val="5"/>
        <w:numId w:val="1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D680A"/>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D680A"/>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D680A"/>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80A"/>
    <w:rPr>
      <w:rFonts w:ascii="Arial" w:eastAsiaTheme="majorEastAsia" w:hAnsi="Arial" w:cs="Arial"/>
      <w:b/>
      <w:bCs/>
      <w:szCs w:val="24"/>
      <w:lang w:bidi="en-US"/>
    </w:rPr>
  </w:style>
  <w:style w:type="character" w:customStyle="1" w:styleId="Heading2Char">
    <w:name w:val="Heading 2 Char"/>
    <w:basedOn w:val="DefaultParagraphFont"/>
    <w:link w:val="Heading2"/>
    <w:uiPriority w:val="9"/>
    <w:rsid w:val="007D680A"/>
    <w:rPr>
      <w:rFonts w:ascii="Arial" w:eastAsiaTheme="majorEastAsia" w:hAnsi="Arial" w:cs="Arial"/>
      <w:bCs/>
      <w:szCs w:val="26"/>
      <w:lang w:bidi="en-US"/>
    </w:rPr>
  </w:style>
  <w:style w:type="character" w:customStyle="1" w:styleId="Heading3Char">
    <w:name w:val="Heading 3 Char"/>
    <w:basedOn w:val="DefaultParagraphFont"/>
    <w:link w:val="Heading3"/>
    <w:uiPriority w:val="9"/>
    <w:rsid w:val="007D680A"/>
    <w:rPr>
      <w:rFonts w:asciiTheme="majorHAnsi" w:eastAsiaTheme="majorEastAsia" w:hAnsiTheme="majorHAnsi" w:cstheme="majorBidi"/>
      <w:b/>
      <w:bCs/>
      <w:lang w:bidi="en-US"/>
    </w:rPr>
  </w:style>
  <w:style w:type="character" w:customStyle="1" w:styleId="Heading4Char">
    <w:name w:val="Heading 4 Char"/>
    <w:basedOn w:val="DefaultParagraphFont"/>
    <w:link w:val="Heading4"/>
    <w:uiPriority w:val="9"/>
    <w:rsid w:val="007D680A"/>
    <w:rPr>
      <w:rFonts w:asciiTheme="majorHAnsi" w:eastAsiaTheme="majorEastAsia" w:hAnsiTheme="majorHAnsi" w:cstheme="majorBidi"/>
      <w:i/>
      <w:lang w:bidi="en-US"/>
    </w:rPr>
  </w:style>
  <w:style w:type="character" w:customStyle="1" w:styleId="Heading5Char">
    <w:name w:val="Heading 5 Char"/>
    <w:basedOn w:val="DefaultParagraphFont"/>
    <w:link w:val="Heading5"/>
    <w:uiPriority w:val="9"/>
    <w:rsid w:val="007D680A"/>
    <w:rPr>
      <w:rFonts w:ascii="Arial" w:eastAsiaTheme="majorEastAsia" w:hAnsi="Arial" w:cs="Arial"/>
      <w:bCs/>
      <w:szCs w:val="26"/>
      <w:lang w:bidi="en-US"/>
    </w:rPr>
  </w:style>
  <w:style w:type="character" w:customStyle="1" w:styleId="Heading6Char">
    <w:name w:val="Heading 6 Char"/>
    <w:basedOn w:val="DefaultParagraphFont"/>
    <w:link w:val="Heading6"/>
    <w:uiPriority w:val="9"/>
    <w:semiHidden/>
    <w:rsid w:val="007D680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D680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D68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D680A"/>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7D680A"/>
    <w:rPr>
      <w:color w:val="0000FF" w:themeColor="hyperlink"/>
      <w:u w:val="single"/>
    </w:rPr>
  </w:style>
  <w:style w:type="paragraph" w:styleId="Caption">
    <w:name w:val="caption"/>
    <w:basedOn w:val="Normal"/>
    <w:next w:val="Normal"/>
    <w:uiPriority w:val="35"/>
    <w:unhideWhenUsed/>
    <w:qFormat/>
    <w:rsid w:val="007D680A"/>
    <w:pPr>
      <w:spacing w:line="240" w:lineRule="auto"/>
    </w:pPr>
    <w:rPr>
      <w:rFonts w:eastAsiaTheme="minorEastAsia"/>
      <w:b/>
      <w:bCs/>
      <w:color w:val="4F81BD" w:themeColor="accent1"/>
      <w:sz w:val="18"/>
      <w:szCs w:val="18"/>
      <w:lang w:eastAsia="en-GB"/>
    </w:rPr>
  </w:style>
  <w:style w:type="table" w:styleId="TableGrid">
    <w:name w:val="Table Grid"/>
    <w:basedOn w:val="TableNormal"/>
    <w:uiPriority w:val="59"/>
    <w:rsid w:val="007D680A"/>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D680A"/>
    <w:rPr>
      <w:sz w:val="16"/>
      <w:szCs w:val="16"/>
    </w:rPr>
  </w:style>
  <w:style w:type="paragraph" w:styleId="CommentText">
    <w:name w:val="annotation text"/>
    <w:basedOn w:val="Normal"/>
    <w:link w:val="CommentTextChar"/>
    <w:uiPriority w:val="99"/>
    <w:semiHidden/>
    <w:unhideWhenUsed/>
    <w:rsid w:val="007D680A"/>
    <w:pPr>
      <w:spacing w:line="240" w:lineRule="auto"/>
    </w:pPr>
    <w:rPr>
      <w:sz w:val="20"/>
      <w:szCs w:val="20"/>
    </w:rPr>
  </w:style>
  <w:style w:type="character" w:customStyle="1" w:styleId="CommentTextChar">
    <w:name w:val="Comment Text Char"/>
    <w:basedOn w:val="DefaultParagraphFont"/>
    <w:link w:val="CommentText"/>
    <w:uiPriority w:val="99"/>
    <w:semiHidden/>
    <w:rsid w:val="007D68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680A"/>
    <w:rPr>
      <w:b/>
      <w:bCs/>
    </w:rPr>
  </w:style>
  <w:style w:type="character" w:customStyle="1" w:styleId="CommentSubjectChar">
    <w:name w:val="Comment Subject Char"/>
    <w:basedOn w:val="CommentTextChar"/>
    <w:link w:val="CommentSubject"/>
    <w:uiPriority w:val="99"/>
    <w:semiHidden/>
    <w:rsid w:val="007D680A"/>
    <w:rPr>
      <w:rFonts w:ascii="Arial" w:hAnsi="Arial"/>
      <w:b/>
      <w:bCs/>
      <w:sz w:val="20"/>
      <w:szCs w:val="20"/>
    </w:rPr>
  </w:style>
  <w:style w:type="paragraph" w:styleId="BalloonText">
    <w:name w:val="Balloon Text"/>
    <w:basedOn w:val="Normal"/>
    <w:link w:val="BalloonTextChar"/>
    <w:uiPriority w:val="99"/>
    <w:semiHidden/>
    <w:unhideWhenUsed/>
    <w:rsid w:val="007D6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80A"/>
    <w:rPr>
      <w:rFonts w:ascii="Tahoma" w:hAnsi="Tahoma" w:cs="Tahoma"/>
      <w:sz w:val="16"/>
      <w:szCs w:val="16"/>
    </w:rPr>
  </w:style>
  <w:style w:type="paragraph" w:styleId="ListParagraph">
    <w:name w:val="List Paragraph"/>
    <w:basedOn w:val="Normal"/>
    <w:uiPriority w:val="34"/>
    <w:qFormat/>
    <w:rsid w:val="007D680A"/>
    <w:pPr>
      <w:ind w:left="720"/>
      <w:contextualSpacing/>
    </w:pPr>
  </w:style>
  <w:style w:type="numbering" w:styleId="111111">
    <w:name w:val="Outline List 2"/>
    <w:basedOn w:val="NoList"/>
    <w:uiPriority w:val="99"/>
    <w:semiHidden/>
    <w:unhideWhenUsed/>
    <w:rsid w:val="007D680A"/>
    <w:pPr>
      <w:numPr>
        <w:numId w:val="5"/>
      </w:numPr>
    </w:pPr>
  </w:style>
  <w:style w:type="paragraph" w:customStyle="1" w:styleId="EndNoteBibliographyTitle">
    <w:name w:val="EndNote Bibliography Title"/>
    <w:basedOn w:val="Normal"/>
    <w:rsid w:val="007D680A"/>
    <w:pPr>
      <w:spacing w:after="0"/>
      <w:jc w:val="center"/>
    </w:pPr>
    <w:rPr>
      <w:rFonts w:ascii="Calibri" w:hAnsi="Calibri"/>
      <w:lang w:val="en-US"/>
    </w:rPr>
  </w:style>
  <w:style w:type="paragraph" w:customStyle="1" w:styleId="EndNoteBibliography">
    <w:name w:val="EndNote Bibliography"/>
    <w:basedOn w:val="Normal"/>
    <w:rsid w:val="007D680A"/>
    <w:pPr>
      <w:spacing w:line="240" w:lineRule="auto"/>
    </w:pPr>
    <w:rPr>
      <w:rFonts w:ascii="Calibri" w:hAnsi="Calibri"/>
      <w:lang w:val="en-US"/>
    </w:rPr>
  </w:style>
  <w:style w:type="paragraph" w:styleId="Revision">
    <w:name w:val="Revision"/>
    <w:hidden/>
    <w:uiPriority w:val="99"/>
    <w:semiHidden/>
    <w:rsid w:val="007D680A"/>
    <w:pPr>
      <w:spacing w:after="0" w:line="240" w:lineRule="auto"/>
    </w:pPr>
    <w:rPr>
      <w:rFonts w:ascii="Arial" w:hAnsi="Arial"/>
    </w:rPr>
  </w:style>
  <w:style w:type="character" w:styleId="LineNumber">
    <w:name w:val="line number"/>
    <w:basedOn w:val="DefaultParagraphFont"/>
    <w:uiPriority w:val="99"/>
    <w:semiHidden/>
    <w:unhideWhenUsed/>
    <w:rsid w:val="007D6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tif"/><Relationship Id="rId17" Type="http://schemas.openxmlformats.org/officeDocument/2006/relationships/hyperlink" Target="http://etheses.bham.ac.uk/4799/" TargetMode="External"/><Relationship Id="rId2" Type="http://schemas.openxmlformats.org/officeDocument/2006/relationships/styles" Target="styles.xml"/><Relationship Id="rId16" Type="http://schemas.openxmlformats.org/officeDocument/2006/relationships/hyperlink" Target="http://www.ema.europa.eu/docs/en_GB/document_library/Scientific_guideline/2013/07/WC500147002.pdf"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tif"/><Relationship Id="rId5" Type="http://schemas.openxmlformats.org/officeDocument/2006/relationships/webSettings" Target="webSettings.xml"/><Relationship Id="rId15" Type="http://schemas.openxmlformats.org/officeDocument/2006/relationships/image" Target="media/image10.tif"/><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3923</Words>
  <Characters>22366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26237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Batchelor</dc:creator>
  <cp:lastModifiedBy>KeeleUni</cp:lastModifiedBy>
  <cp:revision>2</cp:revision>
  <dcterms:created xsi:type="dcterms:W3CDTF">2015-08-13T10:02:00Z</dcterms:created>
  <dcterms:modified xsi:type="dcterms:W3CDTF">2015-08-13T10:02:00Z</dcterms:modified>
</cp:coreProperties>
</file>