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E69E7" w14:textId="77777777" w:rsidR="00E27D3D" w:rsidRPr="008D7BAA" w:rsidRDefault="00E27D3D" w:rsidP="00E27D3D">
      <w:pPr>
        <w:pStyle w:val="Heading1"/>
        <w:spacing w:line="360" w:lineRule="auto"/>
        <w:rPr>
          <w:shd w:val="clear" w:color="auto" w:fill="FFFFFF"/>
        </w:rPr>
      </w:pPr>
      <w:r>
        <w:rPr>
          <w:shd w:val="clear" w:color="auto" w:fill="FFFFFF"/>
        </w:rPr>
        <w:t>Structural and geodynamic modelling of the influence of granite bodies during lithospheric extension: application to the Carboniferous basins of northern England</w:t>
      </w:r>
    </w:p>
    <w:p w14:paraId="35A199C3" w14:textId="77777777" w:rsidR="00E27D3D" w:rsidRPr="004463BE" w:rsidRDefault="00E27D3D" w:rsidP="00E27D3D">
      <w:pPr>
        <w:pStyle w:val="Heading2"/>
        <w:spacing w:line="360" w:lineRule="auto"/>
      </w:pPr>
      <w:r>
        <w:t>Louis Howell</w:t>
      </w:r>
      <w:r w:rsidRPr="00D61601">
        <w:rPr>
          <w:vertAlign w:val="superscript"/>
        </w:rPr>
        <w:t>1</w:t>
      </w:r>
      <w:r>
        <w:t>*, Stuart Egan</w:t>
      </w:r>
      <w:r w:rsidRPr="00D61601">
        <w:rPr>
          <w:vertAlign w:val="superscript"/>
        </w:rPr>
        <w:t>1</w:t>
      </w:r>
      <w:r>
        <w:t>, Graham Leslie</w:t>
      </w:r>
      <w:r w:rsidRPr="00D61601">
        <w:rPr>
          <w:vertAlign w:val="superscript"/>
        </w:rPr>
        <w:t>2</w:t>
      </w:r>
      <w:r>
        <w:t xml:space="preserve"> and Stuart Clarke</w:t>
      </w:r>
      <w:r w:rsidRPr="00D61601">
        <w:rPr>
          <w:vertAlign w:val="superscript"/>
        </w:rPr>
        <w:t>1</w:t>
      </w:r>
      <w:r>
        <w:rPr>
          <w:vertAlign w:val="superscript"/>
        </w:rPr>
        <w:t xml:space="preserve"> </w:t>
      </w:r>
    </w:p>
    <w:p w14:paraId="1394A0CA" w14:textId="77777777" w:rsidR="00E27D3D" w:rsidRDefault="00E27D3D" w:rsidP="00E27D3D">
      <w:pPr>
        <w:spacing w:line="360" w:lineRule="auto"/>
      </w:pPr>
      <w:r w:rsidRPr="00D61601">
        <w:rPr>
          <w:vertAlign w:val="superscript"/>
        </w:rPr>
        <w:t>1</w:t>
      </w:r>
      <w:r w:rsidRPr="00C7467C">
        <w:t>School of Geography, Geology and the Environment, William Smi</w:t>
      </w:r>
      <w:r>
        <w:t xml:space="preserve">th Building, </w:t>
      </w:r>
      <w:proofErr w:type="spellStart"/>
      <w:r>
        <w:t>Keele</w:t>
      </w:r>
      <w:proofErr w:type="spellEnd"/>
      <w:r>
        <w:t xml:space="preserve"> University, </w:t>
      </w:r>
      <w:bookmarkStart w:id="0" w:name="_GoBack"/>
      <w:bookmarkEnd w:id="0"/>
      <w:proofErr w:type="spellStart"/>
      <w:r>
        <w:t>K</w:t>
      </w:r>
      <w:r w:rsidRPr="00C7467C">
        <w:t>eele</w:t>
      </w:r>
      <w:proofErr w:type="spellEnd"/>
      <w:r w:rsidRPr="00C7467C">
        <w:t>, Staffordshire, ST5 5BG, UK.</w:t>
      </w:r>
    </w:p>
    <w:p w14:paraId="47E91BC8" w14:textId="77777777" w:rsidR="00E27D3D" w:rsidRDefault="00E27D3D" w:rsidP="00E27D3D">
      <w:pPr>
        <w:spacing w:line="360" w:lineRule="auto"/>
      </w:pPr>
      <w:r w:rsidRPr="00D61601">
        <w:rPr>
          <w:vertAlign w:val="superscript"/>
        </w:rPr>
        <w:t>2</w:t>
      </w:r>
      <w:r>
        <w:t>BGS Scotland, Lyell Centre, Research Avenue South, Edinburgh, EH14 4AP, UK.</w:t>
      </w:r>
    </w:p>
    <w:p w14:paraId="54DB9C8D" w14:textId="1B0A3107" w:rsidR="00E27D3D" w:rsidRDefault="00E27D3D" w:rsidP="00E27D3D">
      <w:pPr>
        <w:spacing w:line="360" w:lineRule="auto"/>
      </w:pPr>
      <w:r>
        <w:t xml:space="preserve">*Corresponding author: </w:t>
      </w:r>
      <w:hyperlink r:id="rId8" w:history="1">
        <w:r w:rsidRPr="00B209E5">
          <w:rPr>
            <w:rStyle w:val="Hyperlink"/>
          </w:rPr>
          <w:t>l.p.howell@keele.ac.uk</w:t>
        </w:r>
      </w:hyperlink>
    </w:p>
    <w:p w14:paraId="62CD9FD6" w14:textId="77777777" w:rsidR="00E27D3D" w:rsidRDefault="00E27D3D" w:rsidP="00E27D3D">
      <w:pPr>
        <w:pStyle w:val="Heading1"/>
        <w:spacing w:line="360" w:lineRule="auto"/>
      </w:pPr>
      <w:r>
        <w:t>Abstract</w:t>
      </w:r>
    </w:p>
    <w:p w14:paraId="0579CEF4" w14:textId="0CDAE592" w:rsidR="00E27D3D" w:rsidRDefault="00E27D3D" w:rsidP="00E27D3D">
      <w:pPr>
        <w:spacing w:line="360" w:lineRule="auto"/>
      </w:pPr>
      <w:r>
        <w:rPr>
          <w:rFonts w:cstheme="minorHAnsi"/>
        </w:rPr>
        <w:t>Intra-</w:t>
      </w:r>
      <w:proofErr w:type="spellStart"/>
      <w:r>
        <w:rPr>
          <w:rFonts w:cstheme="minorHAnsi"/>
        </w:rPr>
        <w:t>basinal</w:t>
      </w:r>
      <w:proofErr w:type="spellEnd"/>
      <w:r>
        <w:rPr>
          <w:rFonts w:cstheme="minorHAnsi"/>
        </w:rPr>
        <w:t xml:space="preserve"> highs within classic ‘block and basin’ style tectonic frameworks are underpinned by large granite bodies. </w:t>
      </w:r>
      <w:r w:rsidRPr="00060CBE">
        <w:rPr>
          <w:rFonts w:cstheme="minorHAnsi"/>
        </w:rPr>
        <w:t xml:space="preserve">This is widely believed to relate to the </w:t>
      </w:r>
      <w:r>
        <w:rPr>
          <w:rFonts w:cstheme="minorHAnsi"/>
        </w:rPr>
        <w:t xml:space="preserve">relative </w:t>
      </w:r>
      <w:r w:rsidRPr="00060CBE">
        <w:rPr>
          <w:rFonts w:cstheme="minorHAnsi"/>
        </w:rPr>
        <w:t xml:space="preserve">‘rigidity’ and ‘buoyancy’ of granite in relation to accommodating basement. It has been suggested that during periods of tectonic extension, normal faulting around the peripheral regions of granite batholiths permits </w:t>
      </w:r>
      <w:r>
        <w:rPr>
          <w:rFonts w:cstheme="minorHAnsi"/>
        </w:rPr>
        <w:t>granite-cored</w:t>
      </w:r>
      <w:r w:rsidRPr="00060CBE">
        <w:rPr>
          <w:rFonts w:cstheme="minorHAnsi"/>
        </w:rPr>
        <w:t xml:space="preserve"> blocks to </w:t>
      </w:r>
      <w:proofErr w:type="spellStart"/>
      <w:r>
        <w:rPr>
          <w:rFonts w:cstheme="minorHAnsi"/>
        </w:rPr>
        <w:t>isostatically</w:t>
      </w:r>
      <w:proofErr w:type="spellEnd"/>
      <w:r>
        <w:rPr>
          <w:rFonts w:cstheme="minorHAnsi"/>
        </w:rPr>
        <w:t xml:space="preserve"> </w:t>
      </w:r>
      <w:r w:rsidRPr="00060CBE">
        <w:rPr>
          <w:rFonts w:cstheme="minorHAnsi"/>
        </w:rPr>
        <w:t>resist subsidence, thus forming stable areas during periods of widespread faulting</w:t>
      </w:r>
      <w:r>
        <w:rPr>
          <w:rFonts w:cstheme="minorHAnsi"/>
        </w:rPr>
        <w:t>-</w:t>
      </w:r>
      <w:r w:rsidRPr="00060CBE">
        <w:rPr>
          <w:rFonts w:cstheme="minorHAnsi"/>
        </w:rPr>
        <w:t xml:space="preserve">induced subsidence. However, </w:t>
      </w:r>
      <w:r>
        <w:rPr>
          <w:rFonts w:cstheme="minorHAnsi"/>
        </w:rPr>
        <w:t>one-dimensional modelling indicates that relatively less dense crust is incapable of resisting subsidence in this way.</w:t>
      </w:r>
      <w:r w:rsidRPr="00060CBE">
        <w:rPr>
          <w:rFonts w:cstheme="minorHAnsi"/>
        </w:rPr>
        <w:t xml:space="preserve"> </w:t>
      </w:r>
      <w:r>
        <w:rPr>
          <w:rFonts w:cstheme="minorHAnsi"/>
        </w:rPr>
        <w:t>Instead, when local isostasy is assumed,</w:t>
      </w:r>
      <w:r w:rsidRPr="00060CBE">
        <w:rPr>
          <w:rFonts w:cstheme="minorHAnsi"/>
        </w:rPr>
        <w:t xml:space="preserve"> the occurrence of granite-cored, intra-</w:t>
      </w:r>
      <w:proofErr w:type="spellStart"/>
      <w:r w:rsidRPr="00060CBE">
        <w:rPr>
          <w:rFonts w:cstheme="minorHAnsi"/>
        </w:rPr>
        <w:t>basinal</w:t>
      </w:r>
      <w:proofErr w:type="spellEnd"/>
      <w:r w:rsidRPr="00060CBE">
        <w:rPr>
          <w:rFonts w:cstheme="minorHAnsi"/>
        </w:rPr>
        <w:t xml:space="preserve"> highs relates to initial isostatic compensation following granite emplacement</w:t>
      </w:r>
      <w:r>
        <w:rPr>
          <w:rFonts w:cstheme="minorHAnsi"/>
        </w:rPr>
        <w:t>.</w:t>
      </w:r>
      <w:r w:rsidRPr="00060CBE">
        <w:rPr>
          <w:rFonts w:cstheme="minorHAnsi"/>
        </w:rPr>
        <w:t xml:space="preserve"> </w:t>
      </w:r>
      <w:r>
        <w:rPr>
          <w:rFonts w:cstheme="minorHAnsi"/>
        </w:rPr>
        <w:t>D</w:t>
      </w:r>
      <w:r w:rsidRPr="00060CBE">
        <w:rPr>
          <w:rFonts w:cstheme="minorHAnsi"/>
        </w:rPr>
        <w:t>ifferential sediment loading during extensional tectonism</w:t>
      </w:r>
      <w:r>
        <w:rPr>
          <w:rFonts w:cstheme="minorHAnsi"/>
        </w:rPr>
        <w:t xml:space="preserve"> exaggerates this profile</w:t>
      </w:r>
      <w:r w:rsidRPr="00060CBE">
        <w:rPr>
          <w:rFonts w:cstheme="minorHAnsi"/>
        </w:rPr>
        <w:t>. An integr</w:t>
      </w:r>
      <w:r>
        <w:rPr>
          <w:rFonts w:cstheme="minorHAnsi"/>
        </w:rPr>
        <w:t>ated two-dimensional lithospheric</w:t>
      </w:r>
      <w:r w:rsidRPr="00060CBE">
        <w:rPr>
          <w:rFonts w:cstheme="minorHAnsi"/>
        </w:rPr>
        <w:t xml:space="preserve"> numerical modelling approach highlights the role of flexural rigidity in limiting the amplitude whilst increasing the wavelength</w:t>
      </w:r>
      <w:r w:rsidRPr="00C160B3">
        <w:rPr>
          <w:rFonts w:cstheme="minorHAnsi"/>
        </w:rPr>
        <w:t xml:space="preserve"> </w:t>
      </w:r>
      <w:r w:rsidRPr="00060CBE">
        <w:rPr>
          <w:rFonts w:cstheme="minorHAnsi"/>
        </w:rPr>
        <w:t>of isostatic deflection</w:t>
      </w:r>
      <w:r>
        <w:rPr>
          <w:rFonts w:cstheme="minorHAnsi"/>
        </w:rPr>
        <w:t>. In light of these models, it is suggested that such a response leaves residual second-order stresses associated with the under-compensated buoyancy of the granite body and flexural tension.</w:t>
      </w:r>
      <w:r w:rsidRPr="00060CBE">
        <w:rPr>
          <w:rFonts w:cstheme="minorHAnsi"/>
        </w:rPr>
        <w:t xml:space="preserve"> The observed basin geometries of the Carboniferous North Pennine Basin can be replicated by incorporating a density deficiency within the crust, flexural rigidity, </w:t>
      </w:r>
      <w:proofErr w:type="gramStart"/>
      <w:r w:rsidRPr="00060CBE">
        <w:rPr>
          <w:rFonts w:cstheme="minorHAnsi"/>
        </w:rPr>
        <w:t>simple</w:t>
      </w:r>
      <w:proofErr w:type="gramEnd"/>
      <w:r w:rsidRPr="00060CBE">
        <w:rPr>
          <w:rFonts w:cstheme="minorHAnsi"/>
        </w:rPr>
        <w:t xml:space="preserve"> shear deformation within the shallower subsurface and pure shear deformation within the deeper subsurface.</w:t>
      </w:r>
      <w:r>
        <w:rPr>
          <w:rFonts w:cstheme="minorHAnsi"/>
        </w:rPr>
        <w:t xml:space="preserve"> In adopting this technique, the regional flexural profile in response to underlying granite bodies and large extensional faults can be reproduced and thus, to an extent, validated.</w:t>
      </w:r>
      <w:r w:rsidRPr="00C87657">
        <w:t xml:space="preserve"> </w:t>
      </w:r>
      <w:r>
        <w:t>It is proposed that the interaction of three factors dictate the tectonic framework within a partially granitic, brittle-ductile lithosphere and the occurrence of inter-</w:t>
      </w:r>
      <w:proofErr w:type="spellStart"/>
      <w:r>
        <w:t>basinal</w:t>
      </w:r>
      <w:proofErr w:type="spellEnd"/>
      <w:r>
        <w:t xml:space="preserve"> highs: 1) non-tectonic, ‘second-order’ stresses such as the flexural response of the lithosphere and residual, </w:t>
      </w:r>
      <w:r>
        <w:lastRenderedPageBreak/>
        <w:t>under-compensated buoyancy forces in relation to granite bodies; 2) extensional tectonic stress and importantly; 3)</w:t>
      </w:r>
      <w:r w:rsidRPr="003B7A2E">
        <w:t xml:space="preserve"> </w:t>
      </w:r>
      <w:r>
        <w:t>inherited basement fabric.</w:t>
      </w:r>
    </w:p>
    <w:p w14:paraId="115FC4B8" w14:textId="77777777" w:rsidR="00B13E0E" w:rsidRDefault="00B13E0E" w:rsidP="009E071D">
      <w:pPr>
        <w:pStyle w:val="Heading1"/>
        <w:numPr>
          <w:ilvl w:val="0"/>
          <w:numId w:val="9"/>
        </w:numPr>
        <w:spacing w:line="360" w:lineRule="auto"/>
      </w:pPr>
      <w:r>
        <w:t>Introduction</w:t>
      </w:r>
    </w:p>
    <w:p w14:paraId="220A809E" w14:textId="5A4C70B3" w:rsidR="00B13E0E" w:rsidRDefault="00B13E0E" w:rsidP="009E071D">
      <w:pPr>
        <w:spacing w:line="360" w:lineRule="auto"/>
      </w:pPr>
      <w:r>
        <w:tab/>
      </w:r>
      <w:r w:rsidRPr="00D70F36">
        <w:t xml:space="preserve">There has been a longstanding consensus that </w:t>
      </w:r>
      <w:r w:rsidR="00345000">
        <w:t>the relative</w:t>
      </w:r>
      <w:r w:rsidR="00797E19">
        <w:t xml:space="preserve"> </w:t>
      </w:r>
      <w:r w:rsidR="00345000">
        <w:t>‘</w:t>
      </w:r>
      <w:r w:rsidRPr="00D70F36">
        <w:t>buoyancy and rigidity</w:t>
      </w:r>
      <w:r w:rsidR="00345000">
        <w:t>’</w:t>
      </w:r>
      <w:r w:rsidRPr="00D70F36">
        <w:t xml:space="preserve"> of </w:t>
      </w:r>
      <w:r w:rsidR="00F23508">
        <w:t xml:space="preserve">solid </w:t>
      </w:r>
      <w:r w:rsidR="00114EA9">
        <w:t>granite</w:t>
      </w:r>
      <w:r w:rsidRPr="00D70F36">
        <w:t xml:space="preserve"> promotes </w:t>
      </w:r>
      <w:r w:rsidR="00345000">
        <w:t xml:space="preserve">the </w:t>
      </w:r>
      <w:r w:rsidRPr="00D70F36">
        <w:t>stability and relative uplift</w:t>
      </w:r>
      <w:r w:rsidR="00345000">
        <w:t xml:space="preserve"> of the accommodating basement</w:t>
      </w:r>
      <w:r w:rsidRPr="00D70F36">
        <w:t xml:space="preserve"> during lithospheric extension (</w:t>
      </w:r>
      <w:proofErr w:type="spellStart"/>
      <w:r w:rsidRPr="00D70F36">
        <w:t>Bott</w:t>
      </w:r>
      <w:proofErr w:type="spellEnd"/>
      <w:r w:rsidR="00931196">
        <w:t xml:space="preserve"> et al., 1958</w:t>
      </w:r>
      <w:r w:rsidRPr="00D70F36">
        <w:t>). This is generally in response to a plethora of examples where large granite b</w:t>
      </w:r>
      <w:r w:rsidR="00114EA9">
        <w:t>odies</w:t>
      </w:r>
      <w:r w:rsidRPr="00D70F36">
        <w:t xml:space="preserve">, </w:t>
      </w:r>
      <w:r w:rsidR="00282179">
        <w:t xml:space="preserve">often </w:t>
      </w:r>
      <w:r w:rsidRPr="00D70F36">
        <w:t xml:space="preserve">identified </w:t>
      </w:r>
      <w:r w:rsidR="00282179">
        <w:t>through</w:t>
      </w:r>
      <w:r w:rsidRPr="00D70F36">
        <w:t xml:space="preserve"> gravity and magnetic surveys</w:t>
      </w:r>
      <w:r w:rsidR="00931196">
        <w:t>,</w:t>
      </w:r>
      <w:r w:rsidR="00797E19">
        <w:t xml:space="preserve"> </w:t>
      </w:r>
      <w:r w:rsidR="0036753F">
        <w:t>have</w:t>
      </w:r>
      <w:r w:rsidR="00797E19">
        <w:t xml:space="preserve"> </w:t>
      </w:r>
      <w:r w:rsidRPr="00D70F36">
        <w:t xml:space="preserve">been found </w:t>
      </w:r>
      <w:proofErr w:type="gramStart"/>
      <w:r w:rsidRPr="00D70F36">
        <w:t xml:space="preserve">to </w:t>
      </w:r>
      <w:r w:rsidR="003A54E6">
        <w:t xml:space="preserve">spatially </w:t>
      </w:r>
      <w:r w:rsidRPr="00D70F36">
        <w:t>correlate</w:t>
      </w:r>
      <w:proofErr w:type="gramEnd"/>
      <w:r w:rsidRPr="00D70F36">
        <w:t xml:space="preserve"> strongly with basement highs or horst structures</w:t>
      </w:r>
      <w:r w:rsidR="00154DD1">
        <w:t xml:space="preserve">. </w:t>
      </w:r>
      <w:proofErr w:type="gramStart"/>
      <w:r w:rsidR="00154DD1">
        <w:t>Multiple late Palaeozoic</w:t>
      </w:r>
      <w:r w:rsidR="00282179">
        <w:t xml:space="preserve"> highs across the UK continental shelf (</w:t>
      </w:r>
      <w:proofErr w:type="spellStart"/>
      <w:r w:rsidR="00282179">
        <w:t>Bott</w:t>
      </w:r>
      <w:proofErr w:type="spellEnd"/>
      <w:r w:rsidR="00282179">
        <w:t xml:space="preserve"> et al., 1967; </w:t>
      </w:r>
      <w:proofErr w:type="spellStart"/>
      <w:r w:rsidR="00282179">
        <w:t>Bott</w:t>
      </w:r>
      <w:proofErr w:type="spellEnd"/>
      <w:r w:rsidR="00282179">
        <w:t xml:space="preserve"> et al., 1978; Donato et al., 1983; Donato and </w:t>
      </w:r>
      <w:proofErr w:type="spellStart"/>
      <w:r w:rsidR="00282179">
        <w:t>Megson</w:t>
      </w:r>
      <w:proofErr w:type="spellEnd"/>
      <w:r w:rsidR="00282179">
        <w:t xml:space="preserve">, 1990; Donato, 1993; </w:t>
      </w:r>
      <w:proofErr w:type="spellStart"/>
      <w:r w:rsidR="00282179">
        <w:t>Kimbell</w:t>
      </w:r>
      <w:proofErr w:type="spellEnd"/>
      <w:r w:rsidR="00282179">
        <w:t xml:space="preserve"> and Williamson, 2015), </w:t>
      </w:r>
      <w:r w:rsidR="00A20C7D">
        <w:t>Early</w:t>
      </w:r>
      <w:r w:rsidR="00282179">
        <w:t xml:space="preserve"> Cretaceous highs along the Atlantic conjugate margin of NE Brazil</w:t>
      </w:r>
      <w:r w:rsidR="00A20C7D">
        <w:t xml:space="preserve"> (the Rio do </w:t>
      </w:r>
      <w:proofErr w:type="spellStart"/>
      <w:r w:rsidR="00A20C7D">
        <w:t>Piexe</w:t>
      </w:r>
      <w:proofErr w:type="spellEnd"/>
      <w:r w:rsidR="00A20C7D">
        <w:t xml:space="preserve"> Basin, De Castro et al., 2007; the </w:t>
      </w:r>
      <w:proofErr w:type="spellStart"/>
      <w:r w:rsidR="00A20C7D">
        <w:t>Iguatu</w:t>
      </w:r>
      <w:proofErr w:type="spellEnd"/>
      <w:r w:rsidR="00A20C7D">
        <w:t xml:space="preserve"> Basin, De Castro et al., 2008) and </w:t>
      </w:r>
      <w:r w:rsidR="00154DD1">
        <w:t>roughly coeval</w:t>
      </w:r>
      <w:r w:rsidR="00A20C7D">
        <w:t xml:space="preserve"> highs along the Atlantic margin of southern Africa (the Orange Basin, offshore South Africa, </w:t>
      </w:r>
      <w:proofErr w:type="spellStart"/>
      <w:r w:rsidR="00A20C7D">
        <w:t>Scrutton</w:t>
      </w:r>
      <w:proofErr w:type="spellEnd"/>
      <w:r w:rsidR="00A20C7D">
        <w:t xml:space="preserve"> and Dingle, 1976; and the L</w:t>
      </w:r>
      <w:r w:rsidR="00A20C7D">
        <w:rPr>
          <w:rFonts w:cstheme="minorHAnsi"/>
        </w:rPr>
        <w:t>ü</w:t>
      </w:r>
      <w:r w:rsidR="00A20C7D">
        <w:t xml:space="preserve">deritz Basin and Columbine/Agulhas arches, offshore Namibia, Dingle, 1992) constitute just some </w:t>
      </w:r>
      <w:r w:rsidR="00154DD1">
        <w:t>currently publicised</w:t>
      </w:r>
      <w:r w:rsidR="00A20C7D">
        <w:t xml:space="preserve"> examples where significantly older granite bodies have influenced regional tectonic structure within extensional basins.</w:t>
      </w:r>
      <w:proofErr w:type="gramEnd"/>
      <w:r w:rsidR="00797E19">
        <w:t xml:space="preserve"> </w:t>
      </w:r>
      <w:r w:rsidRPr="00D70F36">
        <w:t>Whilst the recurrence of t</w:t>
      </w:r>
      <w:r w:rsidR="003A54E6">
        <w:t xml:space="preserve">his relationship suggests </w:t>
      </w:r>
      <w:r w:rsidR="00114EA9">
        <w:t>granite bodies have</w:t>
      </w:r>
      <w:r w:rsidRPr="00D70F36">
        <w:t xml:space="preserve"> a significant influence upo</w:t>
      </w:r>
      <w:r w:rsidR="003A54E6">
        <w:t>n post-emplacement structural development</w:t>
      </w:r>
      <w:r w:rsidR="008C6751">
        <w:t xml:space="preserve"> of extensional regimes</w:t>
      </w:r>
      <w:r w:rsidR="00FC6B64">
        <w:t>,</w:t>
      </w:r>
      <w:r w:rsidRPr="00D70F36">
        <w:t xml:space="preserve"> the lack of a convincing forward model accounting for this relationship warrants further investigation.</w:t>
      </w:r>
    </w:p>
    <w:p w14:paraId="07F4E29A" w14:textId="6B0079E1" w:rsidR="00B1556C" w:rsidRPr="00D70F36" w:rsidRDefault="00B1556C" w:rsidP="009E071D">
      <w:pPr>
        <w:spacing w:line="360" w:lineRule="auto"/>
      </w:pPr>
      <w:r>
        <w:tab/>
        <w:t>Very large, typically hundred-</w:t>
      </w:r>
      <w:r w:rsidR="00114EA9">
        <w:t>kilo</w:t>
      </w:r>
      <w:r>
        <w:t xml:space="preserve">metre-scale, </w:t>
      </w:r>
      <w:r w:rsidR="005F0D2C">
        <w:t>felsic-intermediate</w:t>
      </w:r>
      <w:r>
        <w:t xml:space="preserve"> batholiths are widely known </w:t>
      </w:r>
      <w:r w:rsidR="005F0D2C">
        <w:t>to underpin stable cratons around</w:t>
      </w:r>
      <w:r>
        <w:t xml:space="preserve"> the margins of rift basins and passive margins</w:t>
      </w:r>
      <w:r w:rsidR="00154DD1">
        <w:t xml:space="preserve"> – such as the </w:t>
      </w:r>
      <w:proofErr w:type="spellStart"/>
      <w:r w:rsidR="00154DD1">
        <w:t>Kaapvaal</w:t>
      </w:r>
      <w:proofErr w:type="spellEnd"/>
      <w:r w:rsidR="00154DD1">
        <w:t xml:space="preserve"> and Zimbabwe cratons of southern Africa (Thomas et al., 1993; </w:t>
      </w:r>
      <w:proofErr w:type="spellStart"/>
      <w:r w:rsidR="00154DD1">
        <w:t>Schoene</w:t>
      </w:r>
      <w:proofErr w:type="spellEnd"/>
      <w:r w:rsidR="00154DD1">
        <w:t xml:space="preserve"> et al., 2008)</w:t>
      </w:r>
      <w:r w:rsidR="009D7417">
        <w:t xml:space="preserve"> </w:t>
      </w:r>
      <w:r w:rsidR="00154DD1">
        <w:t>and the Pilbara craton of</w:t>
      </w:r>
      <w:r w:rsidR="00E31A58">
        <w:t xml:space="preserve"> NW Australia</w:t>
      </w:r>
      <w:r w:rsidR="00797E19">
        <w:t xml:space="preserve"> </w:t>
      </w:r>
      <w:r>
        <w:t>(</w:t>
      </w:r>
      <w:proofErr w:type="spellStart"/>
      <w:r w:rsidR="00E31A58">
        <w:t>Veevers</w:t>
      </w:r>
      <w:proofErr w:type="spellEnd"/>
      <w:r w:rsidR="00E31A58">
        <w:t>, 2006</w:t>
      </w:r>
      <w:r>
        <w:t>). Although the mechanical processes behind this relationship may bear similarities, this work concerns itself with slightly smaller granite bodies, tens-of-kilometres, which form the cores of intra-</w:t>
      </w:r>
      <w:proofErr w:type="spellStart"/>
      <w:r>
        <w:t>basinal</w:t>
      </w:r>
      <w:proofErr w:type="spellEnd"/>
      <w:r>
        <w:t xml:space="preserve"> highs. These highs are often bound by regional scale normal faulting</w:t>
      </w:r>
      <w:r w:rsidR="008C6751">
        <w:t>;</w:t>
      </w:r>
      <w:r w:rsidR="00797E19">
        <w:t xml:space="preserve"> </w:t>
      </w:r>
      <w:r w:rsidR="00685FF4">
        <w:t>however,</w:t>
      </w:r>
      <w:r>
        <w:t xml:space="preserve"> the structural framework surrounding these features is </w:t>
      </w:r>
      <w:r w:rsidR="00685FF4">
        <w:t xml:space="preserve">often </w:t>
      </w:r>
      <w:r>
        <w:t>more complex</w:t>
      </w:r>
      <w:r w:rsidR="00D028F5">
        <w:t xml:space="preserve"> (Chadwick et al., 1995)</w:t>
      </w:r>
      <w:r>
        <w:t xml:space="preserve">. There are varying degrees of interaction between </w:t>
      </w:r>
      <w:proofErr w:type="gramStart"/>
      <w:r>
        <w:t>more recent extensional structures</w:t>
      </w:r>
      <w:proofErr w:type="gramEnd"/>
      <w:r>
        <w:t xml:space="preserve"> and the inherited structural framework, of which large granite bodies are very much a part </w:t>
      </w:r>
      <w:r w:rsidR="00D028F5">
        <w:t>(Corfield et al., 1996)</w:t>
      </w:r>
      <w:r>
        <w:t xml:space="preserve">. Understanding this framework is key to a greater appreciation of sediment routing, fluid migration pathways and potential reservoir distribution during the </w:t>
      </w:r>
      <w:proofErr w:type="spellStart"/>
      <w:r>
        <w:t>syn</w:t>
      </w:r>
      <w:proofErr w:type="spellEnd"/>
      <w:r>
        <w:t xml:space="preserve">-rift and throughout the post-rift </w:t>
      </w:r>
      <w:r w:rsidR="008C6751">
        <w:t xml:space="preserve">phases of basin evolution </w:t>
      </w:r>
      <w:r>
        <w:t>when greater emphasis is likely to be placed upon differential subsidence</w:t>
      </w:r>
      <w:r w:rsidR="00B75694">
        <w:t xml:space="preserve"> due to compaction</w:t>
      </w:r>
      <w:r>
        <w:t xml:space="preserve"> (</w:t>
      </w:r>
      <w:proofErr w:type="spellStart"/>
      <w:r>
        <w:t>Besly</w:t>
      </w:r>
      <w:proofErr w:type="spellEnd"/>
      <w:r>
        <w:t>, 2018).</w:t>
      </w:r>
    </w:p>
    <w:p w14:paraId="58A5E012" w14:textId="7B5DD223" w:rsidR="00B13E0E" w:rsidRDefault="00B13E0E" w:rsidP="009E071D">
      <w:pPr>
        <w:spacing w:line="360" w:lineRule="auto"/>
      </w:pPr>
      <w:r>
        <w:tab/>
      </w:r>
      <w:r w:rsidR="00414294">
        <w:t>In this paper</w:t>
      </w:r>
      <w:r w:rsidR="008B1B5D">
        <w:t>,</w:t>
      </w:r>
      <w:r w:rsidR="00414294">
        <w:t xml:space="preserve"> we aim to provide</w:t>
      </w:r>
      <w:r>
        <w:t xml:space="preserve"> a </w:t>
      </w:r>
      <w:r w:rsidR="00345000">
        <w:t xml:space="preserve">series of </w:t>
      </w:r>
      <w:r>
        <w:t>viable structural and geodynamic model</w:t>
      </w:r>
      <w:r w:rsidR="003C690F">
        <w:t>s</w:t>
      </w:r>
      <w:r w:rsidR="00797E19">
        <w:t xml:space="preserve"> </w:t>
      </w:r>
      <w:r w:rsidR="00E63583">
        <w:t xml:space="preserve">that </w:t>
      </w:r>
      <w:r w:rsidR="00345000">
        <w:t>help</w:t>
      </w:r>
      <w:r w:rsidR="00E63583">
        <w:t xml:space="preserve"> to</w:t>
      </w:r>
      <w:r w:rsidR="00345000">
        <w:t xml:space="preserve"> explain</w:t>
      </w:r>
      <w:r>
        <w:t xml:space="preserve"> why large granitic bodies so often occur in the core of relatively uplift</w:t>
      </w:r>
      <w:r w:rsidR="000A1EC6">
        <w:t>ed</w:t>
      </w:r>
      <w:r w:rsidR="00685FF4">
        <w:t xml:space="preserve"> basement </w:t>
      </w:r>
      <w:r w:rsidR="00685FF4">
        <w:lastRenderedPageBreak/>
        <w:t>highs. A lithospheric-</w:t>
      </w:r>
      <w:r>
        <w:t>scale numerical modelling approach is adopted in order to replicate</w:t>
      </w:r>
      <w:r w:rsidR="00797E19">
        <w:t xml:space="preserve"> </w:t>
      </w:r>
      <w:r>
        <w:t>granite emplacement</w:t>
      </w:r>
      <w:r w:rsidR="00E63583">
        <w:t>,</w:t>
      </w:r>
      <w:r w:rsidR="00797E19">
        <w:t xml:space="preserve"> </w:t>
      </w:r>
      <w:r>
        <w:t>extensional tectonism</w:t>
      </w:r>
      <w:r w:rsidR="00E63583">
        <w:t>,</w:t>
      </w:r>
      <w:r>
        <w:t xml:space="preserve"> and </w:t>
      </w:r>
      <w:r w:rsidR="004B257D">
        <w:t>any changes in</w:t>
      </w:r>
      <w:r>
        <w:t xml:space="preserve"> the</w:t>
      </w:r>
      <w:r w:rsidR="004B257D">
        <w:t xml:space="preserve"> physical</w:t>
      </w:r>
      <w:r>
        <w:t xml:space="preserve"> state of the lithosphere and basin architecture these processes</w:t>
      </w:r>
      <w:r w:rsidR="004B257D">
        <w:t xml:space="preserve"> are likely to</w:t>
      </w:r>
      <w:r>
        <w:t xml:space="preserve"> incur</w:t>
      </w:r>
      <w:r w:rsidR="00797E19">
        <w:t xml:space="preserve"> </w:t>
      </w:r>
      <w:r w:rsidR="00E564A3">
        <w:t>in order to</w:t>
      </w:r>
      <w:r w:rsidR="00797E19">
        <w:t xml:space="preserve"> </w:t>
      </w:r>
      <w:r w:rsidR="00122F3B">
        <w:t xml:space="preserve">validate this unique structural and geodynamic relationship. </w:t>
      </w:r>
      <w:r w:rsidR="008C6751">
        <w:t xml:space="preserve">A </w:t>
      </w:r>
      <w:r w:rsidR="00122F3B">
        <w:t xml:space="preserve">northern England Carboniferous case study is used as both a means of scrutinising </w:t>
      </w:r>
      <w:r>
        <w:t xml:space="preserve">the proposed model and as a </w:t>
      </w:r>
      <w:r w:rsidR="00F85C26">
        <w:t>tool to help analyse</w:t>
      </w:r>
      <w:r>
        <w:t xml:space="preserve"> the structural trends associa</w:t>
      </w:r>
      <w:r w:rsidR="00931196">
        <w:t>ted with deeper granite bodies.</w:t>
      </w:r>
      <w:r w:rsidR="00B1556C">
        <w:t xml:space="preserve"> Finally, the implications of our findings and the possibility of further case studies are discussed.</w:t>
      </w:r>
    </w:p>
    <w:p w14:paraId="6E92003B" w14:textId="77777777" w:rsidR="00B13E0E" w:rsidRDefault="008260D0" w:rsidP="009E071D">
      <w:pPr>
        <w:pStyle w:val="Heading1"/>
        <w:numPr>
          <w:ilvl w:val="0"/>
          <w:numId w:val="9"/>
        </w:numPr>
        <w:spacing w:line="360" w:lineRule="auto"/>
      </w:pPr>
      <w:r>
        <w:t>The effects of granite during lithosphere extension: insight</w:t>
      </w:r>
      <w:r w:rsidR="00956574">
        <w:t>s</w:t>
      </w:r>
      <w:r>
        <w:t xml:space="preserve"> from past studies</w:t>
      </w:r>
    </w:p>
    <w:p w14:paraId="721FD4A3" w14:textId="299C8B99" w:rsidR="00B13E0E" w:rsidRDefault="00B13E0E" w:rsidP="009E071D">
      <w:pPr>
        <w:spacing w:line="360" w:lineRule="auto"/>
        <w:ind w:firstLine="720"/>
      </w:pPr>
      <w:proofErr w:type="spellStart"/>
      <w:r w:rsidRPr="00B3058B">
        <w:t>Bott</w:t>
      </w:r>
      <w:proofErr w:type="spellEnd"/>
      <w:r w:rsidRPr="00B3058B">
        <w:t xml:space="preserve"> et al. (1958)</w:t>
      </w:r>
      <w:r>
        <w:t xml:space="preserve"> were first to propose the possible tectonic influence</w:t>
      </w:r>
      <w:r w:rsidR="008F69FE">
        <w:t>s</w:t>
      </w:r>
      <w:r>
        <w:t xml:space="preserve"> of large granite bodies. </w:t>
      </w:r>
      <w:r w:rsidR="00E63583">
        <w:t xml:space="preserve">They </w:t>
      </w:r>
      <w:r>
        <w:t xml:space="preserve">suggested that during </w:t>
      </w:r>
      <w:r w:rsidR="00C01154">
        <w:t>periods of tectonic extension</w:t>
      </w:r>
      <w:r>
        <w:t>, normal faulting around</w:t>
      </w:r>
      <w:r w:rsidR="008239F7">
        <w:t xml:space="preserve"> the peripheral regions of</w:t>
      </w:r>
      <w:r w:rsidR="00797E19">
        <w:t xml:space="preserve"> </w:t>
      </w:r>
      <w:r w:rsidR="008239F7">
        <w:t>granite batholiths</w:t>
      </w:r>
      <w:r w:rsidR="00CB06FB">
        <w:t xml:space="preserve"> permits relatively buoyant and rigid</w:t>
      </w:r>
      <w:r>
        <w:t xml:space="preserve"> blocks to </w:t>
      </w:r>
      <w:r w:rsidRPr="00576BD8">
        <w:t>maintain</w:t>
      </w:r>
      <w:r>
        <w:t xml:space="preserve"> isostatic equilibrium and </w:t>
      </w:r>
      <w:r w:rsidRPr="00576BD8">
        <w:t xml:space="preserve">resist </w:t>
      </w:r>
      <w:r>
        <w:t>subsidence</w:t>
      </w:r>
      <w:r w:rsidR="003C690F">
        <w:t>,</w:t>
      </w:r>
      <w:r w:rsidR="008239F7">
        <w:t xml:space="preserve"> thus</w:t>
      </w:r>
      <w:r>
        <w:t xml:space="preserve"> forming stable areas during periods of widespread faulting </w:t>
      </w:r>
      <w:r w:rsidRPr="00B3058B">
        <w:t>induced subsidence (Donat</w:t>
      </w:r>
      <w:r w:rsidRPr="009538B2">
        <w:t xml:space="preserve">o and </w:t>
      </w:r>
      <w:proofErr w:type="spellStart"/>
      <w:r w:rsidRPr="009538B2">
        <w:t>Megson</w:t>
      </w:r>
      <w:proofErr w:type="spellEnd"/>
      <w:r w:rsidRPr="009538B2">
        <w:t>, 1990).</w:t>
      </w:r>
      <w:r w:rsidR="00D52B40">
        <w:t xml:space="preserve"> </w:t>
      </w:r>
      <w:r>
        <w:t>There are now numerous further publications documenting the</w:t>
      </w:r>
      <w:r w:rsidR="00C01154">
        <w:t xml:space="preserve"> possible</w:t>
      </w:r>
      <w:r>
        <w:t xml:space="preserve"> tectonic influence</w:t>
      </w:r>
      <w:r w:rsidR="00C01154">
        <w:t>s</w:t>
      </w:r>
      <w:r>
        <w:t xml:space="preserve"> of granites</w:t>
      </w:r>
      <w:r w:rsidR="00E63583">
        <w:t>, all of</w:t>
      </w:r>
      <w:r w:rsidR="00797E19">
        <w:t xml:space="preserve"> </w:t>
      </w:r>
      <w:r w:rsidR="00345000">
        <w:t>which broadly agree w</w:t>
      </w:r>
      <w:r w:rsidR="008239F7">
        <w:t>ith those seminal</w:t>
      </w:r>
      <w:r w:rsidR="00345000">
        <w:t xml:space="preserve"> ideas</w:t>
      </w:r>
      <w:r w:rsidR="00D52B40">
        <w:t xml:space="preserve"> </w:t>
      </w:r>
      <w:r w:rsidRPr="00B3058B">
        <w:t xml:space="preserve">(e.g. </w:t>
      </w:r>
      <w:proofErr w:type="spellStart"/>
      <w:r w:rsidRPr="00B3058B">
        <w:t>Bott</w:t>
      </w:r>
      <w:proofErr w:type="spellEnd"/>
      <w:r w:rsidRPr="00B3058B">
        <w:t xml:space="preserve"> 1987</w:t>
      </w:r>
      <w:r w:rsidRPr="009538B2">
        <w:t xml:space="preserve">; </w:t>
      </w:r>
      <w:proofErr w:type="spellStart"/>
      <w:r w:rsidRPr="009538B2">
        <w:t>Bott</w:t>
      </w:r>
      <w:proofErr w:type="spellEnd"/>
      <w:r w:rsidRPr="009538B2">
        <w:t xml:space="preserve"> et al. 1978; </w:t>
      </w:r>
      <w:proofErr w:type="spellStart"/>
      <w:r w:rsidRPr="00E84BAC">
        <w:t>Chroston</w:t>
      </w:r>
      <w:proofErr w:type="spellEnd"/>
      <w:r w:rsidRPr="00E84BAC">
        <w:t xml:space="preserve"> et al. 1987; </w:t>
      </w:r>
      <w:proofErr w:type="spellStart"/>
      <w:r w:rsidRPr="00E84BAC">
        <w:t>Dimitropoulos</w:t>
      </w:r>
      <w:proofErr w:type="spellEnd"/>
      <w:r w:rsidRPr="00E84BAC">
        <w:t xml:space="preserve"> &amp; Donato 1981; Donato et al. 1983; Donato et al., 1981</w:t>
      </w:r>
      <w:r w:rsidRPr="00B3058B">
        <w:t>; Dona</w:t>
      </w:r>
      <w:r w:rsidRPr="009538B2">
        <w:t xml:space="preserve">to and </w:t>
      </w:r>
      <w:proofErr w:type="spellStart"/>
      <w:r w:rsidRPr="009538B2">
        <w:t>Megson</w:t>
      </w:r>
      <w:proofErr w:type="spellEnd"/>
      <w:r w:rsidRPr="009538B2">
        <w:t xml:space="preserve">, 1990; </w:t>
      </w:r>
      <w:proofErr w:type="spellStart"/>
      <w:r w:rsidRPr="00E84BAC">
        <w:t>Kimbell</w:t>
      </w:r>
      <w:proofErr w:type="spellEnd"/>
      <w:r w:rsidRPr="00E84BAC">
        <w:t xml:space="preserve"> and Williamson, 2015</w:t>
      </w:r>
      <w:r w:rsidRPr="009538B2">
        <w:t xml:space="preserve">; </w:t>
      </w:r>
      <w:proofErr w:type="spellStart"/>
      <w:r w:rsidRPr="009538B2">
        <w:t>Arsenikos</w:t>
      </w:r>
      <w:proofErr w:type="spellEnd"/>
      <w:r w:rsidRPr="009538B2">
        <w:t xml:space="preserve"> et al., 2018)</w:t>
      </w:r>
      <w:r w:rsidR="00345000">
        <w:t>.</w:t>
      </w:r>
    </w:p>
    <w:p w14:paraId="4A2D5F22" w14:textId="57A34321" w:rsidR="00B13E0E" w:rsidRPr="001E100C" w:rsidRDefault="00B13E0E" w:rsidP="009E071D">
      <w:pPr>
        <w:spacing w:line="360" w:lineRule="auto"/>
        <w:ind w:firstLine="720"/>
      </w:pPr>
      <w:r>
        <w:t>The portrayal of a ‘</w:t>
      </w:r>
      <w:r w:rsidRPr="00E84BAC">
        <w:t>buoyant</w:t>
      </w:r>
      <w:r>
        <w:t>’</w:t>
      </w:r>
      <w:r w:rsidR="00797E19">
        <w:t xml:space="preserve"> </w:t>
      </w:r>
      <w:r>
        <w:t>and ‘</w:t>
      </w:r>
      <w:r w:rsidRPr="00E84BAC">
        <w:t>rigid</w:t>
      </w:r>
      <w:r>
        <w:t>’</w:t>
      </w:r>
      <w:r w:rsidR="00797E19">
        <w:t xml:space="preserve"> </w:t>
      </w:r>
      <w:r>
        <w:t xml:space="preserve">granite body appears to have somewhat over-simplified a more complex process. </w:t>
      </w:r>
      <w:r w:rsidR="00CB06FB">
        <w:t>Furthermore, the buoyancy and rigidity of granite alone cannot explain intra-</w:t>
      </w:r>
      <w:proofErr w:type="spellStart"/>
      <w:r w:rsidR="00CB06FB">
        <w:t>basinal</w:t>
      </w:r>
      <w:proofErr w:type="spellEnd"/>
      <w:r w:rsidR="00CB06FB">
        <w:t xml:space="preserve"> highs – a forward model is required. </w:t>
      </w:r>
      <w:r w:rsidRPr="00E84BAC">
        <w:t>Buoyancy</w:t>
      </w:r>
      <w:r w:rsidR="0002221E">
        <w:t>,</w:t>
      </w:r>
      <w:r>
        <w:t xml:space="preserve"> in this instance, refers to the density deficiency </w:t>
      </w:r>
      <w:r w:rsidRPr="00D70F36">
        <w:t xml:space="preserve">associated with crystalline granite </w:t>
      </w:r>
      <w:r w:rsidR="0002221E">
        <w:t>by</w:t>
      </w:r>
      <w:r w:rsidR="00797E19">
        <w:t xml:space="preserve"> </w:t>
      </w:r>
      <w:r w:rsidRPr="00D70F36">
        <w:t xml:space="preserve">comparison with typical, </w:t>
      </w:r>
      <w:r w:rsidR="00AE3EE6">
        <w:t xml:space="preserve">variably </w:t>
      </w:r>
      <w:r w:rsidRPr="00D70F36">
        <w:t>me</w:t>
      </w:r>
      <w:r w:rsidR="00686E58">
        <w:t>tamorphosed basement</w:t>
      </w:r>
      <w:r w:rsidRPr="00D70F36">
        <w:t>.</w:t>
      </w:r>
      <w:r w:rsidR="00D70F36" w:rsidRPr="00D70F36">
        <w:t xml:space="preserve"> The term </w:t>
      </w:r>
      <w:r w:rsidR="0002221E">
        <w:t>‘</w:t>
      </w:r>
      <w:r w:rsidR="00D70F36" w:rsidRPr="00D70F36">
        <w:t>buoyancy</w:t>
      </w:r>
      <w:r w:rsidR="0002221E">
        <w:t>’</w:t>
      </w:r>
      <w:r w:rsidR="00D70F36" w:rsidRPr="00D70F36">
        <w:t xml:space="preserve"> however, perhaps inadvertently invokes similarities between rather more dynamic salt bodies, which are known </w:t>
      </w:r>
      <w:proofErr w:type="gramStart"/>
      <w:r w:rsidR="00D70F36" w:rsidRPr="00D70F36">
        <w:t>to actively resist</w:t>
      </w:r>
      <w:proofErr w:type="gramEnd"/>
      <w:r w:rsidR="00D70F36" w:rsidRPr="00D70F36">
        <w:t xml:space="preserve"> subsidence </w:t>
      </w:r>
      <w:r w:rsidR="00A87786">
        <w:t>via halokinesis</w:t>
      </w:r>
      <w:r w:rsidR="00D70F36" w:rsidRPr="00D70F36">
        <w:t>.</w:t>
      </w:r>
      <w:r w:rsidRPr="00D70F36">
        <w:t xml:space="preserve"> ‘</w:t>
      </w:r>
      <w:r w:rsidR="00D70F36" w:rsidRPr="00D70F36">
        <w:t>O</w:t>
      </w:r>
      <w:r w:rsidRPr="00D70F36">
        <w:t xml:space="preserve">ld and cold’ granite batholiths are </w:t>
      </w:r>
      <w:r w:rsidR="00A87786">
        <w:t>instead</w:t>
      </w:r>
      <w:r w:rsidRPr="00D70F36">
        <w:t xml:space="preserve"> fixed entities </w:t>
      </w:r>
      <w:r w:rsidR="00CA429C">
        <w:t>within a heterogeneous basement</w:t>
      </w:r>
      <w:r w:rsidRPr="00D70F36">
        <w:t xml:space="preserve"> which reduce the overall bulk density of the crust. </w:t>
      </w:r>
      <w:r w:rsidR="00F33175">
        <w:t>Likewise, r</w:t>
      </w:r>
      <w:r w:rsidRPr="00D70F36">
        <w:t xml:space="preserve">igidity </w:t>
      </w:r>
      <w:r w:rsidR="00F33175">
        <w:t>could also</w:t>
      </w:r>
      <w:r w:rsidRPr="00D70F36">
        <w:t xml:space="preserve"> perceivably imply brittleness; increasing the likelihood of fracture nucleation and fault p</w:t>
      </w:r>
      <w:r w:rsidR="00A87786">
        <w:t>ropagation. Perhaps describing younger granite bodies</w:t>
      </w:r>
      <w:r w:rsidRPr="00D70F36">
        <w:t xml:space="preserve"> as lacking the same internal heterogeneities and inherited weaknesses as older deformed continental c</w:t>
      </w:r>
      <w:r w:rsidR="00A87786">
        <w:t>rust (e</w:t>
      </w:r>
      <w:r w:rsidR="00B05165">
        <w:t>.</w:t>
      </w:r>
      <w:r w:rsidR="00A87786">
        <w:t>g. Chadwick et al., 1989</w:t>
      </w:r>
      <w:r w:rsidRPr="00D70F36">
        <w:t>) would be</w:t>
      </w:r>
      <w:r w:rsidR="00F742FC">
        <w:t xml:space="preserve"> a</w:t>
      </w:r>
      <w:r w:rsidRPr="00D70F36">
        <w:t xml:space="preserve"> more </w:t>
      </w:r>
      <w:r w:rsidR="00A87786">
        <w:t>plausible</w:t>
      </w:r>
      <w:r w:rsidRPr="00D70F36">
        <w:t xml:space="preserve"> way of accounting for the general absence of significant through</w:t>
      </w:r>
      <w:r w:rsidR="00F742FC">
        <w:t>-</w:t>
      </w:r>
      <w:r w:rsidRPr="00D70F36">
        <w:t>going faults within granite-cored basement</w:t>
      </w:r>
      <w:r w:rsidR="003C690F">
        <w:t>,</w:t>
      </w:r>
      <w:r w:rsidRPr="00D70F36">
        <w:t xml:space="preserve"> albeit another over-simplification (</w:t>
      </w:r>
      <w:proofErr w:type="spellStart"/>
      <w:r w:rsidRPr="00D70F36">
        <w:t>Bouchez</w:t>
      </w:r>
      <w:proofErr w:type="spellEnd"/>
      <w:r w:rsidRPr="00D70F36">
        <w:t>, 1997; de Saint-</w:t>
      </w:r>
      <w:proofErr w:type="spellStart"/>
      <w:r w:rsidRPr="00D70F36">
        <w:t>Blanquat</w:t>
      </w:r>
      <w:proofErr w:type="spellEnd"/>
      <w:r w:rsidRPr="00D70F36">
        <w:t xml:space="preserve"> et al., 2001). However, this alone does not </w:t>
      </w:r>
      <w:r w:rsidR="0002221E">
        <w:t xml:space="preserve">account </w:t>
      </w:r>
      <w:r w:rsidR="00F742FC">
        <w:t>in</w:t>
      </w:r>
      <w:r w:rsidR="00AE3EE6">
        <w:t xml:space="preserve"> itself for the numerous </w:t>
      </w:r>
      <w:r w:rsidRPr="00D70F36">
        <w:t>occurrence</w:t>
      </w:r>
      <w:r w:rsidR="00AE3EE6">
        <w:t>s</w:t>
      </w:r>
      <w:r w:rsidRPr="00D70F36">
        <w:t xml:space="preserve"> of granite bodies within the cores of basement highs.</w:t>
      </w:r>
    </w:p>
    <w:p w14:paraId="49A7872C" w14:textId="5DDD1054" w:rsidR="00B13E0E" w:rsidRDefault="00B13E0E" w:rsidP="009E071D">
      <w:pPr>
        <w:spacing w:after="0" w:line="360" w:lineRule="auto"/>
        <w:ind w:firstLine="720"/>
        <w:textAlignment w:val="baseline"/>
        <w:rPr>
          <w:rFonts w:eastAsia="Times New Roman" w:cstheme="minorHAnsi"/>
          <w:color w:val="000000"/>
          <w:lang w:eastAsia="en-GB"/>
        </w:rPr>
      </w:pPr>
      <w:r w:rsidRPr="00D70F36">
        <w:rPr>
          <w:rFonts w:eastAsia="Times New Roman" w:cstheme="minorHAnsi"/>
          <w:color w:val="000000"/>
          <w:lang w:eastAsia="en-GB"/>
        </w:rPr>
        <w:lastRenderedPageBreak/>
        <w:t xml:space="preserve">The assumption that a density deficiency within </w:t>
      </w:r>
      <w:r w:rsidR="00EC4E6B">
        <w:rPr>
          <w:rFonts w:eastAsia="Times New Roman" w:cstheme="minorHAnsi"/>
          <w:color w:val="000000"/>
          <w:lang w:eastAsia="en-GB"/>
        </w:rPr>
        <w:t xml:space="preserve">a defined volume of </w:t>
      </w:r>
      <w:r w:rsidRPr="00D70F36">
        <w:rPr>
          <w:rFonts w:eastAsia="Times New Roman" w:cstheme="minorHAnsi"/>
          <w:color w:val="000000"/>
          <w:lang w:eastAsia="en-GB"/>
        </w:rPr>
        <w:t>the crust can promote stability compared with adjacent crust and</w:t>
      </w:r>
      <w:r w:rsidR="00EC4E6B">
        <w:rPr>
          <w:rFonts w:eastAsia="Times New Roman" w:cstheme="minorHAnsi"/>
          <w:color w:val="000000"/>
          <w:lang w:eastAsia="en-GB"/>
        </w:rPr>
        <w:t xml:space="preserve"> an inherent ability to</w:t>
      </w:r>
      <w:r w:rsidRPr="00D70F36">
        <w:rPr>
          <w:rFonts w:eastAsia="Times New Roman" w:cstheme="minorHAnsi"/>
          <w:color w:val="000000"/>
          <w:lang w:eastAsia="en-GB"/>
        </w:rPr>
        <w:t xml:space="preserve"> resi</w:t>
      </w:r>
      <w:r w:rsidR="000A1EC6">
        <w:rPr>
          <w:rFonts w:eastAsia="Times New Roman" w:cstheme="minorHAnsi"/>
          <w:color w:val="000000"/>
          <w:lang w:eastAsia="en-GB"/>
        </w:rPr>
        <w:t>st subsidence during lithospheric</w:t>
      </w:r>
      <w:r w:rsidRPr="00D70F36">
        <w:rPr>
          <w:rFonts w:eastAsia="Times New Roman" w:cstheme="minorHAnsi"/>
          <w:color w:val="000000"/>
          <w:lang w:eastAsia="en-GB"/>
        </w:rPr>
        <w:t xml:space="preserve"> extension contradicts some of the fundamentals of mantle and lithosphere dynamics. </w:t>
      </w:r>
      <w:r w:rsidR="000A1EC6">
        <w:rPr>
          <w:rFonts w:eastAsia="Times New Roman" w:cstheme="minorHAnsi"/>
          <w:color w:val="000000"/>
          <w:lang w:eastAsia="en-GB"/>
        </w:rPr>
        <w:t>During lithospheric</w:t>
      </w:r>
      <w:r w:rsidRPr="00D70F36">
        <w:rPr>
          <w:rFonts w:eastAsia="Times New Roman" w:cstheme="minorHAnsi"/>
          <w:color w:val="000000"/>
          <w:lang w:eastAsia="en-GB"/>
        </w:rPr>
        <w:t xml:space="preserve"> extension, regional</w:t>
      </w:r>
      <w:r w:rsidR="0002221E">
        <w:rPr>
          <w:rFonts w:eastAsia="Times New Roman" w:cstheme="minorHAnsi"/>
          <w:color w:val="000000"/>
          <w:lang w:eastAsia="en-GB"/>
        </w:rPr>
        <w:t>-</w:t>
      </w:r>
      <w:r w:rsidRPr="00D70F36">
        <w:rPr>
          <w:rFonts w:eastAsia="Times New Roman" w:cstheme="minorHAnsi"/>
          <w:color w:val="000000"/>
          <w:lang w:eastAsia="en-GB"/>
        </w:rPr>
        <w:t xml:space="preserve">scale subsidence occurs in response to net density changes resulting from crustal thinning as well as from thermal re-equilibration (McKenzie, 1978). </w:t>
      </w:r>
      <w:r w:rsidR="00FC6BBE">
        <w:rPr>
          <w:rFonts w:eastAsia="Times New Roman" w:cstheme="minorHAnsi"/>
          <w:color w:val="000000"/>
          <w:lang w:eastAsia="en-GB"/>
        </w:rPr>
        <w:t>Fundamental</w:t>
      </w:r>
      <w:r w:rsidR="00797E19">
        <w:rPr>
          <w:rFonts w:eastAsia="Times New Roman" w:cstheme="minorHAnsi"/>
          <w:color w:val="000000"/>
          <w:lang w:eastAsia="en-GB"/>
        </w:rPr>
        <w:t xml:space="preserve"> </w:t>
      </w:r>
      <w:r w:rsidRPr="00D70F36">
        <w:rPr>
          <w:rFonts w:eastAsia="Times New Roman" w:cstheme="minorHAnsi"/>
          <w:color w:val="000000"/>
          <w:lang w:eastAsia="en-GB"/>
        </w:rPr>
        <w:t xml:space="preserve">principles of isostasy imply that in order to maintain </w:t>
      </w:r>
      <w:r w:rsidR="001E08E1">
        <w:rPr>
          <w:rFonts w:eastAsia="Times New Roman" w:cstheme="minorHAnsi"/>
          <w:color w:val="000000"/>
          <w:lang w:eastAsia="en-GB"/>
        </w:rPr>
        <w:t xml:space="preserve">evenly distributed mass </w:t>
      </w:r>
      <w:r w:rsidR="00EC4E6B">
        <w:rPr>
          <w:rFonts w:eastAsia="Times New Roman" w:cstheme="minorHAnsi"/>
          <w:color w:val="000000"/>
          <w:lang w:eastAsia="en-GB"/>
        </w:rPr>
        <w:t>at a depth of compensation</w:t>
      </w:r>
      <w:r w:rsidR="001E08E1">
        <w:rPr>
          <w:rFonts w:eastAsia="Times New Roman" w:cstheme="minorHAnsi"/>
          <w:color w:val="000000"/>
          <w:lang w:eastAsia="en-GB"/>
        </w:rPr>
        <w:t xml:space="preserve">, </w:t>
      </w:r>
      <w:r w:rsidR="00EC5F46">
        <w:rPr>
          <w:rFonts w:eastAsia="Times New Roman" w:cstheme="minorHAnsi"/>
          <w:color w:val="000000"/>
          <w:lang w:eastAsia="en-GB"/>
        </w:rPr>
        <w:t>upwelling</w:t>
      </w:r>
      <w:r w:rsidR="00797E19">
        <w:rPr>
          <w:rFonts w:eastAsia="Times New Roman" w:cstheme="minorHAnsi"/>
          <w:color w:val="000000"/>
          <w:lang w:eastAsia="en-GB"/>
        </w:rPr>
        <w:t xml:space="preserve"> </w:t>
      </w:r>
      <w:r w:rsidRPr="00D70F36">
        <w:rPr>
          <w:rFonts w:eastAsia="Times New Roman" w:cstheme="minorHAnsi"/>
          <w:color w:val="000000"/>
          <w:lang w:eastAsia="en-GB"/>
        </w:rPr>
        <w:t xml:space="preserve">asthenosphere compensates for the loss of </w:t>
      </w:r>
      <w:r w:rsidR="00FC6BBE" w:rsidRPr="00D70F36">
        <w:rPr>
          <w:rFonts w:eastAsia="Times New Roman" w:cstheme="minorHAnsi"/>
          <w:color w:val="000000"/>
          <w:lang w:eastAsia="en-GB"/>
        </w:rPr>
        <w:t>lithospher</w:t>
      </w:r>
      <w:r w:rsidR="00FC6BBE">
        <w:rPr>
          <w:rFonts w:eastAsia="Times New Roman" w:cstheme="minorHAnsi"/>
          <w:color w:val="000000"/>
          <w:lang w:eastAsia="en-GB"/>
        </w:rPr>
        <w:t>ic</w:t>
      </w:r>
      <w:r w:rsidR="00797E19">
        <w:rPr>
          <w:rFonts w:eastAsia="Times New Roman" w:cstheme="minorHAnsi"/>
          <w:color w:val="000000"/>
          <w:lang w:eastAsia="en-GB"/>
        </w:rPr>
        <w:t xml:space="preserve"> </w:t>
      </w:r>
      <w:r w:rsidRPr="00D70F36">
        <w:rPr>
          <w:rFonts w:eastAsia="Times New Roman" w:cstheme="minorHAnsi"/>
          <w:color w:val="000000"/>
          <w:lang w:eastAsia="en-GB"/>
        </w:rPr>
        <w:t>mass due to stretching</w:t>
      </w:r>
      <w:r w:rsidR="00FC6BBE">
        <w:rPr>
          <w:rFonts w:eastAsia="Times New Roman" w:cstheme="minorHAnsi"/>
          <w:color w:val="000000"/>
          <w:lang w:eastAsia="en-GB"/>
        </w:rPr>
        <w:t xml:space="preserve"> and thinning</w:t>
      </w:r>
      <w:r w:rsidRPr="00D70F36">
        <w:rPr>
          <w:rFonts w:eastAsia="Times New Roman" w:cstheme="minorHAnsi"/>
          <w:color w:val="000000"/>
          <w:lang w:eastAsia="en-GB"/>
        </w:rPr>
        <w:t xml:space="preserve"> (</w:t>
      </w:r>
      <w:proofErr w:type="spellStart"/>
      <w:r w:rsidRPr="00D70F36">
        <w:rPr>
          <w:rFonts w:eastAsia="Times New Roman" w:cstheme="minorHAnsi"/>
          <w:color w:val="000000"/>
          <w:lang w:eastAsia="en-GB"/>
        </w:rPr>
        <w:t>Karner</w:t>
      </w:r>
      <w:proofErr w:type="spellEnd"/>
      <w:r w:rsidRPr="00D70F36">
        <w:rPr>
          <w:rFonts w:eastAsia="Times New Roman" w:cstheme="minorHAnsi"/>
          <w:color w:val="000000"/>
          <w:lang w:eastAsia="en-GB"/>
        </w:rPr>
        <w:t xml:space="preserve"> and Watts, 1982). As the compensating asthenosphere is denser than the crust, this results in a negative deflection in surface elevation (e</w:t>
      </w:r>
      <w:r w:rsidR="00B05165">
        <w:rPr>
          <w:rFonts w:eastAsia="Times New Roman" w:cstheme="minorHAnsi"/>
          <w:color w:val="000000"/>
          <w:lang w:eastAsia="en-GB"/>
        </w:rPr>
        <w:t>.</w:t>
      </w:r>
      <w:r w:rsidRPr="00D70F36">
        <w:rPr>
          <w:rFonts w:eastAsia="Times New Roman" w:cstheme="minorHAnsi"/>
          <w:color w:val="000000"/>
          <w:lang w:eastAsia="en-GB"/>
        </w:rPr>
        <w:t xml:space="preserve">g. </w:t>
      </w:r>
      <w:proofErr w:type="spellStart"/>
      <w:r w:rsidRPr="00D70F36">
        <w:rPr>
          <w:rFonts w:eastAsia="Times New Roman" w:cstheme="minorHAnsi"/>
          <w:color w:val="000000"/>
          <w:lang w:eastAsia="en-GB"/>
        </w:rPr>
        <w:t>Kooi</w:t>
      </w:r>
      <w:proofErr w:type="spellEnd"/>
      <w:r w:rsidRPr="00D70F36">
        <w:rPr>
          <w:rFonts w:eastAsia="Times New Roman" w:cstheme="minorHAnsi"/>
          <w:color w:val="000000"/>
          <w:lang w:eastAsia="en-GB"/>
        </w:rPr>
        <w:t xml:space="preserve"> et al., 1992). </w:t>
      </w:r>
      <w:r w:rsidR="0002221E">
        <w:rPr>
          <w:rFonts w:eastAsia="Times New Roman" w:cstheme="minorHAnsi"/>
          <w:color w:val="000000"/>
          <w:lang w:eastAsia="en-GB"/>
        </w:rPr>
        <w:t>Put simply</w:t>
      </w:r>
      <w:r w:rsidR="00BB607C">
        <w:rPr>
          <w:rFonts w:eastAsia="Times New Roman" w:cstheme="minorHAnsi"/>
          <w:color w:val="000000"/>
          <w:lang w:eastAsia="en-GB"/>
        </w:rPr>
        <w:t>,</w:t>
      </w:r>
      <w:r w:rsidRPr="00D70F36">
        <w:rPr>
          <w:rFonts w:eastAsia="Times New Roman" w:cstheme="minorHAnsi"/>
          <w:color w:val="000000"/>
          <w:lang w:eastAsia="en-GB"/>
        </w:rPr>
        <w:t xml:space="preserve"> this negative deflection</w:t>
      </w:r>
      <w:r w:rsidR="00A86F46">
        <w:rPr>
          <w:rFonts w:eastAsia="Times New Roman" w:cstheme="minorHAnsi"/>
          <w:color w:val="000000"/>
          <w:lang w:eastAsia="en-GB"/>
        </w:rPr>
        <w:t>, S,</w:t>
      </w:r>
      <w:r w:rsidRPr="00D70F36">
        <w:rPr>
          <w:rFonts w:eastAsia="Times New Roman" w:cstheme="minorHAnsi"/>
          <w:color w:val="000000"/>
          <w:lang w:eastAsia="en-GB"/>
        </w:rPr>
        <w:t xml:space="preserve"> can be </w:t>
      </w:r>
      <w:r w:rsidR="00EC4E6B">
        <w:rPr>
          <w:rFonts w:eastAsia="Times New Roman" w:cstheme="minorHAnsi"/>
          <w:color w:val="000000"/>
          <w:lang w:eastAsia="en-GB"/>
        </w:rPr>
        <w:t>calculated using</w:t>
      </w:r>
      <w:r w:rsidRPr="00D70F36">
        <w:rPr>
          <w:rFonts w:eastAsia="Times New Roman" w:cstheme="minorHAnsi"/>
          <w:color w:val="000000"/>
          <w:lang w:eastAsia="en-GB"/>
        </w:rPr>
        <w:t xml:space="preserve"> either equation 2.1 or 2.2 (see tables 1 and 2 for </w:t>
      </w:r>
      <w:r w:rsidR="001314D4">
        <w:rPr>
          <w:rFonts w:eastAsia="Times New Roman" w:cstheme="minorHAnsi"/>
          <w:color w:val="000000"/>
          <w:lang w:eastAsia="en-GB"/>
        </w:rPr>
        <w:t xml:space="preserve">an explanation of </w:t>
      </w:r>
      <w:r w:rsidR="00EA4E09">
        <w:rPr>
          <w:rFonts w:eastAsia="Times New Roman" w:cstheme="minorHAnsi"/>
          <w:color w:val="000000"/>
          <w:lang w:eastAsia="en-GB"/>
        </w:rPr>
        <w:t xml:space="preserve">model </w:t>
      </w:r>
      <w:r w:rsidR="001314D4">
        <w:rPr>
          <w:rFonts w:eastAsia="Times New Roman" w:cstheme="minorHAnsi"/>
          <w:color w:val="000000"/>
          <w:lang w:eastAsia="en-GB"/>
        </w:rPr>
        <w:t>parameters</w:t>
      </w:r>
      <w:r w:rsidRPr="00D70F36">
        <w:rPr>
          <w:rFonts w:eastAsia="Times New Roman" w:cstheme="minorHAnsi"/>
          <w:color w:val="000000"/>
          <w:lang w:eastAsia="en-GB"/>
        </w:rPr>
        <w:t>).</w:t>
      </w:r>
      <w:r w:rsidR="002848CC">
        <w:rPr>
          <w:rFonts w:eastAsia="Times New Roman" w:cstheme="minorHAnsi"/>
          <w:color w:val="000000"/>
          <w:lang w:eastAsia="en-GB"/>
        </w:rPr>
        <w:t xml:space="preserve"> In this instance, subsidence is proportional to the original thickness of the crust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oMath>
      <w:r w:rsidR="002848CC">
        <w:rPr>
          <w:rFonts w:eastAsia="Times New Roman" w:cstheme="minorHAnsi"/>
          <w:color w:val="000000"/>
          <w:lang w:eastAsia="en-GB"/>
        </w:rPr>
        <w:t>)</w:t>
      </w:r>
      <w:r w:rsidR="0002221E">
        <w:rPr>
          <w:rFonts w:eastAsia="Times New Roman" w:cstheme="minorHAnsi"/>
          <w:color w:val="000000"/>
          <w:lang w:eastAsia="en-GB"/>
        </w:rPr>
        <w:t xml:space="preserve"> and</w:t>
      </w:r>
      <w:r w:rsidR="002848CC">
        <w:rPr>
          <w:rFonts w:eastAsia="Times New Roman" w:cstheme="minorHAnsi"/>
          <w:color w:val="000000"/>
          <w:lang w:eastAsia="en-GB"/>
        </w:rPr>
        <w:t xml:space="preserve"> the magnitude of extension (</w:t>
      </w:r>
      <m:oMath>
        <m:r>
          <w:rPr>
            <w:rFonts w:ascii="Cambria Math" w:eastAsia="Times New Roman" w:hAnsi="Cambria Math" w:cstheme="minorHAnsi"/>
            <w:color w:val="000000"/>
            <w:lang w:eastAsia="en-GB"/>
          </w:rPr>
          <m:t>β</m:t>
        </m:r>
      </m:oMath>
      <w:r w:rsidR="002848CC">
        <w:rPr>
          <w:rFonts w:eastAsia="Times New Roman" w:cstheme="minorHAnsi"/>
          <w:color w:val="000000"/>
          <w:lang w:eastAsia="en-GB"/>
        </w:rPr>
        <w:t>)</w:t>
      </w:r>
      <w:r w:rsidR="0002221E">
        <w:rPr>
          <w:rFonts w:eastAsia="Times New Roman" w:cstheme="minorHAnsi"/>
          <w:color w:val="000000"/>
          <w:lang w:eastAsia="en-GB"/>
        </w:rPr>
        <w:t>,</w:t>
      </w:r>
      <w:r w:rsidR="002848CC">
        <w:rPr>
          <w:rFonts w:eastAsia="Times New Roman" w:cstheme="minorHAnsi"/>
          <w:color w:val="000000"/>
          <w:lang w:eastAsia="en-GB"/>
        </w:rPr>
        <w:t xml:space="preserve"> as well as the density of the crust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oMath>
      <w:r w:rsidR="002848CC">
        <w:rPr>
          <w:rFonts w:eastAsia="Times New Roman" w:cstheme="minorHAnsi"/>
          <w:color w:val="000000"/>
          <w:lang w:eastAsia="en-GB"/>
        </w:rPr>
        <w:t xml:space="preserve">) and </w:t>
      </w:r>
      <w:r w:rsidR="0002221E">
        <w:rPr>
          <w:rFonts w:eastAsia="Times New Roman" w:cstheme="minorHAnsi"/>
          <w:color w:val="000000"/>
          <w:lang w:eastAsia="en-GB"/>
        </w:rPr>
        <w:t xml:space="preserve">that of the </w:t>
      </w:r>
      <w:r w:rsidR="002848CC">
        <w:rPr>
          <w:rFonts w:eastAsia="Times New Roman" w:cstheme="minorHAnsi"/>
          <w:color w:val="000000"/>
          <w:lang w:eastAsia="en-GB"/>
        </w:rPr>
        <w:t>mantle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oMath>
      <w:r w:rsidR="002848CC">
        <w:rPr>
          <w:rFonts w:eastAsia="Times New Roman" w:cstheme="minorHAnsi"/>
          <w:color w:val="000000"/>
          <w:lang w:eastAsia="en-GB"/>
        </w:rPr>
        <w:t>).</w:t>
      </w:r>
      <w:r w:rsidR="00CE4FA2">
        <w:rPr>
          <w:rFonts w:eastAsia="Times New Roman" w:cstheme="minorHAnsi"/>
          <w:color w:val="000000"/>
          <w:lang w:eastAsia="en-GB"/>
        </w:rPr>
        <w:t xml:space="preserve"> </w:t>
      </w:r>
      <w:r w:rsidRPr="00D70F36">
        <w:rPr>
          <w:rFonts w:eastAsia="Times New Roman" w:cstheme="minorHAnsi"/>
          <w:color w:val="000000"/>
          <w:lang w:eastAsia="en-GB"/>
        </w:rPr>
        <w:t>Note that whilst this calculation applies only to thinning of the crustal lithosphere, it remains valid providing the density of the asthenosphere and mantle lithosphere are assumed equal</w:t>
      </w:r>
      <w:r w:rsidR="00A87786">
        <w:rPr>
          <w:rFonts w:eastAsia="Times New Roman" w:cstheme="minorHAnsi"/>
          <w:color w:val="000000"/>
          <w:lang w:eastAsia="en-GB"/>
        </w:rPr>
        <w:t xml:space="preserve">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oMath>
      <w:r w:rsidR="00A87786">
        <w:rPr>
          <w:rFonts w:eastAsia="Times New Roman" w:cstheme="minorHAnsi"/>
          <w:color w:val="000000"/>
          <w:lang w:eastAsia="en-GB"/>
        </w:rPr>
        <w:t>)</w:t>
      </w:r>
      <w:r w:rsidRPr="00D70F36">
        <w:rPr>
          <w:rFonts w:eastAsia="Times New Roman" w:cstheme="minorHAnsi"/>
          <w:color w:val="000000"/>
          <w:lang w:eastAsia="en-GB"/>
        </w:rPr>
        <w:t>.</w:t>
      </w:r>
    </w:p>
    <w:p w14:paraId="3AF98B6F" w14:textId="77777777" w:rsidR="00B13E0E" w:rsidRDefault="00B13E0E" w:rsidP="009E071D">
      <w:pPr>
        <w:spacing w:after="0" w:line="360" w:lineRule="auto"/>
        <w:jc w:val="center"/>
        <w:textAlignment w:val="baseline"/>
        <w:rPr>
          <w:rFonts w:eastAsia="Times New Roman" w:cstheme="minorHAnsi"/>
          <w:color w:val="000000"/>
          <w:lang w:eastAsia="en-GB"/>
        </w:rPr>
      </w:pPr>
      <m:oMathPara>
        <m:oMath>
          <m:r>
            <w:rPr>
              <w:rFonts w:ascii="Cambria Math" w:eastAsia="Times New Roman" w:hAnsi="Cambria Math" w:cstheme="minorHAnsi"/>
              <w:color w:val="000000"/>
              <w:lang w:eastAsia="en-GB"/>
            </w:rPr>
            <m:t>S=</m:t>
          </m:r>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num>
            <m:den>
              <m:r>
                <w:rPr>
                  <w:rFonts w:ascii="Cambria Math" w:eastAsia="Times New Roman" w:hAnsi="Cambria Math" w:cstheme="minorHAnsi"/>
                  <w:color w:val="000000"/>
                  <w:lang w:eastAsia="en-GB"/>
                </w:rPr>
                <m:t>β</m:t>
              </m:r>
            </m:den>
          </m:f>
          <m:r>
            <w:rPr>
              <w:rFonts w:ascii="Cambria Math" w:eastAsia="Times New Roman" w:hAnsi="Cambria Math" w:cstheme="minorHAnsi"/>
              <w:color w:val="000000"/>
              <w:lang w:eastAsia="en-GB"/>
            </w:rPr>
            <m:t>-</m:t>
          </m:r>
          <m:d>
            <m:dPr>
              <m:ctrlPr>
                <w:rPr>
                  <w:rFonts w:ascii="Cambria Math" w:eastAsia="Times New Roman" w:hAnsi="Cambria Math" w:cstheme="minorHAnsi"/>
                  <w:i/>
                  <w:color w:val="000000"/>
                  <w:lang w:eastAsia="en-GB"/>
                </w:rPr>
              </m:ctrlPr>
            </m:dPr>
            <m:e>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num>
                <m:den>
                  <m:r>
                    <w:rPr>
                      <w:rFonts w:ascii="Cambria Math" w:eastAsia="Times New Roman" w:hAnsi="Cambria Math" w:cstheme="minorHAnsi"/>
                      <w:color w:val="000000"/>
                      <w:lang w:eastAsia="en-GB"/>
                    </w:rPr>
                    <m:t>β</m:t>
                  </m:r>
                </m:den>
              </m:f>
            </m:e>
          </m:d>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oMath>
      </m:oMathPara>
    </w:p>
    <w:p w14:paraId="1267031C" w14:textId="77777777" w:rsidR="00B13E0E" w:rsidRDefault="00B13E0E" w:rsidP="009E071D">
      <w:pPr>
        <w:spacing w:after="0" w:line="360" w:lineRule="auto"/>
        <w:jc w:val="center"/>
        <w:textAlignment w:val="baseline"/>
        <w:rPr>
          <w:rFonts w:eastAsia="Times New Roman" w:cstheme="minorHAnsi"/>
          <w:color w:val="000000"/>
          <w:lang w:eastAsia="en-GB"/>
        </w:rPr>
      </w:pPr>
      <w:r>
        <w:rPr>
          <w:rFonts w:eastAsia="Times New Roman" w:cstheme="minorHAnsi"/>
          <w:color w:val="000000"/>
          <w:lang w:eastAsia="en-GB"/>
        </w:rPr>
        <w:t>2.1</w:t>
      </w:r>
    </w:p>
    <w:p w14:paraId="14EEFE39" w14:textId="77777777" w:rsidR="00B13E0E" w:rsidRDefault="00B13E0E" w:rsidP="009E071D">
      <w:pPr>
        <w:spacing w:after="0" w:line="360" w:lineRule="auto"/>
        <w:jc w:val="center"/>
        <w:textAlignment w:val="baseline"/>
        <w:rPr>
          <w:rFonts w:eastAsia="Times New Roman" w:cstheme="minorHAnsi"/>
          <w:color w:val="000000"/>
          <w:lang w:eastAsia="en-GB"/>
        </w:rPr>
      </w:pPr>
      <w:r>
        <w:rPr>
          <w:rFonts w:eastAsia="Times New Roman" w:cstheme="minorHAnsi"/>
          <w:color w:val="000000"/>
          <w:lang w:eastAsia="en-GB"/>
        </w:rPr>
        <w:t xml:space="preserve">Or </w:t>
      </w:r>
      <m:oMath>
        <m:r>
          <w:rPr>
            <w:rFonts w:ascii="Cambria Math" w:eastAsia="Times New Roman" w:hAnsi="Cambria Math" w:cstheme="minorHAnsi"/>
            <w:color w:val="000000"/>
            <w:lang w:eastAsia="en-GB"/>
          </w:rPr>
          <m:t>S=</m:t>
        </m:r>
        <m:d>
          <m:dPr>
            <m:ctrlPr>
              <w:rPr>
                <w:rFonts w:ascii="Cambria Math" w:eastAsia="Times New Roman" w:hAnsi="Cambria Math" w:cstheme="minorHAnsi"/>
                <w:i/>
                <w:color w:val="000000"/>
                <w:lang w:eastAsia="en-GB"/>
              </w:rPr>
            </m:ctrlPr>
          </m:dPr>
          <m:e>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num>
              <m:den>
                <m:r>
                  <w:rPr>
                    <w:rFonts w:ascii="Cambria Math" w:eastAsia="Times New Roman" w:hAnsi="Cambria Math" w:cstheme="minorHAnsi"/>
                    <w:color w:val="000000"/>
                    <w:lang w:eastAsia="en-GB"/>
                  </w:rPr>
                  <m:t>β</m:t>
                </m:r>
              </m:den>
            </m:f>
          </m:e>
        </m:d>
        <m:r>
          <w:rPr>
            <w:rFonts w:ascii="Cambria Math" w:eastAsia="Times New Roman" w:hAnsi="Cambria Math" w:cstheme="minorHAnsi"/>
            <w:color w:val="000000"/>
            <w:lang w:eastAsia="en-GB"/>
          </w:rPr>
          <m:t>×</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1-</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e>
        </m:d>
      </m:oMath>
    </w:p>
    <w:p w14:paraId="2F9B9B43" w14:textId="77777777" w:rsidR="00B13E0E" w:rsidRPr="009E071D" w:rsidRDefault="00B13E0E" w:rsidP="009E071D">
      <w:pPr>
        <w:spacing w:after="0" w:line="360" w:lineRule="auto"/>
        <w:jc w:val="center"/>
        <w:textAlignment w:val="baseline"/>
        <w:rPr>
          <w:rFonts w:eastAsia="Times New Roman" w:cstheme="minorHAnsi"/>
          <w:color w:val="000000"/>
          <w:lang w:eastAsia="en-GB"/>
        </w:rPr>
      </w:pPr>
      <w:r>
        <w:rPr>
          <w:rFonts w:eastAsia="Times New Roman" w:cstheme="minorHAnsi"/>
          <w:color w:val="000000"/>
          <w:lang w:eastAsia="en-GB"/>
        </w:rPr>
        <w:t>2.2</w:t>
      </w:r>
    </w:p>
    <w:p w14:paraId="7FA028E9" w14:textId="77777777" w:rsidR="00B13E0E" w:rsidRDefault="00B13E0E" w:rsidP="009E071D">
      <w:pPr>
        <w:spacing w:after="0" w:line="360" w:lineRule="auto"/>
        <w:jc w:val="center"/>
        <w:textAlignment w:val="baseline"/>
        <w:rPr>
          <w:rFonts w:eastAsia="Times New Roman" w:cstheme="minorHAnsi"/>
          <w:color w:val="000000"/>
          <w:lang w:eastAsia="en-GB"/>
        </w:rPr>
      </w:pPr>
      <w:r w:rsidRPr="00A15973">
        <w:rPr>
          <w:rFonts w:eastAsia="Times New Roman" w:cstheme="minorHAnsi"/>
          <w:color w:val="000000"/>
          <w:lang w:eastAsia="en-GB"/>
        </w:rPr>
        <w:t>Given that crustal thickness lost due to thinning</w:t>
      </w:r>
      <w:r>
        <w:rPr>
          <w:rFonts w:eastAsia="Times New Roman" w:cstheme="minorHAnsi"/>
          <w:color w:val="000000"/>
          <w:lang w:eastAsia="en-GB"/>
        </w:rPr>
        <w:t xml:space="preserve"> =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num>
          <m:den>
            <m:r>
              <w:rPr>
                <w:rFonts w:ascii="Cambria Math" w:eastAsia="Times New Roman" w:hAnsi="Cambria Math" w:cstheme="minorHAnsi"/>
                <w:color w:val="000000"/>
                <w:lang w:eastAsia="en-GB"/>
              </w:rPr>
              <m:t>β</m:t>
            </m:r>
          </m:den>
        </m:f>
      </m:oMath>
    </w:p>
    <w:p w14:paraId="3E4E6F1A" w14:textId="77777777" w:rsidR="00B13E0E" w:rsidRDefault="00B13E0E" w:rsidP="009E071D">
      <w:pPr>
        <w:spacing w:after="0" w:line="360" w:lineRule="auto"/>
        <w:jc w:val="center"/>
        <w:textAlignment w:val="baseline"/>
        <w:rPr>
          <w:rFonts w:eastAsia="Times New Roman" w:cstheme="minorHAnsi"/>
          <w:color w:val="000000"/>
          <w:lang w:eastAsia="en-GB"/>
        </w:rPr>
      </w:pPr>
      <w:r>
        <w:rPr>
          <w:rFonts w:eastAsia="Times New Roman" w:cstheme="minorHAnsi"/>
          <w:color w:val="000000"/>
          <w:lang w:eastAsia="en-GB"/>
        </w:rPr>
        <w:t>2.3</w:t>
      </w:r>
    </w:p>
    <w:p w14:paraId="6209070B" w14:textId="77777777" w:rsidR="00B13E0E" w:rsidRDefault="00B13E0E" w:rsidP="009E071D">
      <w:pPr>
        <w:spacing w:after="0" w:line="360" w:lineRule="auto"/>
        <w:jc w:val="center"/>
        <w:textAlignment w:val="baseline"/>
        <w:rPr>
          <w:rFonts w:eastAsia="Times New Roman" w:cstheme="minorHAnsi"/>
          <w:color w:val="000000"/>
          <w:lang w:eastAsia="en-GB"/>
        </w:rPr>
      </w:pPr>
      <w:r w:rsidRPr="00A15973">
        <w:rPr>
          <w:rFonts w:eastAsia="Times New Roman" w:cstheme="minorHAnsi"/>
          <w:color w:val="000000"/>
          <w:lang w:eastAsia="en-GB"/>
        </w:rPr>
        <w:t xml:space="preserve">And the isostatic response to this thinning </w:t>
      </w:r>
      <w:r>
        <w:rPr>
          <w:rFonts w:eastAsia="Times New Roman" w:cstheme="minorHAnsi"/>
          <w:color w:val="000000"/>
          <w:lang w:eastAsia="en-GB"/>
        </w:rPr>
        <w:t xml:space="preserve">=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num>
          <m:den>
            <m:r>
              <w:rPr>
                <w:rFonts w:ascii="Cambria Math" w:eastAsia="Times New Roman" w:hAnsi="Cambria Math" w:cstheme="minorHAnsi"/>
                <w:color w:val="000000"/>
                <w:lang w:eastAsia="en-GB"/>
              </w:rPr>
              <m:t>β</m:t>
            </m:r>
          </m:den>
        </m:f>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oMath>
    </w:p>
    <w:p w14:paraId="0F601F98" w14:textId="77777777" w:rsidR="00B13E0E" w:rsidRDefault="00B13E0E" w:rsidP="009E071D">
      <w:pPr>
        <w:spacing w:after="0" w:line="360" w:lineRule="auto"/>
        <w:jc w:val="center"/>
        <w:textAlignment w:val="baseline"/>
        <w:rPr>
          <w:rFonts w:eastAsia="Times New Roman" w:cstheme="minorHAnsi"/>
          <w:color w:val="000000"/>
          <w:lang w:eastAsia="en-GB"/>
        </w:rPr>
      </w:pPr>
      <w:r>
        <w:rPr>
          <w:rFonts w:eastAsia="Times New Roman" w:cstheme="minorHAnsi"/>
          <w:color w:val="000000"/>
          <w:lang w:eastAsia="en-GB"/>
        </w:rPr>
        <w:t>2.4</w:t>
      </w:r>
    </w:p>
    <w:p w14:paraId="75A8C196" w14:textId="40D6E24C" w:rsidR="00B13E0E" w:rsidRDefault="00E164AF" w:rsidP="009E071D">
      <w:pPr>
        <w:spacing w:after="100" w:afterAutospacing="1" w:line="360" w:lineRule="auto"/>
        <w:textAlignment w:val="baseline"/>
        <w:rPr>
          <w:rFonts w:eastAsia="Times New Roman" w:cstheme="minorHAnsi"/>
          <w:color w:val="000000"/>
          <w:lang w:eastAsia="en-GB"/>
        </w:rPr>
      </w:pPr>
      <w:r>
        <w:rPr>
          <w:rFonts w:eastAsia="Times New Roman" w:cstheme="minorHAnsi"/>
          <w:color w:val="000000"/>
          <w:lang w:eastAsia="en-GB"/>
        </w:rPr>
        <w:tab/>
        <w:t xml:space="preserve">Figure </w:t>
      </w:r>
      <w:proofErr w:type="gramStart"/>
      <w:r w:rsidR="00AF4EDA">
        <w:rPr>
          <w:rFonts w:eastAsia="Times New Roman" w:cstheme="minorHAnsi"/>
          <w:color w:val="000000"/>
          <w:lang w:eastAsia="en-GB"/>
        </w:rPr>
        <w:t>1</w:t>
      </w:r>
      <w:proofErr w:type="gramEnd"/>
      <w:r w:rsidR="00AF4EDA">
        <w:rPr>
          <w:rFonts w:eastAsia="Times New Roman" w:cstheme="minorHAnsi"/>
          <w:color w:val="000000"/>
          <w:lang w:eastAsia="en-GB"/>
        </w:rPr>
        <w:t xml:space="preserve"> </w:t>
      </w:r>
      <w:r w:rsidR="0002221E">
        <w:rPr>
          <w:rFonts w:eastAsia="Times New Roman" w:cstheme="minorHAnsi"/>
          <w:color w:val="000000"/>
          <w:lang w:eastAsia="en-GB"/>
        </w:rPr>
        <w:t xml:space="preserve">predicts </w:t>
      </w:r>
      <w:r w:rsidR="00B13E0E">
        <w:rPr>
          <w:rFonts w:eastAsia="Times New Roman" w:cstheme="minorHAnsi"/>
          <w:color w:val="000000"/>
          <w:lang w:eastAsia="en-GB"/>
        </w:rPr>
        <w:t xml:space="preserve">the depth of two basins in granitic and non-granitic crust when the lithosphere is stretched to twice its </w:t>
      </w:r>
      <w:r w:rsidR="00EC4E6B">
        <w:rPr>
          <w:rFonts w:eastAsia="Times New Roman" w:cstheme="minorHAnsi"/>
          <w:color w:val="000000"/>
          <w:lang w:eastAsia="en-GB"/>
        </w:rPr>
        <w:t xml:space="preserve">original </w:t>
      </w:r>
      <w:r w:rsidR="00B13E0E">
        <w:rPr>
          <w:rFonts w:eastAsia="Times New Roman" w:cstheme="minorHAnsi"/>
          <w:color w:val="000000"/>
          <w:lang w:eastAsia="en-GB"/>
        </w:rPr>
        <w:t>horizontal extent</w:t>
      </w:r>
      <w:r w:rsidR="00C86E38">
        <w:rPr>
          <w:rFonts w:eastAsia="Times New Roman" w:cstheme="minorHAnsi"/>
          <w:color w:val="000000"/>
          <w:lang w:eastAsia="en-GB"/>
        </w:rPr>
        <w:t xml:space="preserve">, representing a </w:t>
      </w:r>
      <w:r w:rsidR="00B81254">
        <w:rPr>
          <w:rFonts w:eastAsia="Times New Roman" w:cstheme="minorHAnsi"/>
          <w:color w:val="000000"/>
          <w:lang w:eastAsia="en-GB"/>
        </w:rPr>
        <w:t>magnitude of extension</w:t>
      </w:r>
      <w:r w:rsidR="00797E19">
        <w:rPr>
          <w:rFonts w:eastAsia="Times New Roman" w:cstheme="minorHAnsi"/>
          <w:color w:val="000000"/>
          <w:lang w:eastAsia="en-GB"/>
        </w:rPr>
        <w:t xml:space="preserve"> </w:t>
      </w:r>
      <w:r w:rsidR="0002221E">
        <w:rPr>
          <w:rFonts w:eastAsia="Times New Roman" w:cstheme="minorHAnsi"/>
          <w:color w:val="000000"/>
          <w:lang w:eastAsia="en-GB"/>
        </w:rPr>
        <w:t>(</w:t>
      </w:r>
      <m:oMath>
        <m:r>
          <w:rPr>
            <w:rFonts w:ascii="Cambria Math" w:eastAsia="Times New Roman" w:hAnsi="Cambria Math" w:cstheme="minorHAnsi"/>
            <w:color w:val="000000"/>
            <w:lang w:eastAsia="en-GB"/>
          </w:rPr>
          <m:t>β</m:t>
        </m:r>
      </m:oMath>
      <w:r w:rsidR="0002221E">
        <w:rPr>
          <w:rFonts w:eastAsia="Times New Roman" w:cstheme="minorHAnsi"/>
          <w:color w:val="000000"/>
          <w:lang w:eastAsia="en-GB"/>
        </w:rPr>
        <w:t xml:space="preserve">) </w:t>
      </w:r>
      <w:r w:rsidR="00B81254">
        <w:rPr>
          <w:rFonts w:eastAsia="Times New Roman" w:cstheme="minorHAnsi"/>
          <w:color w:val="000000"/>
          <w:lang w:eastAsia="en-GB"/>
        </w:rPr>
        <w:t>of 2</w:t>
      </w:r>
      <w:r w:rsidR="00B13E0E">
        <w:rPr>
          <w:rFonts w:eastAsia="Times New Roman" w:cstheme="minorHAnsi"/>
          <w:color w:val="000000"/>
          <w:lang w:eastAsia="en-GB"/>
        </w:rPr>
        <w:t>. Using the parameters displayed in table 2, the subsidence produced from extending non-granitic crust</w:t>
      </w:r>
      <w:r w:rsidR="00FC080E">
        <w:rPr>
          <w:rFonts w:eastAsia="Times New Roman" w:cstheme="minorHAnsi"/>
          <w:color w:val="000000"/>
          <w:lang w:eastAsia="en-GB"/>
        </w:rPr>
        <w:t xml:space="preserve">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oMath>
      <w:r w:rsidR="00FC080E">
        <w:rPr>
          <w:rFonts w:eastAsia="Times New Roman" w:cstheme="minorHAnsi"/>
          <w:color w:val="000000"/>
          <w:lang w:eastAsia="en-GB"/>
        </w:rPr>
        <w:t>)</w:t>
      </w:r>
      <w:r w:rsidR="00B13E0E">
        <w:rPr>
          <w:rFonts w:eastAsia="Times New Roman" w:cstheme="minorHAnsi"/>
          <w:color w:val="000000"/>
          <w:lang w:eastAsia="en-GB"/>
        </w:rPr>
        <w:t xml:space="preserve"> is 2.66</w:t>
      </w:r>
      <w:r w:rsidR="009403A6">
        <w:rPr>
          <w:rFonts w:eastAsia="Times New Roman" w:cstheme="minorHAnsi"/>
          <w:color w:val="000000"/>
          <w:lang w:eastAsia="en-GB"/>
        </w:rPr>
        <w:t xml:space="preserve"> </w:t>
      </w:r>
      <w:r w:rsidR="00B13E0E">
        <w:rPr>
          <w:rFonts w:eastAsia="Times New Roman" w:cstheme="minorHAnsi"/>
          <w:color w:val="000000"/>
          <w:lang w:eastAsia="en-GB"/>
        </w:rPr>
        <w:t>km</w:t>
      </w:r>
      <w:r w:rsidR="0002221E">
        <w:rPr>
          <w:rFonts w:eastAsia="Times New Roman" w:cstheme="minorHAnsi"/>
          <w:color w:val="000000"/>
          <w:lang w:eastAsia="en-GB"/>
        </w:rPr>
        <w:t>, compared with 3.55 km</w:t>
      </w:r>
      <w:r w:rsidR="00B13E0E">
        <w:rPr>
          <w:rFonts w:eastAsia="Times New Roman" w:cstheme="minorHAnsi"/>
          <w:color w:val="000000"/>
          <w:lang w:eastAsia="en-GB"/>
        </w:rPr>
        <w:t xml:space="preserve"> for a cr</w:t>
      </w:r>
      <w:r w:rsidR="00EC4E6B">
        <w:rPr>
          <w:rFonts w:eastAsia="Times New Roman" w:cstheme="minorHAnsi"/>
          <w:color w:val="000000"/>
          <w:lang w:eastAsia="en-GB"/>
        </w:rPr>
        <w:t>ust composed entirely of granitic material</w:t>
      </w:r>
      <w:r w:rsidR="00FC080E">
        <w:rPr>
          <w:rFonts w:eastAsia="Times New Roman" w:cstheme="minorHAnsi"/>
          <w:color w:val="000000"/>
          <w:lang w:eastAsia="en-GB"/>
        </w:rPr>
        <w:t xml:space="preserve">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g</m:t>
            </m:r>
          </m:sub>
        </m:sSub>
      </m:oMath>
      <w:r w:rsidR="00FC080E">
        <w:rPr>
          <w:rFonts w:eastAsia="Times New Roman" w:cstheme="minorHAnsi"/>
          <w:color w:val="000000"/>
          <w:lang w:eastAsia="en-GB"/>
        </w:rPr>
        <w:t>)</w:t>
      </w:r>
      <w:r w:rsidR="00B13E0E">
        <w:rPr>
          <w:rFonts w:eastAsia="Times New Roman" w:cstheme="minorHAnsi"/>
          <w:color w:val="000000"/>
          <w:lang w:eastAsia="en-GB"/>
        </w:rPr>
        <w:t xml:space="preserve">. </w:t>
      </w:r>
      <w:r w:rsidR="00151E5C">
        <w:rPr>
          <w:rFonts w:eastAsia="Times New Roman" w:cstheme="minorHAnsi"/>
          <w:color w:val="000000"/>
          <w:lang w:eastAsia="en-GB"/>
        </w:rPr>
        <w:t xml:space="preserve">The mass of overburden lost when lower density lithosphere is thinned is less than that lost when higher density lithosphere is thinned, providing the magnitude of thinning is the same. Therefore, the volume of </w:t>
      </w:r>
      <w:proofErr w:type="spellStart"/>
      <w:r w:rsidR="00151E5C">
        <w:rPr>
          <w:rFonts w:eastAsia="Times New Roman" w:cstheme="minorHAnsi"/>
          <w:color w:val="000000"/>
          <w:lang w:eastAsia="en-GB"/>
        </w:rPr>
        <w:t>isostatically</w:t>
      </w:r>
      <w:proofErr w:type="spellEnd"/>
      <w:r w:rsidR="00151E5C">
        <w:rPr>
          <w:rFonts w:eastAsia="Times New Roman" w:cstheme="minorHAnsi"/>
          <w:color w:val="000000"/>
          <w:lang w:eastAsia="en-GB"/>
        </w:rPr>
        <w:t xml:space="preserve"> compensating asthenosphere is less for lower density thinned crust and net subsidence is actually greater.</w:t>
      </w:r>
    </w:p>
    <w:p w14:paraId="6617A09C" w14:textId="5E1BBD62" w:rsidR="00B13E0E" w:rsidRDefault="00B13E0E" w:rsidP="009E071D">
      <w:pPr>
        <w:spacing w:after="0" w:line="360" w:lineRule="auto"/>
        <w:ind w:firstLine="720"/>
        <w:textAlignment w:val="baseline"/>
        <w:rPr>
          <w:rFonts w:eastAsia="Times New Roman" w:cstheme="minorHAnsi"/>
          <w:color w:val="000000"/>
          <w:lang w:eastAsia="en-GB"/>
        </w:rPr>
      </w:pPr>
      <w:r>
        <w:rPr>
          <w:rFonts w:eastAsia="Times New Roman" w:cstheme="minorHAnsi"/>
          <w:color w:val="000000"/>
          <w:lang w:eastAsia="en-GB"/>
        </w:rPr>
        <w:lastRenderedPageBreak/>
        <w:t>An alteration in overall bulk crustal density</w:t>
      </w:r>
      <w:r w:rsidR="00EA4E09">
        <w:rPr>
          <w:rFonts w:eastAsia="Times New Roman" w:cstheme="minorHAnsi"/>
          <w:color w:val="000000"/>
          <w:lang w:eastAsia="en-GB"/>
        </w:rPr>
        <w:t>,</w:t>
      </w:r>
      <w:r>
        <w:rPr>
          <w:rFonts w:eastAsia="Times New Roman" w:cstheme="minorHAnsi"/>
          <w:color w:val="000000"/>
          <w:lang w:eastAsia="en-GB"/>
        </w:rPr>
        <w:t xml:space="preserve"> however</w:t>
      </w:r>
      <w:r w:rsidR="00EA4E09">
        <w:rPr>
          <w:rFonts w:eastAsia="Times New Roman" w:cstheme="minorHAnsi"/>
          <w:color w:val="000000"/>
          <w:lang w:eastAsia="en-GB"/>
        </w:rPr>
        <w:t>,</w:t>
      </w:r>
      <w:r>
        <w:rPr>
          <w:rFonts w:eastAsia="Times New Roman" w:cstheme="minorHAnsi"/>
          <w:color w:val="000000"/>
          <w:lang w:eastAsia="en-GB"/>
        </w:rPr>
        <w:t xml:space="preserve"> causes a separate isostatic adjustment</w:t>
      </w:r>
      <w:r w:rsidR="00AA5360">
        <w:rPr>
          <w:rFonts w:eastAsia="Times New Roman" w:cstheme="minorHAnsi"/>
          <w:color w:val="000000"/>
          <w:lang w:eastAsia="en-GB"/>
        </w:rPr>
        <w:t xml:space="preserve"> (Fig. 2)</w:t>
      </w:r>
      <w:r>
        <w:rPr>
          <w:rFonts w:eastAsia="Times New Roman" w:cstheme="minorHAnsi"/>
          <w:color w:val="000000"/>
          <w:lang w:eastAsia="en-GB"/>
        </w:rPr>
        <w:t>. In the case of density deficiency due to granite em</w:t>
      </w:r>
      <w:r w:rsidR="00182431">
        <w:rPr>
          <w:rFonts w:eastAsia="Times New Roman" w:cstheme="minorHAnsi"/>
          <w:color w:val="000000"/>
          <w:lang w:eastAsia="en-GB"/>
        </w:rPr>
        <w:t xml:space="preserve">placement, this implies uplift. </w:t>
      </w:r>
      <w:r>
        <w:rPr>
          <w:rFonts w:eastAsia="Times New Roman" w:cstheme="minorHAnsi"/>
          <w:color w:val="000000"/>
          <w:lang w:eastAsia="en-GB"/>
        </w:rPr>
        <w:t>When the complete substitution of crustal rock with a granite body of the same volume is assumed</w:t>
      </w:r>
      <w:r w:rsidR="00977372">
        <w:rPr>
          <w:rFonts w:eastAsia="Times New Roman" w:cstheme="minorHAnsi"/>
          <w:color w:val="000000"/>
          <w:lang w:eastAsia="en-GB"/>
        </w:rPr>
        <w:t xml:space="preserve"> (rather than addition to the crust)</w:t>
      </w:r>
      <w:r>
        <w:rPr>
          <w:rFonts w:eastAsia="Times New Roman" w:cstheme="minorHAnsi"/>
          <w:color w:val="000000"/>
          <w:lang w:eastAsia="en-GB"/>
        </w:rPr>
        <w:t xml:space="preserve">, </w:t>
      </w:r>
      <w:r w:rsidR="00C86E38">
        <w:rPr>
          <w:rFonts w:eastAsia="Times New Roman" w:cstheme="minorHAnsi"/>
          <w:color w:val="000000"/>
          <w:lang w:eastAsia="en-GB"/>
        </w:rPr>
        <w:t xml:space="preserve">the uplift, IR, </w:t>
      </w:r>
      <w:r>
        <w:rPr>
          <w:rFonts w:eastAsia="Times New Roman" w:cstheme="minorHAnsi"/>
          <w:color w:val="000000"/>
          <w:lang w:eastAsia="en-GB"/>
        </w:rPr>
        <w:t>can be given by:</w:t>
      </w:r>
    </w:p>
    <w:p w14:paraId="33796A19" w14:textId="77777777" w:rsidR="00B13E0E" w:rsidRDefault="00B13E0E" w:rsidP="009E071D">
      <w:pPr>
        <w:spacing w:after="0" w:line="360" w:lineRule="auto"/>
        <w:jc w:val="center"/>
        <w:textAlignment w:val="baseline"/>
        <w:rPr>
          <w:rFonts w:eastAsia="Times New Roman" w:cstheme="minorHAnsi"/>
          <w:color w:val="000000"/>
          <w:lang w:eastAsia="en-GB"/>
        </w:rPr>
      </w:pPr>
      <m:oMathPara>
        <m:oMath>
          <m:r>
            <w:rPr>
              <w:rFonts w:ascii="Cambria Math" w:eastAsia="Times New Roman" w:hAnsi="Cambria Math" w:cstheme="minorHAnsi"/>
              <w:color w:val="000000"/>
              <w:lang w:eastAsia="en-GB"/>
            </w:rPr>
            <m:t>IR=</m:t>
          </m:r>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GR</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r>
                <w:rPr>
                  <w:rFonts w:ascii="Cambria Math" w:eastAsia="Times New Roman" w:hAnsi="Cambria Math" w:cstheme="minorHAnsi"/>
                  <w:color w:val="000000"/>
                  <w:lang w:eastAsia="en-GB"/>
                </w:rPr>
                <m:t>-</m:t>
              </m:r>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g</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oMath>
      </m:oMathPara>
    </w:p>
    <w:p w14:paraId="53E80A5C" w14:textId="77777777" w:rsidR="00B13E0E" w:rsidRDefault="00B13E0E" w:rsidP="009E071D">
      <w:pPr>
        <w:spacing w:after="0" w:line="360" w:lineRule="auto"/>
        <w:jc w:val="center"/>
        <w:textAlignment w:val="baseline"/>
        <w:rPr>
          <w:rFonts w:eastAsia="Times New Roman" w:cstheme="minorHAnsi"/>
          <w:color w:val="000000"/>
          <w:lang w:eastAsia="en-GB"/>
        </w:rPr>
      </w:pPr>
      <w:r>
        <w:rPr>
          <w:rFonts w:eastAsia="Times New Roman" w:cstheme="minorHAnsi"/>
          <w:color w:val="000000"/>
          <w:lang w:eastAsia="en-GB"/>
        </w:rPr>
        <w:t>2.5</w:t>
      </w:r>
    </w:p>
    <w:p w14:paraId="07E25DFE" w14:textId="644652B9" w:rsidR="00B13E0E" w:rsidRDefault="00B13E0E" w:rsidP="009E071D">
      <w:pPr>
        <w:spacing w:after="0" w:line="360" w:lineRule="auto"/>
        <w:ind w:firstLine="720"/>
        <w:textAlignment w:val="baseline"/>
        <w:rPr>
          <w:rFonts w:eastAsia="Times New Roman" w:cstheme="minorHAnsi"/>
          <w:color w:val="000000"/>
          <w:lang w:eastAsia="en-GB"/>
        </w:rPr>
      </w:pPr>
      <w:r w:rsidRPr="00A06618">
        <w:rPr>
          <w:rFonts w:eastAsia="Times New Roman" w:cstheme="minorHAnsi"/>
          <w:color w:val="000000"/>
          <w:lang w:eastAsia="en-GB"/>
        </w:rPr>
        <w:t>Examples of the isostatic responses to magmatic emplacement are common (</w:t>
      </w:r>
      <w:r w:rsidRPr="00A3529C">
        <w:rPr>
          <w:rFonts w:eastAsia="Times New Roman" w:cstheme="minorHAnsi"/>
          <w:color w:val="000000"/>
          <w:lang w:eastAsia="en-GB"/>
        </w:rPr>
        <w:t>e</w:t>
      </w:r>
      <w:r w:rsidR="00B05165">
        <w:rPr>
          <w:rFonts w:eastAsia="Times New Roman" w:cstheme="minorHAnsi"/>
          <w:color w:val="000000"/>
          <w:lang w:eastAsia="en-GB"/>
        </w:rPr>
        <w:t>.</w:t>
      </w:r>
      <w:r w:rsidRPr="00A3529C">
        <w:rPr>
          <w:rFonts w:eastAsia="Times New Roman" w:cstheme="minorHAnsi"/>
          <w:color w:val="000000"/>
          <w:lang w:eastAsia="en-GB"/>
        </w:rPr>
        <w:t xml:space="preserve">g. Brodie and White, 1994; </w:t>
      </w:r>
      <w:proofErr w:type="spellStart"/>
      <w:r w:rsidRPr="00A3529C">
        <w:t>Maclennan</w:t>
      </w:r>
      <w:proofErr w:type="spellEnd"/>
      <w:r w:rsidRPr="00A3529C">
        <w:t xml:space="preserve"> and Lovell, 2002</w:t>
      </w:r>
      <w:r w:rsidRPr="00A06618">
        <w:rPr>
          <w:rFonts w:eastAsia="Times New Roman" w:cstheme="minorHAnsi"/>
          <w:color w:val="000000"/>
          <w:lang w:eastAsia="en-GB"/>
        </w:rPr>
        <w:t xml:space="preserve">). Where granite bodies have been inferred </w:t>
      </w:r>
      <w:proofErr w:type="gramStart"/>
      <w:r w:rsidRPr="00A06618">
        <w:rPr>
          <w:rFonts w:eastAsia="Times New Roman" w:cstheme="minorHAnsi"/>
          <w:color w:val="000000"/>
          <w:lang w:eastAsia="en-GB"/>
        </w:rPr>
        <w:t>on the basis of</w:t>
      </w:r>
      <w:proofErr w:type="gramEnd"/>
      <w:r w:rsidRPr="00A06618">
        <w:rPr>
          <w:rFonts w:eastAsia="Times New Roman" w:cstheme="minorHAnsi"/>
          <w:color w:val="000000"/>
          <w:lang w:eastAsia="en-GB"/>
        </w:rPr>
        <w:t xml:space="preserve"> gravity anomalies, the defici</w:t>
      </w:r>
      <w:r>
        <w:rPr>
          <w:rFonts w:eastAsia="Times New Roman" w:cstheme="minorHAnsi"/>
          <w:color w:val="000000"/>
          <w:lang w:eastAsia="en-GB"/>
        </w:rPr>
        <w:t>ency in the gravitational field</w:t>
      </w:r>
      <w:r w:rsidR="00797E19">
        <w:rPr>
          <w:rFonts w:eastAsia="Times New Roman" w:cstheme="minorHAnsi"/>
          <w:color w:val="000000"/>
          <w:lang w:eastAsia="en-GB"/>
        </w:rPr>
        <w:t xml:space="preserve"> </w:t>
      </w:r>
      <w:r>
        <w:rPr>
          <w:rFonts w:eastAsia="Times New Roman" w:cstheme="minorHAnsi"/>
          <w:color w:val="000000"/>
          <w:lang w:eastAsia="en-GB"/>
        </w:rPr>
        <w:t>compared with background values</w:t>
      </w:r>
      <w:r w:rsidRPr="00A06618">
        <w:rPr>
          <w:rFonts w:eastAsia="Times New Roman" w:cstheme="minorHAnsi"/>
          <w:color w:val="000000"/>
          <w:lang w:eastAsia="en-GB"/>
        </w:rPr>
        <w:t xml:space="preserve"> has been </w:t>
      </w:r>
      <w:r>
        <w:rPr>
          <w:rFonts w:eastAsia="Times New Roman" w:cstheme="minorHAnsi"/>
          <w:color w:val="000000"/>
          <w:lang w:eastAsia="en-GB"/>
        </w:rPr>
        <w:t>used to calculate</w:t>
      </w:r>
      <w:r w:rsidR="00797E19">
        <w:rPr>
          <w:rFonts w:eastAsia="Times New Roman" w:cstheme="minorHAnsi"/>
          <w:color w:val="000000"/>
          <w:lang w:eastAsia="en-GB"/>
        </w:rPr>
        <w:t xml:space="preserve"> </w:t>
      </w:r>
      <w:r>
        <w:rPr>
          <w:rFonts w:eastAsia="Times New Roman" w:cstheme="minorHAnsi"/>
          <w:color w:val="000000"/>
          <w:lang w:eastAsia="en-GB"/>
        </w:rPr>
        <w:t xml:space="preserve">localised </w:t>
      </w:r>
      <w:r w:rsidRPr="00A06618">
        <w:rPr>
          <w:rFonts w:eastAsia="Times New Roman" w:cstheme="minorHAnsi"/>
          <w:color w:val="000000"/>
          <w:lang w:eastAsia="en-GB"/>
        </w:rPr>
        <w:t>isostatic rebound (</w:t>
      </w:r>
      <w:r w:rsidRPr="00A3529C">
        <w:rPr>
          <w:rFonts w:eastAsia="Times New Roman" w:cstheme="minorHAnsi"/>
          <w:color w:val="000000"/>
          <w:lang w:eastAsia="en-GB"/>
        </w:rPr>
        <w:t>e</w:t>
      </w:r>
      <w:r w:rsidR="00896FD3">
        <w:rPr>
          <w:rFonts w:eastAsia="Times New Roman" w:cstheme="minorHAnsi"/>
          <w:color w:val="000000"/>
          <w:lang w:eastAsia="en-GB"/>
        </w:rPr>
        <w:t>.</w:t>
      </w:r>
      <w:r w:rsidRPr="00A3529C">
        <w:rPr>
          <w:rFonts w:eastAsia="Times New Roman" w:cstheme="minorHAnsi"/>
          <w:color w:val="000000"/>
          <w:lang w:eastAsia="en-GB"/>
        </w:rPr>
        <w:t>g. Donato et al., 1983</w:t>
      </w:r>
      <w:r w:rsidRPr="00A06618">
        <w:rPr>
          <w:rFonts w:eastAsia="Times New Roman" w:cstheme="minorHAnsi"/>
          <w:color w:val="000000"/>
          <w:lang w:eastAsia="en-GB"/>
        </w:rPr>
        <w:t>). Nonetheless, fully integrated numerical modelling of the influences of granite induced crustal heterogeneities on lithosphere</w:t>
      </w:r>
      <w:r w:rsidR="00EC4E6B">
        <w:rPr>
          <w:rFonts w:eastAsia="Times New Roman" w:cstheme="minorHAnsi"/>
          <w:color w:val="000000"/>
          <w:lang w:eastAsia="en-GB"/>
        </w:rPr>
        <w:t xml:space="preserve"> behaviour</w:t>
      </w:r>
      <w:r w:rsidRPr="00A06618">
        <w:rPr>
          <w:rFonts w:eastAsia="Times New Roman" w:cstheme="minorHAnsi"/>
          <w:color w:val="000000"/>
          <w:lang w:eastAsia="en-GB"/>
        </w:rPr>
        <w:t xml:space="preserve"> and</w:t>
      </w:r>
      <w:r w:rsidR="00EC4E6B">
        <w:rPr>
          <w:rFonts w:eastAsia="Times New Roman" w:cstheme="minorHAnsi"/>
          <w:color w:val="000000"/>
          <w:lang w:eastAsia="en-GB"/>
        </w:rPr>
        <w:t xml:space="preserve"> any resultant</w:t>
      </w:r>
      <w:r w:rsidRPr="00A06618">
        <w:rPr>
          <w:rFonts w:eastAsia="Times New Roman" w:cstheme="minorHAnsi"/>
          <w:color w:val="000000"/>
          <w:lang w:eastAsia="en-GB"/>
        </w:rPr>
        <w:t xml:space="preserve"> basin architecture are lacking</w:t>
      </w:r>
      <w:r w:rsidR="00E50C38">
        <w:rPr>
          <w:rFonts w:eastAsia="Times New Roman" w:cstheme="minorHAnsi"/>
          <w:color w:val="000000"/>
          <w:lang w:eastAsia="en-GB"/>
        </w:rPr>
        <w:t>.</w:t>
      </w:r>
    </w:p>
    <w:p w14:paraId="123C8256" w14:textId="77777777" w:rsidR="00B13E0E" w:rsidRDefault="00B13E0E" w:rsidP="009E071D">
      <w:pPr>
        <w:pStyle w:val="Heading1"/>
        <w:spacing w:line="360" w:lineRule="auto"/>
      </w:pPr>
      <w:r>
        <w:t xml:space="preserve">3.0 </w:t>
      </w:r>
      <w:r w:rsidR="00094CF7">
        <w:t>A r</w:t>
      </w:r>
      <w:r>
        <w:t>evised 1D model</w:t>
      </w:r>
      <w:r w:rsidR="000A1EC6">
        <w:t xml:space="preserve"> of lithospheric</w:t>
      </w:r>
      <w:r w:rsidR="00A90F7F">
        <w:t xml:space="preserve"> ex</w:t>
      </w:r>
      <w:r w:rsidR="0046525D">
        <w:t>tension and granite emplacement</w:t>
      </w:r>
    </w:p>
    <w:p w14:paraId="3660E566" w14:textId="2347AA9A" w:rsidR="00B13E0E" w:rsidRPr="00E74D98" w:rsidRDefault="00B13E0E" w:rsidP="009E071D">
      <w:pPr>
        <w:spacing w:line="360" w:lineRule="auto"/>
      </w:pPr>
      <w:r>
        <w:tab/>
      </w:r>
      <w:r w:rsidR="003233E9">
        <w:t>T</w:t>
      </w:r>
      <w:r w:rsidR="004E48B2">
        <w:t xml:space="preserve">his section describes a </w:t>
      </w:r>
      <w:r>
        <w:t>1D model</w:t>
      </w:r>
      <w:r w:rsidR="004E48B2">
        <w:t>ling approach, assuming local isostasy (</w:t>
      </w:r>
      <w:r w:rsidR="004E48B2" w:rsidRPr="00DA611B">
        <w:t>e</w:t>
      </w:r>
      <w:r w:rsidR="00DE74F9">
        <w:t>.</w:t>
      </w:r>
      <w:r w:rsidR="004E48B2" w:rsidRPr="00DA611B">
        <w:t>g. Airy, 1855; Pratt, 1858</w:t>
      </w:r>
      <w:r w:rsidR="00F117EC">
        <w:t>),</w:t>
      </w:r>
      <w:r w:rsidR="008D4AC0">
        <w:t xml:space="preserve"> </w:t>
      </w:r>
      <w:r w:rsidR="004E48B2">
        <w:t xml:space="preserve">in order to provide </w:t>
      </w:r>
      <w:r>
        <w:t>useful approximations for subsidence behaviour</w:t>
      </w:r>
      <w:r w:rsidR="004E48B2">
        <w:t xml:space="preserve"> in response to extensional tectonics</w:t>
      </w:r>
      <w:r>
        <w:t xml:space="preserve"> (</w:t>
      </w:r>
      <w:r w:rsidRPr="00DA611B">
        <w:t>e</w:t>
      </w:r>
      <w:r w:rsidR="00E50C38">
        <w:t>.</w:t>
      </w:r>
      <w:r w:rsidRPr="00DA611B">
        <w:t>g. McKenzie, 1978</w:t>
      </w:r>
      <w:r>
        <w:t xml:space="preserve">). </w:t>
      </w:r>
      <w:r w:rsidR="004E48B2">
        <w:t xml:space="preserve">Readers should </w:t>
      </w:r>
      <w:r>
        <w:t xml:space="preserve">refer to table </w:t>
      </w:r>
      <w:proofErr w:type="gramStart"/>
      <w:r>
        <w:t>2</w:t>
      </w:r>
      <w:proofErr w:type="gramEnd"/>
      <w:r>
        <w:t xml:space="preserve"> for </w:t>
      </w:r>
      <w:r w:rsidR="004E48B2">
        <w:t xml:space="preserve">a summary of </w:t>
      </w:r>
      <w:r>
        <w:t>model</w:t>
      </w:r>
      <w:r w:rsidR="00857551">
        <w:t xml:space="preserve"> parameters.</w:t>
      </w:r>
    </w:p>
    <w:p w14:paraId="3E4D50D2" w14:textId="77777777" w:rsidR="00B13E0E" w:rsidRDefault="00B13E0E" w:rsidP="009E071D">
      <w:pPr>
        <w:pStyle w:val="Heading3"/>
        <w:spacing w:line="360" w:lineRule="auto"/>
      </w:pPr>
      <w:r w:rsidRPr="004559DF">
        <w:t xml:space="preserve">3.1 </w:t>
      </w:r>
      <w:r w:rsidR="00EC6A96">
        <w:t>Numerical replication of g</w:t>
      </w:r>
      <w:r>
        <w:t>ranite emplacement</w:t>
      </w:r>
    </w:p>
    <w:p w14:paraId="37226F2B" w14:textId="2A090451" w:rsidR="00B13E0E" w:rsidRDefault="00B13E0E" w:rsidP="009E071D">
      <w:pPr>
        <w:spacing w:line="360" w:lineRule="auto"/>
        <w:ind w:firstLine="720"/>
      </w:pPr>
      <w:r>
        <w:t>Replicating granitic emplacement in order to quantify isostatic uplift can be performed in a number of ways. Equation 2.5 assumes the complete substitution of crustal rock with less dense granitic rock and no thermal expansion (</w:t>
      </w:r>
      <w:r w:rsidRPr="00A3529C">
        <w:t>e</w:t>
      </w:r>
      <w:r w:rsidR="00E50C38">
        <w:t>.</w:t>
      </w:r>
      <w:r w:rsidRPr="00A3529C">
        <w:t>g. Donato et al</w:t>
      </w:r>
      <w:r w:rsidR="00B27BD6">
        <w:t>., 1983</w:t>
      </w:r>
      <w:r>
        <w:t xml:space="preserve">). However, a more accurate portrayal of isostatic uplift due to magmatic emplacement is perhaps achieved by the </w:t>
      </w:r>
      <w:r w:rsidRPr="005255AB">
        <w:rPr>
          <w:i/>
        </w:rPr>
        <w:t>addition</w:t>
      </w:r>
      <w:r>
        <w:t xml:space="preserve"> of less dense material to the crust; an approach </w:t>
      </w:r>
      <w:r w:rsidR="00F670E4">
        <w:t xml:space="preserve">that is </w:t>
      </w:r>
      <w:r>
        <w:t>simila</w:t>
      </w:r>
      <w:r w:rsidR="00F670E4">
        <w:t>r to that</w:t>
      </w:r>
      <w:r>
        <w:t xml:space="preserve"> adopted in the numerical modelling of magmatic </w:t>
      </w:r>
      <w:proofErr w:type="spellStart"/>
      <w:r>
        <w:t>underplating</w:t>
      </w:r>
      <w:proofErr w:type="spellEnd"/>
      <w:r>
        <w:t xml:space="preserve"> (e</w:t>
      </w:r>
      <w:r w:rsidR="00E50C38">
        <w:t>.</w:t>
      </w:r>
      <w:r>
        <w:t xml:space="preserve">g. </w:t>
      </w:r>
      <w:proofErr w:type="spellStart"/>
      <w:r w:rsidR="004302D5">
        <w:t>Maclennan</w:t>
      </w:r>
      <w:proofErr w:type="spellEnd"/>
      <w:r w:rsidR="004302D5">
        <w:t xml:space="preserve"> </w:t>
      </w:r>
      <w:r>
        <w:t>and Lovell, 2002):</w:t>
      </w:r>
    </w:p>
    <w:p w14:paraId="3F0F8728" w14:textId="77777777" w:rsidR="00B13E0E" w:rsidRDefault="00B13E0E" w:rsidP="009E071D">
      <w:pPr>
        <w:spacing w:line="360" w:lineRule="auto"/>
        <w:jc w:val="center"/>
        <w:rPr>
          <w:rFonts w:eastAsiaTheme="minorEastAsia"/>
          <w:color w:val="000000"/>
          <w:lang w:eastAsia="en-GB"/>
        </w:rPr>
      </w:pPr>
      <m:oMathPara>
        <m:oMath>
          <m:r>
            <w:rPr>
              <w:rFonts w:ascii="Cambria Math" w:eastAsia="Times New Roman" w:hAnsi="Cambria Math" w:cstheme="minorHAnsi"/>
              <w:color w:val="000000"/>
              <w:lang w:eastAsia="en-GB"/>
            </w:rPr>
            <m:t>IR=</m:t>
          </m:r>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GR</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GR</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r>
                <w:rPr>
                  <w:rFonts w:ascii="Cambria Math" w:eastAsia="Times New Roman" w:hAnsi="Cambria Math" w:cstheme="minorHAnsi"/>
                  <w:color w:val="000000"/>
                  <w:lang w:eastAsia="en-GB"/>
                </w:rPr>
                <m:t>-</m:t>
              </m:r>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g</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oMath>
      </m:oMathPara>
    </w:p>
    <w:p w14:paraId="51C0EEC2" w14:textId="77777777" w:rsidR="00B13E0E" w:rsidRDefault="00B13E0E" w:rsidP="009E071D">
      <w:pPr>
        <w:spacing w:line="360" w:lineRule="auto"/>
        <w:jc w:val="center"/>
        <w:rPr>
          <w:rFonts w:eastAsiaTheme="minorEastAsia"/>
          <w:color w:val="000000"/>
          <w:lang w:eastAsia="en-GB"/>
        </w:rPr>
      </w:pPr>
      <w:r>
        <w:rPr>
          <w:rFonts w:eastAsiaTheme="minorEastAsia"/>
          <w:color w:val="000000"/>
          <w:lang w:eastAsia="en-GB"/>
        </w:rPr>
        <w:t>3.1</w:t>
      </w:r>
    </w:p>
    <w:p w14:paraId="71947186" w14:textId="77777777" w:rsidR="00F87946" w:rsidRDefault="00B13E0E" w:rsidP="0049322B">
      <w:pPr>
        <w:spacing w:line="360" w:lineRule="auto"/>
        <w:rPr>
          <w:rFonts w:eastAsiaTheme="minorEastAsia"/>
          <w:color w:val="000000"/>
          <w:lang w:eastAsia="en-GB"/>
        </w:rPr>
      </w:pPr>
      <w:r>
        <w:rPr>
          <w:rFonts w:eastAsiaTheme="minorEastAsia"/>
          <w:color w:val="000000"/>
          <w:lang w:eastAsia="en-GB"/>
        </w:rPr>
        <w:tab/>
        <w:t xml:space="preserve">Both calculations </w:t>
      </w:r>
      <w:proofErr w:type="gramStart"/>
      <w:r w:rsidR="00E02BEB">
        <w:rPr>
          <w:rFonts w:eastAsiaTheme="minorEastAsia"/>
          <w:color w:val="000000"/>
          <w:lang w:eastAsia="en-GB"/>
        </w:rPr>
        <w:t>are approximations of</w:t>
      </w:r>
      <w:proofErr w:type="gramEnd"/>
      <w:r>
        <w:rPr>
          <w:rFonts w:eastAsiaTheme="minorEastAsia"/>
          <w:color w:val="000000"/>
          <w:lang w:eastAsia="en-GB"/>
        </w:rPr>
        <w:t xml:space="preserve"> the local isostatic adjustment </w:t>
      </w:r>
      <w:r w:rsidR="00977372">
        <w:rPr>
          <w:rFonts w:eastAsiaTheme="minorEastAsia"/>
          <w:color w:val="000000"/>
          <w:lang w:eastAsia="en-GB"/>
        </w:rPr>
        <w:t xml:space="preserve">to one of </w:t>
      </w:r>
      <w:r>
        <w:rPr>
          <w:rFonts w:eastAsiaTheme="minorEastAsia"/>
          <w:color w:val="000000"/>
          <w:lang w:eastAsia="en-GB"/>
        </w:rPr>
        <w:t>two simplified, end-member magmatic bodies; one derived entirely from partial melting of the crust (equation 2.5)</w:t>
      </w:r>
      <w:r w:rsidR="00F670E4">
        <w:rPr>
          <w:rFonts w:eastAsiaTheme="minorEastAsia"/>
          <w:color w:val="000000"/>
          <w:lang w:eastAsia="en-GB"/>
        </w:rPr>
        <w:t>,</w:t>
      </w:r>
      <w:r>
        <w:rPr>
          <w:rFonts w:eastAsiaTheme="minorEastAsia"/>
          <w:color w:val="000000"/>
          <w:lang w:eastAsia="en-GB"/>
        </w:rPr>
        <w:t xml:space="preserve"> and </w:t>
      </w:r>
      <w:r w:rsidR="00F670E4">
        <w:rPr>
          <w:rFonts w:eastAsiaTheme="minorEastAsia"/>
          <w:color w:val="000000"/>
          <w:lang w:eastAsia="en-GB"/>
        </w:rPr>
        <w:t xml:space="preserve">the </w:t>
      </w:r>
      <w:r>
        <w:rPr>
          <w:rFonts w:eastAsiaTheme="minorEastAsia"/>
          <w:color w:val="000000"/>
          <w:lang w:eastAsia="en-GB"/>
        </w:rPr>
        <w:t>other derived entirely from the mantle</w:t>
      </w:r>
      <w:r w:rsidR="008553B7">
        <w:rPr>
          <w:rFonts w:eastAsiaTheme="minorEastAsia"/>
          <w:color w:val="000000"/>
          <w:lang w:eastAsia="en-GB"/>
        </w:rPr>
        <w:t xml:space="preserve"> that eventually adds material to the </w:t>
      </w:r>
      <w:r w:rsidR="008553B7">
        <w:rPr>
          <w:rFonts w:eastAsiaTheme="minorEastAsia"/>
          <w:color w:val="000000"/>
          <w:lang w:eastAsia="en-GB"/>
        </w:rPr>
        <w:lastRenderedPageBreak/>
        <w:t>crust</w:t>
      </w:r>
      <w:r>
        <w:rPr>
          <w:rFonts w:eastAsiaTheme="minorEastAsia"/>
          <w:color w:val="000000"/>
          <w:lang w:eastAsia="en-GB"/>
        </w:rPr>
        <w:t xml:space="preserve"> (equation 3.1). </w:t>
      </w:r>
      <w:r w:rsidR="00F87946">
        <w:rPr>
          <w:rFonts w:eastAsiaTheme="minorEastAsia"/>
          <w:color w:val="000000"/>
          <w:lang w:eastAsia="en-GB"/>
        </w:rPr>
        <w:t>Unless there is a significant co</w:t>
      </w:r>
      <w:r w:rsidR="0049322B">
        <w:rPr>
          <w:rFonts w:eastAsiaTheme="minorEastAsia"/>
          <w:color w:val="000000"/>
          <w:lang w:eastAsia="en-GB"/>
        </w:rPr>
        <w:t>ntrast in the depth to the Moho, as is not the case in the studied offshore area surrounding northern England (</w:t>
      </w:r>
      <w:proofErr w:type="spellStart"/>
      <w:r w:rsidR="0049322B">
        <w:rPr>
          <w:rFonts w:eastAsiaTheme="minorEastAsia"/>
          <w:color w:val="000000"/>
          <w:lang w:eastAsia="en-GB"/>
        </w:rPr>
        <w:t>Soper</w:t>
      </w:r>
      <w:proofErr w:type="spellEnd"/>
      <w:r w:rsidR="0049322B">
        <w:rPr>
          <w:rFonts w:eastAsiaTheme="minorEastAsia"/>
          <w:color w:val="000000"/>
          <w:lang w:eastAsia="en-GB"/>
        </w:rPr>
        <w:t xml:space="preserve"> et al., 1992),</w:t>
      </w:r>
      <w:r w:rsidR="00F87946">
        <w:rPr>
          <w:rFonts w:eastAsiaTheme="minorEastAsia"/>
          <w:color w:val="000000"/>
          <w:lang w:eastAsia="en-GB"/>
        </w:rPr>
        <w:t xml:space="preserve"> then re-calculating the bulk density of the crust assuming total substitution of crustal material with granitic material (equation 2.5) is deemed more appropriate. </w:t>
      </w:r>
      <w:r w:rsidR="0049322B" w:rsidRPr="0049322B">
        <w:rPr>
          <w:rFonts w:eastAsiaTheme="minorEastAsia"/>
          <w:color w:val="000000"/>
          <w:lang w:eastAsia="en-GB"/>
        </w:rPr>
        <w:t>Although the melting of crustal material along with the assumptions of retention of volume combined with an alteration in density is unfeasible, it offers a justifiable simplification of a far more complex process.</w:t>
      </w:r>
    </w:p>
    <w:p w14:paraId="66D414D8" w14:textId="4D4EBDF6" w:rsidR="00480C32" w:rsidRPr="00480C32" w:rsidRDefault="00480C32" w:rsidP="009E071D">
      <w:pPr>
        <w:spacing w:line="360" w:lineRule="auto"/>
      </w:pPr>
      <w:r>
        <w:tab/>
        <w:t xml:space="preserve">The emplacement of large granite bodies is associated with significant thermal perturbations. These may be in response </w:t>
      </w:r>
      <w:r w:rsidR="00F670E4">
        <w:t xml:space="preserve">to </w:t>
      </w:r>
      <w:r>
        <w:t xml:space="preserve">the initial upwelling of hot magma, </w:t>
      </w:r>
      <w:r w:rsidR="00F670E4">
        <w:t xml:space="preserve">to </w:t>
      </w:r>
      <w:r>
        <w:t>the isostatic compensation of the hotter asthenosphere</w:t>
      </w:r>
      <w:r w:rsidR="00F670E4">
        <w:t>,</w:t>
      </w:r>
      <w:r>
        <w:t xml:space="preserve"> or </w:t>
      </w:r>
      <w:r w:rsidR="00977372">
        <w:t xml:space="preserve">to </w:t>
      </w:r>
      <w:r>
        <w:t xml:space="preserve">the elevated radiogenic heat production associated with </w:t>
      </w:r>
      <w:r w:rsidR="00977372">
        <w:t xml:space="preserve">the resulting </w:t>
      </w:r>
      <w:r>
        <w:t xml:space="preserve">granite. However, </w:t>
      </w:r>
      <w:r w:rsidR="004F7F45">
        <w:t>our</w:t>
      </w:r>
      <w:r w:rsidR="00797E19">
        <w:t xml:space="preserve"> </w:t>
      </w:r>
      <w:r w:rsidR="004F7F45">
        <w:t xml:space="preserve">one-dimensional </w:t>
      </w:r>
      <w:r>
        <w:t xml:space="preserve">model </w:t>
      </w:r>
      <w:r w:rsidR="00977372">
        <w:t>assumes</w:t>
      </w:r>
      <w:r w:rsidR="00797E19">
        <w:t xml:space="preserve"> </w:t>
      </w:r>
      <w:r>
        <w:t xml:space="preserve">no thermal fluctuations </w:t>
      </w:r>
      <w:r w:rsidR="00977372">
        <w:t xml:space="preserve">are </w:t>
      </w:r>
      <w:r>
        <w:t>associated with the granite</w:t>
      </w:r>
      <w:r w:rsidR="00977372">
        <w:t xml:space="preserve"> pluton(s)</w:t>
      </w:r>
      <w:r>
        <w:t>. Essentially, the effects of a thermally re-equilibrated</w:t>
      </w:r>
      <w:r w:rsidR="00797E19">
        <w:t xml:space="preserve"> </w:t>
      </w:r>
      <w:r>
        <w:t>granite</w:t>
      </w:r>
      <w:r w:rsidR="00C148D3">
        <w:t xml:space="preserve"> body</w:t>
      </w:r>
      <w:r>
        <w:t xml:space="preserve"> are modelled. Changes in the elevation of the lithosphere-asthenosphere boundary, due to isostatic adjustment, are transient and not permanent (McKenzie, 1978), so to replicate a thermally re-equilibrated lithosphere profile, the thickness of the entire lithosphere (i</w:t>
      </w:r>
      <w:r w:rsidR="00977372">
        <w:t>.</w:t>
      </w:r>
      <w:r>
        <w:t>e. the sum of crustal and mantle lithosphere) is adjusted. This can be accounted for by adding the calculated isostatic rebound (</w:t>
      </w:r>
      <w:r w:rsidR="000A1EC6">
        <w:t>equation 2.5) to the lithospheric</w:t>
      </w:r>
      <w:r>
        <w:t xml:space="preserve"> thickness value:</w:t>
      </w:r>
    </w:p>
    <w:p w14:paraId="71308359" w14:textId="77777777" w:rsidR="00B13E0E" w:rsidRDefault="00E27D3D" w:rsidP="009E071D">
      <w:pPr>
        <w:spacing w:line="360" w:lineRule="auto"/>
        <w:jc w:val="center"/>
      </w:pPr>
      <m:oMathPara>
        <m:oMath>
          <m:sSub>
            <m:sSubPr>
              <m:ctrlPr>
                <w:rPr>
                  <w:rFonts w:ascii="Cambria Math" w:hAnsi="Cambria Math"/>
                  <w:i/>
                </w:rPr>
              </m:ctrlPr>
            </m:sSubPr>
            <m:e>
              <m:r>
                <w:rPr>
                  <w:rFonts w:ascii="Cambria Math" w:hAnsi="Cambria Math"/>
                </w:rPr>
                <m:t>A</m:t>
              </m:r>
            </m:e>
            <m:sub>
              <m:r>
                <w:rPr>
                  <w:rFonts w:ascii="Cambria Math" w:hAnsi="Cambria Math"/>
                </w:rPr>
                <m:t>og</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GR</m:t>
              </m:r>
            </m:e>
            <m:sub>
              <m:r>
                <w:rPr>
                  <w:rFonts w:ascii="Cambria Math" w:hAnsi="Cambria Math"/>
                </w:rPr>
                <m:t>o</m:t>
              </m:r>
            </m:sub>
          </m:sSub>
          <m:r>
            <w:rPr>
              <w:rFonts w:ascii="Cambria Math" w:hAnsi="Cambria Math"/>
            </w:rPr>
            <m:t>×</m:t>
          </m:r>
          <m:f>
            <m:fPr>
              <m:ctrlPr>
                <w:rPr>
                  <w:rFonts w:ascii="Cambria Math" w:hAnsi="Cambria Math"/>
                  <w:i/>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r>
                <w:rPr>
                  <w:rFonts w:ascii="Cambria Math" w:eastAsia="Times New Roman" w:hAnsi="Cambria Math" w:cstheme="minorHAnsi"/>
                  <w:color w:val="000000"/>
                  <w:lang w:eastAsia="en-GB"/>
                </w:rPr>
                <m:t>-</m:t>
              </m:r>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g</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oMath>
      </m:oMathPara>
    </w:p>
    <w:p w14:paraId="6D2BE836" w14:textId="77777777" w:rsidR="00B13E0E" w:rsidRDefault="00B13E0E" w:rsidP="009E071D">
      <w:pPr>
        <w:spacing w:line="360" w:lineRule="auto"/>
        <w:jc w:val="center"/>
      </w:pPr>
      <w:r>
        <w:t>3.2</w:t>
      </w:r>
    </w:p>
    <w:p w14:paraId="48785BA0" w14:textId="77777777" w:rsidR="00B13E0E" w:rsidRDefault="00B13E0E" w:rsidP="009E071D">
      <w:pPr>
        <w:pStyle w:val="Heading3"/>
        <w:spacing w:line="360" w:lineRule="auto"/>
      </w:pPr>
      <w:r>
        <w:t xml:space="preserve">3.2 </w:t>
      </w:r>
      <w:r w:rsidR="00EC6A96">
        <w:t>Numerical replication of l</w:t>
      </w:r>
      <w:r>
        <w:t>ithospher</w:t>
      </w:r>
      <w:r w:rsidR="000A1EC6">
        <w:t>ic</w:t>
      </w:r>
      <w:r>
        <w:t xml:space="preserve"> extension</w:t>
      </w:r>
    </w:p>
    <w:p w14:paraId="4C5FD447" w14:textId="3E9B4F4E" w:rsidR="00B13E0E" w:rsidRDefault="00B13E0E" w:rsidP="009E071D">
      <w:pPr>
        <w:spacing w:line="360" w:lineRule="auto"/>
        <w:ind w:firstLine="720"/>
        <w:rPr>
          <w:rFonts w:eastAsiaTheme="minorEastAsia"/>
          <w:color w:val="000000"/>
          <w:lang w:eastAsia="en-GB"/>
        </w:rPr>
      </w:pPr>
      <w:r w:rsidRPr="00DC5CCA">
        <w:t xml:space="preserve">If </w:t>
      </w:r>
      <w:r w:rsidR="00B24D91">
        <w:t>uniform</w:t>
      </w:r>
      <w:r w:rsidR="000A1EC6">
        <w:t xml:space="preserve"> lithospheric</w:t>
      </w:r>
      <w:r w:rsidR="002D63EE">
        <w:t xml:space="preserve"> extension solely via</w:t>
      </w:r>
      <w:r w:rsidR="00797E19">
        <w:t xml:space="preserve"> </w:t>
      </w:r>
      <w:r w:rsidRPr="00DC5CCA">
        <w:t>pure shear</w:t>
      </w:r>
      <w:r w:rsidR="00797E19">
        <w:t xml:space="preserve"> </w:t>
      </w:r>
      <w:r>
        <w:t>is assumed, the original height</w:t>
      </w:r>
      <w:r w:rsidR="00CE3A25">
        <w:t xml:space="preserve"> </w:t>
      </w:r>
      <w:r w:rsidRPr="00DC5CCA">
        <w:rPr>
          <w:rFonts w:eastAsiaTheme="minorEastAsia"/>
          <w:color w:val="000000"/>
          <w:lang w:eastAsia="en-GB"/>
        </w:rPr>
        <w:t xml:space="preserve">and width of the granite body </w:t>
      </w:r>
      <w:r w:rsidR="00977372">
        <w:rPr>
          <w:rFonts w:eastAsiaTheme="minorEastAsia"/>
        </w:rPr>
        <w:t>(</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GR</m:t>
            </m:r>
          </m:e>
          <m:sub>
            <m:r>
              <w:rPr>
                <w:rFonts w:ascii="Cambria Math" w:eastAsia="Times New Roman" w:hAnsi="Cambria Math" w:cstheme="minorHAnsi"/>
                <w:color w:val="000000"/>
                <w:lang w:eastAsia="en-GB"/>
              </w:rPr>
              <m:t>o</m:t>
            </m:r>
          </m:sub>
        </m:sSub>
      </m:oMath>
      <w:r w:rsidR="00977372">
        <w:rPr>
          <w:rFonts w:eastAsiaTheme="minorEastAsia"/>
          <w:color w:val="000000"/>
          <w:lang w:eastAsia="en-GB"/>
        </w:rPr>
        <w:t>)</w:t>
      </w:r>
      <w:r w:rsidR="00CE3A25">
        <w:rPr>
          <w:rFonts w:eastAsiaTheme="minorEastAsia"/>
          <w:color w:val="000000"/>
          <w:lang w:eastAsia="en-GB"/>
        </w:rPr>
        <w:t xml:space="preserve"> </w:t>
      </w:r>
      <w:r w:rsidRPr="00DC5CCA">
        <w:rPr>
          <w:rFonts w:eastAsiaTheme="minorEastAsia"/>
          <w:color w:val="000000"/>
          <w:lang w:eastAsia="en-GB"/>
        </w:rPr>
        <w:t xml:space="preserve">are altered according to the </w:t>
      </w:r>
      <w:r w:rsidR="002E4E73">
        <w:rPr>
          <w:rFonts w:eastAsiaTheme="minorEastAsia"/>
          <w:color w:val="000000"/>
          <w:lang w:eastAsia="en-GB"/>
        </w:rPr>
        <w:t xml:space="preserve">magnitude </w:t>
      </w:r>
      <w:r>
        <w:rPr>
          <w:rFonts w:eastAsiaTheme="minorEastAsia"/>
          <w:color w:val="000000"/>
          <w:lang w:eastAsia="en-GB"/>
        </w:rPr>
        <w:t>of extension</w:t>
      </w:r>
      <w:r w:rsidR="00813084">
        <w:rPr>
          <w:rFonts w:eastAsiaTheme="minorEastAsia"/>
          <w:color w:val="000000"/>
          <w:lang w:eastAsia="en-GB"/>
        </w:rPr>
        <w:t xml:space="preserve"> (</w:t>
      </w:r>
      <m:oMath>
        <m:r>
          <w:rPr>
            <w:rFonts w:ascii="Cambria Math" w:eastAsia="Times New Roman" w:hAnsi="Cambria Math" w:cs="Times New Roman"/>
            <w:color w:val="000000"/>
            <w:lang w:eastAsia="en-GB"/>
          </w:rPr>
          <m:t>β</m:t>
        </m:r>
      </m:oMath>
      <w:r w:rsidR="00813084">
        <w:rPr>
          <w:rFonts w:eastAsiaTheme="minorEastAsia"/>
          <w:color w:val="000000"/>
          <w:lang w:eastAsia="en-GB"/>
        </w:rPr>
        <w:t>)</w:t>
      </w:r>
      <w:r w:rsidRPr="00DC5CCA">
        <w:rPr>
          <w:rFonts w:eastAsiaTheme="minorEastAsia"/>
          <w:color w:val="000000"/>
          <w:lang w:eastAsia="en-GB"/>
        </w:rPr>
        <w:t>. Taking this into account, the method for solving the subsidence of granite-cored basement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S</m:t>
            </m:r>
          </m:e>
          <m:sub>
            <m:r>
              <w:rPr>
                <w:rFonts w:ascii="Cambria Math" w:eastAsia="Times New Roman" w:hAnsi="Cambria Math" w:cstheme="minorHAnsi"/>
                <w:color w:val="000000"/>
                <w:lang w:eastAsia="en-GB"/>
              </w:rPr>
              <m:t>g</m:t>
            </m:r>
          </m:sub>
        </m:sSub>
      </m:oMath>
      <w:r w:rsidRPr="00DC5CCA">
        <w:rPr>
          <w:rFonts w:eastAsiaTheme="minorEastAsia"/>
          <w:color w:val="000000"/>
          <w:lang w:eastAsia="en-GB"/>
        </w:rPr>
        <w:t>) can be given one of two ways</w:t>
      </w:r>
      <w:r w:rsidR="002E4E73">
        <w:rPr>
          <w:rFonts w:eastAsiaTheme="minorEastAsia"/>
          <w:color w:val="000000"/>
          <w:lang w:eastAsia="en-GB"/>
        </w:rPr>
        <w:t xml:space="preserve"> (equations 3.3 and 3.4)</w:t>
      </w:r>
      <w:r>
        <w:rPr>
          <w:rFonts w:eastAsiaTheme="minorEastAsia"/>
          <w:color w:val="000000"/>
          <w:lang w:eastAsia="en-GB"/>
        </w:rPr>
        <w:t xml:space="preserve">. Again, the </w:t>
      </w:r>
      <w:r w:rsidR="0043363C">
        <w:rPr>
          <w:rFonts w:eastAsiaTheme="minorEastAsia"/>
          <w:color w:val="000000"/>
          <w:lang w:eastAsia="en-GB"/>
        </w:rPr>
        <w:t>potential implications</w:t>
      </w:r>
      <w:r>
        <w:rPr>
          <w:rFonts w:eastAsiaTheme="minorEastAsia"/>
          <w:color w:val="000000"/>
          <w:lang w:eastAsia="en-GB"/>
        </w:rPr>
        <w:t xml:space="preserve"> of heat flow </w:t>
      </w:r>
      <w:r w:rsidR="00E50C38">
        <w:rPr>
          <w:rFonts w:eastAsiaTheme="minorEastAsia"/>
          <w:color w:val="000000"/>
          <w:lang w:eastAsia="en-GB"/>
        </w:rPr>
        <w:t xml:space="preserve">fluctuations </w:t>
      </w:r>
      <w:r>
        <w:rPr>
          <w:rFonts w:eastAsiaTheme="minorEastAsia"/>
          <w:color w:val="000000"/>
          <w:lang w:eastAsia="en-GB"/>
        </w:rPr>
        <w:t>are ignored</w:t>
      </w:r>
      <w:r w:rsidR="00691752">
        <w:rPr>
          <w:rFonts w:eastAsiaTheme="minorEastAsia"/>
          <w:color w:val="000000"/>
          <w:lang w:eastAsia="en-GB"/>
        </w:rPr>
        <w:t xml:space="preserve"> at this stage</w:t>
      </w:r>
      <w:r>
        <w:rPr>
          <w:rFonts w:eastAsiaTheme="minorEastAsia"/>
          <w:color w:val="000000"/>
          <w:lang w:eastAsia="en-GB"/>
        </w:rPr>
        <w:t>.</w:t>
      </w:r>
    </w:p>
    <w:p w14:paraId="135F88C1" w14:textId="77777777" w:rsidR="00B13E0E" w:rsidRPr="006B3163" w:rsidRDefault="00E27D3D" w:rsidP="009E071D">
      <w:pPr>
        <w:spacing w:line="360" w:lineRule="auto"/>
        <w:jc w:val="center"/>
        <w:rPr>
          <w:sz w:val="20"/>
          <w:szCs w:val="20"/>
        </w:rPr>
      </w:pPr>
      <m:oMathPara>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S</m:t>
              </m:r>
            </m:e>
            <m:sub>
              <m:r>
                <w:rPr>
                  <w:rFonts w:ascii="Cambria Math" w:eastAsia="Times New Roman" w:hAnsi="Cambria Math" w:cstheme="minorHAnsi"/>
                  <w:color w:val="000000"/>
                  <w:lang w:eastAsia="en-GB"/>
                </w:rPr>
                <m:t>g</m:t>
              </m:r>
            </m:sub>
          </m:sSub>
          <m:r>
            <w:rPr>
              <w:rFonts w:ascii="Cambria Math" w:eastAsia="Times New Roman" w:hAnsi="Cambria Math" w:cstheme="minorHAnsi"/>
              <w:color w:val="000000"/>
              <w:lang w:eastAsia="en-GB"/>
            </w:rPr>
            <m:t>=</m:t>
          </m:r>
          <m:d>
            <m:dPr>
              <m:ctrlPr>
                <w:rPr>
                  <w:rFonts w:ascii="Cambria Math" w:eastAsia="Times New Roman" w:hAnsi="Cambria Math" w:cstheme="minorHAnsi"/>
                  <w:i/>
                  <w:color w:val="000000"/>
                  <w:lang w:eastAsia="en-GB"/>
                </w:rPr>
              </m:ctrlPr>
            </m:dPr>
            <m:e>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num>
                <m:den>
                  <m:r>
                    <w:rPr>
                      <w:rFonts w:ascii="Cambria Math" w:eastAsia="Times New Roman" w:hAnsi="Cambria Math" w:cstheme="minorHAnsi"/>
                      <w:color w:val="000000"/>
                      <w:lang w:eastAsia="en-GB"/>
                    </w:rPr>
                    <m:t>β</m:t>
                  </m:r>
                </m:den>
              </m:f>
            </m:e>
          </m:d>
          <m:r>
            <w:rPr>
              <w:rFonts w:ascii="Cambria Math" w:eastAsia="Times New Roman" w:hAnsi="Cambria Math" w:cstheme="minorHAnsi"/>
              <w:color w:val="000000"/>
              <w:lang w:eastAsia="en-GB"/>
            </w:rPr>
            <m:t>×</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1-</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e>
          </m:d>
          <m:r>
            <w:rPr>
              <w:rFonts w:ascii="Cambria Math" w:eastAsiaTheme="minorEastAsia" w:hAnsi="Cambria Math"/>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GR</m:t>
                  </m:r>
                </m:e>
                <m:sub>
                  <m:r>
                    <w:rPr>
                      <w:rFonts w:ascii="Cambria Math" w:eastAsia="Times New Roman" w:hAnsi="Cambria Math" w:cstheme="minorHAnsi"/>
                      <w:color w:val="000000"/>
                      <w:lang w:eastAsia="en-GB"/>
                    </w:rPr>
                    <m:t>o</m:t>
                  </m:r>
                </m:sub>
              </m:sSub>
            </m:num>
            <m:den>
              <m:r>
                <w:rPr>
                  <w:rFonts w:ascii="Cambria Math" w:eastAsia="Times New Roman" w:hAnsi="Cambria Math" w:cs="Times New Roman"/>
                  <w:color w:val="000000"/>
                  <w:lang w:eastAsia="en-GB"/>
                </w:rPr>
                <m:t>β</m:t>
              </m:r>
            </m:den>
          </m:f>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r>
                <w:rPr>
                  <w:rFonts w:ascii="Cambria Math" w:eastAsia="Times New Roman" w:hAnsi="Cambria Math" w:cstheme="minorHAnsi"/>
                  <w:color w:val="000000"/>
                  <w:lang w:eastAsia="en-GB"/>
                </w:rPr>
                <m:t>-</m:t>
              </m:r>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g</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oMath>
      </m:oMathPara>
    </w:p>
    <w:p w14:paraId="530E093D" w14:textId="77777777" w:rsidR="00B13E0E" w:rsidRDefault="00B13E0E" w:rsidP="009E071D">
      <w:pPr>
        <w:spacing w:line="360" w:lineRule="auto"/>
        <w:jc w:val="center"/>
        <w:rPr>
          <w:rFonts w:eastAsiaTheme="minorEastAsia"/>
          <w:color w:val="000000"/>
          <w:lang w:eastAsia="en-GB"/>
        </w:rPr>
      </w:pPr>
      <w:r>
        <w:rPr>
          <w:rFonts w:eastAsiaTheme="minorEastAsia"/>
          <w:color w:val="000000"/>
          <w:lang w:eastAsia="en-GB"/>
        </w:rPr>
        <w:t xml:space="preserve">Or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S</m:t>
            </m:r>
          </m:e>
          <m:sub>
            <m:r>
              <w:rPr>
                <w:rFonts w:ascii="Cambria Math" w:eastAsia="Times New Roman" w:hAnsi="Cambria Math" w:cstheme="minorHAnsi"/>
                <w:color w:val="000000"/>
                <w:lang w:eastAsia="en-GB"/>
              </w:rPr>
              <m:t>g</m:t>
            </m:r>
          </m:sub>
        </m:sSub>
        <m:r>
          <w:rPr>
            <w:rFonts w:ascii="Cambria Math" w:eastAsia="Times New Roman" w:hAnsi="Cambria Math" w:cstheme="minorHAnsi"/>
            <w:color w:val="000000"/>
            <w:lang w:eastAsia="en-GB"/>
          </w:rPr>
          <m:t>=</m:t>
        </m:r>
        <m:d>
          <m:dPr>
            <m:ctrlPr>
              <w:rPr>
                <w:rFonts w:ascii="Cambria Math" w:eastAsia="Times New Roman" w:hAnsi="Cambria Math" w:cstheme="minorHAnsi"/>
                <w:i/>
                <w:color w:val="000000"/>
                <w:lang w:eastAsia="en-GB"/>
              </w:rPr>
            </m:ctrlPr>
          </m:dPr>
          <m:e>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num>
              <m:den>
                <m:r>
                  <w:rPr>
                    <w:rFonts w:ascii="Cambria Math" w:eastAsia="Times New Roman" w:hAnsi="Cambria Math" w:cstheme="minorHAnsi"/>
                    <w:color w:val="000000"/>
                    <w:lang w:eastAsia="en-GB"/>
                  </w:rPr>
                  <m:t>β</m:t>
                </m:r>
              </m:den>
            </m:f>
          </m:e>
        </m:d>
        <m:r>
          <w:rPr>
            <w:rFonts w:ascii="Cambria Math" w:eastAsia="Times New Roman" w:hAnsi="Cambria Math" w:cstheme="minorHAnsi"/>
            <w:color w:val="000000"/>
            <w:lang w:eastAsia="en-GB"/>
          </w:rPr>
          <m:t>×</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1-</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gc</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e>
        </m:d>
        <m:r>
          <w:rPr>
            <w:rFonts w:ascii="Cambria Math" w:eastAsiaTheme="minorEastAsia" w:hAnsi="Cambria Math"/>
            <w:color w:val="000000"/>
            <w:lang w:eastAsia="en-GB"/>
          </w:rPr>
          <m:t>-</m:t>
        </m:r>
        <m:r>
          <w:rPr>
            <w:rFonts w:ascii="Cambria Math" w:eastAsia="Times New Roman" w:hAnsi="Cambria Math" w:cstheme="minorHAnsi"/>
            <w:color w:val="000000"/>
            <w:lang w:eastAsia="en-GB"/>
          </w:rPr>
          <m:t>IR</m:t>
        </m:r>
      </m:oMath>
    </w:p>
    <w:p w14:paraId="5C853AAE" w14:textId="77777777" w:rsidR="00B13E0E" w:rsidRPr="00E971C6" w:rsidRDefault="00E971C6" w:rsidP="009E071D">
      <w:pPr>
        <w:spacing w:line="360" w:lineRule="auto"/>
        <w:jc w:val="center"/>
        <w:rPr>
          <w:rFonts w:eastAsiaTheme="minorEastAsia"/>
          <w:color w:val="000000"/>
          <w:lang w:eastAsia="en-GB"/>
        </w:rPr>
      </w:pPr>
      <w:r w:rsidRPr="00E971C6">
        <w:t>3.3</w:t>
      </w:r>
    </w:p>
    <w:p w14:paraId="7E291706" w14:textId="77777777" w:rsidR="00B13E0E" w:rsidRDefault="00B13E0E" w:rsidP="009E071D">
      <w:pPr>
        <w:spacing w:line="360" w:lineRule="auto"/>
        <w:jc w:val="center"/>
        <w:rPr>
          <w:rFonts w:eastAsiaTheme="minorEastAsia"/>
        </w:rPr>
      </w:pPr>
      <w:r>
        <w:rPr>
          <w:rFonts w:eastAsiaTheme="minorEastAsia"/>
          <w:color w:val="000000"/>
          <w:lang w:eastAsia="en-GB"/>
        </w:rPr>
        <w:t xml:space="preserve">Where </w:t>
      </w:r>
      <m:oMath>
        <m:sSub>
          <m:sSubPr>
            <m:ctrlPr>
              <w:rPr>
                <w:rFonts w:ascii="Cambria Math" w:hAnsi="Cambria Math"/>
                <w:i/>
              </w:rPr>
            </m:ctrlPr>
          </m:sSubPr>
          <m:e>
            <m:r>
              <w:rPr>
                <w:rFonts w:ascii="Cambria Math" w:hAnsi="Cambria Math"/>
              </w:rPr>
              <m:t>ρ</m:t>
            </m:r>
          </m:e>
          <m:sub>
            <m:r>
              <w:rPr>
                <w:rFonts w:ascii="Cambria Math" w:hAnsi="Cambria Math"/>
              </w:rPr>
              <m:t>gc</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GR</m:t>
                </m:r>
              </m:e>
              <m:sub>
                <m:r>
                  <w:rPr>
                    <w:rFonts w:ascii="Cambria Math" w:hAnsi="Cambria Math"/>
                  </w:rPr>
                  <m:t>o</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g</m:t>
                </m:r>
              </m:sub>
            </m:sSub>
          </m:e>
        </m:d>
      </m:oMath>
    </w:p>
    <w:p w14:paraId="09653E04" w14:textId="77777777" w:rsidR="00B13E0E" w:rsidRPr="00E971C6" w:rsidRDefault="00B13E0E" w:rsidP="009E071D">
      <w:pPr>
        <w:spacing w:line="360" w:lineRule="auto"/>
        <w:jc w:val="center"/>
      </w:pPr>
      <w:r w:rsidRPr="00E971C6">
        <w:t>3.4</w:t>
      </w:r>
    </w:p>
    <w:p w14:paraId="0C08C43F" w14:textId="3B6D0E28" w:rsidR="00B13E0E" w:rsidRDefault="00B13E0E" w:rsidP="009E071D">
      <w:pPr>
        <w:spacing w:line="360" w:lineRule="auto"/>
      </w:pPr>
      <w:r>
        <w:lastRenderedPageBreak/>
        <w:tab/>
      </w:r>
      <w:r w:rsidR="00F670E4">
        <w:t>C</w:t>
      </w:r>
      <w:r w:rsidRPr="00233EBF">
        <w:t xml:space="preserve">hanges in the vertical thicknesses of relatively less dense crust due to stretching or compression </w:t>
      </w:r>
      <w:r w:rsidR="00385557">
        <w:t>prompts</w:t>
      </w:r>
      <w:r w:rsidRPr="00233EBF">
        <w:t xml:space="preserve"> relatively less </w:t>
      </w:r>
      <w:r>
        <w:t>isostatic</w:t>
      </w:r>
      <w:r w:rsidRPr="00233EBF">
        <w:t xml:space="preserve"> compensation</w:t>
      </w:r>
      <w:r>
        <w:t xml:space="preserve"> (</w:t>
      </w:r>
      <w:r w:rsidRPr="006C6912">
        <w:t>e</w:t>
      </w:r>
      <w:r w:rsidR="005B5F04">
        <w:t>.</w:t>
      </w:r>
      <w:r w:rsidR="00AF4EDA">
        <w:t>g. Fig. 1</w:t>
      </w:r>
      <w:r>
        <w:t>)</w:t>
      </w:r>
      <w:r w:rsidRPr="00233EBF">
        <w:t xml:space="preserve">. </w:t>
      </w:r>
      <w:r w:rsidR="00977372">
        <w:t>Therefore,</w:t>
      </w:r>
      <w:r w:rsidR="00CE3A25">
        <w:t xml:space="preserve"> </w:t>
      </w:r>
      <w:r w:rsidRPr="00233EBF">
        <w:t xml:space="preserve">with </w:t>
      </w:r>
      <w:r>
        <w:t xml:space="preserve">increased extension, </w:t>
      </w:r>
      <w:r w:rsidRPr="00233EBF">
        <w:t>the initial uplift</w:t>
      </w:r>
      <w:r>
        <w:t xml:space="preserve"> of granite-cored crust</w:t>
      </w:r>
      <w:r w:rsidRPr="00233EBF">
        <w:t xml:space="preserve"> is cancelled out </w:t>
      </w:r>
      <w:r w:rsidR="005D318F" w:rsidRPr="00233EBF">
        <w:t xml:space="preserve">progressively </w:t>
      </w:r>
      <w:r w:rsidRPr="00233EBF">
        <w:t xml:space="preserve">by </w:t>
      </w:r>
      <w:r w:rsidR="00977372" w:rsidRPr="00233EBF">
        <w:t>extension</w:t>
      </w:r>
      <w:r w:rsidR="00977372">
        <w:t>-</w:t>
      </w:r>
      <w:r w:rsidRPr="00233EBF">
        <w:t>driven subsidence when compared with non-</w:t>
      </w:r>
      <w:r w:rsidR="00977372" w:rsidRPr="00233EBF">
        <w:t>granite</w:t>
      </w:r>
      <w:r w:rsidR="00977372">
        <w:t>-</w:t>
      </w:r>
      <w:r w:rsidRPr="00233EBF">
        <w:t>cored crust (</w:t>
      </w:r>
      <w:r w:rsidRPr="006C6912">
        <w:t>Fig</w:t>
      </w:r>
      <w:r w:rsidR="00A227A1">
        <w:t>s</w:t>
      </w:r>
      <w:r w:rsidR="00AF4EDA">
        <w:t>. 2</w:t>
      </w:r>
      <w:r w:rsidR="00E164AF">
        <w:t xml:space="preserve"> and </w:t>
      </w:r>
      <w:r w:rsidR="00AF4EDA">
        <w:t>3</w:t>
      </w:r>
      <w:r w:rsidR="00ED1BF3">
        <w:t>).</w:t>
      </w:r>
    </w:p>
    <w:p w14:paraId="475D5F7B" w14:textId="77777777" w:rsidR="00B13E0E" w:rsidRDefault="00B13E0E" w:rsidP="009E071D">
      <w:pPr>
        <w:pStyle w:val="Heading3"/>
        <w:spacing w:line="360" w:lineRule="auto"/>
      </w:pPr>
      <w:r>
        <w:t xml:space="preserve">3.3 </w:t>
      </w:r>
      <w:r w:rsidR="00922F13">
        <w:t>Isosta</w:t>
      </w:r>
      <w:r w:rsidR="0046525D">
        <w:t>tic loading due to basin infill</w:t>
      </w:r>
    </w:p>
    <w:p w14:paraId="6424CD2B" w14:textId="03F3A785" w:rsidR="00B13E0E" w:rsidRPr="0087418E" w:rsidRDefault="00B13E0E" w:rsidP="009E071D">
      <w:pPr>
        <w:spacing w:line="360" w:lineRule="auto"/>
      </w:pPr>
      <w:r>
        <w:tab/>
        <w:t xml:space="preserve">If the starting elevation </w:t>
      </w:r>
      <w:r w:rsidR="00E50C38">
        <w:t>of</w:t>
      </w:r>
      <w:r w:rsidR="00CE3A25">
        <w:t xml:space="preserve"> </w:t>
      </w:r>
      <w:r>
        <w:t xml:space="preserve">non-granite-cored or granite-cored basement prior to emplacement is assumed to be at </w:t>
      </w:r>
      <w:r w:rsidR="00B470D7">
        <w:t xml:space="preserve">infill </w:t>
      </w:r>
      <w:r>
        <w:t>base level, then providing subsidence is greater than zero</w:t>
      </w:r>
      <w:r w:rsidR="00922F13">
        <w:t xml:space="preserve"> such that accommodation space is generated</w:t>
      </w:r>
      <w:r>
        <w:t xml:space="preserve">, </w:t>
      </w:r>
      <w:r>
        <w:rPr>
          <w:rFonts w:eastAsiaTheme="minorEastAsia"/>
          <w:color w:val="000000"/>
          <w:lang w:eastAsia="en-GB"/>
        </w:rPr>
        <w:t>the subsidence of an infilled basin can be given by the following:</w:t>
      </w:r>
    </w:p>
    <w:p w14:paraId="72DFE281" w14:textId="77777777" w:rsidR="00B13E0E" w:rsidRPr="0087418E" w:rsidRDefault="00B13E0E" w:rsidP="009E071D">
      <w:pPr>
        <w:spacing w:line="360" w:lineRule="auto"/>
        <w:jc w:val="center"/>
        <w:rPr>
          <w:rFonts w:eastAsiaTheme="minorEastAsia"/>
        </w:rPr>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g</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i</m:t>
                      </m:r>
                    </m:sub>
                  </m:sSub>
                </m:num>
                <m:den>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den>
              </m:f>
            </m:e>
          </m:d>
        </m:oMath>
      </m:oMathPara>
    </w:p>
    <w:p w14:paraId="120160AF" w14:textId="77777777" w:rsidR="00B13E0E" w:rsidRPr="00BD041C" w:rsidRDefault="00B13E0E" w:rsidP="009E071D">
      <w:pPr>
        <w:spacing w:line="360" w:lineRule="auto"/>
        <w:jc w:val="center"/>
      </w:pPr>
      <w:r w:rsidRPr="00BD041C">
        <w:t>3.5</w:t>
      </w:r>
    </w:p>
    <w:p w14:paraId="59E6C9C0" w14:textId="07911AA5" w:rsidR="00B13E0E" w:rsidRPr="005D46F2" w:rsidRDefault="00B13E0E" w:rsidP="009E071D">
      <w:pPr>
        <w:spacing w:line="360" w:lineRule="auto"/>
      </w:pPr>
      <w:r>
        <w:tab/>
        <w:t xml:space="preserve">The incorporation of basin fill </w:t>
      </w:r>
      <w:r w:rsidR="00E50C38">
        <w:t>into</w:t>
      </w:r>
      <w:r>
        <w:t xml:space="preserve"> the model has important implications </w:t>
      </w:r>
      <w:r w:rsidR="005D318F">
        <w:t xml:space="preserve">for </w:t>
      </w:r>
      <w:r>
        <w:t xml:space="preserve">generating vertical relief. Where </w:t>
      </w:r>
      <m:oMath>
        <m:r>
          <w:rPr>
            <w:rFonts w:ascii="Cambria Math" w:eastAsia="Times New Roman" w:hAnsi="Cambria Math" w:cstheme="minorHAnsi"/>
            <w:color w:val="000000"/>
            <w:lang w:eastAsia="en-GB"/>
          </w:rPr>
          <m:t>β</m:t>
        </m:r>
      </m:oMath>
      <w:r>
        <w:t>&gt; 1, but not sufficient enough to subside initially uplifted granite-cored crust below base level, differential loading occurs and exaggerates basement relief (</w:t>
      </w:r>
      <w:r w:rsidRPr="005526E7">
        <w:t>e</w:t>
      </w:r>
      <w:r w:rsidR="005B5F04">
        <w:t>.</w:t>
      </w:r>
      <w:r w:rsidRPr="005526E7">
        <w:t>g. Fig</w:t>
      </w:r>
      <w:r w:rsidR="005B5F04">
        <w:t>s</w:t>
      </w:r>
      <w:r w:rsidRPr="005526E7">
        <w:t>.</w:t>
      </w:r>
      <w:r w:rsidR="00AF4EDA">
        <w:t xml:space="preserve"> 2</w:t>
      </w:r>
      <w:r w:rsidR="005B5F04">
        <w:t xml:space="preserve"> and</w:t>
      </w:r>
      <w:r w:rsidR="00AA5360">
        <w:t xml:space="preserve"> </w:t>
      </w:r>
      <w:r w:rsidR="00AF4EDA">
        <w:t>3</w:t>
      </w:r>
      <w:r w:rsidR="00B470D7">
        <w:t xml:space="preserve">). The </w:t>
      </w:r>
      <w:r w:rsidR="00E83055">
        <w:t>magnitude</w:t>
      </w:r>
      <w:r w:rsidR="005D318F">
        <w:t xml:space="preserve"> of extension (</w:t>
      </w:r>
      <m:oMath>
        <m:r>
          <w:rPr>
            <w:rFonts w:ascii="Cambria Math" w:eastAsia="Times New Roman" w:hAnsi="Cambria Math" w:cstheme="minorHAnsi"/>
            <w:color w:val="000000"/>
            <w:lang w:eastAsia="en-GB"/>
          </w:rPr>
          <m:t>β</m:t>
        </m:r>
      </m:oMath>
      <w:r w:rsidR="005D318F">
        <w:t>)</w:t>
      </w:r>
      <w:r w:rsidR="00CE3A25">
        <w:t xml:space="preserve"> </w:t>
      </w:r>
      <w:r w:rsidR="005D318F">
        <w:t xml:space="preserve">required for </w:t>
      </w:r>
      <w:r w:rsidR="0043363C">
        <w:t>infill</w:t>
      </w:r>
      <w:r w:rsidR="005D318F">
        <w:t xml:space="preserve"> to occur </w:t>
      </w:r>
      <w:r>
        <w:t xml:space="preserve">on the granite-cored block can be determined by </w:t>
      </w:r>
      <w:r w:rsidRPr="005D46F2">
        <w:t>rearranging equation</w:t>
      </w:r>
      <w:r>
        <w:t xml:space="preserve"> 3.3:</w:t>
      </w:r>
    </w:p>
    <w:p w14:paraId="05D6C317" w14:textId="77777777" w:rsidR="00B13E0E" w:rsidRDefault="00060CBE" w:rsidP="009E071D">
      <w:pPr>
        <w:spacing w:line="360" w:lineRule="auto"/>
        <w:jc w:val="center"/>
        <w:rPr>
          <w:rFonts w:eastAsiaTheme="minorEastAsia"/>
          <w:color w:val="000000"/>
          <w:lang w:eastAsia="en-GB"/>
        </w:rPr>
      </w:pPr>
      <m:oMathPara>
        <m:oMath>
          <m:r>
            <w:rPr>
              <w:rFonts w:ascii="Cambria Math" w:eastAsia="Times New Roman" w:hAnsi="Cambria Math" w:cs="Times New Roman"/>
              <w:color w:val="000000"/>
              <w:lang w:eastAsia="en-GB"/>
            </w:rPr>
            <m:t>β</m:t>
          </m:r>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d>
                <m:dPr>
                  <m:ctrlPr>
                    <w:rPr>
                      <w:rFonts w:ascii="Cambria Math" w:eastAsia="Times New Roman" w:hAnsi="Cambria Math" w:cstheme="minorHAnsi"/>
                      <w:i/>
                      <w:color w:val="000000"/>
                      <w:lang w:eastAsia="en-GB"/>
                    </w:rPr>
                  </m:ctrlPr>
                </m:dPr>
                <m:e>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gc</m:t>
                      </m:r>
                    </m:sub>
                  </m:sSub>
                </m:e>
              </m:d>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d>
                <m:dPr>
                  <m:ctrlPr>
                    <w:rPr>
                      <w:rFonts w:ascii="Cambria Math" w:eastAsia="Times New Roman" w:hAnsi="Cambria Math" w:cstheme="minorHAnsi"/>
                      <w:i/>
                      <w:color w:val="000000"/>
                      <w:lang w:eastAsia="en-GB"/>
                    </w:rPr>
                  </m:ctrlPr>
                </m:dPr>
                <m:e>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gc</m:t>
                      </m:r>
                    </m:sub>
                  </m:sSub>
                </m:e>
              </m:d>
              <m:r>
                <w:rPr>
                  <w:rFonts w:ascii="Cambria Math" w:eastAsia="Times New Roman" w:hAnsi="Cambria Math" w:cstheme="minorHAnsi"/>
                  <w:color w:val="000000"/>
                  <w:lang w:eastAsia="en-GB"/>
                </w:rPr>
                <m:t>-IR×</m:t>
              </m:r>
              <m:sSub>
                <m:sSubPr>
                  <m:ctrlPr>
                    <w:rPr>
                      <w:rFonts w:ascii="Cambria Math" w:hAnsi="Cambria Math"/>
                      <w:i/>
                    </w:rPr>
                  </m:ctrlPr>
                </m:sSubPr>
                <m:e>
                  <m:r>
                    <w:rPr>
                      <w:rFonts w:ascii="Cambria Math" w:hAnsi="Cambria Math"/>
                    </w:rPr>
                    <m:t>ρ</m:t>
                  </m:r>
                </m:e>
                <m:sub>
                  <m:r>
                    <w:rPr>
                      <w:rFonts w:ascii="Cambria Math" w:hAnsi="Cambria Math"/>
                    </w:rPr>
                    <m:t>m</m:t>
                  </m:r>
                </m:sub>
              </m:sSub>
            </m:den>
          </m:f>
        </m:oMath>
      </m:oMathPara>
    </w:p>
    <w:p w14:paraId="1B06F1E5" w14:textId="77777777" w:rsidR="00B13E0E" w:rsidRPr="00BD041C" w:rsidRDefault="00B13E0E" w:rsidP="009E071D">
      <w:pPr>
        <w:spacing w:line="360" w:lineRule="auto"/>
        <w:jc w:val="center"/>
      </w:pPr>
      <w:r>
        <w:t>3.6</w:t>
      </w:r>
    </w:p>
    <w:p w14:paraId="747A9BEE" w14:textId="77777777" w:rsidR="00B13E0E" w:rsidRDefault="00B13E0E" w:rsidP="009E071D">
      <w:pPr>
        <w:pStyle w:val="Heading3"/>
        <w:spacing w:line="360" w:lineRule="auto"/>
      </w:pPr>
      <w:r>
        <w:t xml:space="preserve">3.4 </w:t>
      </w:r>
      <w:r w:rsidR="00922F13">
        <w:t xml:space="preserve">The effects of </w:t>
      </w:r>
      <w:r>
        <w:t>erosion</w:t>
      </w:r>
      <w:r w:rsidR="0046525D">
        <w:t xml:space="preserve"> of uplifted material</w:t>
      </w:r>
    </w:p>
    <w:p w14:paraId="1EBCED14" w14:textId="4932251B" w:rsidR="00B13E0E" w:rsidRDefault="00B13E0E" w:rsidP="009E071D">
      <w:pPr>
        <w:spacing w:line="360" w:lineRule="auto"/>
      </w:pPr>
      <w:r>
        <w:tab/>
        <w:t>Figure</w:t>
      </w:r>
      <w:r w:rsidR="00B24D91">
        <w:t>s</w:t>
      </w:r>
      <w:r w:rsidR="00AF4EDA">
        <w:t xml:space="preserve"> 2</w:t>
      </w:r>
      <w:r w:rsidR="005B5F04">
        <w:t xml:space="preserve"> and </w:t>
      </w:r>
      <w:r w:rsidR="00AF4EDA">
        <w:t>3</w:t>
      </w:r>
      <w:r w:rsidR="00B24D91">
        <w:t xml:space="preserve"> suggest</w:t>
      </w:r>
      <w:r>
        <w:t xml:space="preserve"> that differential loading can have an important role in generating basin relief. However, if the initial uplift</w:t>
      </w:r>
      <w:r w:rsidR="00784201">
        <w:t xml:space="preserve"> due to granite emplacement </w:t>
      </w:r>
      <w:r w:rsidR="00CE3A25">
        <w:t>were</w:t>
      </w:r>
      <w:r>
        <w:t xml:space="preserve"> met with complete erosion </w:t>
      </w:r>
      <w:r w:rsidR="00666F14">
        <w:t xml:space="preserve">to sea level </w:t>
      </w:r>
      <w:r>
        <w:t xml:space="preserve">of the uplifted proportion of the block, producing a flat basement topography prior to extension, then </w:t>
      </w:r>
      <w:r w:rsidR="00C56152">
        <w:t xml:space="preserve">the effects of </w:t>
      </w:r>
      <w:r>
        <w:t>differential loading would be nullified. Erosion implies an additional negative load and a further positive isostatic response</w:t>
      </w:r>
      <w:r w:rsidR="00A019A0">
        <w:t xml:space="preserve"> generating additional uplift</w:t>
      </w:r>
      <w:r>
        <w:t>. The total erosion required to generate a flat surface topography across granite-cored and non-granite cored basement (</w:t>
      </w:r>
      <m:oMath>
        <m:r>
          <w:rPr>
            <w:rFonts w:ascii="Cambria Math" w:hAnsi="Cambria Math"/>
          </w:rPr>
          <m:t>e</m:t>
        </m:r>
      </m:oMath>
      <w:r>
        <w:rPr>
          <w:rFonts w:eastAsiaTheme="minorEastAsia"/>
        </w:rPr>
        <w:t>)</w:t>
      </w:r>
      <w:r>
        <w:t xml:space="preserve"> can be defined as:</w:t>
      </w:r>
    </w:p>
    <w:p w14:paraId="50DFD63B" w14:textId="77777777" w:rsidR="00B13E0E" w:rsidRDefault="00B13E0E" w:rsidP="009E071D">
      <w:pPr>
        <w:spacing w:line="360" w:lineRule="auto"/>
        <w:jc w:val="center"/>
        <w:rPr>
          <w:rFonts w:eastAsiaTheme="minorEastAsia"/>
          <w:i/>
          <w:color w:val="000000"/>
          <w:lang w:eastAsia="en-GB"/>
        </w:rPr>
      </w:pPr>
      <m:oMathPara>
        <m:oMath>
          <m:r>
            <w:rPr>
              <w:rFonts w:ascii="Cambria Math" w:hAnsi="Cambria Math"/>
            </w:rPr>
            <m:t xml:space="preserve">e= </m:t>
          </m:r>
          <m:f>
            <m:fPr>
              <m:ctrlPr>
                <w:rPr>
                  <w:rFonts w:ascii="Cambria Math" w:eastAsia="Times New Roman" w:hAnsi="Cambria Math" w:cstheme="minorHAnsi"/>
                  <w:i/>
                  <w:color w:val="000000"/>
                  <w:lang w:eastAsia="en-GB"/>
                </w:rPr>
              </m:ctrlPr>
            </m:fPr>
            <m:num>
              <m:sSub>
                <m:sSubPr>
                  <m:ctrlPr>
                    <w:rPr>
                      <w:rFonts w:ascii="Cambria Math" w:hAnsi="Cambria Math"/>
                      <w:i/>
                    </w:rPr>
                  </m:ctrlPr>
                </m:sSubPr>
                <m:e>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hAnsi="Cambria Math"/>
                    </w:rPr>
                    <m:t>(ρ</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gc</m:t>
                  </m:r>
                </m:sub>
              </m:sSub>
              <m:r>
                <w:rPr>
                  <w:rFonts w:ascii="Cambria Math" w:hAnsi="Cambria Math"/>
                </w:rPr>
                <m:t>)</m:t>
              </m:r>
            </m:num>
            <m:den>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gc</m:t>
                  </m:r>
                </m:sub>
              </m:sSub>
            </m:den>
          </m:f>
        </m:oMath>
      </m:oMathPara>
    </w:p>
    <w:p w14:paraId="362A7797" w14:textId="77777777" w:rsidR="00B13E0E" w:rsidRPr="00BD041C" w:rsidRDefault="00B13E0E" w:rsidP="009E071D">
      <w:pPr>
        <w:spacing w:line="360" w:lineRule="auto"/>
        <w:jc w:val="center"/>
        <w:rPr>
          <w:rFonts w:eastAsiaTheme="minorEastAsia"/>
          <w:color w:val="000000"/>
          <w:lang w:eastAsia="en-GB"/>
        </w:rPr>
      </w:pPr>
      <w:r>
        <w:rPr>
          <w:rFonts w:eastAsiaTheme="minorEastAsia"/>
          <w:color w:val="000000"/>
          <w:lang w:eastAsia="en-GB"/>
        </w:rPr>
        <w:t xml:space="preserve"> 3.7</w:t>
      </w:r>
    </w:p>
    <w:p w14:paraId="163AB3C0" w14:textId="77777777" w:rsidR="00B13E0E" w:rsidRDefault="00B13E0E" w:rsidP="009E071D">
      <w:pPr>
        <w:spacing w:line="360" w:lineRule="auto"/>
        <w:jc w:val="center"/>
      </w:pPr>
      <w:r w:rsidRPr="00401161">
        <w:lastRenderedPageBreak/>
        <w:t xml:space="preserve">Given </w:t>
      </w:r>
      <w:proofErr w:type="gramStart"/>
      <w:r w:rsidRPr="00401161">
        <w:t xml:space="preserve">that </w:t>
      </w:r>
      <w:proofErr w:type="gramEnd"/>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sSub>
          <m:sSubPr>
            <m:ctrlPr>
              <w:rPr>
                <w:rFonts w:ascii="Cambria Math" w:hAnsi="Cambria Math"/>
                <w:i/>
              </w:rPr>
            </m:ctrlPr>
          </m:sSubPr>
          <m:e>
            <m:r>
              <w:rPr>
                <w:rFonts w:ascii="Cambria Math" w:hAnsi="Cambria Math"/>
              </w:rPr>
              <m:t>ρ</m:t>
            </m:r>
          </m:e>
          <m:sub>
            <m:r>
              <w:rPr>
                <w:rFonts w:ascii="Cambria Math" w:hAnsi="Cambria Math"/>
              </w:rPr>
              <m:t>c</m:t>
            </m:r>
          </m:sub>
        </m:sSub>
        <m:r>
          <w:rPr>
            <w:rFonts w:ascii="Cambria Math" w:hAnsi="Cambria Math"/>
          </w:rPr>
          <m:t>=</m:t>
        </m:r>
        <m:d>
          <m:dPr>
            <m:ctrlPr>
              <w:rPr>
                <w:rFonts w:ascii="Cambria Math" w:hAnsi="Cambria Math"/>
                <w:i/>
              </w:rPr>
            </m:ctrlPr>
          </m:dPr>
          <m:e>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-e</m:t>
            </m:r>
            <m:ctrlPr>
              <w:rPr>
                <w:rFonts w:ascii="Cambria Math" w:eastAsia="Times New Roman" w:hAnsi="Cambria Math" w:cstheme="minorHAnsi"/>
                <w:i/>
                <w:color w:val="000000"/>
                <w:lang w:eastAsia="en-GB"/>
              </w:rPr>
            </m:ctrlPr>
          </m:e>
        </m:d>
        <m:r>
          <w:rPr>
            <w:rFonts w:ascii="Cambria Math" w:eastAsia="Times New Roman" w:hAnsi="Cambria Math" w:cstheme="minorHAnsi"/>
            <w:color w:val="000000"/>
            <w:lang w:eastAsia="en-GB"/>
          </w:rPr>
          <m:t>×</m:t>
        </m:r>
        <m:sSub>
          <m:sSubPr>
            <m:ctrlPr>
              <w:rPr>
                <w:rFonts w:ascii="Cambria Math" w:hAnsi="Cambria Math"/>
                <w:i/>
              </w:rPr>
            </m:ctrlPr>
          </m:sSubPr>
          <m:e>
            <m:r>
              <w:rPr>
                <w:rFonts w:ascii="Cambria Math" w:hAnsi="Cambria Math"/>
              </w:rPr>
              <m:t>ρ</m:t>
            </m:r>
          </m:e>
          <m:sub>
            <m:r>
              <w:rPr>
                <w:rFonts w:ascii="Cambria Math" w:hAnsi="Cambria Math"/>
              </w:rPr>
              <m:t>gc</m:t>
            </m:r>
          </m:sub>
        </m:sSub>
        <m:r>
          <w:rPr>
            <w:rFonts w:ascii="Cambria Math" w:hAnsi="Cambria Math"/>
          </w:rPr>
          <m:t>+e×</m:t>
        </m:r>
        <m:sSub>
          <m:sSubPr>
            <m:ctrlPr>
              <w:rPr>
                <w:rFonts w:ascii="Cambria Math" w:hAnsi="Cambria Math"/>
                <w:i/>
              </w:rPr>
            </m:ctrlPr>
          </m:sSubPr>
          <m:e>
            <m:r>
              <w:rPr>
                <w:rFonts w:ascii="Cambria Math" w:hAnsi="Cambria Math"/>
              </w:rPr>
              <m:t>ρ</m:t>
            </m:r>
          </m:e>
          <m:sub>
            <m:r>
              <w:rPr>
                <w:rFonts w:ascii="Cambria Math" w:hAnsi="Cambria Math"/>
              </w:rPr>
              <m:t>m</m:t>
            </m:r>
          </m:sub>
        </m:sSub>
      </m:oMath>
      <w:r w:rsidRPr="00401161">
        <w:rPr>
          <w:rFonts w:eastAsiaTheme="minorEastAsia"/>
        </w:rPr>
        <w:t>.</w:t>
      </w:r>
    </w:p>
    <w:p w14:paraId="1C410E1B" w14:textId="77777777" w:rsidR="00AA5360" w:rsidRDefault="00B13E0E" w:rsidP="009E071D">
      <w:pPr>
        <w:spacing w:line="360" w:lineRule="auto"/>
      </w:pPr>
      <w:r>
        <w:tab/>
        <w:t>Any erosion implies a reduction in crustal thickness (</w:t>
      </w:r>
      <m:oMath>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oMath>
      <w:r>
        <w:t xml:space="preserve">) prior to stretching. When the uplifted portion of the crust is eroded in its entirety </w:t>
      </w:r>
      <w:r w:rsidR="00666F14">
        <w:t xml:space="preserve">to sea level </w:t>
      </w:r>
      <w:r>
        <w:t xml:space="preserve">and the </w:t>
      </w:r>
      <w:r w:rsidR="00B24D91">
        <w:t>transient asthenosphere-lithosphere boundary</w:t>
      </w:r>
      <w:r>
        <w:t xml:space="preserve"> re-equilibrates fully, lithospher</w:t>
      </w:r>
      <w:r w:rsidR="00C56152">
        <w:t>ic</w:t>
      </w:r>
      <w:r>
        <w:t xml:space="preserve"> thickness remains the same. Less dense crust subsides more than denser crust (</w:t>
      </w:r>
      <w:r w:rsidR="00AF4EDA">
        <w:t>Fig. 1</w:t>
      </w:r>
      <w:r w:rsidRPr="00AF2A2C">
        <w:t>).</w:t>
      </w:r>
      <w:r>
        <w:t xml:space="preserve"> However, thinner crust subsides less </w:t>
      </w:r>
      <w:r w:rsidR="00A019A0">
        <w:t xml:space="preserve">for any amount of extension </w:t>
      </w:r>
      <w:r>
        <w:t xml:space="preserve">as less vertical thickness </w:t>
      </w:r>
      <w:r w:rsidR="00A019A0">
        <w:t xml:space="preserve">due to crustal thinning </w:t>
      </w:r>
      <w:r>
        <w:t xml:space="preserve">is lost </w:t>
      </w:r>
      <w:r w:rsidR="006F4974">
        <w:t>in comparison</w:t>
      </w:r>
      <w:r>
        <w:t xml:space="preserve"> to thicker crust.</w:t>
      </w:r>
    </w:p>
    <w:p w14:paraId="650E82B2" w14:textId="6C2DE9F8" w:rsidR="00B13E0E" w:rsidRDefault="00AF4EDA" w:rsidP="00A724E4">
      <w:pPr>
        <w:spacing w:line="360" w:lineRule="auto"/>
        <w:ind w:firstLine="720"/>
      </w:pPr>
      <w:r w:rsidRPr="009D7417">
        <w:t>Figure 4</w:t>
      </w:r>
      <w:r w:rsidR="003B5EA3" w:rsidRPr="009D7417">
        <w:t xml:space="preserve"> presents the subsidence in response to the extension of ‘standard’ lithosphere (i</w:t>
      </w:r>
      <w:r w:rsidR="004F7F45" w:rsidRPr="009D7417">
        <w:t>.</w:t>
      </w:r>
      <w:r w:rsidR="003B5EA3" w:rsidRPr="009D7417">
        <w:t xml:space="preserve">e.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3B5EA3" w:rsidRPr="009D7417">
        <w:t xml:space="preserve"> = 35 km and </w:t>
      </w:r>
      <m:oMath>
        <m:sSub>
          <m:sSubPr>
            <m:ctrlPr>
              <w:rPr>
                <w:rFonts w:ascii="Cambria Math" w:hAnsi="Cambria Math"/>
                <w:i/>
              </w:rPr>
            </m:ctrlPr>
          </m:sSubPr>
          <m:e>
            <m:r>
              <w:rPr>
                <w:rFonts w:ascii="Cambria Math" w:hAnsi="Cambria Math"/>
              </w:rPr>
              <m:t>ρ</m:t>
            </m:r>
          </m:e>
          <m:sub>
            <m:r>
              <w:rPr>
                <w:rFonts w:ascii="Cambria Math" w:hAnsi="Cambria Math"/>
              </w:rPr>
              <m:t>c</m:t>
            </m:r>
          </m:sub>
        </m:sSub>
      </m:oMath>
      <w:r w:rsidR="009E1C1B" w:rsidRPr="009D7417">
        <w:rPr>
          <w:rFonts w:eastAsiaTheme="minorEastAsia"/>
        </w:rPr>
        <w:t xml:space="preserve"> = 2</w:t>
      </w:r>
      <w:r w:rsidR="003B5EA3" w:rsidRPr="009D7417">
        <w:rPr>
          <w:rFonts w:eastAsiaTheme="minorEastAsia"/>
        </w:rPr>
        <w:t>8</w:t>
      </w:r>
      <w:r w:rsidR="009E1C1B" w:rsidRPr="009D7417">
        <w:rPr>
          <w:rFonts w:eastAsiaTheme="minorEastAsia"/>
        </w:rPr>
        <w:t>00</w:t>
      </w:r>
      <w:r w:rsidR="009403A6">
        <w:rPr>
          <w:rFonts w:eastAsiaTheme="minorEastAsia"/>
        </w:rPr>
        <w:t xml:space="preserve"> </w:t>
      </w:r>
      <w:r w:rsidR="009E1C1B" w:rsidRPr="009D7417">
        <w:rPr>
          <w:rFonts w:eastAsiaTheme="minorEastAsia"/>
        </w:rPr>
        <w:t>kg</w:t>
      </w:r>
      <w:r w:rsidR="00E83055" w:rsidRPr="009D7417">
        <w:rPr>
          <w:rFonts w:eastAsiaTheme="minorEastAsia"/>
        </w:rPr>
        <w:t xml:space="preserve"> m</w:t>
      </w:r>
      <w:r w:rsidR="003B5EA3" w:rsidRPr="009D7417">
        <w:rPr>
          <w:rFonts w:eastAsiaTheme="minorEastAsia"/>
          <w:vertAlign w:val="superscript"/>
        </w:rPr>
        <w:t>-3</w:t>
      </w:r>
      <w:r w:rsidR="003B5EA3" w:rsidRPr="009D7417">
        <w:rPr>
          <w:rFonts w:eastAsiaTheme="minorEastAsia"/>
        </w:rPr>
        <w:t xml:space="preserve">) and a </w:t>
      </w:r>
      <w:r w:rsidR="005B0C0D" w:rsidRPr="009D7417">
        <w:rPr>
          <w:rFonts w:eastAsiaTheme="minorEastAsia"/>
        </w:rPr>
        <w:t>lithosphere which has undergone</w:t>
      </w:r>
      <w:r w:rsidR="003B5EA3" w:rsidRPr="009D7417">
        <w:rPr>
          <w:rFonts w:eastAsiaTheme="minorEastAsia"/>
        </w:rPr>
        <w:t xml:space="preserve"> granite emplacement, isostatic compensation, full thermal re-equilibration and erosion </w:t>
      </w:r>
      <w:proofErr w:type="gramStart"/>
      <w:r w:rsidR="003B5EA3" w:rsidRPr="009D7417">
        <w:rPr>
          <w:rFonts w:eastAsiaTheme="minorEastAsia"/>
        </w:rPr>
        <w:t>sufficient enough</w:t>
      </w:r>
      <w:proofErr w:type="gramEnd"/>
      <w:r w:rsidR="003B5EA3" w:rsidRPr="009D7417">
        <w:rPr>
          <w:rFonts w:eastAsiaTheme="minorEastAsia"/>
        </w:rPr>
        <w:t xml:space="preserve"> to generate a flat basement profile. Ignoring any thermal perturbations, which could enhance uplift and further erosion of thinner lithosphere, when the same stretching factor is applied the calculated subsidence is identical.</w:t>
      </w:r>
      <w:r w:rsidR="00CE3A25" w:rsidRPr="009D7417">
        <w:rPr>
          <w:rFonts w:eastAsiaTheme="minorEastAsia"/>
        </w:rPr>
        <w:t xml:space="preserve"> </w:t>
      </w:r>
      <w:r w:rsidR="00B13E0E" w:rsidRPr="009D7417">
        <w:t xml:space="preserve">In other words, </w:t>
      </w:r>
      <w:r w:rsidR="00B13E0E" w:rsidRPr="009D7417">
        <w:rPr>
          <w:rFonts w:eastAsiaTheme="minorEastAsia"/>
        </w:rPr>
        <w:t xml:space="preserve">where </w:t>
      </w:r>
      <m:oMath>
        <m:r>
          <w:rPr>
            <w:rFonts w:ascii="Cambria Math" w:eastAsiaTheme="minorEastAsia" w:hAnsi="Cambria Math"/>
          </w:rPr>
          <m:t>z=</m:t>
        </m:r>
        <m:sSub>
          <m:sSubPr>
            <m:ctrlPr>
              <w:rPr>
                <w:rFonts w:ascii="Cambria Math" w:hAnsi="Cambria Math"/>
                <w:i/>
              </w:rPr>
            </m:ctrlPr>
          </m:sSubPr>
          <m:e>
            <m:r>
              <w:rPr>
                <w:rFonts w:ascii="Cambria Math" w:hAnsi="Cambria Math"/>
              </w:rPr>
              <m:t>C</m:t>
            </m:r>
          </m:e>
          <m:sub>
            <m:r>
              <w:rPr>
                <w:rFonts w:ascii="Cambria Math" w:hAnsi="Cambria Math"/>
              </w:rPr>
              <m:t>o</m:t>
            </m:r>
          </m:sub>
        </m:sSub>
        <m:r>
          <w:rPr>
            <w:rFonts w:ascii="Cambria Math" w:hAnsi="Cambria Math"/>
          </w:rPr>
          <m:t>-e</m:t>
        </m:r>
      </m:oMath>
      <w:proofErr w:type="gramStart"/>
      <w:r w:rsidR="00B13E0E" w:rsidRPr="009D7417">
        <w:rPr>
          <w:rFonts w:eastAsiaTheme="minorEastAsia"/>
        </w:rPr>
        <w:t xml:space="preserve"> is the eroded granite-cored crustal thickness with the same isostatically</w:t>
      </w:r>
      <w:proofErr w:type="gramEnd"/>
      <w:r w:rsidR="00B13E0E" w:rsidRPr="009D7417">
        <w:rPr>
          <w:rFonts w:eastAsiaTheme="minorEastAsia"/>
        </w:rPr>
        <w:t xml:space="preserve"> compensated surface elevation as the original crust (</w:t>
      </w:r>
      <m:oMath>
        <m:sSub>
          <m:sSubPr>
            <m:ctrlPr>
              <w:rPr>
                <w:rFonts w:ascii="Cambria Math" w:hAnsi="Cambria Math"/>
                <w:i/>
              </w:rPr>
            </m:ctrlPr>
          </m:sSubPr>
          <m:e>
            <m:r>
              <w:rPr>
                <w:rFonts w:ascii="Cambria Math" w:hAnsi="Cambria Math"/>
              </w:rPr>
              <m:t>C</m:t>
            </m:r>
          </m:e>
          <m:sub>
            <m:r>
              <w:rPr>
                <w:rFonts w:ascii="Cambria Math" w:hAnsi="Cambria Math"/>
              </w:rPr>
              <m:t>o</m:t>
            </m:r>
          </m:sub>
        </m:sSub>
      </m:oMath>
      <w:r w:rsidR="00B13E0E" w:rsidRPr="009D7417">
        <w:rPr>
          <w:rFonts w:eastAsiaTheme="minorEastAsia"/>
        </w:rPr>
        <w:t>)</w:t>
      </w:r>
      <w:r w:rsidR="00B13E0E" w:rsidRPr="009D7417">
        <w:t>:</w:t>
      </w:r>
    </w:p>
    <w:p w14:paraId="78B8DE79" w14:textId="77777777" w:rsidR="00B13E0E" w:rsidRDefault="00B13E0E" w:rsidP="009E071D">
      <w:pPr>
        <w:spacing w:line="360" w:lineRule="auto"/>
        <w:jc w:val="center"/>
        <w:rPr>
          <w:rFonts w:eastAsiaTheme="minorEastAsia"/>
        </w:rPr>
      </w:pPr>
      <m:oMathPara>
        <m:oMath>
          <m:r>
            <w:rPr>
              <w:rFonts w:ascii="Cambria Math" w:hAnsi="Cambria Math"/>
            </w:rPr>
            <m:t>S=</m:t>
          </m:r>
          <m:d>
            <m:dPr>
              <m:ctrlPr>
                <w:rPr>
                  <w:rFonts w:ascii="Cambria Math" w:hAnsi="Cambria Math"/>
                  <w:i/>
                </w:rPr>
              </m:ctrlPr>
            </m:dPr>
            <m:e>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eastAsia="en-GB"/>
                        </w:rPr>
                        <m:t>C</m:t>
                      </m:r>
                    </m:e>
                    <m:sub>
                      <m:r>
                        <w:rPr>
                          <w:rFonts w:ascii="Cambria Math" w:eastAsia="Times New Roman" w:hAnsi="Cambria Math" w:cstheme="minorHAnsi"/>
                          <w:color w:val="000000"/>
                          <w:lang w:eastAsia="en-GB"/>
                        </w:rPr>
                        <m:t>o</m:t>
                      </m:r>
                    </m:sub>
                  </m:sSub>
                </m:num>
                <m:den>
                  <m:r>
                    <w:rPr>
                      <w:rFonts w:ascii="Cambria Math" w:eastAsia="Times New Roman" w:hAnsi="Cambria Math" w:cs="Times New Roman"/>
                      <w:color w:val="000000"/>
                      <w:lang w:eastAsia="en-GB"/>
                    </w:rPr>
                    <m:t>β</m:t>
                  </m:r>
                </m:den>
              </m:f>
            </m:e>
          </m:d>
          <m:d>
            <m:dPr>
              <m:ctrlPr>
                <w:rPr>
                  <w:rFonts w:ascii="Cambria Math" w:hAnsi="Cambria Math"/>
                  <w:i/>
                </w:rPr>
              </m:ctrlPr>
            </m:dPr>
            <m:e>
              <m:r>
                <w:rPr>
                  <w:rFonts w:ascii="Cambria Math" w:hAnsi="Cambria Math"/>
                </w:rPr>
                <m:t>1-</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c</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e>
          </m:d>
        </m:oMath>
      </m:oMathPara>
    </w:p>
    <w:p w14:paraId="673BB2CD" w14:textId="77777777" w:rsidR="00B13E0E" w:rsidRPr="00BD041C" w:rsidRDefault="00B13E0E" w:rsidP="009E071D">
      <w:pPr>
        <w:spacing w:line="360" w:lineRule="auto"/>
        <w:jc w:val="center"/>
        <w:rPr>
          <w:rFonts w:eastAsiaTheme="minorEastAsia"/>
        </w:rPr>
      </w:pPr>
      <w:r w:rsidRPr="00BD041C">
        <w:t>3.8</w:t>
      </w:r>
    </w:p>
    <w:p w14:paraId="78476392" w14:textId="77777777" w:rsidR="00B13E0E" w:rsidRDefault="00B13E0E" w:rsidP="009E071D">
      <w:pPr>
        <w:spacing w:line="360" w:lineRule="auto"/>
        <w:jc w:val="center"/>
        <w:rPr>
          <w:rFonts w:eastAsiaTheme="minorEastAsia"/>
        </w:rPr>
      </w:pPr>
      <m:oMathPara>
        <m:oMath>
          <m:r>
            <w:rPr>
              <w:rFonts w:ascii="Cambria Math" w:eastAsiaTheme="minorEastAsia" w:hAnsi="Cambria Math"/>
            </w:rPr>
            <m:t>=</m:t>
          </m:r>
          <m:d>
            <m:dPr>
              <m:ctrlPr>
                <w:rPr>
                  <w:rFonts w:ascii="Cambria Math" w:hAnsi="Cambria Math"/>
                  <w:i/>
                </w:rPr>
              </m:ctrlPr>
            </m:dPr>
            <m:e>
              <m:r>
                <w:rPr>
                  <w:rFonts w:ascii="Cambria Math" w:eastAsia="Times New Roman" w:hAnsi="Cambria Math" w:cstheme="minorHAnsi"/>
                  <w:color w:val="000000"/>
                  <w:lang w:eastAsia="en-GB"/>
                </w:rPr>
                <m:t>z-</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z</m:t>
                  </m:r>
                </m:num>
                <m:den>
                  <m:r>
                    <w:rPr>
                      <w:rFonts w:ascii="Cambria Math" w:eastAsia="Times New Roman" w:hAnsi="Cambria Math" w:cs="Times New Roman"/>
                      <w:color w:val="000000"/>
                      <w:lang w:eastAsia="en-GB"/>
                    </w:rPr>
                    <m:t>β</m:t>
                  </m:r>
                </m:den>
              </m:f>
            </m:e>
          </m:d>
          <m:d>
            <m:dPr>
              <m:ctrlPr>
                <w:rPr>
                  <w:rFonts w:ascii="Cambria Math" w:hAnsi="Cambria Math"/>
                  <w:i/>
                </w:rPr>
              </m:ctrlPr>
            </m:dPr>
            <m:e>
              <m:r>
                <w:rPr>
                  <w:rFonts w:ascii="Cambria Math" w:hAnsi="Cambria Math"/>
                </w:rPr>
                <m:t>1-</m:t>
              </m:r>
              <m:f>
                <m:fPr>
                  <m:ctrlPr>
                    <w:rPr>
                      <w:rFonts w:ascii="Cambria Math" w:eastAsia="Times New Roman" w:hAnsi="Cambria Math" w:cstheme="minorHAnsi"/>
                      <w:i/>
                      <w:color w:val="000000"/>
                      <w:lang w:eastAsia="en-GB"/>
                    </w:rPr>
                  </m:ctrlPr>
                </m:fPr>
                <m:num>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gc</m:t>
                      </m:r>
                    </m:sub>
                  </m:sSub>
                </m:num>
                <m:den>
                  <m:sSub>
                    <m:sSubPr>
                      <m:ctrlPr>
                        <w:rPr>
                          <w:rFonts w:ascii="Cambria Math" w:eastAsia="Times New Roman" w:hAnsi="Cambria Math" w:cstheme="minorHAnsi"/>
                          <w:i/>
                          <w:color w:val="000000"/>
                          <w:lang w:eastAsia="en-GB"/>
                        </w:rPr>
                      </m:ctrlPr>
                    </m:sSubPr>
                    <m:e>
                      <m:r>
                        <w:rPr>
                          <w:rFonts w:ascii="Cambria Math" w:eastAsia="Times New Roman" w:hAnsi="Cambria Math" w:cstheme="minorHAnsi"/>
                          <w:color w:val="000000"/>
                          <w:lang w:val="el-GR"/>
                        </w:rPr>
                        <m:t>ρ</m:t>
                      </m:r>
                    </m:e>
                    <m:sub>
                      <m:r>
                        <w:rPr>
                          <w:rFonts w:ascii="Cambria Math" w:eastAsia="Times New Roman" w:hAnsi="Cambria Math" w:cstheme="minorHAnsi"/>
                          <w:color w:val="000000"/>
                          <w:lang w:eastAsia="en-GB"/>
                        </w:rPr>
                        <m:t>m</m:t>
                      </m:r>
                    </m:sub>
                  </m:sSub>
                </m:den>
              </m:f>
            </m:e>
          </m:d>
        </m:oMath>
      </m:oMathPara>
    </w:p>
    <w:p w14:paraId="65C3D6F7" w14:textId="77777777" w:rsidR="00B13E0E" w:rsidRDefault="00B13E0E" w:rsidP="009E071D">
      <w:pPr>
        <w:spacing w:line="360" w:lineRule="auto"/>
        <w:jc w:val="center"/>
        <w:rPr>
          <w:rFonts w:eastAsiaTheme="minorEastAsia"/>
        </w:rPr>
      </w:pPr>
      <w:r w:rsidRPr="00BD041C">
        <w:t>3.9</w:t>
      </w:r>
    </w:p>
    <w:p w14:paraId="251AB68C" w14:textId="30C16A01" w:rsidR="00B13E0E" w:rsidRDefault="004F7F45" w:rsidP="009E071D">
      <w:pPr>
        <w:spacing w:line="360" w:lineRule="auto"/>
        <w:ind w:firstLine="720"/>
        <w:rPr>
          <w:rFonts w:eastAsiaTheme="minorEastAsia"/>
        </w:rPr>
      </w:pPr>
      <w:r>
        <w:rPr>
          <w:rFonts w:eastAsiaTheme="minorEastAsia"/>
        </w:rPr>
        <w:t>In</w:t>
      </w:r>
      <w:r w:rsidR="00B13E0E">
        <w:rPr>
          <w:rFonts w:eastAsiaTheme="minorEastAsia"/>
        </w:rPr>
        <w:t xml:space="preserve"> order for granites to influence basin architecture during lithospher</w:t>
      </w:r>
      <w:r w:rsidR="001F4F6D">
        <w:rPr>
          <w:rFonts w:eastAsiaTheme="minorEastAsia"/>
        </w:rPr>
        <w:t>ic</w:t>
      </w:r>
      <w:r>
        <w:rPr>
          <w:rFonts w:eastAsiaTheme="minorEastAsia"/>
        </w:rPr>
        <w:t xml:space="preserve"> extension,</w:t>
      </w:r>
      <w:r w:rsidR="00A019A0">
        <w:rPr>
          <w:rFonts w:eastAsiaTheme="minorEastAsia"/>
        </w:rPr>
        <w:t xml:space="preserve"> there needs to be some uplifted </w:t>
      </w:r>
      <w:r w:rsidR="00B13E0E">
        <w:rPr>
          <w:rFonts w:eastAsiaTheme="minorEastAsia"/>
        </w:rPr>
        <w:t>basement topography prior to extension. The overall bulk crustal density reduction associated with the emplacement of a 5</w:t>
      </w:r>
      <w:r w:rsidR="009403A6">
        <w:rPr>
          <w:rFonts w:eastAsiaTheme="minorEastAsia"/>
        </w:rPr>
        <w:t xml:space="preserve"> </w:t>
      </w:r>
      <w:r w:rsidR="00B13E0E">
        <w:rPr>
          <w:rFonts w:eastAsiaTheme="minorEastAsia"/>
        </w:rPr>
        <w:t xml:space="preserve">km thick granite pluton is </w:t>
      </w:r>
      <w:r w:rsidR="00B13E0E" w:rsidRPr="00803E58">
        <w:rPr>
          <w:rFonts w:eastAsiaTheme="minorEastAsia"/>
        </w:rPr>
        <w:t>~0.9%</w:t>
      </w:r>
      <w:r w:rsidR="00B13E0E">
        <w:rPr>
          <w:rFonts w:eastAsiaTheme="minorEastAsia"/>
        </w:rPr>
        <w:t>. To replicate a flat topography</w:t>
      </w:r>
      <w:r w:rsidR="00666F14">
        <w:rPr>
          <w:rFonts w:eastAsiaTheme="minorEastAsia"/>
        </w:rPr>
        <w:t xml:space="preserve"> at sea level</w:t>
      </w:r>
      <w:r w:rsidR="00B13E0E">
        <w:rPr>
          <w:rFonts w:eastAsiaTheme="minorEastAsia"/>
        </w:rPr>
        <w:t xml:space="preserve"> in this scenario requires 1.62</w:t>
      </w:r>
      <w:r w:rsidR="009403A6">
        <w:rPr>
          <w:rFonts w:eastAsiaTheme="minorEastAsia"/>
        </w:rPr>
        <w:t xml:space="preserve"> </w:t>
      </w:r>
      <w:r w:rsidR="00B13E0E">
        <w:rPr>
          <w:rFonts w:eastAsiaTheme="minorEastAsia"/>
        </w:rPr>
        <w:t xml:space="preserve">km of erosion. Without considering the mechanics of denudation, </w:t>
      </w:r>
      <w:r w:rsidR="00AF3BE0">
        <w:rPr>
          <w:rFonts w:eastAsiaTheme="minorEastAsia"/>
        </w:rPr>
        <w:t xml:space="preserve">it is conceivable that this amount of erosion is achievable </w:t>
      </w:r>
      <w:r w:rsidR="00B13E0E">
        <w:rPr>
          <w:rFonts w:eastAsiaTheme="minorEastAsia"/>
        </w:rPr>
        <w:t xml:space="preserve">over an extended period of tectonic quiescence. Nonetheless, the model </w:t>
      </w:r>
      <w:r w:rsidR="00AF3BE0">
        <w:rPr>
          <w:rFonts w:eastAsiaTheme="minorEastAsia"/>
        </w:rPr>
        <w:t xml:space="preserve">presented here </w:t>
      </w:r>
      <w:r w:rsidR="00B13E0E">
        <w:rPr>
          <w:rFonts w:eastAsiaTheme="minorEastAsia"/>
        </w:rPr>
        <w:t>will assume no er</w:t>
      </w:r>
      <w:r w:rsidR="001F4F6D">
        <w:rPr>
          <w:rFonts w:eastAsiaTheme="minorEastAsia"/>
        </w:rPr>
        <w:t>osion prior to lithospheric</w:t>
      </w:r>
      <w:r w:rsidR="00B13E0E">
        <w:rPr>
          <w:rFonts w:eastAsiaTheme="minorEastAsia"/>
        </w:rPr>
        <w:t xml:space="preserve"> extension as</w:t>
      </w:r>
      <w:r w:rsidR="00CE3A25">
        <w:rPr>
          <w:rFonts w:eastAsiaTheme="minorEastAsia"/>
        </w:rPr>
        <w:t xml:space="preserve"> </w:t>
      </w:r>
      <w:r w:rsidR="00B13E0E">
        <w:rPr>
          <w:rFonts w:eastAsiaTheme="minorEastAsia"/>
        </w:rPr>
        <w:t>ultimately upl</w:t>
      </w:r>
      <w:r w:rsidR="001F4F6D">
        <w:rPr>
          <w:rFonts w:eastAsiaTheme="minorEastAsia"/>
        </w:rPr>
        <w:t>ift is restricted by lithospheric</w:t>
      </w:r>
      <w:r w:rsidR="00CE3A25">
        <w:rPr>
          <w:rFonts w:eastAsiaTheme="minorEastAsia"/>
        </w:rPr>
        <w:t xml:space="preserve"> </w:t>
      </w:r>
      <w:r w:rsidR="005526E7">
        <w:rPr>
          <w:rFonts w:eastAsiaTheme="minorEastAsia"/>
        </w:rPr>
        <w:t>elasticity</w:t>
      </w:r>
      <w:r w:rsidR="006478E9">
        <w:rPr>
          <w:rFonts w:eastAsiaTheme="minorEastAsia"/>
        </w:rPr>
        <w:t xml:space="preserve"> (Watts, 2001)</w:t>
      </w:r>
      <w:r w:rsidR="00B13E0E">
        <w:rPr>
          <w:rFonts w:eastAsiaTheme="minorEastAsia"/>
        </w:rPr>
        <w:t>.</w:t>
      </w:r>
    </w:p>
    <w:p w14:paraId="0CD9D328" w14:textId="77777777" w:rsidR="00B13E0E" w:rsidRDefault="00B13E0E" w:rsidP="009E071D">
      <w:pPr>
        <w:pStyle w:val="Heading3"/>
        <w:spacing w:line="360" w:lineRule="auto"/>
      </w:pPr>
      <w:r>
        <w:t>3.5 T</w:t>
      </w:r>
      <w:r w:rsidR="00AF3BE0">
        <w:t>he effects of t</w:t>
      </w:r>
      <w:r>
        <w:t>hermal expansion and contraction</w:t>
      </w:r>
    </w:p>
    <w:p w14:paraId="1B866526" w14:textId="5FB00DD9" w:rsidR="00B13E0E" w:rsidRDefault="000B5796" w:rsidP="009E071D">
      <w:pPr>
        <w:spacing w:line="360" w:lineRule="auto"/>
        <w:ind w:firstLine="720"/>
      </w:pPr>
      <w:r>
        <w:t>McKenzie</w:t>
      </w:r>
      <w:r w:rsidR="00B13E0E">
        <w:t xml:space="preserve"> (</w:t>
      </w:r>
      <w:r w:rsidR="00B13E0E" w:rsidRPr="0077251F">
        <w:t>1978</w:t>
      </w:r>
      <w:r w:rsidR="00B13E0E">
        <w:t xml:space="preserve">) </w:t>
      </w:r>
      <w:r w:rsidR="00D07AC6">
        <w:t>states</w:t>
      </w:r>
      <w:r w:rsidR="00B13E0E">
        <w:t xml:space="preserve"> that compensation of the asthenosphere</w:t>
      </w:r>
      <w:r w:rsidR="00AF3BE0">
        <w:t xml:space="preserve"> in response</w:t>
      </w:r>
      <w:r w:rsidR="00B13E0E">
        <w:t xml:space="preserve"> to crustal thinning invokes an elevation in the </w:t>
      </w:r>
      <w:r w:rsidR="00617761">
        <w:t>lithosphere-asthenosphere boundary</w:t>
      </w:r>
      <w:r w:rsidR="00B13E0E">
        <w:t xml:space="preserve"> and thus reduces overall initial subsidence. For the sake of mathematical simplicity, instantaneous deformation and thermal expansion is assume</w:t>
      </w:r>
      <w:r>
        <w:t xml:space="preserve">d here. </w:t>
      </w:r>
      <w:r w:rsidRPr="000B5796">
        <w:t>After extension</w:t>
      </w:r>
      <w:r w:rsidR="00DD4AD2">
        <w:t>,</w:t>
      </w:r>
      <w:r w:rsidR="00CC1E0A">
        <w:t xml:space="preserve"> the lithospheric</w:t>
      </w:r>
      <w:r w:rsidRPr="000B5796">
        <w:t xml:space="preserve"> temperature field undergoes gradual </w:t>
      </w:r>
      <w:r w:rsidRPr="000B5796">
        <w:lastRenderedPageBreak/>
        <w:t xml:space="preserve">thermal recovery back to an equilibrated state. </w:t>
      </w:r>
      <w:r w:rsidR="00B13E0E" w:rsidRPr="000B5796">
        <w:t>Crustal</w:t>
      </w:r>
      <w:r w:rsidR="00B13E0E" w:rsidRPr="001466CE">
        <w:t xml:space="preserve"> density has </w:t>
      </w:r>
      <w:r w:rsidR="002C4078">
        <w:t>little</w:t>
      </w:r>
      <w:r w:rsidR="002C4078" w:rsidRPr="001466CE">
        <w:t xml:space="preserve"> </w:t>
      </w:r>
      <w:r w:rsidR="00B13E0E" w:rsidRPr="00A32C32">
        <w:rPr>
          <w:i/>
        </w:rPr>
        <w:t>direct</w:t>
      </w:r>
      <w:r w:rsidR="00B13E0E" w:rsidRPr="001466CE">
        <w:t xml:space="preserve"> influence on thermal expansion or decay (</w:t>
      </w:r>
      <w:r w:rsidR="00B13E0E" w:rsidRPr="0077251F">
        <w:t>McKenzie, 1978</w:t>
      </w:r>
      <w:r w:rsidR="00B13E0E" w:rsidRPr="001466CE">
        <w:t>)</w:t>
      </w:r>
      <w:r w:rsidR="00B13E0E">
        <w:t xml:space="preserve"> and thus the severity of uplift in response to thermal perturbations does not vary significantly between granite-cored and non-granite cored crust</w:t>
      </w:r>
      <w:r w:rsidR="00B13E0E" w:rsidRPr="001466CE">
        <w:t xml:space="preserve">. </w:t>
      </w:r>
      <w:r w:rsidR="00B13E0E">
        <w:t>I</w:t>
      </w:r>
      <w:r w:rsidR="00B13E0E" w:rsidRPr="001466CE">
        <w:t xml:space="preserve">n </w:t>
      </w:r>
      <w:r w:rsidR="001F4F6D">
        <w:t>increasing the total lithospheric</w:t>
      </w:r>
      <w:r w:rsidR="00B13E0E" w:rsidRPr="001466CE">
        <w:t xml:space="preserve"> thickness (</w:t>
      </w:r>
      <w:r w:rsidR="00B13E0E" w:rsidRPr="0077251F">
        <w:t>e</w:t>
      </w:r>
      <w:r w:rsidR="005B0C0D">
        <w:t>.</w:t>
      </w:r>
      <w:r w:rsidR="00B13E0E" w:rsidRPr="0077251F">
        <w:t>g. equation 3.2</w:t>
      </w:r>
      <w:r w:rsidR="00B13E0E" w:rsidRPr="001466CE">
        <w:t xml:space="preserve">), the volume increase due to thermal expansion is </w:t>
      </w:r>
      <w:r w:rsidR="00B13E0E">
        <w:t xml:space="preserve">marginally </w:t>
      </w:r>
      <w:r w:rsidR="00B13E0E" w:rsidRPr="00641514">
        <w:t>greater</w:t>
      </w:r>
      <w:r w:rsidR="00B13E0E">
        <w:t xml:space="preserve">. </w:t>
      </w:r>
      <w:r w:rsidR="00B13E0E" w:rsidRPr="001466CE">
        <w:t>When a</w:t>
      </w:r>
      <w:r w:rsidR="00B13E0E">
        <w:t xml:space="preserve"> denudated,</w:t>
      </w:r>
      <w:r w:rsidR="00B13E0E" w:rsidRPr="001466CE">
        <w:t xml:space="preserve"> flat basement topography is modelled</w:t>
      </w:r>
      <w:r w:rsidR="00B13E0E">
        <w:t xml:space="preserve"> (</w:t>
      </w:r>
      <w:r w:rsidR="00B13E0E" w:rsidRPr="0077251F">
        <w:t>e</w:t>
      </w:r>
      <w:r w:rsidR="005B0C0D">
        <w:t>.</w:t>
      </w:r>
      <w:r w:rsidR="00B13E0E" w:rsidRPr="0077251F">
        <w:t>g. equation 3.7</w:t>
      </w:r>
      <w:r w:rsidR="00B13E0E">
        <w:t>)</w:t>
      </w:r>
      <w:r w:rsidR="00B13E0E" w:rsidRPr="001466CE">
        <w:t>, lithospher</w:t>
      </w:r>
      <w:r w:rsidR="001F4F6D">
        <w:t>ic</w:t>
      </w:r>
      <w:r w:rsidR="00B13E0E" w:rsidRPr="001466CE">
        <w:t xml:space="preserve"> thickness remains the same yet the ratio of crustal</w:t>
      </w:r>
      <w:r w:rsidR="00B13E0E">
        <w:t xml:space="preserve"> to mantle lithosphere changes. I</w:t>
      </w:r>
      <w:r w:rsidR="00B13E0E" w:rsidRPr="001466CE">
        <w:t>n each instance</w:t>
      </w:r>
      <w:r w:rsidR="0075191E">
        <w:t>,</w:t>
      </w:r>
      <w:r w:rsidR="00B13E0E" w:rsidRPr="001466CE">
        <w:t xml:space="preserve"> the co</w:t>
      </w:r>
      <w:r w:rsidR="00B13E0E">
        <w:t xml:space="preserve">ntrast in thermal expansion is rather insignificant. An additional alteration to Parsons and </w:t>
      </w:r>
      <w:proofErr w:type="spellStart"/>
      <w:r w:rsidR="00B13E0E">
        <w:t>Sclater’s</w:t>
      </w:r>
      <w:proofErr w:type="spellEnd"/>
      <w:r w:rsidR="00B13E0E">
        <w:t xml:space="preserve"> (</w:t>
      </w:r>
      <w:r w:rsidR="00B13E0E" w:rsidRPr="0077251F">
        <w:t>1977</w:t>
      </w:r>
      <w:r w:rsidR="00B13E0E">
        <w:t>) thermal time constant (</w:t>
      </w:r>
      <m:oMath>
        <m:r>
          <w:rPr>
            <w:rFonts w:ascii="Cambria Math" w:hAnsi="Cambria Math"/>
          </w:rPr>
          <m:t>τ</m:t>
        </m:r>
      </m:oMath>
      <w:r w:rsidR="00B13E0E">
        <w:rPr>
          <w:rFonts w:eastAsiaTheme="minorEastAsia"/>
        </w:rPr>
        <w:t>)</w:t>
      </w:r>
      <w:r w:rsidR="00CE3A25">
        <w:rPr>
          <w:rFonts w:eastAsiaTheme="minorEastAsia"/>
        </w:rPr>
        <w:t xml:space="preserve"> </w:t>
      </w:r>
      <w:r w:rsidR="00617761">
        <w:t>is made</w:t>
      </w:r>
      <w:r w:rsidR="00020A1B">
        <w:t xml:space="preserve"> </w:t>
      </w:r>
      <w:r w:rsidR="00B13E0E" w:rsidRPr="0077251F">
        <w:t>(see equation 3.10</w:t>
      </w:r>
      <w:r w:rsidR="00B13E0E">
        <w:t>), which helps g</w:t>
      </w:r>
      <w:r w:rsidR="00617761">
        <w:t>overn the rate of thermal decay</w:t>
      </w:r>
      <w:r w:rsidR="00B13E0E">
        <w:t xml:space="preserve">. Despite this, </w:t>
      </w:r>
      <w:r w:rsidR="00094CF7">
        <w:t>lateral variations in the density of the crust have little to no influence on subsidence during post-rift, thermally driven subsidence and any observed contrasts in subsidence rates during this period are more likely due to differential compaction.</w:t>
      </w:r>
    </w:p>
    <w:p w14:paraId="0DE31E73" w14:textId="77777777" w:rsidR="00B13E0E" w:rsidRPr="00A32C32" w:rsidRDefault="00B13E0E" w:rsidP="009E071D">
      <w:pPr>
        <w:spacing w:line="360" w:lineRule="auto"/>
        <w:rPr>
          <w:rFonts w:eastAsiaTheme="minorEastAsia"/>
        </w:rPr>
      </w:pPr>
      <m:oMathPara>
        <m:oMath>
          <m:r>
            <w:rPr>
              <w:rFonts w:ascii="Cambria Math" w:hAnsi="Cambria Math"/>
            </w:rPr>
            <m:t>τ=</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o</m:t>
                      </m:r>
                    </m:sub>
                  </m:sSub>
                </m:e>
                <m:sup>
                  <m:r>
                    <w:rPr>
                      <w:rFonts w:ascii="Cambria Math" w:hAnsi="Cambria Math"/>
                    </w:rPr>
                    <m:t>2</m:t>
                  </m:r>
                </m:sup>
              </m:sSup>
            </m:num>
            <m:den>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×i</m:t>
              </m:r>
            </m:den>
          </m:f>
        </m:oMath>
      </m:oMathPara>
    </w:p>
    <w:p w14:paraId="5D13EBBB" w14:textId="77777777" w:rsidR="00B13E0E" w:rsidRDefault="00B13E0E" w:rsidP="009E071D">
      <w:pPr>
        <w:spacing w:line="360" w:lineRule="auto"/>
        <w:jc w:val="center"/>
        <w:rPr>
          <w:rFonts w:eastAsiaTheme="minorEastAsia"/>
        </w:rPr>
      </w:pPr>
      <w:r>
        <w:rPr>
          <w:rFonts w:eastAsiaTheme="minorEastAsia"/>
        </w:rPr>
        <w:t>3.10</w:t>
      </w:r>
    </w:p>
    <w:p w14:paraId="6047497C" w14:textId="065AE746" w:rsidR="00EF6346" w:rsidRDefault="00EF6346" w:rsidP="009E071D">
      <w:pPr>
        <w:spacing w:line="360" w:lineRule="auto"/>
      </w:pPr>
      <w:r>
        <w:rPr>
          <w:rFonts w:eastAsiaTheme="minorEastAsia"/>
        </w:rPr>
        <w:tab/>
      </w:r>
      <w:r w:rsidR="00F848C2">
        <w:rPr>
          <w:rFonts w:eastAsiaTheme="minorEastAsia"/>
        </w:rPr>
        <w:t xml:space="preserve">One-dimensional numerical modelling does not support the suggestion that a granite-cored crust can </w:t>
      </w:r>
      <w:proofErr w:type="spellStart"/>
      <w:r w:rsidR="00F848C2">
        <w:rPr>
          <w:rFonts w:eastAsiaTheme="minorEastAsia"/>
        </w:rPr>
        <w:t>isostatically</w:t>
      </w:r>
      <w:proofErr w:type="spellEnd"/>
      <w:r w:rsidR="00F848C2">
        <w:rPr>
          <w:rFonts w:eastAsiaTheme="minorEastAsia"/>
        </w:rPr>
        <w:t xml:space="preserve"> ‘resist’ subsidence during lithospheric extension. Instead, in a lithosphere with no rigidity, the generation of a high is a result of initial </w:t>
      </w:r>
      <w:r w:rsidR="00154563">
        <w:rPr>
          <w:rFonts w:eastAsiaTheme="minorEastAsia"/>
        </w:rPr>
        <w:t>isostatic compensation in response to</w:t>
      </w:r>
      <w:r w:rsidR="00CE3A25">
        <w:rPr>
          <w:rFonts w:eastAsiaTheme="minorEastAsia"/>
        </w:rPr>
        <w:t xml:space="preserve"> </w:t>
      </w:r>
      <w:r w:rsidR="00094CF7">
        <w:rPr>
          <w:rFonts w:eastAsiaTheme="minorEastAsia"/>
        </w:rPr>
        <w:t>the presence of a more buoyant granite body</w:t>
      </w:r>
      <w:r w:rsidR="00154563">
        <w:rPr>
          <w:rFonts w:eastAsiaTheme="minorEastAsia"/>
        </w:rPr>
        <w:t xml:space="preserve"> prior to lithospheric extension</w:t>
      </w:r>
      <w:r w:rsidR="00F848C2">
        <w:rPr>
          <w:rFonts w:eastAsiaTheme="minorEastAsia"/>
        </w:rPr>
        <w:t>. The addition of sediment exaggerates any pre-existing topography.</w:t>
      </w:r>
    </w:p>
    <w:p w14:paraId="29DB111C" w14:textId="623062A8" w:rsidR="00B13E0E" w:rsidRDefault="00B13E0E" w:rsidP="009E071D">
      <w:pPr>
        <w:pStyle w:val="Heading1"/>
        <w:spacing w:line="360" w:lineRule="auto"/>
      </w:pPr>
      <w:r>
        <w:t xml:space="preserve">4.0 </w:t>
      </w:r>
      <w:r w:rsidR="002B2217">
        <w:t>The flexural isostatic response to low-density granite</w:t>
      </w:r>
    </w:p>
    <w:p w14:paraId="542C2AB3" w14:textId="26FCAF41" w:rsidR="00B13E0E" w:rsidRDefault="00B13E0E" w:rsidP="009E071D">
      <w:pPr>
        <w:spacing w:line="360" w:lineRule="auto"/>
      </w:pPr>
      <w:r>
        <w:tab/>
        <w:t>The one-dimensional models prese</w:t>
      </w:r>
      <w:r w:rsidR="009B27B4">
        <w:t>nted above give</w:t>
      </w:r>
      <w:r>
        <w:t xml:space="preserve"> an indication of the isostatic and subsidence behaviour in response to gra</w:t>
      </w:r>
      <w:r w:rsidR="001F4F6D">
        <w:t>nite emplacement and lithospheric</w:t>
      </w:r>
      <w:r>
        <w:t xml:space="preserve"> extension. </w:t>
      </w:r>
      <w:r w:rsidR="0075191E">
        <w:t>In</w:t>
      </w:r>
      <w:r w:rsidR="00CE3A25">
        <w:t xml:space="preserve"> </w:t>
      </w:r>
      <w:r w:rsidR="0075191E">
        <w:t>reality,</w:t>
      </w:r>
      <w:r>
        <w:t xml:space="preserve"> the lithosphere has significant elastic strength</w:t>
      </w:r>
      <w:r w:rsidR="00803014">
        <w:t xml:space="preserve"> or flexural rigidity</w:t>
      </w:r>
      <w:r>
        <w:t xml:space="preserve">; </w:t>
      </w:r>
      <w:r w:rsidR="00CE3A25">
        <w:t>sufficient</w:t>
      </w:r>
      <w:r>
        <w:t xml:space="preserve"> to prevent localised features from being </w:t>
      </w:r>
      <w:r w:rsidRPr="009A7284">
        <w:rPr>
          <w:i/>
        </w:rPr>
        <w:t xml:space="preserve">completely </w:t>
      </w:r>
      <w:r>
        <w:t>compensated for (</w:t>
      </w:r>
      <w:r w:rsidRPr="0077251F">
        <w:t>Watts, 2001</w:t>
      </w:r>
      <w:r>
        <w:t>).</w:t>
      </w:r>
      <w:r w:rsidR="00BF1528">
        <w:t xml:space="preserve"> </w:t>
      </w:r>
    </w:p>
    <w:p w14:paraId="6458861C" w14:textId="4782BEAC" w:rsidR="00B13E0E" w:rsidRDefault="00B13E0E" w:rsidP="009E071D">
      <w:pPr>
        <w:spacing w:line="360" w:lineRule="auto"/>
        <w:ind w:firstLine="720"/>
      </w:pPr>
      <w:r>
        <w:t xml:space="preserve">Assuming </w:t>
      </w:r>
      <w:r w:rsidR="00450A87">
        <w:t xml:space="preserve">the </w:t>
      </w:r>
      <w:r>
        <w:t xml:space="preserve">lithosphere </w:t>
      </w:r>
      <w:r w:rsidR="00450A87">
        <w:t>has a finite flexural rigidity</w:t>
      </w:r>
      <w:r w:rsidR="00AF4EDA">
        <w:t>, figure 5</w:t>
      </w:r>
      <w:r>
        <w:t xml:space="preserve"> illustrates the flexural responses to the </w:t>
      </w:r>
      <w:r w:rsidR="00450A87">
        <w:t xml:space="preserve">emplacement </w:t>
      </w:r>
      <w:r>
        <w:t>of a 5</w:t>
      </w:r>
      <w:r w:rsidR="00075CD0">
        <w:t xml:space="preserve"> </w:t>
      </w:r>
      <w:r>
        <w:t>km deep by 15</w:t>
      </w:r>
      <w:r w:rsidR="00075CD0">
        <w:t xml:space="preserve"> </w:t>
      </w:r>
      <w:r>
        <w:t xml:space="preserve">km wide granite body into a lithosphere with </w:t>
      </w:r>
      <w:r w:rsidR="00E85571">
        <w:t xml:space="preserve">varying </w:t>
      </w:r>
      <w:r>
        <w:t>elastic thicknesses</w:t>
      </w:r>
      <w:r w:rsidR="00130E1A">
        <w:t xml:space="preserve"> (</w:t>
      </w:r>
      <m:oMath>
        <m:r>
          <w:rPr>
            <w:rFonts w:ascii="Cambria Math" w:hAnsi="Cambria Math"/>
          </w:rPr>
          <m:t>Te</m:t>
        </m:r>
      </m:oMath>
      <w:r w:rsidR="00130E1A">
        <w:t>)</w:t>
      </w:r>
      <w:r>
        <w:t xml:space="preserve">. The local (Airy) isostatic response represents a lithosphere with an elastic thickness of </w:t>
      </w:r>
      <w:r w:rsidR="007034DA">
        <w:t>0 km</w:t>
      </w:r>
      <w:r>
        <w:t>. The resulting topography imitates that of the granite body at d</w:t>
      </w:r>
      <w:r w:rsidR="001F4F6D">
        <w:t>epth. To incorporate lithospheric</w:t>
      </w:r>
      <w:r>
        <w:t xml:space="preserve"> flexure, the </w:t>
      </w:r>
      <w:r w:rsidR="00E25BD0">
        <w:t>solution</w:t>
      </w:r>
      <w:r>
        <w:t xml:space="preserve"> representing the local isostatic response of the lithosphere </w:t>
      </w:r>
      <w:r w:rsidR="0075191E">
        <w:t>presented previously (</w:t>
      </w:r>
      <w:r w:rsidR="00E25BD0">
        <w:t>2.5</w:t>
      </w:r>
      <w:r w:rsidR="0075191E">
        <w:t xml:space="preserve">) </w:t>
      </w:r>
      <w:r w:rsidR="00E25BD0">
        <w:t>is</w:t>
      </w:r>
      <w:r>
        <w:t xml:space="preserve"> rearranged and solved using </w:t>
      </w:r>
      <w:r w:rsidR="00450A87">
        <w:t xml:space="preserve">a </w:t>
      </w:r>
      <w:r>
        <w:t>Fast Fourier Transform</w:t>
      </w:r>
      <w:r w:rsidR="00450A87">
        <w:t xml:space="preserve"> technique</w:t>
      </w:r>
      <w:r>
        <w:t xml:space="preserve"> (</w:t>
      </w:r>
      <w:r w:rsidR="001C79DB">
        <w:t>Cooley and Tuk</w:t>
      </w:r>
      <w:r w:rsidRPr="0077251F">
        <w:t>ey, 1965; Watts, 2001</w:t>
      </w:r>
      <w:r>
        <w:t xml:space="preserve">). </w:t>
      </w:r>
      <w:r w:rsidR="00617761">
        <w:t>W</w:t>
      </w:r>
      <w:r>
        <w:t xml:space="preserve">here the flexural response to a density </w:t>
      </w:r>
      <w:r>
        <w:lastRenderedPageBreak/>
        <w:t>deficiency</w:t>
      </w:r>
      <w:r w:rsidR="00CE3A25">
        <w:t xml:space="preserve"> </w:t>
      </w:r>
      <w:r>
        <w:t>in the crust</w:t>
      </w:r>
      <w:r w:rsidR="003F6929">
        <w:t>, and not thermal expansion,</w:t>
      </w:r>
      <w:r>
        <w:t xml:space="preserve"> due to granite emplacement is modelled, the load at a given point (</w:t>
      </w:r>
      <m:oMath>
        <m:r>
          <w:rPr>
            <w:rFonts w:ascii="Cambria Math" w:hAnsi="Cambria Math"/>
          </w:rPr>
          <m:t>x</m:t>
        </m:r>
      </m:oMath>
      <w:r>
        <w:t>) can be given by:</w:t>
      </w:r>
    </w:p>
    <w:p w14:paraId="331DD9EE" w14:textId="77777777" w:rsidR="00B13E0E" w:rsidRPr="00BD041C" w:rsidRDefault="00E27D3D" w:rsidP="009E071D">
      <w:pPr>
        <w:spacing w:line="360" w:lineRule="auto"/>
        <w:rPr>
          <w:rFonts w:eastAsiaTheme="minorEastAsia"/>
        </w:rPr>
      </w:pPr>
      <m:oMathPara>
        <m:oMath>
          <m:sSub>
            <m:sSubPr>
              <m:ctrlPr>
                <w:rPr>
                  <w:rFonts w:ascii="Cambria Math" w:hAnsi="Cambria Math"/>
                  <w:i/>
                </w:rPr>
              </m:ctrlPr>
            </m:sSubPr>
            <m:e>
              <m:r>
                <w:rPr>
                  <w:rFonts w:ascii="Cambria Math" w:hAnsi="Cambria Math"/>
                </w:rPr>
                <m:t>Load</m:t>
              </m:r>
            </m:e>
            <m:sub>
              <m:r>
                <w:rPr>
                  <w:rFonts w:ascii="Cambria Math" w:hAnsi="Cambria Math"/>
                </w:rPr>
                <m:t>(x)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GR</m:t>
                  </m:r>
                </m:e>
                <m:sub>
                  <m:r>
                    <w:rPr>
                      <w:rFonts w:ascii="Cambria Math" w:hAnsi="Cambria Math"/>
                    </w:rPr>
                    <m:t>(x)</m:t>
                  </m:r>
                </m:sub>
              </m:sSub>
              <m:r>
                <w:rPr>
                  <w:rFonts w:ascii="Cambria Math" w:hAnsi="Cambria Math"/>
                </w:rPr>
                <m:t>×1000</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c</m:t>
                  </m:r>
                </m:sub>
              </m:sSub>
            </m:e>
          </m:d>
          <m:r>
            <w:rPr>
              <w:rFonts w:ascii="Cambria Math" w:hAnsi="Cambria Math"/>
            </w:rPr>
            <m:t>×g</m:t>
          </m:r>
        </m:oMath>
      </m:oMathPara>
    </w:p>
    <w:p w14:paraId="1B3E5FAC" w14:textId="77777777" w:rsidR="00B13E0E" w:rsidRPr="00467491" w:rsidRDefault="00B13E0E" w:rsidP="009E071D">
      <w:pPr>
        <w:spacing w:line="360" w:lineRule="auto"/>
        <w:jc w:val="center"/>
        <w:rPr>
          <w:rFonts w:eastAsiaTheme="minorEastAsia"/>
        </w:rPr>
      </w:pPr>
      <w:r>
        <w:rPr>
          <w:rFonts w:eastAsiaTheme="minorEastAsia"/>
        </w:rPr>
        <w:t>4.1</w:t>
      </w:r>
    </w:p>
    <w:p w14:paraId="42E905A7" w14:textId="5FEAF340" w:rsidR="00B13E0E" w:rsidRDefault="00B13E0E" w:rsidP="009E071D">
      <w:pPr>
        <w:spacing w:line="360" w:lineRule="auto"/>
        <w:rPr>
          <w:rFonts w:eastAsiaTheme="minorEastAsia"/>
        </w:rPr>
      </w:pPr>
      <w:r>
        <w:rPr>
          <w:rFonts w:eastAsiaTheme="minorEastAsia"/>
        </w:rPr>
        <w:tab/>
        <w:t xml:space="preserve">Before </w:t>
      </w:r>
      <w:r w:rsidR="00450A87">
        <w:rPr>
          <w:rFonts w:eastAsiaTheme="minorEastAsia"/>
        </w:rPr>
        <w:t xml:space="preserve">calculating </w:t>
      </w:r>
      <w:r>
        <w:rPr>
          <w:rFonts w:eastAsiaTheme="minorEastAsia"/>
        </w:rPr>
        <w:t>the flexural response to this load</w:t>
      </w:r>
      <w:r w:rsidR="00450A87">
        <w:rPr>
          <w:rFonts w:eastAsiaTheme="minorEastAsia"/>
        </w:rPr>
        <w:t>,</w:t>
      </w:r>
      <w:r>
        <w:rPr>
          <w:rFonts w:eastAsiaTheme="minorEastAsia"/>
        </w:rPr>
        <w:t xml:space="preserve"> the flexural rigidity </w:t>
      </w:r>
      <w:r w:rsidR="00450A87">
        <w:rPr>
          <w:rFonts w:eastAsiaTheme="minorEastAsia"/>
        </w:rPr>
        <w:t xml:space="preserve">of the lithosphere </w:t>
      </w:r>
      <w:r>
        <w:rPr>
          <w:rFonts w:eastAsiaTheme="minorEastAsia"/>
        </w:rPr>
        <w:t>must be defined. Flexural rigidity (</w:t>
      </w:r>
      <m:oMath>
        <m:r>
          <w:rPr>
            <w:rFonts w:ascii="Cambria Math" w:eastAsiaTheme="minorEastAsia" w:hAnsi="Cambria Math"/>
          </w:rPr>
          <m:t>D</m:t>
        </m:r>
      </m:oMath>
      <w:r>
        <w:rPr>
          <w:rFonts w:eastAsiaTheme="minorEastAsia"/>
        </w:rPr>
        <w:t>) is proportional to the elastic thickness</w:t>
      </w:r>
      <w:r w:rsidR="00130E1A">
        <w:rPr>
          <w:rFonts w:eastAsiaTheme="minorEastAsia"/>
        </w:rPr>
        <w:t xml:space="preserve"> (</w:t>
      </w:r>
      <m:oMath>
        <m:r>
          <w:rPr>
            <w:rFonts w:ascii="Cambria Math" w:eastAsiaTheme="minorEastAsia" w:hAnsi="Cambria Math"/>
          </w:rPr>
          <m:t>Te</m:t>
        </m:r>
      </m:oMath>
      <w:r w:rsidR="00130E1A">
        <w:rPr>
          <w:rFonts w:eastAsiaTheme="minorEastAsia"/>
        </w:rPr>
        <w:t>)</w:t>
      </w:r>
      <w:r>
        <w:rPr>
          <w:rFonts w:eastAsiaTheme="minorEastAsia"/>
        </w:rPr>
        <w:t xml:space="preserve"> of the lithosphere </w:t>
      </w:r>
      <w:r w:rsidR="00FB0451">
        <w:rPr>
          <w:rFonts w:eastAsiaTheme="minorEastAsia"/>
        </w:rPr>
        <w:t>(</w:t>
      </w:r>
      <w:r w:rsidR="00977372" w:rsidRPr="00EC5F46">
        <w:rPr>
          <w:rFonts w:eastAsiaTheme="minorEastAsia"/>
          <w:i/>
        </w:rPr>
        <w:t>cf.</w:t>
      </w:r>
      <w:r w:rsidR="00CE3A25">
        <w:rPr>
          <w:rFonts w:eastAsiaTheme="minorEastAsia"/>
          <w:i/>
        </w:rPr>
        <w:t xml:space="preserve"> </w:t>
      </w:r>
      <w:r w:rsidR="0066656A">
        <w:rPr>
          <w:rFonts w:eastAsiaTheme="minorEastAsia"/>
        </w:rPr>
        <w:t>Watts, 2001</w:t>
      </w:r>
      <w:r w:rsidR="00FB0451">
        <w:rPr>
          <w:rFonts w:eastAsiaTheme="minorEastAsia"/>
        </w:rPr>
        <w:t>)</w:t>
      </w:r>
      <w:r>
        <w:rPr>
          <w:rFonts w:eastAsiaTheme="minorEastAsia"/>
        </w:rPr>
        <w:t>:</w:t>
      </w:r>
    </w:p>
    <w:p w14:paraId="008AAC0B" w14:textId="77777777" w:rsidR="00B13E0E" w:rsidRPr="00BD041C" w:rsidRDefault="00B13E0E" w:rsidP="009E071D">
      <w:pPr>
        <w:spacing w:line="360" w:lineRule="auto"/>
        <w:rPr>
          <w:rFonts w:eastAsiaTheme="minorEastAsia"/>
        </w:rPr>
      </w:pPr>
      <m:oMathPara>
        <m:oMath>
          <m:r>
            <w:rPr>
              <w:rFonts w:ascii="Cambria Math" w:eastAsiaTheme="minorEastAsia" w:hAnsi="Cambria Math"/>
            </w:rPr>
            <m:t>D=</m:t>
          </m:r>
          <m:f>
            <m:fPr>
              <m:ctrlPr>
                <w:rPr>
                  <w:rFonts w:ascii="Cambria Math" w:eastAsiaTheme="minorEastAsia" w:hAnsi="Cambria Math"/>
                  <w:i/>
                </w:rPr>
              </m:ctrlPr>
            </m:fPr>
            <m:num>
              <m:r>
                <w:rPr>
                  <w:rFonts w:ascii="Cambria Math" w:eastAsiaTheme="minorEastAsia" w:hAnsi="Cambria Math"/>
                </w:rPr>
                <m:t>E×</m:t>
              </m:r>
              <m:sSup>
                <m:sSupPr>
                  <m:ctrlPr>
                    <w:rPr>
                      <w:rFonts w:ascii="Cambria Math" w:eastAsiaTheme="minorEastAsia" w:hAnsi="Cambria Math"/>
                      <w:i/>
                    </w:rPr>
                  </m:ctrlPr>
                </m:sSupPr>
                <m:e>
                  <m:r>
                    <w:rPr>
                      <w:rFonts w:ascii="Cambria Math" w:eastAsiaTheme="minorEastAsia" w:hAnsi="Cambria Math"/>
                    </w:rPr>
                    <m:t>Te</m:t>
                  </m:r>
                </m:e>
                <m:sup>
                  <m:r>
                    <w:rPr>
                      <w:rFonts w:ascii="Cambria Math" w:eastAsiaTheme="minorEastAsia" w:hAnsi="Cambria Math"/>
                    </w:rPr>
                    <m:t>3</m:t>
                  </m:r>
                </m:sup>
              </m:sSup>
            </m:num>
            <m:den>
              <m:r>
                <w:rPr>
                  <w:rFonts w:ascii="Cambria Math" w:eastAsiaTheme="minorEastAsia" w:hAnsi="Cambria Math"/>
                </w:rPr>
                <m:t>12</m:t>
              </m:r>
              <m:d>
                <m:dPr>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e>
              </m:d>
            </m:den>
          </m:f>
        </m:oMath>
      </m:oMathPara>
    </w:p>
    <w:p w14:paraId="62F6C356" w14:textId="77777777" w:rsidR="00B13E0E" w:rsidRPr="00F65E6B" w:rsidRDefault="00B13E0E" w:rsidP="009E071D">
      <w:pPr>
        <w:spacing w:line="360" w:lineRule="auto"/>
        <w:jc w:val="center"/>
        <w:rPr>
          <w:rFonts w:eastAsiaTheme="minorEastAsia"/>
        </w:rPr>
      </w:pPr>
      <w:r>
        <w:rPr>
          <w:rFonts w:eastAsiaTheme="minorEastAsia"/>
        </w:rPr>
        <w:t>4.2</w:t>
      </w:r>
    </w:p>
    <w:p w14:paraId="2FB0B3EE" w14:textId="77777777" w:rsidR="00A31077" w:rsidRDefault="00A31077" w:rsidP="009E071D">
      <w:pPr>
        <w:spacing w:line="360" w:lineRule="auto"/>
        <w:rPr>
          <w:rFonts w:eastAsiaTheme="minorEastAsia"/>
        </w:rPr>
      </w:pPr>
      <w:r>
        <w:rPr>
          <w:rFonts w:eastAsiaTheme="minorEastAsia"/>
        </w:rPr>
        <w:t xml:space="preserve">Where </w:t>
      </w:r>
      <m:oMath>
        <m:r>
          <w:rPr>
            <w:rFonts w:ascii="Cambria Math" w:eastAsiaTheme="minorEastAsia" w:hAnsi="Cambria Math"/>
          </w:rPr>
          <m:t>E</m:t>
        </m:r>
      </m:oMath>
      <w:r>
        <w:rPr>
          <w:rFonts w:eastAsiaTheme="minorEastAsia"/>
        </w:rPr>
        <w:t xml:space="preserve"> is Young’s modulus and </w:t>
      </w:r>
      <m:oMath>
        <m:r>
          <w:rPr>
            <w:rFonts w:ascii="Cambria Math" w:eastAsiaTheme="minorEastAsia" w:hAnsi="Cambria Math"/>
          </w:rPr>
          <m:t>v</m:t>
        </m:r>
      </m:oMath>
      <w:r w:rsidR="005246C0">
        <w:rPr>
          <w:rFonts w:eastAsiaTheme="minorEastAsia"/>
        </w:rPr>
        <w:t xml:space="preserve"> represents Poisson’s ratio.</w:t>
      </w:r>
    </w:p>
    <w:p w14:paraId="28F36FCE" w14:textId="77777777" w:rsidR="00B13E0E" w:rsidRDefault="00B13E0E" w:rsidP="009E071D">
      <w:pPr>
        <w:spacing w:line="360" w:lineRule="auto"/>
        <w:rPr>
          <w:rFonts w:eastAsiaTheme="minorEastAsia"/>
        </w:rPr>
      </w:pPr>
      <w:r>
        <w:rPr>
          <w:rFonts w:eastAsiaTheme="minorEastAsia"/>
        </w:rPr>
        <w:t>Within the frequency domain the flexural response (</w:t>
      </w:r>
      <m:oMath>
        <m:r>
          <w:rPr>
            <w:rFonts w:ascii="Cambria Math" w:hAnsi="Cambria Math"/>
          </w:rPr>
          <m:t>resp</m:t>
        </m:r>
      </m:oMath>
      <w:r>
        <w:rPr>
          <w:rFonts w:eastAsiaTheme="minorEastAsia"/>
        </w:rPr>
        <w:t>) to this load can be determined by:</w:t>
      </w:r>
    </w:p>
    <w:p w14:paraId="1E14EA1C" w14:textId="77777777" w:rsidR="00B13E0E" w:rsidRPr="00BD041C" w:rsidRDefault="00B13E0E" w:rsidP="009E071D">
      <w:pPr>
        <w:spacing w:line="360" w:lineRule="auto"/>
        <w:rPr>
          <w:rFonts w:eastAsiaTheme="minorEastAsia"/>
        </w:rPr>
      </w:pPr>
      <m:oMathPara>
        <m:oMath>
          <m:r>
            <w:rPr>
              <w:rFonts w:ascii="Cambria Math" w:hAnsi="Cambria Math"/>
            </w:rPr>
            <m:t>resp=</m:t>
          </m:r>
          <m:f>
            <m:fPr>
              <m:ctrlPr>
                <w:rPr>
                  <w:rFonts w:ascii="Cambria Math" w:hAnsi="Cambria Math"/>
                  <w:i/>
                </w:rPr>
              </m:ctrlPr>
            </m:fPr>
            <m:num>
              <m:sSub>
                <m:sSubPr>
                  <m:ctrlPr>
                    <w:rPr>
                      <w:rFonts w:ascii="Cambria Math" w:hAnsi="Cambria Math"/>
                      <w:i/>
                    </w:rPr>
                  </m:ctrlPr>
                </m:sSubPr>
                <m:e>
                  <m:r>
                    <w:rPr>
                      <w:rFonts w:ascii="Cambria Math" w:hAnsi="Cambria Math"/>
                    </w:rPr>
                    <m:t>Load</m:t>
                  </m:r>
                </m:e>
                <m:sub>
                  <m:r>
                    <w:rPr>
                      <w:rFonts w:ascii="Cambria Math" w:hAnsi="Cambria Math"/>
                    </w:rPr>
                    <m:t>(x)</m:t>
                  </m:r>
                </m:sub>
              </m:sSub>
            </m:num>
            <m:den>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m</m:t>
                      </m:r>
                    </m:sub>
                  </m:sSub>
                  <m:r>
                    <w:rPr>
                      <w:rFonts w:ascii="Cambria Math" w:hAnsi="Cambria Math"/>
                    </w:rPr>
                    <m:t>×g</m:t>
                  </m:r>
                </m:e>
              </m:d>
              <m:r>
                <w:rPr>
                  <w:rFonts w:ascii="Cambria Math" w:hAnsi="Cambria Math"/>
                </w:rPr>
                <m:t>+</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resp</m:t>
                      </m:r>
                    </m:e>
                    <m:sub>
                      <m:r>
                        <w:rPr>
                          <w:rFonts w:ascii="Cambria Math" w:hAnsi="Cambria Math"/>
                        </w:rPr>
                        <m:t>1</m:t>
                      </m:r>
                    </m:sub>
                  </m:sSub>
                </m:e>
              </m:d>
            </m:den>
          </m:f>
        </m:oMath>
      </m:oMathPara>
    </w:p>
    <w:p w14:paraId="2365F776" w14:textId="77777777" w:rsidR="00B13E0E" w:rsidRPr="005E7193" w:rsidRDefault="00B13E0E" w:rsidP="009E071D">
      <w:pPr>
        <w:spacing w:line="360" w:lineRule="auto"/>
        <w:jc w:val="center"/>
        <w:rPr>
          <w:rFonts w:eastAsiaTheme="minorEastAsia"/>
        </w:rPr>
      </w:pPr>
      <w:r>
        <w:rPr>
          <w:rFonts w:eastAsiaTheme="minorEastAsia"/>
        </w:rPr>
        <w:t>4.3</w:t>
      </w:r>
    </w:p>
    <w:p w14:paraId="19D321B1" w14:textId="77777777" w:rsidR="00B13E0E" w:rsidRPr="00BD041C" w:rsidRDefault="00E27D3D" w:rsidP="009E071D">
      <w:pPr>
        <w:spacing w:line="360" w:lineRule="auto"/>
        <w:rPr>
          <w:rFonts w:eastAsiaTheme="minorEastAsia"/>
        </w:rPr>
      </w:pPr>
      <m:oMathPara>
        <m:oMath>
          <m:sSub>
            <m:sSubPr>
              <m:ctrlPr>
                <w:rPr>
                  <w:rFonts w:ascii="Cambria Math" w:hAnsi="Cambria Math"/>
                  <w:i/>
                </w:rPr>
              </m:ctrlPr>
            </m:sSubPr>
            <m:e>
              <m:r>
                <w:rPr>
                  <w:rFonts w:ascii="Cambria Math" w:hAnsi="Cambria Math"/>
                </w:rPr>
                <m:t>resp</m:t>
              </m:r>
            </m:e>
            <m:sub>
              <m:r>
                <w:rPr>
                  <w:rFonts w:ascii="Cambria Math" w:hAnsi="Cambria Math"/>
                </w:rPr>
                <m:t>1</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2×π×k</m:t>
                      </m:r>
                    </m:num>
                    <m:den>
                      <m:r>
                        <w:rPr>
                          <w:rFonts w:ascii="Cambria Math" w:hAnsi="Cambria Math"/>
                        </w:rPr>
                        <m:t>N×2×1000</m:t>
                      </m:r>
                    </m:den>
                  </m:f>
                </m:e>
              </m:d>
            </m:e>
            <m:sup>
              <m:r>
                <w:rPr>
                  <w:rFonts w:ascii="Cambria Math" w:hAnsi="Cambria Math"/>
                </w:rPr>
                <m:t>4</m:t>
              </m:r>
            </m:sup>
          </m:sSup>
        </m:oMath>
      </m:oMathPara>
    </w:p>
    <w:p w14:paraId="53C04324" w14:textId="77777777" w:rsidR="00A31077" w:rsidRDefault="00482C84" w:rsidP="009E071D">
      <w:pPr>
        <w:spacing w:line="360" w:lineRule="auto"/>
        <w:jc w:val="center"/>
        <w:rPr>
          <w:rFonts w:eastAsiaTheme="minorEastAsia"/>
        </w:rPr>
      </w:pPr>
      <w:r>
        <w:rPr>
          <w:rFonts w:eastAsiaTheme="minorEastAsia"/>
        </w:rPr>
        <w:t>4.4</w:t>
      </w:r>
    </w:p>
    <w:p w14:paraId="11DC8CA1" w14:textId="77777777" w:rsidR="000301D5" w:rsidRPr="002353D4" w:rsidRDefault="000301D5" w:rsidP="009E071D">
      <w:pPr>
        <w:spacing w:line="360" w:lineRule="auto"/>
        <w:rPr>
          <w:rFonts w:eastAsiaTheme="minorEastAsia"/>
        </w:rPr>
      </w:pPr>
      <w:r>
        <w:rPr>
          <w:rFonts w:eastAsiaTheme="minorEastAsia"/>
        </w:rPr>
        <w:t xml:space="preserve">Where </w:t>
      </w:r>
      <m:oMath>
        <m:r>
          <w:rPr>
            <w:rFonts w:ascii="Cambria Math" w:eastAsiaTheme="minorEastAsia" w:hAnsi="Cambria Math"/>
          </w:rPr>
          <m:t>k</m:t>
        </m:r>
      </m:oMath>
      <w:proofErr w:type="gramStart"/>
      <w:r>
        <w:rPr>
          <w:rFonts w:eastAsiaTheme="minorEastAsia"/>
        </w:rPr>
        <w:t xml:space="preserve"> is the wave</w:t>
      </w:r>
      <w:proofErr w:type="gramEnd"/>
      <w:r>
        <w:rPr>
          <w:rFonts w:eastAsiaTheme="minorEastAsia"/>
        </w:rPr>
        <w:t xml:space="preserve"> number and </w:t>
      </w:r>
      <m:oMath>
        <m:r>
          <w:rPr>
            <w:rFonts w:ascii="Cambria Math" w:eastAsiaTheme="minorEastAsia" w:hAnsi="Cambria Math"/>
          </w:rPr>
          <m:t>N</m:t>
        </m:r>
      </m:oMath>
      <w:r>
        <w:rPr>
          <w:rFonts w:eastAsiaTheme="minorEastAsia"/>
        </w:rPr>
        <w:t xml:space="preserve"> is the width of the profile.</w:t>
      </w:r>
    </w:p>
    <w:p w14:paraId="550BBA14" w14:textId="6111817E" w:rsidR="00B13E0E" w:rsidRDefault="00B13E0E" w:rsidP="009E071D">
      <w:pPr>
        <w:spacing w:line="360" w:lineRule="auto"/>
        <w:ind w:firstLine="720"/>
      </w:pPr>
      <w:r>
        <w:t>As elastic thickness</w:t>
      </w:r>
      <w:r w:rsidR="00130E1A">
        <w:t xml:space="preserve"> (</w:t>
      </w:r>
      <m:oMath>
        <m:r>
          <w:rPr>
            <w:rFonts w:ascii="Cambria Math" w:hAnsi="Cambria Math"/>
          </w:rPr>
          <m:t>Te</m:t>
        </m:r>
      </m:oMath>
      <w:r w:rsidR="00130E1A">
        <w:t>)</w:t>
      </w:r>
      <w:r>
        <w:t xml:space="preserve"> incre</w:t>
      </w:r>
      <w:r w:rsidR="00617761">
        <w:t>ases, maximum uplift decreases</w:t>
      </w:r>
      <w:r w:rsidR="00CE3A25">
        <w:t xml:space="preserve"> </w:t>
      </w:r>
      <w:r>
        <w:t xml:space="preserve">at a rapid rate at first which then decays exponentially with increased </w:t>
      </w:r>
      <w:proofErr w:type="spellStart"/>
      <w:r w:rsidR="000301D5">
        <w:t>Te</w:t>
      </w:r>
      <w:proofErr w:type="spellEnd"/>
      <w:proofErr w:type="gramStart"/>
      <w:r w:rsidR="00FB0451">
        <w:t>;</w:t>
      </w:r>
      <w:proofErr w:type="gramEnd"/>
      <w:r w:rsidR="00FB0451">
        <w:t xml:space="preserve"> </w:t>
      </w:r>
      <w:r w:rsidR="00075CD0">
        <w:t>whilst</w:t>
      </w:r>
      <w:r w:rsidR="00FB0451">
        <w:t xml:space="preserve"> the width or wavelength of the flexural deflection increases</w:t>
      </w:r>
      <w:r w:rsidR="00AF4EDA">
        <w:t xml:space="preserve"> (Fig. 5</w:t>
      </w:r>
      <w:r w:rsidR="005B5F04">
        <w:t>)</w:t>
      </w:r>
      <w:r>
        <w:t>. With an elastic thickness of 10</w:t>
      </w:r>
      <w:r w:rsidR="00075CD0">
        <w:t xml:space="preserve"> </w:t>
      </w:r>
      <w:r>
        <w:t xml:space="preserve">km, maximum uplift is ~64 </w:t>
      </w:r>
      <w:r w:rsidR="007034DA">
        <w:t xml:space="preserve">m </w:t>
      </w:r>
      <w:r>
        <w:t xml:space="preserve">compared with an Airy isostatic response of ~258 </w:t>
      </w:r>
      <w:r w:rsidR="007034DA">
        <w:t>m</w:t>
      </w:r>
      <w:r>
        <w:t>.</w:t>
      </w:r>
      <w:r w:rsidR="00CE3A25">
        <w:t xml:space="preserve"> </w:t>
      </w:r>
      <w:r w:rsidR="005246C0">
        <w:t>However</w:t>
      </w:r>
      <w:r w:rsidR="00A36028">
        <w:t xml:space="preserve">, the width of the flexural uplift increases to approximately </w:t>
      </w:r>
      <w:r w:rsidR="008D7E1E">
        <w:t xml:space="preserve">120 km for an elastic thickness of 10 km compared to 15 km for Airy isostasy, which matches the width of the granite body. </w:t>
      </w:r>
      <w:r w:rsidR="003F6929">
        <w:t>Various authors have pointed out that flexural stress can be relaxed over time since the lithosphere acts as a viscoelastic material (</w:t>
      </w:r>
      <w:r w:rsidR="003F6929" w:rsidRPr="00641C65">
        <w:t xml:space="preserve">Stein et al., 1989; Watts and </w:t>
      </w:r>
      <w:proofErr w:type="spellStart"/>
      <w:r w:rsidR="003F6929" w:rsidRPr="00641C65">
        <w:t>Zhong</w:t>
      </w:r>
      <w:proofErr w:type="spellEnd"/>
      <w:r w:rsidR="003F6929" w:rsidRPr="00641C65">
        <w:t>, 2000</w:t>
      </w:r>
      <w:r w:rsidR="003F6929">
        <w:t>) and that elastic thickness can vary according to the thermal state of the lithosphere (</w:t>
      </w:r>
      <w:proofErr w:type="spellStart"/>
      <w:r w:rsidR="003F6929" w:rsidRPr="00641C65">
        <w:t>Burov</w:t>
      </w:r>
      <w:proofErr w:type="spellEnd"/>
      <w:r w:rsidR="003F6929" w:rsidRPr="00641C65">
        <w:t xml:space="preserve"> and </w:t>
      </w:r>
      <w:proofErr w:type="spellStart"/>
      <w:r w:rsidR="003F6929" w:rsidRPr="00641C65">
        <w:t>Diament</w:t>
      </w:r>
      <w:proofErr w:type="spellEnd"/>
      <w:r w:rsidR="003F6929" w:rsidRPr="00641C65">
        <w:t>, 1995</w:t>
      </w:r>
      <w:r w:rsidR="003F6929">
        <w:t xml:space="preserve">). </w:t>
      </w:r>
      <w:r w:rsidR="00B948B6">
        <w:t xml:space="preserve">Nevertheless, </w:t>
      </w:r>
      <w:r w:rsidR="005246C0">
        <w:t>the</w:t>
      </w:r>
      <w:r>
        <w:t xml:space="preserve"> incorporation of flexure within a two-dimensional model</w:t>
      </w:r>
      <w:r w:rsidR="00CE3A25">
        <w:t xml:space="preserve"> </w:t>
      </w:r>
      <w:r>
        <w:t xml:space="preserve">significantly limits the influence of a granite body on basement topography. </w:t>
      </w:r>
      <w:r w:rsidR="00617761">
        <w:t>Therefore, t</w:t>
      </w:r>
      <w:r>
        <w:t xml:space="preserve">he </w:t>
      </w:r>
      <w:r>
        <w:lastRenderedPageBreak/>
        <w:t>implicatio</w:t>
      </w:r>
      <w:r w:rsidR="00617761">
        <w:t>ns of incorporating flexure</w:t>
      </w:r>
      <w:r>
        <w:t xml:space="preserve"> include limiting</w:t>
      </w:r>
      <w:r w:rsidR="00CE3A25">
        <w:t xml:space="preserve"> </w:t>
      </w:r>
      <w:r w:rsidR="00324D0C">
        <w:t xml:space="preserve">isostatic </w:t>
      </w:r>
      <w:r w:rsidR="00856C6D">
        <w:t xml:space="preserve">uplift and </w:t>
      </w:r>
      <w:r w:rsidR="002C4078">
        <w:t>as well as</w:t>
      </w:r>
      <w:r w:rsidR="00856C6D">
        <w:t xml:space="preserve"> </w:t>
      </w:r>
      <w:r w:rsidR="00B948B6">
        <w:t xml:space="preserve">limiting </w:t>
      </w:r>
      <w:r>
        <w:t xml:space="preserve">the potential influence of pre-extensional erosion </w:t>
      </w:r>
      <w:r w:rsidR="00617761">
        <w:t>and</w:t>
      </w:r>
      <w:r>
        <w:t xml:space="preserve"> differential loading.</w:t>
      </w:r>
    </w:p>
    <w:p w14:paraId="1579009F" w14:textId="2D0E6172" w:rsidR="0009477B" w:rsidRDefault="00BD2FB8" w:rsidP="009E071D">
      <w:pPr>
        <w:spacing w:line="360" w:lineRule="auto"/>
        <w:ind w:firstLine="720"/>
      </w:pPr>
      <w:r>
        <w:t>Two-dimensional numerical modelling suggests that initial isostatic compensation due to granite emplacemen</w:t>
      </w:r>
      <w:r w:rsidR="00CC1E0A">
        <w:t>t is incomplete when lithospheric</w:t>
      </w:r>
      <w:r>
        <w:t xml:space="preserve"> rigidity is incorporated. </w:t>
      </w:r>
      <w:r w:rsidR="00C07CB0">
        <w:t>D</w:t>
      </w:r>
      <w:r>
        <w:t>epending on the flexural rigidity and effective elastic thickness (</w:t>
      </w:r>
      <m:oMath>
        <m:r>
          <w:rPr>
            <w:rFonts w:ascii="Cambria Math" w:hAnsi="Cambria Math"/>
          </w:rPr>
          <m:t>Te</m:t>
        </m:r>
      </m:oMath>
      <w:r>
        <w:t>)</w:t>
      </w:r>
      <w:r w:rsidR="0095018D">
        <w:t xml:space="preserve"> of the lithosphere,</w:t>
      </w:r>
      <w:r w:rsidR="00CE3A25">
        <w:t xml:space="preserve"> </w:t>
      </w:r>
      <w:r w:rsidR="00E613F6">
        <w:t>a regional flexural profile is generated</w:t>
      </w:r>
      <w:r w:rsidR="003F6929">
        <w:t xml:space="preserve"> prior to lithospheric extension.</w:t>
      </w:r>
      <w:r w:rsidR="00CE3A25">
        <w:t xml:space="preserve"> </w:t>
      </w:r>
      <w:r w:rsidR="005A69C9">
        <w:t>As isostatic compensation is incomplete</w:t>
      </w:r>
      <w:r w:rsidR="003F6929">
        <w:t>,</w:t>
      </w:r>
      <w:r w:rsidR="00CE3A25">
        <w:t xml:space="preserve"> </w:t>
      </w:r>
      <w:r>
        <w:t xml:space="preserve">a </w:t>
      </w:r>
      <w:r w:rsidR="007C4093">
        <w:t xml:space="preserve">likely </w:t>
      </w:r>
      <w:r>
        <w:t>residual under-compensated ‘buoyancy force’ remains beyond granite emplacement and the subsequent thermal re-</w:t>
      </w:r>
      <w:r w:rsidR="00CC1E0A">
        <w:t>equilibration of the lithospheric</w:t>
      </w:r>
      <w:r>
        <w:t xml:space="preserve"> temperature profile along with forces related to flexural tension (both </w:t>
      </w:r>
      <w:r w:rsidR="00B948B6">
        <w:t xml:space="preserve">of which are </w:t>
      </w:r>
      <w:r>
        <w:t xml:space="preserve">referred to as ‘second-order forces’ by </w:t>
      </w:r>
      <w:proofErr w:type="spellStart"/>
      <w:r w:rsidR="00C3017E">
        <w:t>Sonder</w:t>
      </w:r>
      <w:proofErr w:type="spellEnd"/>
      <w:r w:rsidR="00C3017E">
        <w:t xml:space="preserve">, 1990 and </w:t>
      </w:r>
      <w:proofErr w:type="spellStart"/>
      <w:r w:rsidR="003E59D2">
        <w:t>Zoback</w:t>
      </w:r>
      <w:proofErr w:type="spellEnd"/>
      <w:r w:rsidR="003E59D2">
        <w:t xml:space="preserve"> et al., 1992</w:t>
      </w:r>
      <w:r>
        <w:t>).</w:t>
      </w:r>
    </w:p>
    <w:p w14:paraId="1BBD2DAE" w14:textId="0300C5A3" w:rsidR="00075CD0" w:rsidRDefault="00075CD0" w:rsidP="009E071D">
      <w:pPr>
        <w:spacing w:line="360" w:lineRule="auto"/>
        <w:ind w:firstLine="720"/>
      </w:pPr>
      <w:r>
        <w:t>In order to investigate the relationship between low-density granite bodies and rift basin architecture further, a 2D lithosphere-scale geodynamic modelling approach is adopted. Our northern England case study provides our models with constraint.</w:t>
      </w:r>
    </w:p>
    <w:p w14:paraId="14887F48" w14:textId="77777777" w:rsidR="001C14BC" w:rsidRDefault="00B13E0E" w:rsidP="009E071D">
      <w:pPr>
        <w:pStyle w:val="Heading1"/>
        <w:spacing w:line="360" w:lineRule="auto"/>
      </w:pPr>
      <w:r>
        <w:t xml:space="preserve">5.0 </w:t>
      </w:r>
      <w:r w:rsidR="002C7FBB">
        <w:t xml:space="preserve">Application of </w:t>
      </w:r>
      <w:r w:rsidR="00D5145C">
        <w:t xml:space="preserve">modelling the effects of granite emplacement to the </w:t>
      </w:r>
      <w:r w:rsidR="006E41CC">
        <w:t>Carboniferous basins of northern England</w:t>
      </w:r>
    </w:p>
    <w:p w14:paraId="5387BB75" w14:textId="77777777" w:rsidR="001C14BC" w:rsidRPr="001C14BC" w:rsidRDefault="001C14BC" w:rsidP="009E071D">
      <w:pPr>
        <w:pStyle w:val="Heading2"/>
        <w:spacing w:line="360" w:lineRule="auto"/>
      </w:pPr>
      <w:r>
        <w:t>5.1 Geological background</w:t>
      </w:r>
    </w:p>
    <w:p w14:paraId="192F4A3A" w14:textId="3B4A141A" w:rsidR="00D5145C" w:rsidRDefault="00C32F55" w:rsidP="00B47826">
      <w:pPr>
        <w:spacing w:line="360" w:lineRule="auto"/>
        <w:ind w:firstLine="720"/>
      </w:pPr>
      <w:r>
        <w:t xml:space="preserve">The ‘block and basin’ tectonic framework of the </w:t>
      </w:r>
      <w:r w:rsidR="00B47826">
        <w:t xml:space="preserve">Carboniferous </w:t>
      </w:r>
      <w:r>
        <w:t xml:space="preserve">North Pennine </w:t>
      </w:r>
      <w:r w:rsidR="005238BE">
        <w:t>Basin</w:t>
      </w:r>
      <w:r w:rsidR="00B47826">
        <w:t>, northern England</w:t>
      </w:r>
      <w:r w:rsidR="00CE3A25">
        <w:t xml:space="preserve"> </w:t>
      </w:r>
      <w:r>
        <w:t xml:space="preserve">(Fig. </w:t>
      </w:r>
      <w:r w:rsidR="000C552F">
        <w:t>6</w:t>
      </w:r>
      <w:r w:rsidR="00956574">
        <w:t>)</w:t>
      </w:r>
      <w:r>
        <w:t xml:space="preserve"> is underpinned by granite-cored </w:t>
      </w:r>
      <w:r w:rsidR="00496BF2">
        <w:t>highs</w:t>
      </w:r>
      <w:r>
        <w:t xml:space="preserve"> and is generally interpreted as being indicative of </w:t>
      </w:r>
      <w:r w:rsidR="00B47826">
        <w:t>a classic</w:t>
      </w:r>
      <w:r>
        <w:t xml:space="preserve"> rift basin (</w:t>
      </w:r>
      <w:proofErr w:type="spellStart"/>
      <w:r w:rsidR="00BA13AA">
        <w:t>Leeder</w:t>
      </w:r>
      <w:proofErr w:type="spellEnd"/>
      <w:r w:rsidR="00BA13AA">
        <w:t>, 1982</w:t>
      </w:r>
      <w:r>
        <w:t xml:space="preserve">). </w:t>
      </w:r>
      <w:r w:rsidR="00D5145C">
        <w:t>It represents an ideal case study to which to apply the modelling theory presented in earlier sections</w:t>
      </w:r>
      <w:r w:rsidR="00914AE8">
        <w:t>, especially given the wealth of geological and geophysical data available for the region</w:t>
      </w:r>
      <w:r w:rsidR="00331E2A">
        <w:t>.</w:t>
      </w:r>
    </w:p>
    <w:p w14:paraId="463F5AED" w14:textId="0BA616FE" w:rsidR="00331E2A" w:rsidRDefault="006376E1" w:rsidP="00B47826">
      <w:pPr>
        <w:spacing w:line="360" w:lineRule="auto"/>
        <w:ind w:firstLine="720"/>
      </w:pPr>
      <w:r>
        <w:t>The Carboniferous succession of northern England is characterised by</w:t>
      </w:r>
      <w:r w:rsidR="00E63A1A">
        <w:t xml:space="preserve"> a prolonged rifting period (&lt;40</w:t>
      </w:r>
      <w:r>
        <w:t xml:space="preserve"> </w:t>
      </w:r>
      <w:proofErr w:type="gramStart"/>
      <w:r>
        <w:t>My</w:t>
      </w:r>
      <w:proofErr w:type="gramEnd"/>
      <w:r w:rsidR="005979A7">
        <w:t xml:space="preserve">; Fig. </w:t>
      </w:r>
      <w:r w:rsidR="000C552F">
        <w:t>7</w:t>
      </w:r>
      <w:r>
        <w:t>)</w:t>
      </w:r>
      <w:r w:rsidR="005979A7">
        <w:t xml:space="preserve">, beginning during the latest Devonian, during which sediment deposition was largely confined to the basins surrounding granite-cored highs (Fraser and </w:t>
      </w:r>
      <w:proofErr w:type="spellStart"/>
      <w:r w:rsidR="005979A7">
        <w:t>Gawthorpe</w:t>
      </w:r>
      <w:proofErr w:type="spellEnd"/>
      <w:r w:rsidR="005979A7">
        <w:t>, 1990). Rifting gave way to post-rift thermal subsidence during the latest Vis</w:t>
      </w:r>
      <w:r w:rsidR="005979A7">
        <w:rPr>
          <w:rFonts w:cstheme="minorHAnsi"/>
        </w:rPr>
        <w:t>é</w:t>
      </w:r>
      <w:r w:rsidR="005979A7">
        <w:t xml:space="preserve">an to mid-Namurian (Fraser and </w:t>
      </w:r>
      <w:proofErr w:type="spellStart"/>
      <w:r w:rsidR="005979A7">
        <w:t>Gawthorpe</w:t>
      </w:r>
      <w:proofErr w:type="spellEnd"/>
      <w:r w:rsidR="005979A7">
        <w:t>, 2003; Stone et al., 2010). The true timing of this transition is unclear; it is most likely diachronous. The post-rift sequence is marked by the delocalisation of depocentres and a more uniformly thick succession (Waters et al., 2007). Deposition during the Carboniferous was ended by widespread (Variscan) inversion; although the effects of this event were only felt mildly in the area investigated here, by comparison with areas further south (Corfield et al., 1996).</w:t>
      </w:r>
    </w:p>
    <w:p w14:paraId="0790175C" w14:textId="77777777" w:rsidR="00B47826" w:rsidRDefault="00B47826" w:rsidP="00B47826">
      <w:pPr>
        <w:spacing w:line="360" w:lineRule="auto"/>
        <w:ind w:firstLine="720"/>
      </w:pPr>
      <w:r>
        <w:lastRenderedPageBreak/>
        <w:t xml:space="preserve">Recent studies of the early Carboniferous succession of NW Europe are torn between two models: 1) NW European Carboniferous basins formed under dominant N-S orientated extension relating to the northward subduction of the </w:t>
      </w:r>
      <w:proofErr w:type="spellStart"/>
      <w:r>
        <w:t>Rheic</w:t>
      </w:r>
      <w:proofErr w:type="spellEnd"/>
      <w:r>
        <w:t xml:space="preserve"> Ocean (</w:t>
      </w:r>
      <w:proofErr w:type="spellStart"/>
      <w:r>
        <w:t>Leeder</w:t>
      </w:r>
      <w:proofErr w:type="spellEnd"/>
      <w:r>
        <w:t>, 1982</w:t>
      </w:r>
      <w:r w:rsidR="001B444D">
        <w:t xml:space="preserve">; </w:t>
      </w:r>
      <w:proofErr w:type="spellStart"/>
      <w:r w:rsidR="001B444D">
        <w:t>Kombrink</w:t>
      </w:r>
      <w:proofErr w:type="spellEnd"/>
      <w:r w:rsidR="001B444D">
        <w:t xml:space="preserve"> et al., 2008</w:t>
      </w:r>
      <w:r>
        <w:t>)</w:t>
      </w:r>
      <w:r w:rsidR="00496BF2">
        <w:t xml:space="preserve"> or</w:t>
      </w:r>
      <w:r>
        <w:t xml:space="preserve">; 2) they formed under </w:t>
      </w:r>
      <w:proofErr w:type="spellStart"/>
      <w:r>
        <w:t>transtension</w:t>
      </w:r>
      <w:proofErr w:type="spellEnd"/>
      <w:r>
        <w:t xml:space="preserve"> relating to the eastward expulsi</w:t>
      </w:r>
      <w:r w:rsidR="006E54EF">
        <w:t>on of the extended Baltic plate</w:t>
      </w:r>
      <w:r>
        <w:t xml:space="preserve"> (Coward, 1993). </w:t>
      </w:r>
      <w:r w:rsidR="006B26D1">
        <w:t xml:space="preserve">Much of the pre-Variscan Carboniferous basin architecture of the British Isles has been either inverted </w:t>
      </w:r>
      <w:r w:rsidR="00A15A4B">
        <w:t xml:space="preserve">by Variscan compression </w:t>
      </w:r>
      <w:r w:rsidR="006B26D1" w:rsidRPr="004C3CDD">
        <w:t>(Corfield et al., 1996)</w:t>
      </w:r>
      <w:r w:rsidR="00A15A4B">
        <w:t>,</w:t>
      </w:r>
      <w:r w:rsidR="006B26D1" w:rsidRPr="004C3CDD">
        <w:t xml:space="preserve"> or reactivated during later extensional episodes (Coward, 1995).</w:t>
      </w:r>
    </w:p>
    <w:p w14:paraId="3DDCCF0E" w14:textId="2384DFD0" w:rsidR="006B26D1" w:rsidRDefault="000A2F12" w:rsidP="009E071D">
      <w:pPr>
        <w:spacing w:line="360" w:lineRule="auto"/>
        <w:ind w:firstLine="720"/>
      </w:pPr>
      <w:r>
        <w:t>The Alston Block is underlain by a suite of cone-, or possibly pipe, shaped early Devonian (</w:t>
      </w:r>
      <w:proofErr w:type="spellStart"/>
      <w:r>
        <w:t>Emsian</w:t>
      </w:r>
      <w:proofErr w:type="spellEnd"/>
      <w:r>
        <w:t xml:space="preserve">) granitic plutons that reach up to as little as 1 km below the </w:t>
      </w:r>
      <w:proofErr w:type="gramStart"/>
      <w:r>
        <w:t>present day</w:t>
      </w:r>
      <w:proofErr w:type="gramEnd"/>
      <w:r>
        <w:t xml:space="preserve"> surface. Geophysical data suggests that these plutons, collectively referred to as the North Pennine Batholith, comprise a continuous intrusive sheet at around 10 km depth (</w:t>
      </w:r>
      <w:proofErr w:type="spellStart"/>
      <w:r>
        <w:t>Bott</w:t>
      </w:r>
      <w:proofErr w:type="spellEnd"/>
      <w:r>
        <w:t xml:space="preserve"> et al., 1967; Fig. </w:t>
      </w:r>
      <w:r w:rsidR="000C552F">
        <w:t>6</w:t>
      </w:r>
      <w:r>
        <w:t xml:space="preserve">). </w:t>
      </w:r>
      <w:r w:rsidR="00F21284">
        <w:t>The block</w:t>
      </w:r>
      <w:r w:rsidR="006B26D1">
        <w:t xml:space="preserve"> is separate</w:t>
      </w:r>
      <w:r w:rsidR="00E97D2B">
        <w:t>d from the Northumberland Trough</w:t>
      </w:r>
      <w:r w:rsidR="00CE3A25">
        <w:t xml:space="preserve"> </w:t>
      </w:r>
      <w:r w:rsidR="00402FAB">
        <w:t xml:space="preserve">on its northern side </w:t>
      </w:r>
      <w:r w:rsidR="006B26D1">
        <w:t xml:space="preserve">by the eastern extent of the complex </w:t>
      </w:r>
      <w:proofErr w:type="spellStart"/>
      <w:r w:rsidR="006B26D1">
        <w:t>Maryport</w:t>
      </w:r>
      <w:proofErr w:type="spellEnd"/>
      <w:r w:rsidR="006B26D1">
        <w:t>-</w:t>
      </w:r>
      <w:proofErr w:type="spellStart"/>
      <w:r w:rsidR="006B26D1">
        <w:t>Stublick</w:t>
      </w:r>
      <w:proofErr w:type="spellEnd"/>
      <w:r w:rsidR="006B26D1">
        <w:t>-Ninety Fathom fault system</w:t>
      </w:r>
      <w:r w:rsidR="000B25CA">
        <w:t xml:space="preserve">, </w:t>
      </w:r>
      <w:r w:rsidR="00F21284">
        <w:t xml:space="preserve">and </w:t>
      </w:r>
      <w:r w:rsidR="00E53BAB">
        <w:t xml:space="preserve">from </w:t>
      </w:r>
      <w:r w:rsidR="000B25CA">
        <w:t xml:space="preserve">the </w:t>
      </w:r>
      <w:proofErr w:type="spellStart"/>
      <w:r w:rsidR="000B25CA">
        <w:t>Stainmore</w:t>
      </w:r>
      <w:proofErr w:type="spellEnd"/>
      <w:r w:rsidR="000B25CA">
        <w:t xml:space="preserve"> Trough</w:t>
      </w:r>
      <w:r w:rsidR="00CE3A25">
        <w:t xml:space="preserve"> </w:t>
      </w:r>
      <w:r w:rsidR="00402FAB">
        <w:t xml:space="preserve">on its southern side </w:t>
      </w:r>
      <w:r w:rsidR="00F21284">
        <w:t xml:space="preserve">by the </w:t>
      </w:r>
      <w:proofErr w:type="spellStart"/>
      <w:r w:rsidR="00F21284">
        <w:t>Closehouse-Lunedale</w:t>
      </w:r>
      <w:proofErr w:type="spellEnd"/>
      <w:r w:rsidR="00F21284">
        <w:t xml:space="preserve"> and </w:t>
      </w:r>
      <w:proofErr w:type="spellStart"/>
      <w:r w:rsidR="00F21284">
        <w:t>Butterknowle</w:t>
      </w:r>
      <w:proofErr w:type="spellEnd"/>
      <w:r w:rsidR="00F21284">
        <w:t xml:space="preserve"> Fault complexes (Stone et al., 2010)</w:t>
      </w:r>
      <w:r w:rsidR="006B26D1">
        <w:t xml:space="preserve">. Directly to the west lies the partially exhumed Lake District Block which is underlain by the Lake District Batholith. </w:t>
      </w:r>
      <w:r w:rsidR="00402FAB">
        <w:t xml:space="preserve">To the south of the </w:t>
      </w:r>
      <w:proofErr w:type="spellStart"/>
      <w:r w:rsidR="00402FAB">
        <w:t>Stainmore</w:t>
      </w:r>
      <w:proofErr w:type="spellEnd"/>
      <w:r w:rsidR="00402FAB">
        <w:t xml:space="preserve"> Trough</w:t>
      </w:r>
      <w:r w:rsidR="00E53BAB">
        <w:t>,</w:t>
      </w:r>
      <w:r w:rsidR="006B26D1">
        <w:t xml:space="preserve"> the </w:t>
      </w:r>
      <w:proofErr w:type="spellStart"/>
      <w:r w:rsidR="00977372">
        <w:t>Wensleydale</w:t>
      </w:r>
      <w:proofErr w:type="spellEnd"/>
      <w:r w:rsidR="00977372">
        <w:t xml:space="preserve"> </w:t>
      </w:r>
      <w:r w:rsidR="000B25CA">
        <w:t>Granite underpins</w:t>
      </w:r>
      <w:r w:rsidR="006B26D1">
        <w:t xml:space="preserve"> the </w:t>
      </w:r>
      <w:proofErr w:type="spellStart"/>
      <w:r w:rsidR="006B26D1">
        <w:t>Askrigg</w:t>
      </w:r>
      <w:proofErr w:type="spellEnd"/>
      <w:r w:rsidR="006B26D1">
        <w:t xml:space="preserve"> Block. The Cheviot Granite does not form a faulted high but marks the northern limit of the Northumberla</w:t>
      </w:r>
      <w:r w:rsidR="000B25CA">
        <w:t>nd Trough</w:t>
      </w:r>
      <w:r w:rsidR="006B26D1">
        <w:t>.</w:t>
      </w:r>
    </w:p>
    <w:p w14:paraId="5B00337C" w14:textId="2BEC460C" w:rsidR="001419DD" w:rsidRDefault="001419DD" w:rsidP="001419DD">
      <w:pPr>
        <w:spacing w:line="360" w:lineRule="auto"/>
        <w:ind w:firstLine="720"/>
      </w:pPr>
      <w:r>
        <w:t>Modern studies of the onshore succession of the UK benefit from a high volume of regional geophysical data and pr</w:t>
      </w:r>
      <w:r w:rsidR="00AF4EDA">
        <w:t xml:space="preserve">evious outcrop studies. Figure </w:t>
      </w:r>
      <w:r w:rsidR="000C552F">
        <w:t>6</w:t>
      </w:r>
      <w:r>
        <w:t xml:space="preserve"> shows the distribution of mapped, surface exposed faults in northern England at 1: 250,000 scale (after British Geological Survey, 2008). Overlain is an interpreted granite thickness map (</w:t>
      </w:r>
      <w:proofErr w:type="spellStart"/>
      <w:r>
        <w:t>Kimbell</w:t>
      </w:r>
      <w:proofErr w:type="spellEnd"/>
      <w:r>
        <w:t xml:space="preserve"> et al., 2006). This was calculated from the regional gravitational anomaly when the effects of surface elevation and basin fill, </w:t>
      </w:r>
      <w:r w:rsidR="00F36660">
        <w:t>amongst further</w:t>
      </w:r>
      <w:r w:rsidR="00CE3A25">
        <w:t xml:space="preserve"> </w:t>
      </w:r>
      <w:r w:rsidR="00CF2F13">
        <w:t>gravitational effects</w:t>
      </w:r>
      <w:r>
        <w:t xml:space="preserve">, are removed – see </w:t>
      </w:r>
      <w:proofErr w:type="spellStart"/>
      <w:r>
        <w:t>Kimbell</w:t>
      </w:r>
      <w:proofErr w:type="spellEnd"/>
      <w:r>
        <w:t xml:space="preserve"> et al</w:t>
      </w:r>
      <w:r w:rsidR="00E87063">
        <w:t>.</w:t>
      </w:r>
      <w:r>
        <w:t xml:space="preserve"> (2010) for more information. Those faults with the greatest displacement within the region strongly correlate with the margins of concealed, or partially c</w:t>
      </w:r>
      <w:r w:rsidR="00AF4EDA">
        <w:t xml:space="preserve">oncealed, granite bodies (Fig. </w:t>
      </w:r>
      <w:r w:rsidR="000C552F">
        <w:t>6</w:t>
      </w:r>
      <w:r>
        <w:t>).</w:t>
      </w:r>
    </w:p>
    <w:p w14:paraId="31C40F5D" w14:textId="0A0CCD69" w:rsidR="00883776" w:rsidRDefault="00883776" w:rsidP="009E071D">
      <w:pPr>
        <w:spacing w:line="360" w:lineRule="auto"/>
        <w:ind w:firstLine="720"/>
      </w:pPr>
      <w:r>
        <w:t>The two cross-</w:t>
      </w:r>
      <w:r w:rsidR="004F7476">
        <w:t xml:space="preserve">sections displayed in figures </w:t>
      </w:r>
      <w:r w:rsidR="000C552F">
        <w:t>8</w:t>
      </w:r>
      <w:r w:rsidR="004F7476">
        <w:t xml:space="preserve">a and </w:t>
      </w:r>
      <w:r w:rsidR="000C552F">
        <w:t>8</w:t>
      </w:r>
      <w:r w:rsidR="00EC5F46">
        <w:t>b</w:t>
      </w:r>
      <w:r w:rsidR="00CE3A25">
        <w:t xml:space="preserve"> </w:t>
      </w:r>
      <w:r w:rsidR="00AF4EDA">
        <w:t xml:space="preserve">(see Fig. </w:t>
      </w:r>
      <w:r w:rsidR="000C552F">
        <w:t>8</w:t>
      </w:r>
      <w:r w:rsidR="003E2009">
        <w:t xml:space="preserve"> for locations) </w:t>
      </w:r>
      <w:r>
        <w:t>incorporate the structural interpretations of the Carboniferous</w:t>
      </w:r>
      <w:r w:rsidR="00E97D2B">
        <w:t>-</w:t>
      </w:r>
      <w:r>
        <w:t xml:space="preserve">recent </w:t>
      </w:r>
      <w:r w:rsidR="00523C96">
        <w:t>basin fill</w:t>
      </w:r>
      <w:r>
        <w:t xml:space="preserve"> made by </w:t>
      </w:r>
      <w:r w:rsidR="00E77702">
        <w:t>Chadwick et al (1995)</w:t>
      </w:r>
      <w:r w:rsidR="001605C7">
        <w:t xml:space="preserve"> </w:t>
      </w:r>
      <w:r w:rsidR="00901EEC">
        <w:t xml:space="preserve">based on </w:t>
      </w:r>
      <w:r w:rsidR="00900D53">
        <w:t>seismic and well data constraints</w:t>
      </w:r>
      <w:r w:rsidR="00734268">
        <w:t xml:space="preserve"> (</w:t>
      </w:r>
      <w:r w:rsidR="003E2009">
        <w:t xml:space="preserve">e.g. Fig. </w:t>
      </w:r>
      <w:r w:rsidR="000C552F">
        <w:t>9</w:t>
      </w:r>
      <w:r w:rsidR="00734268">
        <w:t>)</w:t>
      </w:r>
      <w:r>
        <w:t xml:space="preserve">. Both sections appear </w:t>
      </w:r>
      <w:r w:rsidR="004F7F45">
        <w:t>only mildly deformed</w:t>
      </w:r>
      <w:r w:rsidR="00FB4D7C">
        <w:t>, by Variscan compression</w:t>
      </w:r>
      <w:r>
        <w:t xml:space="preserve">. However, </w:t>
      </w:r>
      <w:proofErr w:type="gramStart"/>
      <w:r>
        <w:t>more recent modification</w:t>
      </w:r>
      <w:r w:rsidR="00B11C22">
        <w:t>s</w:t>
      </w:r>
      <w:r>
        <w:t xml:space="preserve"> due to Permian-Mesozoic subsidence events</w:t>
      </w:r>
      <w:proofErr w:type="gramEnd"/>
      <w:r>
        <w:t xml:space="preserve"> </w:t>
      </w:r>
      <w:r w:rsidR="00B11C22">
        <w:t xml:space="preserve">are </w:t>
      </w:r>
      <w:r w:rsidR="004F7476">
        <w:t>apparent</w:t>
      </w:r>
      <w:r>
        <w:t xml:space="preserve"> in the thin veneer of Permian succession preserved in the Vale of Eden </w:t>
      </w:r>
      <w:r w:rsidR="00B11C22">
        <w:t>B</w:t>
      </w:r>
      <w:r>
        <w:t xml:space="preserve">asin and to the east of the Alston Block (Fig. </w:t>
      </w:r>
      <w:r w:rsidR="000C552F">
        <w:t>8</w:t>
      </w:r>
      <w:r>
        <w:t xml:space="preserve">b). </w:t>
      </w:r>
      <w:r w:rsidR="00A125AA">
        <w:t xml:space="preserve">Widely observed, but generally poorly understood, </w:t>
      </w:r>
      <w:r>
        <w:lastRenderedPageBreak/>
        <w:t xml:space="preserve">Neogene regional </w:t>
      </w:r>
      <w:proofErr w:type="gramStart"/>
      <w:r>
        <w:t>south-eastwards</w:t>
      </w:r>
      <w:proofErr w:type="gramEnd"/>
      <w:r>
        <w:t xml:space="preserve"> tilting</w:t>
      </w:r>
      <w:r w:rsidR="00962829">
        <w:t>,</w:t>
      </w:r>
      <w:r w:rsidR="00A125AA">
        <w:t xml:space="preserve"> which contributed to kilometre-scale erosion in the Irish Sea</w:t>
      </w:r>
      <w:r>
        <w:t xml:space="preserve"> (e</w:t>
      </w:r>
      <w:r w:rsidR="00B05165">
        <w:t>.</w:t>
      </w:r>
      <w:r>
        <w:t xml:space="preserve">g. </w:t>
      </w:r>
      <w:r w:rsidR="00900D53">
        <w:t xml:space="preserve">Green, 2002; </w:t>
      </w:r>
      <w:proofErr w:type="spellStart"/>
      <w:r>
        <w:t>Holford</w:t>
      </w:r>
      <w:proofErr w:type="spellEnd"/>
      <w:r>
        <w:t xml:space="preserve"> et al., 2008)</w:t>
      </w:r>
      <w:r w:rsidR="00962829">
        <w:t>,</w:t>
      </w:r>
      <w:r w:rsidR="004F7476">
        <w:t xml:space="preserve"> is best illustrated in figure 9</w:t>
      </w:r>
      <w:r w:rsidR="00701C0B">
        <w:t>b.</w:t>
      </w:r>
    </w:p>
    <w:p w14:paraId="498E2B2A" w14:textId="6B00F931" w:rsidR="003B2D81" w:rsidRDefault="001C14BC" w:rsidP="009E071D">
      <w:pPr>
        <w:pStyle w:val="Heading1"/>
        <w:spacing w:line="360" w:lineRule="auto"/>
      </w:pPr>
      <w:r>
        <w:t>5.2 Application of</w:t>
      </w:r>
      <w:r w:rsidR="00C9483C">
        <w:t xml:space="preserve"> </w:t>
      </w:r>
      <w:r>
        <w:t xml:space="preserve">the </w:t>
      </w:r>
      <w:r w:rsidR="003B2D81" w:rsidRPr="00CA4231">
        <w:t>model</w:t>
      </w:r>
      <w:r w:rsidR="000710A2">
        <w:t>ling</w:t>
      </w:r>
      <w:r w:rsidR="00CC1E0A">
        <w:t xml:space="preserve"> of lithospheric</w:t>
      </w:r>
      <w:r>
        <w:t xml:space="preserve"> ex</w:t>
      </w:r>
      <w:r w:rsidR="00A9349A">
        <w:t>tension and granite emplacement</w:t>
      </w:r>
    </w:p>
    <w:p w14:paraId="6E1AD5ED" w14:textId="4B54FAC5" w:rsidR="003B2D81" w:rsidRDefault="003B2D81" w:rsidP="009E071D">
      <w:pPr>
        <w:spacing w:line="360" w:lineRule="auto"/>
      </w:pPr>
      <w:r w:rsidRPr="00F34F04">
        <w:tab/>
      </w:r>
      <w:r>
        <w:t>Our 2D model</w:t>
      </w:r>
      <w:r w:rsidR="001A4192">
        <w:t>s</w:t>
      </w:r>
      <w:r w:rsidR="0025080B">
        <w:t xml:space="preserve"> (Figs. 1</w:t>
      </w:r>
      <w:r w:rsidR="000C552F">
        <w:t>0</w:t>
      </w:r>
      <w:r w:rsidR="003020EB">
        <w:t xml:space="preserve"> and 1</w:t>
      </w:r>
      <w:r w:rsidR="000C552F">
        <w:t>1</w:t>
      </w:r>
      <w:r w:rsidR="00B64E1C">
        <w:t>)</w:t>
      </w:r>
      <w:r w:rsidR="001A4192">
        <w:t xml:space="preserve"> are</w:t>
      </w:r>
      <w:r>
        <w:t xml:space="preserve"> applied to the Alston Block and the adjacent </w:t>
      </w:r>
      <w:r w:rsidR="00E97D2B">
        <w:t xml:space="preserve">Northumberland and </w:t>
      </w:r>
      <w:proofErr w:type="spellStart"/>
      <w:r w:rsidR="00E97D2B">
        <w:t>Stainmore</w:t>
      </w:r>
      <w:proofErr w:type="spellEnd"/>
      <w:r w:rsidR="00E97D2B">
        <w:t xml:space="preserve"> </w:t>
      </w:r>
      <w:r w:rsidR="001605C7">
        <w:t>b</w:t>
      </w:r>
      <w:r w:rsidR="0049593C">
        <w:t>asins</w:t>
      </w:r>
      <w:r>
        <w:t>.</w:t>
      </w:r>
      <w:r w:rsidR="00DB00A3">
        <w:t xml:space="preserve"> Forward modelling is performed in an attempt to replicate </w:t>
      </w:r>
      <w:r w:rsidR="00A86D05">
        <w:t>the interpreted ba</w:t>
      </w:r>
      <w:r w:rsidR="00BC164E">
        <w:t>sin geometries</w:t>
      </w:r>
      <w:r w:rsidR="00DB00A3">
        <w:t>.</w:t>
      </w:r>
      <w:r w:rsidR="00CE3A25">
        <w:t xml:space="preserve"> </w:t>
      </w:r>
      <w:r w:rsidR="0077315F">
        <w:t xml:space="preserve">The </w:t>
      </w:r>
      <w:r w:rsidR="002926FE">
        <w:t>e</w:t>
      </w:r>
      <w:r w:rsidR="0077315F">
        <w:t xml:space="preserve">ffects of the underlying igneous bodies are investigated by simulating extensional basin profiles with and without the granite-induced density contrast. </w:t>
      </w:r>
      <w:r w:rsidR="00DB00A3">
        <w:t xml:space="preserve">In </w:t>
      </w:r>
      <w:r w:rsidR="002926FE">
        <w:t xml:space="preserve">so </w:t>
      </w:r>
      <w:r w:rsidR="00DB00A3">
        <w:t>doing, we seek</w:t>
      </w:r>
      <w:r>
        <w:t xml:space="preserve"> to integrate and test the models</w:t>
      </w:r>
      <w:r w:rsidR="00D93F39">
        <w:t xml:space="preserve"> and ideas</w:t>
      </w:r>
      <w:r>
        <w:t xml:space="preserve"> previously outlined</w:t>
      </w:r>
      <w:r w:rsidR="004A6E5B">
        <w:t>,</w:t>
      </w:r>
      <w:r>
        <w:t xml:space="preserve"> and to help gain a greater understanding of the deeper processes</w:t>
      </w:r>
      <w:r w:rsidR="004350B8">
        <w:t>,</w:t>
      </w:r>
      <w:r>
        <w:t xml:space="preserve"> which ult</w:t>
      </w:r>
      <w:r w:rsidR="004922A3">
        <w:t>imately govern basin architecture</w:t>
      </w:r>
      <w:r>
        <w:t>.</w:t>
      </w:r>
    </w:p>
    <w:p w14:paraId="168DE5FA" w14:textId="77777777" w:rsidR="00061161" w:rsidRPr="00061161" w:rsidRDefault="0006395A" w:rsidP="009E071D">
      <w:pPr>
        <w:pStyle w:val="Heading3"/>
        <w:spacing w:line="360" w:lineRule="auto"/>
      </w:pPr>
      <w:r>
        <w:t>5.2.1</w:t>
      </w:r>
      <w:r w:rsidR="00061161" w:rsidRPr="00061161">
        <w:t xml:space="preserve"> Modelling principles </w:t>
      </w:r>
    </w:p>
    <w:p w14:paraId="5CBC6B7B" w14:textId="7187B2DA" w:rsidR="00814F90" w:rsidRDefault="003B2D81" w:rsidP="009E071D">
      <w:pPr>
        <w:spacing w:line="360" w:lineRule="auto"/>
      </w:pPr>
      <w:r>
        <w:tab/>
      </w:r>
      <w:r w:rsidR="00814F90">
        <w:t xml:space="preserve">The structural and geodynamic modelling approach used in this study represents a section of lithosphere as a numerical model and then simulates its deformation by a variety of processes. A typical starting condition for the modelling is a regional cross-section of </w:t>
      </w:r>
      <w:proofErr w:type="spellStart"/>
      <w:r w:rsidR="00814F90">
        <w:t>undeformed</w:t>
      </w:r>
      <w:proofErr w:type="spellEnd"/>
      <w:r w:rsidR="00814F90">
        <w:t xml:space="preserve"> lithosphere. The crustal component of this lithosphere is assumed </w:t>
      </w:r>
      <w:proofErr w:type="gramStart"/>
      <w:r w:rsidR="00814F90">
        <w:t>to be 35</w:t>
      </w:r>
      <w:proofErr w:type="gramEnd"/>
      <w:r w:rsidR="00814F90">
        <w:t xml:space="preserve"> km </w:t>
      </w:r>
      <w:r w:rsidR="00E83055">
        <w:t xml:space="preserve">thick with a density of 2800 kg </w:t>
      </w:r>
      <w:r w:rsidR="00814F90" w:rsidRPr="00EF3E4B">
        <w:t>m</w:t>
      </w:r>
      <w:r w:rsidR="00EF3E4B">
        <w:rPr>
          <w:vertAlign w:val="superscript"/>
        </w:rPr>
        <w:t>-</w:t>
      </w:r>
      <w:r w:rsidR="00814F90" w:rsidRPr="00EF3E4B">
        <w:rPr>
          <w:vertAlign w:val="superscript"/>
        </w:rPr>
        <w:t>3</w:t>
      </w:r>
      <w:r w:rsidR="00814F90">
        <w:t>, while the mantle lithosphere is assumed to be 90 km thick with a d</w:t>
      </w:r>
      <w:r w:rsidR="001E3C40">
        <w:t>ensity of 3300</w:t>
      </w:r>
      <w:r w:rsidR="00E83055">
        <w:t xml:space="preserve"> kg </w:t>
      </w:r>
      <w:r w:rsidR="00814F90">
        <w:t>m</w:t>
      </w:r>
      <w:r w:rsidR="00814F90" w:rsidRPr="002E7FA9">
        <w:rPr>
          <w:vertAlign w:val="superscript"/>
        </w:rPr>
        <w:t>-3</w:t>
      </w:r>
      <w:r w:rsidR="00814F90">
        <w:t xml:space="preserve">. The modelled lithosphere is thermally conditioned with a </w:t>
      </w:r>
      <w:proofErr w:type="spellStart"/>
      <w:r w:rsidR="00814F90">
        <w:t>geotherm</w:t>
      </w:r>
      <w:proofErr w:type="spellEnd"/>
      <w:r w:rsidR="00814F90">
        <w:t>, which has a surface temperature of 0</w:t>
      </w:r>
      <w:r w:rsidR="009403A6">
        <w:t xml:space="preserve"> </w:t>
      </w:r>
      <w:r w:rsidR="0083032F">
        <w:rPr>
          <w:rFonts w:cstheme="minorHAnsi"/>
        </w:rPr>
        <w:t>°</w:t>
      </w:r>
      <w:r w:rsidR="00814F90">
        <w:t>C and a temperature at the lithospher</w:t>
      </w:r>
      <w:r w:rsidR="0083032F">
        <w:t>e-asthenosphere boundary of 1333</w:t>
      </w:r>
      <w:r w:rsidR="009403A6">
        <w:t xml:space="preserve"> </w:t>
      </w:r>
      <w:r w:rsidR="0083032F">
        <w:rPr>
          <w:rFonts w:cstheme="minorHAnsi"/>
        </w:rPr>
        <w:t>°</w:t>
      </w:r>
      <w:r w:rsidR="00814F90">
        <w:t xml:space="preserve">C. </w:t>
      </w:r>
      <w:r w:rsidR="007D5B02">
        <w:t xml:space="preserve">These parameters can be varied. </w:t>
      </w:r>
      <w:r w:rsidR="00814F90">
        <w:t>Once the lithosphere is defined it is then possible to model its deformation via a variety of geological and geodynamic processes.</w:t>
      </w:r>
      <w:r w:rsidR="00FB37B0">
        <w:t xml:space="preserve"> These processes can be numerically defined as loads, to which the response of the lithosphere is calculated (equations 4.1-4.4).</w:t>
      </w:r>
      <w:r w:rsidR="00C50357">
        <w:t xml:space="preserve"> More c</w:t>
      </w:r>
      <w:r w:rsidR="00C50357" w:rsidRPr="00F34F04">
        <w:t xml:space="preserve">omprehensive descriptions of </w:t>
      </w:r>
      <w:r w:rsidR="00C50357">
        <w:t>the modelling approach utilised here</w:t>
      </w:r>
      <w:r w:rsidR="00C50357" w:rsidRPr="00F34F04">
        <w:t xml:space="preserve"> are presented in </w:t>
      </w:r>
      <w:proofErr w:type="spellStart"/>
      <w:r w:rsidR="00C50357" w:rsidRPr="00F34F04">
        <w:t>Kusznir</w:t>
      </w:r>
      <w:proofErr w:type="spellEnd"/>
      <w:r w:rsidR="00C50357" w:rsidRPr="00F34F04">
        <w:t xml:space="preserve"> a</w:t>
      </w:r>
      <w:r w:rsidR="00C50357">
        <w:t xml:space="preserve">nd Egan (1989), Egan (1992), </w:t>
      </w:r>
      <w:r w:rsidR="00C50357" w:rsidRPr="00F34F04">
        <w:t>Egan</w:t>
      </w:r>
      <w:r w:rsidR="00C50357">
        <w:t xml:space="preserve"> and Urquhart (1993) and Meredith and Egan (2002)</w:t>
      </w:r>
      <w:r w:rsidR="00B26BDD">
        <w:t>, and will not be repeated here</w:t>
      </w:r>
      <w:r w:rsidR="00C50357">
        <w:t>.</w:t>
      </w:r>
    </w:p>
    <w:p w14:paraId="43742859" w14:textId="1D9DAFDD" w:rsidR="003B2D81" w:rsidRPr="0061699F" w:rsidRDefault="0077315F" w:rsidP="009E071D">
      <w:pPr>
        <w:spacing w:line="360" w:lineRule="auto"/>
        <w:ind w:firstLine="720"/>
      </w:pPr>
      <w:r>
        <w:t>T</w:t>
      </w:r>
      <w:r w:rsidR="003B2D81">
        <w:t>he</w:t>
      </w:r>
      <w:r w:rsidR="00B26BDD">
        <w:t xml:space="preserve"> model assumes a brittle-ductile transition</w:t>
      </w:r>
      <w:r w:rsidR="00CE3A25">
        <w:t xml:space="preserve"> </w:t>
      </w:r>
      <w:r w:rsidR="00B26BDD">
        <w:t xml:space="preserve">at a depth of 20 km within the </w:t>
      </w:r>
      <w:r w:rsidR="003B2D81">
        <w:t>crust</w:t>
      </w:r>
      <w:r w:rsidR="00CE3A25">
        <w:t xml:space="preserve"> </w:t>
      </w:r>
      <w:r w:rsidR="007E60DF">
        <w:t>(e</w:t>
      </w:r>
      <w:r w:rsidR="00B5117E">
        <w:t>.</w:t>
      </w:r>
      <w:r w:rsidR="007E60DF">
        <w:t xml:space="preserve">g. </w:t>
      </w:r>
      <w:proofErr w:type="spellStart"/>
      <w:r w:rsidR="007E60DF">
        <w:t>Kusznir</w:t>
      </w:r>
      <w:proofErr w:type="spellEnd"/>
      <w:r w:rsidR="007E60DF">
        <w:t xml:space="preserve"> and Park</w:t>
      </w:r>
      <w:r w:rsidR="003B2D81">
        <w:t xml:space="preserve">, 1987). Above this boundary, </w:t>
      </w:r>
      <w:r w:rsidR="00E67184">
        <w:t xml:space="preserve">the lithosphere </w:t>
      </w:r>
      <w:r w:rsidR="00B11C22">
        <w:t xml:space="preserve">is brittle and </w:t>
      </w:r>
      <w:r w:rsidR="00E67184">
        <w:t xml:space="preserve">deforms by simple shear with </w:t>
      </w:r>
      <w:r w:rsidR="003B2D81">
        <w:t>subsidence controlled by fault heave and the underlying fault geometr</w:t>
      </w:r>
      <w:r w:rsidR="00E67184">
        <w:t>y</w:t>
      </w:r>
      <w:r w:rsidR="003B2D81">
        <w:t>. In the brittle crust, crustal thinning is calculated using the Chevron or vertical shear construction (</w:t>
      </w:r>
      <w:proofErr w:type="spellStart"/>
      <w:r w:rsidR="003B2D81">
        <w:t>Ver</w:t>
      </w:r>
      <w:r w:rsidR="001B444D">
        <w:t>r</w:t>
      </w:r>
      <w:r w:rsidR="003B2D81">
        <w:t>all</w:t>
      </w:r>
      <w:proofErr w:type="spellEnd"/>
      <w:r w:rsidR="003B2D81">
        <w:t>, 1982; White et al., 1986). All faults are assumed to have a common detachment depth</w:t>
      </w:r>
      <w:r w:rsidR="00CE3A25">
        <w:t xml:space="preserve"> </w:t>
      </w:r>
      <w:r w:rsidR="00B26BDD">
        <w:t xml:space="preserve">coinciding </w:t>
      </w:r>
      <w:r w:rsidR="00752C24">
        <w:t>with</w:t>
      </w:r>
      <w:r>
        <w:t xml:space="preserve"> the brittle-ductile transition</w:t>
      </w:r>
      <w:r w:rsidR="003B2D81">
        <w:t>. The location</w:t>
      </w:r>
      <w:r w:rsidR="00B11C22">
        <w:t>s</w:t>
      </w:r>
      <w:r w:rsidR="003B2D81">
        <w:t xml:space="preserve"> and horizontal displacements of faults (see table 3) are based on the interpretations of Chadwick et al</w:t>
      </w:r>
      <w:r w:rsidR="00EC5F46">
        <w:t>.</w:t>
      </w:r>
      <w:r w:rsidR="003B2D81">
        <w:t xml:space="preserve"> (1995). As the model</w:t>
      </w:r>
      <w:r w:rsidR="001B044C">
        <w:t>s are</w:t>
      </w:r>
      <w:r w:rsidR="003B2D81">
        <w:t xml:space="preserve"> purely 2D, the orientation of maximum extension is assumed to be parallel to the cross-section. Over </w:t>
      </w:r>
      <w:r w:rsidR="00C72A30">
        <w:t>the length of the modelled section</w:t>
      </w:r>
      <w:r w:rsidR="003B2D81">
        <w:t xml:space="preserve"> </w:t>
      </w:r>
      <w:r w:rsidR="003B2D81">
        <w:lastRenderedPageBreak/>
        <w:t>(Fig.</w:t>
      </w:r>
      <w:r w:rsidR="0025080B">
        <w:t xml:space="preserve"> 1</w:t>
      </w:r>
      <w:r w:rsidR="000C552F">
        <w:t>0</w:t>
      </w:r>
      <w:r w:rsidR="003020EB">
        <w:t>)</w:t>
      </w:r>
      <w:r w:rsidR="00C72A30">
        <w:t>,</w:t>
      </w:r>
      <w:r w:rsidR="00476446">
        <w:t xml:space="preserve"> </w:t>
      </w:r>
      <w:r w:rsidR="00C72A30">
        <w:t xml:space="preserve">the total </w:t>
      </w:r>
      <w:r w:rsidR="003B2D81">
        <w:t>heave is 8.5</w:t>
      </w:r>
      <w:r w:rsidR="001605C7">
        <w:t xml:space="preserve"> </w:t>
      </w:r>
      <w:r w:rsidR="003B2D81">
        <w:t>km</w:t>
      </w:r>
      <w:r w:rsidR="00C72A30">
        <w:t>,</w:t>
      </w:r>
      <w:r w:rsidR="003B2D81">
        <w:t xml:space="preserve"> equating to </w:t>
      </w:r>
      <w:r w:rsidR="00E83055">
        <w:t>a</w:t>
      </w:r>
      <w:r w:rsidR="002D3551">
        <w:t>n overall</w:t>
      </w:r>
      <w:r w:rsidR="00E83055">
        <w:t xml:space="preserve"> magnitude of extension </w:t>
      </w:r>
      <w:r w:rsidR="003B2D81">
        <w:t>(</w:t>
      </w:r>
      <m:oMath>
        <m:r>
          <w:rPr>
            <w:rFonts w:ascii="Cambria Math" w:hAnsi="Cambria Math"/>
          </w:rPr>
          <m:t>β</m:t>
        </m:r>
      </m:oMath>
      <w:r>
        <w:rPr>
          <w:rFonts w:eastAsiaTheme="minorEastAsia"/>
        </w:rPr>
        <w:t xml:space="preserve">) </w:t>
      </w:r>
      <w:r w:rsidR="00B11C22">
        <w:rPr>
          <w:rFonts w:eastAsiaTheme="minorEastAsia"/>
        </w:rPr>
        <w:t xml:space="preserve">of </w:t>
      </w:r>
      <w:r w:rsidR="003B2D81">
        <w:rPr>
          <w:rFonts w:eastAsiaTheme="minorEastAsia"/>
        </w:rPr>
        <w:t xml:space="preserve">1.09. </w:t>
      </w:r>
      <w:r w:rsidR="00E97A50">
        <w:rPr>
          <w:rFonts w:eastAsiaTheme="minorEastAsia"/>
        </w:rPr>
        <w:t xml:space="preserve">This value is lower than </w:t>
      </w:r>
      <w:r w:rsidR="00734268">
        <w:rPr>
          <w:rFonts w:eastAsiaTheme="minorEastAsia"/>
        </w:rPr>
        <w:t xml:space="preserve">that cited by </w:t>
      </w:r>
      <w:proofErr w:type="spellStart"/>
      <w:r w:rsidR="00E97A50">
        <w:rPr>
          <w:rFonts w:eastAsiaTheme="minorEastAsia"/>
        </w:rPr>
        <w:t>Kimbell</w:t>
      </w:r>
      <w:proofErr w:type="spellEnd"/>
      <w:r w:rsidR="00734268">
        <w:rPr>
          <w:rFonts w:eastAsiaTheme="minorEastAsia"/>
        </w:rPr>
        <w:t xml:space="preserve"> et al.</w:t>
      </w:r>
      <w:r w:rsidR="00E97A50">
        <w:rPr>
          <w:rFonts w:eastAsiaTheme="minorEastAsia"/>
        </w:rPr>
        <w:t xml:space="preserve"> (1989</w:t>
      </w:r>
      <w:r w:rsidR="00B11C22">
        <w:rPr>
          <w:rFonts w:eastAsiaTheme="minorEastAsia"/>
        </w:rPr>
        <w:t>:</w:t>
      </w:r>
      <w:r w:rsidR="002C4078">
        <w:rPr>
          <w:rFonts w:eastAsiaTheme="minorEastAsia"/>
        </w:rPr>
        <w:t xml:space="preserve"> </w:t>
      </w:r>
      <m:oMath>
        <m:r>
          <w:rPr>
            <w:rFonts w:ascii="Cambria Math" w:hAnsi="Cambria Math"/>
          </w:rPr>
          <m:t>β</m:t>
        </m:r>
      </m:oMath>
      <w:r>
        <w:rPr>
          <w:rFonts w:eastAsiaTheme="minorEastAsia"/>
        </w:rPr>
        <w:t xml:space="preserve"> = </w:t>
      </w:r>
      <w:r w:rsidR="00E97A50">
        <w:rPr>
          <w:rFonts w:eastAsiaTheme="minorEastAsia"/>
        </w:rPr>
        <w:t>1.19</w:t>
      </w:r>
      <w:r w:rsidR="00734268">
        <w:rPr>
          <w:rFonts w:eastAsiaTheme="minorEastAsia"/>
        </w:rPr>
        <w:t>)</w:t>
      </w:r>
      <w:r w:rsidR="00E97A50">
        <w:rPr>
          <w:rFonts w:eastAsiaTheme="minorEastAsia"/>
        </w:rPr>
        <w:t xml:space="preserve"> for the same basin</w:t>
      </w:r>
      <w:proofErr w:type="gramStart"/>
      <w:r w:rsidR="001F22C3">
        <w:rPr>
          <w:rFonts w:eastAsiaTheme="minorEastAsia"/>
        </w:rPr>
        <w:t>;</w:t>
      </w:r>
      <w:proofErr w:type="gramEnd"/>
      <w:r w:rsidR="00D275BA">
        <w:rPr>
          <w:rFonts w:eastAsiaTheme="minorEastAsia"/>
        </w:rPr>
        <w:t xml:space="preserve"> as t</w:t>
      </w:r>
      <w:r w:rsidR="001F22C3">
        <w:rPr>
          <w:rFonts w:eastAsiaTheme="minorEastAsia"/>
        </w:rPr>
        <w:t xml:space="preserve">heir </w:t>
      </w:r>
      <w:r w:rsidR="00E83055">
        <w:rPr>
          <w:rFonts w:eastAsiaTheme="minorEastAsia"/>
        </w:rPr>
        <w:t>magnitude of extension</w:t>
      </w:r>
      <w:r w:rsidR="001F22C3">
        <w:rPr>
          <w:rFonts w:eastAsiaTheme="minorEastAsia"/>
        </w:rPr>
        <w:t>al</w:t>
      </w:r>
      <w:r w:rsidR="00CE3A25">
        <w:rPr>
          <w:rFonts w:eastAsiaTheme="minorEastAsia"/>
        </w:rPr>
        <w:t xml:space="preserve"> </w:t>
      </w:r>
      <w:r w:rsidR="001F22C3">
        <w:rPr>
          <w:rFonts w:eastAsiaTheme="minorEastAsia"/>
        </w:rPr>
        <w:t xml:space="preserve">so </w:t>
      </w:r>
      <w:r w:rsidR="00E97A50">
        <w:rPr>
          <w:rFonts w:eastAsiaTheme="minorEastAsia"/>
        </w:rPr>
        <w:t>accounted for incline</w:t>
      </w:r>
      <w:r w:rsidR="00477025">
        <w:rPr>
          <w:rFonts w:eastAsiaTheme="minorEastAsia"/>
        </w:rPr>
        <w:t>d</w:t>
      </w:r>
      <w:r w:rsidR="00E97A50">
        <w:rPr>
          <w:rFonts w:eastAsiaTheme="minorEastAsia"/>
        </w:rPr>
        <w:t xml:space="preserve"> simple shear</w:t>
      </w:r>
      <w:r w:rsidR="00D275BA">
        <w:rPr>
          <w:rFonts w:eastAsiaTheme="minorEastAsia"/>
        </w:rPr>
        <w:t>.</w:t>
      </w:r>
      <w:r w:rsidR="00CE3A25">
        <w:rPr>
          <w:rFonts w:eastAsiaTheme="minorEastAsia"/>
        </w:rPr>
        <w:t xml:space="preserve"> </w:t>
      </w:r>
      <w:r w:rsidR="00D275BA">
        <w:rPr>
          <w:rFonts w:eastAsiaTheme="minorEastAsia"/>
        </w:rPr>
        <w:t>Our extensional fac</w:t>
      </w:r>
      <w:r w:rsidR="001F22C3">
        <w:rPr>
          <w:rFonts w:eastAsiaTheme="minorEastAsia"/>
        </w:rPr>
        <w:t>tor is also lower than that</w:t>
      </w:r>
      <w:r w:rsidR="00CE3A25">
        <w:rPr>
          <w:rFonts w:eastAsiaTheme="minorEastAsia"/>
        </w:rPr>
        <w:t xml:space="preserve"> </w:t>
      </w:r>
      <w:r w:rsidR="00A0111B">
        <w:rPr>
          <w:rFonts w:eastAsiaTheme="minorEastAsia"/>
        </w:rPr>
        <w:t xml:space="preserve">proposed by </w:t>
      </w:r>
      <w:r w:rsidR="00E97A50">
        <w:rPr>
          <w:rFonts w:eastAsiaTheme="minorEastAsia"/>
        </w:rPr>
        <w:t>the same author</w:t>
      </w:r>
      <w:r w:rsidR="001F22C3">
        <w:rPr>
          <w:rFonts w:eastAsiaTheme="minorEastAsia"/>
        </w:rPr>
        <w:t>s (</w:t>
      </w:r>
      <m:oMath>
        <m:r>
          <w:rPr>
            <w:rFonts w:ascii="Cambria Math" w:hAnsi="Cambria Math"/>
          </w:rPr>
          <m:t>β</m:t>
        </m:r>
      </m:oMath>
      <w:r w:rsidR="001F22C3">
        <w:rPr>
          <w:rFonts w:eastAsiaTheme="minorEastAsia"/>
        </w:rPr>
        <w:t xml:space="preserve"> = 1.3)</w:t>
      </w:r>
      <w:r w:rsidR="00476446">
        <w:rPr>
          <w:rFonts w:eastAsiaTheme="minorEastAsia"/>
        </w:rPr>
        <w:t xml:space="preserve"> </w:t>
      </w:r>
      <w:r w:rsidR="00A0111B">
        <w:rPr>
          <w:rFonts w:eastAsiaTheme="minorEastAsia"/>
        </w:rPr>
        <w:t xml:space="preserve">based on the magnitude </w:t>
      </w:r>
      <w:r w:rsidR="00C72A30">
        <w:rPr>
          <w:rFonts w:eastAsiaTheme="minorEastAsia"/>
        </w:rPr>
        <w:t>of</w:t>
      </w:r>
      <w:r w:rsidR="00E97A50">
        <w:rPr>
          <w:rFonts w:eastAsiaTheme="minorEastAsia"/>
        </w:rPr>
        <w:t xml:space="preserve"> post-</w:t>
      </w:r>
      <w:r w:rsidR="00C72A30">
        <w:rPr>
          <w:rFonts w:eastAsiaTheme="minorEastAsia"/>
        </w:rPr>
        <w:t>rift</w:t>
      </w:r>
      <w:r w:rsidR="00E97A50">
        <w:rPr>
          <w:rFonts w:eastAsiaTheme="minorEastAsia"/>
        </w:rPr>
        <w:t xml:space="preserve"> thermal subsidence. </w:t>
      </w:r>
      <w:r w:rsidR="00C72A30">
        <w:rPr>
          <w:rFonts w:eastAsiaTheme="minorEastAsia"/>
        </w:rPr>
        <w:t>It is very unlikely, however, that the cros</w:t>
      </w:r>
      <w:r w:rsidR="0025080B">
        <w:rPr>
          <w:rFonts w:eastAsiaTheme="minorEastAsia"/>
        </w:rPr>
        <w:t>s-section presented in figure 1</w:t>
      </w:r>
      <w:r w:rsidR="000C552F">
        <w:rPr>
          <w:rFonts w:eastAsiaTheme="minorEastAsia"/>
        </w:rPr>
        <w:t>0</w:t>
      </w:r>
      <w:r w:rsidR="00C72A30">
        <w:rPr>
          <w:rFonts w:eastAsiaTheme="minorEastAsia"/>
        </w:rPr>
        <w:t xml:space="preserve">a includes all of the fault-controlled deformation in the area, which </w:t>
      </w:r>
      <w:r w:rsidR="00D275BA">
        <w:rPr>
          <w:rFonts w:eastAsiaTheme="minorEastAsia"/>
        </w:rPr>
        <w:t xml:space="preserve">may </w:t>
      </w:r>
      <w:r w:rsidR="00C72A30">
        <w:rPr>
          <w:rFonts w:eastAsiaTheme="minorEastAsia"/>
        </w:rPr>
        <w:t>explain t</w:t>
      </w:r>
      <w:r w:rsidR="00E97A50">
        <w:rPr>
          <w:rFonts w:eastAsiaTheme="minorEastAsia"/>
        </w:rPr>
        <w:t>his</w:t>
      </w:r>
      <w:r w:rsidR="00C72A30">
        <w:rPr>
          <w:rFonts w:eastAsiaTheme="minorEastAsia"/>
        </w:rPr>
        <w:t xml:space="preserve"> mismatch</w:t>
      </w:r>
      <w:r w:rsidR="00E97A50">
        <w:rPr>
          <w:rFonts w:eastAsiaTheme="minorEastAsia"/>
        </w:rPr>
        <w:t>.</w:t>
      </w:r>
    </w:p>
    <w:p w14:paraId="5A3CAFED" w14:textId="200E92F3" w:rsidR="003B2D81" w:rsidRDefault="003B2D81" w:rsidP="009E071D">
      <w:pPr>
        <w:spacing w:line="360" w:lineRule="auto"/>
        <w:rPr>
          <w:rFonts w:eastAsiaTheme="minorEastAsia"/>
        </w:rPr>
      </w:pPr>
      <w:r>
        <w:rPr>
          <w:rFonts w:eastAsiaTheme="minorEastAsia"/>
        </w:rPr>
        <w:tab/>
      </w:r>
      <w:r>
        <w:t>The model</w:t>
      </w:r>
      <w:r w:rsidR="0077315F">
        <w:t>s assume</w:t>
      </w:r>
      <w:r>
        <w:t xml:space="preserve"> that the lithosphere deforms </w:t>
      </w:r>
      <w:r w:rsidR="0077315F">
        <w:t>via</w:t>
      </w:r>
      <w:r>
        <w:t xml:space="preserve"> pure shear </w:t>
      </w:r>
      <w:r w:rsidR="00C72A30">
        <w:t xml:space="preserve">extension </w:t>
      </w:r>
      <w:r>
        <w:t>belo</w:t>
      </w:r>
      <w:r w:rsidR="0077315F">
        <w:t>w</w:t>
      </w:r>
      <w:r w:rsidR="00C72A30">
        <w:t xml:space="preserve"> the </w:t>
      </w:r>
      <w:r w:rsidR="00D275BA">
        <w:t xml:space="preserve">brittle-ductile transition </w:t>
      </w:r>
      <w:r w:rsidR="0022105B">
        <w:t>at</w:t>
      </w:r>
      <w:r w:rsidR="00476446">
        <w:t xml:space="preserve"> </w:t>
      </w:r>
      <w:r w:rsidR="0077315F">
        <w:t>20</w:t>
      </w:r>
      <w:r w:rsidR="00476446">
        <w:t xml:space="preserve"> </w:t>
      </w:r>
      <w:r w:rsidR="0077315F">
        <w:t xml:space="preserve">km. </w:t>
      </w:r>
      <w:r w:rsidR="00C72A30">
        <w:t>Both</w:t>
      </w:r>
      <w:r>
        <w:t xml:space="preserve"> the lateral position and magnitude of pure shear can be defined independently </w:t>
      </w:r>
      <w:r w:rsidR="00232767">
        <w:t xml:space="preserve">of the overlying </w:t>
      </w:r>
      <w:r w:rsidR="00D275BA">
        <w:t xml:space="preserve">simple shear </w:t>
      </w:r>
      <w:r w:rsidR="00232767">
        <w:t xml:space="preserve">deformation </w:t>
      </w:r>
      <w:proofErr w:type="gramStart"/>
      <w:r>
        <w:t>so as to</w:t>
      </w:r>
      <w:proofErr w:type="gramEnd"/>
      <w:r>
        <w:t xml:space="preserve"> simulate depth-dependent extension (e</w:t>
      </w:r>
      <w:r w:rsidR="004F1065">
        <w:t>.</w:t>
      </w:r>
      <w:r>
        <w:t xml:space="preserve">g. </w:t>
      </w:r>
      <w:proofErr w:type="spellStart"/>
      <w:r>
        <w:t>Royden</w:t>
      </w:r>
      <w:proofErr w:type="spellEnd"/>
      <w:r>
        <w:t xml:space="preserve"> and Keen, 1980).</w:t>
      </w:r>
      <w:r w:rsidR="00BE321B">
        <w:t xml:space="preserve"> </w:t>
      </w:r>
      <w:r>
        <w:rPr>
          <w:rFonts w:eastAsiaTheme="minorEastAsia"/>
        </w:rPr>
        <w:t xml:space="preserve">To compensate for </w:t>
      </w:r>
      <w:r w:rsidR="00232767">
        <w:rPr>
          <w:rFonts w:eastAsiaTheme="minorEastAsia"/>
        </w:rPr>
        <w:t xml:space="preserve">a </w:t>
      </w:r>
      <w:r>
        <w:rPr>
          <w:rFonts w:eastAsiaTheme="minorEastAsia"/>
        </w:rPr>
        <w:t xml:space="preserve">low value of </w:t>
      </w:r>
      <w:r w:rsidR="00232767">
        <w:rPr>
          <w:rFonts w:eastAsiaTheme="minorEastAsia"/>
        </w:rPr>
        <w:t xml:space="preserve">upper </w:t>
      </w:r>
      <w:r>
        <w:rPr>
          <w:rFonts w:eastAsiaTheme="minorEastAsia"/>
        </w:rPr>
        <w:t>crustal extension and widely postulated regional out of plane extension (Dewey, 1982; Coward, 1993</w:t>
      </w:r>
      <w:r w:rsidRPr="004D25F2">
        <w:rPr>
          <w:rFonts w:eastAsiaTheme="minorEastAsia"/>
        </w:rPr>
        <w:t xml:space="preserve">), a maximum </w:t>
      </w:r>
      <w:r w:rsidR="0062491E">
        <w:rPr>
          <w:rFonts w:eastAsiaTheme="minorEastAsia"/>
        </w:rPr>
        <w:t xml:space="preserve">pure shear extension </w:t>
      </w:r>
      <w:r w:rsidRPr="004D25F2">
        <w:rPr>
          <w:rFonts w:eastAsiaTheme="minorEastAsia"/>
        </w:rPr>
        <w:t xml:space="preserve">value of </w:t>
      </w:r>
      <m:oMath>
        <m:r>
          <w:rPr>
            <w:rFonts w:ascii="Cambria Math" w:hAnsi="Cambria Math"/>
          </w:rPr>
          <m:t>β</m:t>
        </m:r>
      </m:oMath>
      <w:r w:rsidR="004D25F2" w:rsidRPr="004D25F2">
        <w:rPr>
          <w:rFonts w:eastAsiaTheme="minorEastAsia"/>
        </w:rPr>
        <w:t xml:space="preserve"> =</w:t>
      </w:r>
      <w:r w:rsidR="0084498C">
        <w:rPr>
          <w:rFonts w:eastAsiaTheme="minorEastAsia"/>
        </w:rPr>
        <w:t xml:space="preserve"> </w:t>
      </w:r>
      <w:r w:rsidRPr="004D25F2">
        <w:rPr>
          <w:rFonts w:eastAsiaTheme="minorEastAsia"/>
        </w:rPr>
        <w:t xml:space="preserve">1.25 is applied. </w:t>
      </w:r>
      <w:r w:rsidR="00F6263A" w:rsidRPr="004D25F2">
        <w:rPr>
          <w:rFonts w:eastAsiaTheme="minorEastAsia"/>
        </w:rPr>
        <w:t>Pure shear is unevenly distributed a</w:t>
      </w:r>
      <w:r w:rsidR="004D25F2" w:rsidRPr="004D25F2">
        <w:rPr>
          <w:rFonts w:eastAsiaTheme="minorEastAsia"/>
        </w:rPr>
        <w:t>cross the model; subsiding lateral</w:t>
      </w:r>
      <w:r w:rsidR="00A853AE">
        <w:rPr>
          <w:rFonts w:eastAsiaTheme="minorEastAsia"/>
        </w:rPr>
        <w:t>ly from the maximum value at 75</w:t>
      </w:r>
      <w:r w:rsidR="001605C7">
        <w:rPr>
          <w:rFonts w:eastAsiaTheme="minorEastAsia"/>
        </w:rPr>
        <w:t xml:space="preserve"> </w:t>
      </w:r>
      <w:r w:rsidR="004D25F2" w:rsidRPr="004D25F2">
        <w:rPr>
          <w:rFonts w:eastAsiaTheme="minorEastAsia"/>
        </w:rPr>
        <w:t xml:space="preserve">km to </w:t>
      </w:r>
      <m:oMath>
        <m:r>
          <w:rPr>
            <w:rFonts w:ascii="Cambria Math" w:hAnsi="Cambria Math"/>
          </w:rPr>
          <m:t>β</m:t>
        </m:r>
      </m:oMath>
      <w:r w:rsidR="00A853AE">
        <w:rPr>
          <w:rFonts w:eastAsiaTheme="minorEastAsia"/>
        </w:rPr>
        <w:t xml:space="preserve"> = </w:t>
      </w:r>
      <w:proofErr w:type="gramStart"/>
      <w:r w:rsidR="00A853AE">
        <w:rPr>
          <w:rFonts w:eastAsiaTheme="minorEastAsia"/>
        </w:rPr>
        <w:t>1</w:t>
      </w:r>
      <w:proofErr w:type="gramEnd"/>
      <w:r w:rsidR="00A853AE">
        <w:rPr>
          <w:rFonts w:eastAsiaTheme="minorEastAsia"/>
        </w:rPr>
        <w:t xml:space="preserve"> at 0 km and 1</w:t>
      </w:r>
      <w:r w:rsidR="004D25F2" w:rsidRPr="004D25F2">
        <w:rPr>
          <w:rFonts w:eastAsiaTheme="minorEastAsia"/>
        </w:rPr>
        <w:t>5</w:t>
      </w:r>
      <w:r w:rsidR="00A853AE">
        <w:rPr>
          <w:rFonts w:eastAsiaTheme="minorEastAsia"/>
        </w:rPr>
        <w:t>0</w:t>
      </w:r>
      <w:r w:rsidR="004D25F2" w:rsidRPr="004D25F2">
        <w:rPr>
          <w:rFonts w:eastAsiaTheme="minorEastAsia"/>
        </w:rPr>
        <w:t xml:space="preserve"> km.</w:t>
      </w:r>
      <w:r w:rsidR="00CE3A25">
        <w:rPr>
          <w:rFonts w:eastAsiaTheme="minorEastAsia"/>
        </w:rPr>
        <w:t xml:space="preserve"> </w:t>
      </w:r>
      <w:r w:rsidR="00EC6A96">
        <w:rPr>
          <w:rFonts w:eastAsiaTheme="minorEastAsia"/>
        </w:rPr>
        <w:t>The isostatic responses to the thinning of the lithosphere due to simpl</w:t>
      </w:r>
      <w:r w:rsidR="004F1065">
        <w:rPr>
          <w:rFonts w:eastAsiaTheme="minorEastAsia"/>
        </w:rPr>
        <w:t>e and pure shear are calculated.</w:t>
      </w:r>
    </w:p>
    <w:p w14:paraId="65360FE1" w14:textId="31EB352E" w:rsidR="00BD4E65" w:rsidRDefault="00BD4E65" w:rsidP="009E071D">
      <w:pPr>
        <w:spacing w:line="360" w:lineRule="auto"/>
        <w:rPr>
          <w:rFonts w:eastAsiaTheme="minorEastAsia"/>
        </w:rPr>
      </w:pPr>
      <w:r>
        <w:rPr>
          <w:rFonts w:eastAsiaTheme="minorEastAsia"/>
        </w:rPr>
        <w:tab/>
        <w:t>The geometry of the</w:t>
      </w:r>
      <w:r w:rsidR="00037224">
        <w:rPr>
          <w:rFonts w:eastAsiaTheme="minorEastAsia"/>
        </w:rPr>
        <w:t xml:space="preserve"> modelled</w:t>
      </w:r>
      <w:r w:rsidR="0062491E">
        <w:rPr>
          <w:rFonts w:eastAsiaTheme="minorEastAsia"/>
        </w:rPr>
        <w:t xml:space="preserve"> basement and </w:t>
      </w:r>
      <w:proofErr w:type="spellStart"/>
      <w:r w:rsidR="0062491E">
        <w:rPr>
          <w:rFonts w:eastAsiaTheme="minorEastAsia"/>
        </w:rPr>
        <w:t>syn</w:t>
      </w:r>
      <w:proofErr w:type="spellEnd"/>
      <w:r w:rsidR="0062491E">
        <w:rPr>
          <w:rFonts w:eastAsiaTheme="minorEastAsia"/>
        </w:rPr>
        <w:t>-rift</w:t>
      </w:r>
      <w:r>
        <w:rPr>
          <w:rFonts w:eastAsiaTheme="minorEastAsia"/>
        </w:rPr>
        <w:t xml:space="preserve"> fill is </w:t>
      </w:r>
      <w:r w:rsidR="00B26BDD">
        <w:rPr>
          <w:rFonts w:eastAsiaTheme="minorEastAsia"/>
        </w:rPr>
        <w:t xml:space="preserve">mainly </w:t>
      </w:r>
      <w:r>
        <w:rPr>
          <w:rFonts w:eastAsiaTheme="minorEastAsia"/>
        </w:rPr>
        <w:t>a product of the underlying fault geometry and heave. The basement pro</w:t>
      </w:r>
      <w:r w:rsidR="00B1241C">
        <w:rPr>
          <w:rFonts w:eastAsiaTheme="minorEastAsia"/>
        </w:rPr>
        <w:t>file</w:t>
      </w:r>
      <w:r w:rsidR="001B37C8">
        <w:rPr>
          <w:rFonts w:eastAsiaTheme="minorEastAsia"/>
        </w:rPr>
        <w:t>s</w:t>
      </w:r>
      <w:r w:rsidR="003020EB">
        <w:rPr>
          <w:rFonts w:eastAsiaTheme="minorEastAsia"/>
        </w:rPr>
        <w:t xml:space="preserve"> portrayed in Figure</w:t>
      </w:r>
      <w:r w:rsidR="00B1241C">
        <w:rPr>
          <w:rFonts w:eastAsiaTheme="minorEastAsia"/>
        </w:rPr>
        <w:t>s</w:t>
      </w:r>
      <w:r w:rsidR="003020EB">
        <w:rPr>
          <w:rFonts w:eastAsiaTheme="minorEastAsia"/>
        </w:rPr>
        <w:t xml:space="preserve"> </w:t>
      </w:r>
      <w:r w:rsidR="00CE4429">
        <w:rPr>
          <w:rFonts w:eastAsiaTheme="minorEastAsia"/>
        </w:rPr>
        <w:t>8</w:t>
      </w:r>
      <w:r w:rsidR="001B37C8">
        <w:rPr>
          <w:rFonts w:eastAsiaTheme="minorEastAsia"/>
        </w:rPr>
        <w:t>a and b are</w:t>
      </w:r>
      <w:r>
        <w:rPr>
          <w:rFonts w:eastAsiaTheme="minorEastAsia"/>
        </w:rPr>
        <w:t xml:space="preserve"> based upon the interpreta</w:t>
      </w:r>
      <w:r w:rsidR="0093452C">
        <w:rPr>
          <w:rFonts w:eastAsiaTheme="minorEastAsia"/>
        </w:rPr>
        <w:t>tion of deep and relatively low-</w:t>
      </w:r>
      <w:r w:rsidR="00B1241C">
        <w:rPr>
          <w:rFonts w:eastAsiaTheme="minorEastAsia"/>
        </w:rPr>
        <w:t>resolution seismic data</w:t>
      </w:r>
      <w:r w:rsidR="001B37C8">
        <w:rPr>
          <w:rFonts w:eastAsiaTheme="minorEastAsia"/>
        </w:rPr>
        <w:t xml:space="preserve"> (Chadwick et al., 1995)</w:t>
      </w:r>
      <w:r w:rsidR="004A61B6">
        <w:rPr>
          <w:rFonts w:eastAsiaTheme="minorEastAsia"/>
        </w:rPr>
        <w:t>,</w:t>
      </w:r>
      <w:r w:rsidR="004F7F45">
        <w:rPr>
          <w:rFonts w:eastAsiaTheme="minorEastAsia"/>
        </w:rPr>
        <w:t xml:space="preserve"> and are </w:t>
      </w:r>
      <w:r w:rsidR="007C518E">
        <w:rPr>
          <w:rFonts w:eastAsiaTheme="minorEastAsia"/>
        </w:rPr>
        <w:t>not necessarily structurally balanced</w:t>
      </w:r>
      <w:r>
        <w:rPr>
          <w:rFonts w:eastAsiaTheme="minorEastAsia"/>
        </w:rPr>
        <w:t xml:space="preserve">. Nonetheless, this basement profile is </w:t>
      </w:r>
      <w:r w:rsidR="00B1241C">
        <w:rPr>
          <w:rFonts w:eastAsiaTheme="minorEastAsia"/>
        </w:rPr>
        <w:t>replicated</w:t>
      </w:r>
      <w:r w:rsidR="00CE3A25">
        <w:rPr>
          <w:rFonts w:eastAsiaTheme="minorEastAsia"/>
        </w:rPr>
        <w:t xml:space="preserve"> </w:t>
      </w:r>
      <w:r>
        <w:rPr>
          <w:rFonts w:eastAsiaTheme="minorEastAsia"/>
        </w:rPr>
        <w:t xml:space="preserve">best by incorporating </w:t>
      </w:r>
      <w:proofErr w:type="spellStart"/>
      <w:r w:rsidR="00B26BDD">
        <w:rPr>
          <w:rFonts w:eastAsiaTheme="minorEastAsia"/>
        </w:rPr>
        <w:t>listric</w:t>
      </w:r>
      <w:proofErr w:type="spellEnd"/>
      <w:r w:rsidR="00B26BDD">
        <w:rPr>
          <w:rFonts w:eastAsiaTheme="minorEastAsia"/>
        </w:rPr>
        <w:t xml:space="preserve"> faults with</w:t>
      </w:r>
      <w:r w:rsidR="00CE3A25">
        <w:rPr>
          <w:rFonts w:eastAsiaTheme="minorEastAsia"/>
        </w:rPr>
        <w:t xml:space="preserve"> </w:t>
      </w:r>
      <w:r w:rsidR="00B26BDD">
        <w:rPr>
          <w:rFonts w:eastAsiaTheme="minorEastAsia"/>
        </w:rPr>
        <w:t xml:space="preserve">a near-surface dip of </w:t>
      </w:r>
      <w:r>
        <w:rPr>
          <w:rFonts w:eastAsiaTheme="minorEastAsia"/>
        </w:rPr>
        <w:t>5</w:t>
      </w:r>
      <w:r w:rsidR="0062491E">
        <w:rPr>
          <w:rFonts w:eastAsiaTheme="minorEastAsia"/>
        </w:rPr>
        <w:t>5</w:t>
      </w:r>
      <w:r>
        <w:rPr>
          <w:rFonts w:eastAsiaTheme="minorEastAsia" w:cstheme="minorHAnsi"/>
        </w:rPr>
        <w:t>⁰</w:t>
      </w:r>
      <w:r w:rsidR="0093452C">
        <w:rPr>
          <w:rFonts w:eastAsiaTheme="minorEastAsia" w:cstheme="minorHAnsi"/>
        </w:rPr>
        <w:t xml:space="preserve"> </w:t>
      </w:r>
      <w:r w:rsidR="0025080B">
        <w:rPr>
          <w:rFonts w:eastAsiaTheme="minorEastAsia"/>
        </w:rPr>
        <w:t>(Fig. 1</w:t>
      </w:r>
      <w:r w:rsidR="00CE4429">
        <w:rPr>
          <w:rFonts w:eastAsiaTheme="minorEastAsia"/>
        </w:rPr>
        <w:t>0</w:t>
      </w:r>
      <w:r w:rsidR="004A61B6">
        <w:rPr>
          <w:rFonts w:eastAsiaTheme="minorEastAsia"/>
        </w:rPr>
        <w:t xml:space="preserve">; </w:t>
      </w:r>
      <w:r w:rsidR="00A24DE4">
        <w:rPr>
          <w:rFonts w:eastAsiaTheme="minorEastAsia"/>
        </w:rPr>
        <w:t>table 3)</w:t>
      </w:r>
      <w:r>
        <w:rPr>
          <w:rFonts w:eastAsiaTheme="minorEastAsia"/>
        </w:rPr>
        <w:t xml:space="preserve">. Such structures may reflect </w:t>
      </w:r>
      <w:r w:rsidR="00734268">
        <w:rPr>
          <w:rFonts w:eastAsiaTheme="minorEastAsia"/>
        </w:rPr>
        <w:t xml:space="preserve">inheritance from </w:t>
      </w:r>
      <w:r>
        <w:rPr>
          <w:rFonts w:eastAsiaTheme="minorEastAsia"/>
        </w:rPr>
        <w:t>the pre-Carboniferous Caledonian basement</w:t>
      </w:r>
      <w:r w:rsidR="00E34557">
        <w:rPr>
          <w:rFonts w:eastAsiaTheme="minorEastAsia"/>
        </w:rPr>
        <w:t>,</w:t>
      </w:r>
      <w:r>
        <w:rPr>
          <w:rFonts w:eastAsiaTheme="minorEastAsia"/>
        </w:rPr>
        <w:t xml:space="preserve"> which is exposed to the north of the study area in the Southern Uplands</w:t>
      </w:r>
      <w:r w:rsidR="00CE3A25">
        <w:rPr>
          <w:rFonts w:eastAsiaTheme="minorEastAsia"/>
        </w:rPr>
        <w:t xml:space="preserve"> </w:t>
      </w:r>
      <w:r w:rsidR="00D275BA">
        <w:rPr>
          <w:rFonts w:eastAsiaTheme="minorEastAsia"/>
        </w:rPr>
        <w:t xml:space="preserve">of Scotland </w:t>
      </w:r>
      <w:r w:rsidR="00B6477B">
        <w:rPr>
          <w:rFonts w:eastAsiaTheme="minorEastAsia"/>
        </w:rPr>
        <w:t>(</w:t>
      </w:r>
      <w:proofErr w:type="spellStart"/>
      <w:r w:rsidR="007E60DF">
        <w:rPr>
          <w:rFonts w:eastAsiaTheme="minorEastAsia"/>
        </w:rPr>
        <w:t>Pharoah</w:t>
      </w:r>
      <w:proofErr w:type="spellEnd"/>
      <w:r w:rsidR="007E60DF">
        <w:rPr>
          <w:rFonts w:eastAsiaTheme="minorEastAsia"/>
        </w:rPr>
        <w:t xml:space="preserve"> et al., 1995</w:t>
      </w:r>
      <w:r w:rsidR="00B6477B">
        <w:rPr>
          <w:rFonts w:eastAsiaTheme="minorEastAsia"/>
        </w:rPr>
        <w:t>)</w:t>
      </w:r>
      <w:r>
        <w:rPr>
          <w:rFonts w:eastAsiaTheme="minorEastAsia"/>
        </w:rPr>
        <w:t xml:space="preserve">. Much of the Carboniferous structure in northern England </w:t>
      </w:r>
      <w:proofErr w:type="gramStart"/>
      <w:r>
        <w:rPr>
          <w:rFonts w:eastAsiaTheme="minorEastAsia"/>
        </w:rPr>
        <w:t xml:space="preserve">is believed to </w:t>
      </w:r>
      <w:r w:rsidR="001B044C">
        <w:rPr>
          <w:rFonts w:eastAsiaTheme="minorEastAsia"/>
        </w:rPr>
        <w:t>have been derived</w:t>
      </w:r>
      <w:proofErr w:type="gramEnd"/>
      <w:r w:rsidR="001B044C">
        <w:rPr>
          <w:rFonts w:eastAsiaTheme="minorEastAsia"/>
        </w:rPr>
        <w:t xml:space="preserve"> from the</w:t>
      </w:r>
      <w:r>
        <w:rPr>
          <w:rFonts w:eastAsiaTheme="minorEastAsia"/>
        </w:rPr>
        <w:t xml:space="preserve"> reactivation of late Caledonian compressional structures and the shallowly dipping, deep Iapetus suture zone (</w:t>
      </w:r>
      <w:proofErr w:type="spellStart"/>
      <w:r>
        <w:rPr>
          <w:rFonts w:eastAsiaTheme="minorEastAsia"/>
        </w:rPr>
        <w:t>Soper</w:t>
      </w:r>
      <w:proofErr w:type="spellEnd"/>
      <w:r>
        <w:rPr>
          <w:rFonts w:eastAsiaTheme="minorEastAsia"/>
        </w:rPr>
        <w:t xml:space="preserve"> et al., 1992).</w:t>
      </w:r>
    </w:p>
    <w:p w14:paraId="660C2372" w14:textId="4D7E289C" w:rsidR="00BD4E65" w:rsidRDefault="00BD4E65" w:rsidP="009E071D">
      <w:pPr>
        <w:spacing w:line="360" w:lineRule="auto"/>
        <w:rPr>
          <w:rFonts w:eastAsiaTheme="minorEastAsia"/>
        </w:rPr>
      </w:pPr>
      <w:r>
        <w:rPr>
          <w:rFonts w:eastAsiaTheme="minorEastAsia"/>
        </w:rPr>
        <w:tab/>
      </w:r>
      <w:r w:rsidR="004A61B6">
        <w:rPr>
          <w:rFonts w:eastAsiaTheme="minorEastAsia"/>
        </w:rPr>
        <w:t xml:space="preserve">Following the rift phase, the models include 40 </w:t>
      </w:r>
      <w:proofErr w:type="spellStart"/>
      <w:proofErr w:type="gramStart"/>
      <w:r>
        <w:rPr>
          <w:rFonts w:eastAsiaTheme="minorEastAsia"/>
        </w:rPr>
        <w:t>My</w:t>
      </w:r>
      <w:proofErr w:type="spellEnd"/>
      <w:proofErr w:type="gramEnd"/>
      <w:r>
        <w:rPr>
          <w:rFonts w:eastAsiaTheme="minorEastAsia"/>
        </w:rPr>
        <w:t xml:space="preserve"> of post-</w:t>
      </w:r>
      <w:r w:rsidR="004A61B6">
        <w:rPr>
          <w:rFonts w:eastAsiaTheme="minorEastAsia"/>
        </w:rPr>
        <w:t>rift,</w:t>
      </w:r>
      <w:r>
        <w:rPr>
          <w:rFonts w:eastAsiaTheme="minorEastAsia"/>
        </w:rPr>
        <w:t xml:space="preserve"> thermal subsidence. If deformation is assumed to have begun during the latest Devonian (~360</w:t>
      </w:r>
      <w:r w:rsidR="00E34463">
        <w:rPr>
          <w:rFonts w:eastAsiaTheme="minorEastAsia"/>
        </w:rPr>
        <w:t xml:space="preserve"> </w:t>
      </w:r>
      <w:r>
        <w:rPr>
          <w:rFonts w:eastAsiaTheme="minorEastAsia"/>
        </w:rPr>
        <w:t xml:space="preserve">Ma; as suggested by Chadwick et al., 1995; </w:t>
      </w:r>
      <w:r w:rsidR="00734268">
        <w:rPr>
          <w:rFonts w:eastAsiaTheme="minorEastAsia"/>
        </w:rPr>
        <w:t>Monaghan and Parrish</w:t>
      </w:r>
      <w:r>
        <w:rPr>
          <w:rFonts w:eastAsiaTheme="minorEastAsia"/>
        </w:rPr>
        <w:t xml:space="preserve">, 2006), the model then effectively calculates sedimentation until the late Namurian or early </w:t>
      </w:r>
      <w:proofErr w:type="spellStart"/>
      <w:r>
        <w:rPr>
          <w:rFonts w:eastAsiaTheme="minorEastAsia"/>
        </w:rPr>
        <w:t>Bashkirian</w:t>
      </w:r>
      <w:proofErr w:type="spellEnd"/>
      <w:r w:rsidR="001B044C">
        <w:rPr>
          <w:rFonts w:eastAsiaTheme="minorEastAsia"/>
        </w:rPr>
        <w:t xml:space="preserve"> (~320 Ma)</w:t>
      </w:r>
      <w:r w:rsidR="009F6365">
        <w:rPr>
          <w:rFonts w:eastAsiaTheme="minorEastAsia"/>
        </w:rPr>
        <w:t xml:space="preserve"> Stage</w:t>
      </w:r>
      <w:r w:rsidR="004A61B6">
        <w:rPr>
          <w:rFonts w:eastAsiaTheme="minorEastAsia"/>
        </w:rPr>
        <w:t>,</w:t>
      </w:r>
      <w:r>
        <w:rPr>
          <w:rFonts w:eastAsiaTheme="minorEastAsia"/>
        </w:rPr>
        <w:t xml:space="preserve"> after which the rate of sedimentation increases during the Westphalian or late </w:t>
      </w:r>
      <w:proofErr w:type="spellStart"/>
      <w:r>
        <w:rPr>
          <w:rFonts w:eastAsiaTheme="minorEastAsia"/>
        </w:rPr>
        <w:t>Bashkirian</w:t>
      </w:r>
      <w:proofErr w:type="spellEnd"/>
      <w:r w:rsidR="00CE3A25">
        <w:rPr>
          <w:rFonts w:eastAsiaTheme="minorEastAsia"/>
        </w:rPr>
        <w:t xml:space="preserve"> </w:t>
      </w:r>
      <w:r w:rsidR="009F6365">
        <w:rPr>
          <w:rFonts w:eastAsiaTheme="minorEastAsia"/>
        </w:rPr>
        <w:t xml:space="preserve">stages </w:t>
      </w:r>
      <w:r w:rsidR="008C6600">
        <w:rPr>
          <w:rFonts w:eastAsiaTheme="minorEastAsia"/>
        </w:rPr>
        <w:t>(</w:t>
      </w:r>
      <w:r w:rsidR="0057314B">
        <w:rPr>
          <w:rFonts w:eastAsiaTheme="minorEastAsia"/>
        </w:rPr>
        <w:t xml:space="preserve">Peace and </w:t>
      </w:r>
      <w:proofErr w:type="spellStart"/>
      <w:r w:rsidR="0057314B">
        <w:rPr>
          <w:rFonts w:eastAsiaTheme="minorEastAsia"/>
        </w:rPr>
        <w:t>Besly</w:t>
      </w:r>
      <w:proofErr w:type="spellEnd"/>
      <w:r w:rsidR="0057314B">
        <w:rPr>
          <w:rFonts w:eastAsiaTheme="minorEastAsia"/>
        </w:rPr>
        <w:t>, 1997</w:t>
      </w:r>
      <w:r w:rsidR="008C6600">
        <w:rPr>
          <w:rFonts w:eastAsiaTheme="minorEastAsia"/>
        </w:rPr>
        <w:t>)</w:t>
      </w:r>
      <w:r>
        <w:rPr>
          <w:rFonts w:eastAsiaTheme="minorEastAsia"/>
        </w:rPr>
        <w:t xml:space="preserve">. </w:t>
      </w:r>
      <w:r w:rsidR="002000F7">
        <w:rPr>
          <w:rFonts w:eastAsiaTheme="minorEastAsia"/>
        </w:rPr>
        <w:t xml:space="preserve">Post-rift basin fill is more uniformly distributed </w:t>
      </w:r>
      <w:r w:rsidR="009F6365">
        <w:rPr>
          <w:rFonts w:eastAsiaTheme="minorEastAsia"/>
        </w:rPr>
        <w:t>than</w:t>
      </w:r>
      <w:r w:rsidR="002000F7">
        <w:rPr>
          <w:rFonts w:eastAsiaTheme="minorEastAsia"/>
        </w:rPr>
        <w:t xml:space="preserve"> </w:t>
      </w:r>
      <w:proofErr w:type="spellStart"/>
      <w:r w:rsidR="002000F7">
        <w:rPr>
          <w:rFonts w:eastAsiaTheme="minorEastAsia"/>
        </w:rPr>
        <w:t>syn</w:t>
      </w:r>
      <w:proofErr w:type="spellEnd"/>
      <w:r w:rsidR="002000F7">
        <w:rPr>
          <w:rFonts w:eastAsiaTheme="minorEastAsia"/>
        </w:rPr>
        <w:t xml:space="preserve">-rift basin fill. Whereas </w:t>
      </w:r>
      <w:proofErr w:type="spellStart"/>
      <w:r w:rsidR="002000F7">
        <w:rPr>
          <w:rFonts w:eastAsiaTheme="minorEastAsia"/>
        </w:rPr>
        <w:t>syn</w:t>
      </w:r>
      <w:proofErr w:type="spellEnd"/>
      <w:r w:rsidR="002000F7">
        <w:rPr>
          <w:rFonts w:eastAsiaTheme="minorEastAsia"/>
        </w:rPr>
        <w:t xml:space="preserve">-rift basin fill is controlled predominantly by faulting, post-rift is controlled by more uniformly distributed pure </w:t>
      </w:r>
      <w:r w:rsidR="00CE3A25">
        <w:rPr>
          <w:rFonts w:eastAsiaTheme="minorEastAsia"/>
        </w:rPr>
        <w:t>shear, which</w:t>
      </w:r>
      <w:r w:rsidR="002000F7">
        <w:rPr>
          <w:rFonts w:eastAsiaTheme="minorEastAsia"/>
        </w:rPr>
        <w:t xml:space="preserve"> is responsible for thinning the lower lithosphere and raising the lithosphere-asthenosphere boundary.</w:t>
      </w:r>
    </w:p>
    <w:p w14:paraId="7AB8BE27" w14:textId="6D0A79F4" w:rsidR="00B72629" w:rsidRDefault="00B72629" w:rsidP="009E071D">
      <w:pPr>
        <w:spacing w:line="360" w:lineRule="auto"/>
        <w:rPr>
          <w:rFonts w:eastAsiaTheme="minorEastAsia"/>
        </w:rPr>
      </w:pPr>
      <w:r>
        <w:rPr>
          <w:rFonts w:eastAsiaTheme="minorEastAsia"/>
        </w:rPr>
        <w:lastRenderedPageBreak/>
        <w:tab/>
        <w:t>The modelled maximum basin thickness is ~3.5</w:t>
      </w:r>
      <w:r w:rsidR="00067009">
        <w:rPr>
          <w:rFonts w:eastAsiaTheme="minorEastAsia"/>
        </w:rPr>
        <w:t xml:space="preserve"> </w:t>
      </w:r>
      <w:r>
        <w:rPr>
          <w:rFonts w:eastAsiaTheme="minorEastAsia"/>
        </w:rPr>
        <w:t>km</w:t>
      </w:r>
      <w:r w:rsidR="0025080B">
        <w:rPr>
          <w:rFonts w:eastAsiaTheme="minorEastAsia"/>
        </w:rPr>
        <w:t xml:space="preserve"> (Fig. 1</w:t>
      </w:r>
      <w:r w:rsidR="00CE4429">
        <w:rPr>
          <w:rFonts w:eastAsiaTheme="minorEastAsia"/>
        </w:rPr>
        <w:t>0</w:t>
      </w:r>
      <w:r w:rsidR="00285E29">
        <w:rPr>
          <w:rFonts w:eastAsiaTheme="minorEastAsia"/>
        </w:rPr>
        <w:t>d</w:t>
      </w:r>
      <w:r w:rsidR="004A61B6">
        <w:rPr>
          <w:rFonts w:eastAsiaTheme="minorEastAsia"/>
        </w:rPr>
        <w:t>)</w:t>
      </w:r>
      <w:r>
        <w:rPr>
          <w:rFonts w:eastAsiaTheme="minorEastAsia"/>
        </w:rPr>
        <w:t xml:space="preserve">, </w:t>
      </w:r>
      <w:r w:rsidR="004A61B6">
        <w:rPr>
          <w:rFonts w:eastAsiaTheme="minorEastAsia"/>
        </w:rPr>
        <w:t xml:space="preserve">which is </w:t>
      </w:r>
      <w:r>
        <w:rPr>
          <w:rFonts w:eastAsiaTheme="minorEastAsia"/>
        </w:rPr>
        <w:t>less t</w:t>
      </w:r>
      <w:r w:rsidR="00BD102D">
        <w:rPr>
          <w:rFonts w:eastAsiaTheme="minorEastAsia"/>
        </w:rPr>
        <w:t>han the ~5</w:t>
      </w:r>
      <w:r w:rsidR="00067009">
        <w:rPr>
          <w:rFonts w:eastAsiaTheme="minorEastAsia"/>
        </w:rPr>
        <w:t xml:space="preserve"> </w:t>
      </w:r>
      <w:r>
        <w:rPr>
          <w:rFonts w:eastAsiaTheme="minorEastAsia"/>
        </w:rPr>
        <w:t xml:space="preserve">km </w:t>
      </w:r>
      <w:r w:rsidR="00D54392">
        <w:rPr>
          <w:rFonts w:eastAsiaTheme="minorEastAsia"/>
        </w:rPr>
        <w:t xml:space="preserve">succession of </w:t>
      </w:r>
      <w:r w:rsidR="00734268">
        <w:rPr>
          <w:rFonts w:eastAsiaTheme="minorEastAsia"/>
        </w:rPr>
        <w:t>preserved</w:t>
      </w:r>
      <w:r w:rsidR="00CE3A25">
        <w:rPr>
          <w:rFonts w:eastAsiaTheme="minorEastAsia"/>
        </w:rPr>
        <w:t xml:space="preserve"> </w:t>
      </w:r>
      <w:r w:rsidR="00D54392">
        <w:rPr>
          <w:rFonts w:eastAsiaTheme="minorEastAsia"/>
        </w:rPr>
        <w:t xml:space="preserve">early-mid Carboniferous succession </w:t>
      </w:r>
      <w:r>
        <w:rPr>
          <w:rFonts w:eastAsiaTheme="minorEastAsia"/>
        </w:rPr>
        <w:t xml:space="preserve">observed in the Northumberland </w:t>
      </w:r>
      <w:r w:rsidR="00E97D2B">
        <w:rPr>
          <w:rFonts w:eastAsiaTheme="minorEastAsia"/>
        </w:rPr>
        <w:t>Trough</w:t>
      </w:r>
      <w:r w:rsidR="009A1C1F">
        <w:rPr>
          <w:rFonts w:eastAsiaTheme="minorEastAsia"/>
        </w:rPr>
        <w:t xml:space="preserve"> (</w:t>
      </w:r>
      <w:r w:rsidR="0025080B">
        <w:rPr>
          <w:rFonts w:eastAsiaTheme="minorEastAsia"/>
        </w:rPr>
        <w:t>Fig. 1</w:t>
      </w:r>
      <w:r w:rsidR="00CE4429">
        <w:rPr>
          <w:rFonts w:eastAsiaTheme="minorEastAsia"/>
        </w:rPr>
        <w:t>0</w:t>
      </w:r>
      <w:r w:rsidR="00F87386">
        <w:rPr>
          <w:rFonts w:eastAsiaTheme="minorEastAsia"/>
        </w:rPr>
        <w:t>a;</w:t>
      </w:r>
      <w:r w:rsidR="00067009">
        <w:rPr>
          <w:rFonts w:eastAsiaTheme="minorEastAsia"/>
        </w:rPr>
        <w:t xml:space="preserve"> </w:t>
      </w:r>
      <w:r w:rsidR="009A1C1F">
        <w:rPr>
          <w:rFonts w:eastAsiaTheme="minorEastAsia"/>
        </w:rPr>
        <w:t>Day, 1970)</w:t>
      </w:r>
      <w:r>
        <w:rPr>
          <w:rFonts w:eastAsiaTheme="minorEastAsia"/>
        </w:rPr>
        <w:t xml:space="preserve">. </w:t>
      </w:r>
      <w:r w:rsidR="0062491E">
        <w:rPr>
          <w:rFonts w:eastAsiaTheme="minorEastAsia"/>
        </w:rPr>
        <w:t>I</w:t>
      </w:r>
      <w:r>
        <w:rPr>
          <w:rFonts w:eastAsiaTheme="minorEastAsia"/>
        </w:rPr>
        <w:t xml:space="preserve">ncorporating greater heave within the model would dishonour </w:t>
      </w:r>
      <w:r w:rsidR="00734268">
        <w:rPr>
          <w:rFonts w:eastAsiaTheme="minorEastAsia"/>
        </w:rPr>
        <w:t xml:space="preserve">the interpretations of </w:t>
      </w:r>
      <w:r w:rsidR="0062491E">
        <w:rPr>
          <w:rFonts w:eastAsiaTheme="minorEastAsia"/>
        </w:rPr>
        <w:t>Chadwick et al</w:t>
      </w:r>
      <w:r w:rsidR="00734268">
        <w:rPr>
          <w:rFonts w:eastAsiaTheme="minorEastAsia"/>
        </w:rPr>
        <w:t>.</w:t>
      </w:r>
      <w:r w:rsidR="0062491E">
        <w:rPr>
          <w:rFonts w:eastAsiaTheme="minorEastAsia"/>
        </w:rPr>
        <w:t xml:space="preserve"> (1995)</w:t>
      </w:r>
      <w:proofErr w:type="gramStart"/>
      <w:r w:rsidR="00734268">
        <w:rPr>
          <w:rFonts w:eastAsiaTheme="minorEastAsia"/>
        </w:rPr>
        <w:t>,</w:t>
      </w:r>
      <w:proofErr w:type="gramEnd"/>
      <w:r w:rsidR="00734268">
        <w:rPr>
          <w:rFonts w:eastAsiaTheme="minorEastAsia"/>
        </w:rPr>
        <w:t xml:space="preserve"> </w:t>
      </w:r>
      <w:r>
        <w:rPr>
          <w:rFonts w:eastAsiaTheme="minorEastAsia"/>
        </w:rPr>
        <w:t>utilising greater pure shear</w:t>
      </w:r>
      <w:r w:rsidR="009E1FEC">
        <w:rPr>
          <w:rFonts w:eastAsiaTheme="minorEastAsia"/>
        </w:rPr>
        <w:t xml:space="preserve"> values</w:t>
      </w:r>
      <w:r>
        <w:rPr>
          <w:rFonts w:eastAsiaTheme="minorEastAsia"/>
        </w:rPr>
        <w:t xml:space="preserve"> would invoke perhaps unrealistic depth-dependent extension and ‘space issues’ (e</w:t>
      </w:r>
      <w:r w:rsidR="00B05165">
        <w:rPr>
          <w:rFonts w:eastAsiaTheme="minorEastAsia"/>
        </w:rPr>
        <w:t>.</w:t>
      </w:r>
      <w:r>
        <w:rPr>
          <w:rFonts w:eastAsiaTheme="minorEastAsia"/>
        </w:rPr>
        <w:t xml:space="preserve">g. Egan and Meredith, 2007). </w:t>
      </w:r>
      <w:r w:rsidR="003E2009">
        <w:rPr>
          <w:rFonts w:eastAsiaTheme="minorEastAsia"/>
        </w:rPr>
        <w:t xml:space="preserve">This discrepancy could be attributed to a number of factors: 1) fault heave beyond model resolution (250 m); 2) out-of-plane extension (e.g. Coward, 1993); 3) possible misinterpretation of the poorly imaged top Caledonian basement; or 4) the likely uneven nature of the post-Caledonian, thrusted palaeo-topography. </w:t>
      </w:r>
      <w:r>
        <w:rPr>
          <w:rFonts w:eastAsiaTheme="minorEastAsia"/>
        </w:rPr>
        <w:t>Although a discrepancy</w:t>
      </w:r>
      <w:r w:rsidR="009E1FEC">
        <w:rPr>
          <w:rFonts w:eastAsiaTheme="minorEastAsia"/>
        </w:rPr>
        <w:t xml:space="preserve"> in</w:t>
      </w:r>
      <w:r w:rsidR="00077EA5">
        <w:rPr>
          <w:rFonts w:eastAsiaTheme="minorEastAsia"/>
        </w:rPr>
        <w:t xml:space="preserve"> basin depth</w:t>
      </w:r>
      <w:r>
        <w:rPr>
          <w:rFonts w:eastAsiaTheme="minorEastAsia"/>
        </w:rPr>
        <w:t xml:space="preserve"> is recognised, the model is deemed satisfactory for the purposes of this study.</w:t>
      </w:r>
    </w:p>
    <w:p w14:paraId="1C63D408" w14:textId="6B00F18A" w:rsidR="000B4683" w:rsidRDefault="008E1E82" w:rsidP="009E071D">
      <w:pPr>
        <w:spacing w:line="360" w:lineRule="auto"/>
        <w:rPr>
          <w:rFonts w:eastAsiaTheme="minorEastAsia"/>
        </w:rPr>
      </w:pPr>
      <w:r>
        <w:rPr>
          <w:rFonts w:eastAsiaTheme="minorEastAsia"/>
        </w:rPr>
        <w:tab/>
        <w:t xml:space="preserve">As </w:t>
      </w:r>
      <w:r w:rsidR="004717DA">
        <w:rPr>
          <w:rFonts w:eastAsiaTheme="minorEastAsia"/>
        </w:rPr>
        <w:t>expected</w:t>
      </w:r>
      <w:r>
        <w:rPr>
          <w:rFonts w:eastAsiaTheme="minorEastAsia"/>
        </w:rPr>
        <w:t>, the difference</w:t>
      </w:r>
      <w:r w:rsidR="009F6365">
        <w:rPr>
          <w:rFonts w:eastAsiaTheme="minorEastAsia"/>
        </w:rPr>
        <w:t>s</w:t>
      </w:r>
      <w:r w:rsidR="00B1241C">
        <w:rPr>
          <w:rFonts w:eastAsiaTheme="minorEastAsia"/>
        </w:rPr>
        <w:t xml:space="preserve"> between the modelled basin geometries </w:t>
      </w:r>
      <w:r w:rsidR="00B336F5">
        <w:rPr>
          <w:rFonts w:eastAsiaTheme="minorEastAsia"/>
        </w:rPr>
        <w:t>with and without</w:t>
      </w:r>
      <w:r w:rsidR="00CE3A25">
        <w:rPr>
          <w:rFonts w:eastAsiaTheme="minorEastAsia"/>
        </w:rPr>
        <w:t xml:space="preserve"> </w:t>
      </w:r>
      <w:r w:rsidR="00B1241C">
        <w:rPr>
          <w:rFonts w:eastAsiaTheme="minorEastAsia"/>
        </w:rPr>
        <w:t xml:space="preserve">incorporating </w:t>
      </w:r>
      <w:r w:rsidR="004C63BB">
        <w:rPr>
          <w:rFonts w:eastAsiaTheme="minorEastAsia"/>
        </w:rPr>
        <w:t>granite-in</w:t>
      </w:r>
      <w:r w:rsidR="003020EB">
        <w:rPr>
          <w:rFonts w:eastAsiaTheme="minorEastAsia"/>
        </w:rPr>
        <w:t>duced density contrasts (Figs. 1</w:t>
      </w:r>
      <w:r w:rsidR="00CE4429">
        <w:rPr>
          <w:rFonts w:eastAsiaTheme="minorEastAsia"/>
        </w:rPr>
        <w:t>0</w:t>
      </w:r>
      <w:r w:rsidR="0025080B">
        <w:rPr>
          <w:rFonts w:eastAsiaTheme="minorEastAsia"/>
        </w:rPr>
        <w:t>a and 1</w:t>
      </w:r>
      <w:r w:rsidR="00CE4429">
        <w:rPr>
          <w:rFonts w:eastAsiaTheme="minorEastAsia"/>
        </w:rPr>
        <w:t>0</w:t>
      </w:r>
      <w:r>
        <w:rPr>
          <w:rFonts w:eastAsiaTheme="minorEastAsia"/>
        </w:rPr>
        <w:t>b</w:t>
      </w:r>
      <w:r w:rsidR="0006395A">
        <w:rPr>
          <w:rFonts w:eastAsiaTheme="minorEastAsia"/>
        </w:rPr>
        <w:t>, respectively</w:t>
      </w:r>
      <w:r w:rsidR="00B1241C">
        <w:rPr>
          <w:rFonts w:eastAsiaTheme="minorEastAsia"/>
        </w:rPr>
        <w:t>) can be observed</w:t>
      </w:r>
      <w:r>
        <w:rPr>
          <w:rFonts w:eastAsiaTheme="minorEastAsia"/>
        </w:rPr>
        <w:t xml:space="preserve"> on t</w:t>
      </w:r>
      <w:r w:rsidR="004C63BB">
        <w:rPr>
          <w:rFonts w:eastAsiaTheme="minorEastAsia"/>
        </w:rPr>
        <w:t xml:space="preserve">he </w:t>
      </w:r>
      <w:r w:rsidR="0006395A">
        <w:rPr>
          <w:rFonts w:eastAsiaTheme="minorEastAsia"/>
        </w:rPr>
        <w:t>Alston B</w:t>
      </w:r>
      <w:r w:rsidR="004C63BB">
        <w:rPr>
          <w:rFonts w:eastAsiaTheme="minorEastAsia"/>
        </w:rPr>
        <w:t>lock</w:t>
      </w:r>
      <w:r>
        <w:rPr>
          <w:rFonts w:eastAsiaTheme="minorEastAsia"/>
        </w:rPr>
        <w:t>. When no granite is incorporated within the</w:t>
      </w:r>
      <w:r w:rsidR="0025080B">
        <w:rPr>
          <w:rFonts w:eastAsiaTheme="minorEastAsia"/>
        </w:rPr>
        <w:t xml:space="preserve"> model (Fig. 1</w:t>
      </w:r>
      <w:r w:rsidR="00CE4429">
        <w:rPr>
          <w:rFonts w:eastAsiaTheme="minorEastAsia"/>
        </w:rPr>
        <w:t>0</w:t>
      </w:r>
      <w:r w:rsidR="00B60DC7">
        <w:rPr>
          <w:rFonts w:eastAsiaTheme="minorEastAsia"/>
        </w:rPr>
        <w:t>a)</w:t>
      </w:r>
      <w:r>
        <w:rPr>
          <w:rFonts w:eastAsiaTheme="minorEastAsia"/>
        </w:rPr>
        <w:t>, top basement</w:t>
      </w:r>
      <w:r w:rsidR="008B38B0">
        <w:rPr>
          <w:rFonts w:eastAsiaTheme="minorEastAsia"/>
        </w:rPr>
        <w:t xml:space="preserve"> forming the Alston </w:t>
      </w:r>
      <w:r w:rsidR="001605C7">
        <w:rPr>
          <w:rFonts w:eastAsiaTheme="minorEastAsia"/>
        </w:rPr>
        <w:t>B</w:t>
      </w:r>
      <w:r w:rsidR="008B38B0">
        <w:rPr>
          <w:rFonts w:eastAsiaTheme="minorEastAsia"/>
        </w:rPr>
        <w:t>lock</w:t>
      </w:r>
      <w:r>
        <w:rPr>
          <w:rFonts w:eastAsiaTheme="minorEastAsia"/>
        </w:rPr>
        <w:t xml:space="preserve"> is characterised by two </w:t>
      </w:r>
      <w:r w:rsidR="004C63BB">
        <w:rPr>
          <w:rFonts w:eastAsiaTheme="minorEastAsia"/>
        </w:rPr>
        <w:t>inwardly dipping margins</w:t>
      </w:r>
      <w:r>
        <w:rPr>
          <w:rFonts w:eastAsiaTheme="minorEastAsia"/>
        </w:rPr>
        <w:t>.</w:t>
      </w:r>
      <w:r w:rsidR="001348B0">
        <w:rPr>
          <w:rFonts w:eastAsiaTheme="minorEastAsia"/>
        </w:rPr>
        <w:t xml:space="preserve"> This geometry </w:t>
      </w:r>
      <w:r w:rsidR="004C63BB">
        <w:rPr>
          <w:rFonts w:eastAsiaTheme="minorEastAsia"/>
        </w:rPr>
        <w:t>represents the flexural response to</w:t>
      </w:r>
      <w:r w:rsidR="00CC1E0A">
        <w:rPr>
          <w:rFonts w:eastAsiaTheme="minorEastAsia"/>
        </w:rPr>
        <w:t xml:space="preserve"> lithosphere</w:t>
      </w:r>
      <w:r w:rsidR="001348B0">
        <w:rPr>
          <w:rFonts w:eastAsiaTheme="minorEastAsia"/>
        </w:rPr>
        <w:t xml:space="preserve"> unloading along regions of cr</w:t>
      </w:r>
      <w:r w:rsidR="005B30FE">
        <w:rPr>
          <w:rFonts w:eastAsiaTheme="minorEastAsia"/>
        </w:rPr>
        <w:t>u</w:t>
      </w:r>
      <w:r w:rsidR="001348B0">
        <w:rPr>
          <w:rFonts w:eastAsiaTheme="minorEastAsia"/>
        </w:rPr>
        <w:t>stal thinning due t</w:t>
      </w:r>
      <w:r w:rsidR="00ED1B8C">
        <w:rPr>
          <w:rFonts w:eastAsiaTheme="minorEastAsia"/>
        </w:rPr>
        <w:t xml:space="preserve">o </w:t>
      </w:r>
      <w:r w:rsidR="00B1241C">
        <w:rPr>
          <w:rFonts w:eastAsiaTheme="minorEastAsia"/>
        </w:rPr>
        <w:t xml:space="preserve">the </w:t>
      </w:r>
      <w:r w:rsidR="0006395A">
        <w:rPr>
          <w:rFonts w:eastAsiaTheme="minorEastAsia"/>
        </w:rPr>
        <w:t>two</w:t>
      </w:r>
      <w:r w:rsidR="00B1241C">
        <w:rPr>
          <w:rFonts w:eastAsiaTheme="minorEastAsia"/>
        </w:rPr>
        <w:t xml:space="preserve"> dominant</w:t>
      </w:r>
      <w:r w:rsidR="00CE3A25">
        <w:rPr>
          <w:rFonts w:eastAsiaTheme="minorEastAsia"/>
        </w:rPr>
        <w:t xml:space="preserve"> </w:t>
      </w:r>
      <w:r w:rsidR="00ED1B8C">
        <w:rPr>
          <w:rFonts w:eastAsiaTheme="minorEastAsia"/>
        </w:rPr>
        <w:t>faul</w:t>
      </w:r>
      <w:r w:rsidR="00B1241C">
        <w:rPr>
          <w:rFonts w:eastAsiaTheme="minorEastAsia"/>
        </w:rPr>
        <w:t xml:space="preserve">t </w:t>
      </w:r>
      <w:r w:rsidR="00CE3A25">
        <w:rPr>
          <w:rFonts w:eastAsiaTheme="minorEastAsia"/>
        </w:rPr>
        <w:t>systems, which</w:t>
      </w:r>
      <w:r w:rsidR="00B1241C">
        <w:rPr>
          <w:rFonts w:eastAsiaTheme="minorEastAsia"/>
        </w:rPr>
        <w:t xml:space="preserve"> have opposing dip directions</w:t>
      </w:r>
      <w:r w:rsidR="00ED1B8C">
        <w:rPr>
          <w:rFonts w:eastAsiaTheme="minorEastAsia"/>
        </w:rPr>
        <w:t xml:space="preserve"> (</w:t>
      </w:r>
      <w:proofErr w:type="spellStart"/>
      <w:r w:rsidR="00ED1B8C">
        <w:rPr>
          <w:rFonts w:eastAsiaTheme="minorEastAsia"/>
        </w:rPr>
        <w:t>Kusznir</w:t>
      </w:r>
      <w:proofErr w:type="spellEnd"/>
      <w:r w:rsidR="00ED1B8C">
        <w:rPr>
          <w:rFonts w:eastAsiaTheme="minorEastAsia"/>
        </w:rPr>
        <w:t xml:space="preserve"> et al., 1991</w:t>
      </w:r>
      <w:r w:rsidR="001348B0">
        <w:rPr>
          <w:rFonts w:eastAsiaTheme="minorEastAsia"/>
        </w:rPr>
        <w:t>).</w:t>
      </w:r>
      <w:r w:rsidR="005B30FE">
        <w:rPr>
          <w:rFonts w:eastAsiaTheme="minorEastAsia"/>
        </w:rPr>
        <w:t xml:space="preserve"> In the absence of granite, </w:t>
      </w:r>
      <w:r w:rsidR="009F6365">
        <w:rPr>
          <w:rFonts w:eastAsiaTheme="minorEastAsia"/>
        </w:rPr>
        <w:t>the</w:t>
      </w:r>
      <w:r w:rsidR="00B1241C">
        <w:rPr>
          <w:rFonts w:eastAsiaTheme="minorEastAsia"/>
        </w:rPr>
        <w:t xml:space="preserve"> modelled</w:t>
      </w:r>
      <w:r w:rsidR="009F6365">
        <w:rPr>
          <w:rFonts w:eastAsiaTheme="minorEastAsia"/>
        </w:rPr>
        <w:t xml:space="preserve"> thickness of </w:t>
      </w:r>
      <w:r w:rsidR="009003AA">
        <w:rPr>
          <w:rFonts w:eastAsiaTheme="minorEastAsia"/>
        </w:rPr>
        <w:t>the sedimentary succession</w:t>
      </w:r>
      <w:r w:rsidR="00B1241C">
        <w:rPr>
          <w:rFonts w:eastAsiaTheme="minorEastAsia"/>
        </w:rPr>
        <w:t xml:space="preserve"> on the Alston Block</w:t>
      </w:r>
      <w:r w:rsidR="005B30FE">
        <w:rPr>
          <w:rFonts w:eastAsiaTheme="minorEastAsia"/>
        </w:rPr>
        <w:t xml:space="preserve"> is </w:t>
      </w:r>
      <w:r w:rsidR="009003AA">
        <w:rPr>
          <w:rFonts w:eastAsiaTheme="minorEastAsia"/>
        </w:rPr>
        <w:t xml:space="preserve">~1500 </w:t>
      </w:r>
      <w:r w:rsidR="002D3551">
        <w:rPr>
          <w:rFonts w:eastAsiaTheme="minorEastAsia"/>
        </w:rPr>
        <w:t>m</w:t>
      </w:r>
      <w:r w:rsidR="005B30FE">
        <w:rPr>
          <w:rFonts w:eastAsiaTheme="minorEastAsia"/>
        </w:rPr>
        <w:t>. This is significantly greater than the ~</w:t>
      </w:r>
      <w:r w:rsidR="009003AA">
        <w:rPr>
          <w:rFonts w:eastAsiaTheme="minorEastAsia"/>
        </w:rPr>
        <w:t>700 metre-thick</w:t>
      </w:r>
      <w:r w:rsidR="00CE3A25">
        <w:rPr>
          <w:rFonts w:eastAsiaTheme="minorEastAsia"/>
        </w:rPr>
        <w:t xml:space="preserve"> </w:t>
      </w:r>
      <w:r w:rsidR="005F4058">
        <w:rPr>
          <w:rFonts w:eastAsiaTheme="minorEastAsia"/>
        </w:rPr>
        <w:t>Viséan</w:t>
      </w:r>
      <w:r w:rsidR="009003AA">
        <w:rPr>
          <w:rFonts w:eastAsiaTheme="minorEastAsia"/>
        </w:rPr>
        <w:t>-Namurian</w:t>
      </w:r>
      <w:r w:rsidR="005B30FE">
        <w:rPr>
          <w:rFonts w:eastAsiaTheme="minorEastAsia"/>
        </w:rPr>
        <w:t xml:space="preserve"> succession preserved </w:t>
      </w:r>
      <w:r w:rsidR="009003AA">
        <w:rPr>
          <w:rFonts w:eastAsiaTheme="minorEastAsia"/>
        </w:rPr>
        <w:t>along</w:t>
      </w:r>
      <w:r w:rsidR="005B30FE">
        <w:rPr>
          <w:rFonts w:eastAsiaTheme="minorEastAsia"/>
        </w:rPr>
        <w:t xml:space="preserve"> the </w:t>
      </w:r>
      <w:r w:rsidR="009003AA">
        <w:rPr>
          <w:rFonts w:eastAsiaTheme="minorEastAsia"/>
        </w:rPr>
        <w:t xml:space="preserve">western extent and </w:t>
      </w:r>
      <w:r w:rsidR="005B30FE">
        <w:rPr>
          <w:rFonts w:eastAsiaTheme="minorEastAsia"/>
        </w:rPr>
        <w:t xml:space="preserve">centre of the Alston Block, despite a lower </w:t>
      </w:r>
      <w:r w:rsidR="00E83055">
        <w:rPr>
          <w:rFonts w:eastAsiaTheme="minorEastAsia"/>
        </w:rPr>
        <w:t>magnitude of extension</w:t>
      </w:r>
      <w:r w:rsidR="002D1A72">
        <w:rPr>
          <w:rFonts w:eastAsiaTheme="minorEastAsia"/>
        </w:rPr>
        <w:t xml:space="preserve"> being utilised</w:t>
      </w:r>
      <w:r w:rsidR="005B30FE">
        <w:rPr>
          <w:rFonts w:eastAsiaTheme="minorEastAsia"/>
        </w:rPr>
        <w:t xml:space="preserve"> in the modelled example.</w:t>
      </w:r>
    </w:p>
    <w:p w14:paraId="3CCA061B" w14:textId="7D0CAE2F" w:rsidR="00061161" w:rsidRDefault="0006395A" w:rsidP="009E071D">
      <w:pPr>
        <w:pStyle w:val="Heading3"/>
        <w:spacing w:line="360" w:lineRule="auto"/>
        <w:rPr>
          <w:rFonts w:eastAsiaTheme="minorEastAsia"/>
        </w:rPr>
      </w:pPr>
      <w:r>
        <w:rPr>
          <w:rFonts w:eastAsiaTheme="minorEastAsia"/>
        </w:rPr>
        <w:t>5.2.2</w:t>
      </w:r>
      <w:r w:rsidR="00896F6C">
        <w:rPr>
          <w:rFonts w:eastAsiaTheme="minorEastAsia"/>
        </w:rPr>
        <w:t xml:space="preserve"> </w:t>
      </w:r>
      <w:r w:rsidR="004841DF">
        <w:rPr>
          <w:rFonts w:eastAsiaTheme="minorEastAsia"/>
        </w:rPr>
        <w:t>Modelling the effects of granite emplacement</w:t>
      </w:r>
      <w:r w:rsidR="00BE3C91">
        <w:rPr>
          <w:rFonts w:eastAsiaTheme="minorEastAsia"/>
        </w:rPr>
        <w:t xml:space="preserve"> – cross-line</w:t>
      </w:r>
    </w:p>
    <w:p w14:paraId="2D59136D" w14:textId="2E9B6A9A" w:rsidR="00A84A4B" w:rsidRDefault="00157624" w:rsidP="009E071D">
      <w:pPr>
        <w:spacing w:line="360" w:lineRule="auto"/>
        <w:rPr>
          <w:rFonts w:eastAsiaTheme="minorEastAsia"/>
        </w:rPr>
      </w:pPr>
      <w:r>
        <w:rPr>
          <w:rFonts w:eastAsiaTheme="minorEastAsia"/>
        </w:rPr>
        <w:tab/>
      </w:r>
      <w:r w:rsidR="004C63BB">
        <w:rPr>
          <w:rFonts w:eastAsiaTheme="minorEastAsia"/>
        </w:rPr>
        <w:t>The model presented in figure</w:t>
      </w:r>
      <w:r w:rsidR="00251490">
        <w:rPr>
          <w:rFonts w:eastAsiaTheme="minorEastAsia"/>
        </w:rPr>
        <w:t xml:space="preserve"> 1</w:t>
      </w:r>
      <w:r w:rsidR="00CE4429">
        <w:rPr>
          <w:rFonts w:eastAsiaTheme="minorEastAsia"/>
        </w:rPr>
        <w:t>0</w:t>
      </w:r>
      <w:r w:rsidR="00251490">
        <w:rPr>
          <w:rFonts w:eastAsiaTheme="minorEastAsia"/>
        </w:rPr>
        <w:t>b</w:t>
      </w:r>
      <w:r>
        <w:rPr>
          <w:rFonts w:eastAsiaTheme="minorEastAsia"/>
        </w:rPr>
        <w:t xml:space="preserve"> incorporates a 2D gr</w:t>
      </w:r>
      <w:r w:rsidR="00D73650">
        <w:rPr>
          <w:rFonts w:eastAsiaTheme="minorEastAsia"/>
        </w:rPr>
        <w:t xml:space="preserve">anite thickness </w:t>
      </w:r>
      <w:r w:rsidR="0025080B">
        <w:rPr>
          <w:rFonts w:eastAsiaTheme="minorEastAsia"/>
        </w:rPr>
        <w:t xml:space="preserve">profile (Figs. </w:t>
      </w:r>
      <w:r w:rsidR="00CE4429">
        <w:rPr>
          <w:rFonts w:eastAsiaTheme="minorEastAsia"/>
        </w:rPr>
        <w:t>8</w:t>
      </w:r>
      <w:r w:rsidR="0025080B">
        <w:rPr>
          <w:rFonts w:eastAsiaTheme="minorEastAsia"/>
        </w:rPr>
        <w:t>a and 1</w:t>
      </w:r>
      <w:r w:rsidR="00CE4429">
        <w:rPr>
          <w:rFonts w:eastAsiaTheme="minorEastAsia"/>
        </w:rPr>
        <w:t>0</w:t>
      </w:r>
      <w:r w:rsidR="000F6AAE">
        <w:rPr>
          <w:rFonts w:eastAsiaTheme="minorEastAsia"/>
        </w:rPr>
        <w:t>c</w:t>
      </w:r>
      <w:r>
        <w:rPr>
          <w:rFonts w:eastAsiaTheme="minorEastAsia"/>
        </w:rPr>
        <w:t xml:space="preserve">) based on </w:t>
      </w:r>
      <w:r w:rsidR="00041937">
        <w:rPr>
          <w:rFonts w:eastAsiaTheme="minorEastAsia"/>
        </w:rPr>
        <w:t>prior</w:t>
      </w:r>
      <w:r>
        <w:rPr>
          <w:rFonts w:eastAsiaTheme="minorEastAsia"/>
        </w:rPr>
        <w:t xml:space="preserve"> interpretation of geophysical data (</w:t>
      </w:r>
      <w:proofErr w:type="spellStart"/>
      <w:r>
        <w:rPr>
          <w:rFonts w:eastAsiaTheme="minorEastAsia"/>
        </w:rPr>
        <w:t>Kimbell</w:t>
      </w:r>
      <w:proofErr w:type="spellEnd"/>
      <w:r>
        <w:rPr>
          <w:rFonts w:eastAsiaTheme="minorEastAsia"/>
        </w:rPr>
        <w:t xml:space="preserve"> et al., 2006). This </w:t>
      </w:r>
      <w:r w:rsidR="007142CD">
        <w:rPr>
          <w:rFonts w:eastAsiaTheme="minorEastAsia"/>
        </w:rPr>
        <w:t>cross-line section</w:t>
      </w:r>
      <w:r>
        <w:rPr>
          <w:rFonts w:eastAsiaTheme="minorEastAsia"/>
        </w:rPr>
        <w:t xml:space="preserve"> is taken along the same trend as Figure </w:t>
      </w:r>
      <w:r w:rsidR="00CE4429">
        <w:rPr>
          <w:rFonts w:eastAsiaTheme="minorEastAsia"/>
        </w:rPr>
        <w:t>8</w:t>
      </w:r>
      <w:r w:rsidR="000F6AAE">
        <w:rPr>
          <w:rFonts w:eastAsiaTheme="minorEastAsia"/>
        </w:rPr>
        <w:t>a</w:t>
      </w:r>
      <w:r>
        <w:rPr>
          <w:rFonts w:eastAsiaTheme="minorEastAsia"/>
        </w:rPr>
        <w:t>.</w:t>
      </w:r>
      <w:r w:rsidR="001605C7">
        <w:rPr>
          <w:rFonts w:eastAsiaTheme="minorEastAsia"/>
        </w:rPr>
        <w:t xml:space="preserve"> </w:t>
      </w:r>
      <w:r w:rsidR="00BF137E">
        <w:rPr>
          <w:rFonts w:eastAsiaTheme="minorEastAsia"/>
        </w:rPr>
        <w:t>T</w:t>
      </w:r>
      <w:r w:rsidR="00CD5582">
        <w:rPr>
          <w:rFonts w:eastAsiaTheme="minorEastAsia"/>
        </w:rPr>
        <w:t>he granite thickness value is used to calculate the overall bulk crustal density at a given point</w:t>
      </w:r>
      <w:r w:rsidR="00AD09B9">
        <w:rPr>
          <w:rFonts w:eastAsiaTheme="minorEastAsia"/>
        </w:rPr>
        <w:t xml:space="preserve">, </w:t>
      </w:r>
      <m:oMath>
        <m:sSub>
          <m:sSubPr>
            <m:ctrlPr>
              <w:rPr>
                <w:rFonts w:ascii="Cambria Math" w:hAnsi="Cambria Math"/>
                <w:i/>
              </w:rPr>
            </m:ctrlPr>
          </m:sSubPr>
          <m:e>
            <m:r>
              <w:rPr>
                <w:rFonts w:ascii="Cambria Math" w:eastAsia="Times New Roman" w:hAnsi="Cambria Math" w:cs="Times New Roman"/>
                <w:color w:val="000000"/>
                <w:lang w:eastAsia="en-GB"/>
              </w:rPr>
              <m:t>ρ</m:t>
            </m:r>
          </m:e>
          <m:sub>
            <m:sSub>
              <m:sSubPr>
                <m:ctrlPr>
                  <w:rPr>
                    <w:rFonts w:ascii="Cambria Math" w:hAnsi="Cambria Math"/>
                    <w:i/>
                  </w:rPr>
                </m:ctrlPr>
              </m:sSubPr>
              <m:e>
                <m:r>
                  <w:rPr>
                    <w:rFonts w:ascii="Cambria Math" w:hAnsi="Cambria Math"/>
                  </w:rPr>
                  <m:t>gc</m:t>
                </m:r>
              </m:e>
              <m:sub>
                <m:d>
                  <m:dPr>
                    <m:ctrlPr>
                      <w:rPr>
                        <w:rFonts w:ascii="Cambria Math" w:hAnsi="Cambria Math"/>
                        <w:i/>
                      </w:rPr>
                    </m:ctrlPr>
                  </m:dPr>
                  <m:e>
                    <m:r>
                      <w:rPr>
                        <w:rFonts w:ascii="Cambria Math" w:hAnsi="Cambria Math"/>
                      </w:rPr>
                      <m:t>x</m:t>
                    </m:r>
                  </m:e>
                </m:d>
              </m:sub>
            </m:sSub>
          </m:sub>
        </m:sSub>
      </m:oMath>
      <w:r w:rsidR="004C63BB">
        <w:rPr>
          <w:rFonts w:eastAsiaTheme="minorEastAsia"/>
        </w:rPr>
        <w:t>(</w:t>
      </w:r>
      <w:r w:rsidR="00CD5582">
        <w:rPr>
          <w:rFonts w:eastAsiaTheme="minorEastAsia"/>
        </w:rPr>
        <w:t>equation 2.5)</w:t>
      </w:r>
      <w:r w:rsidR="00331469">
        <w:rPr>
          <w:rFonts w:eastAsiaTheme="minorEastAsia"/>
        </w:rPr>
        <w:t>,</w:t>
      </w:r>
      <w:r w:rsidR="00CD5582">
        <w:rPr>
          <w:rFonts w:eastAsiaTheme="minorEastAsia"/>
        </w:rPr>
        <w:t xml:space="preserve"> as well as the imposed load on the lithosphere (equation 3.4).</w:t>
      </w:r>
    </w:p>
    <w:p w14:paraId="4D4AF95D" w14:textId="70F4DC83" w:rsidR="003C0D3F" w:rsidRDefault="0042400F" w:rsidP="009E071D">
      <w:pPr>
        <w:spacing w:line="360" w:lineRule="auto"/>
        <w:ind w:firstLine="720"/>
        <w:rPr>
          <w:rFonts w:eastAsiaTheme="minorEastAsia"/>
        </w:rPr>
      </w:pPr>
      <w:r>
        <w:rPr>
          <w:rFonts w:eastAsiaTheme="minorEastAsia"/>
        </w:rPr>
        <w:t>A relatively low elastic thickness</w:t>
      </w:r>
      <w:r w:rsidR="00130E1A">
        <w:rPr>
          <w:rFonts w:eastAsiaTheme="minorEastAsia"/>
        </w:rPr>
        <w:t xml:space="preserve"> (</w:t>
      </w:r>
      <m:oMath>
        <m:r>
          <w:rPr>
            <w:rFonts w:ascii="Cambria Math" w:eastAsiaTheme="minorEastAsia" w:hAnsi="Cambria Math"/>
          </w:rPr>
          <m:t>Te</m:t>
        </m:r>
      </m:oMath>
      <w:r w:rsidR="00130E1A">
        <w:rPr>
          <w:rFonts w:eastAsiaTheme="minorEastAsia"/>
        </w:rPr>
        <w:t>)</w:t>
      </w:r>
      <w:r>
        <w:rPr>
          <w:rFonts w:eastAsiaTheme="minorEastAsia"/>
        </w:rPr>
        <w:t xml:space="preserve"> value of 5</w:t>
      </w:r>
      <w:r w:rsidR="003E69E5">
        <w:rPr>
          <w:rFonts w:eastAsiaTheme="minorEastAsia"/>
        </w:rPr>
        <w:t xml:space="preserve"> </w:t>
      </w:r>
      <w:r>
        <w:rPr>
          <w:rFonts w:eastAsiaTheme="minorEastAsia"/>
        </w:rPr>
        <w:t>km is assumed. This is part</w:t>
      </w:r>
      <w:r w:rsidR="006171A1">
        <w:rPr>
          <w:rFonts w:eastAsiaTheme="minorEastAsia"/>
        </w:rPr>
        <w:t>ly justified in order</w:t>
      </w:r>
      <w:r>
        <w:rPr>
          <w:rFonts w:eastAsiaTheme="minorEastAsia"/>
        </w:rPr>
        <w:t xml:space="preserve"> to replicate the</w:t>
      </w:r>
      <w:r w:rsidR="00C66B87">
        <w:rPr>
          <w:rFonts w:eastAsiaTheme="minorEastAsia"/>
        </w:rPr>
        <w:t xml:space="preserve"> generally</w:t>
      </w:r>
      <w:r>
        <w:rPr>
          <w:rFonts w:eastAsiaTheme="minorEastAsia"/>
        </w:rPr>
        <w:t xml:space="preserve"> low </w:t>
      </w:r>
      <w:r w:rsidR="00073A05">
        <w:rPr>
          <w:rFonts w:eastAsiaTheme="minorEastAsia"/>
        </w:rPr>
        <w:t xml:space="preserve">elastic </w:t>
      </w:r>
      <w:r>
        <w:rPr>
          <w:rFonts w:eastAsiaTheme="minorEastAsia"/>
        </w:rPr>
        <w:t xml:space="preserve">thicknesses </w:t>
      </w:r>
      <w:r w:rsidR="00F826C9">
        <w:rPr>
          <w:rFonts w:eastAsiaTheme="minorEastAsia"/>
        </w:rPr>
        <w:t>estimated</w:t>
      </w:r>
      <w:r>
        <w:rPr>
          <w:rFonts w:eastAsiaTheme="minorEastAsia"/>
        </w:rPr>
        <w:t xml:space="preserve"> in extensional</w:t>
      </w:r>
      <w:r w:rsidR="005A2AAB">
        <w:rPr>
          <w:rFonts w:eastAsiaTheme="minorEastAsia"/>
        </w:rPr>
        <w:t xml:space="preserve"> tectonic</w:t>
      </w:r>
      <w:r>
        <w:rPr>
          <w:rFonts w:eastAsiaTheme="minorEastAsia"/>
        </w:rPr>
        <w:t xml:space="preserve"> </w:t>
      </w:r>
      <w:r w:rsidR="006A4A84">
        <w:rPr>
          <w:rFonts w:eastAsiaTheme="minorEastAsia"/>
        </w:rPr>
        <w:t>settings that</w:t>
      </w:r>
      <w:r w:rsidR="00CE3A25">
        <w:rPr>
          <w:rFonts w:eastAsiaTheme="minorEastAsia"/>
        </w:rPr>
        <w:t xml:space="preserve"> </w:t>
      </w:r>
      <w:r w:rsidR="004C63BB">
        <w:rPr>
          <w:rFonts w:eastAsiaTheme="minorEastAsia"/>
        </w:rPr>
        <w:t>relate</w:t>
      </w:r>
      <w:r w:rsidR="00C66B87">
        <w:rPr>
          <w:rFonts w:eastAsiaTheme="minorEastAsia"/>
        </w:rPr>
        <w:t xml:space="preserve"> in part</w:t>
      </w:r>
      <w:r w:rsidR="006307E2">
        <w:rPr>
          <w:rFonts w:eastAsiaTheme="minorEastAsia"/>
        </w:rPr>
        <w:t xml:space="preserve"> to </w:t>
      </w:r>
      <w:r w:rsidR="00C66B87">
        <w:rPr>
          <w:rFonts w:eastAsiaTheme="minorEastAsia"/>
        </w:rPr>
        <w:t xml:space="preserve">the associated </w:t>
      </w:r>
      <w:r w:rsidR="006307E2">
        <w:rPr>
          <w:rFonts w:eastAsiaTheme="minorEastAsia"/>
        </w:rPr>
        <w:t xml:space="preserve">elevated </w:t>
      </w:r>
      <w:proofErr w:type="spellStart"/>
      <w:r w:rsidR="006307E2">
        <w:rPr>
          <w:rFonts w:eastAsiaTheme="minorEastAsia"/>
        </w:rPr>
        <w:t>geotherm</w:t>
      </w:r>
      <w:proofErr w:type="spellEnd"/>
      <w:r w:rsidR="00CE3A25">
        <w:rPr>
          <w:rFonts w:eastAsiaTheme="minorEastAsia"/>
        </w:rPr>
        <w:t xml:space="preserve"> </w:t>
      </w:r>
      <w:r w:rsidR="007E4725">
        <w:rPr>
          <w:rFonts w:eastAsiaTheme="minorEastAsia"/>
        </w:rPr>
        <w:t>(</w:t>
      </w:r>
      <w:proofErr w:type="spellStart"/>
      <w:r w:rsidR="007E4725">
        <w:rPr>
          <w:rFonts w:eastAsiaTheme="minorEastAsia"/>
        </w:rPr>
        <w:t>Kusznir</w:t>
      </w:r>
      <w:proofErr w:type="spellEnd"/>
      <w:r w:rsidR="007E4725">
        <w:rPr>
          <w:rFonts w:eastAsiaTheme="minorEastAsia"/>
        </w:rPr>
        <w:t xml:space="preserve"> et al., 1991).</w:t>
      </w:r>
      <w:r w:rsidR="006A4A84">
        <w:rPr>
          <w:rFonts w:eastAsiaTheme="minorEastAsia"/>
        </w:rPr>
        <w:t xml:space="preserve"> </w:t>
      </w:r>
      <w:r w:rsidR="007E4725">
        <w:rPr>
          <w:rFonts w:eastAsiaTheme="minorEastAsia"/>
        </w:rPr>
        <w:t>Additionally, a low elastic thickness</w:t>
      </w:r>
      <w:r w:rsidR="00400D07">
        <w:rPr>
          <w:rFonts w:eastAsiaTheme="minorEastAsia"/>
        </w:rPr>
        <w:t xml:space="preserve"> value</w:t>
      </w:r>
      <w:r w:rsidR="007E4725">
        <w:rPr>
          <w:rFonts w:eastAsiaTheme="minorEastAsia"/>
        </w:rPr>
        <w:t xml:space="preserve"> is adopted </w:t>
      </w:r>
      <w:r>
        <w:rPr>
          <w:rFonts w:eastAsiaTheme="minorEastAsia"/>
        </w:rPr>
        <w:t xml:space="preserve">to </w:t>
      </w:r>
      <w:r w:rsidR="00400D07">
        <w:rPr>
          <w:rFonts w:eastAsiaTheme="minorEastAsia"/>
        </w:rPr>
        <w:t xml:space="preserve">approximate </w:t>
      </w:r>
      <w:r>
        <w:rPr>
          <w:rFonts w:eastAsiaTheme="minorEastAsia"/>
        </w:rPr>
        <w:t>the partial detachment and failure of the lithosphere associated with faulting.</w:t>
      </w:r>
      <w:r w:rsidR="006307E2">
        <w:rPr>
          <w:rFonts w:eastAsiaTheme="minorEastAsia"/>
        </w:rPr>
        <w:t xml:space="preserve"> Prior to faulting, a more cohesive lithosphere</w:t>
      </w:r>
      <w:r w:rsidR="00C81A8F">
        <w:rPr>
          <w:rFonts w:eastAsiaTheme="minorEastAsia"/>
        </w:rPr>
        <w:t xml:space="preserve"> is likely to</w:t>
      </w:r>
      <w:r w:rsidR="006307E2">
        <w:rPr>
          <w:rFonts w:eastAsiaTheme="minorEastAsia"/>
        </w:rPr>
        <w:t xml:space="preserve"> limit the isostatic compensation</w:t>
      </w:r>
      <w:r w:rsidR="00E164AF">
        <w:rPr>
          <w:rFonts w:eastAsiaTheme="minorEastAsia"/>
        </w:rPr>
        <w:t xml:space="preserve"> due to the granite body (Fig. </w:t>
      </w:r>
      <w:r w:rsidR="00CE4429">
        <w:rPr>
          <w:rFonts w:eastAsiaTheme="minorEastAsia"/>
        </w:rPr>
        <w:t>5</w:t>
      </w:r>
      <w:r w:rsidR="006307E2">
        <w:rPr>
          <w:rFonts w:eastAsiaTheme="minorEastAsia"/>
        </w:rPr>
        <w:t>). As basin</w:t>
      </w:r>
      <w:r w:rsidR="001605C7">
        <w:rPr>
          <w:rFonts w:eastAsiaTheme="minorEastAsia"/>
        </w:rPr>
        <w:t>-</w:t>
      </w:r>
      <w:r w:rsidR="006307E2">
        <w:rPr>
          <w:rFonts w:eastAsiaTheme="minorEastAsia"/>
        </w:rPr>
        <w:t xml:space="preserve">scale faults propagate, the crust </w:t>
      </w:r>
      <w:r w:rsidR="006307E2">
        <w:rPr>
          <w:rFonts w:eastAsiaTheme="minorEastAsia"/>
        </w:rPr>
        <w:lastRenderedPageBreak/>
        <w:t xml:space="preserve">becomes less cohesive and the ability of the lithosphere to limit </w:t>
      </w:r>
      <w:r w:rsidR="00882A49">
        <w:rPr>
          <w:rFonts w:eastAsiaTheme="minorEastAsia"/>
        </w:rPr>
        <w:t>localised isos</w:t>
      </w:r>
      <w:r w:rsidR="006307E2">
        <w:rPr>
          <w:rFonts w:eastAsiaTheme="minorEastAsia"/>
        </w:rPr>
        <w:t>tatic uplift reduces. Elastic thickness is</w:t>
      </w:r>
      <w:r w:rsidR="00C66B87">
        <w:rPr>
          <w:rFonts w:eastAsiaTheme="minorEastAsia"/>
        </w:rPr>
        <w:t xml:space="preserve"> however, independent of</w:t>
      </w:r>
      <w:r w:rsidR="006307E2">
        <w:rPr>
          <w:rFonts w:eastAsiaTheme="minorEastAsia"/>
        </w:rPr>
        <w:t xml:space="preserve"> faulting</w:t>
      </w:r>
      <w:r w:rsidR="00C66B87">
        <w:rPr>
          <w:rFonts w:eastAsiaTheme="minorEastAsia"/>
        </w:rPr>
        <w:t>.</w:t>
      </w:r>
    </w:p>
    <w:p w14:paraId="504D4A89" w14:textId="2E123C55" w:rsidR="00534BE5" w:rsidRDefault="003C0D3F" w:rsidP="009E071D">
      <w:pPr>
        <w:spacing w:line="360" w:lineRule="auto"/>
        <w:ind w:firstLine="720"/>
      </w:pPr>
      <w:r>
        <w:t xml:space="preserve">The most obvious difference </w:t>
      </w:r>
      <w:r w:rsidR="004C63BB">
        <w:t>observed when granite is incorporat</w:t>
      </w:r>
      <w:r w:rsidR="00331469">
        <w:t>ed</w:t>
      </w:r>
      <w:r w:rsidR="000F6AAE">
        <w:t xml:space="preserve"> into calculations (Fig. </w:t>
      </w:r>
      <w:r w:rsidR="00CE4429">
        <w:t>9</w:t>
      </w:r>
      <w:r w:rsidR="004C63BB">
        <w:t>b)</w:t>
      </w:r>
      <w:r>
        <w:t xml:space="preserve"> is the significantly thinner sediment</w:t>
      </w:r>
      <w:r w:rsidR="00331469">
        <w:t xml:space="preserve">ary </w:t>
      </w:r>
      <w:r w:rsidR="008A0644">
        <w:t>succession</w:t>
      </w:r>
      <w:r w:rsidR="00E57008">
        <w:t xml:space="preserve"> (~400 </w:t>
      </w:r>
      <w:r w:rsidR="00772CFC">
        <w:t>m</w:t>
      </w:r>
      <w:r w:rsidR="00E57008">
        <w:t>)</w:t>
      </w:r>
      <w:r w:rsidR="008A0644">
        <w:t xml:space="preserve"> modelled </w:t>
      </w:r>
      <w:r w:rsidR="00331469">
        <w:t>over</w:t>
      </w:r>
      <w:r>
        <w:t xml:space="preserve"> the centr</w:t>
      </w:r>
      <w:r w:rsidR="004C63BB">
        <w:t xml:space="preserve">e of the </w:t>
      </w:r>
      <w:r w:rsidR="00F66443">
        <w:t>Alston B</w:t>
      </w:r>
      <w:r w:rsidR="00856C6D">
        <w:t>lock. This</w:t>
      </w:r>
      <w:r w:rsidR="00CE3A25">
        <w:t xml:space="preserve"> </w:t>
      </w:r>
      <w:r w:rsidR="00856C6D">
        <w:t>coincides</w:t>
      </w:r>
      <w:r>
        <w:t xml:space="preserve"> with the thickest </w:t>
      </w:r>
      <w:r w:rsidR="00F66443">
        <w:t>part</w:t>
      </w:r>
      <w:r w:rsidR="004C63BB">
        <w:t xml:space="preserve"> of </w:t>
      </w:r>
      <w:r w:rsidR="00F66443">
        <w:t xml:space="preserve">the </w:t>
      </w:r>
      <w:r w:rsidR="00856C6D">
        <w:t>North Pennine Batholith</w:t>
      </w:r>
      <w:r w:rsidR="0025080B">
        <w:t xml:space="preserve"> (Fig. 1</w:t>
      </w:r>
      <w:r w:rsidR="00CE4429">
        <w:t>0</w:t>
      </w:r>
      <w:r>
        <w:t xml:space="preserve">). This arrangement better replicates the thin Carboniferous succession </w:t>
      </w:r>
      <w:r w:rsidR="00205C72">
        <w:t xml:space="preserve">that is observed </w:t>
      </w:r>
      <w:r>
        <w:t>on the Als</w:t>
      </w:r>
      <w:r w:rsidR="005C4A81">
        <w:t>ton Block (</w:t>
      </w:r>
      <w:r w:rsidR="00635455">
        <w:t xml:space="preserve">Day, 1970; </w:t>
      </w:r>
      <w:r w:rsidR="00534BE5">
        <w:t xml:space="preserve">Stone et al., 2010). </w:t>
      </w:r>
      <w:r w:rsidR="005C4A81">
        <w:t xml:space="preserve">A further significant </w:t>
      </w:r>
      <w:r w:rsidR="008A0644">
        <w:t>difference observe</w:t>
      </w:r>
      <w:r w:rsidR="00BD13C2">
        <w:t>d</w:t>
      </w:r>
      <w:r w:rsidR="008A0644">
        <w:t xml:space="preserve"> in the granite model is </w:t>
      </w:r>
      <w:r w:rsidR="005C4A81">
        <w:t xml:space="preserve">the </w:t>
      </w:r>
      <w:r w:rsidR="008E5019">
        <w:t xml:space="preserve">drape-like, broad </w:t>
      </w:r>
      <w:r w:rsidR="005C4A81">
        <w:t>monocline shape of the top basement along the north of the block</w:t>
      </w:r>
      <w:r w:rsidR="0025080B">
        <w:t xml:space="preserve"> (Fig. 1</w:t>
      </w:r>
      <w:r w:rsidR="00CE4429">
        <w:t>0</w:t>
      </w:r>
      <w:r w:rsidR="00D43188">
        <w:t>b)</w:t>
      </w:r>
      <w:r w:rsidR="005C4A81">
        <w:t xml:space="preserve">. This geometry is likely exaggerated in the model compared with the cross-section </w:t>
      </w:r>
      <w:proofErr w:type="gramStart"/>
      <w:r w:rsidR="00A1032B">
        <w:t>as a consequence</w:t>
      </w:r>
      <w:proofErr w:type="gramEnd"/>
      <w:r w:rsidR="00A1032B">
        <w:t xml:space="preserve"> of the</w:t>
      </w:r>
      <w:r w:rsidR="00CE3A25">
        <w:t xml:space="preserve"> </w:t>
      </w:r>
      <w:r w:rsidR="00E164AF">
        <w:t>solely two-dimensional</w:t>
      </w:r>
      <w:r w:rsidR="008A0644">
        <w:t xml:space="preserve"> nature of the model</w:t>
      </w:r>
      <w:r w:rsidR="00AF4EDA">
        <w:t xml:space="preserve">. Figure </w:t>
      </w:r>
      <w:r w:rsidR="00CE4429">
        <w:t>6</w:t>
      </w:r>
      <w:r w:rsidR="005C4A81">
        <w:t xml:space="preserve"> shows the adopted trend-line intersecting two cupolas of the North Pennine </w:t>
      </w:r>
      <w:r w:rsidR="008A0644">
        <w:t>B</w:t>
      </w:r>
      <w:r w:rsidR="005C4A81">
        <w:t xml:space="preserve">atholith towards the </w:t>
      </w:r>
      <w:proofErr w:type="gramStart"/>
      <w:r w:rsidR="005C4A81">
        <w:t>north-east</w:t>
      </w:r>
      <w:proofErr w:type="gramEnd"/>
      <w:r w:rsidR="005C4A81">
        <w:t xml:space="preserve"> of the block which are likely to have invoked further out-of-plane uplift and flexure. This monocline mimics the trends of the uplif</w:t>
      </w:r>
      <w:r w:rsidR="00E164AF">
        <w:t xml:space="preserve">ted flanks portrayed in Figure </w:t>
      </w:r>
      <w:r w:rsidR="00CE4429">
        <w:t>5</w:t>
      </w:r>
      <w:r w:rsidR="005C4A81">
        <w:t>.</w:t>
      </w:r>
    </w:p>
    <w:p w14:paraId="40315D3C" w14:textId="67E59C43" w:rsidR="00D934E2" w:rsidRDefault="00D934E2" w:rsidP="009E071D">
      <w:pPr>
        <w:spacing w:line="360" w:lineRule="auto"/>
        <w:ind w:firstLine="720"/>
      </w:pPr>
      <w:r>
        <w:t xml:space="preserve">Interestingly, the basement monocline observed </w:t>
      </w:r>
      <w:r w:rsidR="00D103FD">
        <w:t>when incorporating granite</w:t>
      </w:r>
      <w:r>
        <w:t xml:space="preserve"> (Fig. 1</w:t>
      </w:r>
      <w:r w:rsidR="00CE4429">
        <w:t>0</w:t>
      </w:r>
      <w:r>
        <w:t xml:space="preserve">b) echoes the </w:t>
      </w:r>
      <w:proofErr w:type="gramStart"/>
      <w:r>
        <w:t>north-eastern</w:t>
      </w:r>
      <w:proofErr w:type="gramEnd"/>
      <w:r>
        <w:t xml:space="preserve"> and offshore margins of the Alston Block</w:t>
      </w:r>
      <w:r w:rsidR="000F6AAE">
        <w:t xml:space="preserve"> (e</w:t>
      </w:r>
      <w:r w:rsidR="00B05165">
        <w:t>.</w:t>
      </w:r>
      <w:r w:rsidR="000F6AAE">
        <w:t xml:space="preserve">g. Murchison, 2004; also see Fig. </w:t>
      </w:r>
      <w:r w:rsidR="00CE4429">
        <w:t>8</w:t>
      </w:r>
      <w:r>
        <w:t xml:space="preserve">b). Various authors have stated that the margins of the granite-cored highs are characterised by ‘hinge-lines’ onto which early Carboniferous strata </w:t>
      </w:r>
      <w:proofErr w:type="spellStart"/>
      <w:r>
        <w:t>onlap</w:t>
      </w:r>
      <w:proofErr w:type="spellEnd"/>
      <w:r>
        <w:t xml:space="preserve"> (George, 1958; </w:t>
      </w:r>
      <w:proofErr w:type="spellStart"/>
      <w:r>
        <w:t>Bott</w:t>
      </w:r>
      <w:proofErr w:type="spellEnd"/>
      <w:r>
        <w:t xml:space="preserve">, 1967; Johnson, 1967; </w:t>
      </w:r>
      <w:proofErr w:type="spellStart"/>
      <w:r>
        <w:t>Leeder</w:t>
      </w:r>
      <w:proofErr w:type="spellEnd"/>
      <w:r>
        <w:t>, 1975). These hinge lines are commonly faulted but are also locally characterised by monoclines simila</w:t>
      </w:r>
      <w:r w:rsidR="00D103FD">
        <w:t>r</w:t>
      </w:r>
      <w:r w:rsidR="000F6AAE">
        <w:t xml:space="preserve"> to those observed in Figures </w:t>
      </w:r>
      <w:r w:rsidR="00CE4429">
        <w:t>5</w:t>
      </w:r>
      <w:r w:rsidR="000F6AAE">
        <w:t xml:space="preserve"> and </w:t>
      </w:r>
      <w:r w:rsidR="00CE4429">
        <w:t>9</w:t>
      </w:r>
      <w:r>
        <w:t xml:space="preserve">b. Both </w:t>
      </w:r>
      <w:r w:rsidR="00734268">
        <w:t xml:space="preserve">types of </w:t>
      </w:r>
      <w:r>
        <w:t>structure are believed to form in crust relatively free from granite that is immediately adjacent to granite-cored crust (</w:t>
      </w:r>
      <w:proofErr w:type="spellStart"/>
      <w:r>
        <w:t>Leeder</w:t>
      </w:r>
      <w:proofErr w:type="spellEnd"/>
      <w:r>
        <w:t xml:space="preserve">, 1975). Constraints on the deeper concealed stratigraphy of the Alston Block are sparse so perhaps the best illustration of this basement monocline </w:t>
      </w:r>
      <w:r w:rsidR="00D103FD">
        <w:t>are the early-mid Carboniferous thickness trends.</w:t>
      </w:r>
      <w:r>
        <w:t xml:space="preserve"> Despite anticipating a thin cap of mid-late Carboniferous stratigraphy akin </w:t>
      </w:r>
      <w:r w:rsidR="00D103FD">
        <w:t>to</w:t>
      </w:r>
      <w:r>
        <w:t xml:space="preserve"> the ~390</w:t>
      </w:r>
      <w:r w:rsidR="001605C7">
        <w:t xml:space="preserve"> </w:t>
      </w:r>
      <w:r w:rsidR="00772CFC">
        <w:t xml:space="preserve">m </w:t>
      </w:r>
      <w:r>
        <w:t>encountered in th</w:t>
      </w:r>
      <w:r w:rsidR="00D103FD">
        <w:t xml:space="preserve">e </w:t>
      </w:r>
      <w:proofErr w:type="spellStart"/>
      <w:r w:rsidR="00D103FD">
        <w:t>Rookhope</w:t>
      </w:r>
      <w:proofErr w:type="spellEnd"/>
      <w:r w:rsidR="00D103FD">
        <w:t xml:space="preserve"> borehole (Fig. </w:t>
      </w:r>
      <w:r w:rsidR="00CE4429">
        <w:t>8</w:t>
      </w:r>
      <w:r>
        <w:t>b</w:t>
      </w:r>
      <w:r w:rsidR="00205C72">
        <w:t>;</w:t>
      </w:r>
      <w:r w:rsidR="00CE4429">
        <w:t xml:space="preserve"> </w:t>
      </w:r>
      <w:r>
        <w:t>Dunham et al., 1965), ~1800</w:t>
      </w:r>
      <w:r w:rsidR="001605C7">
        <w:t xml:space="preserve"> </w:t>
      </w:r>
      <w:r w:rsidR="00772CFC">
        <w:t xml:space="preserve">m </w:t>
      </w:r>
      <w:r>
        <w:t xml:space="preserve">of </w:t>
      </w:r>
      <w:r w:rsidR="005F4058">
        <w:t>Viséan</w:t>
      </w:r>
      <w:r>
        <w:t>-Westphalian (</w:t>
      </w:r>
      <w:proofErr w:type="spellStart"/>
      <w:r>
        <w:t>Bashkirian</w:t>
      </w:r>
      <w:proofErr w:type="spellEnd"/>
      <w:r>
        <w:t>) stratigraphy was encountered</w:t>
      </w:r>
      <w:r w:rsidR="00D103FD">
        <w:t xml:space="preserve"> at </w:t>
      </w:r>
      <w:proofErr w:type="spellStart"/>
      <w:r w:rsidR="00D103FD">
        <w:t>Harton</w:t>
      </w:r>
      <w:proofErr w:type="spellEnd"/>
      <w:r w:rsidR="00D103FD">
        <w:t xml:space="preserve"> Dome</w:t>
      </w:r>
      <w:r>
        <w:t xml:space="preserve"> without reaching basement before drilling finally ceased (</w:t>
      </w:r>
      <w:proofErr w:type="spellStart"/>
      <w:r>
        <w:t>Ridd</w:t>
      </w:r>
      <w:proofErr w:type="spellEnd"/>
      <w:r>
        <w:t xml:space="preserve"> et al., 1970).</w:t>
      </w:r>
    </w:p>
    <w:p w14:paraId="40D29D1D" w14:textId="4D97A5B9" w:rsidR="006E41CC" w:rsidRPr="006E41CC" w:rsidRDefault="004A3650" w:rsidP="009E071D">
      <w:pPr>
        <w:pStyle w:val="Heading3"/>
        <w:spacing w:line="360" w:lineRule="auto"/>
        <w:rPr>
          <w:rFonts w:eastAsiaTheme="minorEastAsia"/>
        </w:rPr>
      </w:pPr>
      <w:r>
        <w:rPr>
          <w:rFonts w:eastAsiaTheme="minorEastAsia"/>
        </w:rPr>
        <w:t>5.2.3</w:t>
      </w:r>
      <w:r w:rsidR="00896F6C">
        <w:rPr>
          <w:rFonts w:eastAsiaTheme="minorEastAsia"/>
        </w:rPr>
        <w:t xml:space="preserve"> </w:t>
      </w:r>
      <w:r w:rsidR="00BE3C91">
        <w:rPr>
          <w:rFonts w:eastAsiaTheme="minorEastAsia"/>
        </w:rPr>
        <w:t>I</w:t>
      </w:r>
      <w:r w:rsidR="006E41CC">
        <w:rPr>
          <w:rFonts w:eastAsiaTheme="minorEastAsia"/>
        </w:rPr>
        <w:t>n-line</w:t>
      </w:r>
    </w:p>
    <w:p w14:paraId="6AE244F6" w14:textId="5B09A56D" w:rsidR="00B41BD7" w:rsidRDefault="00D934E2" w:rsidP="009E071D">
      <w:pPr>
        <w:spacing w:line="360" w:lineRule="auto"/>
        <w:ind w:firstLine="720"/>
      </w:pPr>
      <w:r>
        <w:t>T</w:t>
      </w:r>
      <w:r w:rsidR="000A2D75">
        <w:t xml:space="preserve">he effects of granite emplacement have </w:t>
      </w:r>
      <w:r w:rsidR="00473125">
        <w:t>been</w:t>
      </w:r>
      <w:r>
        <w:t xml:space="preserve"> further</w:t>
      </w:r>
      <w:r w:rsidR="00473125">
        <w:t xml:space="preserve"> investigated by the generation </w:t>
      </w:r>
      <w:r w:rsidR="003211A5">
        <w:t>of</w:t>
      </w:r>
      <w:r>
        <w:t xml:space="preserve"> an additional forward model</w:t>
      </w:r>
      <w:r w:rsidR="0025080B">
        <w:t xml:space="preserve"> (Fig. 1</w:t>
      </w:r>
      <w:r w:rsidR="00CE4429">
        <w:t>1</w:t>
      </w:r>
      <w:r w:rsidR="00B41BD7">
        <w:t>)</w:t>
      </w:r>
      <w:r w:rsidR="000F33E4">
        <w:t xml:space="preserve"> represent</w:t>
      </w:r>
      <w:r w:rsidR="00EC31B4">
        <w:t>ing</w:t>
      </w:r>
      <w:r w:rsidR="000F33E4">
        <w:t xml:space="preserve"> the approximately </w:t>
      </w:r>
      <w:r>
        <w:t xml:space="preserve">E-W </w:t>
      </w:r>
      <w:r w:rsidR="007142CD">
        <w:t xml:space="preserve">in-line </w:t>
      </w:r>
      <w:r w:rsidR="000F33E4">
        <w:t xml:space="preserve">section </w:t>
      </w:r>
      <w:r>
        <w:t>across the Lake District Block, Vale of Eden Basin and Alston Block</w:t>
      </w:r>
      <w:r w:rsidR="000F6AAE">
        <w:t xml:space="preserve"> (Fig. </w:t>
      </w:r>
      <w:r w:rsidR="00CE4429">
        <w:t>8</w:t>
      </w:r>
      <w:r w:rsidR="007F5CDE">
        <w:t>b)</w:t>
      </w:r>
      <w:r>
        <w:t xml:space="preserve">. As the section </w:t>
      </w:r>
      <w:r w:rsidR="00734268">
        <w:t xml:space="preserve">is oriented </w:t>
      </w:r>
      <w:r>
        <w:t xml:space="preserve">roughly parallel to the dominant structural trend, faulting is largely removed. </w:t>
      </w:r>
      <w:r w:rsidR="00716398">
        <w:t>A uniform pure shear beta-value of 1.25 is applied</w:t>
      </w:r>
      <w:r w:rsidR="008A0644">
        <w:t xml:space="preserve"> that is</w:t>
      </w:r>
      <w:r w:rsidR="00CE3A25">
        <w:t xml:space="preserve"> </w:t>
      </w:r>
      <w:r w:rsidR="00716398">
        <w:t>consistent with the cross-line section</w:t>
      </w:r>
      <w:r>
        <w:t xml:space="preserve">. Permian fill of the Vale of Eden Basin is bound to the east by the Pennine </w:t>
      </w:r>
      <w:r w:rsidR="008A0644">
        <w:t>F</w:t>
      </w:r>
      <w:r>
        <w:t>ault</w:t>
      </w:r>
      <w:r w:rsidR="003F776B">
        <w:t>; h</w:t>
      </w:r>
      <w:r>
        <w:t xml:space="preserve">owever, as Carboniferous strata shows no </w:t>
      </w:r>
      <w:r>
        <w:lastRenderedPageBreak/>
        <w:t>si</w:t>
      </w:r>
      <w:r w:rsidR="00B41BD7">
        <w:t>gnificant thickening across the</w:t>
      </w:r>
      <w:r>
        <w:t xml:space="preserve"> fault</w:t>
      </w:r>
      <w:r w:rsidR="00DD1088">
        <w:t>,</w:t>
      </w:r>
      <w:r>
        <w:t xml:space="preserve"> only 0.25</w:t>
      </w:r>
      <w:r w:rsidR="00CE4429">
        <w:t xml:space="preserve"> </w:t>
      </w:r>
      <w:r>
        <w:t>k</w:t>
      </w:r>
      <w:r w:rsidR="00B41BD7">
        <w:t>m of horizontal displacement is</w:t>
      </w:r>
      <w:r>
        <w:t xml:space="preserve"> modelled. </w:t>
      </w:r>
      <w:r w:rsidR="001F62D1">
        <w:t xml:space="preserve">40 </w:t>
      </w:r>
      <w:proofErr w:type="spellStart"/>
      <w:r w:rsidR="001F62D1">
        <w:t>My</w:t>
      </w:r>
      <w:proofErr w:type="spellEnd"/>
      <w:r w:rsidR="001F62D1">
        <w:t xml:space="preserve"> </w:t>
      </w:r>
      <w:r w:rsidR="00616694">
        <w:t xml:space="preserve">of post-rift thermal </w:t>
      </w:r>
      <w:r w:rsidR="00C16C78">
        <w:t xml:space="preserve">subsidence </w:t>
      </w:r>
      <w:r w:rsidR="00616694">
        <w:t xml:space="preserve">is included in the model </w:t>
      </w:r>
      <w:r w:rsidR="00213C61">
        <w:t xml:space="preserve">which </w:t>
      </w:r>
      <w:r w:rsidR="00C95A9E">
        <w:t>produces</w:t>
      </w:r>
      <w:r w:rsidR="00213C61">
        <w:t xml:space="preserve"> an </w:t>
      </w:r>
      <w:r w:rsidR="00AE5C79">
        <w:t>evenly distributed, uniform</w:t>
      </w:r>
      <w:r w:rsidR="00C95A9E">
        <w:t>ly thick</w:t>
      </w:r>
      <w:r w:rsidR="00CE3A25">
        <w:t xml:space="preserve"> </w:t>
      </w:r>
      <w:r w:rsidR="00C95A9E">
        <w:t>succession</w:t>
      </w:r>
      <w:r w:rsidR="00AE5C79">
        <w:t xml:space="preserve"> of ~</w:t>
      </w:r>
      <w:r w:rsidR="00C52832">
        <w:t>1.3 km due to</w:t>
      </w:r>
      <w:r w:rsidR="00B41BD7">
        <w:t xml:space="preserve"> a</w:t>
      </w:r>
      <w:r w:rsidR="00B3648F">
        <w:t xml:space="preserve"> combination of </w:t>
      </w:r>
      <w:r w:rsidR="00B819DF">
        <w:t xml:space="preserve">assuming </w:t>
      </w:r>
      <w:r w:rsidR="00B3648F">
        <w:t>a</w:t>
      </w:r>
      <w:r w:rsidR="00B41BD7">
        <w:t xml:space="preserve"> uniform beta-value,</w:t>
      </w:r>
      <w:r>
        <w:t xml:space="preserve"> no crustal density variations</w:t>
      </w:r>
      <w:r w:rsidR="00B41BD7">
        <w:t xml:space="preserve"> and a single</w:t>
      </w:r>
      <w:r w:rsidR="00C95A9E">
        <w:t xml:space="preserve"> fault with small</w:t>
      </w:r>
      <w:r w:rsidR="00CE3A25">
        <w:t xml:space="preserve"> </w:t>
      </w:r>
      <w:r w:rsidR="00B41BD7">
        <w:t>displacement (Fig. 1</w:t>
      </w:r>
      <w:r w:rsidR="00CE4429">
        <w:t>1</w:t>
      </w:r>
      <w:r w:rsidR="00B41BD7">
        <w:t>a).</w:t>
      </w:r>
    </w:p>
    <w:p w14:paraId="057C92FF" w14:textId="36998996" w:rsidR="00B41BD7" w:rsidRDefault="00D934E2" w:rsidP="009E071D">
      <w:pPr>
        <w:spacing w:line="360" w:lineRule="auto"/>
        <w:ind w:firstLine="720"/>
      </w:pPr>
      <w:r>
        <w:t xml:space="preserve">When crustal density is varied according to the thickness of the underlying granite bodies, a highly </w:t>
      </w:r>
      <w:proofErr w:type="spellStart"/>
      <w:r>
        <w:t>undulose</w:t>
      </w:r>
      <w:proofErr w:type="spellEnd"/>
      <w:r>
        <w:t xml:space="preserve"> basement topography is </w:t>
      </w:r>
      <w:r w:rsidR="004C479F">
        <w:t>generated</w:t>
      </w:r>
      <w:r w:rsidR="0025080B">
        <w:t xml:space="preserve"> (Fig. 1</w:t>
      </w:r>
      <w:r w:rsidR="00CE4429">
        <w:t>1</w:t>
      </w:r>
      <w:r>
        <w:t xml:space="preserve">b). Despite </w:t>
      </w:r>
      <w:r w:rsidR="00B41BD7">
        <w:t>modelling limited faulting</w:t>
      </w:r>
      <w:r>
        <w:t>, the general absence of low</w:t>
      </w:r>
      <w:r w:rsidR="00CC187A">
        <w:t>-</w:t>
      </w:r>
      <w:r>
        <w:t xml:space="preserve">density granite underlying the Vale of Eden compared with the surrounding Alston Block and Lake District Block </w:t>
      </w:r>
      <w:r w:rsidR="00784201">
        <w:t>predicts</w:t>
      </w:r>
      <w:r>
        <w:t xml:space="preserve"> a narrow</w:t>
      </w:r>
      <w:r w:rsidR="00B41BD7">
        <w:t>,</w:t>
      </w:r>
      <w:r w:rsidR="00CE3A25">
        <w:t xml:space="preserve"> </w:t>
      </w:r>
      <w:r w:rsidR="00734268">
        <w:t>trough-</w:t>
      </w:r>
      <w:r>
        <w:t>shaped basin. Along the eastern extent of the model</w:t>
      </w:r>
      <w:r w:rsidR="00DD1088">
        <w:t>,</w:t>
      </w:r>
      <w:r>
        <w:t xml:space="preserve"> </w:t>
      </w:r>
      <w:proofErr w:type="spellStart"/>
      <w:r>
        <w:t>syn</w:t>
      </w:r>
      <w:proofErr w:type="spellEnd"/>
      <w:r>
        <w:t>-</w:t>
      </w:r>
      <w:r w:rsidR="004C479F">
        <w:t>rift</w:t>
      </w:r>
      <w:r>
        <w:t xml:space="preserve"> basin fill thickness increases significantly</w:t>
      </w:r>
      <w:r w:rsidR="004C479F">
        <w:t>,</w:t>
      </w:r>
      <w:r>
        <w:t xml:space="preserve"> again mimicking the thickness trends encountered in the </w:t>
      </w:r>
      <w:proofErr w:type="spellStart"/>
      <w:r>
        <w:t>Harton</w:t>
      </w:r>
      <w:proofErr w:type="spellEnd"/>
      <w:r>
        <w:t xml:space="preserve"> Dome </w:t>
      </w:r>
      <w:r w:rsidR="001605C7">
        <w:t>borehole</w:t>
      </w:r>
      <w:r>
        <w:t xml:space="preserve"> compared with the </w:t>
      </w:r>
      <w:proofErr w:type="spellStart"/>
      <w:r>
        <w:t>Rookhope</w:t>
      </w:r>
      <w:proofErr w:type="spellEnd"/>
      <w:r>
        <w:t xml:space="preserve"> </w:t>
      </w:r>
      <w:r w:rsidR="001605C7">
        <w:t>borehole</w:t>
      </w:r>
      <w:r w:rsidR="000F6AAE">
        <w:t xml:space="preserve"> (Fig. </w:t>
      </w:r>
      <w:r w:rsidR="00CE4429">
        <w:t>8</w:t>
      </w:r>
      <w:r w:rsidR="00B41BD7">
        <w:t>b)</w:t>
      </w:r>
      <w:r>
        <w:t>. As only minimal amounts of crustal thinning are calculated due to the absence of large Carboniferous faults along the section, post-</w:t>
      </w:r>
      <w:r w:rsidR="00462657">
        <w:t>rift</w:t>
      </w:r>
      <w:r>
        <w:t xml:space="preserve"> basin fill thickness is largely uniform except for where </w:t>
      </w:r>
      <w:proofErr w:type="spellStart"/>
      <w:r>
        <w:t>syn</w:t>
      </w:r>
      <w:proofErr w:type="spellEnd"/>
      <w:r>
        <w:t>-</w:t>
      </w:r>
      <w:r w:rsidR="00462657">
        <w:t>rift</w:t>
      </w:r>
      <w:r>
        <w:t xml:space="preserve"> subsidence alone is not sufficient to lower the basement elevation be</w:t>
      </w:r>
      <w:r w:rsidR="00B41BD7">
        <w:t>low sea level.</w:t>
      </w:r>
    </w:p>
    <w:p w14:paraId="171FFD68" w14:textId="77777777" w:rsidR="00D934E2" w:rsidRDefault="00B41BD7" w:rsidP="009E071D">
      <w:pPr>
        <w:spacing w:line="360" w:lineRule="auto"/>
        <w:ind w:firstLine="720"/>
      </w:pPr>
      <w:r>
        <w:t>Top basement monoclines and</w:t>
      </w:r>
      <w:r w:rsidR="00D934E2">
        <w:t xml:space="preserve"> significant sediment thickness variations related to the underlying thickness</w:t>
      </w:r>
      <w:r>
        <w:t>es</w:t>
      </w:r>
      <w:r w:rsidR="00D934E2">
        <w:t xml:space="preserve"> of granite bodies are predicted in our numerical modelling experime</w:t>
      </w:r>
      <w:r>
        <w:t xml:space="preserve">nts. It is suggested </w:t>
      </w:r>
      <w:r w:rsidR="00734268">
        <w:t xml:space="preserve">therefore </w:t>
      </w:r>
      <w:r>
        <w:t xml:space="preserve">that </w:t>
      </w:r>
      <w:r w:rsidR="00D934E2">
        <w:t>early Carboniferous thickness discrepancies</w:t>
      </w:r>
      <w:r>
        <w:t xml:space="preserve"> in the North Pennine </w:t>
      </w:r>
      <w:r w:rsidR="00CC187A">
        <w:t>B</w:t>
      </w:r>
      <w:r>
        <w:t>asin</w:t>
      </w:r>
      <w:r w:rsidR="00D934E2">
        <w:t xml:space="preserve"> are</w:t>
      </w:r>
      <w:r w:rsidR="00285E29">
        <w:t>, in part, due to</w:t>
      </w:r>
      <w:r w:rsidR="00D934E2">
        <w:t xml:space="preserve"> the flexural response of the lithosphere to low density granite bodies</w:t>
      </w:r>
      <w:r w:rsidR="00734268">
        <w:t xml:space="preserve"> and the later superimposed effects of lithospheric extension</w:t>
      </w:r>
      <w:r w:rsidR="00D934E2">
        <w:t>.</w:t>
      </w:r>
    </w:p>
    <w:p w14:paraId="41493E2C" w14:textId="77777777" w:rsidR="00534BE5" w:rsidRDefault="004A3650" w:rsidP="009E071D">
      <w:pPr>
        <w:pStyle w:val="Heading1"/>
        <w:spacing w:line="360" w:lineRule="auto"/>
      </w:pPr>
      <w:r>
        <w:t>6</w:t>
      </w:r>
      <w:r w:rsidR="00534BE5">
        <w:t>.0 Discussion</w:t>
      </w:r>
    </w:p>
    <w:p w14:paraId="31E2EB16" w14:textId="77777777" w:rsidR="00644636" w:rsidRDefault="00644636" w:rsidP="00644636">
      <w:pPr>
        <w:spacing w:line="360" w:lineRule="auto"/>
        <w:ind w:firstLine="720"/>
      </w:pPr>
      <w:r>
        <w:t xml:space="preserve">Numerical modelling of lithospheric extension and basin formation has provided evidence that large basement granite bodies can strongly influence basin architecture and form areas of strong relief through their buoyancy, as was first proposed by </w:t>
      </w:r>
      <w:proofErr w:type="spellStart"/>
      <w:r>
        <w:t>Bott</w:t>
      </w:r>
      <w:proofErr w:type="spellEnd"/>
      <w:r>
        <w:t xml:space="preserve"> (1958). By accounting for large, low-density granite bodies, it is possible to replicate some of the geometries observed in the North Pennine Basin. However, contrary to common perception, relatively buoyant granite-cored crust is not capable of resisting subsidence during lithospheric extension.</w:t>
      </w:r>
    </w:p>
    <w:p w14:paraId="6961814F" w14:textId="6BD1F5C7" w:rsidR="00644636" w:rsidRDefault="00644636" w:rsidP="00644636">
      <w:pPr>
        <w:spacing w:line="360" w:lineRule="auto"/>
        <w:ind w:firstLine="720"/>
      </w:pPr>
      <w:r>
        <w:t>The emplacement of typically low-density granite prompts an incomplete isostatic response</w:t>
      </w:r>
      <w:proofErr w:type="gramStart"/>
      <w:r>
        <w:t>;</w:t>
      </w:r>
      <w:proofErr w:type="gramEnd"/>
      <w:r>
        <w:t xml:space="preserve"> even when associated temperature fluctuations are ignored. This generates a regional flexural profile prior to lithospheric extension and leaves residual second-order stresses associated with the under-compensated buoyancy of the granite and flexural tension (e.g. </w:t>
      </w:r>
      <w:proofErr w:type="spellStart"/>
      <w:r>
        <w:t>Sonder</w:t>
      </w:r>
      <w:proofErr w:type="spellEnd"/>
      <w:r>
        <w:t xml:space="preserve">, 1990; </w:t>
      </w:r>
      <w:proofErr w:type="spellStart"/>
      <w:r>
        <w:t>Zoback</w:t>
      </w:r>
      <w:proofErr w:type="spellEnd"/>
      <w:r>
        <w:t xml:space="preserve"> </w:t>
      </w:r>
      <w:r w:rsidRPr="000445F2">
        <w:rPr>
          <w:i/>
        </w:rPr>
        <w:t>et al</w:t>
      </w:r>
      <w:r w:rsidR="0025080B">
        <w:t>., 1992; Fig. 1</w:t>
      </w:r>
      <w:r w:rsidR="00CE4429">
        <w:t>2</w:t>
      </w:r>
      <w:r>
        <w:t xml:space="preserve">). The, up until now, neglected pre-existing structural framework of the region </w:t>
      </w:r>
      <w:r w:rsidR="001605C7">
        <w:t>probably</w:t>
      </w:r>
      <w:r>
        <w:t xml:space="preserve"> plays an important role in determining the geometry of the granite body and effective elastic </w:t>
      </w:r>
      <w:r>
        <w:lastRenderedPageBreak/>
        <w:t>thickness of the lithosphere (</w:t>
      </w:r>
      <m:oMath>
        <m:r>
          <w:rPr>
            <w:rFonts w:ascii="Cambria Math" w:hAnsi="Cambria Math"/>
          </w:rPr>
          <m:t>Te</m:t>
        </m:r>
      </m:oMath>
      <w:r>
        <w:t>); both of which have a direct influence on our numerical simulations of this flexural profile.</w:t>
      </w:r>
    </w:p>
    <w:p w14:paraId="5CAA9721" w14:textId="77777777" w:rsidR="00644636" w:rsidRDefault="00644636" w:rsidP="00644636">
      <w:pPr>
        <w:spacing w:line="360" w:lineRule="auto"/>
        <w:ind w:firstLine="720"/>
        <w:rPr>
          <w:rFonts w:eastAsiaTheme="minorEastAsia"/>
        </w:rPr>
      </w:pPr>
      <w:r>
        <w:t xml:space="preserve">The depth of emplacement of a granitic body is likely to influence subsidence and structural partitioning within the crust. The incorporation of a bulk crustal density value, such as is the case here, effectively assumes the proportion of granitic and non-granitic crustal material deforming by simple and pure shear is equal. However, if the granite body were to reside solely within the upper crust, then the granite body would not deform via the mechanism of pure shear at all. Crustal material removed from the lower lithosphere overburden by means of pure shear therefore, would have the same density as ‘standard’ crustal material, regardless of the presence or absence of granite in the upper crust. The calculated subsidence in response to pure shear would be identical to that of ‘standard’ lithosphere. </w:t>
      </w:r>
      <w:r>
        <w:rPr>
          <w:rFonts w:eastAsiaTheme="minorEastAsia"/>
        </w:rPr>
        <w:t>Alternatively, if a granite body were to reside solely within the lower, more ductile crust, thinning of the granite body due to pure shear would be underestimated when utilising a bulk crustal density value (</w:t>
      </w:r>
      <m:oMath>
        <m:sSub>
          <m:sSubPr>
            <m:ctrlPr>
              <w:rPr>
                <w:rFonts w:ascii="Cambria Math" w:hAnsi="Cambria Math"/>
                <w:i/>
              </w:rPr>
            </m:ctrlPr>
          </m:sSubPr>
          <m:e>
            <m:r>
              <w:rPr>
                <w:rFonts w:ascii="Cambria Math" w:hAnsi="Cambria Math"/>
              </w:rPr>
              <m:t>ρ</m:t>
            </m:r>
          </m:e>
          <m:sub>
            <m:r>
              <w:rPr>
                <w:rFonts w:ascii="Cambria Math" w:hAnsi="Cambria Math"/>
              </w:rPr>
              <m:t>gc</m:t>
            </m:r>
          </m:sub>
        </m:sSub>
      </m:oMath>
      <w:r>
        <w:rPr>
          <w:rFonts w:eastAsiaTheme="minorEastAsia"/>
        </w:rPr>
        <w:t>), as would subsidence.</w:t>
      </w:r>
    </w:p>
    <w:p w14:paraId="31EC3B3F" w14:textId="1A19A163" w:rsidR="001936B5" w:rsidRDefault="00644636" w:rsidP="00644636">
      <w:pPr>
        <w:spacing w:line="360" w:lineRule="auto"/>
        <w:ind w:firstLine="720"/>
      </w:pPr>
      <w:r>
        <w:rPr>
          <w:rFonts w:eastAsiaTheme="minorEastAsia"/>
        </w:rPr>
        <w:t>Regional</w:t>
      </w:r>
      <w:r w:rsidR="001605C7">
        <w:rPr>
          <w:rFonts w:eastAsiaTheme="minorEastAsia"/>
        </w:rPr>
        <w:t>-</w:t>
      </w:r>
      <w:r>
        <w:rPr>
          <w:rFonts w:eastAsiaTheme="minorEastAsia"/>
        </w:rPr>
        <w:t xml:space="preserve">scale extensional faulting is another feature strongly linked with this tectonic framework. There is a strong link between the flexural response to granite and the localisation of extensional strain along the hinges of the flexural profile (Fig. </w:t>
      </w:r>
      <w:r w:rsidR="00CE4429">
        <w:rPr>
          <w:rFonts w:eastAsiaTheme="minorEastAsia"/>
        </w:rPr>
        <w:t>5</w:t>
      </w:r>
      <w:r>
        <w:rPr>
          <w:rFonts w:eastAsiaTheme="minorEastAsia"/>
        </w:rPr>
        <w:t>) or peripheral margins of the granite body at depth (Fig</w:t>
      </w:r>
      <w:r w:rsidR="00AF4EDA">
        <w:rPr>
          <w:rFonts w:eastAsiaTheme="minorEastAsia"/>
        </w:rPr>
        <w:t xml:space="preserve">. </w:t>
      </w:r>
      <w:r w:rsidR="00CE4429">
        <w:rPr>
          <w:rFonts w:eastAsiaTheme="minorEastAsia"/>
        </w:rPr>
        <w:t>6</w:t>
      </w:r>
      <w:r>
        <w:rPr>
          <w:rFonts w:eastAsiaTheme="minorEastAsia"/>
        </w:rPr>
        <w:t>).</w:t>
      </w:r>
      <w:r w:rsidR="00CE3A25">
        <w:rPr>
          <w:rFonts w:eastAsiaTheme="minorEastAsia"/>
        </w:rPr>
        <w:t xml:space="preserve"> </w:t>
      </w:r>
      <w:r w:rsidR="0025080B">
        <w:t>Figure 13</w:t>
      </w:r>
      <w:r>
        <w:t xml:space="preserve"> illustrates how tectonic stresses due to extensional tectonism and second-order stresses, due to the incomplete isostatic compensation of the </w:t>
      </w:r>
      <w:r w:rsidR="00602AD2">
        <w:t>low-density</w:t>
      </w:r>
      <w:r>
        <w:t xml:space="preserve"> granite body and flexural tension, could constructively interfere. However, a</w:t>
      </w:r>
      <w:r>
        <w:rPr>
          <w:rFonts w:eastAsiaTheme="minorEastAsia"/>
        </w:rPr>
        <w:t xml:space="preserve">t the regional scale, large basin-bounding faults, particularly their orientation, are not so apparently guided by the subsurface granite extent. With our northern England case study for example, it is likely that older inherited Caledonian lineaments are more important here </w:t>
      </w:r>
      <w:r>
        <w:t>(e.g. Coward, 1993; Corfield et al., 1996). Nonetheless, the interaction of these stress fields could perceivably impose the localisation of stress conditions more favourable to the normal reactivation of ancient lineaments within basement surrounding intruded granite.</w:t>
      </w:r>
    </w:p>
    <w:p w14:paraId="7E0D7784" w14:textId="6FC10ADF" w:rsidR="001936B5" w:rsidRDefault="00644636" w:rsidP="00644636">
      <w:pPr>
        <w:spacing w:line="360" w:lineRule="auto"/>
        <w:ind w:firstLine="720"/>
      </w:pPr>
      <w:r>
        <w:t xml:space="preserve">Where exposed, crystalline granite bodies of northern England lack the internal inconsistencies of the </w:t>
      </w:r>
      <w:r w:rsidR="001936B5">
        <w:t>ancient orogenic</w:t>
      </w:r>
      <w:r>
        <w:t xml:space="preserve"> basement (</w:t>
      </w:r>
      <w:proofErr w:type="spellStart"/>
      <w:r w:rsidR="00B11D36">
        <w:t>Allsop</w:t>
      </w:r>
      <w:proofErr w:type="spellEnd"/>
      <w:r w:rsidR="00B11D36">
        <w:t>, 1987</w:t>
      </w:r>
      <w:r>
        <w:t>)</w:t>
      </w:r>
      <w:r w:rsidR="001936B5">
        <w:t>.</w:t>
      </w:r>
      <w:r>
        <w:t xml:space="preserve"> </w:t>
      </w:r>
      <w:r w:rsidR="001936B5">
        <w:t xml:space="preserve"> The granite-cored blocks do not easily develop normal faults during extension because they have an </w:t>
      </w:r>
      <w:proofErr w:type="spellStart"/>
      <w:r w:rsidR="001936B5">
        <w:t>undeformed</w:t>
      </w:r>
      <w:proofErr w:type="spellEnd"/>
      <w:r w:rsidR="001936B5">
        <w:t xml:space="preserve">, relatively homogenous mid-crust. The lateral continuity of the North Pennine Batholith of the Alston Block, and that of the batholiths underpinning the Lake District and </w:t>
      </w:r>
      <w:proofErr w:type="spellStart"/>
      <w:r w:rsidR="001936B5">
        <w:t>Askrigg</w:t>
      </w:r>
      <w:proofErr w:type="spellEnd"/>
      <w:r w:rsidR="001936B5">
        <w:t xml:space="preserve"> </w:t>
      </w:r>
      <w:r w:rsidR="001605C7">
        <w:t>b</w:t>
      </w:r>
      <w:r w:rsidR="001936B5">
        <w:t>locks, at around 10 km depth inhibits the local connectivity of pre-existing structures between the upper- and mid-level crust and limits displacement. Conversely, the surrounding crust that lacks this intruded granite sealant has uninterrupted connecting lineaments which are more easily reactivated.</w:t>
      </w:r>
    </w:p>
    <w:p w14:paraId="7167823A" w14:textId="0DF7FF65" w:rsidR="00644636" w:rsidRDefault="00644636" w:rsidP="00644636">
      <w:pPr>
        <w:spacing w:line="360" w:lineRule="auto"/>
        <w:ind w:firstLine="720"/>
      </w:pPr>
      <w:r>
        <w:lastRenderedPageBreak/>
        <w:t>Second-order stresses are capable of driving preferential propagation of basin-bounding faults during early stage extension, which along with the likely decrease of the effective elastic thickness of the lithosphere is likely to prompt more complete isostatic compensation of granite-cored blocks and relax these stresses. The absence of faults surrounding the largest fault structures may be explained by a ‘strain shadow’ effect (e.g. Nicol et al., 2005), whereby tensile stress is relieved by large fault structures, negating the need for further brittle failure in the immediately surrounding area.</w:t>
      </w:r>
    </w:p>
    <w:p w14:paraId="2AFBE940" w14:textId="77777777" w:rsidR="00644636" w:rsidRDefault="00644636" w:rsidP="00644636">
      <w:pPr>
        <w:spacing w:line="360" w:lineRule="auto"/>
        <w:ind w:firstLine="720"/>
      </w:pPr>
      <w:r>
        <w:t>This geodynamic and structural framework has a number of potentially important implications for basin evolution and the modelling of a potential hydrocarbon system. The relief of a granite-cored high during the early stages of rifting has important implications for sediment routing</w:t>
      </w:r>
      <w:r w:rsidR="007F2845">
        <w:t>,</w:t>
      </w:r>
      <w:r>
        <w:t xml:space="preserve"> whereas the predicted subsidence of this high during </w:t>
      </w:r>
      <w:r w:rsidR="00AF4EDA">
        <w:t>later stages of rifting (Figs. 2 and 3</w:t>
      </w:r>
      <w:r>
        <w:t>) is more likely to influence palaeo-basin topography and the distribution of potential reservoir facies. The depth to top basement has a significant impact on a region’s thermal structure (Bayer et al., 1997) which</w:t>
      </w:r>
      <w:r w:rsidR="00C2490A">
        <w:t>,</w:t>
      </w:r>
      <w:r>
        <w:t xml:space="preserve"> even without considering the typically high radiogenic heat production of granite bodies such as those modelled (Busby et al., 2011), is likely to have a pronounced impact on source rock maturation as well as geothermal potential.</w:t>
      </w:r>
    </w:p>
    <w:p w14:paraId="1D301199" w14:textId="726DD585" w:rsidR="00565A8B" w:rsidRDefault="00565A8B" w:rsidP="00565A8B">
      <w:pPr>
        <w:spacing w:line="360" w:lineRule="auto"/>
        <w:ind w:firstLine="720"/>
      </w:pPr>
      <w:r>
        <w:t>There are a number of further documented examples where large granite bodies, similar to those modelled here, influence intra-</w:t>
      </w:r>
      <w:proofErr w:type="spellStart"/>
      <w:r>
        <w:t>basinal</w:t>
      </w:r>
      <w:proofErr w:type="spellEnd"/>
      <w:r>
        <w:t xml:space="preserve"> highs in extensional basins</w:t>
      </w:r>
      <w:r w:rsidR="005D1567">
        <w:t xml:space="preserve"> (Fig. </w:t>
      </w:r>
      <w:r w:rsidR="005153FC">
        <w:t>6</w:t>
      </w:r>
      <w:r w:rsidR="005D1567">
        <w:t>; 1</w:t>
      </w:r>
      <w:r w:rsidR="005153FC">
        <w:t>3</w:t>
      </w:r>
      <w:r w:rsidR="005D1567">
        <w:t>)</w:t>
      </w:r>
      <w:r w:rsidR="004C2107">
        <w:t>.</w:t>
      </w:r>
      <w:r>
        <w:t xml:space="preserve"> Palaeo-structure maps for the late Palaeozoic, onshore and offshore UK are commonly accompanied with a map of interpreted and proven Caledonian granite bodies (</w:t>
      </w:r>
      <w:r w:rsidR="00A310B9">
        <w:t xml:space="preserve">Fig. </w:t>
      </w:r>
      <w:r w:rsidR="005153FC">
        <w:t>6</w:t>
      </w:r>
      <w:r w:rsidR="00A310B9">
        <w:t xml:space="preserve">; </w:t>
      </w:r>
      <w:r>
        <w:t xml:space="preserve">Coward, 1993; Corfield et al., 1996; British Geological Survey, 21CXRM). </w:t>
      </w:r>
      <w:r w:rsidR="009D6B67">
        <w:t>Further examples of this structural and geodynamic relationship can be found along the Atlantic margins of southern Africa and South America (Fig. 1</w:t>
      </w:r>
      <w:r w:rsidR="005153FC">
        <w:t>3</w:t>
      </w:r>
      <w:r w:rsidR="005D1567">
        <w:t>a</w:t>
      </w:r>
      <w:r w:rsidR="009D6B67">
        <w:t xml:space="preserve">). </w:t>
      </w:r>
      <w:proofErr w:type="gramStart"/>
      <w:r>
        <w:t xml:space="preserve">A number of buoyant granite-cored highs are alluded to along the Early Cretaceous western margin of southern Africa (the </w:t>
      </w:r>
      <w:proofErr w:type="spellStart"/>
      <w:r>
        <w:t>Luderitz</w:t>
      </w:r>
      <w:proofErr w:type="spellEnd"/>
      <w:r>
        <w:t xml:space="preserve"> and Columbine/Agulhas arches, offshore Namibia; Dingle, 1992; the southern margin of the Orange Basin, South Africa; </w:t>
      </w:r>
      <w:proofErr w:type="spellStart"/>
      <w:r>
        <w:t>Scrutton</w:t>
      </w:r>
      <w:proofErr w:type="spellEnd"/>
      <w:r>
        <w:t xml:space="preserve"> and Dingle, 1976)</w:t>
      </w:r>
      <w:r w:rsidR="005D1567">
        <w:t>, (see Figs. 1</w:t>
      </w:r>
      <w:r w:rsidR="005153FC">
        <w:t>3</w:t>
      </w:r>
      <w:r w:rsidR="005D1567">
        <w:t>b and 1</w:t>
      </w:r>
      <w:r w:rsidR="005153FC">
        <w:t>3</w:t>
      </w:r>
      <w:r w:rsidR="005D1567">
        <w:t>c</w:t>
      </w:r>
      <w:r w:rsidR="005338D1">
        <w:t>)</w:t>
      </w:r>
      <w:r w:rsidR="00076615">
        <w:t>; although, despite the possible correlation with exposed onshore Proterozoic</w:t>
      </w:r>
      <w:r w:rsidR="00E93B96">
        <w:t xml:space="preserve"> and Cambrian</w:t>
      </w:r>
      <w:r w:rsidR="00076615">
        <w:t xml:space="preserve"> granite batholiths</w:t>
      </w:r>
      <w:r w:rsidR="00FB1F9E">
        <w:t xml:space="preserve"> (</w:t>
      </w:r>
      <w:r w:rsidR="00856951" w:rsidRPr="00856951">
        <w:t>Harris et al., 1997</w:t>
      </w:r>
      <w:r w:rsidR="00E93B96">
        <w:t>; Jung et al., 2000</w:t>
      </w:r>
      <w:r w:rsidR="00856951" w:rsidRPr="00856951">
        <w:t>),</w:t>
      </w:r>
      <w:r w:rsidR="00856951">
        <w:t xml:space="preserve"> not all</w:t>
      </w:r>
      <w:r w:rsidR="00076615">
        <w:t xml:space="preserve"> examples are</w:t>
      </w:r>
      <w:r>
        <w:t xml:space="preserve"> proven.</w:t>
      </w:r>
      <w:proofErr w:type="gramEnd"/>
      <w:r>
        <w:t xml:space="preserve"> In addition, some </w:t>
      </w:r>
      <w:r w:rsidR="009D6B67">
        <w:t xml:space="preserve">of the </w:t>
      </w:r>
      <w:r>
        <w:t>potential influe</w:t>
      </w:r>
      <w:r w:rsidR="009D6B67">
        <w:t>nces the ‘tensile strength’ of</w:t>
      </w:r>
      <w:r>
        <w:t xml:space="preserve"> proven</w:t>
      </w:r>
      <w:r w:rsidR="009D6B67">
        <w:t xml:space="preserve"> and suggested Neoproterozoic </w:t>
      </w:r>
      <w:r>
        <w:rPr>
          <w:rFonts w:cstheme="minorHAnsi"/>
        </w:rPr>
        <w:t>granite</w:t>
      </w:r>
      <w:r w:rsidR="009D6B67">
        <w:t xml:space="preserve"> bodies</w:t>
      </w:r>
      <w:r>
        <w:t xml:space="preserve"> have on the architecture of the Early Cretaceous Rio do </w:t>
      </w:r>
      <w:proofErr w:type="spellStart"/>
      <w:r>
        <w:t>Peixe</w:t>
      </w:r>
      <w:proofErr w:type="spellEnd"/>
      <w:r>
        <w:t xml:space="preserve"> and </w:t>
      </w:r>
      <w:proofErr w:type="spellStart"/>
      <w:r>
        <w:t>Iguatu</w:t>
      </w:r>
      <w:proofErr w:type="spellEnd"/>
      <w:r>
        <w:t xml:space="preserve"> </w:t>
      </w:r>
      <w:r w:rsidR="009D6B67">
        <w:t xml:space="preserve">wrench </w:t>
      </w:r>
      <w:r>
        <w:t>basins of NE Brazil are discussed by De Castro et al (2007; 2008)</w:t>
      </w:r>
      <w:r w:rsidR="005D1567">
        <w:t>, (Fig. 1</w:t>
      </w:r>
      <w:r w:rsidR="005153FC">
        <w:t>3</w:t>
      </w:r>
      <w:r w:rsidR="005D1567">
        <w:t>d</w:t>
      </w:r>
      <w:r w:rsidR="009D6B67">
        <w:t>)</w:t>
      </w:r>
      <w:r>
        <w:t>.</w:t>
      </w:r>
    </w:p>
    <w:p w14:paraId="581FC9C9" w14:textId="77777777" w:rsidR="00565A8B" w:rsidRPr="00644636" w:rsidRDefault="00565A8B" w:rsidP="00565A8B">
      <w:pPr>
        <w:spacing w:line="360" w:lineRule="auto"/>
        <w:ind w:firstLine="720"/>
      </w:pPr>
      <w:proofErr w:type="gramStart"/>
      <w:r>
        <w:t>The location for this case study was chosen preferentially over other</w:t>
      </w:r>
      <w:r w:rsidR="00F55EB0">
        <w:t>s</w:t>
      </w:r>
      <w:r>
        <w:t xml:space="preserve"> for a number of reasons: 1) the numerical constraint on the thickness of the granite body is an important model parameter (</w:t>
      </w:r>
      <w:proofErr w:type="spellStart"/>
      <w:r>
        <w:t>Kimbell</w:t>
      </w:r>
      <w:proofErr w:type="spellEnd"/>
      <w:r>
        <w:t xml:space="preserve"> et al., 2006); 2) the sedimentary cover acts as a record of subsidence over time </w:t>
      </w:r>
      <w:r>
        <w:lastRenderedPageBreak/>
        <w:t xml:space="preserve">and space and; 3) despite this sedimentary cover, the underlying granite bodies are proven (Dunham et al., 1961; </w:t>
      </w:r>
      <w:proofErr w:type="spellStart"/>
      <w:r>
        <w:t>Bott</w:t>
      </w:r>
      <w:proofErr w:type="spellEnd"/>
      <w:r>
        <w:t xml:space="preserve"> et al., 1967).</w:t>
      </w:r>
      <w:proofErr w:type="gramEnd"/>
      <w:r>
        <w:t xml:space="preserve"> </w:t>
      </w:r>
      <w:r w:rsidR="00F55EB0">
        <w:t xml:space="preserve">The availability of these constraining factors </w:t>
      </w:r>
      <w:r w:rsidR="006E3466">
        <w:t>has enabled</w:t>
      </w:r>
      <w:r>
        <w:t xml:space="preserve"> this study</w:t>
      </w:r>
      <w:r w:rsidR="00F55EB0">
        <w:t xml:space="preserve"> to be carried out</w:t>
      </w:r>
      <w:r>
        <w:t xml:space="preserve">. The </w:t>
      </w:r>
      <w:r w:rsidR="00856951">
        <w:t>true extent of</w:t>
      </w:r>
      <w:r>
        <w:t xml:space="preserve"> further examples of granite-cored intra-</w:t>
      </w:r>
      <w:proofErr w:type="spellStart"/>
      <w:r>
        <w:t>basinal</w:t>
      </w:r>
      <w:proofErr w:type="spellEnd"/>
      <w:r>
        <w:t xml:space="preserve"> highs in extensional basins is not clear. Their identification and </w:t>
      </w:r>
      <w:r w:rsidR="00856951">
        <w:t xml:space="preserve">the </w:t>
      </w:r>
      <w:r>
        <w:t>examination</w:t>
      </w:r>
      <w:r w:rsidR="00856951">
        <w:t xml:space="preserve"> of their influence on local tectonic evolution</w:t>
      </w:r>
      <w:r>
        <w:t xml:space="preserve"> would rely heavily on geophysical analyses such as those referenced throughout this work (e.g. </w:t>
      </w:r>
      <w:proofErr w:type="spellStart"/>
      <w:r>
        <w:t>Kimbell</w:t>
      </w:r>
      <w:proofErr w:type="spellEnd"/>
      <w:r>
        <w:t xml:space="preserve"> et al., 2006).</w:t>
      </w:r>
    </w:p>
    <w:p w14:paraId="568D0E7E" w14:textId="77777777" w:rsidR="0095705A" w:rsidRDefault="004A3650" w:rsidP="009E071D">
      <w:pPr>
        <w:pStyle w:val="Heading1"/>
        <w:spacing w:line="360" w:lineRule="auto"/>
      </w:pPr>
      <w:r>
        <w:t>7</w:t>
      </w:r>
      <w:r w:rsidR="0095705A">
        <w:t>.0 Conclusions</w:t>
      </w:r>
    </w:p>
    <w:p w14:paraId="7C71D5E1" w14:textId="02B3306E" w:rsidR="0095705A" w:rsidRDefault="0095705A" w:rsidP="009E071D">
      <w:pPr>
        <w:spacing w:line="360" w:lineRule="auto"/>
        <w:ind w:firstLine="720"/>
      </w:pPr>
      <w:r>
        <w:t>In this</w:t>
      </w:r>
      <w:r w:rsidR="00CC1E0A">
        <w:t xml:space="preserve"> study, we have used lithospheric</w:t>
      </w:r>
      <w:r>
        <w:t xml:space="preserve"> scale numerical modelling of extensional tectonics to investigate the possible </w:t>
      </w:r>
      <w:r w:rsidR="004C2107">
        <w:t>influences of low-</w:t>
      </w:r>
      <w:r w:rsidR="006876AB">
        <w:t>density granite bodies on extensional basins</w:t>
      </w:r>
      <w:r>
        <w:t>. Model results have provided the following important insights:</w:t>
      </w:r>
    </w:p>
    <w:p w14:paraId="36271E56" w14:textId="7606CD29" w:rsidR="0095705A" w:rsidRDefault="0095705A" w:rsidP="009E071D">
      <w:pPr>
        <w:pStyle w:val="ListParagraph"/>
        <w:numPr>
          <w:ilvl w:val="0"/>
          <w:numId w:val="21"/>
        </w:numPr>
        <w:spacing w:line="360" w:lineRule="auto"/>
      </w:pPr>
      <w:r>
        <w:t xml:space="preserve">It is possible to generate basement relief by incorporating density contrasts within the crust such as those </w:t>
      </w:r>
      <w:r w:rsidR="00720013">
        <w:t>due to the presence of large</w:t>
      </w:r>
      <w:r>
        <w:t xml:space="preserve"> granitic body.</w:t>
      </w:r>
      <w:r w:rsidR="00CE3A25">
        <w:t xml:space="preserve"> </w:t>
      </w:r>
      <w:r>
        <w:t>However, contrary to common beliefs, the relative</w:t>
      </w:r>
      <w:r w:rsidR="00A66EA3">
        <w:t>ly buoyant</w:t>
      </w:r>
      <w:r>
        <w:t xml:space="preserve"> granite bodies </w:t>
      </w:r>
      <w:r w:rsidR="00A66EA3">
        <w:t>are</w:t>
      </w:r>
      <w:r>
        <w:t xml:space="preserve"> not capable of resisting subsidence during lithospheric extension.</w:t>
      </w:r>
    </w:p>
    <w:p w14:paraId="15C39DFD" w14:textId="77777777" w:rsidR="000B372A" w:rsidRPr="000B372A" w:rsidRDefault="000B372A" w:rsidP="009E071D">
      <w:pPr>
        <w:pStyle w:val="ListParagraph"/>
        <w:numPr>
          <w:ilvl w:val="0"/>
          <w:numId w:val="21"/>
        </w:numPr>
        <w:spacing w:line="360" w:lineRule="auto"/>
      </w:pPr>
      <w:r w:rsidRPr="000B372A">
        <w:t xml:space="preserve">Prior to lithospheric extension, the flexural rigidity of the lithosphere reduces isostatic compensation in response to buoyant granite bodies in terms of amplitude but increase the wavelength of isostatic deflection, depending on the elastic thickness of the lithosphere (e.g. Watts, 2001). A region of uplift, unbound by faults, is generated prior to lithospheric extension and residual second-order stresses associated with the under-compensated buoyancy of </w:t>
      </w:r>
      <w:r w:rsidR="00A66EA3">
        <w:t>the granite, as well as flexural</w:t>
      </w:r>
      <w:r w:rsidRPr="000B372A">
        <w:t xml:space="preserve"> tension</w:t>
      </w:r>
      <w:r w:rsidR="00A66EA3">
        <w:t>,</w:t>
      </w:r>
      <w:r w:rsidRPr="000B372A">
        <w:t xml:space="preserve"> remain.</w:t>
      </w:r>
    </w:p>
    <w:p w14:paraId="0C90B719" w14:textId="77777777" w:rsidR="0095705A" w:rsidRDefault="0095705A" w:rsidP="009E071D">
      <w:pPr>
        <w:pStyle w:val="ListParagraph"/>
        <w:numPr>
          <w:ilvl w:val="0"/>
          <w:numId w:val="21"/>
        </w:numPr>
        <w:spacing w:line="360" w:lineRule="auto"/>
      </w:pPr>
      <w:r>
        <w:t>There is a strong correlation between the distribution of large extensional faults and concealed granite bodies. These faults generally coincide with areas of non-granite cored crust immediately adjacent to concealed granite bodies. The interaction of tectonic forces, second-order isostatic</w:t>
      </w:r>
      <w:r w:rsidR="00720013">
        <w:t xml:space="preserve"> (relating to the granite’s buoyancy)</w:t>
      </w:r>
      <w:r>
        <w:t xml:space="preserve"> or flexural forces and inherited basement fabric is suggested to justify this relationship.</w:t>
      </w:r>
    </w:p>
    <w:p w14:paraId="26CCF8CD" w14:textId="7CE41D06" w:rsidR="0095705A" w:rsidRDefault="0095705A" w:rsidP="009E071D">
      <w:pPr>
        <w:pStyle w:val="ListParagraph"/>
        <w:numPr>
          <w:ilvl w:val="0"/>
          <w:numId w:val="21"/>
        </w:numPr>
        <w:spacing w:line="360" w:lineRule="auto"/>
      </w:pPr>
      <w:proofErr w:type="gramStart"/>
      <w:r>
        <w:t>It is proposed that the interaction of three factors ultimately dictate the tectonic framework within a partially granitic, brittle-ductile lithosp</w:t>
      </w:r>
      <w:r w:rsidR="00A66EA3">
        <w:t>here and the occurrence of intra</w:t>
      </w:r>
      <w:r>
        <w:t>-</w:t>
      </w:r>
      <w:proofErr w:type="spellStart"/>
      <w:r>
        <w:t>basinal</w:t>
      </w:r>
      <w:proofErr w:type="spellEnd"/>
      <w:r>
        <w:t xml:space="preserve"> highs: 1) non-tectonic, ‘second-order’ stresses </w:t>
      </w:r>
      <w:r w:rsidR="005C566F">
        <w:t>generated by</w:t>
      </w:r>
      <w:r>
        <w:t xml:space="preserve"> the flexural response of the lithosphere and</w:t>
      </w:r>
      <w:r w:rsidR="00B60A10">
        <w:t xml:space="preserve"> residual, under-compensated</w:t>
      </w:r>
      <w:r>
        <w:t xml:space="preserve"> buoyancy forces in relation to granite bodies; 2) extensional </w:t>
      </w:r>
      <w:r w:rsidR="00A66EA3">
        <w:t>tectonic stress; and importantly</w:t>
      </w:r>
      <w:r>
        <w:t xml:space="preserve"> 3)</w:t>
      </w:r>
      <w:r w:rsidR="00CE3A25">
        <w:t xml:space="preserve"> </w:t>
      </w:r>
      <w:r>
        <w:t>inherited basement fabric</w:t>
      </w:r>
      <w:r w:rsidR="00A66EA3">
        <w:t>, of which granite bodies are very much a part of</w:t>
      </w:r>
      <w:r>
        <w:t>.</w:t>
      </w:r>
      <w:proofErr w:type="gramEnd"/>
    </w:p>
    <w:p w14:paraId="20718539" w14:textId="77777777" w:rsidR="00ED75DA" w:rsidRDefault="00ED75DA" w:rsidP="00ED75DA">
      <w:pPr>
        <w:spacing w:line="360" w:lineRule="auto"/>
        <w:ind w:firstLine="720"/>
      </w:pPr>
      <w:r>
        <w:lastRenderedPageBreak/>
        <w:t>It is hoped that this more conceptual-based study will lend itself to more evidence-based investigatio</w:t>
      </w:r>
      <w:r w:rsidR="000B372A">
        <w:t xml:space="preserve">ns concerning </w:t>
      </w:r>
      <w:r w:rsidR="00A66EA3">
        <w:t>structure, geodynamics and the</w:t>
      </w:r>
      <w:r w:rsidR="000B372A">
        <w:t xml:space="preserve"> influence</w:t>
      </w:r>
      <w:r w:rsidR="00A66EA3">
        <w:t xml:space="preserve"> of large granite bodies</w:t>
      </w:r>
      <w:r w:rsidR="000B372A">
        <w:t xml:space="preserve"> on sedimentary basin</w:t>
      </w:r>
      <w:r w:rsidR="0053649D">
        <w:t>s</w:t>
      </w:r>
      <w:r>
        <w:t>.</w:t>
      </w:r>
    </w:p>
    <w:p w14:paraId="3E10B0C0" w14:textId="77777777" w:rsidR="001117D4" w:rsidRDefault="001117D4" w:rsidP="00F60C94">
      <w:pPr>
        <w:pStyle w:val="Heading1"/>
        <w:spacing w:line="360" w:lineRule="auto"/>
      </w:pPr>
      <w:r>
        <w:t>Acknowledgements</w:t>
      </w:r>
    </w:p>
    <w:p w14:paraId="0DADAAA5" w14:textId="29AB3EAC" w:rsidR="009D207D" w:rsidRDefault="009D207D" w:rsidP="00F60C94">
      <w:pPr>
        <w:spacing w:line="360" w:lineRule="auto"/>
      </w:pPr>
      <w:r>
        <w:t xml:space="preserve">The authorship would like to thank the </w:t>
      </w:r>
      <w:r w:rsidR="00342AA6">
        <w:t xml:space="preserve">valuable </w:t>
      </w:r>
      <w:r>
        <w:t xml:space="preserve">contributions of Editor-in-Chief Rob </w:t>
      </w:r>
      <w:proofErr w:type="spellStart"/>
      <w:r>
        <w:t>Govers</w:t>
      </w:r>
      <w:proofErr w:type="spellEnd"/>
      <w:r>
        <w:t xml:space="preserve"> and reviewer Nigel Woodcock</w:t>
      </w:r>
      <w:r w:rsidR="00614A88">
        <w:t>.</w:t>
      </w:r>
    </w:p>
    <w:p w14:paraId="215995CF" w14:textId="074F4DF2" w:rsidR="003338F9" w:rsidRDefault="003306CD" w:rsidP="00F60C94">
      <w:pPr>
        <w:spacing w:line="360" w:lineRule="auto"/>
      </w:pPr>
      <w:r>
        <w:t>We thank</w:t>
      </w:r>
      <w:r w:rsidR="005C566F">
        <w:t xml:space="preserve"> the</w:t>
      </w:r>
      <w:r>
        <w:t xml:space="preserve"> UK Onshore Geophysical Library (UKOGL) for permission to show their seismic data. </w:t>
      </w:r>
      <w:r w:rsidR="00F60C94">
        <w:t xml:space="preserve">The </w:t>
      </w:r>
      <w:r w:rsidR="00CC1CB0">
        <w:t>Basin Dynamics Resear</w:t>
      </w:r>
      <w:r w:rsidR="00CE47B9">
        <w:t xml:space="preserve">ch Group at </w:t>
      </w:r>
      <w:proofErr w:type="spellStart"/>
      <w:r w:rsidR="00CE47B9">
        <w:t>Keele</w:t>
      </w:r>
      <w:proofErr w:type="spellEnd"/>
      <w:r w:rsidR="00CE47B9">
        <w:t xml:space="preserve"> University</w:t>
      </w:r>
      <w:r w:rsidR="0014091E">
        <w:t xml:space="preserve"> and</w:t>
      </w:r>
      <w:r w:rsidR="00CC1CB0">
        <w:t xml:space="preserve"> the British Geological S</w:t>
      </w:r>
      <w:r w:rsidR="00784201">
        <w:t>urvey</w:t>
      </w:r>
      <w:r w:rsidR="00CC1CB0">
        <w:t xml:space="preserve"> </w:t>
      </w:r>
      <w:r w:rsidR="001514DF">
        <w:t xml:space="preserve">are thanked </w:t>
      </w:r>
      <w:r w:rsidR="00CC1CB0">
        <w:t xml:space="preserve">for stimulating discussion during the preparation of the manuscript. </w:t>
      </w:r>
      <w:r w:rsidR="004E5BC9">
        <w:t xml:space="preserve">In particular, the authorship would like to acknowledge the contributions of Bernard </w:t>
      </w:r>
      <w:proofErr w:type="spellStart"/>
      <w:r w:rsidR="004E5BC9">
        <w:t>Besly</w:t>
      </w:r>
      <w:proofErr w:type="spellEnd"/>
      <w:r w:rsidR="004E5BC9">
        <w:t xml:space="preserve">. </w:t>
      </w:r>
      <w:r w:rsidR="007D3BAC">
        <w:t xml:space="preserve">Noel </w:t>
      </w:r>
      <w:r w:rsidR="009110FA">
        <w:t>Howell</w:t>
      </w:r>
      <w:r w:rsidR="006E474C">
        <w:t xml:space="preserve"> is thanked for benefit</w:t>
      </w:r>
      <w:r w:rsidR="007D3BAC">
        <w:t>ing us with his expertise in mathematics.</w:t>
      </w:r>
    </w:p>
    <w:p w14:paraId="04D4FACC" w14:textId="77777777" w:rsidR="00700503" w:rsidRPr="005C341E" w:rsidRDefault="00EA1D3F" w:rsidP="00F60C94">
      <w:pPr>
        <w:spacing w:line="360" w:lineRule="auto"/>
      </w:pPr>
      <w:r>
        <w:t xml:space="preserve">The work contained in this paper contains work conducted during a PhD study undertaken as part of the Natural Environment Research Council (NERC) Centre for Doctoral Training (CDT) in Oil &amp; Gas [grant number NEM00578X/1]. It is sponsored by NERC, the </w:t>
      </w:r>
      <w:proofErr w:type="spellStart"/>
      <w:r>
        <w:t>Keele</w:t>
      </w:r>
      <w:proofErr w:type="spellEnd"/>
      <w:r>
        <w:t xml:space="preserve"> University Acorn Fund and the National Productivity Investment Fund (NPIF) whose support is gratefully acknowledged.</w:t>
      </w:r>
      <w:r w:rsidR="00700503">
        <w:br w:type="page"/>
      </w:r>
    </w:p>
    <w:p w14:paraId="79A61A5B" w14:textId="77777777" w:rsidR="00CE3103" w:rsidRDefault="00CE3103" w:rsidP="00CE3103">
      <w:pPr>
        <w:pStyle w:val="Heading1"/>
        <w:spacing w:line="360" w:lineRule="auto"/>
      </w:pPr>
      <w:r>
        <w:lastRenderedPageBreak/>
        <w:t>Tables</w:t>
      </w:r>
    </w:p>
    <w:p w14:paraId="744E0260" w14:textId="77777777" w:rsidR="00B13E0E" w:rsidRDefault="00B13E0E" w:rsidP="00CE3103">
      <w:pPr>
        <w:spacing w:line="360" w:lineRule="auto"/>
      </w:pPr>
      <w:r>
        <w:t>Table 1</w:t>
      </w:r>
      <w:r w:rsidR="009110FA">
        <w:t xml:space="preserve">. </w:t>
      </w:r>
      <w:r w:rsidR="00127E98">
        <w:t>Model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1441"/>
      </w:tblGrid>
      <w:tr w:rsidR="00B13E0E" w14:paraId="75B354A5" w14:textId="77777777" w:rsidTr="001F5F44">
        <w:tc>
          <w:tcPr>
            <w:tcW w:w="4508" w:type="dxa"/>
            <w:shd w:val="clear" w:color="auto" w:fill="D0CECE" w:themeFill="background2" w:themeFillShade="E6"/>
          </w:tcPr>
          <w:p w14:paraId="6FBE1DAD" w14:textId="77777777" w:rsidR="00B13E0E" w:rsidRDefault="00B13E0E" w:rsidP="009E071D">
            <w:pPr>
              <w:spacing w:line="360" w:lineRule="auto"/>
              <w:jc w:val="center"/>
            </w:pPr>
            <w:r>
              <w:t>Parameters</w:t>
            </w:r>
          </w:p>
        </w:tc>
        <w:tc>
          <w:tcPr>
            <w:tcW w:w="1441" w:type="dxa"/>
            <w:shd w:val="clear" w:color="auto" w:fill="D0CECE" w:themeFill="background2" w:themeFillShade="E6"/>
          </w:tcPr>
          <w:p w14:paraId="6B8558FA" w14:textId="77777777" w:rsidR="00B13E0E" w:rsidRDefault="00B13E0E" w:rsidP="009E071D">
            <w:pPr>
              <w:spacing w:line="360" w:lineRule="auto"/>
              <w:jc w:val="center"/>
            </w:pPr>
            <w:r>
              <w:t>Abbreviation</w:t>
            </w:r>
          </w:p>
        </w:tc>
      </w:tr>
      <w:tr w:rsidR="004C5571" w14:paraId="00B8192F" w14:textId="77777777" w:rsidTr="001F5F44">
        <w:tc>
          <w:tcPr>
            <w:tcW w:w="4508" w:type="dxa"/>
          </w:tcPr>
          <w:p w14:paraId="7BC33872" w14:textId="77777777" w:rsidR="004C5571" w:rsidRDefault="004C5571" w:rsidP="009E071D">
            <w:pPr>
              <w:spacing w:line="360" w:lineRule="auto"/>
            </w:pPr>
            <w:r>
              <w:t>Basement elevation (km)</w:t>
            </w:r>
          </w:p>
        </w:tc>
        <w:tc>
          <w:tcPr>
            <w:tcW w:w="1441" w:type="dxa"/>
          </w:tcPr>
          <w:p w14:paraId="0B596D05" w14:textId="77777777" w:rsidR="004C5571" w:rsidRPr="00E31618"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Basement</m:t>
                    </m:r>
                  </m:e>
                  <m:sub>
                    <m:r>
                      <w:rPr>
                        <w:rFonts w:ascii="Cambria Math" w:eastAsia="Calibri" w:hAnsi="Cambria Math" w:cs="Times New Roman"/>
                      </w:rPr>
                      <m:t>(x)</m:t>
                    </m:r>
                  </m:sub>
                </m:sSub>
              </m:oMath>
            </m:oMathPara>
          </w:p>
        </w:tc>
      </w:tr>
      <w:tr w:rsidR="004C5571" w14:paraId="0076FF72" w14:textId="77777777" w:rsidTr="001F5F44">
        <w:tc>
          <w:tcPr>
            <w:tcW w:w="4508" w:type="dxa"/>
          </w:tcPr>
          <w:p w14:paraId="31AAD4AD" w14:textId="77777777" w:rsidR="004C5571" w:rsidRDefault="004C5571" w:rsidP="00E83055">
            <w:pPr>
              <w:spacing w:line="360" w:lineRule="auto"/>
            </w:pPr>
            <w:r>
              <w:t>Basin infill density (kgm</w:t>
            </w:r>
            <w:r>
              <w:rPr>
                <w:vertAlign w:val="superscript"/>
              </w:rPr>
              <w:t>-3</w:t>
            </w:r>
            <w:r>
              <w:t>)</w:t>
            </w:r>
          </w:p>
        </w:tc>
        <w:tc>
          <w:tcPr>
            <w:tcW w:w="1441" w:type="dxa"/>
          </w:tcPr>
          <w:p w14:paraId="01ADB7F6" w14:textId="77777777" w:rsidR="004C5571" w:rsidRPr="00235AAF"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ρ</m:t>
                    </m:r>
                  </m:e>
                  <m:sub>
                    <m:r>
                      <w:rPr>
                        <w:rFonts w:ascii="Cambria Math" w:eastAsia="Calibri" w:hAnsi="Cambria Math" w:cs="Times New Roman"/>
                      </w:rPr>
                      <m:t>i</m:t>
                    </m:r>
                  </m:sub>
                </m:sSub>
              </m:oMath>
            </m:oMathPara>
          </w:p>
        </w:tc>
      </w:tr>
      <w:tr w:rsidR="004C5571" w14:paraId="5E659C20" w14:textId="77777777" w:rsidTr="001F5F44">
        <w:tc>
          <w:tcPr>
            <w:tcW w:w="4508" w:type="dxa"/>
          </w:tcPr>
          <w:p w14:paraId="7032748B" w14:textId="77777777" w:rsidR="004C5571" w:rsidRDefault="004C5571" w:rsidP="009E071D">
            <w:pPr>
              <w:spacing w:line="360" w:lineRule="auto"/>
              <w:rPr>
                <w:rFonts w:eastAsiaTheme="minorEastAsia"/>
              </w:rPr>
            </w:pPr>
            <w:r>
              <w:rPr>
                <w:rFonts w:eastAsiaTheme="minorEastAsia"/>
              </w:rPr>
              <w:t>Constant used for Fast Fourier Transform</w:t>
            </w:r>
            <w:r w:rsidR="002E2D7F">
              <w:rPr>
                <w:rFonts w:eastAsiaTheme="minorEastAsia"/>
              </w:rPr>
              <w:t xml:space="preserve"> representing width of model in frequency domain.</w:t>
            </w:r>
          </w:p>
        </w:tc>
        <w:tc>
          <w:tcPr>
            <w:tcW w:w="1441" w:type="dxa"/>
          </w:tcPr>
          <w:p w14:paraId="5AADF38F" w14:textId="77777777" w:rsidR="004C5571" w:rsidRDefault="004C5571" w:rsidP="009E071D">
            <w:pPr>
              <w:spacing w:line="360" w:lineRule="auto"/>
              <w:rPr>
                <w:rFonts w:ascii="Calibri" w:eastAsia="Calibri" w:hAnsi="Calibri" w:cs="Times New Roman"/>
              </w:rPr>
            </w:pPr>
            <m:oMathPara>
              <m:oMath>
                <m:r>
                  <w:rPr>
                    <w:rFonts w:ascii="Cambria Math" w:eastAsia="Calibri" w:hAnsi="Cambria Math" w:cs="Times New Roman"/>
                  </w:rPr>
                  <m:t>N</m:t>
                </m:r>
              </m:oMath>
            </m:oMathPara>
          </w:p>
        </w:tc>
      </w:tr>
      <w:tr w:rsidR="004C5571" w14:paraId="794499B6" w14:textId="77777777" w:rsidTr="001F5F44">
        <w:tc>
          <w:tcPr>
            <w:tcW w:w="4508" w:type="dxa"/>
          </w:tcPr>
          <w:p w14:paraId="7B235608" w14:textId="77777777" w:rsidR="004C5571" w:rsidRDefault="004C5571" w:rsidP="009E071D">
            <w:pPr>
              <w:spacing w:line="360" w:lineRule="auto"/>
              <w:rPr>
                <w:rFonts w:eastAsiaTheme="minorEastAsia"/>
              </w:rPr>
            </w:pPr>
            <w:r>
              <w:rPr>
                <w:rFonts w:eastAsiaTheme="minorEastAsia"/>
              </w:rPr>
              <w:t>Crustal thinning due to simple shear (km)</w:t>
            </w:r>
          </w:p>
        </w:tc>
        <w:tc>
          <w:tcPr>
            <w:tcW w:w="1441" w:type="dxa"/>
          </w:tcPr>
          <w:p w14:paraId="15A86C04" w14:textId="77777777" w:rsidR="004C5571" w:rsidRDefault="00E27D3D" w:rsidP="009E071D">
            <w:pPr>
              <w:spacing w:line="360" w:lineRule="auto"/>
              <w:rPr>
                <w:rFonts w:ascii="Calibri" w:eastAsia="Times New Roman" w:hAnsi="Calibri" w:cs="Times New Roman"/>
              </w:rPr>
            </w:pPr>
            <m:oMathPara>
              <m:oMath>
                <m:sSub>
                  <m:sSubPr>
                    <m:ctrlPr>
                      <w:rPr>
                        <w:rFonts w:ascii="Cambria Math" w:hAnsi="Cambria Math"/>
                        <w:i/>
                      </w:rPr>
                    </m:ctrlPr>
                  </m:sSubPr>
                  <m:e>
                    <m:r>
                      <w:rPr>
                        <w:rFonts w:ascii="Cambria Math" w:hAnsi="Cambria Math"/>
                      </w:rPr>
                      <m:t>CTS</m:t>
                    </m:r>
                  </m:e>
                  <m:sub>
                    <m:r>
                      <w:rPr>
                        <w:rFonts w:ascii="Cambria Math" w:hAnsi="Cambria Math"/>
                      </w:rPr>
                      <m:t>(x)</m:t>
                    </m:r>
                  </m:sub>
                </m:sSub>
              </m:oMath>
            </m:oMathPara>
          </w:p>
        </w:tc>
      </w:tr>
      <w:tr w:rsidR="004C5571" w14:paraId="2673C569" w14:textId="77777777" w:rsidTr="001F5F44">
        <w:tc>
          <w:tcPr>
            <w:tcW w:w="4508" w:type="dxa"/>
          </w:tcPr>
          <w:p w14:paraId="57C9C72A" w14:textId="77777777" w:rsidR="004C5571" w:rsidRPr="004A709C" w:rsidRDefault="004C5571" w:rsidP="009E071D">
            <w:pPr>
              <w:spacing w:line="360" w:lineRule="auto"/>
            </w:pPr>
            <w:r>
              <w:t>Den</w:t>
            </w:r>
            <w:r w:rsidR="00E83055">
              <w:t xml:space="preserve">sity of granite-cored crust (kg </w:t>
            </w:r>
            <w:r>
              <w:t>m</w:t>
            </w:r>
            <w:r>
              <w:rPr>
                <w:vertAlign w:val="superscript"/>
              </w:rPr>
              <w:t>-3</w:t>
            </w:r>
            <w:r>
              <w:t>)</w:t>
            </w:r>
          </w:p>
        </w:tc>
        <w:tc>
          <w:tcPr>
            <w:tcW w:w="1441" w:type="dxa"/>
          </w:tcPr>
          <w:p w14:paraId="72EA6D66" w14:textId="77777777" w:rsidR="004C5571"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ρ</m:t>
                    </m:r>
                  </m:e>
                  <m:sub>
                    <m:r>
                      <w:rPr>
                        <w:rFonts w:ascii="Cambria Math" w:eastAsia="Calibri" w:hAnsi="Cambria Math" w:cs="Times New Roman"/>
                      </w:rPr>
                      <m:t>gc</m:t>
                    </m:r>
                  </m:sub>
                </m:sSub>
              </m:oMath>
            </m:oMathPara>
          </w:p>
        </w:tc>
      </w:tr>
      <w:tr w:rsidR="004C5571" w14:paraId="1A626C9C" w14:textId="77777777" w:rsidTr="001F5F44">
        <w:tc>
          <w:tcPr>
            <w:tcW w:w="4508" w:type="dxa"/>
          </w:tcPr>
          <w:p w14:paraId="42692197" w14:textId="77777777" w:rsidR="004C5571" w:rsidRDefault="004C5571" w:rsidP="009E071D">
            <w:pPr>
              <w:spacing w:line="360" w:lineRule="auto"/>
            </w:pPr>
            <w:r>
              <w:t>Den</w:t>
            </w:r>
            <w:r w:rsidR="00E83055">
              <w:t xml:space="preserve">sity of granite-cored crust (kg </w:t>
            </w:r>
            <w:r>
              <w:t>m</w:t>
            </w:r>
            <w:r>
              <w:rPr>
                <w:vertAlign w:val="superscript"/>
              </w:rPr>
              <w:t>-3</w:t>
            </w:r>
            <w:r>
              <w:t>)</w:t>
            </w:r>
          </w:p>
        </w:tc>
        <w:tc>
          <w:tcPr>
            <w:tcW w:w="1441" w:type="dxa"/>
          </w:tcPr>
          <w:p w14:paraId="563A6C87" w14:textId="77777777" w:rsidR="004C5571" w:rsidRPr="00264927"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ρ</m:t>
                    </m:r>
                  </m:e>
                  <m:sub>
                    <m:sSub>
                      <m:sSubPr>
                        <m:ctrlPr>
                          <w:rPr>
                            <w:rFonts w:ascii="Cambria Math" w:eastAsia="Calibri" w:hAnsi="Cambria Math" w:cs="Times New Roman"/>
                            <w:i/>
                          </w:rPr>
                        </m:ctrlPr>
                      </m:sSubPr>
                      <m:e>
                        <m:r>
                          <w:rPr>
                            <w:rFonts w:ascii="Cambria Math" w:eastAsia="Calibri" w:hAnsi="Cambria Math" w:cs="Times New Roman"/>
                          </w:rPr>
                          <m:t>gc</m:t>
                        </m:r>
                      </m:e>
                      <m:sub>
                        <m:r>
                          <w:rPr>
                            <w:rFonts w:ascii="Cambria Math" w:eastAsia="Calibri" w:hAnsi="Cambria Math" w:cs="Times New Roman"/>
                          </w:rPr>
                          <m:t>(x)</m:t>
                        </m:r>
                      </m:sub>
                    </m:sSub>
                  </m:sub>
                </m:sSub>
              </m:oMath>
            </m:oMathPara>
          </w:p>
        </w:tc>
      </w:tr>
      <w:tr w:rsidR="004C5571" w14:paraId="2FDB4B0A" w14:textId="77777777" w:rsidTr="001F5F44">
        <w:tc>
          <w:tcPr>
            <w:tcW w:w="4508" w:type="dxa"/>
          </w:tcPr>
          <w:p w14:paraId="4CED4FEC" w14:textId="77777777" w:rsidR="004C5571" w:rsidRDefault="004C5571" w:rsidP="009E071D">
            <w:pPr>
              <w:spacing w:line="360" w:lineRule="auto"/>
              <w:rPr>
                <w:rFonts w:eastAsiaTheme="minorEastAsia"/>
              </w:rPr>
            </w:pPr>
            <w:r>
              <w:rPr>
                <w:rFonts w:eastAsiaTheme="minorEastAsia"/>
              </w:rPr>
              <w:t>Depth to fault (km)</w:t>
            </w:r>
          </w:p>
        </w:tc>
        <w:tc>
          <w:tcPr>
            <w:tcW w:w="1441" w:type="dxa"/>
          </w:tcPr>
          <w:p w14:paraId="471FF3DD" w14:textId="77777777" w:rsidR="004C5571" w:rsidRPr="002463CF" w:rsidRDefault="00E27D3D" w:rsidP="009E071D">
            <w:pPr>
              <w:spacing w:line="360" w:lineRule="auto"/>
              <w:rPr>
                <w:rFonts w:ascii="Calibri" w:eastAsia="Times New Roman" w:hAnsi="Calibri" w:cs="Times New Roman"/>
              </w:rPr>
            </w:pPr>
            <m:oMathPara>
              <m:oMath>
                <m:sSub>
                  <m:sSubPr>
                    <m:ctrlPr>
                      <w:rPr>
                        <w:rFonts w:ascii="Cambria Math" w:hAnsi="Cambria Math"/>
                        <w:i/>
                      </w:rPr>
                    </m:ctrlPr>
                  </m:sSubPr>
                  <m:e>
                    <m:r>
                      <w:rPr>
                        <w:rFonts w:ascii="Cambria Math" w:hAnsi="Cambria Math"/>
                      </w:rPr>
                      <m:t>Fd</m:t>
                    </m:r>
                  </m:e>
                  <m:sub>
                    <m:r>
                      <w:rPr>
                        <w:rFonts w:ascii="Cambria Math" w:hAnsi="Cambria Math"/>
                      </w:rPr>
                      <m:t>(x)</m:t>
                    </m:r>
                  </m:sub>
                </m:sSub>
              </m:oMath>
            </m:oMathPara>
          </w:p>
        </w:tc>
      </w:tr>
      <w:tr w:rsidR="004C5571" w14:paraId="228C4778" w14:textId="77777777" w:rsidTr="001F5F44">
        <w:tc>
          <w:tcPr>
            <w:tcW w:w="4508" w:type="dxa"/>
          </w:tcPr>
          <w:p w14:paraId="0ADA8BBD" w14:textId="77777777" w:rsidR="004C5571" w:rsidRDefault="004C5571" w:rsidP="009E071D">
            <w:pPr>
              <w:spacing w:line="360" w:lineRule="auto"/>
            </w:pPr>
            <w:r>
              <w:t>Elastic thickness (km)</w:t>
            </w:r>
          </w:p>
        </w:tc>
        <w:tc>
          <w:tcPr>
            <w:tcW w:w="1441" w:type="dxa"/>
          </w:tcPr>
          <w:p w14:paraId="7D2F819C" w14:textId="77777777" w:rsidR="004C5571" w:rsidRPr="009515EF" w:rsidRDefault="001D1723" w:rsidP="009E071D">
            <w:pPr>
              <w:spacing w:line="360" w:lineRule="auto"/>
              <w:rPr>
                <w:rFonts w:ascii="Calibri" w:eastAsia="Calibri" w:hAnsi="Calibri" w:cs="Times New Roman"/>
              </w:rPr>
            </w:pPr>
            <m:oMathPara>
              <m:oMath>
                <m:r>
                  <w:rPr>
                    <w:rFonts w:ascii="Cambria Math" w:eastAsia="Calibri" w:hAnsi="Cambria Math" w:cs="Times New Roman"/>
                  </w:rPr>
                  <m:t>Te</m:t>
                </m:r>
              </m:oMath>
            </m:oMathPara>
          </w:p>
        </w:tc>
      </w:tr>
      <w:tr w:rsidR="004C5571" w14:paraId="274FF4F9" w14:textId="77777777" w:rsidTr="001F5F44">
        <w:tc>
          <w:tcPr>
            <w:tcW w:w="4508" w:type="dxa"/>
          </w:tcPr>
          <w:p w14:paraId="7A9E7B91" w14:textId="77777777" w:rsidR="004C5571" w:rsidRDefault="00E83055" w:rsidP="009E071D">
            <w:pPr>
              <w:spacing w:line="360" w:lineRule="auto"/>
            </w:pPr>
            <w:r>
              <w:t>Magnitude of extension</w:t>
            </w:r>
          </w:p>
        </w:tc>
        <w:tc>
          <w:tcPr>
            <w:tcW w:w="1441" w:type="dxa"/>
          </w:tcPr>
          <w:p w14:paraId="2CF753A0" w14:textId="77777777" w:rsidR="004C5571" w:rsidRDefault="004C5571" w:rsidP="009E071D">
            <w:pPr>
              <w:spacing w:line="360" w:lineRule="auto"/>
            </w:pPr>
            <m:oMathPara>
              <m:oMath>
                <m:r>
                  <w:rPr>
                    <w:rFonts w:ascii="Cambria Math" w:hAnsi="Cambria Math"/>
                  </w:rPr>
                  <m:t>β</m:t>
                </m:r>
              </m:oMath>
            </m:oMathPara>
          </w:p>
        </w:tc>
      </w:tr>
      <w:tr w:rsidR="004C5571" w14:paraId="7C8A0A33" w14:textId="77777777" w:rsidTr="001F5F44">
        <w:tc>
          <w:tcPr>
            <w:tcW w:w="4508" w:type="dxa"/>
          </w:tcPr>
          <w:p w14:paraId="4175B1C0" w14:textId="77777777" w:rsidR="004C5571" w:rsidRDefault="004C5571" w:rsidP="009E071D">
            <w:pPr>
              <w:spacing w:line="360" w:lineRule="auto"/>
            </w:pPr>
            <w:r>
              <w:t>Flexural rigidity</w:t>
            </w:r>
            <w:r w:rsidR="002E2D7F">
              <w:t xml:space="preserve"> (</w:t>
            </w:r>
            <w:r w:rsidR="00CD70DE">
              <w:t>N m</w:t>
            </w:r>
            <w:r w:rsidR="002E2D7F">
              <w:t>)</w:t>
            </w:r>
          </w:p>
        </w:tc>
        <w:tc>
          <w:tcPr>
            <w:tcW w:w="1441" w:type="dxa"/>
          </w:tcPr>
          <w:p w14:paraId="5B30DC8E" w14:textId="77777777" w:rsidR="004C5571" w:rsidRPr="000707B8" w:rsidRDefault="004C5571" w:rsidP="009E071D">
            <w:pPr>
              <w:spacing w:line="360" w:lineRule="auto"/>
              <w:rPr>
                <w:rFonts w:ascii="Calibri" w:eastAsia="Calibri" w:hAnsi="Calibri" w:cs="Times New Roman"/>
              </w:rPr>
            </w:pPr>
            <m:oMathPara>
              <m:oMath>
                <m:r>
                  <w:rPr>
                    <w:rFonts w:ascii="Cambria Math" w:eastAsia="Calibri" w:hAnsi="Cambria Math" w:cs="Times New Roman"/>
                  </w:rPr>
                  <m:t>D</m:t>
                </m:r>
              </m:oMath>
            </m:oMathPara>
          </w:p>
        </w:tc>
      </w:tr>
      <w:tr w:rsidR="004C5571" w14:paraId="3E650DE2" w14:textId="77777777" w:rsidTr="001F5F44">
        <w:tc>
          <w:tcPr>
            <w:tcW w:w="4508" w:type="dxa"/>
          </w:tcPr>
          <w:p w14:paraId="56B645D4" w14:textId="77777777" w:rsidR="004C5571" w:rsidRDefault="00273B8A" w:rsidP="009E071D">
            <w:pPr>
              <w:spacing w:line="360" w:lineRule="auto"/>
            </w:pPr>
            <w:r>
              <w:t>Vertical granite body thickness at a given point</w:t>
            </w:r>
            <w:r w:rsidR="004C5571">
              <w:t xml:space="preserve"> (km)</w:t>
            </w:r>
          </w:p>
        </w:tc>
        <w:tc>
          <w:tcPr>
            <w:tcW w:w="1441" w:type="dxa"/>
          </w:tcPr>
          <w:p w14:paraId="29A1C73C" w14:textId="77777777" w:rsidR="004C5571"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GR</m:t>
                    </m:r>
                  </m:e>
                  <m:sub>
                    <m:r>
                      <w:rPr>
                        <w:rFonts w:ascii="Cambria Math" w:eastAsia="Calibri" w:hAnsi="Cambria Math" w:cs="Times New Roman"/>
                      </w:rPr>
                      <m:t>(x)</m:t>
                    </m:r>
                  </m:sub>
                </m:sSub>
              </m:oMath>
            </m:oMathPara>
          </w:p>
        </w:tc>
      </w:tr>
      <w:tr w:rsidR="004C5571" w14:paraId="2FFC789E" w14:textId="77777777" w:rsidTr="001F5F44">
        <w:tc>
          <w:tcPr>
            <w:tcW w:w="4508" w:type="dxa"/>
          </w:tcPr>
          <w:p w14:paraId="45D25CB6" w14:textId="77777777" w:rsidR="004C5571" w:rsidRDefault="004C5571" w:rsidP="009E071D">
            <w:pPr>
              <w:spacing w:line="360" w:lineRule="auto"/>
              <w:rPr>
                <w:rFonts w:eastAsiaTheme="minorEastAsia"/>
              </w:rPr>
            </w:pPr>
            <w:r>
              <w:rPr>
                <w:rFonts w:eastAsiaTheme="minorEastAsia"/>
              </w:rPr>
              <w:t>Horizontal extension or heave (km)</w:t>
            </w:r>
          </w:p>
        </w:tc>
        <w:tc>
          <w:tcPr>
            <w:tcW w:w="1441" w:type="dxa"/>
          </w:tcPr>
          <w:p w14:paraId="323B8224" w14:textId="77777777" w:rsidR="004C5571" w:rsidRPr="007256E7" w:rsidRDefault="004C5571" w:rsidP="009E071D">
            <w:pPr>
              <w:spacing w:line="360" w:lineRule="auto"/>
              <w:rPr>
                <w:rFonts w:ascii="Calibri" w:eastAsia="Times New Roman" w:hAnsi="Calibri" w:cs="Times New Roman"/>
              </w:rPr>
            </w:pPr>
            <m:oMathPara>
              <m:oMath>
                <m:r>
                  <w:rPr>
                    <w:rFonts w:ascii="Cambria Math" w:eastAsia="Times New Roman" w:hAnsi="Cambria Math" w:cs="Times New Roman"/>
                  </w:rPr>
                  <m:t>h</m:t>
                </m:r>
              </m:oMath>
            </m:oMathPara>
          </w:p>
        </w:tc>
      </w:tr>
      <w:tr w:rsidR="004C5571" w14:paraId="2512EF62" w14:textId="77777777" w:rsidTr="001F5F44">
        <w:tc>
          <w:tcPr>
            <w:tcW w:w="4508" w:type="dxa"/>
          </w:tcPr>
          <w:p w14:paraId="03AC2190" w14:textId="77777777" w:rsidR="004C5571" w:rsidRDefault="00D263B0" w:rsidP="009E071D">
            <w:pPr>
              <w:spacing w:line="360" w:lineRule="auto"/>
            </w:pPr>
            <w:r>
              <w:t>Load at a given point (N)</w:t>
            </w:r>
          </w:p>
        </w:tc>
        <w:tc>
          <w:tcPr>
            <w:tcW w:w="1441" w:type="dxa"/>
          </w:tcPr>
          <w:p w14:paraId="7D9054D2" w14:textId="77777777" w:rsidR="004C5571"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Load</m:t>
                    </m:r>
                  </m:e>
                  <m:sub>
                    <m:r>
                      <w:rPr>
                        <w:rFonts w:ascii="Cambria Math" w:eastAsia="Calibri" w:hAnsi="Cambria Math" w:cs="Times New Roman"/>
                      </w:rPr>
                      <m:t>(x)</m:t>
                    </m:r>
                  </m:sub>
                </m:sSub>
              </m:oMath>
            </m:oMathPara>
          </w:p>
        </w:tc>
      </w:tr>
      <w:tr w:rsidR="004C5571" w14:paraId="277DC694" w14:textId="77777777" w:rsidTr="001F5F44">
        <w:tc>
          <w:tcPr>
            <w:tcW w:w="4508" w:type="dxa"/>
          </w:tcPr>
          <w:p w14:paraId="62763613" w14:textId="77777777" w:rsidR="004C5571" w:rsidRDefault="004C5571" w:rsidP="009E071D">
            <w:pPr>
              <w:spacing w:line="360" w:lineRule="auto"/>
            </w:pPr>
            <w:r>
              <w:t>Local isostatic rebound due to granite emplacement (km)</w:t>
            </w:r>
          </w:p>
        </w:tc>
        <w:tc>
          <w:tcPr>
            <w:tcW w:w="1441" w:type="dxa"/>
          </w:tcPr>
          <w:p w14:paraId="6C056EEF" w14:textId="77777777" w:rsidR="004C5571" w:rsidRDefault="004C5571" w:rsidP="009E071D">
            <w:pPr>
              <w:spacing w:line="360" w:lineRule="auto"/>
            </w:pPr>
            <m:oMathPara>
              <m:oMath>
                <m:r>
                  <w:rPr>
                    <w:rFonts w:ascii="Cambria Math" w:hAnsi="Cambria Math"/>
                  </w:rPr>
                  <m:t>IR</m:t>
                </m:r>
              </m:oMath>
            </m:oMathPara>
          </w:p>
        </w:tc>
      </w:tr>
      <w:tr w:rsidR="004C5571" w14:paraId="18611F6A" w14:textId="77777777" w:rsidTr="001F5F44">
        <w:tc>
          <w:tcPr>
            <w:tcW w:w="4508" w:type="dxa"/>
          </w:tcPr>
          <w:p w14:paraId="1F37EA11" w14:textId="77777777" w:rsidR="004C5571" w:rsidRDefault="004C5571" w:rsidP="009E071D">
            <w:pPr>
              <w:spacing w:line="360" w:lineRule="auto"/>
            </w:pPr>
            <w:r>
              <w:t>Original granite height/thickness (km)</w:t>
            </w:r>
          </w:p>
        </w:tc>
        <w:tc>
          <w:tcPr>
            <w:tcW w:w="1441" w:type="dxa"/>
          </w:tcPr>
          <w:p w14:paraId="3F1B60E6" w14:textId="77777777" w:rsidR="004C5571" w:rsidRDefault="00E27D3D" w:rsidP="009E071D">
            <w:pPr>
              <w:spacing w:line="360" w:lineRule="auto"/>
            </w:pPr>
            <m:oMathPara>
              <m:oMath>
                <m:sSub>
                  <m:sSubPr>
                    <m:ctrlPr>
                      <w:rPr>
                        <w:rFonts w:ascii="Cambria Math" w:hAnsi="Cambria Math"/>
                        <w:i/>
                      </w:rPr>
                    </m:ctrlPr>
                  </m:sSubPr>
                  <m:e>
                    <m:r>
                      <w:rPr>
                        <w:rFonts w:ascii="Cambria Math" w:hAnsi="Cambria Math"/>
                      </w:rPr>
                      <m:t>GR</m:t>
                    </m:r>
                  </m:e>
                  <m:sub>
                    <m:r>
                      <w:rPr>
                        <w:rFonts w:ascii="Cambria Math" w:hAnsi="Cambria Math"/>
                      </w:rPr>
                      <m:t>o</m:t>
                    </m:r>
                  </m:sub>
                </m:sSub>
              </m:oMath>
            </m:oMathPara>
          </w:p>
        </w:tc>
      </w:tr>
      <w:tr w:rsidR="004C5571" w14:paraId="195DE9E9" w14:textId="77777777" w:rsidTr="001F5F44">
        <w:tc>
          <w:tcPr>
            <w:tcW w:w="4508" w:type="dxa"/>
          </w:tcPr>
          <w:p w14:paraId="60FEE066" w14:textId="77777777" w:rsidR="004C5571" w:rsidRDefault="004C5571" w:rsidP="009E071D">
            <w:pPr>
              <w:spacing w:line="360" w:lineRule="auto"/>
            </w:pPr>
            <w:r>
              <w:t>Original lithosphere thickness for granite-cored lithosphere (km)</w:t>
            </w:r>
          </w:p>
        </w:tc>
        <w:tc>
          <w:tcPr>
            <w:tcW w:w="1441" w:type="dxa"/>
          </w:tcPr>
          <w:p w14:paraId="2CF3A06B" w14:textId="77777777" w:rsidR="004C5571"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og</m:t>
                    </m:r>
                  </m:sub>
                </m:sSub>
              </m:oMath>
            </m:oMathPara>
          </w:p>
        </w:tc>
      </w:tr>
      <w:tr w:rsidR="004C5571" w14:paraId="4777C60A" w14:textId="77777777" w:rsidTr="001F5F44">
        <w:tc>
          <w:tcPr>
            <w:tcW w:w="4508" w:type="dxa"/>
          </w:tcPr>
          <w:p w14:paraId="42E35C99" w14:textId="77777777" w:rsidR="004C5571" w:rsidRDefault="004C5571" w:rsidP="009E071D">
            <w:pPr>
              <w:spacing w:line="360" w:lineRule="auto"/>
            </w:pPr>
            <w:r>
              <w:t>Subsidence (km)</w:t>
            </w:r>
          </w:p>
        </w:tc>
        <w:tc>
          <w:tcPr>
            <w:tcW w:w="1441" w:type="dxa"/>
          </w:tcPr>
          <w:p w14:paraId="276421F7" w14:textId="77777777" w:rsidR="004C5571" w:rsidRDefault="004C5571" w:rsidP="009E071D">
            <w:pPr>
              <w:spacing w:line="360" w:lineRule="auto"/>
              <w:rPr>
                <w:rFonts w:ascii="Calibri" w:eastAsia="Calibri" w:hAnsi="Calibri" w:cs="Times New Roman"/>
              </w:rPr>
            </w:pPr>
            <m:oMathPara>
              <m:oMath>
                <m:r>
                  <w:rPr>
                    <w:rFonts w:ascii="Cambria Math" w:eastAsia="Calibri" w:hAnsi="Cambria Math" w:cs="Times New Roman"/>
                  </w:rPr>
                  <m:t>S</m:t>
                </m:r>
              </m:oMath>
            </m:oMathPara>
          </w:p>
        </w:tc>
      </w:tr>
      <w:tr w:rsidR="004C5571" w14:paraId="54EEB8E5" w14:textId="77777777" w:rsidTr="001F5F44">
        <w:tc>
          <w:tcPr>
            <w:tcW w:w="4508" w:type="dxa"/>
          </w:tcPr>
          <w:p w14:paraId="58F54825" w14:textId="77777777" w:rsidR="004C5571" w:rsidRDefault="004C5571" w:rsidP="009E071D">
            <w:pPr>
              <w:spacing w:line="360" w:lineRule="auto"/>
            </w:pPr>
            <w:r>
              <w:lastRenderedPageBreak/>
              <w:t>Subsidence of granite-cored crust (km)</w:t>
            </w:r>
          </w:p>
        </w:tc>
        <w:tc>
          <w:tcPr>
            <w:tcW w:w="1441" w:type="dxa"/>
          </w:tcPr>
          <w:p w14:paraId="54DD9D77" w14:textId="77777777" w:rsidR="004C5571"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g</m:t>
                    </m:r>
                  </m:sub>
                </m:sSub>
              </m:oMath>
            </m:oMathPara>
          </w:p>
        </w:tc>
      </w:tr>
      <w:tr w:rsidR="004C5571" w14:paraId="31C2562F" w14:textId="77777777" w:rsidTr="001F5F44">
        <w:tc>
          <w:tcPr>
            <w:tcW w:w="4508" w:type="dxa"/>
          </w:tcPr>
          <w:p w14:paraId="6537FAC9" w14:textId="77777777" w:rsidR="004C5571" w:rsidRDefault="004C5571" w:rsidP="009E071D">
            <w:pPr>
              <w:spacing w:line="360" w:lineRule="auto"/>
            </w:pPr>
            <w:r>
              <w:t>Thermal diffusivity</w:t>
            </w:r>
          </w:p>
        </w:tc>
        <w:tc>
          <w:tcPr>
            <w:tcW w:w="1441" w:type="dxa"/>
          </w:tcPr>
          <w:p w14:paraId="2F9CE9CE" w14:textId="77777777" w:rsidR="004C5571" w:rsidRPr="009515EF" w:rsidRDefault="004C5571" w:rsidP="009E071D">
            <w:pPr>
              <w:spacing w:line="360" w:lineRule="auto"/>
              <w:rPr>
                <w:rFonts w:ascii="Calibri" w:eastAsia="Calibri" w:hAnsi="Calibri" w:cs="Times New Roman"/>
              </w:rPr>
            </w:pPr>
            <m:oMathPara>
              <m:oMath>
                <m:r>
                  <w:rPr>
                    <w:rFonts w:ascii="Cambria Math" w:eastAsia="Calibri" w:hAnsi="Cambria Math" w:cs="Times New Roman"/>
                  </w:rPr>
                  <m:t>i</m:t>
                </m:r>
              </m:oMath>
            </m:oMathPara>
          </w:p>
        </w:tc>
      </w:tr>
      <w:tr w:rsidR="004C5571" w14:paraId="2FEFE3B4" w14:textId="77777777" w:rsidTr="001F5F44">
        <w:tc>
          <w:tcPr>
            <w:tcW w:w="4508" w:type="dxa"/>
          </w:tcPr>
          <w:p w14:paraId="07711475" w14:textId="77777777" w:rsidR="004C5571" w:rsidRDefault="004C5571" w:rsidP="009E071D">
            <w:pPr>
              <w:spacing w:line="360" w:lineRule="auto"/>
            </w:pPr>
            <w:r>
              <w:t>Thermal time constant (</w:t>
            </w:r>
            <w:proofErr w:type="spellStart"/>
            <w:r>
              <w:t>Myr</w:t>
            </w:r>
            <w:proofErr w:type="spellEnd"/>
            <w:r>
              <w:t xml:space="preserve">; Parsons and </w:t>
            </w:r>
            <w:proofErr w:type="spellStart"/>
            <w:r>
              <w:t>Sclater</w:t>
            </w:r>
            <w:proofErr w:type="spellEnd"/>
            <w:r>
              <w:t>, 1977)</w:t>
            </w:r>
          </w:p>
        </w:tc>
        <w:tc>
          <w:tcPr>
            <w:tcW w:w="1441" w:type="dxa"/>
          </w:tcPr>
          <w:p w14:paraId="182A75A4" w14:textId="77777777" w:rsidR="004C5571" w:rsidRPr="009515EF" w:rsidRDefault="004C5571" w:rsidP="009E071D">
            <w:pPr>
              <w:spacing w:line="360" w:lineRule="auto"/>
              <w:rPr>
                <w:rFonts w:ascii="Calibri" w:eastAsia="Calibri" w:hAnsi="Calibri" w:cs="Times New Roman"/>
              </w:rPr>
            </w:pPr>
            <m:oMathPara>
              <m:oMath>
                <m:r>
                  <w:rPr>
                    <w:rFonts w:ascii="Cambria Math" w:eastAsia="Calibri" w:hAnsi="Cambria Math" w:cs="Calibri"/>
                  </w:rPr>
                  <m:t>τ</m:t>
                </m:r>
              </m:oMath>
            </m:oMathPara>
          </w:p>
        </w:tc>
      </w:tr>
      <w:tr w:rsidR="004C5571" w14:paraId="66B0AEB1" w14:textId="77777777" w:rsidTr="001F5F44">
        <w:tc>
          <w:tcPr>
            <w:tcW w:w="4508" w:type="dxa"/>
          </w:tcPr>
          <w:p w14:paraId="20FF430A" w14:textId="77777777" w:rsidR="004C5571" w:rsidRDefault="004C5571" w:rsidP="009E071D">
            <w:pPr>
              <w:spacing w:line="360" w:lineRule="auto"/>
            </w:pPr>
            <w:r>
              <w:rPr>
                <w:rFonts w:eastAsiaTheme="minorEastAsia"/>
              </w:rPr>
              <w:t>Wavenumber of the load in the</w:t>
            </w:r>
            <w:r w:rsidR="00D61601">
              <w:rPr>
                <w:rFonts w:eastAsiaTheme="minorEastAsia"/>
              </w:rPr>
              <w:t xml:space="preserve"> frequency domain</w:t>
            </w:r>
          </w:p>
        </w:tc>
        <w:tc>
          <w:tcPr>
            <w:tcW w:w="1441" w:type="dxa"/>
          </w:tcPr>
          <w:p w14:paraId="7BBB9784" w14:textId="77777777" w:rsidR="004C5571" w:rsidRPr="00100791" w:rsidRDefault="004C5571" w:rsidP="009E071D">
            <w:pPr>
              <w:spacing w:line="360" w:lineRule="auto"/>
              <w:rPr>
                <w:rFonts w:ascii="Calibri" w:eastAsia="Calibri" w:hAnsi="Calibri" w:cs="Times New Roman"/>
              </w:rPr>
            </w:pPr>
            <m:oMathPara>
              <m:oMath>
                <m:r>
                  <w:rPr>
                    <w:rFonts w:ascii="Cambria Math" w:eastAsia="Calibri" w:hAnsi="Cambria Math" w:cs="Times New Roman"/>
                  </w:rPr>
                  <m:t>k</m:t>
                </m:r>
              </m:oMath>
            </m:oMathPara>
          </w:p>
        </w:tc>
      </w:tr>
    </w:tbl>
    <w:p w14:paraId="232AB35D" w14:textId="77777777" w:rsidR="0090324B" w:rsidRDefault="0090324B" w:rsidP="009E071D">
      <w:pPr>
        <w:spacing w:line="360" w:lineRule="auto"/>
      </w:pPr>
      <w:r>
        <w:br w:type="page"/>
      </w:r>
    </w:p>
    <w:p w14:paraId="382FC250" w14:textId="77777777" w:rsidR="00B13E0E" w:rsidRDefault="00B13E0E" w:rsidP="009E071D">
      <w:pPr>
        <w:spacing w:line="360" w:lineRule="auto"/>
      </w:pPr>
      <w:r>
        <w:lastRenderedPageBreak/>
        <w:t>Table 2</w:t>
      </w:r>
      <w:r w:rsidR="009110FA">
        <w:t xml:space="preserve">. </w:t>
      </w:r>
      <w:r w:rsidR="00D83543">
        <w:t>Model</w:t>
      </w:r>
      <w:r w:rsidR="009110FA">
        <w:t xml:space="preserve"> constants with abbreviations and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372"/>
        <w:gridCol w:w="1463"/>
        <w:gridCol w:w="2457"/>
      </w:tblGrid>
      <w:tr w:rsidR="00B13E0E" w14:paraId="6749ADFF" w14:textId="77777777" w:rsidTr="001F5F44">
        <w:tc>
          <w:tcPr>
            <w:tcW w:w="3256" w:type="dxa"/>
            <w:shd w:val="clear" w:color="auto" w:fill="D0CECE" w:themeFill="background2" w:themeFillShade="E6"/>
          </w:tcPr>
          <w:p w14:paraId="1B3E5480" w14:textId="77777777" w:rsidR="00B13E0E" w:rsidRDefault="00B13E0E" w:rsidP="009E071D">
            <w:pPr>
              <w:spacing w:line="360" w:lineRule="auto"/>
              <w:jc w:val="center"/>
            </w:pPr>
            <w:r>
              <w:t>Constants</w:t>
            </w:r>
          </w:p>
        </w:tc>
        <w:tc>
          <w:tcPr>
            <w:tcW w:w="1372" w:type="dxa"/>
            <w:shd w:val="clear" w:color="auto" w:fill="D0CECE" w:themeFill="background2" w:themeFillShade="E6"/>
          </w:tcPr>
          <w:p w14:paraId="413C7962" w14:textId="77777777" w:rsidR="00B13E0E" w:rsidRDefault="00B13E0E" w:rsidP="009E071D">
            <w:pPr>
              <w:spacing w:line="360" w:lineRule="auto"/>
              <w:jc w:val="center"/>
            </w:pPr>
            <w:r>
              <w:t>Abbreviation</w:t>
            </w:r>
          </w:p>
        </w:tc>
        <w:tc>
          <w:tcPr>
            <w:tcW w:w="1463" w:type="dxa"/>
            <w:shd w:val="clear" w:color="auto" w:fill="D0CECE" w:themeFill="background2" w:themeFillShade="E6"/>
          </w:tcPr>
          <w:p w14:paraId="480977FF" w14:textId="77777777" w:rsidR="00B13E0E" w:rsidRDefault="00B13E0E" w:rsidP="009E071D">
            <w:pPr>
              <w:spacing w:line="360" w:lineRule="auto"/>
              <w:jc w:val="center"/>
            </w:pPr>
            <w:r>
              <w:t>Value</w:t>
            </w:r>
          </w:p>
        </w:tc>
        <w:tc>
          <w:tcPr>
            <w:tcW w:w="2457" w:type="dxa"/>
            <w:shd w:val="clear" w:color="auto" w:fill="D0CECE" w:themeFill="background2" w:themeFillShade="E6"/>
          </w:tcPr>
          <w:p w14:paraId="2E4D51D9" w14:textId="77777777" w:rsidR="00B13E0E" w:rsidRDefault="00B13E0E" w:rsidP="009E071D">
            <w:pPr>
              <w:spacing w:line="360" w:lineRule="auto"/>
              <w:jc w:val="center"/>
            </w:pPr>
            <w:r>
              <w:t>Reference</w:t>
            </w:r>
          </w:p>
        </w:tc>
      </w:tr>
      <w:tr w:rsidR="004C5571" w14:paraId="4AF8544A" w14:textId="77777777" w:rsidTr="001F5F44">
        <w:tc>
          <w:tcPr>
            <w:tcW w:w="3256" w:type="dxa"/>
          </w:tcPr>
          <w:p w14:paraId="10A50A5F" w14:textId="77777777" w:rsidR="004C5571" w:rsidRDefault="004C5571" w:rsidP="009E071D">
            <w:pPr>
              <w:spacing w:line="360" w:lineRule="auto"/>
            </w:pPr>
            <w:r>
              <w:t>(Non-granite cored/original) crustal density</w:t>
            </w:r>
          </w:p>
        </w:tc>
        <w:tc>
          <w:tcPr>
            <w:tcW w:w="1372" w:type="dxa"/>
          </w:tcPr>
          <w:p w14:paraId="268BA638" w14:textId="77777777" w:rsidR="004C5571" w:rsidRPr="00EB6F96" w:rsidRDefault="00E27D3D" w:rsidP="009E071D">
            <w:pPr>
              <w:spacing w:line="360" w:lineRule="auto"/>
              <w:jc w:val="center"/>
              <w:rPr>
                <w:rFonts w:ascii="Calibri" w:eastAsia="Calibri" w:hAnsi="Calibri" w:cs="Times New Roman"/>
              </w:rPr>
            </w:pPr>
            <m:oMath>
              <m:sSub>
                <m:sSubPr>
                  <m:ctrlPr>
                    <w:rPr>
                      <w:rFonts w:ascii="Cambria Math" w:eastAsia="Calibri" w:hAnsi="Cambria Math" w:cs="Times New Roman"/>
                      <w:i/>
                    </w:rPr>
                  </m:ctrlPr>
                </m:sSubPr>
                <m:e>
                  <m:r>
                    <w:rPr>
                      <w:rFonts w:ascii="Cambria Math" w:eastAsia="Calibri" w:hAnsi="Cambria Math" w:cs="Times New Roman"/>
                    </w:rPr>
                    <m:t>ρ</m:t>
                  </m:r>
                </m:e>
                <m:sub>
                  <m:r>
                    <w:rPr>
                      <w:rFonts w:ascii="Cambria Math" w:eastAsia="Calibri" w:hAnsi="Cambria Math" w:cs="Times New Roman"/>
                    </w:rPr>
                    <m:t>c</m:t>
                  </m:r>
                </m:sub>
              </m:sSub>
            </m:oMath>
            <w:r w:rsidR="004C5571">
              <w:rPr>
                <w:rFonts w:ascii="Calibri" w:eastAsia="Calibri" w:hAnsi="Calibri" w:cs="Times New Roman"/>
              </w:rPr>
              <w:t>*</w:t>
            </w:r>
          </w:p>
        </w:tc>
        <w:tc>
          <w:tcPr>
            <w:tcW w:w="1463" w:type="dxa"/>
          </w:tcPr>
          <w:p w14:paraId="567485AA" w14:textId="77777777" w:rsidR="004C5571" w:rsidRDefault="004C5571" w:rsidP="009E071D">
            <w:pPr>
              <w:spacing w:line="360" w:lineRule="auto"/>
              <w:jc w:val="center"/>
            </w:pPr>
            <w:r>
              <w:t>2800</w:t>
            </w:r>
            <w:r w:rsidR="00E83055">
              <w:t xml:space="preserve">kg </w:t>
            </w:r>
            <w:r>
              <w:t>m</w:t>
            </w:r>
            <w:r>
              <w:rPr>
                <w:vertAlign w:val="superscript"/>
              </w:rPr>
              <w:t>-3</w:t>
            </w:r>
          </w:p>
        </w:tc>
        <w:tc>
          <w:tcPr>
            <w:tcW w:w="2457" w:type="dxa"/>
          </w:tcPr>
          <w:p w14:paraId="4F38A3FF" w14:textId="77777777" w:rsidR="004C5571" w:rsidRDefault="004C5571" w:rsidP="009E071D">
            <w:pPr>
              <w:spacing w:line="360" w:lineRule="auto"/>
            </w:pPr>
            <w:r>
              <w:t xml:space="preserve">Parsons and </w:t>
            </w:r>
            <w:proofErr w:type="spellStart"/>
            <w:r>
              <w:t>Sclater</w:t>
            </w:r>
            <w:proofErr w:type="spellEnd"/>
            <w:r>
              <w:t xml:space="preserve"> (1977)</w:t>
            </w:r>
          </w:p>
        </w:tc>
      </w:tr>
      <w:tr w:rsidR="004C5571" w14:paraId="04EE69F5" w14:textId="77777777" w:rsidTr="001F5F44">
        <w:tc>
          <w:tcPr>
            <w:tcW w:w="3256" w:type="dxa"/>
          </w:tcPr>
          <w:p w14:paraId="33C66EE1" w14:textId="77777777" w:rsidR="004C5571" w:rsidRDefault="004C5571" w:rsidP="009E071D">
            <w:pPr>
              <w:spacing w:line="360" w:lineRule="auto"/>
            </w:pPr>
            <w:r>
              <w:t>Acceleration due to gravity</w:t>
            </w:r>
          </w:p>
        </w:tc>
        <w:tc>
          <w:tcPr>
            <w:tcW w:w="1372" w:type="dxa"/>
          </w:tcPr>
          <w:p w14:paraId="5E9878F7" w14:textId="77777777" w:rsidR="004C5571" w:rsidRPr="00235AAF" w:rsidRDefault="004C5571" w:rsidP="009E071D">
            <w:pPr>
              <w:spacing w:line="360" w:lineRule="auto"/>
              <w:rPr>
                <w:rFonts w:ascii="Calibri" w:eastAsia="Calibri" w:hAnsi="Calibri" w:cs="Times New Roman"/>
              </w:rPr>
            </w:pPr>
            <m:oMathPara>
              <m:oMath>
                <m:r>
                  <w:rPr>
                    <w:rFonts w:ascii="Cambria Math" w:eastAsia="Calibri" w:hAnsi="Cambria Math" w:cs="Times New Roman"/>
                  </w:rPr>
                  <m:t>g</m:t>
                </m:r>
              </m:oMath>
            </m:oMathPara>
          </w:p>
        </w:tc>
        <w:tc>
          <w:tcPr>
            <w:tcW w:w="1463" w:type="dxa"/>
          </w:tcPr>
          <w:p w14:paraId="1A6583A9" w14:textId="77777777" w:rsidR="004C5571" w:rsidRPr="005D6787" w:rsidRDefault="004C5571" w:rsidP="009E071D">
            <w:pPr>
              <w:spacing w:line="360" w:lineRule="auto"/>
              <w:jc w:val="center"/>
              <w:rPr>
                <w:vertAlign w:val="superscript"/>
              </w:rPr>
            </w:pPr>
            <w:r>
              <w:t>9.81</w:t>
            </w:r>
            <w:r w:rsidR="00E83055">
              <w:t xml:space="preserve">m </w:t>
            </w:r>
            <w:r>
              <w:t>s</w:t>
            </w:r>
            <w:r>
              <w:rPr>
                <w:vertAlign w:val="superscript"/>
              </w:rPr>
              <w:t>-2</w:t>
            </w:r>
          </w:p>
        </w:tc>
        <w:tc>
          <w:tcPr>
            <w:tcW w:w="2457" w:type="dxa"/>
          </w:tcPr>
          <w:p w14:paraId="43789B66" w14:textId="77777777" w:rsidR="004C5571" w:rsidRDefault="004C5571" w:rsidP="009E071D">
            <w:pPr>
              <w:spacing w:line="360" w:lineRule="auto"/>
            </w:pPr>
          </w:p>
        </w:tc>
      </w:tr>
      <w:tr w:rsidR="004C5571" w14:paraId="1E0DDE01" w14:textId="77777777" w:rsidTr="001F5F44">
        <w:tc>
          <w:tcPr>
            <w:tcW w:w="3256" w:type="dxa"/>
          </w:tcPr>
          <w:p w14:paraId="49637D92" w14:textId="77777777" w:rsidR="004C5571" w:rsidRDefault="004C5571" w:rsidP="009E071D">
            <w:pPr>
              <w:spacing w:line="360" w:lineRule="auto"/>
            </w:pPr>
            <w:r>
              <w:t>Air density</w:t>
            </w:r>
          </w:p>
        </w:tc>
        <w:tc>
          <w:tcPr>
            <w:tcW w:w="1372" w:type="dxa"/>
          </w:tcPr>
          <w:p w14:paraId="08D53245" w14:textId="77777777" w:rsidR="004C5571" w:rsidRPr="00EB6F96"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ρ</m:t>
                    </m:r>
                  </m:e>
                  <m:sub>
                    <m:r>
                      <w:rPr>
                        <w:rFonts w:ascii="Cambria Math" w:eastAsia="Calibri" w:hAnsi="Cambria Math" w:cs="Times New Roman"/>
                      </w:rPr>
                      <m:t>a</m:t>
                    </m:r>
                  </m:sub>
                </m:sSub>
              </m:oMath>
            </m:oMathPara>
          </w:p>
        </w:tc>
        <w:tc>
          <w:tcPr>
            <w:tcW w:w="1463" w:type="dxa"/>
          </w:tcPr>
          <w:p w14:paraId="75F62794" w14:textId="77777777" w:rsidR="004C5571" w:rsidRDefault="004C5571" w:rsidP="009E071D">
            <w:pPr>
              <w:spacing w:line="360" w:lineRule="auto"/>
              <w:jc w:val="center"/>
            </w:pPr>
            <w:r>
              <w:t>0</w:t>
            </w:r>
            <w:r w:rsidR="00E83055">
              <w:t xml:space="preserve">kg </w:t>
            </w:r>
            <w:r>
              <w:t>m</w:t>
            </w:r>
            <w:r>
              <w:rPr>
                <w:vertAlign w:val="superscript"/>
              </w:rPr>
              <w:t>-3</w:t>
            </w:r>
          </w:p>
        </w:tc>
        <w:tc>
          <w:tcPr>
            <w:tcW w:w="2457" w:type="dxa"/>
          </w:tcPr>
          <w:p w14:paraId="7F59408A" w14:textId="77777777" w:rsidR="004C5571" w:rsidRDefault="004C5571" w:rsidP="009E071D">
            <w:pPr>
              <w:spacing w:line="360" w:lineRule="auto"/>
            </w:pPr>
          </w:p>
        </w:tc>
      </w:tr>
      <w:tr w:rsidR="004C5571" w14:paraId="1F48A064" w14:textId="77777777" w:rsidTr="001F5F44">
        <w:tc>
          <w:tcPr>
            <w:tcW w:w="3256" w:type="dxa"/>
          </w:tcPr>
          <w:p w14:paraId="150A872F" w14:textId="77777777" w:rsidR="004C5571" w:rsidRDefault="004C5571" w:rsidP="009E071D">
            <w:pPr>
              <w:spacing w:line="360" w:lineRule="auto"/>
            </w:pPr>
            <w:r>
              <w:t>Brittle-ductile transition (crust)</w:t>
            </w:r>
          </w:p>
        </w:tc>
        <w:tc>
          <w:tcPr>
            <w:tcW w:w="1372" w:type="dxa"/>
          </w:tcPr>
          <w:p w14:paraId="4FF0E01A" w14:textId="77777777" w:rsidR="004C5571" w:rsidRDefault="004C5571" w:rsidP="009E071D">
            <w:pPr>
              <w:spacing w:line="360" w:lineRule="auto"/>
              <w:rPr>
                <w:rFonts w:ascii="Calibri" w:eastAsia="Calibri" w:hAnsi="Calibri" w:cs="Times New Roman"/>
              </w:rPr>
            </w:pPr>
            <m:oMathPara>
              <m:oMath>
                <m:r>
                  <w:rPr>
                    <w:rFonts w:ascii="Cambria Math" w:eastAsia="Calibri" w:hAnsi="Cambria Math" w:cs="Times New Roman"/>
                  </w:rPr>
                  <m:t>Zd</m:t>
                </m:r>
              </m:oMath>
            </m:oMathPara>
          </w:p>
        </w:tc>
        <w:tc>
          <w:tcPr>
            <w:tcW w:w="1463" w:type="dxa"/>
          </w:tcPr>
          <w:p w14:paraId="66D230F7" w14:textId="77777777" w:rsidR="004C5571" w:rsidRDefault="004C5571" w:rsidP="009E071D">
            <w:pPr>
              <w:spacing w:line="360" w:lineRule="auto"/>
              <w:jc w:val="center"/>
            </w:pPr>
            <w:r>
              <w:t>20km</w:t>
            </w:r>
          </w:p>
        </w:tc>
        <w:tc>
          <w:tcPr>
            <w:tcW w:w="2457" w:type="dxa"/>
          </w:tcPr>
          <w:p w14:paraId="28AD66AC" w14:textId="77777777" w:rsidR="004C5571" w:rsidRDefault="004C5571" w:rsidP="009E071D">
            <w:pPr>
              <w:spacing w:line="360" w:lineRule="auto"/>
            </w:pPr>
            <w:proofErr w:type="spellStart"/>
            <w:r>
              <w:t>Kusznir</w:t>
            </w:r>
            <w:proofErr w:type="spellEnd"/>
            <w:r w:rsidR="004A1959">
              <w:t xml:space="preserve"> and Park</w:t>
            </w:r>
            <w:r>
              <w:t xml:space="preserve"> (1987)</w:t>
            </w:r>
          </w:p>
        </w:tc>
      </w:tr>
      <w:tr w:rsidR="004C5571" w14:paraId="28C7AF40" w14:textId="77777777" w:rsidTr="001F5F44">
        <w:tc>
          <w:tcPr>
            <w:tcW w:w="3256" w:type="dxa"/>
          </w:tcPr>
          <w:p w14:paraId="403DCFE1" w14:textId="77777777" w:rsidR="004C5571" w:rsidRDefault="004C5571" w:rsidP="009E071D">
            <w:pPr>
              <w:spacing w:line="360" w:lineRule="auto"/>
            </w:pPr>
            <w:r>
              <w:t>Granite density</w:t>
            </w:r>
          </w:p>
        </w:tc>
        <w:tc>
          <w:tcPr>
            <w:tcW w:w="1372" w:type="dxa"/>
          </w:tcPr>
          <w:p w14:paraId="1E5CC361" w14:textId="77777777" w:rsidR="004C5571" w:rsidRPr="00EB6F96" w:rsidRDefault="00E27D3D" w:rsidP="009E071D">
            <w:pPr>
              <w:spacing w:line="360" w:lineRule="auto"/>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ρ</m:t>
                    </m:r>
                  </m:e>
                  <m:sub>
                    <m:r>
                      <w:rPr>
                        <w:rFonts w:ascii="Cambria Math" w:eastAsia="Calibri" w:hAnsi="Cambria Math" w:cs="Times New Roman"/>
                      </w:rPr>
                      <m:t>g</m:t>
                    </m:r>
                  </m:sub>
                </m:sSub>
              </m:oMath>
            </m:oMathPara>
          </w:p>
        </w:tc>
        <w:tc>
          <w:tcPr>
            <w:tcW w:w="1463" w:type="dxa"/>
          </w:tcPr>
          <w:p w14:paraId="67C03581" w14:textId="77777777" w:rsidR="004C5571" w:rsidRDefault="004C5571" w:rsidP="00E83055">
            <w:pPr>
              <w:spacing w:line="360" w:lineRule="auto"/>
              <w:jc w:val="center"/>
            </w:pPr>
            <w:r>
              <w:t>2630kgm</w:t>
            </w:r>
            <w:r>
              <w:rPr>
                <w:vertAlign w:val="superscript"/>
              </w:rPr>
              <w:t>-3</w:t>
            </w:r>
          </w:p>
        </w:tc>
        <w:tc>
          <w:tcPr>
            <w:tcW w:w="2457" w:type="dxa"/>
          </w:tcPr>
          <w:p w14:paraId="53D18AD3" w14:textId="77777777" w:rsidR="004C5571" w:rsidRDefault="004C5571" w:rsidP="009E071D">
            <w:pPr>
              <w:spacing w:line="360" w:lineRule="auto"/>
            </w:pPr>
            <w:proofErr w:type="spellStart"/>
            <w:r>
              <w:t>Eskdale</w:t>
            </w:r>
            <w:proofErr w:type="spellEnd"/>
            <w:r>
              <w:t xml:space="preserve"> granite; </w:t>
            </w:r>
            <w:proofErr w:type="spellStart"/>
            <w:r>
              <w:t>Bott</w:t>
            </w:r>
            <w:proofErr w:type="spellEnd"/>
            <w:r>
              <w:t xml:space="preserve"> and Smithson (1967)</w:t>
            </w:r>
          </w:p>
        </w:tc>
      </w:tr>
      <w:tr w:rsidR="004C5571" w14:paraId="09E4E8BE" w14:textId="77777777" w:rsidTr="001F5F44">
        <w:tc>
          <w:tcPr>
            <w:tcW w:w="3256" w:type="dxa"/>
          </w:tcPr>
          <w:p w14:paraId="0F9AE1A0" w14:textId="77777777" w:rsidR="004C5571" w:rsidRDefault="004C5571" w:rsidP="009E071D">
            <w:pPr>
              <w:spacing w:line="360" w:lineRule="auto"/>
            </w:pPr>
            <w:r>
              <w:t>Mantle density (asthenosphere and mantle lithosphere)</w:t>
            </w:r>
          </w:p>
        </w:tc>
        <w:tc>
          <w:tcPr>
            <w:tcW w:w="1372" w:type="dxa"/>
          </w:tcPr>
          <w:p w14:paraId="43CE7384" w14:textId="77777777" w:rsidR="004C5571" w:rsidRPr="00826BD8" w:rsidRDefault="00E27D3D" w:rsidP="009E071D">
            <w:pPr>
              <w:spacing w:line="360" w:lineRule="auto"/>
              <w:jc w:val="center"/>
              <w:rPr>
                <w:rFonts w:ascii="Calibri" w:eastAsia="Calibri" w:hAnsi="Calibri" w:cs="Times New Roman"/>
              </w:rPr>
            </w:pPr>
            <m:oMath>
              <m:sSub>
                <m:sSubPr>
                  <m:ctrlPr>
                    <w:rPr>
                      <w:rFonts w:ascii="Cambria Math" w:eastAsia="Calibri" w:hAnsi="Cambria Math" w:cs="Times New Roman"/>
                      <w:i/>
                    </w:rPr>
                  </m:ctrlPr>
                </m:sSubPr>
                <m:e>
                  <m:r>
                    <w:rPr>
                      <w:rFonts w:ascii="Cambria Math" w:eastAsia="Calibri" w:hAnsi="Cambria Math" w:cs="Times New Roman"/>
                    </w:rPr>
                    <m:t>ρ</m:t>
                  </m:r>
                </m:e>
                <m:sub>
                  <m:r>
                    <w:rPr>
                      <w:rFonts w:ascii="Cambria Math" w:eastAsia="Calibri" w:hAnsi="Cambria Math" w:cs="Times New Roman"/>
                    </w:rPr>
                    <m:t>m</m:t>
                  </m:r>
                </m:sub>
              </m:sSub>
            </m:oMath>
            <w:r w:rsidR="004C5571">
              <w:rPr>
                <w:rFonts w:ascii="Calibri" w:eastAsia="Calibri" w:hAnsi="Calibri" w:cs="Times New Roman"/>
              </w:rPr>
              <w:t>*</w:t>
            </w:r>
          </w:p>
        </w:tc>
        <w:tc>
          <w:tcPr>
            <w:tcW w:w="1463" w:type="dxa"/>
          </w:tcPr>
          <w:p w14:paraId="6232783A" w14:textId="77777777" w:rsidR="004C5571" w:rsidRPr="003931A8" w:rsidRDefault="004C5571" w:rsidP="009E071D">
            <w:pPr>
              <w:spacing w:line="360" w:lineRule="auto"/>
              <w:jc w:val="center"/>
            </w:pPr>
            <w:r>
              <w:t>3300</w:t>
            </w:r>
            <w:r w:rsidR="00E83055">
              <w:t xml:space="preserve">kg </w:t>
            </w:r>
            <w:r>
              <w:t>m</w:t>
            </w:r>
            <w:r>
              <w:rPr>
                <w:vertAlign w:val="superscript"/>
              </w:rPr>
              <w:t>-3</w:t>
            </w:r>
          </w:p>
        </w:tc>
        <w:tc>
          <w:tcPr>
            <w:tcW w:w="2457" w:type="dxa"/>
          </w:tcPr>
          <w:p w14:paraId="453B2AC7" w14:textId="77777777" w:rsidR="004C5571" w:rsidRDefault="004C5571" w:rsidP="009E071D">
            <w:pPr>
              <w:spacing w:line="360" w:lineRule="auto"/>
            </w:pPr>
            <w:r>
              <w:t xml:space="preserve">Parsons and </w:t>
            </w:r>
            <w:proofErr w:type="spellStart"/>
            <w:r>
              <w:t>Sclater</w:t>
            </w:r>
            <w:proofErr w:type="spellEnd"/>
            <w:r>
              <w:t xml:space="preserve"> (1977)</w:t>
            </w:r>
          </w:p>
        </w:tc>
      </w:tr>
      <w:tr w:rsidR="004C5571" w14:paraId="45869138" w14:textId="77777777" w:rsidTr="001F5F44">
        <w:tc>
          <w:tcPr>
            <w:tcW w:w="3256" w:type="dxa"/>
          </w:tcPr>
          <w:p w14:paraId="2DC16956" w14:textId="77777777" w:rsidR="004C5571" w:rsidRDefault="004C5571" w:rsidP="009E071D">
            <w:pPr>
              <w:spacing w:line="360" w:lineRule="auto"/>
            </w:pPr>
            <w:r>
              <w:t>Original crustal thickness</w:t>
            </w:r>
          </w:p>
        </w:tc>
        <w:tc>
          <w:tcPr>
            <w:tcW w:w="1372" w:type="dxa"/>
          </w:tcPr>
          <w:p w14:paraId="6FF2D770" w14:textId="77777777" w:rsidR="004C5571" w:rsidRDefault="00E27D3D" w:rsidP="009E071D">
            <w:pPr>
              <w:spacing w:line="360" w:lineRule="auto"/>
            </w:pPr>
            <m:oMathPara>
              <m:oMath>
                <m:sSub>
                  <m:sSubPr>
                    <m:ctrlPr>
                      <w:rPr>
                        <w:rFonts w:ascii="Cambria Math" w:hAnsi="Cambria Math"/>
                        <w:i/>
                      </w:rPr>
                    </m:ctrlPr>
                  </m:sSubPr>
                  <m:e>
                    <m:r>
                      <w:rPr>
                        <w:rFonts w:ascii="Cambria Math" w:hAnsi="Cambria Math"/>
                      </w:rPr>
                      <m:t>C</m:t>
                    </m:r>
                  </m:e>
                  <m:sub>
                    <m:r>
                      <w:rPr>
                        <w:rFonts w:ascii="Cambria Math" w:hAnsi="Cambria Math"/>
                      </w:rPr>
                      <m:t>o</m:t>
                    </m:r>
                  </m:sub>
                </m:sSub>
              </m:oMath>
            </m:oMathPara>
          </w:p>
        </w:tc>
        <w:tc>
          <w:tcPr>
            <w:tcW w:w="1463" w:type="dxa"/>
          </w:tcPr>
          <w:p w14:paraId="523FE3AA" w14:textId="77777777" w:rsidR="004C5571" w:rsidRDefault="004C5571" w:rsidP="009E071D">
            <w:pPr>
              <w:spacing w:line="360" w:lineRule="auto"/>
              <w:jc w:val="center"/>
            </w:pPr>
            <w:r>
              <w:t>35km</w:t>
            </w:r>
          </w:p>
        </w:tc>
        <w:tc>
          <w:tcPr>
            <w:tcW w:w="2457" w:type="dxa"/>
          </w:tcPr>
          <w:p w14:paraId="780DD3E3" w14:textId="77777777" w:rsidR="004C5571" w:rsidRDefault="004C5571" w:rsidP="009E071D">
            <w:pPr>
              <w:spacing w:line="360" w:lineRule="auto"/>
            </w:pPr>
          </w:p>
        </w:tc>
      </w:tr>
      <w:tr w:rsidR="004C5571" w14:paraId="7293E313" w14:textId="77777777" w:rsidTr="001F5F44">
        <w:tc>
          <w:tcPr>
            <w:tcW w:w="3256" w:type="dxa"/>
          </w:tcPr>
          <w:p w14:paraId="567DDE98" w14:textId="77777777" w:rsidR="004C5571" w:rsidRDefault="004C5571" w:rsidP="009E071D">
            <w:pPr>
              <w:spacing w:line="360" w:lineRule="auto"/>
            </w:pPr>
            <w:r>
              <w:t>Original lithosphere thickness</w:t>
            </w:r>
          </w:p>
        </w:tc>
        <w:tc>
          <w:tcPr>
            <w:tcW w:w="1372" w:type="dxa"/>
          </w:tcPr>
          <w:p w14:paraId="35D15179" w14:textId="77777777" w:rsidR="004C5571" w:rsidRPr="00826BD8"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o</m:t>
                    </m:r>
                  </m:sub>
                </m:sSub>
              </m:oMath>
            </m:oMathPara>
          </w:p>
        </w:tc>
        <w:tc>
          <w:tcPr>
            <w:tcW w:w="1463" w:type="dxa"/>
          </w:tcPr>
          <w:p w14:paraId="3A2F6A25" w14:textId="77777777" w:rsidR="004C5571" w:rsidRDefault="004C5571" w:rsidP="009E071D">
            <w:pPr>
              <w:spacing w:line="360" w:lineRule="auto"/>
              <w:jc w:val="center"/>
            </w:pPr>
            <w:r>
              <w:t>125km</w:t>
            </w:r>
          </w:p>
        </w:tc>
        <w:tc>
          <w:tcPr>
            <w:tcW w:w="2457" w:type="dxa"/>
          </w:tcPr>
          <w:p w14:paraId="4807E974" w14:textId="77777777" w:rsidR="004C5571" w:rsidRDefault="004C5571" w:rsidP="009E071D">
            <w:pPr>
              <w:spacing w:line="360" w:lineRule="auto"/>
            </w:pPr>
          </w:p>
        </w:tc>
      </w:tr>
      <w:tr w:rsidR="004C5571" w14:paraId="20DD832A" w14:textId="77777777" w:rsidTr="001F5F44">
        <w:tc>
          <w:tcPr>
            <w:tcW w:w="3256" w:type="dxa"/>
          </w:tcPr>
          <w:p w14:paraId="2E7B4B3C" w14:textId="77777777" w:rsidR="004C5571" w:rsidRDefault="004C5571" w:rsidP="009E071D">
            <w:pPr>
              <w:spacing w:line="360" w:lineRule="auto"/>
            </w:pPr>
            <w:r>
              <w:t>Poisson’s ratio</w:t>
            </w:r>
          </w:p>
        </w:tc>
        <w:tc>
          <w:tcPr>
            <w:tcW w:w="1372" w:type="dxa"/>
          </w:tcPr>
          <w:p w14:paraId="4B021609" w14:textId="77777777" w:rsidR="004C5571" w:rsidRDefault="004C5571" w:rsidP="009E071D">
            <w:pPr>
              <w:spacing w:line="360" w:lineRule="auto"/>
              <w:rPr>
                <w:rFonts w:ascii="Calibri" w:eastAsia="Calibri" w:hAnsi="Calibri" w:cs="Times New Roman"/>
              </w:rPr>
            </w:pPr>
            <m:oMathPara>
              <m:oMath>
                <m:r>
                  <w:rPr>
                    <w:rFonts w:ascii="Cambria Math" w:eastAsia="Calibri" w:hAnsi="Cambria Math" w:cs="Times New Roman"/>
                  </w:rPr>
                  <m:t>v</m:t>
                </m:r>
              </m:oMath>
            </m:oMathPara>
          </w:p>
        </w:tc>
        <w:tc>
          <w:tcPr>
            <w:tcW w:w="1463" w:type="dxa"/>
          </w:tcPr>
          <w:p w14:paraId="2A143DEC" w14:textId="77777777" w:rsidR="004C5571" w:rsidRDefault="004C5571" w:rsidP="009E071D">
            <w:pPr>
              <w:spacing w:line="360" w:lineRule="auto"/>
              <w:jc w:val="center"/>
            </w:pPr>
            <w:r>
              <w:t>0.25</w:t>
            </w:r>
          </w:p>
        </w:tc>
        <w:tc>
          <w:tcPr>
            <w:tcW w:w="2457" w:type="dxa"/>
          </w:tcPr>
          <w:p w14:paraId="65985ABA" w14:textId="77777777" w:rsidR="004C5571" w:rsidRDefault="005B1395" w:rsidP="009E071D">
            <w:pPr>
              <w:spacing w:line="360" w:lineRule="auto"/>
            </w:pPr>
            <w:r>
              <w:t xml:space="preserve">e.g. </w:t>
            </w:r>
            <w:r w:rsidR="004C5571">
              <w:t>Watts</w:t>
            </w:r>
            <w:r w:rsidR="00A113F4">
              <w:t xml:space="preserve"> et al. (1980</w:t>
            </w:r>
            <w:r w:rsidR="004C5571">
              <w:t>)</w:t>
            </w:r>
          </w:p>
        </w:tc>
      </w:tr>
      <w:tr w:rsidR="004C5571" w14:paraId="12C52E7D" w14:textId="77777777" w:rsidTr="001F5F44">
        <w:tc>
          <w:tcPr>
            <w:tcW w:w="3256" w:type="dxa"/>
          </w:tcPr>
          <w:p w14:paraId="6CFDA3D1" w14:textId="77777777" w:rsidR="004C5571" w:rsidRDefault="004C5571" w:rsidP="009E071D">
            <w:pPr>
              <w:spacing w:line="360" w:lineRule="auto"/>
            </w:pPr>
            <w:r>
              <w:t>Sediment density</w:t>
            </w:r>
          </w:p>
        </w:tc>
        <w:tc>
          <w:tcPr>
            <w:tcW w:w="1372" w:type="dxa"/>
          </w:tcPr>
          <w:p w14:paraId="598286A7" w14:textId="77777777" w:rsidR="004C5571" w:rsidRPr="00235AAF"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ρ</m:t>
                    </m:r>
                  </m:e>
                  <m:sub>
                    <m:r>
                      <w:rPr>
                        <w:rFonts w:ascii="Cambria Math" w:eastAsia="Calibri" w:hAnsi="Cambria Math" w:cs="Times New Roman"/>
                      </w:rPr>
                      <m:t>s</m:t>
                    </m:r>
                  </m:sub>
                </m:sSub>
              </m:oMath>
            </m:oMathPara>
          </w:p>
        </w:tc>
        <w:tc>
          <w:tcPr>
            <w:tcW w:w="1463" w:type="dxa"/>
          </w:tcPr>
          <w:p w14:paraId="7F74AD13" w14:textId="77777777" w:rsidR="004C5571" w:rsidRDefault="004C5571" w:rsidP="009E071D">
            <w:pPr>
              <w:spacing w:line="360" w:lineRule="auto"/>
              <w:jc w:val="center"/>
            </w:pPr>
            <w:r>
              <w:t>2500</w:t>
            </w:r>
            <w:r w:rsidR="00E83055">
              <w:t xml:space="preserve">kg </w:t>
            </w:r>
            <w:r>
              <w:t>m</w:t>
            </w:r>
            <w:r>
              <w:rPr>
                <w:vertAlign w:val="superscript"/>
              </w:rPr>
              <w:t>-3</w:t>
            </w:r>
          </w:p>
        </w:tc>
        <w:tc>
          <w:tcPr>
            <w:tcW w:w="2457" w:type="dxa"/>
          </w:tcPr>
          <w:p w14:paraId="3A20AE22" w14:textId="77777777" w:rsidR="004C5571" w:rsidRDefault="004C5571" w:rsidP="009E071D">
            <w:pPr>
              <w:spacing w:line="360" w:lineRule="auto"/>
            </w:pPr>
          </w:p>
        </w:tc>
      </w:tr>
      <w:tr w:rsidR="004C5571" w14:paraId="0B421A83" w14:textId="77777777" w:rsidTr="001F5F44">
        <w:tc>
          <w:tcPr>
            <w:tcW w:w="3256" w:type="dxa"/>
          </w:tcPr>
          <w:p w14:paraId="3195269C" w14:textId="77777777" w:rsidR="004C5571" w:rsidRDefault="004C5571" w:rsidP="009E071D">
            <w:pPr>
              <w:spacing w:line="360" w:lineRule="auto"/>
            </w:pPr>
            <w:r>
              <w:t>Temperature at the base of the lithosphere</w:t>
            </w:r>
          </w:p>
        </w:tc>
        <w:tc>
          <w:tcPr>
            <w:tcW w:w="1372" w:type="dxa"/>
          </w:tcPr>
          <w:p w14:paraId="41F7072A" w14:textId="77777777" w:rsidR="004C5571"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0</m:t>
                    </m:r>
                  </m:sub>
                </m:sSub>
              </m:oMath>
            </m:oMathPara>
          </w:p>
        </w:tc>
        <w:tc>
          <w:tcPr>
            <w:tcW w:w="1463" w:type="dxa"/>
          </w:tcPr>
          <w:p w14:paraId="3CDA9D97" w14:textId="77777777" w:rsidR="004C5571" w:rsidRDefault="004C5571" w:rsidP="009E071D">
            <w:pPr>
              <w:spacing w:line="360" w:lineRule="auto"/>
              <w:jc w:val="center"/>
            </w:pPr>
            <w:r>
              <w:t>1333</w:t>
            </w:r>
            <w:r>
              <w:rPr>
                <w:rFonts w:eastAsiaTheme="minorEastAsia" w:cstheme="minorHAnsi"/>
              </w:rPr>
              <w:t>⁰</w:t>
            </w:r>
            <w:r>
              <w:rPr>
                <w:rFonts w:eastAsiaTheme="minorEastAsia"/>
              </w:rPr>
              <w:t>C</w:t>
            </w:r>
          </w:p>
        </w:tc>
        <w:tc>
          <w:tcPr>
            <w:tcW w:w="2457" w:type="dxa"/>
          </w:tcPr>
          <w:p w14:paraId="29DC80B3" w14:textId="77777777" w:rsidR="004C5571" w:rsidRDefault="004C5571" w:rsidP="009E071D">
            <w:pPr>
              <w:spacing w:line="360" w:lineRule="auto"/>
            </w:pPr>
            <w:r>
              <w:t xml:space="preserve">Parsons and </w:t>
            </w:r>
            <w:proofErr w:type="spellStart"/>
            <w:r>
              <w:t>Sclater</w:t>
            </w:r>
            <w:proofErr w:type="spellEnd"/>
            <w:r>
              <w:t xml:space="preserve"> (1977)</w:t>
            </w:r>
          </w:p>
        </w:tc>
      </w:tr>
      <w:tr w:rsidR="004C5571" w14:paraId="790AF6D2" w14:textId="77777777" w:rsidTr="001F5F44">
        <w:tc>
          <w:tcPr>
            <w:tcW w:w="3256" w:type="dxa"/>
          </w:tcPr>
          <w:p w14:paraId="01FFD202" w14:textId="77777777" w:rsidR="004C5571" w:rsidRDefault="004C5571" w:rsidP="009E071D">
            <w:pPr>
              <w:spacing w:line="360" w:lineRule="auto"/>
            </w:pPr>
            <w:r>
              <w:t>Volumetric coefficient of thermal expansion</w:t>
            </w:r>
          </w:p>
        </w:tc>
        <w:tc>
          <w:tcPr>
            <w:tcW w:w="1372" w:type="dxa"/>
          </w:tcPr>
          <w:p w14:paraId="4E2855F7" w14:textId="77777777" w:rsidR="004C5571" w:rsidRPr="00235AAF" w:rsidRDefault="004C5571" w:rsidP="009E071D">
            <w:pPr>
              <w:spacing w:line="360" w:lineRule="auto"/>
              <w:rPr>
                <w:rFonts w:ascii="Calibri" w:eastAsia="Calibri" w:hAnsi="Calibri" w:cs="Times New Roman"/>
              </w:rPr>
            </w:pPr>
            <m:oMathPara>
              <m:oMath>
                <m:r>
                  <w:rPr>
                    <w:rFonts w:ascii="Cambria Math" w:eastAsia="Calibri" w:hAnsi="Cambria Math" w:cs="Times New Roman"/>
                  </w:rPr>
                  <m:t>α</m:t>
                </m:r>
              </m:oMath>
            </m:oMathPara>
          </w:p>
        </w:tc>
        <w:tc>
          <w:tcPr>
            <w:tcW w:w="1463" w:type="dxa"/>
          </w:tcPr>
          <w:p w14:paraId="7C76CA42" w14:textId="77777777" w:rsidR="004C5571" w:rsidRPr="005D6787" w:rsidRDefault="004C5571" w:rsidP="009E071D">
            <w:pPr>
              <w:spacing w:line="360" w:lineRule="auto"/>
              <w:jc w:val="center"/>
              <w:rPr>
                <w:vertAlign w:val="superscript"/>
              </w:rPr>
            </w:pPr>
            <w:r>
              <w:t>3.28</w:t>
            </w:r>
            <m:oMath>
              <m:r>
                <w:rPr>
                  <w:rFonts w:ascii="Cambria Math" w:hAnsi="Cambria Math"/>
                </w:rPr>
                <m:t>×</m:t>
              </m:r>
            </m:oMath>
            <w:r>
              <w:rPr>
                <w:rFonts w:eastAsiaTheme="minorEastAsia"/>
              </w:rPr>
              <w:t>10</w:t>
            </w:r>
            <w:r>
              <w:rPr>
                <w:rFonts w:eastAsiaTheme="minorEastAsia"/>
                <w:vertAlign w:val="superscript"/>
              </w:rPr>
              <w:t>-5</w:t>
            </w:r>
            <w:r>
              <w:rPr>
                <w:rFonts w:eastAsiaTheme="minorEastAsia" w:cstheme="minorHAnsi"/>
              </w:rPr>
              <w:t>⁰</w:t>
            </w:r>
            <w:r>
              <w:rPr>
                <w:rFonts w:eastAsiaTheme="minorEastAsia"/>
              </w:rPr>
              <w:t>C</w:t>
            </w:r>
            <w:r>
              <w:rPr>
                <w:rFonts w:eastAsiaTheme="minorEastAsia"/>
                <w:vertAlign w:val="superscript"/>
              </w:rPr>
              <w:t>-1</w:t>
            </w:r>
          </w:p>
        </w:tc>
        <w:tc>
          <w:tcPr>
            <w:tcW w:w="2457" w:type="dxa"/>
          </w:tcPr>
          <w:p w14:paraId="743A3B89" w14:textId="77777777" w:rsidR="004C5571" w:rsidRDefault="004C5571" w:rsidP="009E071D">
            <w:pPr>
              <w:spacing w:line="360" w:lineRule="auto"/>
            </w:pPr>
            <w:r>
              <w:t xml:space="preserve">Parsons and </w:t>
            </w:r>
            <w:proofErr w:type="spellStart"/>
            <w:r>
              <w:t>Sclater</w:t>
            </w:r>
            <w:proofErr w:type="spellEnd"/>
            <w:r>
              <w:t xml:space="preserve"> (1977)</w:t>
            </w:r>
          </w:p>
        </w:tc>
      </w:tr>
      <w:tr w:rsidR="004C5571" w14:paraId="09401749" w14:textId="77777777" w:rsidTr="001F5F44">
        <w:tc>
          <w:tcPr>
            <w:tcW w:w="3256" w:type="dxa"/>
          </w:tcPr>
          <w:p w14:paraId="34ABC077" w14:textId="77777777" w:rsidR="004C5571" w:rsidRDefault="004C5571" w:rsidP="009E071D">
            <w:pPr>
              <w:spacing w:line="360" w:lineRule="auto"/>
            </w:pPr>
            <w:r>
              <w:t>Water density</w:t>
            </w:r>
          </w:p>
        </w:tc>
        <w:tc>
          <w:tcPr>
            <w:tcW w:w="1372" w:type="dxa"/>
          </w:tcPr>
          <w:p w14:paraId="3C03578B" w14:textId="77777777" w:rsidR="004C5571" w:rsidRPr="00235AAF" w:rsidRDefault="00E27D3D" w:rsidP="009E071D">
            <w:pPr>
              <w:spacing w:line="360" w:lineRule="auto"/>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ρ</m:t>
                    </m:r>
                  </m:e>
                  <m:sub>
                    <m:r>
                      <w:rPr>
                        <w:rFonts w:ascii="Cambria Math" w:eastAsia="Calibri" w:hAnsi="Cambria Math" w:cs="Times New Roman"/>
                      </w:rPr>
                      <m:t>w</m:t>
                    </m:r>
                  </m:sub>
                </m:sSub>
              </m:oMath>
            </m:oMathPara>
          </w:p>
        </w:tc>
        <w:tc>
          <w:tcPr>
            <w:tcW w:w="1463" w:type="dxa"/>
          </w:tcPr>
          <w:p w14:paraId="67423FD1" w14:textId="77777777" w:rsidR="004C5571" w:rsidRDefault="004C5571" w:rsidP="009E071D">
            <w:pPr>
              <w:spacing w:line="360" w:lineRule="auto"/>
              <w:jc w:val="center"/>
            </w:pPr>
            <w:r>
              <w:t>1000</w:t>
            </w:r>
            <w:r w:rsidR="00E83055">
              <w:t xml:space="preserve">kg </w:t>
            </w:r>
            <w:r>
              <w:t>m</w:t>
            </w:r>
            <w:r>
              <w:rPr>
                <w:vertAlign w:val="superscript"/>
              </w:rPr>
              <w:t>-3</w:t>
            </w:r>
          </w:p>
        </w:tc>
        <w:tc>
          <w:tcPr>
            <w:tcW w:w="2457" w:type="dxa"/>
          </w:tcPr>
          <w:p w14:paraId="73972A56" w14:textId="77777777" w:rsidR="004C5571" w:rsidRDefault="004C5571" w:rsidP="009E071D">
            <w:pPr>
              <w:spacing w:line="360" w:lineRule="auto"/>
            </w:pPr>
          </w:p>
        </w:tc>
      </w:tr>
      <w:tr w:rsidR="004C5571" w14:paraId="650974BE" w14:textId="77777777" w:rsidTr="001F5F44">
        <w:tc>
          <w:tcPr>
            <w:tcW w:w="3256" w:type="dxa"/>
          </w:tcPr>
          <w:p w14:paraId="7ACA10AD" w14:textId="77777777" w:rsidR="004C5571" w:rsidRDefault="004C5571" w:rsidP="009E071D">
            <w:pPr>
              <w:spacing w:line="360" w:lineRule="auto"/>
            </w:pPr>
            <w:r>
              <w:t>Young’s modulus</w:t>
            </w:r>
          </w:p>
        </w:tc>
        <w:tc>
          <w:tcPr>
            <w:tcW w:w="1372" w:type="dxa"/>
          </w:tcPr>
          <w:p w14:paraId="34EEAFCA" w14:textId="77777777" w:rsidR="004C5571" w:rsidRPr="00235AAF" w:rsidRDefault="004C5571" w:rsidP="009E071D">
            <w:pPr>
              <w:spacing w:line="360" w:lineRule="auto"/>
              <w:rPr>
                <w:rFonts w:ascii="Calibri" w:eastAsia="Calibri" w:hAnsi="Calibri" w:cs="Times New Roman"/>
              </w:rPr>
            </w:pPr>
            <m:oMathPara>
              <m:oMath>
                <m:r>
                  <w:rPr>
                    <w:rFonts w:ascii="Cambria Math" w:eastAsia="Calibri" w:hAnsi="Cambria Math" w:cs="Times New Roman"/>
                  </w:rPr>
                  <m:t>E</m:t>
                </m:r>
              </m:oMath>
            </m:oMathPara>
          </w:p>
        </w:tc>
        <w:tc>
          <w:tcPr>
            <w:tcW w:w="1463" w:type="dxa"/>
          </w:tcPr>
          <w:p w14:paraId="43DAA46F" w14:textId="77777777" w:rsidR="004C5571" w:rsidRPr="003931A8" w:rsidRDefault="004C5571" w:rsidP="009E071D">
            <w:pPr>
              <w:spacing w:line="360" w:lineRule="auto"/>
              <w:jc w:val="center"/>
            </w:pPr>
            <w:r>
              <w:t>7</w:t>
            </w:r>
            <m:oMath>
              <m:r>
                <w:rPr>
                  <w:rFonts w:ascii="Cambria Math" w:hAnsi="Cambria Math"/>
                </w:rPr>
                <m:t>×</m:t>
              </m:r>
            </m:oMath>
            <w:r>
              <w:rPr>
                <w:rFonts w:eastAsiaTheme="minorEastAsia"/>
              </w:rPr>
              <w:t>10</w:t>
            </w:r>
            <w:r>
              <w:rPr>
                <w:rFonts w:eastAsiaTheme="minorEastAsia"/>
                <w:vertAlign w:val="superscript"/>
              </w:rPr>
              <w:t>10</w:t>
            </w:r>
            <w:r>
              <w:rPr>
                <w:rFonts w:eastAsiaTheme="minorEastAsia"/>
              </w:rPr>
              <w:t xml:space="preserve"> Pa</w:t>
            </w:r>
          </w:p>
        </w:tc>
        <w:tc>
          <w:tcPr>
            <w:tcW w:w="2457" w:type="dxa"/>
          </w:tcPr>
          <w:p w14:paraId="35E31E2D" w14:textId="77777777" w:rsidR="004C5571" w:rsidRDefault="005B1395" w:rsidP="009E071D">
            <w:pPr>
              <w:spacing w:line="360" w:lineRule="auto"/>
            </w:pPr>
            <w:r>
              <w:t>e.g. Egan (1992)</w:t>
            </w:r>
          </w:p>
        </w:tc>
      </w:tr>
    </w:tbl>
    <w:p w14:paraId="36D09968" w14:textId="77777777" w:rsidR="00B13E0E" w:rsidRDefault="00B13E0E" w:rsidP="009E071D">
      <w:pPr>
        <w:spacing w:line="360" w:lineRule="auto"/>
      </w:pPr>
      <w:r>
        <w:t xml:space="preserve">*densities </w:t>
      </w:r>
      <w:r w:rsidR="004C5571">
        <w:t xml:space="preserve">correct </w:t>
      </w:r>
      <w:r>
        <w:t>at 0</w:t>
      </w:r>
      <w:r>
        <w:rPr>
          <w:rFonts w:eastAsiaTheme="minorEastAsia" w:cstheme="minorHAnsi"/>
        </w:rPr>
        <w:t>⁰</w:t>
      </w:r>
      <w:r>
        <w:rPr>
          <w:rFonts w:eastAsiaTheme="minorEastAsia"/>
        </w:rPr>
        <w:t>C.</w:t>
      </w:r>
      <w:r>
        <w:br w:type="page"/>
      </w:r>
    </w:p>
    <w:p w14:paraId="7B99F256" w14:textId="77777777" w:rsidR="00B13E0E" w:rsidRDefault="00B13E0E" w:rsidP="009E071D">
      <w:pPr>
        <w:spacing w:line="360" w:lineRule="auto"/>
      </w:pPr>
      <w:r>
        <w:lastRenderedPageBreak/>
        <w:t>Table 3</w:t>
      </w:r>
      <w:r w:rsidR="006078BC">
        <w:t>.</w:t>
      </w:r>
      <w:r w:rsidR="00452372">
        <w:t xml:space="preserve"> Coordinates, orientation, horizontal displacement (heave) values and dip values for faults used in two-dimensional modelling (Fig. 1</w:t>
      </w:r>
      <w:r w:rsidR="003A2B1C">
        <w:t>1</w:t>
      </w:r>
      <w:r w:rsidR="00452372">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18"/>
        <w:gridCol w:w="1184"/>
        <w:gridCol w:w="942"/>
        <w:gridCol w:w="850"/>
      </w:tblGrid>
      <w:tr w:rsidR="00B13E0E" w:rsidRPr="009417F0" w14:paraId="39B434D3" w14:textId="77777777" w:rsidTr="008260D0">
        <w:tc>
          <w:tcPr>
            <w:tcW w:w="704" w:type="dxa"/>
            <w:shd w:val="clear" w:color="auto" w:fill="D9D9D9" w:themeFill="background1" w:themeFillShade="D9"/>
          </w:tcPr>
          <w:p w14:paraId="5BF2B8FD" w14:textId="77777777" w:rsidR="00B13E0E" w:rsidRPr="00A942DB" w:rsidRDefault="00B13E0E">
            <w:pPr>
              <w:spacing w:line="360" w:lineRule="auto"/>
            </w:pPr>
            <w:r w:rsidRPr="00A942DB">
              <w:t>Fault</w:t>
            </w:r>
          </w:p>
        </w:tc>
        <w:tc>
          <w:tcPr>
            <w:tcW w:w="1418" w:type="dxa"/>
            <w:shd w:val="clear" w:color="auto" w:fill="D9D9D9" w:themeFill="background1" w:themeFillShade="D9"/>
          </w:tcPr>
          <w:p w14:paraId="09AFA38C" w14:textId="77777777" w:rsidR="00B13E0E" w:rsidRPr="00A942DB" w:rsidRDefault="00B13E0E">
            <w:pPr>
              <w:spacing w:line="360" w:lineRule="auto"/>
              <w:jc w:val="center"/>
            </w:pPr>
            <w:r w:rsidRPr="00A942DB">
              <w:t>x-coordinate (km)</w:t>
            </w:r>
          </w:p>
        </w:tc>
        <w:tc>
          <w:tcPr>
            <w:tcW w:w="1184" w:type="dxa"/>
            <w:shd w:val="clear" w:color="auto" w:fill="D9D9D9" w:themeFill="background1" w:themeFillShade="D9"/>
          </w:tcPr>
          <w:p w14:paraId="3221D8F9" w14:textId="77777777" w:rsidR="00B13E0E" w:rsidRPr="00A942DB" w:rsidRDefault="00B13E0E">
            <w:pPr>
              <w:spacing w:line="360" w:lineRule="auto"/>
              <w:jc w:val="center"/>
            </w:pPr>
            <w:r w:rsidRPr="00A942DB">
              <w:t>Antithetic/ Synthetic</w:t>
            </w:r>
          </w:p>
        </w:tc>
        <w:tc>
          <w:tcPr>
            <w:tcW w:w="942" w:type="dxa"/>
            <w:shd w:val="clear" w:color="auto" w:fill="D9D9D9" w:themeFill="background1" w:themeFillShade="D9"/>
          </w:tcPr>
          <w:p w14:paraId="578D9B40" w14:textId="77777777" w:rsidR="00B13E0E" w:rsidRPr="00A942DB" w:rsidRDefault="00B13E0E">
            <w:pPr>
              <w:spacing w:line="360" w:lineRule="auto"/>
              <w:jc w:val="center"/>
            </w:pPr>
            <w:r w:rsidRPr="00A942DB">
              <w:t>Heave (km)</w:t>
            </w:r>
          </w:p>
        </w:tc>
        <w:tc>
          <w:tcPr>
            <w:tcW w:w="850" w:type="dxa"/>
            <w:shd w:val="clear" w:color="auto" w:fill="D9D9D9" w:themeFill="background1" w:themeFillShade="D9"/>
          </w:tcPr>
          <w:p w14:paraId="6E89DB6F" w14:textId="77777777" w:rsidR="00B13E0E" w:rsidRPr="00A942DB" w:rsidRDefault="00B13E0E">
            <w:pPr>
              <w:spacing w:line="360" w:lineRule="auto"/>
            </w:pPr>
            <w:r w:rsidRPr="00A942DB">
              <w:t>Dip (</w:t>
            </w:r>
            <w:r w:rsidRPr="00A942DB">
              <w:rPr>
                <w:rFonts w:cstheme="minorHAnsi"/>
              </w:rPr>
              <w:t>⁰</w:t>
            </w:r>
            <w:r w:rsidRPr="00A942DB">
              <w:t>)</w:t>
            </w:r>
          </w:p>
        </w:tc>
      </w:tr>
      <w:tr w:rsidR="00B13E0E" w:rsidRPr="009417F0" w14:paraId="75C3D834" w14:textId="77777777" w:rsidTr="008260D0">
        <w:tc>
          <w:tcPr>
            <w:tcW w:w="704" w:type="dxa"/>
          </w:tcPr>
          <w:p w14:paraId="515B5419" w14:textId="77777777" w:rsidR="00B13E0E" w:rsidRPr="00A942DB" w:rsidRDefault="00B13E0E">
            <w:pPr>
              <w:spacing w:line="360" w:lineRule="auto"/>
              <w:jc w:val="center"/>
            </w:pPr>
            <w:r w:rsidRPr="00A942DB">
              <w:t>1</w:t>
            </w:r>
          </w:p>
        </w:tc>
        <w:tc>
          <w:tcPr>
            <w:tcW w:w="1418" w:type="dxa"/>
          </w:tcPr>
          <w:p w14:paraId="37B62DEE" w14:textId="77777777" w:rsidR="00B13E0E" w:rsidRPr="00A942DB" w:rsidRDefault="00A942DB">
            <w:pPr>
              <w:spacing w:line="360" w:lineRule="auto"/>
              <w:jc w:val="center"/>
            </w:pPr>
            <w:r w:rsidRPr="00A942DB">
              <w:t>28</w:t>
            </w:r>
          </w:p>
        </w:tc>
        <w:tc>
          <w:tcPr>
            <w:tcW w:w="1184" w:type="dxa"/>
          </w:tcPr>
          <w:p w14:paraId="630CDE0C" w14:textId="77777777" w:rsidR="00B13E0E" w:rsidRPr="00A942DB" w:rsidRDefault="00B13E0E">
            <w:pPr>
              <w:spacing w:line="360" w:lineRule="auto"/>
              <w:jc w:val="center"/>
            </w:pPr>
            <w:r w:rsidRPr="00A942DB">
              <w:t>S</w:t>
            </w:r>
          </w:p>
        </w:tc>
        <w:tc>
          <w:tcPr>
            <w:tcW w:w="942" w:type="dxa"/>
          </w:tcPr>
          <w:p w14:paraId="7FAF6359" w14:textId="77777777" w:rsidR="00B13E0E" w:rsidRPr="00A942DB" w:rsidRDefault="00A942DB">
            <w:pPr>
              <w:spacing w:line="360" w:lineRule="auto"/>
              <w:jc w:val="center"/>
            </w:pPr>
            <w:r w:rsidRPr="00A942DB">
              <w:t>0.25</w:t>
            </w:r>
          </w:p>
        </w:tc>
        <w:tc>
          <w:tcPr>
            <w:tcW w:w="850" w:type="dxa"/>
          </w:tcPr>
          <w:p w14:paraId="06834A3E" w14:textId="77777777" w:rsidR="00B13E0E" w:rsidRPr="00A942DB" w:rsidRDefault="00A942DB">
            <w:pPr>
              <w:spacing w:line="360" w:lineRule="auto"/>
              <w:jc w:val="center"/>
            </w:pPr>
            <w:r w:rsidRPr="00A942DB">
              <w:t>55</w:t>
            </w:r>
          </w:p>
        </w:tc>
      </w:tr>
      <w:tr w:rsidR="00B13E0E" w:rsidRPr="009417F0" w14:paraId="421996DD" w14:textId="77777777" w:rsidTr="008260D0">
        <w:tc>
          <w:tcPr>
            <w:tcW w:w="704" w:type="dxa"/>
          </w:tcPr>
          <w:p w14:paraId="754A3F1E" w14:textId="77777777" w:rsidR="00B13E0E" w:rsidRPr="00A942DB" w:rsidRDefault="00B13E0E">
            <w:pPr>
              <w:spacing w:line="360" w:lineRule="auto"/>
              <w:jc w:val="center"/>
            </w:pPr>
            <w:r w:rsidRPr="00A942DB">
              <w:t>2</w:t>
            </w:r>
          </w:p>
        </w:tc>
        <w:tc>
          <w:tcPr>
            <w:tcW w:w="1418" w:type="dxa"/>
          </w:tcPr>
          <w:p w14:paraId="3C646865" w14:textId="77777777" w:rsidR="00B13E0E" w:rsidRPr="00A942DB" w:rsidRDefault="00A942DB">
            <w:pPr>
              <w:spacing w:line="360" w:lineRule="auto"/>
              <w:jc w:val="center"/>
            </w:pPr>
            <w:r w:rsidRPr="00A942DB">
              <w:t>32</w:t>
            </w:r>
          </w:p>
        </w:tc>
        <w:tc>
          <w:tcPr>
            <w:tcW w:w="1184" w:type="dxa"/>
          </w:tcPr>
          <w:p w14:paraId="7305C653" w14:textId="77777777" w:rsidR="00B13E0E" w:rsidRPr="00A942DB" w:rsidRDefault="00B13E0E">
            <w:pPr>
              <w:spacing w:line="360" w:lineRule="auto"/>
              <w:jc w:val="center"/>
            </w:pPr>
            <w:r w:rsidRPr="00A942DB">
              <w:t>S</w:t>
            </w:r>
          </w:p>
        </w:tc>
        <w:tc>
          <w:tcPr>
            <w:tcW w:w="942" w:type="dxa"/>
          </w:tcPr>
          <w:p w14:paraId="3F9663FA" w14:textId="77777777" w:rsidR="00B13E0E" w:rsidRPr="00A942DB" w:rsidRDefault="00A942DB">
            <w:pPr>
              <w:spacing w:line="360" w:lineRule="auto"/>
              <w:jc w:val="center"/>
            </w:pPr>
            <w:r w:rsidRPr="00A942DB">
              <w:t>0.25</w:t>
            </w:r>
          </w:p>
        </w:tc>
        <w:tc>
          <w:tcPr>
            <w:tcW w:w="850" w:type="dxa"/>
          </w:tcPr>
          <w:p w14:paraId="0786312F" w14:textId="77777777" w:rsidR="00B13E0E" w:rsidRPr="00A942DB" w:rsidRDefault="00A942DB">
            <w:pPr>
              <w:spacing w:line="360" w:lineRule="auto"/>
              <w:jc w:val="center"/>
            </w:pPr>
            <w:r w:rsidRPr="00A942DB">
              <w:t>55</w:t>
            </w:r>
          </w:p>
        </w:tc>
      </w:tr>
      <w:tr w:rsidR="00B13E0E" w:rsidRPr="009417F0" w14:paraId="5AA508A2" w14:textId="77777777" w:rsidTr="008260D0">
        <w:tc>
          <w:tcPr>
            <w:tcW w:w="704" w:type="dxa"/>
          </w:tcPr>
          <w:p w14:paraId="6ABD7E5D" w14:textId="77777777" w:rsidR="00B13E0E" w:rsidRPr="00A942DB" w:rsidRDefault="00B13E0E">
            <w:pPr>
              <w:spacing w:line="360" w:lineRule="auto"/>
              <w:jc w:val="center"/>
            </w:pPr>
            <w:r w:rsidRPr="00A942DB">
              <w:t>3</w:t>
            </w:r>
          </w:p>
        </w:tc>
        <w:tc>
          <w:tcPr>
            <w:tcW w:w="1418" w:type="dxa"/>
          </w:tcPr>
          <w:p w14:paraId="02A5AD13" w14:textId="77777777" w:rsidR="00B13E0E" w:rsidRPr="00A942DB" w:rsidRDefault="00A942DB">
            <w:pPr>
              <w:spacing w:line="360" w:lineRule="auto"/>
              <w:jc w:val="center"/>
            </w:pPr>
            <w:r w:rsidRPr="00A942DB">
              <w:t>34</w:t>
            </w:r>
          </w:p>
        </w:tc>
        <w:tc>
          <w:tcPr>
            <w:tcW w:w="1184" w:type="dxa"/>
          </w:tcPr>
          <w:p w14:paraId="28ED6BF9" w14:textId="77777777" w:rsidR="00B13E0E" w:rsidRPr="00A942DB" w:rsidRDefault="00B13E0E">
            <w:pPr>
              <w:spacing w:line="360" w:lineRule="auto"/>
              <w:jc w:val="center"/>
            </w:pPr>
            <w:r w:rsidRPr="00A942DB">
              <w:t>S</w:t>
            </w:r>
          </w:p>
        </w:tc>
        <w:tc>
          <w:tcPr>
            <w:tcW w:w="942" w:type="dxa"/>
          </w:tcPr>
          <w:p w14:paraId="37540088" w14:textId="77777777" w:rsidR="00B13E0E" w:rsidRPr="00A942DB" w:rsidRDefault="00A942DB">
            <w:pPr>
              <w:spacing w:line="360" w:lineRule="auto"/>
              <w:jc w:val="center"/>
            </w:pPr>
            <w:r w:rsidRPr="00A942DB">
              <w:t>0.5</w:t>
            </w:r>
          </w:p>
        </w:tc>
        <w:tc>
          <w:tcPr>
            <w:tcW w:w="850" w:type="dxa"/>
          </w:tcPr>
          <w:p w14:paraId="2CA5406B" w14:textId="77777777" w:rsidR="00B13E0E" w:rsidRPr="00A942DB" w:rsidRDefault="00A942DB">
            <w:pPr>
              <w:spacing w:line="360" w:lineRule="auto"/>
              <w:jc w:val="center"/>
            </w:pPr>
            <w:r w:rsidRPr="00A942DB">
              <w:t>55</w:t>
            </w:r>
          </w:p>
        </w:tc>
      </w:tr>
      <w:tr w:rsidR="00B13E0E" w:rsidRPr="009417F0" w14:paraId="72801644" w14:textId="77777777" w:rsidTr="008260D0">
        <w:tc>
          <w:tcPr>
            <w:tcW w:w="704" w:type="dxa"/>
          </w:tcPr>
          <w:p w14:paraId="08491ECC" w14:textId="77777777" w:rsidR="00B13E0E" w:rsidRPr="00A942DB" w:rsidRDefault="00B13E0E">
            <w:pPr>
              <w:spacing w:line="360" w:lineRule="auto"/>
              <w:jc w:val="center"/>
            </w:pPr>
            <w:r w:rsidRPr="00A942DB">
              <w:t>4</w:t>
            </w:r>
          </w:p>
        </w:tc>
        <w:tc>
          <w:tcPr>
            <w:tcW w:w="1418" w:type="dxa"/>
          </w:tcPr>
          <w:p w14:paraId="782F39D2" w14:textId="77777777" w:rsidR="00B13E0E" w:rsidRPr="00A942DB" w:rsidRDefault="00A942DB">
            <w:pPr>
              <w:spacing w:line="360" w:lineRule="auto"/>
              <w:jc w:val="center"/>
            </w:pPr>
            <w:r w:rsidRPr="00A942DB">
              <w:t>41</w:t>
            </w:r>
          </w:p>
        </w:tc>
        <w:tc>
          <w:tcPr>
            <w:tcW w:w="1184" w:type="dxa"/>
          </w:tcPr>
          <w:p w14:paraId="46CA1298" w14:textId="77777777" w:rsidR="00B13E0E" w:rsidRPr="00A942DB" w:rsidRDefault="00B13E0E">
            <w:pPr>
              <w:spacing w:line="360" w:lineRule="auto"/>
              <w:jc w:val="center"/>
            </w:pPr>
            <w:r w:rsidRPr="00A942DB">
              <w:t>A</w:t>
            </w:r>
          </w:p>
        </w:tc>
        <w:tc>
          <w:tcPr>
            <w:tcW w:w="942" w:type="dxa"/>
          </w:tcPr>
          <w:p w14:paraId="51381ADF" w14:textId="77777777" w:rsidR="00B13E0E" w:rsidRPr="00A942DB" w:rsidRDefault="00A942DB">
            <w:pPr>
              <w:spacing w:line="360" w:lineRule="auto"/>
              <w:jc w:val="center"/>
            </w:pPr>
            <w:r w:rsidRPr="00A942DB">
              <w:t>0.25</w:t>
            </w:r>
          </w:p>
        </w:tc>
        <w:tc>
          <w:tcPr>
            <w:tcW w:w="850" w:type="dxa"/>
          </w:tcPr>
          <w:p w14:paraId="706BCC0E" w14:textId="77777777" w:rsidR="00B13E0E" w:rsidRPr="00A942DB" w:rsidRDefault="00A942DB">
            <w:pPr>
              <w:spacing w:line="360" w:lineRule="auto"/>
              <w:jc w:val="center"/>
            </w:pPr>
            <w:r w:rsidRPr="00A942DB">
              <w:t>55</w:t>
            </w:r>
          </w:p>
        </w:tc>
      </w:tr>
      <w:tr w:rsidR="00B13E0E" w:rsidRPr="009417F0" w14:paraId="708EB6CD" w14:textId="77777777" w:rsidTr="008260D0">
        <w:tc>
          <w:tcPr>
            <w:tcW w:w="704" w:type="dxa"/>
          </w:tcPr>
          <w:p w14:paraId="36E31F2C" w14:textId="77777777" w:rsidR="00B13E0E" w:rsidRPr="00A942DB" w:rsidRDefault="00B13E0E">
            <w:pPr>
              <w:spacing w:line="360" w:lineRule="auto"/>
              <w:jc w:val="center"/>
            </w:pPr>
            <w:r w:rsidRPr="00A942DB">
              <w:t>5</w:t>
            </w:r>
          </w:p>
        </w:tc>
        <w:tc>
          <w:tcPr>
            <w:tcW w:w="1418" w:type="dxa"/>
          </w:tcPr>
          <w:p w14:paraId="422FA730" w14:textId="77777777" w:rsidR="00B13E0E" w:rsidRPr="00A942DB" w:rsidRDefault="00A942DB">
            <w:pPr>
              <w:spacing w:line="360" w:lineRule="auto"/>
              <w:jc w:val="center"/>
            </w:pPr>
            <w:r w:rsidRPr="00A942DB">
              <w:t>43</w:t>
            </w:r>
          </w:p>
        </w:tc>
        <w:tc>
          <w:tcPr>
            <w:tcW w:w="1184" w:type="dxa"/>
          </w:tcPr>
          <w:p w14:paraId="392DABDD" w14:textId="77777777" w:rsidR="00B13E0E" w:rsidRPr="00A942DB" w:rsidRDefault="00B13E0E">
            <w:pPr>
              <w:spacing w:line="360" w:lineRule="auto"/>
              <w:jc w:val="center"/>
            </w:pPr>
            <w:r w:rsidRPr="00A942DB">
              <w:t>A</w:t>
            </w:r>
          </w:p>
        </w:tc>
        <w:tc>
          <w:tcPr>
            <w:tcW w:w="942" w:type="dxa"/>
          </w:tcPr>
          <w:p w14:paraId="28270571" w14:textId="77777777" w:rsidR="00B13E0E" w:rsidRPr="00A942DB" w:rsidRDefault="00B13E0E">
            <w:pPr>
              <w:spacing w:line="360" w:lineRule="auto"/>
              <w:jc w:val="center"/>
            </w:pPr>
            <w:r w:rsidRPr="00A942DB">
              <w:t>0.2</w:t>
            </w:r>
            <w:r w:rsidR="00A942DB" w:rsidRPr="00A942DB">
              <w:t>5</w:t>
            </w:r>
          </w:p>
        </w:tc>
        <w:tc>
          <w:tcPr>
            <w:tcW w:w="850" w:type="dxa"/>
          </w:tcPr>
          <w:p w14:paraId="7C0896D0" w14:textId="77777777" w:rsidR="00B13E0E" w:rsidRPr="00A942DB" w:rsidRDefault="00A942DB">
            <w:pPr>
              <w:spacing w:line="360" w:lineRule="auto"/>
              <w:jc w:val="center"/>
            </w:pPr>
            <w:r w:rsidRPr="00A942DB">
              <w:t>55</w:t>
            </w:r>
          </w:p>
        </w:tc>
      </w:tr>
      <w:tr w:rsidR="00B13E0E" w:rsidRPr="009417F0" w14:paraId="6DA69189" w14:textId="77777777" w:rsidTr="008260D0">
        <w:tc>
          <w:tcPr>
            <w:tcW w:w="704" w:type="dxa"/>
          </w:tcPr>
          <w:p w14:paraId="2E07BF73" w14:textId="77777777" w:rsidR="00B13E0E" w:rsidRPr="00A942DB" w:rsidRDefault="00B13E0E">
            <w:pPr>
              <w:spacing w:line="360" w:lineRule="auto"/>
              <w:jc w:val="center"/>
            </w:pPr>
            <w:r w:rsidRPr="00A942DB">
              <w:t>6</w:t>
            </w:r>
          </w:p>
        </w:tc>
        <w:tc>
          <w:tcPr>
            <w:tcW w:w="1418" w:type="dxa"/>
          </w:tcPr>
          <w:p w14:paraId="7A4864AF" w14:textId="77777777" w:rsidR="00B13E0E" w:rsidRPr="00A942DB" w:rsidRDefault="00A942DB">
            <w:pPr>
              <w:spacing w:line="360" w:lineRule="auto"/>
              <w:jc w:val="center"/>
            </w:pPr>
            <w:r w:rsidRPr="00A942DB">
              <w:t>45</w:t>
            </w:r>
          </w:p>
        </w:tc>
        <w:tc>
          <w:tcPr>
            <w:tcW w:w="1184" w:type="dxa"/>
          </w:tcPr>
          <w:p w14:paraId="464B7979" w14:textId="77777777" w:rsidR="00B13E0E" w:rsidRPr="00A942DB" w:rsidRDefault="00B13E0E">
            <w:pPr>
              <w:spacing w:line="360" w:lineRule="auto"/>
              <w:jc w:val="center"/>
            </w:pPr>
            <w:r w:rsidRPr="00A942DB">
              <w:t>A</w:t>
            </w:r>
          </w:p>
        </w:tc>
        <w:tc>
          <w:tcPr>
            <w:tcW w:w="942" w:type="dxa"/>
          </w:tcPr>
          <w:p w14:paraId="587FE003" w14:textId="77777777" w:rsidR="00B13E0E" w:rsidRPr="00A942DB" w:rsidRDefault="00B13E0E">
            <w:pPr>
              <w:spacing w:line="360" w:lineRule="auto"/>
              <w:jc w:val="center"/>
            </w:pPr>
            <w:r w:rsidRPr="00A942DB">
              <w:t>0.2</w:t>
            </w:r>
            <w:r w:rsidR="00A942DB" w:rsidRPr="00A942DB">
              <w:t>5</w:t>
            </w:r>
          </w:p>
        </w:tc>
        <w:tc>
          <w:tcPr>
            <w:tcW w:w="850" w:type="dxa"/>
          </w:tcPr>
          <w:p w14:paraId="3CC1B0C0" w14:textId="77777777" w:rsidR="00B13E0E" w:rsidRPr="00A942DB" w:rsidRDefault="00A942DB">
            <w:pPr>
              <w:spacing w:line="360" w:lineRule="auto"/>
              <w:jc w:val="center"/>
            </w:pPr>
            <w:r w:rsidRPr="00A942DB">
              <w:t>55</w:t>
            </w:r>
          </w:p>
        </w:tc>
      </w:tr>
      <w:tr w:rsidR="00B13E0E" w:rsidRPr="009417F0" w14:paraId="23504202" w14:textId="77777777" w:rsidTr="008260D0">
        <w:tc>
          <w:tcPr>
            <w:tcW w:w="704" w:type="dxa"/>
          </w:tcPr>
          <w:p w14:paraId="2A2A222B" w14:textId="77777777" w:rsidR="00B13E0E" w:rsidRPr="00A942DB" w:rsidRDefault="00A942DB">
            <w:pPr>
              <w:spacing w:line="360" w:lineRule="auto"/>
              <w:jc w:val="center"/>
            </w:pPr>
            <w:r w:rsidRPr="00A942DB">
              <w:t>7</w:t>
            </w:r>
          </w:p>
        </w:tc>
        <w:tc>
          <w:tcPr>
            <w:tcW w:w="1418" w:type="dxa"/>
          </w:tcPr>
          <w:p w14:paraId="2D6D8697" w14:textId="77777777" w:rsidR="00B13E0E" w:rsidRPr="00A942DB" w:rsidRDefault="00A942DB">
            <w:pPr>
              <w:spacing w:line="360" w:lineRule="auto"/>
              <w:jc w:val="center"/>
            </w:pPr>
            <w:r w:rsidRPr="00A942DB">
              <w:t>56</w:t>
            </w:r>
          </w:p>
        </w:tc>
        <w:tc>
          <w:tcPr>
            <w:tcW w:w="1184" w:type="dxa"/>
          </w:tcPr>
          <w:p w14:paraId="5DD126D2" w14:textId="77777777" w:rsidR="00B13E0E" w:rsidRPr="00A942DB" w:rsidRDefault="00B13E0E">
            <w:pPr>
              <w:spacing w:line="360" w:lineRule="auto"/>
              <w:jc w:val="center"/>
            </w:pPr>
            <w:r w:rsidRPr="00A942DB">
              <w:t>A</w:t>
            </w:r>
          </w:p>
        </w:tc>
        <w:tc>
          <w:tcPr>
            <w:tcW w:w="942" w:type="dxa"/>
          </w:tcPr>
          <w:p w14:paraId="3BCB2992" w14:textId="77777777" w:rsidR="00B13E0E" w:rsidRPr="00A942DB" w:rsidRDefault="00A942DB">
            <w:pPr>
              <w:spacing w:line="360" w:lineRule="auto"/>
              <w:jc w:val="center"/>
            </w:pPr>
            <w:r w:rsidRPr="00A942DB">
              <w:t>0.5</w:t>
            </w:r>
          </w:p>
        </w:tc>
        <w:tc>
          <w:tcPr>
            <w:tcW w:w="850" w:type="dxa"/>
          </w:tcPr>
          <w:p w14:paraId="7C06935D" w14:textId="77777777" w:rsidR="00B13E0E" w:rsidRPr="00A942DB" w:rsidRDefault="00A942DB">
            <w:pPr>
              <w:spacing w:line="360" w:lineRule="auto"/>
              <w:jc w:val="center"/>
            </w:pPr>
            <w:r w:rsidRPr="00A942DB">
              <w:t>55</w:t>
            </w:r>
          </w:p>
        </w:tc>
      </w:tr>
      <w:tr w:rsidR="00B13E0E" w:rsidRPr="009417F0" w14:paraId="5C7E2E9C" w14:textId="77777777" w:rsidTr="008260D0">
        <w:tc>
          <w:tcPr>
            <w:tcW w:w="704" w:type="dxa"/>
          </w:tcPr>
          <w:p w14:paraId="59011DDE" w14:textId="77777777" w:rsidR="00B13E0E" w:rsidRPr="00A942DB" w:rsidRDefault="00A942DB">
            <w:pPr>
              <w:spacing w:line="360" w:lineRule="auto"/>
              <w:jc w:val="center"/>
            </w:pPr>
            <w:r w:rsidRPr="00A942DB">
              <w:t>8</w:t>
            </w:r>
          </w:p>
        </w:tc>
        <w:tc>
          <w:tcPr>
            <w:tcW w:w="1418" w:type="dxa"/>
          </w:tcPr>
          <w:p w14:paraId="1AE3B102" w14:textId="77777777" w:rsidR="00B13E0E" w:rsidRPr="00A942DB" w:rsidRDefault="00A942DB">
            <w:pPr>
              <w:spacing w:line="360" w:lineRule="auto"/>
              <w:jc w:val="center"/>
            </w:pPr>
            <w:r w:rsidRPr="00A942DB">
              <w:t>70</w:t>
            </w:r>
          </w:p>
        </w:tc>
        <w:tc>
          <w:tcPr>
            <w:tcW w:w="1184" w:type="dxa"/>
          </w:tcPr>
          <w:p w14:paraId="2C0A47A9" w14:textId="77777777" w:rsidR="00B13E0E" w:rsidRPr="00A942DB" w:rsidRDefault="00B13E0E">
            <w:pPr>
              <w:spacing w:line="360" w:lineRule="auto"/>
              <w:jc w:val="center"/>
            </w:pPr>
            <w:r w:rsidRPr="00A942DB">
              <w:t>S</w:t>
            </w:r>
          </w:p>
        </w:tc>
        <w:tc>
          <w:tcPr>
            <w:tcW w:w="942" w:type="dxa"/>
          </w:tcPr>
          <w:p w14:paraId="216BDF23" w14:textId="77777777" w:rsidR="00B13E0E" w:rsidRPr="00A942DB" w:rsidRDefault="00A942DB">
            <w:pPr>
              <w:spacing w:line="360" w:lineRule="auto"/>
              <w:jc w:val="center"/>
            </w:pPr>
            <w:r w:rsidRPr="00A942DB">
              <w:t>0.25</w:t>
            </w:r>
          </w:p>
        </w:tc>
        <w:tc>
          <w:tcPr>
            <w:tcW w:w="850" w:type="dxa"/>
          </w:tcPr>
          <w:p w14:paraId="425BF2CB" w14:textId="77777777" w:rsidR="00B13E0E" w:rsidRPr="00A942DB" w:rsidRDefault="00A942DB">
            <w:pPr>
              <w:spacing w:line="360" w:lineRule="auto"/>
              <w:jc w:val="center"/>
            </w:pPr>
            <w:r w:rsidRPr="00A942DB">
              <w:t>55</w:t>
            </w:r>
          </w:p>
        </w:tc>
      </w:tr>
      <w:tr w:rsidR="00B13E0E" w:rsidRPr="009417F0" w14:paraId="29F635C7" w14:textId="77777777" w:rsidTr="008260D0">
        <w:tc>
          <w:tcPr>
            <w:tcW w:w="704" w:type="dxa"/>
          </w:tcPr>
          <w:p w14:paraId="6FCF00D8" w14:textId="77777777" w:rsidR="00B13E0E" w:rsidRPr="00A942DB" w:rsidRDefault="00A942DB">
            <w:pPr>
              <w:spacing w:line="360" w:lineRule="auto"/>
              <w:jc w:val="center"/>
            </w:pPr>
            <w:r w:rsidRPr="00A942DB">
              <w:t>9</w:t>
            </w:r>
          </w:p>
        </w:tc>
        <w:tc>
          <w:tcPr>
            <w:tcW w:w="1418" w:type="dxa"/>
          </w:tcPr>
          <w:p w14:paraId="73604711" w14:textId="77777777" w:rsidR="00B13E0E" w:rsidRPr="00A942DB" w:rsidRDefault="00A942DB">
            <w:pPr>
              <w:spacing w:line="360" w:lineRule="auto"/>
              <w:jc w:val="center"/>
            </w:pPr>
            <w:r w:rsidRPr="00A942DB">
              <w:t>79</w:t>
            </w:r>
          </w:p>
        </w:tc>
        <w:tc>
          <w:tcPr>
            <w:tcW w:w="1184" w:type="dxa"/>
          </w:tcPr>
          <w:p w14:paraId="4F9346E5" w14:textId="77777777" w:rsidR="00B13E0E" w:rsidRPr="00A942DB" w:rsidRDefault="00B13E0E">
            <w:pPr>
              <w:spacing w:line="360" w:lineRule="auto"/>
              <w:jc w:val="center"/>
            </w:pPr>
            <w:r w:rsidRPr="00A942DB">
              <w:t>A</w:t>
            </w:r>
          </w:p>
        </w:tc>
        <w:tc>
          <w:tcPr>
            <w:tcW w:w="942" w:type="dxa"/>
          </w:tcPr>
          <w:p w14:paraId="6013926F" w14:textId="77777777" w:rsidR="00B13E0E" w:rsidRPr="00A942DB" w:rsidRDefault="00A942DB">
            <w:pPr>
              <w:spacing w:line="360" w:lineRule="auto"/>
              <w:jc w:val="center"/>
            </w:pPr>
            <w:r w:rsidRPr="00A942DB">
              <w:t>1.5</w:t>
            </w:r>
          </w:p>
        </w:tc>
        <w:tc>
          <w:tcPr>
            <w:tcW w:w="850" w:type="dxa"/>
          </w:tcPr>
          <w:p w14:paraId="69E5A4F5" w14:textId="77777777" w:rsidR="00B13E0E" w:rsidRPr="00A942DB" w:rsidRDefault="00A942DB">
            <w:pPr>
              <w:spacing w:line="360" w:lineRule="auto"/>
              <w:jc w:val="center"/>
            </w:pPr>
            <w:r w:rsidRPr="00A942DB">
              <w:t>55</w:t>
            </w:r>
          </w:p>
        </w:tc>
      </w:tr>
      <w:tr w:rsidR="00B13E0E" w:rsidRPr="009417F0" w14:paraId="2F55C43F" w14:textId="77777777" w:rsidTr="008260D0">
        <w:tc>
          <w:tcPr>
            <w:tcW w:w="704" w:type="dxa"/>
          </w:tcPr>
          <w:p w14:paraId="6579E6E9" w14:textId="77777777" w:rsidR="00B13E0E" w:rsidRPr="00A942DB" w:rsidRDefault="00A942DB">
            <w:pPr>
              <w:spacing w:line="360" w:lineRule="auto"/>
              <w:jc w:val="center"/>
            </w:pPr>
            <w:r w:rsidRPr="00A942DB">
              <w:t>10</w:t>
            </w:r>
          </w:p>
        </w:tc>
        <w:tc>
          <w:tcPr>
            <w:tcW w:w="1418" w:type="dxa"/>
          </w:tcPr>
          <w:p w14:paraId="109C6DC3" w14:textId="77777777" w:rsidR="00B13E0E" w:rsidRPr="00A942DB" w:rsidRDefault="00A942DB">
            <w:pPr>
              <w:spacing w:line="360" w:lineRule="auto"/>
              <w:jc w:val="center"/>
            </w:pPr>
            <w:r w:rsidRPr="00A942DB">
              <w:t>85</w:t>
            </w:r>
          </w:p>
        </w:tc>
        <w:tc>
          <w:tcPr>
            <w:tcW w:w="1184" w:type="dxa"/>
          </w:tcPr>
          <w:p w14:paraId="5C2B81A5" w14:textId="77777777" w:rsidR="00B13E0E" w:rsidRPr="00A942DB" w:rsidRDefault="00B13E0E">
            <w:pPr>
              <w:spacing w:line="360" w:lineRule="auto"/>
              <w:jc w:val="center"/>
            </w:pPr>
            <w:r w:rsidRPr="00A942DB">
              <w:t>A</w:t>
            </w:r>
          </w:p>
        </w:tc>
        <w:tc>
          <w:tcPr>
            <w:tcW w:w="942" w:type="dxa"/>
          </w:tcPr>
          <w:p w14:paraId="0C196C70" w14:textId="77777777" w:rsidR="00B13E0E" w:rsidRPr="00A942DB" w:rsidRDefault="00A942DB">
            <w:pPr>
              <w:spacing w:line="360" w:lineRule="auto"/>
              <w:jc w:val="center"/>
            </w:pPr>
            <w:r w:rsidRPr="00A942DB">
              <w:t>1.0</w:t>
            </w:r>
          </w:p>
        </w:tc>
        <w:tc>
          <w:tcPr>
            <w:tcW w:w="850" w:type="dxa"/>
          </w:tcPr>
          <w:p w14:paraId="4661C1D4" w14:textId="77777777" w:rsidR="00B13E0E" w:rsidRPr="00A942DB" w:rsidRDefault="00A942DB">
            <w:pPr>
              <w:spacing w:line="360" w:lineRule="auto"/>
              <w:jc w:val="center"/>
            </w:pPr>
            <w:r w:rsidRPr="00A942DB">
              <w:t>55</w:t>
            </w:r>
          </w:p>
        </w:tc>
      </w:tr>
      <w:tr w:rsidR="00B13E0E" w:rsidRPr="009417F0" w14:paraId="69AF61EE" w14:textId="77777777" w:rsidTr="008260D0">
        <w:tc>
          <w:tcPr>
            <w:tcW w:w="704" w:type="dxa"/>
          </w:tcPr>
          <w:p w14:paraId="085683C0" w14:textId="77777777" w:rsidR="00B13E0E" w:rsidRPr="00A942DB" w:rsidRDefault="00A942DB">
            <w:pPr>
              <w:spacing w:line="360" w:lineRule="auto"/>
              <w:jc w:val="center"/>
            </w:pPr>
            <w:r w:rsidRPr="00A942DB">
              <w:t>11</w:t>
            </w:r>
          </w:p>
        </w:tc>
        <w:tc>
          <w:tcPr>
            <w:tcW w:w="1418" w:type="dxa"/>
          </w:tcPr>
          <w:p w14:paraId="7A090E93" w14:textId="77777777" w:rsidR="00B13E0E" w:rsidRPr="00A942DB" w:rsidRDefault="00A942DB">
            <w:pPr>
              <w:spacing w:line="360" w:lineRule="auto"/>
              <w:jc w:val="center"/>
            </w:pPr>
            <w:r w:rsidRPr="00A942DB">
              <w:t>111</w:t>
            </w:r>
          </w:p>
        </w:tc>
        <w:tc>
          <w:tcPr>
            <w:tcW w:w="1184" w:type="dxa"/>
          </w:tcPr>
          <w:p w14:paraId="48811596" w14:textId="77777777" w:rsidR="00B13E0E" w:rsidRPr="00A942DB" w:rsidRDefault="00B13E0E">
            <w:pPr>
              <w:spacing w:line="360" w:lineRule="auto"/>
              <w:jc w:val="center"/>
            </w:pPr>
            <w:r w:rsidRPr="00A942DB">
              <w:t>S</w:t>
            </w:r>
          </w:p>
        </w:tc>
        <w:tc>
          <w:tcPr>
            <w:tcW w:w="942" w:type="dxa"/>
          </w:tcPr>
          <w:p w14:paraId="1B2602D2" w14:textId="77777777" w:rsidR="00B13E0E" w:rsidRPr="00A942DB" w:rsidRDefault="00A942DB">
            <w:pPr>
              <w:spacing w:line="360" w:lineRule="auto"/>
              <w:jc w:val="center"/>
            </w:pPr>
            <w:r w:rsidRPr="00A942DB">
              <w:t>0.25</w:t>
            </w:r>
          </w:p>
        </w:tc>
        <w:tc>
          <w:tcPr>
            <w:tcW w:w="850" w:type="dxa"/>
          </w:tcPr>
          <w:p w14:paraId="1C46F846" w14:textId="77777777" w:rsidR="00B13E0E" w:rsidRPr="00A942DB" w:rsidRDefault="00A942DB">
            <w:pPr>
              <w:spacing w:line="360" w:lineRule="auto"/>
              <w:jc w:val="center"/>
            </w:pPr>
            <w:r w:rsidRPr="00A942DB">
              <w:t>55</w:t>
            </w:r>
          </w:p>
        </w:tc>
      </w:tr>
      <w:tr w:rsidR="00B13E0E" w:rsidRPr="009417F0" w14:paraId="3EC85A7E" w14:textId="77777777" w:rsidTr="008260D0">
        <w:tc>
          <w:tcPr>
            <w:tcW w:w="704" w:type="dxa"/>
          </w:tcPr>
          <w:p w14:paraId="084CD2C3" w14:textId="77777777" w:rsidR="00B13E0E" w:rsidRPr="00A942DB" w:rsidRDefault="00A942DB">
            <w:pPr>
              <w:spacing w:line="360" w:lineRule="auto"/>
              <w:jc w:val="center"/>
            </w:pPr>
            <w:r w:rsidRPr="00A942DB">
              <w:t>12</w:t>
            </w:r>
          </w:p>
        </w:tc>
        <w:tc>
          <w:tcPr>
            <w:tcW w:w="1418" w:type="dxa"/>
          </w:tcPr>
          <w:p w14:paraId="063E3A84" w14:textId="77777777" w:rsidR="00B13E0E" w:rsidRPr="00A942DB" w:rsidRDefault="00A942DB">
            <w:pPr>
              <w:spacing w:line="360" w:lineRule="auto"/>
              <w:jc w:val="center"/>
            </w:pPr>
            <w:r w:rsidRPr="00A942DB">
              <w:t>116</w:t>
            </w:r>
          </w:p>
        </w:tc>
        <w:tc>
          <w:tcPr>
            <w:tcW w:w="1184" w:type="dxa"/>
          </w:tcPr>
          <w:p w14:paraId="1C578BDC" w14:textId="77777777" w:rsidR="00B13E0E" w:rsidRPr="00A942DB" w:rsidRDefault="00B13E0E">
            <w:pPr>
              <w:spacing w:line="360" w:lineRule="auto"/>
              <w:jc w:val="center"/>
            </w:pPr>
            <w:r w:rsidRPr="00A942DB">
              <w:t>S</w:t>
            </w:r>
          </w:p>
        </w:tc>
        <w:tc>
          <w:tcPr>
            <w:tcW w:w="942" w:type="dxa"/>
          </w:tcPr>
          <w:p w14:paraId="659D2959" w14:textId="77777777" w:rsidR="00B13E0E" w:rsidRPr="00A942DB" w:rsidRDefault="00A942DB">
            <w:pPr>
              <w:spacing w:line="360" w:lineRule="auto"/>
              <w:jc w:val="center"/>
            </w:pPr>
            <w:r w:rsidRPr="00A942DB">
              <w:t>0.25</w:t>
            </w:r>
          </w:p>
        </w:tc>
        <w:tc>
          <w:tcPr>
            <w:tcW w:w="850" w:type="dxa"/>
          </w:tcPr>
          <w:p w14:paraId="59481E89" w14:textId="77777777" w:rsidR="00B13E0E" w:rsidRPr="00A942DB" w:rsidRDefault="00A942DB">
            <w:pPr>
              <w:spacing w:line="360" w:lineRule="auto"/>
              <w:jc w:val="center"/>
            </w:pPr>
            <w:r w:rsidRPr="00A942DB">
              <w:t>55</w:t>
            </w:r>
          </w:p>
        </w:tc>
      </w:tr>
      <w:tr w:rsidR="00B13E0E" w:rsidRPr="009417F0" w14:paraId="3409ED67" w14:textId="77777777" w:rsidTr="008260D0">
        <w:tc>
          <w:tcPr>
            <w:tcW w:w="704" w:type="dxa"/>
          </w:tcPr>
          <w:p w14:paraId="27445CC1" w14:textId="77777777" w:rsidR="00B13E0E" w:rsidRPr="00A942DB" w:rsidRDefault="00A942DB">
            <w:pPr>
              <w:spacing w:line="360" w:lineRule="auto"/>
              <w:jc w:val="center"/>
            </w:pPr>
            <w:r w:rsidRPr="00A942DB">
              <w:t>13</w:t>
            </w:r>
          </w:p>
        </w:tc>
        <w:tc>
          <w:tcPr>
            <w:tcW w:w="1418" w:type="dxa"/>
          </w:tcPr>
          <w:p w14:paraId="04A72ECF" w14:textId="77777777" w:rsidR="00B13E0E" w:rsidRPr="00A942DB" w:rsidRDefault="00A942DB">
            <w:pPr>
              <w:spacing w:line="360" w:lineRule="auto"/>
              <w:jc w:val="center"/>
            </w:pPr>
            <w:r w:rsidRPr="00A942DB">
              <w:t>118</w:t>
            </w:r>
          </w:p>
        </w:tc>
        <w:tc>
          <w:tcPr>
            <w:tcW w:w="1184" w:type="dxa"/>
          </w:tcPr>
          <w:p w14:paraId="1CBB74BF" w14:textId="77777777" w:rsidR="00B13E0E" w:rsidRPr="00A942DB" w:rsidRDefault="00B13E0E">
            <w:pPr>
              <w:spacing w:line="360" w:lineRule="auto"/>
              <w:jc w:val="center"/>
            </w:pPr>
            <w:r w:rsidRPr="00A942DB">
              <w:t>S</w:t>
            </w:r>
          </w:p>
        </w:tc>
        <w:tc>
          <w:tcPr>
            <w:tcW w:w="942" w:type="dxa"/>
          </w:tcPr>
          <w:p w14:paraId="5E7A8A0B" w14:textId="77777777" w:rsidR="00B13E0E" w:rsidRPr="00A942DB" w:rsidRDefault="00A942DB">
            <w:pPr>
              <w:spacing w:line="360" w:lineRule="auto"/>
              <w:jc w:val="center"/>
            </w:pPr>
            <w:r w:rsidRPr="00A942DB">
              <w:t>2.5</w:t>
            </w:r>
          </w:p>
        </w:tc>
        <w:tc>
          <w:tcPr>
            <w:tcW w:w="850" w:type="dxa"/>
          </w:tcPr>
          <w:p w14:paraId="1E0EACDA" w14:textId="77777777" w:rsidR="00B13E0E" w:rsidRPr="00A942DB" w:rsidRDefault="00A942DB">
            <w:pPr>
              <w:spacing w:line="360" w:lineRule="auto"/>
              <w:jc w:val="center"/>
            </w:pPr>
            <w:r w:rsidRPr="00A942DB">
              <w:t>5</w:t>
            </w:r>
            <w:r w:rsidR="00B13E0E" w:rsidRPr="00A942DB">
              <w:t>5</w:t>
            </w:r>
          </w:p>
        </w:tc>
      </w:tr>
      <w:tr w:rsidR="00B13E0E" w:rsidRPr="009417F0" w14:paraId="236119DD" w14:textId="77777777" w:rsidTr="008260D0">
        <w:tc>
          <w:tcPr>
            <w:tcW w:w="704" w:type="dxa"/>
          </w:tcPr>
          <w:p w14:paraId="7BE569D2" w14:textId="77777777" w:rsidR="00B13E0E" w:rsidRPr="00A942DB" w:rsidRDefault="00A942DB">
            <w:pPr>
              <w:spacing w:line="360" w:lineRule="auto"/>
              <w:jc w:val="center"/>
            </w:pPr>
            <w:r w:rsidRPr="00A942DB">
              <w:t>14</w:t>
            </w:r>
          </w:p>
        </w:tc>
        <w:tc>
          <w:tcPr>
            <w:tcW w:w="1418" w:type="dxa"/>
          </w:tcPr>
          <w:p w14:paraId="2B19A297" w14:textId="77777777" w:rsidR="00B13E0E" w:rsidRPr="00A942DB" w:rsidRDefault="00A942DB">
            <w:pPr>
              <w:spacing w:line="360" w:lineRule="auto"/>
              <w:jc w:val="center"/>
            </w:pPr>
            <w:r w:rsidRPr="00A942DB">
              <w:t>124</w:t>
            </w:r>
          </w:p>
        </w:tc>
        <w:tc>
          <w:tcPr>
            <w:tcW w:w="1184" w:type="dxa"/>
          </w:tcPr>
          <w:p w14:paraId="117F33BB" w14:textId="77777777" w:rsidR="00B13E0E" w:rsidRPr="00A942DB" w:rsidRDefault="00B13E0E">
            <w:pPr>
              <w:spacing w:line="360" w:lineRule="auto"/>
              <w:jc w:val="center"/>
            </w:pPr>
            <w:r w:rsidRPr="00A942DB">
              <w:t>S</w:t>
            </w:r>
          </w:p>
        </w:tc>
        <w:tc>
          <w:tcPr>
            <w:tcW w:w="942" w:type="dxa"/>
          </w:tcPr>
          <w:p w14:paraId="57F03B3D" w14:textId="77777777" w:rsidR="00B13E0E" w:rsidRPr="00A942DB" w:rsidRDefault="00B13E0E">
            <w:pPr>
              <w:spacing w:line="360" w:lineRule="auto"/>
              <w:jc w:val="center"/>
            </w:pPr>
            <w:r w:rsidRPr="00A942DB">
              <w:t>0.5</w:t>
            </w:r>
          </w:p>
        </w:tc>
        <w:tc>
          <w:tcPr>
            <w:tcW w:w="850" w:type="dxa"/>
          </w:tcPr>
          <w:p w14:paraId="361D76BE" w14:textId="77777777" w:rsidR="00B13E0E" w:rsidRPr="00A942DB" w:rsidRDefault="00A942DB">
            <w:pPr>
              <w:spacing w:line="360" w:lineRule="auto"/>
              <w:jc w:val="center"/>
            </w:pPr>
            <w:r w:rsidRPr="00A942DB">
              <w:t>55</w:t>
            </w:r>
          </w:p>
        </w:tc>
      </w:tr>
    </w:tbl>
    <w:p w14:paraId="5F29E7A9" w14:textId="77777777" w:rsidR="00901D2C" w:rsidRDefault="00D83543">
      <w:r>
        <w:br w:type="textWrapping" w:clear="all"/>
      </w:r>
      <w:r w:rsidR="00901D2C">
        <w:br w:type="page"/>
      </w:r>
    </w:p>
    <w:p w14:paraId="65A916F5" w14:textId="77777777" w:rsidR="00901D2C" w:rsidRDefault="00901D2C" w:rsidP="004713C5">
      <w:pPr>
        <w:pStyle w:val="Heading1"/>
        <w:spacing w:line="360" w:lineRule="auto"/>
      </w:pPr>
      <w:r>
        <w:lastRenderedPageBreak/>
        <w:t>Figures</w:t>
      </w:r>
    </w:p>
    <w:p w14:paraId="22E2A9AB" w14:textId="77777777" w:rsidR="00901D2C" w:rsidRDefault="008D7BAA" w:rsidP="004713C5">
      <w:pPr>
        <w:spacing w:line="360" w:lineRule="auto"/>
      </w:pPr>
      <w:r>
        <w:rPr>
          <w:noProof/>
          <w:lang w:eastAsia="en-GB"/>
        </w:rPr>
        <w:drawing>
          <wp:inline distT="0" distB="0" distL="0" distR="0" wp14:anchorId="1D749B9E" wp14:editId="1D82B98B">
            <wp:extent cx="3243072" cy="32430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3072" cy="3243072"/>
                    </a:xfrm>
                    <a:prstGeom prst="rect">
                      <a:avLst/>
                    </a:prstGeom>
                  </pic:spPr>
                </pic:pic>
              </a:graphicData>
            </a:graphic>
          </wp:inline>
        </w:drawing>
      </w:r>
    </w:p>
    <w:p w14:paraId="6C93D7D7" w14:textId="7751B781" w:rsidR="00901D2C" w:rsidRDefault="009D6B67" w:rsidP="004713C5">
      <w:pPr>
        <w:spacing w:line="360" w:lineRule="auto"/>
      </w:pPr>
      <w:r>
        <w:t>Figure 1</w:t>
      </w:r>
      <w:r w:rsidR="00901D2C">
        <w:t xml:space="preserve">. Schematic cross-sections through extensional basins within a) non-granitic crust and b) entirely granitic crust. Fully compensated local isostasy is assumed. In other </w:t>
      </w:r>
      <w:proofErr w:type="gramStart"/>
      <w:r w:rsidR="00901D2C">
        <w:t xml:space="preserve">words </w:t>
      </w:r>
      <w:proofErr w:type="gramEnd"/>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c</m:t>
            </m:r>
          </m:sub>
        </m:sSub>
        <m:r>
          <w:rPr>
            <w:rFonts w:ascii="Cambria Math" w:eastAsiaTheme="minorEastAsia" w:hAnsi="Cambria Math"/>
            <w:vertAlign w:val="subscript"/>
          </w:rPr>
          <m:t>=</m:t>
        </m:r>
        <m:sSub>
          <m:sSubPr>
            <m:ctrlPr>
              <w:rPr>
                <w:rFonts w:ascii="Cambria Math" w:eastAsiaTheme="minorEastAsia" w:hAnsi="Cambria Math"/>
                <w:i/>
                <w:vertAlign w:val="subscript"/>
              </w:rPr>
            </m:ctrlPr>
          </m:sSubPr>
          <m:e>
            <m:r>
              <w:rPr>
                <w:rFonts w:ascii="Cambria Math" w:eastAsiaTheme="minorEastAsia" w:hAnsi="Cambria Math"/>
                <w:vertAlign w:val="subscript"/>
              </w:rPr>
              <m:t>h</m:t>
            </m:r>
          </m:e>
          <m:sub>
            <m:r>
              <w:rPr>
                <w:rFonts w:ascii="Cambria Math" w:eastAsiaTheme="minorEastAsia" w:hAnsi="Cambria Math"/>
                <w:vertAlign w:val="subscript"/>
              </w:rPr>
              <m:t>m</m:t>
            </m:r>
          </m:sub>
        </m:sSub>
        <m:r>
          <w:rPr>
            <w:rFonts w:ascii="Cambria Math" w:eastAsiaTheme="minorEastAsia" w:hAnsi="Cambria Math"/>
            <w:vertAlign w:val="subscript"/>
          </w:rPr>
          <m:t>×</m:t>
        </m:r>
        <m:sSub>
          <m:sSubPr>
            <m:ctrlPr>
              <w:rPr>
                <w:rFonts w:ascii="Cambria Math" w:eastAsiaTheme="minorEastAsia" w:hAnsi="Cambria Math"/>
                <w:i/>
                <w:vertAlign w:val="subscript"/>
              </w:rPr>
            </m:ctrlPr>
          </m:sSubPr>
          <m:e>
            <m:r>
              <w:rPr>
                <w:rFonts w:ascii="Cambria Math" w:hAnsi="Cambria Math" w:cstheme="minorHAnsi"/>
              </w:rPr>
              <m:t>ρ</m:t>
            </m:r>
          </m:e>
          <m:sub>
            <m:r>
              <w:rPr>
                <w:rFonts w:ascii="Cambria Math" w:eastAsiaTheme="minorEastAsia" w:hAnsi="Cambria Math"/>
                <w:vertAlign w:val="subscript"/>
              </w:rPr>
              <m:t>m</m:t>
            </m:r>
          </m:sub>
        </m:sSub>
        <m:r>
          <w:rPr>
            <w:rFonts w:ascii="Cambria Math" w:eastAsiaTheme="minorEastAsia" w:hAnsi="Cambria Math"/>
            <w:vertAlign w:val="subscript"/>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c</m:t>
            </m:r>
          </m:sub>
        </m:sSub>
      </m:oMath>
      <w:r w:rsidR="00901D2C">
        <w:rPr>
          <w:rFonts w:eastAsiaTheme="minorEastAsia"/>
          <w:i/>
        </w:rPr>
        <w:t>.</w:t>
      </w:r>
      <w:r w:rsidR="009403A6">
        <w:rPr>
          <w:rFonts w:eastAsiaTheme="minorEastAsia"/>
          <w:i/>
        </w:rPr>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m</m:t>
            </m:r>
          </m:sub>
        </m:sSub>
      </m:oMath>
      <w:r w:rsidR="00E83055">
        <w:t xml:space="preserve"> = 3300 kg </w:t>
      </w:r>
      <w:r w:rsidR="00901D2C">
        <w:t>m</w:t>
      </w:r>
      <w:r w:rsidR="00901D2C">
        <w:rPr>
          <w:vertAlign w:val="superscript"/>
        </w:rPr>
        <w:t>-3</w:t>
      </w:r>
      <w:r w:rsidR="00901D2C">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c</m:t>
            </m:r>
          </m:sub>
        </m:sSub>
      </m:oMath>
      <w:r w:rsidR="00901D2C">
        <w:t xml:space="preserve"> = 2800 k</w:t>
      </w:r>
      <w:r w:rsidR="00E83055">
        <w:t xml:space="preserve">g </w:t>
      </w:r>
      <w:r w:rsidR="00901D2C">
        <w:t>m</w:t>
      </w:r>
      <w:r w:rsidR="00901D2C">
        <w:rPr>
          <w:vertAlign w:val="superscript"/>
        </w:rPr>
        <w:t>-3</w:t>
      </w:r>
      <w:r w:rsidR="00901D2C">
        <w:t>,</w:t>
      </w:r>
      <w:r w:rsidR="009403A6">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g</m:t>
            </m:r>
          </m:sub>
        </m:sSub>
      </m:oMath>
      <w:r w:rsidR="00E83055">
        <w:t xml:space="preserve"> = 2630 kg </w:t>
      </w:r>
      <w:r w:rsidR="00901D2C">
        <w:t>m</w:t>
      </w:r>
      <w:r w:rsidR="00901D2C">
        <w:rPr>
          <w:vertAlign w:val="superscript"/>
        </w:rPr>
        <w:t>-3</w:t>
      </w:r>
      <w:r w:rsidR="00901D2C">
        <w:t xml:space="preserve">. </w:t>
      </w:r>
      <w:r w:rsidR="00901D2C">
        <w:br w:type="page"/>
      </w:r>
    </w:p>
    <w:p w14:paraId="7ECC4152" w14:textId="77777777" w:rsidR="00901D2C" w:rsidRDefault="00047A32" w:rsidP="004713C5">
      <w:pPr>
        <w:spacing w:line="360" w:lineRule="auto"/>
      </w:pPr>
      <w:r>
        <w:rPr>
          <w:noProof/>
          <w:lang w:eastAsia="en-GB"/>
        </w:rPr>
        <w:lastRenderedPageBreak/>
        <w:drawing>
          <wp:inline distT="0" distB="0" distL="0" distR="0" wp14:anchorId="3B14C55D" wp14:editId="26E45FA5">
            <wp:extent cx="5040000" cy="2952000"/>
            <wp:effectExtent l="0" t="0" r="825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2952000"/>
                    </a:xfrm>
                    <a:prstGeom prst="rect">
                      <a:avLst/>
                    </a:prstGeom>
                  </pic:spPr>
                </pic:pic>
              </a:graphicData>
            </a:graphic>
          </wp:inline>
        </w:drawing>
      </w:r>
    </w:p>
    <w:p w14:paraId="7CF2EE7B" w14:textId="77777777" w:rsidR="00901D2C" w:rsidRDefault="009D6B67" w:rsidP="004713C5">
      <w:pPr>
        <w:spacing w:line="360" w:lineRule="auto"/>
      </w:pPr>
      <w:r>
        <w:t>Figure 2</w:t>
      </w:r>
      <w:r w:rsidR="00901D2C">
        <w:t>. Schematic illustration indicating how the influence of a density contrast on basement relief reduces with inc</w:t>
      </w:r>
      <w:r w:rsidR="004B0070">
        <w:t>reased crustal thinning. The pink</w:t>
      </w:r>
      <w:r w:rsidR="00901D2C">
        <w:t xml:space="preserve"> and green blocks represent granitic and non-granitic crust, respectively. The addition of sediment below base level, represented by yellow shading, exaggerates basement relief (also see Fig. 4). Fully compensated local isostasy is assumed. T</w:t>
      </w:r>
      <w:r w:rsidR="00901D2C">
        <w:rPr>
          <w:rFonts w:eastAsiaTheme="minorEastAsia"/>
        </w:rPr>
        <w:t>o better illustrate the effects of a granitic basement, the density contrast between granite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g</m:t>
            </m:r>
          </m:sub>
        </m:sSub>
      </m:oMath>
      <w:r w:rsidR="00901D2C">
        <w:rPr>
          <w:rFonts w:eastAsiaTheme="minorEastAsia"/>
        </w:rPr>
        <w:t>) and ‘standard’ crustal rock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c</m:t>
            </m:r>
          </m:sub>
        </m:sSub>
      </m:oMath>
      <w:r w:rsidR="00901D2C">
        <w:rPr>
          <w:rFonts w:eastAsiaTheme="minorEastAsia"/>
        </w:rPr>
        <w:t xml:space="preserve">) is exaggerated such that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c</m:t>
            </m:r>
          </m:sub>
        </m:sSub>
      </m:oMath>
      <w:r w:rsidR="00E83055">
        <w:t xml:space="preserve"> = 2800 kg </w:t>
      </w:r>
      <w:r w:rsidR="00901D2C">
        <w:t>m</w:t>
      </w:r>
      <w:r w:rsidR="00901D2C">
        <w:rPr>
          <w:vertAlign w:val="superscript"/>
        </w:rPr>
        <w:t>-3</w:t>
      </w:r>
      <w:r w:rsidR="00901D2C">
        <w:rPr>
          <w:rFonts w:eastAsiaTheme="minorEastAsia"/>
        </w:rPr>
        <w:t xml:space="preserve"> and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g</m:t>
            </m:r>
          </m:sub>
        </m:sSub>
      </m:oMath>
      <w:r w:rsidR="00E83055">
        <w:rPr>
          <w:rFonts w:eastAsiaTheme="minorEastAsia"/>
        </w:rPr>
        <w:t xml:space="preserve"> = 2000 kg </w:t>
      </w:r>
      <w:r w:rsidR="00901D2C">
        <w:rPr>
          <w:rFonts w:eastAsiaTheme="minorEastAsia"/>
        </w:rPr>
        <w:t>m</w:t>
      </w:r>
      <w:r w:rsidR="00901D2C">
        <w:rPr>
          <w:rFonts w:eastAsiaTheme="minorEastAsia"/>
          <w:vertAlign w:val="superscript"/>
        </w:rPr>
        <w:t>-3</w:t>
      </w:r>
      <w:r w:rsidR="00901D2C">
        <w:rPr>
          <w:rFonts w:eastAsiaTheme="minorEastAsia"/>
        </w:rPr>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m</m:t>
            </m:r>
          </m:sub>
        </m:sSub>
      </m:oMath>
      <w:r w:rsidR="00E83055">
        <w:t xml:space="preserve"> = 3300 kg </w:t>
      </w:r>
      <w:r w:rsidR="00901D2C">
        <w:t>m</w:t>
      </w:r>
      <w:r w:rsidR="00901D2C">
        <w:rPr>
          <w:vertAlign w:val="superscript"/>
        </w:rPr>
        <w:t>-3</w:t>
      </w:r>
      <w:r w:rsidR="00901D2C">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i</m:t>
            </m:r>
          </m:sub>
        </m:sSub>
      </m:oMath>
      <w:r w:rsidR="00901D2C">
        <w:rPr>
          <w:rFonts w:eastAsiaTheme="minorEastAsia"/>
        </w:rPr>
        <w:t xml:space="preserve"> = 2500 k</w:t>
      </w:r>
      <w:r w:rsidR="00E83055">
        <w:t xml:space="preserve">g </w:t>
      </w:r>
      <w:r w:rsidR="00901D2C">
        <w:t>m</w:t>
      </w:r>
      <w:r w:rsidR="00901D2C">
        <w:rPr>
          <w:vertAlign w:val="superscript"/>
        </w:rPr>
        <w:t>-3</w:t>
      </w:r>
      <w:r w:rsidR="00901D2C">
        <w:t>.</w:t>
      </w:r>
      <w:r w:rsidR="00901D2C">
        <w:br w:type="page"/>
      </w:r>
    </w:p>
    <w:p w14:paraId="0EB3E317" w14:textId="77777777" w:rsidR="00901D2C" w:rsidRDefault="00901D2C" w:rsidP="004713C5">
      <w:pPr>
        <w:spacing w:line="360" w:lineRule="auto"/>
      </w:pPr>
    </w:p>
    <w:p w14:paraId="261BAD51" w14:textId="77777777" w:rsidR="00901D2C" w:rsidRDefault="00047A32" w:rsidP="004713C5">
      <w:pPr>
        <w:spacing w:line="360" w:lineRule="auto"/>
      </w:pPr>
      <w:r>
        <w:rPr>
          <w:noProof/>
          <w:lang w:eastAsia="en-GB"/>
        </w:rPr>
        <w:drawing>
          <wp:inline distT="0" distB="0" distL="0" distR="0" wp14:anchorId="22361522" wp14:editId="0FD58B2D">
            <wp:extent cx="3249168" cy="2508504"/>
            <wp:effectExtent l="0" t="0" r="889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9168" cy="2508504"/>
                    </a:xfrm>
                    <a:prstGeom prst="rect">
                      <a:avLst/>
                    </a:prstGeom>
                  </pic:spPr>
                </pic:pic>
              </a:graphicData>
            </a:graphic>
          </wp:inline>
        </w:drawing>
      </w:r>
    </w:p>
    <w:p w14:paraId="0ED4CC9A" w14:textId="5E3AE33E" w:rsidR="00901D2C" w:rsidRDefault="009D6B67" w:rsidP="004713C5">
      <w:pPr>
        <w:spacing w:line="360" w:lineRule="auto"/>
      </w:pPr>
      <w:r>
        <w:t>Figure 3</w:t>
      </w:r>
      <w:r w:rsidR="00901D2C">
        <w:t xml:space="preserve">. </w:t>
      </w:r>
      <w:r w:rsidR="00A109D5">
        <w:t>B</w:t>
      </w:r>
      <w:r w:rsidR="00901D2C">
        <w:t>asement relief</w:t>
      </w:r>
      <w:r w:rsidR="00A109D5">
        <w:t xml:space="preserve"> (the difference in basement elevation; see Fig. 2)</w:t>
      </w:r>
      <w:r w:rsidR="00580393">
        <w:t xml:space="preserve"> </w:t>
      </w:r>
      <w:r w:rsidR="00A109D5">
        <w:t>between non-granitic and granite-cored basement at different magnitudes of</w:t>
      </w:r>
      <w:r w:rsidR="00580393">
        <w:t xml:space="preserve"> </w:t>
      </w:r>
      <w:r w:rsidR="00E83055">
        <w:t>extension (</w:t>
      </w:r>
      <m:oMath>
        <m:r>
          <w:rPr>
            <w:rFonts w:ascii="Cambria Math" w:hAnsi="Cambria Math"/>
          </w:rPr>
          <m:t>β</m:t>
        </m:r>
      </m:oMath>
      <w:r w:rsidR="00E83055">
        <w:t>)</w:t>
      </w:r>
      <w:r w:rsidR="00901D2C">
        <w:t xml:space="preserve">. The influence of a density contrast on basement relief reduces with increased extension. However, basin infill exaggerates relief. </w:t>
      </w:r>
      <m:oMath>
        <m:sSub>
          <m:sSubPr>
            <m:ctrlPr>
              <w:rPr>
                <w:rFonts w:ascii="Cambria Math" w:eastAsiaTheme="minorEastAsia" w:hAnsi="Cambria Math"/>
                <w:i/>
              </w:rPr>
            </m:ctrlPr>
          </m:sSubPr>
          <m:e>
            <m:r>
              <w:rPr>
                <w:rFonts w:ascii="Cambria Math" w:eastAsiaTheme="minorEastAsia" w:hAnsi="Cambria Math"/>
              </w:rPr>
              <m:t>GR</m:t>
            </m:r>
          </m:e>
          <m:sub>
            <m:r>
              <w:rPr>
                <w:rFonts w:ascii="Cambria Math" w:eastAsiaTheme="minorEastAsia" w:hAnsi="Cambria Math"/>
              </w:rPr>
              <m:t>0</m:t>
            </m:r>
          </m:sub>
        </m:sSub>
      </m:oMath>
      <w:r w:rsidR="00901D2C">
        <w:rPr>
          <w:rFonts w:eastAsiaTheme="minorEastAsia"/>
        </w:rPr>
        <w:t xml:space="preserve"> = 5 km,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oMath>
      <w:r w:rsidR="00901D2C">
        <w:rPr>
          <w:rFonts w:eastAsiaTheme="minorEastAsia"/>
        </w:rPr>
        <w:t xml:space="preserve"> = 35 km,</w:t>
      </w:r>
      <w:r w:rsidR="00580393">
        <w:rPr>
          <w:rFonts w:eastAsiaTheme="minorEastAsia"/>
        </w:rPr>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m</m:t>
            </m:r>
          </m:sub>
        </m:sSub>
      </m:oMath>
      <w:r w:rsidR="00E83055">
        <w:t xml:space="preserve"> = 3300 kg </w:t>
      </w:r>
      <w:r w:rsidR="00901D2C">
        <w:t>m</w:t>
      </w:r>
      <w:r w:rsidR="00901D2C">
        <w:rPr>
          <w:vertAlign w:val="superscript"/>
        </w:rPr>
        <w:t>-3</w:t>
      </w:r>
      <w:r w:rsidR="00901D2C">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c</m:t>
            </m:r>
          </m:sub>
        </m:sSub>
      </m:oMath>
      <w:r w:rsidR="00E83055">
        <w:t xml:space="preserve"> = 2800 kg </w:t>
      </w:r>
      <w:r w:rsidR="00901D2C">
        <w:t>m</w:t>
      </w:r>
      <w:r w:rsidR="00901D2C">
        <w:rPr>
          <w:vertAlign w:val="superscript"/>
        </w:rPr>
        <w:t>-3</w:t>
      </w:r>
      <w:r w:rsidR="00901D2C">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g</m:t>
            </m:r>
          </m:sub>
        </m:sSub>
      </m:oMath>
      <w:r w:rsidR="00E83055">
        <w:t xml:space="preserve"> = 2630 kg </w:t>
      </w:r>
      <w:r w:rsidR="00901D2C">
        <w:t>m</w:t>
      </w:r>
      <w:r w:rsidR="00901D2C">
        <w:rPr>
          <w:vertAlign w:val="superscript"/>
        </w:rPr>
        <w:t>-3</w:t>
      </w:r>
      <w:r w:rsidR="00901D2C">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i</m:t>
            </m:r>
          </m:sub>
        </m:sSub>
      </m:oMath>
      <w:r w:rsidR="00901D2C">
        <w:rPr>
          <w:rFonts w:eastAsiaTheme="minorEastAsia"/>
        </w:rPr>
        <w:t xml:space="preserve"> = 2500 k</w:t>
      </w:r>
      <w:r w:rsidR="00901D2C">
        <w:t>gm</w:t>
      </w:r>
      <w:r w:rsidR="00901D2C">
        <w:rPr>
          <w:vertAlign w:val="superscript"/>
        </w:rPr>
        <w:t>-3</w:t>
      </w:r>
      <w:r w:rsidR="00901D2C">
        <w:t>.</w:t>
      </w:r>
      <w:r w:rsidR="00901D2C">
        <w:br w:type="page"/>
      </w:r>
    </w:p>
    <w:p w14:paraId="14B9F110" w14:textId="52E6B378" w:rsidR="00901D2C" w:rsidRDefault="005A552C" w:rsidP="004713C5">
      <w:pPr>
        <w:spacing w:line="360" w:lineRule="auto"/>
      </w:pPr>
      <w:r>
        <w:rPr>
          <w:noProof/>
          <w:lang w:eastAsia="en-GB"/>
        </w:rPr>
        <w:lastRenderedPageBreak/>
        <w:drawing>
          <wp:inline distT="0" distB="0" distL="0" distR="0" wp14:anchorId="777FDD2E" wp14:editId="47CD3C4A">
            <wp:extent cx="3243072" cy="35417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3072" cy="3541776"/>
                    </a:xfrm>
                    <a:prstGeom prst="rect">
                      <a:avLst/>
                    </a:prstGeom>
                  </pic:spPr>
                </pic:pic>
              </a:graphicData>
            </a:graphic>
          </wp:inline>
        </w:drawing>
      </w:r>
    </w:p>
    <w:p w14:paraId="3C61A05F" w14:textId="77777777" w:rsidR="00901D2C" w:rsidRDefault="009D6B67" w:rsidP="004713C5">
      <w:pPr>
        <w:spacing w:line="360" w:lineRule="auto"/>
      </w:pPr>
      <w:r>
        <w:t>Figure 4</w:t>
      </w:r>
      <w:r w:rsidR="00901D2C">
        <w:t xml:space="preserve">. Schematic illustration indicating the influence of pre-tectonic denudation of </w:t>
      </w:r>
      <w:proofErr w:type="spellStart"/>
      <w:r w:rsidR="00901D2C">
        <w:t>isostatically</w:t>
      </w:r>
      <w:proofErr w:type="spellEnd"/>
      <w:r w:rsidR="00901D2C">
        <w:t xml:space="preserve"> compensated lithosphere on the basement topography of a) un-extended and b) extended lithosphere. Fully compensated local isostasy is assumed.</w:t>
      </w:r>
      <w:r w:rsidR="00901D2C">
        <w:br w:type="page"/>
      </w:r>
    </w:p>
    <w:p w14:paraId="085220C6" w14:textId="77777777" w:rsidR="00901D2C" w:rsidRDefault="0089799D" w:rsidP="004713C5">
      <w:pPr>
        <w:spacing w:line="360" w:lineRule="auto"/>
        <w:jc w:val="both"/>
      </w:pPr>
      <w:r>
        <w:rPr>
          <w:noProof/>
          <w:lang w:eastAsia="en-GB"/>
        </w:rPr>
        <w:lastRenderedPageBreak/>
        <w:drawing>
          <wp:inline distT="0" distB="0" distL="0" distR="0" wp14:anchorId="3CD4DDDD" wp14:editId="4D502C38">
            <wp:extent cx="6847200" cy="341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7200" cy="3416400"/>
                    </a:xfrm>
                    <a:prstGeom prst="rect">
                      <a:avLst/>
                    </a:prstGeom>
                  </pic:spPr>
                </pic:pic>
              </a:graphicData>
            </a:graphic>
          </wp:inline>
        </w:drawing>
      </w:r>
    </w:p>
    <w:p w14:paraId="089260F7" w14:textId="2347A125" w:rsidR="009D6B67" w:rsidRPr="00B36D71" w:rsidRDefault="009D6B67" w:rsidP="009D6B67">
      <w:pPr>
        <w:spacing w:line="360" w:lineRule="auto"/>
        <w:jc w:val="both"/>
      </w:pPr>
      <w:r>
        <w:t>Figure 5</w:t>
      </w:r>
      <w:r w:rsidR="00901D2C">
        <w:t>. The varying flexural responses to an added granite body, 15km wide x 5km high, into a lithosphere with different elastic thicknesses (</w:t>
      </w:r>
      <m:oMath>
        <m:r>
          <w:rPr>
            <w:rFonts w:ascii="Cambria Math" w:hAnsi="Cambria Math"/>
          </w:rPr>
          <m:t>Te</m:t>
        </m:r>
      </m:oMath>
      <w:r w:rsidR="00901D2C">
        <w:t xml:space="preserve">). </w:t>
      </w:r>
      <w:r w:rsidR="00901D2C">
        <w:rPr>
          <w:rFonts w:eastAsiaTheme="minorEastAsia"/>
        </w:rPr>
        <w:t xml:space="preserve">When the lithosphere is assumed to have elastic strength, isostatic compensation is reduced in amplitude but increased in width with respect to Airy (local) isostatic compensation.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oMath>
      <w:r w:rsidR="00901D2C">
        <w:rPr>
          <w:rFonts w:eastAsiaTheme="minorEastAsia"/>
        </w:rPr>
        <w:t xml:space="preserve"> </w:t>
      </w:r>
      <w:proofErr w:type="gramStart"/>
      <w:r w:rsidR="00901D2C">
        <w:rPr>
          <w:rFonts w:eastAsiaTheme="minorEastAsia"/>
        </w:rPr>
        <w:t>= 35 km</w:t>
      </w:r>
      <w:proofErr w:type="gramEnd"/>
      <w:r w:rsidR="00901D2C">
        <w:rPr>
          <w:rFonts w:eastAsiaTheme="minorEastAsia"/>
        </w:rPr>
        <w:t>,</w:t>
      </w:r>
      <w:r w:rsidR="005A552C">
        <w:rPr>
          <w:rFonts w:eastAsiaTheme="minorEastAsia"/>
        </w:rPr>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m</m:t>
            </m:r>
          </m:sub>
        </m:sSub>
      </m:oMath>
      <w:r w:rsidR="00E83055">
        <w:t xml:space="preserve"> = 3300 kg </w:t>
      </w:r>
      <w:r w:rsidR="00901D2C">
        <w:t>m</w:t>
      </w:r>
      <w:r w:rsidR="00901D2C">
        <w:rPr>
          <w:vertAlign w:val="superscript"/>
        </w:rPr>
        <w:t>-3</w:t>
      </w:r>
      <w:r w:rsidR="00901D2C">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c</m:t>
            </m:r>
          </m:sub>
        </m:sSub>
      </m:oMath>
      <w:r w:rsidR="00901D2C">
        <w:t xml:space="preserve"> = 2800 kgm</w:t>
      </w:r>
      <w:r w:rsidR="00901D2C">
        <w:rPr>
          <w:vertAlign w:val="superscript"/>
        </w:rPr>
        <w:t>-3</w:t>
      </w:r>
      <w:r w:rsidR="00901D2C">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g</m:t>
            </m:r>
          </m:sub>
        </m:sSub>
      </m:oMath>
      <w:r w:rsidR="009403A6">
        <w:rPr>
          <w:rFonts w:eastAsiaTheme="minorEastAsia"/>
        </w:rPr>
        <w:t xml:space="preserve"> </w:t>
      </w:r>
      <w:r w:rsidR="00E83055">
        <w:t xml:space="preserve">= 2630 kg </w:t>
      </w:r>
      <w:r w:rsidR="00901D2C">
        <w:t>m</w:t>
      </w:r>
      <w:r w:rsidR="00901D2C">
        <w:rPr>
          <w:vertAlign w:val="superscript"/>
        </w:rPr>
        <w:t>-3</w:t>
      </w:r>
      <w:r w:rsidR="00901D2C">
        <w:t>.</w:t>
      </w:r>
      <w:r w:rsidR="00901D2C">
        <w:br w:type="page"/>
      </w:r>
    </w:p>
    <w:p w14:paraId="729E99E7" w14:textId="3A07D878" w:rsidR="009D6B67" w:rsidRDefault="005153FC" w:rsidP="009D6B67">
      <w:pPr>
        <w:spacing w:line="360" w:lineRule="auto"/>
        <w:jc w:val="both"/>
      </w:pPr>
      <w:r>
        <w:rPr>
          <w:noProof/>
          <w:lang w:eastAsia="en-GB"/>
        </w:rPr>
        <w:lastRenderedPageBreak/>
        <w:drawing>
          <wp:inline distT="0" distB="0" distL="0" distR="0" wp14:anchorId="5EA71FD9" wp14:editId="6D0CB2DF">
            <wp:extent cx="5074920" cy="60106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ite_Thickness_v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4920" cy="6010656"/>
                    </a:xfrm>
                    <a:prstGeom prst="rect">
                      <a:avLst/>
                    </a:prstGeom>
                  </pic:spPr>
                </pic:pic>
              </a:graphicData>
            </a:graphic>
          </wp:inline>
        </w:drawing>
      </w:r>
    </w:p>
    <w:p w14:paraId="49831945" w14:textId="0DAF0E89" w:rsidR="00901D2C" w:rsidRPr="005F4058" w:rsidRDefault="009D6B67" w:rsidP="009D6B67">
      <w:pPr>
        <w:spacing w:line="360" w:lineRule="auto"/>
        <w:rPr>
          <w:highlight w:val="yellow"/>
        </w:rPr>
      </w:pPr>
      <w:r>
        <w:t xml:space="preserve">Figure </w:t>
      </w:r>
      <w:r w:rsidR="003C7CEC">
        <w:t>6</w:t>
      </w:r>
      <w:r>
        <w:t>. A topographic structural map of northern England and southern Scotland (British Geological Survey, 2008) superimposed with a deep structural map of northern England (Chadwick et al., 1995) and a buried granite thickness map based on the interpretations of gravity and magnetic anomaly data (</w:t>
      </w:r>
      <w:proofErr w:type="spellStart"/>
      <w:r>
        <w:t>Kimbell</w:t>
      </w:r>
      <w:proofErr w:type="spellEnd"/>
      <w:r>
        <w:t xml:space="preserve"> et al., 2006). A-A’ and B-B’ represent the locations of the cross-sections presented in figure </w:t>
      </w:r>
      <w:r w:rsidR="005153FC">
        <w:t>8</w:t>
      </w:r>
      <w:r>
        <w:t>.</w:t>
      </w:r>
      <w:r w:rsidR="005153FC">
        <w:t xml:space="preserve"> Inset: </w:t>
      </w:r>
      <w:r w:rsidR="005153FC" w:rsidRPr="00A310B9">
        <w:t>The locations of interpreted and proven Caledonia</w:t>
      </w:r>
      <w:r w:rsidR="005153FC">
        <w:t>n granite bodies across the UK continental shelf</w:t>
      </w:r>
      <w:r w:rsidR="005153FC" w:rsidRPr="00A310B9">
        <w:t xml:space="preserve"> and Ireland</w:t>
      </w:r>
      <w:r w:rsidR="005153FC">
        <w:t xml:space="preserve"> and area of interest. Based on work by Donato et al. (1983), Donato and </w:t>
      </w:r>
      <w:proofErr w:type="spellStart"/>
      <w:r w:rsidR="005153FC">
        <w:t>Megson</w:t>
      </w:r>
      <w:proofErr w:type="spellEnd"/>
      <w:r w:rsidR="005153FC">
        <w:t xml:space="preserve"> (1990), Donato (1993), Corfield et al. (</w:t>
      </w:r>
      <w:proofErr w:type="gramStart"/>
      <w:r w:rsidR="005153FC">
        <w:t xml:space="preserve">1996) and </w:t>
      </w:r>
      <w:proofErr w:type="spellStart"/>
      <w:r w:rsidR="005153FC">
        <w:t>Kimbell</w:t>
      </w:r>
      <w:proofErr w:type="spellEnd"/>
      <w:proofErr w:type="gramEnd"/>
      <w:r w:rsidR="005153FC">
        <w:t xml:space="preserve"> and Williamson (2015).</w:t>
      </w:r>
      <w:r w:rsidR="00901D2C">
        <w:rPr>
          <w:highlight w:val="yellow"/>
        </w:rPr>
        <w:br w:type="page"/>
      </w:r>
      <w:r w:rsidR="005F4058">
        <w:rPr>
          <w:noProof/>
          <w:lang w:eastAsia="en-GB"/>
        </w:rPr>
        <w:lastRenderedPageBreak/>
        <w:drawing>
          <wp:inline distT="0" distB="0" distL="0" distR="0" wp14:anchorId="5CC8D4BB" wp14:editId="1F95F948">
            <wp:extent cx="3243072" cy="71719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3072" cy="7171944"/>
                    </a:xfrm>
                    <a:prstGeom prst="rect">
                      <a:avLst/>
                    </a:prstGeom>
                  </pic:spPr>
                </pic:pic>
              </a:graphicData>
            </a:graphic>
          </wp:inline>
        </w:drawing>
      </w:r>
    </w:p>
    <w:p w14:paraId="456D4AB3" w14:textId="7347E8BD" w:rsidR="00627C7E" w:rsidRDefault="00901D2C" w:rsidP="005F4058">
      <w:pPr>
        <w:spacing w:line="360" w:lineRule="auto"/>
      </w:pPr>
      <w:r>
        <w:t xml:space="preserve">Figure </w:t>
      </w:r>
      <w:r w:rsidR="003C7CEC">
        <w:t>7</w:t>
      </w:r>
      <w:r>
        <w:t xml:space="preserve">. Tectonostratigraphic section of northern England (modified after </w:t>
      </w:r>
      <w:r w:rsidR="00276F56">
        <w:t xml:space="preserve">Fraser and </w:t>
      </w:r>
      <w:proofErr w:type="spellStart"/>
      <w:r w:rsidR="00276F56">
        <w:t>Gawthorpe</w:t>
      </w:r>
      <w:proofErr w:type="spellEnd"/>
      <w:r w:rsidR="00276F56">
        <w:t>, 1990 and Chadwick et al., 1995</w:t>
      </w:r>
      <w:r>
        <w:t xml:space="preserve">). </w:t>
      </w:r>
      <w:proofErr w:type="spellStart"/>
      <w:r>
        <w:t>Lithostratigraphic</w:t>
      </w:r>
      <w:proofErr w:type="spellEnd"/>
      <w:r>
        <w:t xml:space="preserve"> nomenclature from Waters et al. (2007). A</w:t>
      </w:r>
      <w:r w:rsidR="005F4058">
        <w:t xml:space="preserve">ges from </w:t>
      </w:r>
      <w:proofErr w:type="spellStart"/>
      <w:r w:rsidR="005F4058">
        <w:t>Davydov</w:t>
      </w:r>
      <w:proofErr w:type="spellEnd"/>
      <w:r w:rsidR="005F4058">
        <w:t xml:space="preserve"> et al. (2012).</w:t>
      </w:r>
      <w:r w:rsidR="00627C7E">
        <w:rPr>
          <w:noProof/>
          <w:lang w:eastAsia="en-GB"/>
        </w:rPr>
        <w:br w:type="page"/>
      </w:r>
    </w:p>
    <w:p w14:paraId="0CD79EAE" w14:textId="77777777" w:rsidR="00627C7E" w:rsidRDefault="00627C7E">
      <w:pPr>
        <w:sectPr w:rsidR="00627C7E" w:rsidSect="0075029C">
          <w:footerReference w:type="default" r:id="rId16"/>
          <w:pgSz w:w="11906" w:h="16838"/>
          <w:pgMar w:top="1440" w:right="1440" w:bottom="1440" w:left="1440" w:header="708" w:footer="708" w:gutter="0"/>
          <w:lnNumType w:countBy="1" w:restart="continuous"/>
          <w:cols w:space="708"/>
          <w:docGrid w:linePitch="360"/>
        </w:sectPr>
      </w:pPr>
    </w:p>
    <w:p w14:paraId="46EF3108" w14:textId="3370C2D7" w:rsidR="00627C7E" w:rsidRDefault="007F47C1">
      <w:r>
        <w:rPr>
          <w:noProof/>
          <w:lang w:eastAsia="en-GB"/>
        </w:rPr>
        <w:lastRenderedPageBreak/>
        <w:drawing>
          <wp:inline distT="0" distB="0" distL="0" distR="0" wp14:anchorId="07EF9158" wp14:editId="041DBD37">
            <wp:extent cx="8772144" cy="50413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72144" cy="5041392"/>
                    </a:xfrm>
                    <a:prstGeom prst="rect">
                      <a:avLst/>
                    </a:prstGeom>
                  </pic:spPr>
                </pic:pic>
              </a:graphicData>
            </a:graphic>
          </wp:inline>
        </w:drawing>
      </w:r>
      <w:r w:rsidR="00627C7E">
        <w:br w:type="page"/>
      </w:r>
    </w:p>
    <w:p w14:paraId="6138E61B" w14:textId="77777777" w:rsidR="00627C7E" w:rsidRDefault="00627C7E" w:rsidP="004713C5">
      <w:pPr>
        <w:spacing w:line="360" w:lineRule="auto"/>
        <w:sectPr w:rsidR="00627C7E" w:rsidSect="00627C7E">
          <w:pgSz w:w="16838" w:h="11906" w:orient="landscape"/>
          <w:pgMar w:top="1440" w:right="1440" w:bottom="1440" w:left="1440" w:header="708" w:footer="708" w:gutter="0"/>
          <w:lnNumType w:countBy="1" w:restart="continuous"/>
          <w:cols w:space="708"/>
          <w:docGrid w:linePitch="360"/>
        </w:sectPr>
      </w:pPr>
    </w:p>
    <w:p w14:paraId="5EE090B8" w14:textId="79662AAA" w:rsidR="00D06897" w:rsidRDefault="00901D2C" w:rsidP="009E4015">
      <w:pPr>
        <w:spacing w:line="360" w:lineRule="auto"/>
      </w:pPr>
      <w:r>
        <w:lastRenderedPageBreak/>
        <w:t xml:space="preserve">Figure </w:t>
      </w:r>
      <w:r w:rsidR="003C7CEC">
        <w:t>8</w:t>
      </w:r>
      <w:r>
        <w:t xml:space="preserve"> Cross-sections through northern England based on the structural interpretations of Chadwick et al. (1995). Granite thicknesses are based on the interpretations of gravity and magnetic anomaly data (</w:t>
      </w:r>
      <w:proofErr w:type="spellStart"/>
      <w:r>
        <w:t>Kimbell</w:t>
      </w:r>
      <w:proofErr w:type="spellEnd"/>
      <w:r>
        <w:t xml:space="preserve"> et al., 2006). 3D </w:t>
      </w:r>
      <w:proofErr w:type="spellStart"/>
      <w:r>
        <w:t>shapefiles</w:t>
      </w:r>
      <w:proofErr w:type="spellEnd"/>
      <w:r>
        <w:t xml:space="preserve"> courtesy of </w:t>
      </w:r>
      <w:proofErr w:type="spellStart"/>
      <w:r>
        <w:t>Terrington</w:t>
      </w:r>
      <w:proofErr w:type="spellEnd"/>
      <w:r>
        <w:t xml:space="preserve"> and Thorpe (2013). See figure 1 for a map view, including the locations of the cross-sections, and refer to figure </w:t>
      </w:r>
      <w:proofErr w:type="gramStart"/>
      <w:r>
        <w:t>8</w:t>
      </w:r>
      <w:proofErr w:type="gramEnd"/>
      <w:r>
        <w:t xml:space="preserve"> for a summary of the </w:t>
      </w:r>
      <w:proofErr w:type="spellStart"/>
      <w:r>
        <w:t>tectonostratigraphy</w:t>
      </w:r>
      <w:proofErr w:type="spellEnd"/>
      <w:r>
        <w:t xml:space="preserve"> of the study area.</w:t>
      </w:r>
      <w:r w:rsidR="0091089D">
        <w:t xml:space="preserve"> The true characteristics of a top or base granite profile are poorly constrained by geophysical data. The bases of both the Lake District and North Pennine Batholiths are widely assumed flat at around </w:t>
      </w:r>
      <w:proofErr w:type="gramStart"/>
      <w:r w:rsidR="0091089D">
        <w:t>9-</w:t>
      </w:r>
      <w:proofErr w:type="gramEnd"/>
      <w:r w:rsidR="0091089D">
        <w:t>12 km depth (</w:t>
      </w:r>
      <w:proofErr w:type="spellStart"/>
      <w:r w:rsidR="0091089D">
        <w:t>Kimbell</w:t>
      </w:r>
      <w:proofErr w:type="spellEnd"/>
      <w:r w:rsidR="0091089D">
        <w:t xml:space="preserve"> et al., 2010).</w:t>
      </w:r>
      <w:r w:rsidR="00D06897">
        <w:br w:type="page"/>
      </w:r>
    </w:p>
    <w:p w14:paraId="681CC6CC" w14:textId="77777777" w:rsidR="009E4015" w:rsidRDefault="009E4015" w:rsidP="004713C5">
      <w:pPr>
        <w:spacing w:line="360" w:lineRule="auto"/>
        <w:sectPr w:rsidR="009E4015" w:rsidSect="00627C7E">
          <w:pgSz w:w="11906" w:h="16838"/>
          <w:pgMar w:top="1440" w:right="1440" w:bottom="1440" w:left="1440" w:header="708" w:footer="708" w:gutter="0"/>
          <w:lnNumType w:countBy="1" w:restart="continuous"/>
          <w:cols w:space="708"/>
          <w:docGrid w:linePitch="360"/>
        </w:sectPr>
      </w:pPr>
    </w:p>
    <w:p w14:paraId="330365CA" w14:textId="77777777" w:rsidR="009E4015" w:rsidRDefault="009E4015" w:rsidP="004713C5">
      <w:pPr>
        <w:spacing w:line="360" w:lineRule="auto"/>
      </w:pPr>
      <w:r>
        <w:rPr>
          <w:noProof/>
          <w:lang w:eastAsia="en-GB"/>
        </w:rPr>
        <w:lastRenderedPageBreak/>
        <w:drawing>
          <wp:inline distT="0" distB="0" distL="0" distR="0" wp14:anchorId="44CD48A9" wp14:editId="12696040">
            <wp:extent cx="8394700" cy="664591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ismic cross-sec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94700" cy="6645910"/>
                    </a:xfrm>
                    <a:prstGeom prst="rect">
                      <a:avLst/>
                    </a:prstGeom>
                  </pic:spPr>
                </pic:pic>
              </a:graphicData>
            </a:graphic>
          </wp:inline>
        </w:drawing>
      </w:r>
    </w:p>
    <w:p w14:paraId="2464BC85" w14:textId="5C073776" w:rsidR="00901D2C" w:rsidRDefault="009E4015" w:rsidP="004713C5">
      <w:pPr>
        <w:spacing w:line="360" w:lineRule="auto"/>
      </w:pPr>
      <w:r>
        <w:lastRenderedPageBreak/>
        <w:t xml:space="preserve">Figure </w:t>
      </w:r>
      <w:r w:rsidR="003C7CEC">
        <w:t>9</w:t>
      </w:r>
      <w:r>
        <w:t xml:space="preserve">. </w:t>
      </w:r>
      <w:r w:rsidR="003306CD">
        <w:t xml:space="preserve">Seismic interpretations of the Northumberland Basin (A-A’), Alston Block (B-B’) and </w:t>
      </w:r>
      <w:proofErr w:type="spellStart"/>
      <w:r w:rsidR="003306CD">
        <w:t>Stainmore</w:t>
      </w:r>
      <w:proofErr w:type="spellEnd"/>
      <w:r w:rsidR="003306CD">
        <w:t xml:space="preserve"> Basin (C-C’) based on interpretations by Collier (1991), Chadwick et al (1995) and Butler and Jamieson (2013)</w:t>
      </w:r>
      <w:r w:rsidR="00F60634">
        <w:t>;</w:t>
      </w:r>
      <w:r w:rsidR="009403A6">
        <w:t xml:space="preserve"> </w:t>
      </w:r>
      <w:r w:rsidR="00F60634">
        <w:t>Seismic lines TOC 86-V103, BGS-86-03 and UK 86-454 respectively.</w:t>
      </w:r>
      <w:r w:rsidR="007C1179">
        <w:t xml:space="preserve"> The location map shows the extent of onshore seismic within the study area.</w:t>
      </w:r>
      <w:r w:rsidR="00554BF2">
        <w:t xml:space="preserve"> </w:t>
      </w:r>
      <w:r w:rsidR="003306CD">
        <w:t>Seismic data</w:t>
      </w:r>
      <w:r w:rsidR="007C1179">
        <w:t xml:space="preserve"> and location map both come</w:t>
      </w:r>
      <w:r w:rsidR="003306CD">
        <w:t xml:space="preserve"> courtesy of the UK Onshore Geophysical Library (UKOGL).</w:t>
      </w:r>
      <w:r w:rsidR="00901D2C">
        <w:br w:type="page"/>
      </w:r>
    </w:p>
    <w:p w14:paraId="47A0EE64" w14:textId="77777777" w:rsidR="009E4015" w:rsidRDefault="009E4015" w:rsidP="004713C5">
      <w:pPr>
        <w:spacing w:line="360" w:lineRule="auto"/>
        <w:sectPr w:rsidR="009E4015" w:rsidSect="009E4015">
          <w:pgSz w:w="16838" w:h="11906" w:orient="landscape"/>
          <w:pgMar w:top="720" w:right="720" w:bottom="720" w:left="720" w:header="709" w:footer="709" w:gutter="0"/>
          <w:lnNumType w:countBy="1" w:restart="continuous"/>
          <w:cols w:space="708"/>
          <w:docGrid w:linePitch="360"/>
        </w:sectPr>
      </w:pPr>
    </w:p>
    <w:p w14:paraId="03E65563" w14:textId="07D6B46E" w:rsidR="00901D2C" w:rsidRDefault="002E4CED" w:rsidP="004713C5">
      <w:pPr>
        <w:spacing w:line="360" w:lineRule="auto"/>
      </w:pPr>
      <w:r>
        <w:rPr>
          <w:noProof/>
          <w:lang w:eastAsia="en-GB"/>
        </w:rPr>
        <w:lastRenderedPageBreak/>
        <w:drawing>
          <wp:inline distT="0" distB="0" distL="0" distR="0" wp14:anchorId="52D48221" wp14:editId="01CE1532">
            <wp:extent cx="5087112" cy="78699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7112" cy="7869936"/>
                    </a:xfrm>
                    <a:prstGeom prst="rect">
                      <a:avLst/>
                    </a:prstGeom>
                  </pic:spPr>
                </pic:pic>
              </a:graphicData>
            </a:graphic>
          </wp:inline>
        </w:drawing>
      </w:r>
    </w:p>
    <w:p w14:paraId="36666F63" w14:textId="7F91BE5F" w:rsidR="00901D2C" w:rsidRDefault="00901D2C" w:rsidP="004713C5">
      <w:pPr>
        <w:spacing w:line="360" w:lineRule="auto"/>
      </w:pPr>
      <w:r>
        <w:t>Fig</w:t>
      </w:r>
      <w:r w:rsidR="009E4015">
        <w:t>ure 1</w:t>
      </w:r>
      <w:r w:rsidR="003C7CEC">
        <w:t>0.</w:t>
      </w:r>
      <w:r>
        <w:t xml:space="preserve"> Model generated along the line of the cross-section presented in figure </w:t>
      </w:r>
      <w:r w:rsidR="009403A6">
        <w:t>8</w:t>
      </w:r>
      <w:r>
        <w:t>a across the Northumberland Trough and Alston Block. Fault locations and offsets (1</w:t>
      </w:r>
      <w:r w:rsidR="009403A6">
        <w:t>0</w:t>
      </w:r>
      <w:r>
        <w:t>a and b) are displayed in table 3 and are based upon the deep structural interpretations made by Chadwick et al. (1995). 1</w:t>
      </w:r>
      <w:r w:rsidR="009403A6">
        <w:t>0-</w:t>
      </w:r>
      <w:r>
        <w:t xml:space="preserve">b </w:t>
      </w:r>
      <w:r>
        <w:lastRenderedPageBreak/>
        <w:t>incorporates a granite thickness profile (1</w:t>
      </w:r>
      <w:r w:rsidR="009403A6">
        <w:t>0</w:t>
      </w:r>
      <w:r>
        <w:t>c) based upon the interpretations of gravity and magnetic anomaly data (</w:t>
      </w:r>
      <w:proofErr w:type="spellStart"/>
      <w:r>
        <w:t>Kimbell</w:t>
      </w:r>
      <w:proofErr w:type="spellEnd"/>
      <w:r>
        <w:t xml:space="preserve"> et al., 2006). 1</w:t>
      </w:r>
      <w:r w:rsidR="009403A6">
        <w:t>0</w:t>
      </w:r>
      <w:r>
        <w:t>d shows the modelled lithosphere scale profile.</w:t>
      </w:r>
      <w:r>
        <w:br w:type="page"/>
      </w:r>
    </w:p>
    <w:p w14:paraId="12CBFA31" w14:textId="1C6BC591" w:rsidR="00901D2C" w:rsidRDefault="00580393" w:rsidP="004713C5">
      <w:pPr>
        <w:spacing w:line="360" w:lineRule="auto"/>
      </w:pPr>
      <w:r>
        <w:rPr>
          <w:noProof/>
          <w:lang w:eastAsia="en-GB"/>
        </w:rPr>
        <w:lastRenderedPageBreak/>
        <w:drawing>
          <wp:inline distT="0" distB="0" distL="0" distR="0" wp14:anchorId="6D8717BA" wp14:editId="581E96AB">
            <wp:extent cx="5065776" cy="711098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5776" cy="7110984"/>
                    </a:xfrm>
                    <a:prstGeom prst="rect">
                      <a:avLst/>
                    </a:prstGeom>
                  </pic:spPr>
                </pic:pic>
              </a:graphicData>
            </a:graphic>
          </wp:inline>
        </w:drawing>
      </w:r>
    </w:p>
    <w:p w14:paraId="3649D962" w14:textId="66956E5F" w:rsidR="000F0E4F" w:rsidRDefault="009E4015" w:rsidP="00FA1ED6">
      <w:pPr>
        <w:spacing w:line="360" w:lineRule="auto"/>
      </w:pPr>
      <w:r>
        <w:t xml:space="preserve">Figure </w:t>
      </w:r>
      <w:r w:rsidR="003C7CEC">
        <w:t>11.</w:t>
      </w:r>
      <w:r w:rsidR="00901D2C">
        <w:t xml:space="preserve"> Model generated along the line of the cross-section presented in figure </w:t>
      </w:r>
      <w:r w:rsidR="009403A6">
        <w:t>8</w:t>
      </w:r>
      <w:r w:rsidR="00901D2C">
        <w:t xml:space="preserve">b. The only fault included within the model is the Pennine </w:t>
      </w:r>
      <w:r w:rsidR="00316B08">
        <w:t>F</w:t>
      </w:r>
      <w:r w:rsidR="00901D2C">
        <w:t>ault, across which the Carboniferous strata barely thicken, suggesting little displacement during this period. Profile b incorporates a granite thickness profile (c) based upon the interpretations of gravity and magnetic anomaly data (</w:t>
      </w:r>
      <w:proofErr w:type="spellStart"/>
      <w:r w:rsidR="00901D2C">
        <w:t>Kimbell</w:t>
      </w:r>
      <w:proofErr w:type="spellEnd"/>
      <w:r w:rsidR="00901D2C">
        <w:t xml:space="preserve"> et al., 2006). Profile d shows the modelled lithosphere</w:t>
      </w:r>
      <w:r w:rsidR="00810EDC">
        <w:t>-</w:t>
      </w:r>
      <w:r w:rsidR="00901D2C">
        <w:t>scale profile.</w:t>
      </w:r>
      <w:r w:rsidR="000F0E4F">
        <w:br w:type="page"/>
      </w:r>
    </w:p>
    <w:p w14:paraId="4A254531" w14:textId="77777777" w:rsidR="00901D2C" w:rsidRDefault="005E2F30" w:rsidP="004713C5">
      <w:pPr>
        <w:spacing w:line="360" w:lineRule="auto"/>
      </w:pPr>
      <w:r>
        <w:rPr>
          <w:noProof/>
          <w:lang w:eastAsia="en-GB"/>
        </w:rPr>
        <w:lastRenderedPageBreak/>
        <w:drawing>
          <wp:inline distT="0" distB="0" distL="0" distR="0" wp14:anchorId="00F858F4" wp14:editId="5279318D">
            <wp:extent cx="3243072" cy="56875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3072" cy="5687568"/>
                    </a:xfrm>
                    <a:prstGeom prst="rect">
                      <a:avLst/>
                    </a:prstGeom>
                  </pic:spPr>
                </pic:pic>
              </a:graphicData>
            </a:graphic>
          </wp:inline>
        </w:drawing>
      </w:r>
    </w:p>
    <w:p w14:paraId="465DC77A" w14:textId="0D24E227" w:rsidR="00DC785D" w:rsidRDefault="009E4015" w:rsidP="005039F4">
      <w:pPr>
        <w:spacing w:line="360" w:lineRule="auto"/>
      </w:pPr>
      <w:r>
        <w:t xml:space="preserve">Figure </w:t>
      </w:r>
      <w:r w:rsidR="003C7CEC">
        <w:t>12.</w:t>
      </w:r>
      <w:r w:rsidR="00901D2C">
        <w:t xml:space="preserve"> A schematic illustration of</w:t>
      </w:r>
      <w:r w:rsidR="00720013">
        <w:t xml:space="preserve"> the stress conditions before (top</w:t>
      </w:r>
      <w:r w:rsidR="00901D2C">
        <w:t>) and after (b</w:t>
      </w:r>
      <w:r w:rsidR="00720013">
        <w:t xml:space="preserve">ottom) </w:t>
      </w:r>
      <w:proofErr w:type="gramStart"/>
      <w:r w:rsidR="00720013">
        <w:t>tectonically-induced</w:t>
      </w:r>
      <w:proofErr w:type="gramEnd"/>
      <w:r w:rsidR="00720013">
        <w:t xml:space="preserve"> extensional</w:t>
      </w:r>
      <w:r w:rsidR="00901D2C">
        <w:t xml:space="preserve"> faulting. Yellow arrows indicate ‘second-order’ stresses (e.g. </w:t>
      </w:r>
      <w:proofErr w:type="spellStart"/>
      <w:r w:rsidR="00901D2C">
        <w:t>Sonder</w:t>
      </w:r>
      <w:proofErr w:type="spellEnd"/>
      <w:r w:rsidR="00901D2C">
        <w:t xml:space="preserve">, 1990; </w:t>
      </w:r>
      <w:proofErr w:type="spellStart"/>
      <w:r w:rsidR="00901D2C">
        <w:t>Zoback</w:t>
      </w:r>
      <w:proofErr w:type="spellEnd"/>
      <w:r w:rsidR="00901D2C">
        <w:t xml:space="preserve">, 1992) whilst blue arrows indicate tectonic stresses. It is proposed that the combination of ‘buoyancy’ forces, </w:t>
      </w:r>
      <w:r w:rsidR="00FE0407">
        <w:t xml:space="preserve">flexural </w:t>
      </w:r>
      <w:r w:rsidR="00901D2C">
        <w:t xml:space="preserve">tensile stress and horizontal </w:t>
      </w:r>
      <w:r w:rsidR="00FE0407">
        <w:t xml:space="preserve">tectonically-induced </w:t>
      </w:r>
      <w:r w:rsidR="00901D2C">
        <w:t>extensional stress constructi</w:t>
      </w:r>
      <w:r w:rsidR="00FE0407">
        <w:t>vely interfere during</w:t>
      </w:r>
      <w:r w:rsidR="00901D2C">
        <w:t xml:space="preserve"> extensional tectonism, creating localised stress conditions favourable to the rea</w:t>
      </w:r>
      <w:r w:rsidR="00FE0407">
        <w:t xml:space="preserve">ctivation of inherited (i.e. Caledonian) </w:t>
      </w:r>
      <w:r w:rsidR="00901D2C">
        <w:t>lineaments.</w:t>
      </w:r>
      <w:r w:rsidR="00654693">
        <w:t xml:space="preserve"> Buoyancy-related second-order stresses are at least partially relieved during tectonic </w:t>
      </w:r>
      <w:r w:rsidR="0013405D">
        <w:t>extension, which</w:t>
      </w:r>
      <w:r w:rsidR="00654693">
        <w:t xml:space="preserve"> permits more complete isostatic compensation of the granite-cored block.</w:t>
      </w:r>
      <w:r w:rsidR="00A310B9">
        <w:br w:type="page"/>
      </w:r>
    </w:p>
    <w:p w14:paraId="16BA5C9A" w14:textId="77777777" w:rsidR="00DC785D" w:rsidRDefault="00DC785D" w:rsidP="00436F63">
      <w:pPr>
        <w:spacing w:line="360" w:lineRule="auto"/>
      </w:pPr>
      <w:r>
        <w:rPr>
          <w:noProof/>
          <w:lang w:eastAsia="en-GB"/>
        </w:rPr>
        <w:lastRenderedPageBreak/>
        <w:drawing>
          <wp:inline distT="0" distB="0" distL="0" distR="0" wp14:anchorId="4EEC77CF" wp14:editId="60BD1F6E">
            <wp:extent cx="6840000" cy="864000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rtherWorksPane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000" cy="8640000"/>
                    </a:xfrm>
                    <a:prstGeom prst="rect">
                      <a:avLst/>
                    </a:prstGeom>
                  </pic:spPr>
                </pic:pic>
              </a:graphicData>
            </a:graphic>
          </wp:inline>
        </w:drawing>
      </w:r>
    </w:p>
    <w:p w14:paraId="067F4C27" w14:textId="0F86121F" w:rsidR="00DC785D" w:rsidRDefault="00DC785D" w:rsidP="00DC785D">
      <w:pPr>
        <w:spacing w:line="360" w:lineRule="auto"/>
      </w:pPr>
      <w:r>
        <w:lastRenderedPageBreak/>
        <w:t xml:space="preserve">Figure </w:t>
      </w:r>
      <w:r w:rsidR="003C7CEC">
        <w:t>1</w:t>
      </w:r>
      <w:r w:rsidR="005153FC">
        <w:t>3</w:t>
      </w:r>
      <w:r>
        <w:t xml:space="preserve">a. A palaeo-tectonic reconstruction of the African and South American margin during the </w:t>
      </w:r>
      <w:proofErr w:type="spellStart"/>
      <w:r>
        <w:t>Creataceous</w:t>
      </w:r>
      <w:proofErr w:type="spellEnd"/>
      <w:r>
        <w:t xml:space="preserve"> and location map. </w:t>
      </w:r>
      <w:r w:rsidR="003C7CEC">
        <w:t>1</w:t>
      </w:r>
      <w:r w:rsidR="005153FC">
        <w:t>3</w:t>
      </w:r>
      <w:r>
        <w:t xml:space="preserve">b. </w:t>
      </w:r>
      <w:proofErr w:type="gramStart"/>
      <w:r>
        <w:t>A</w:t>
      </w:r>
      <w:proofErr w:type="gramEnd"/>
      <w:r>
        <w:t xml:space="preserve"> location and structure map for the western margin of southern Africa. The two highs highlighted </w:t>
      </w:r>
      <w:proofErr w:type="gramStart"/>
      <w:r>
        <w:t>are believed to be underpinned</w:t>
      </w:r>
      <w:proofErr w:type="gramEnd"/>
      <w:r>
        <w:t xml:space="preserve"> by ‘buoyant’ granite (</w:t>
      </w:r>
      <w:proofErr w:type="spellStart"/>
      <w:r>
        <w:t>Scrutton</w:t>
      </w:r>
      <w:proofErr w:type="spellEnd"/>
      <w:r>
        <w:t xml:space="preserve"> and Dingle, 1976; Dingle, 1992). Modified after Light et al. (1993), Clemson et al. (1997) and de Vera et al. (2010). </w:t>
      </w:r>
      <w:r w:rsidR="003C7CEC">
        <w:t>1</w:t>
      </w:r>
      <w:r w:rsidR="005153FC">
        <w:t>3</w:t>
      </w:r>
      <w:r>
        <w:t xml:space="preserve">c. </w:t>
      </w:r>
      <w:proofErr w:type="gramStart"/>
      <w:r>
        <w:t>A</w:t>
      </w:r>
      <w:proofErr w:type="gramEnd"/>
      <w:r>
        <w:t xml:space="preserve"> cross-section intersecting the </w:t>
      </w:r>
      <w:proofErr w:type="spellStart"/>
      <w:r>
        <w:t>Luderitz</w:t>
      </w:r>
      <w:proofErr w:type="spellEnd"/>
      <w:r>
        <w:t xml:space="preserve"> arch, which is suggested to be underpinned by buoyant granite (Dingle, 1992). Modified after Light et al. (1993). A cross-section intersecting the </w:t>
      </w:r>
      <w:proofErr w:type="spellStart"/>
      <w:r>
        <w:t>Luderitz</w:t>
      </w:r>
      <w:proofErr w:type="spellEnd"/>
      <w:r>
        <w:t xml:space="preserve"> arch, which </w:t>
      </w:r>
      <w:proofErr w:type="gramStart"/>
      <w:r>
        <w:t>is suggested to be underpinned</w:t>
      </w:r>
      <w:proofErr w:type="gramEnd"/>
      <w:r>
        <w:t xml:space="preserve"> by buoyant granite (Dingle, 1992). M</w:t>
      </w:r>
      <w:r w:rsidR="00FC4190">
        <w:t>odified after Light et al. (1992</w:t>
      </w:r>
      <w:r>
        <w:t>).</w:t>
      </w:r>
      <w:r w:rsidR="003C7CEC">
        <w:t xml:space="preserve"> 1</w:t>
      </w:r>
      <w:r w:rsidR="005153FC">
        <w:t>3</w:t>
      </w:r>
      <w:r w:rsidR="003C7CEC">
        <w:t xml:space="preserve">d. A simplified geological map of the </w:t>
      </w:r>
      <w:proofErr w:type="spellStart"/>
      <w:r w:rsidR="003C7CEC">
        <w:t>Iguatu</w:t>
      </w:r>
      <w:proofErr w:type="spellEnd"/>
      <w:r w:rsidR="003C7CEC">
        <w:t xml:space="preserve"> and Rio do </w:t>
      </w:r>
      <w:proofErr w:type="spellStart"/>
      <w:r w:rsidR="003C7CEC">
        <w:t>Peixe</w:t>
      </w:r>
      <w:proofErr w:type="spellEnd"/>
      <w:r w:rsidR="003C7CEC">
        <w:t xml:space="preserve"> Basins of NE Brazil. Modified after De Castro et al. (2007; 2008).</w:t>
      </w:r>
      <w:r>
        <w:br w:type="page"/>
      </w:r>
    </w:p>
    <w:p w14:paraId="5C991D3A" w14:textId="77777777" w:rsidR="00B13E0E" w:rsidRDefault="00B13E0E" w:rsidP="009E071D">
      <w:pPr>
        <w:pStyle w:val="Heading1"/>
        <w:spacing w:line="360" w:lineRule="auto"/>
      </w:pPr>
      <w:r>
        <w:lastRenderedPageBreak/>
        <w:t>References</w:t>
      </w:r>
    </w:p>
    <w:p w14:paraId="79032896" w14:textId="2E0722E0" w:rsidR="00B13E0E" w:rsidRDefault="00B13E0E" w:rsidP="009E071D">
      <w:pPr>
        <w:spacing w:after="100" w:afterAutospacing="1" w:line="360" w:lineRule="auto"/>
        <w:ind w:left="720" w:hanging="720"/>
        <w:rPr>
          <w:rFonts w:cstheme="minorHAnsi"/>
        </w:rPr>
      </w:pPr>
      <w:r w:rsidRPr="00DA1B51">
        <w:rPr>
          <w:rFonts w:cstheme="minorHAnsi"/>
        </w:rPr>
        <w:t>Airy, G.B., 1855. On the computation of the effect of the attraction of mountain-masses, as disturbing the apparent astronomical latitude of stations in geodetic surveys. Philosophical Transactions of the Royal Society of London, 145, pp.101-104.</w:t>
      </w:r>
    </w:p>
    <w:p w14:paraId="62D1BA6C" w14:textId="0CF1FF5D" w:rsidR="00B11D36" w:rsidRPr="00DA1B51" w:rsidRDefault="00B11D36" w:rsidP="009E071D">
      <w:pPr>
        <w:spacing w:after="100" w:afterAutospacing="1" w:line="360" w:lineRule="auto"/>
        <w:ind w:left="720" w:hanging="720"/>
        <w:rPr>
          <w:rFonts w:cstheme="minorHAnsi"/>
        </w:rPr>
      </w:pPr>
      <w:proofErr w:type="spellStart"/>
      <w:r w:rsidRPr="00B11D36">
        <w:rPr>
          <w:rFonts w:cstheme="minorHAnsi"/>
        </w:rPr>
        <w:t>Allsop</w:t>
      </w:r>
      <w:proofErr w:type="spellEnd"/>
      <w:r w:rsidRPr="00B11D36">
        <w:rPr>
          <w:rFonts w:cstheme="minorHAnsi"/>
        </w:rPr>
        <w:t>, J.M., 1987. Patterns of late Caledonian intrusive activity in eastern and northern England from geophysics, radiometric dating and basement geology.</w:t>
      </w:r>
      <w:r w:rsidRPr="0072000C">
        <w:rPr>
          <w:rFonts w:cstheme="minorHAnsi"/>
          <w:i/>
        </w:rPr>
        <w:t xml:space="preserve"> Proceedings of the Yorkshire Geological Society</w:t>
      </w:r>
      <w:r w:rsidRPr="00B11D36">
        <w:rPr>
          <w:rFonts w:cstheme="minorHAnsi"/>
        </w:rPr>
        <w:t>, 46(4), pp.335-353.</w:t>
      </w:r>
    </w:p>
    <w:p w14:paraId="0938FFA0" w14:textId="77777777" w:rsidR="00B13E0E" w:rsidRPr="00DA1B51" w:rsidRDefault="00B13E0E"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t>Arsenikos</w:t>
      </w:r>
      <w:proofErr w:type="spellEnd"/>
      <w:r w:rsidRPr="00DA1B51">
        <w:rPr>
          <w:rFonts w:cstheme="minorHAnsi"/>
          <w:shd w:val="clear" w:color="auto" w:fill="FFFFFF"/>
        </w:rPr>
        <w:t xml:space="preserve">, S., Quinn, M., </w:t>
      </w:r>
      <w:proofErr w:type="spellStart"/>
      <w:r w:rsidRPr="00DA1B51">
        <w:rPr>
          <w:rFonts w:cstheme="minorHAnsi"/>
          <w:shd w:val="clear" w:color="auto" w:fill="FFFFFF"/>
        </w:rPr>
        <w:t>Kimbell</w:t>
      </w:r>
      <w:proofErr w:type="spellEnd"/>
      <w:r w:rsidRPr="00DA1B51">
        <w:rPr>
          <w:rFonts w:cstheme="minorHAnsi"/>
          <w:shd w:val="clear" w:color="auto" w:fill="FFFFFF"/>
        </w:rPr>
        <w:t xml:space="preserve">, G., Williamson, P., Pharaoh, T., Leslie, G. and Monaghan, A., 2018. Structural development of the </w:t>
      </w:r>
      <w:proofErr w:type="spellStart"/>
      <w:r w:rsidRPr="00DA1B51">
        <w:rPr>
          <w:rFonts w:cstheme="minorHAnsi"/>
          <w:shd w:val="clear" w:color="auto" w:fill="FFFFFF"/>
        </w:rPr>
        <w:t>Devono</w:t>
      </w:r>
      <w:proofErr w:type="spellEnd"/>
      <w:r w:rsidRPr="00DA1B51">
        <w:rPr>
          <w:rFonts w:cstheme="minorHAnsi"/>
          <w:shd w:val="clear" w:color="auto" w:fill="FFFFFF"/>
        </w:rPr>
        <w:t>-Carboniferous plays of the UK North Sea. </w:t>
      </w:r>
      <w:r w:rsidRPr="00DA1B51">
        <w:rPr>
          <w:rFonts w:cstheme="minorHAnsi"/>
          <w:i/>
          <w:iCs/>
          <w:shd w:val="clear" w:color="auto" w:fill="FFFFFF"/>
        </w:rPr>
        <w:t>Geological Society, London, Special Publications</w:t>
      </w:r>
      <w:r w:rsidRPr="00DA1B51">
        <w:rPr>
          <w:rFonts w:cstheme="minorHAnsi"/>
          <w:shd w:val="clear" w:color="auto" w:fill="FFFFFF"/>
        </w:rPr>
        <w:t>, </w:t>
      </w:r>
      <w:r w:rsidRPr="00DA1B51">
        <w:rPr>
          <w:rFonts w:cstheme="minorHAnsi"/>
          <w:i/>
          <w:iCs/>
          <w:shd w:val="clear" w:color="auto" w:fill="FFFFFF"/>
        </w:rPr>
        <w:t>471</w:t>
      </w:r>
      <w:r w:rsidRPr="00DA1B51">
        <w:rPr>
          <w:rFonts w:cstheme="minorHAnsi"/>
          <w:shd w:val="clear" w:color="auto" w:fill="FFFFFF"/>
        </w:rPr>
        <w:t>, pp.SP471-3.</w:t>
      </w:r>
    </w:p>
    <w:p w14:paraId="6AB35DC9" w14:textId="77777777" w:rsidR="00676784" w:rsidRPr="00DA1B51" w:rsidRDefault="00676784" w:rsidP="009E071D">
      <w:pPr>
        <w:spacing w:after="100" w:afterAutospacing="1" w:line="360" w:lineRule="auto"/>
        <w:ind w:left="720" w:hanging="720"/>
        <w:rPr>
          <w:rFonts w:cstheme="minorHAnsi"/>
        </w:rPr>
      </w:pPr>
      <w:r w:rsidRPr="00DA1B51">
        <w:rPr>
          <w:rFonts w:cstheme="minorHAnsi"/>
          <w:shd w:val="clear" w:color="auto" w:fill="FFFFFF"/>
        </w:rPr>
        <w:t xml:space="preserve">Arthaud, M.H., </w:t>
      </w:r>
      <w:proofErr w:type="spellStart"/>
      <w:r w:rsidRPr="00DA1B51">
        <w:rPr>
          <w:rFonts w:cstheme="minorHAnsi"/>
          <w:shd w:val="clear" w:color="auto" w:fill="FFFFFF"/>
        </w:rPr>
        <w:t>Vasconcelos</w:t>
      </w:r>
      <w:proofErr w:type="spellEnd"/>
      <w:r w:rsidRPr="00DA1B51">
        <w:rPr>
          <w:rFonts w:cstheme="minorHAnsi"/>
          <w:shd w:val="clear" w:color="auto" w:fill="FFFFFF"/>
        </w:rPr>
        <w:t xml:space="preserve">, A.M., </w:t>
      </w:r>
      <w:proofErr w:type="spellStart"/>
      <w:r w:rsidRPr="00DA1B51">
        <w:rPr>
          <w:rFonts w:cstheme="minorHAnsi"/>
          <w:shd w:val="clear" w:color="auto" w:fill="FFFFFF"/>
        </w:rPr>
        <w:t>Nogueira</w:t>
      </w:r>
      <w:proofErr w:type="spellEnd"/>
      <w:r w:rsidRPr="00DA1B51">
        <w:rPr>
          <w:rFonts w:cstheme="minorHAnsi"/>
          <w:shd w:val="clear" w:color="auto" w:fill="FFFFFF"/>
        </w:rPr>
        <w:t xml:space="preserve"> </w:t>
      </w:r>
      <w:proofErr w:type="spellStart"/>
      <w:r w:rsidRPr="00DA1B51">
        <w:rPr>
          <w:rFonts w:cstheme="minorHAnsi"/>
          <w:shd w:val="clear" w:color="auto" w:fill="FFFFFF"/>
        </w:rPr>
        <w:t>Neto</w:t>
      </w:r>
      <w:proofErr w:type="spellEnd"/>
      <w:r w:rsidRPr="00DA1B51">
        <w:rPr>
          <w:rFonts w:cstheme="minorHAnsi"/>
          <w:shd w:val="clear" w:color="auto" w:fill="FFFFFF"/>
        </w:rPr>
        <w:t xml:space="preserve">, J.A., Oliveira, F.V.C., </w:t>
      </w:r>
      <w:proofErr w:type="spellStart"/>
      <w:r w:rsidRPr="00DA1B51">
        <w:rPr>
          <w:rFonts w:cstheme="minorHAnsi"/>
          <w:shd w:val="clear" w:color="auto" w:fill="FFFFFF"/>
        </w:rPr>
        <w:t>Parente</w:t>
      </w:r>
      <w:proofErr w:type="spellEnd"/>
      <w:r w:rsidRPr="00DA1B51">
        <w:rPr>
          <w:rFonts w:cstheme="minorHAnsi"/>
          <w:shd w:val="clear" w:color="auto" w:fill="FFFFFF"/>
        </w:rPr>
        <w:t xml:space="preserve">, C.V., </w:t>
      </w:r>
      <w:proofErr w:type="spellStart"/>
      <w:r w:rsidRPr="00DA1B51">
        <w:rPr>
          <w:rFonts w:cstheme="minorHAnsi"/>
          <w:shd w:val="clear" w:color="auto" w:fill="FFFFFF"/>
        </w:rPr>
        <w:t>Monié</w:t>
      </w:r>
      <w:proofErr w:type="spellEnd"/>
      <w:r w:rsidRPr="00DA1B51">
        <w:rPr>
          <w:rFonts w:cstheme="minorHAnsi"/>
          <w:shd w:val="clear" w:color="auto" w:fill="FFFFFF"/>
        </w:rPr>
        <w:t xml:space="preserve">, P., </w:t>
      </w:r>
      <w:proofErr w:type="spellStart"/>
      <w:r w:rsidRPr="00DA1B51">
        <w:rPr>
          <w:rFonts w:cstheme="minorHAnsi"/>
          <w:shd w:val="clear" w:color="auto" w:fill="FFFFFF"/>
        </w:rPr>
        <w:t>Liégeois</w:t>
      </w:r>
      <w:proofErr w:type="spellEnd"/>
      <w:r w:rsidRPr="00DA1B51">
        <w:rPr>
          <w:rFonts w:cstheme="minorHAnsi"/>
          <w:shd w:val="clear" w:color="auto" w:fill="FFFFFF"/>
        </w:rPr>
        <w:t xml:space="preserve">, J.P., </w:t>
      </w:r>
      <w:proofErr w:type="spellStart"/>
      <w:r w:rsidRPr="00DA1B51">
        <w:rPr>
          <w:rFonts w:cstheme="minorHAnsi"/>
          <w:shd w:val="clear" w:color="auto" w:fill="FFFFFF"/>
        </w:rPr>
        <w:t>Caby</w:t>
      </w:r>
      <w:proofErr w:type="spellEnd"/>
      <w:r w:rsidRPr="00DA1B51">
        <w:rPr>
          <w:rFonts w:cstheme="minorHAnsi"/>
          <w:shd w:val="clear" w:color="auto" w:fill="FFFFFF"/>
        </w:rPr>
        <w:t xml:space="preserve">, R. and Fetter, A.H., 1998. Main structural features of Precambrian domains from </w:t>
      </w:r>
      <w:proofErr w:type="spellStart"/>
      <w:r w:rsidRPr="00DA1B51">
        <w:rPr>
          <w:rFonts w:cstheme="minorHAnsi"/>
          <w:shd w:val="clear" w:color="auto" w:fill="FFFFFF"/>
        </w:rPr>
        <w:t>Ceará</w:t>
      </w:r>
      <w:proofErr w:type="spellEnd"/>
      <w:r w:rsidRPr="00DA1B51">
        <w:rPr>
          <w:rFonts w:cstheme="minorHAnsi"/>
          <w:shd w:val="clear" w:color="auto" w:fill="FFFFFF"/>
        </w:rPr>
        <w:t xml:space="preserve"> (NE Brazil). In </w:t>
      </w:r>
      <w:r w:rsidRPr="00DA1B51">
        <w:rPr>
          <w:rFonts w:cstheme="minorHAnsi"/>
          <w:i/>
          <w:iCs/>
          <w:shd w:val="clear" w:color="auto" w:fill="FFFFFF"/>
        </w:rPr>
        <w:t xml:space="preserve">International Conference on Basement Tectonics, 14th, </w:t>
      </w:r>
      <w:proofErr w:type="spellStart"/>
      <w:r w:rsidRPr="00DA1B51">
        <w:rPr>
          <w:rFonts w:cstheme="minorHAnsi"/>
          <w:i/>
          <w:iCs/>
          <w:shd w:val="clear" w:color="auto" w:fill="FFFFFF"/>
        </w:rPr>
        <w:t>Ouro</w:t>
      </w:r>
      <w:proofErr w:type="spellEnd"/>
      <w:r w:rsidRPr="00DA1B51">
        <w:rPr>
          <w:rFonts w:cstheme="minorHAnsi"/>
          <w:i/>
          <w:iCs/>
          <w:shd w:val="clear" w:color="auto" w:fill="FFFFFF"/>
        </w:rPr>
        <w:t xml:space="preserve"> </w:t>
      </w:r>
      <w:proofErr w:type="spellStart"/>
      <w:r w:rsidRPr="00DA1B51">
        <w:rPr>
          <w:rFonts w:cstheme="minorHAnsi"/>
          <w:i/>
          <w:iCs/>
          <w:shd w:val="clear" w:color="auto" w:fill="FFFFFF"/>
        </w:rPr>
        <w:t>Preto</w:t>
      </w:r>
      <w:proofErr w:type="spellEnd"/>
      <w:r w:rsidRPr="00DA1B51">
        <w:rPr>
          <w:rFonts w:cstheme="minorHAnsi"/>
          <w:i/>
          <w:iCs/>
          <w:shd w:val="clear" w:color="auto" w:fill="FFFFFF"/>
        </w:rPr>
        <w:t>, Abstracts</w:t>
      </w:r>
      <w:r w:rsidRPr="00DA1B51">
        <w:rPr>
          <w:rFonts w:cstheme="minorHAnsi"/>
          <w:shd w:val="clear" w:color="auto" w:fill="FFFFFF"/>
        </w:rPr>
        <w:t> (pp. 84-85).</w:t>
      </w:r>
    </w:p>
    <w:p w14:paraId="7E21DEDA" w14:textId="77777777" w:rsidR="00B13E0E" w:rsidRPr="00DA1B51" w:rsidRDefault="00C9231D" w:rsidP="009E071D">
      <w:pPr>
        <w:spacing w:after="100" w:afterAutospacing="1" w:line="360" w:lineRule="auto"/>
        <w:ind w:left="720" w:hanging="720"/>
        <w:rPr>
          <w:rFonts w:cstheme="minorHAnsi"/>
        </w:rPr>
      </w:pPr>
      <w:proofErr w:type="spellStart"/>
      <w:r w:rsidRPr="00DA1B51">
        <w:rPr>
          <w:rFonts w:cstheme="minorHAnsi"/>
        </w:rPr>
        <w:t>Besly</w:t>
      </w:r>
      <w:proofErr w:type="spellEnd"/>
      <w:r w:rsidRPr="00DA1B51">
        <w:rPr>
          <w:rFonts w:cstheme="minorHAnsi"/>
        </w:rPr>
        <w:t>, B.</w:t>
      </w:r>
      <w:proofErr w:type="gramStart"/>
      <w:r w:rsidRPr="00DA1B51">
        <w:rPr>
          <w:rFonts w:cstheme="minorHAnsi"/>
        </w:rPr>
        <w:t>,2018</w:t>
      </w:r>
      <w:proofErr w:type="gramEnd"/>
      <w:r w:rsidR="00B13E0E" w:rsidRPr="00DA1B51">
        <w:rPr>
          <w:rFonts w:cstheme="minorHAnsi"/>
        </w:rPr>
        <w:t xml:space="preserve">. Exploration and development in the Carboniferous of the southern North Sea: a </w:t>
      </w:r>
      <w:proofErr w:type="gramStart"/>
      <w:r w:rsidR="00B13E0E" w:rsidRPr="00DA1B51">
        <w:rPr>
          <w:rFonts w:cstheme="minorHAnsi"/>
        </w:rPr>
        <w:t>30 year</w:t>
      </w:r>
      <w:proofErr w:type="gramEnd"/>
      <w:r w:rsidR="00B13E0E" w:rsidRPr="00DA1B51">
        <w:rPr>
          <w:rFonts w:cstheme="minorHAnsi"/>
        </w:rPr>
        <w:t xml:space="preserve"> retrospective. To Palaeozoic Plays of NW Europe, In: Monaghan, A.A., Underhill, J.R., Marshall, J., Hewett, A., (Eds.), Geological Society of London, Special Publication.</w:t>
      </w:r>
    </w:p>
    <w:p w14:paraId="746F548B"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t>Bott</w:t>
      </w:r>
      <w:proofErr w:type="spellEnd"/>
      <w:r w:rsidRPr="00DA1B51">
        <w:rPr>
          <w:rFonts w:cstheme="minorHAnsi"/>
        </w:rPr>
        <w:t xml:space="preserve">, M.H.P., Day, A.A. and Masson-Smith, D., 1958. The geological interpretation of gravity and magnetic surveys in Devon and Cornwall. Phil. Trans. R. Soc. </w:t>
      </w:r>
      <w:proofErr w:type="spellStart"/>
      <w:r w:rsidRPr="00DA1B51">
        <w:rPr>
          <w:rFonts w:cstheme="minorHAnsi"/>
        </w:rPr>
        <w:t>Lond</w:t>
      </w:r>
      <w:proofErr w:type="spellEnd"/>
      <w:r w:rsidRPr="00DA1B51">
        <w:rPr>
          <w:rFonts w:cstheme="minorHAnsi"/>
        </w:rPr>
        <w:t>. A, 251(992), pp.161-191.</w:t>
      </w:r>
    </w:p>
    <w:p w14:paraId="6E0B425E"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t>Bott</w:t>
      </w:r>
      <w:proofErr w:type="spellEnd"/>
      <w:r w:rsidRPr="00DA1B51">
        <w:rPr>
          <w:rFonts w:cstheme="minorHAnsi"/>
        </w:rPr>
        <w:t>, M.P. and Smithson, S.B., 1967. Gravity investigations of subsurface shape and mass distributions of granite batholiths. Geological Society of America Bulletin, 78(7), pp.859-878.</w:t>
      </w:r>
    </w:p>
    <w:p w14:paraId="40FE0350"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t>Bott</w:t>
      </w:r>
      <w:proofErr w:type="spellEnd"/>
      <w:r w:rsidRPr="00DA1B51">
        <w:rPr>
          <w:rFonts w:cstheme="minorHAnsi"/>
        </w:rPr>
        <w:t xml:space="preserve">, M.H.P., Robinson, J. and </w:t>
      </w:r>
      <w:proofErr w:type="spellStart"/>
      <w:r w:rsidRPr="00DA1B51">
        <w:rPr>
          <w:rFonts w:cstheme="minorHAnsi"/>
        </w:rPr>
        <w:t>Kohnstamm</w:t>
      </w:r>
      <w:proofErr w:type="spellEnd"/>
      <w:r w:rsidRPr="00DA1B51">
        <w:rPr>
          <w:rFonts w:cstheme="minorHAnsi"/>
        </w:rPr>
        <w:t xml:space="preserve">, M.A., 1978. Granite beneath Market </w:t>
      </w:r>
      <w:proofErr w:type="spellStart"/>
      <w:r w:rsidRPr="00DA1B51">
        <w:rPr>
          <w:rFonts w:cstheme="minorHAnsi"/>
        </w:rPr>
        <w:t>Weighton</w:t>
      </w:r>
      <w:proofErr w:type="spellEnd"/>
      <w:r w:rsidRPr="00DA1B51">
        <w:rPr>
          <w:rFonts w:cstheme="minorHAnsi"/>
        </w:rPr>
        <w:t>, east Yorkshire. Journal of the Geological Society, 135(5), pp.535-543.</w:t>
      </w:r>
    </w:p>
    <w:p w14:paraId="6BD1F4F1" w14:textId="77777777" w:rsidR="007B26A0" w:rsidRPr="00DA1B51" w:rsidRDefault="008E2B24" w:rsidP="007B26A0">
      <w:pPr>
        <w:spacing w:after="100" w:afterAutospacing="1" w:line="360" w:lineRule="auto"/>
        <w:ind w:left="720" w:hanging="720"/>
        <w:rPr>
          <w:rFonts w:cstheme="minorHAnsi"/>
        </w:rPr>
      </w:pPr>
      <w:r w:rsidRPr="00DA1B51">
        <w:rPr>
          <w:rFonts w:cstheme="minorHAnsi"/>
        </w:rPr>
        <w:t>British Geological Survey,</w:t>
      </w:r>
      <w:r w:rsidR="007B26A0" w:rsidRPr="00DA1B51">
        <w:rPr>
          <w:rFonts w:cstheme="minorHAnsi"/>
        </w:rPr>
        <w:t xml:space="preserve"> 2008. DiGmapGB-250 [SHAPE geospatial data], Scale 1:250000, Tiles: </w:t>
      </w:r>
      <w:proofErr w:type="spellStart"/>
      <w:r w:rsidR="007B26A0" w:rsidRPr="00DA1B51">
        <w:rPr>
          <w:rFonts w:cstheme="minorHAnsi"/>
        </w:rPr>
        <w:t>sd,sc,sj,sh,se,tf,sk,ta</w:t>
      </w:r>
      <w:proofErr w:type="spellEnd"/>
      <w:r w:rsidR="007B26A0" w:rsidRPr="00DA1B51">
        <w:rPr>
          <w:rFonts w:cstheme="minorHAnsi"/>
        </w:rPr>
        <w:t xml:space="preserve">, Updated: 1 November 2008, BGS, Using: EDINA Geology </w:t>
      </w:r>
      <w:proofErr w:type="spellStart"/>
      <w:r w:rsidR="007B26A0" w:rsidRPr="00DA1B51">
        <w:rPr>
          <w:rFonts w:cstheme="minorHAnsi"/>
        </w:rPr>
        <w:t>Digimap</w:t>
      </w:r>
      <w:proofErr w:type="spellEnd"/>
      <w:r w:rsidR="007B26A0" w:rsidRPr="00DA1B51">
        <w:rPr>
          <w:rFonts w:cstheme="minorHAnsi"/>
        </w:rPr>
        <w:t xml:space="preserve"> Service, &lt;http://digimap.edina.ac.uk&gt;, Downloaded: 2018-02-16 09:11:02.065.</w:t>
      </w:r>
    </w:p>
    <w:p w14:paraId="70AEBC6E" w14:textId="77777777" w:rsidR="00B13E0E" w:rsidRPr="00DA1B51" w:rsidRDefault="00B13E0E" w:rsidP="009E071D">
      <w:pPr>
        <w:spacing w:after="100" w:afterAutospacing="1" w:line="360" w:lineRule="auto"/>
        <w:ind w:left="720" w:hanging="720"/>
        <w:rPr>
          <w:rFonts w:cstheme="minorHAnsi"/>
        </w:rPr>
      </w:pPr>
      <w:r w:rsidRPr="00DA1B51">
        <w:rPr>
          <w:rFonts w:cstheme="minorHAnsi"/>
        </w:rPr>
        <w:t xml:space="preserve">Brodie, J. and White, N., 1994. Sedimentary basin inversion caused by igneous </w:t>
      </w:r>
      <w:proofErr w:type="spellStart"/>
      <w:r w:rsidRPr="00DA1B51">
        <w:rPr>
          <w:rFonts w:cstheme="minorHAnsi"/>
        </w:rPr>
        <w:t>underplating</w:t>
      </w:r>
      <w:proofErr w:type="spellEnd"/>
      <w:r w:rsidRPr="00DA1B51">
        <w:rPr>
          <w:rFonts w:cstheme="minorHAnsi"/>
        </w:rPr>
        <w:t>: Northwest European continental shelf. Geology, 22(2), pp.147-150.</w:t>
      </w:r>
    </w:p>
    <w:p w14:paraId="7A7FC3F7"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lastRenderedPageBreak/>
        <w:t>Bouchez</w:t>
      </w:r>
      <w:proofErr w:type="spellEnd"/>
      <w:r w:rsidRPr="00DA1B51">
        <w:rPr>
          <w:rFonts w:cstheme="minorHAnsi"/>
        </w:rPr>
        <w:t xml:space="preserve">, J.L., 1997. Granite is never isotropic: an introduction to AMS studies of granitic rocks. In </w:t>
      </w:r>
      <w:r w:rsidRPr="00DA1B51">
        <w:rPr>
          <w:rFonts w:cstheme="minorHAnsi"/>
          <w:i/>
        </w:rPr>
        <w:t>Granite: from segregation of melt to emplacement fabrics</w:t>
      </w:r>
      <w:r w:rsidRPr="00DA1B51">
        <w:rPr>
          <w:rFonts w:cstheme="minorHAnsi"/>
        </w:rPr>
        <w:t xml:space="preserve"> (pp. 95-112). Springer, Dordrecht.</w:t>
      </w:r>
    </w:p>
    <w:p w14:paraId="128DCC40"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t>Burov</w:t>
      </w:r>
      <w:proofErr w:type="spellEnd"/>
      <w:r w:rsidRPr="00DA1B51">
        <w:rPr>
          <w:rFonts w:cstheme="minorHAnsi"/>
        </w:rPr>
        <w:t xml:space="preserve">, E.B. and </w:t>
      </w:r>
      <w:proofErr w:type="spellStart"/>
      <w:r w:rsidRPr="00DA1B51">
        <w:rPr>
          <w:rFonts w:cstheme="minorHAnsi"/>
        </w:rPr>
        <w:t>Diament</w:t>
      </w:r>
      <w:proofErr w:type="spellEnd"/>
      <w:r w:rsidRPr="00DA1B51">
        <w:rPr>
          <w:rFonts w:cstheme="minorHAnsi"/>
        </w:rPr>
        <w:t xml:space="preserve">, M., 1995. The effective elastic thickness (T e) of continental lithosphere: what does it </w:t>
      </w:r>
      <w:proofErr w:type="gramStart"/>
      <w:r w:rsidRPr="00DA1B51">
        <w:rPr>
          <w:rFonts w:cstheme="minorHAnsi"/>
        </w:rPr>
        <w:t>really mean</w:t>
      </w:r>
      <w:proofErr w:type="gramEnd"/>
      <w:r w:rsidRPr="00DA1B51">
        <w:rPr>
          <w:rFonts w:cstheme="minorHAnsi"/>
        </w:rPr>
        <w:t xml:space="preserve">? </w:t>
      </w:r>
      <w:r w:rsidRPr="00DA1B51">
        <w:rPr>
          <w:rFonts w:cstheme="minorHAnsi"/>
          <w:i/>
        </w:rPr>
        <w:t>Journal of Geophysical Research: Solid Earth</w:t>
      </w:r>
      <w:r w:rsidRPr="00DA1B51">
        <w:rPr>
          <w:rFonts w:cstheme="minorHAnsi"/>
        </w:rPr>
        <w:t xml:space="preserve">, </w:t>
      </w:r>
      <w:r w:rsidRPr="00DA1B51">
        <w:rPr>
          <w:rFonts w:cstheme="minorHAnsi"/>
          <w:i/>
        </w:rPr>
        <w:t>100</w:t>
      </w:r>
      <w:r w:rsidRPr="00DA1B51">
        <w:rPr>
          <w:rFonts w:cstheme="minorHAnsi"/>
        </w:rPr>
        <w:t>(B3), pp.3905-3927.</w:t>
      </w:r>
    </w:p>
    <w:p w14:paraId="64E16DEB" w14:textId="77777777" w:rsidR="003306CD" w:rsidRPr="00DA1B51" w:rsidRDefault="003306CD" w:rsidP="009E071D">
      <w:pPr>
        <w:spacing w:after="100" w:afterAutospacing="1" w:line="360" w:lineRule="auto"/>
        <w:ind w:left="720" w:hanging="720"/>
        <w:rPr>
          <w:rFonts w:cstheme="minorHAnsi"/>
        </w:rPr>
      </w:pPr>
      <w:r w:rsidRPr="00DA1B51">
        <w:rPr>
          <w:rFonts w:cstheme="minorHAnsi"/>
        </w:rPr>
        <w:t xml:space="preserve">Butler, M. and Jamieson, R., 2013. Preliminary Interpretation of Six Regional Seismic Profiles </w:t>
      </w:r>
      <w:proofErr w:type="gramStart"/>
      <w:r w:rsidRPr="00DA1B51">
        <w:rPr>
          <w:rFonts w:cstheme="minorHAnsi"/>
        </w:rPr>
        <w:t>Across</w:t>
      </w:r>
      <w:proofErr w:type="gramEnd"/>
      <w:r w:rsidRPr="00DA1B51">
        <w:rPr>
          <w:rFonts w:cstheme="minorHAnsi"/>
        </w:rPr>
        <w:t xml:space="preserve"> Onshore Basins of England.</w:t>
      </w:r>
    </w:p>
    <w:p w14:paraId="3742B2D4" w14:textId="77777777" w:rsidR="00B13E0E" w:rsidRPr="00DA1B51" w:rsidRDefault="00B13E0E" w:rsidP="009E071D">
      <w:pPr>
        <w:spacing w:after="100" w:afterAutospacing="1" w:line="360" w:lineRule="auto"/>
        <w:ind w:left="720" w:hanging="720"/>
        <w:rPr>
          <w:rFonts w:cstheme="minorHAnsi"/>
        </w:rPr>
      </w:pPr>
      <w:r w:rsidRPr="00DA1B51">
        <w:rPr>
          <w:rFonts w:cstheme="minorHAnsi"/>
        </w:rPr>
        <w:t xml:space="preserve">Chadwick, R.A., Pharaoh, T.C. and Smith, N.J.P., 1989. Lower crustal heterogeneity beneath Britain from deep seismic reflection data. </w:t>
      </w:r>
      <w:r w:rsidRPr="00DA1B51">
        <w:rPr>
          <w:rFonts w:cstheme="minorHAnsi"/>
          <w:i/>
        </w:rPr>
        <w:t>Journal of the Geological Society</w:t>
      </w:r>
      <w:r w:rsidRPr="00DA1B51">
        <w:rPr>
          <w:rFonts w:cstheme="minorHAnsi"/>
        </w:rPr>
        <w:t xml:space="preserve">, </w:t>
      </w:r>
      <w:r w:rsidRPr="00DA1B51">
        <w:rPr>
          <w:rFonts w:cstheme="minorHAnsi"/>
          <w:i/>
        </w:rPr>
        <w:t>146</w:t>
      </w:r>
      <w:r w:rsidRPr="00DA1B51">
        <w:rPr>
          <w:rFonts w:cstheme="minorHAnsi"/>
        </w:rPr>
        <w:t>(4), pp.617-630.</w:t>
      </w:r>
    </w:p>
    <w:p w14:paraId="14D33C6B" w14:textId="77777777" w:rsidR="00CF30EA" w:rsidRPr="00DA1B51" w:rsidRDefault="00CF30EA" w:rsidP="009E071D">
      <w:pPr>
        <w:spacing w:after="100" w:afterAutospacing="1" w:line="360" w:lineRule="auto"/>
        <w:ind w:left="720" w:hanging="720"/>
        <w:rPr>
          <w:rFonts w:cstheme="minorHAnsi"/>
        </w:rPr>
      </w:pPr>
      <w:r w:rsidRPr="00DA1B51">
        <w:rPr>
          <w:rFonts w:cstheme="minorHAnsi"/>
          <w:shd w:val="clear" w:color="auto" w:fill="FFFFFF"/>
        </w:rPr>
        <w:t>Chadwick, B.A., Holliday, D.W., Holloway, S., Hulbert, A.G. and Lawrence, D.J.D., 1995. </w:t>
      </w:r>
      <w:r w:rsidRPr="00DA1B51">
        <w:rPr>
          <w:rFonts w:cstheme="minorHAnsi"/>
          <w:i/>
          <w:iCs/>
          <w:shd w:val="clear" w:color="auto" w:fill="FFFFFF"/>
        </w:rPr>
        <w:t>The structure and evolution of the Northumberland-Solway Basin and adjacent areas</w:t>
      </w:r>
      <w:r w:rsidRPr="00DA1B51">
        <w:rPr>
          <w:rFonts w:cstheme="minorHAnsi"/>
          <w:shd w:val="clear" w:color="auto" w:fill="FFFFFF"/>
        </w:rPr>
        <w:t>. London: HMSO.</w:t>
      </w:r>
    </w:p>
    <w:p w14:paraId="06C1A0B4" w14:textId="77777777" w:rsidR="00B13E0E" w:rsidRPr="00DA1B51" w:rsidRDefault="00B13E0E" w:rsidP="009E071D">
      <w:pPr>
        <w:spacing w:line="360" w:lineRule="auto"/>
        <w:ind w:left="720" w:hanging="720"/>
        <w:rPr>
          <w:rFonts w:cstheme="minorHAnsi"/>
          <w:shd w:val="clear" w:color="auto" w:fill="FFFFFF"/>
        </w:rPr>
      </w:pPr>
      <w:proofErr w:type="spellStart"/>
      <w:r w:rsidRPr="00DA1B51">
        <w:rPr>
          <w:rFonts w:cstheme="minorHAnsi"/>
          <w:shd w:val="clear" w:color="auto" w:fill="FFFFFF"/>
        </w:rPr>
        <w:t>Chroston</w:t>
      </w:r>
      <w:proofErr w:type="spellEnd"/>
      <w:r w:rsidRPr="00DA1B51">
        <w:rPr>
          <w:rFonts w:cstheme="minorHAnsi"/>
          <w:shd w:val="clear" w:color="auto" w:fill="FFFFFF"/>
        </w:rPr>
        <w:t xml:space="preserve">, P.N., </w:t>
      </w:r>
      <w:proofErr w:type="spellStart"/>
      <w:r w:rsidRPr="00DA1B51">
        <w:rPr>
          <w:rFonts w:cstheme="minorHAnsi"/>
          <w:shd w:val="clear" w:color="auto" w:fill="FFFFFF"/>
        </w:rPr>
        <w:t>Allsop</w:t>
      </w:r>
      <w:proofErr w:type="spellEnd"/>
      <w:r w:rsidRPr="00DA1B51">
        <w:rPr>
          <w:rFonts w:cstheme="minorHAnsi"/>
          <w:shd w:val="clear" w:color="auto" w:fill="FFFFFF"/>
        </w:rPr>
        <w:t xml:space="preserve">, J.M. and Cornwell, J.D., 1987. New seismic refraction evidence on the origin of the </w:t>
      </w:r>
      <w:proofErr w:type="spellStart"/>
      <w:r w:rsidRPr="00DA1B51">
        <w:rPr>
          <w:rFonts w:cstheme="minorHAnsi"/>
          <w:shd w:val="clear" w:color="auto" w:fill="FFFFFF"/>
        </w:rPr>
        <w:t>Bouguer</w:t>
      </w:r>
      <w:proofErr w:type="spellEnd"/>
      <w:r w:rsidRPr="00DA1B51">
        <w:rPr>
          <w:rFonts w:cstheme="minorHAnsi"/>
          <w:shd w:val="clear" w:color="auto" w:fill="FFFFFF"/>
        </w:rPr>
        <w:t xml:space="preserve"> anomaly low near </w:t>
      </w:r>
      <w:proofErr w:type="spellStart"/>
      <w:r w:rsidRPr="00DA1B51">
        <w:rPr>
          <w:rFonts w:cstheme="minorHAnsi"/>
          <w:shd w:val="clear" w:color="auto" w:fill="FFFFFF"/>
        </w:rPr>
        <w:t>Hunstanton</w:t>
      </w:r>
      <w:proofErr w:type="spellEnd"/>
      <w:r w:rsidRPr="00DA1B51">
        <w:rPr>
          <w:rFonts w:cstheme="minorHAnsi"/>
          <w:shd w:val="clear" w:color="auto" w:fill="FFFFFF"/>
        </w:rPr>
        <w:t>, Norfolk. </w:t>
      </w:r>
      <w:r w:rsidRPr="00DA1B51">
        <w:rPr>
          <w:rFonts w:cstheme="minorHAnsi"/>
          <w:i/>
          <w:iCs/>
          <w:shd w:val="clear" w:color="auto" w:fill="FFFFFF"/>
        </w:rPr>
        <w:t>Proceedings of the Yorkshire Geological Society</w:t>
      </w:r>
      <w:r w:rsidRPr="00DA1B51">
        <w:rPr>
          <w:rFonts w:cstheme="minorHAnsi"/>
          <w:shd w:val="clear" w:color="auto" w:fill="FFFFFF"/>
        </w:rPr>
        <w:t>, </w:t>
      </w:r>
      <w:r w:rsidRPr="00DA1B51">
        <w:rPr>
          <w:rFonts w:cstheme="minorHAnsi"/>
          <w:i/>
          <w:iCs/>
          <w:shd w:val="clear" w:color="auto" w:fill="FFFFFF"/>
        </w:rPr>
        <w:t>46</w:t>
      </w:r>
      <w:r w:rsidRPr="00DA1B51">
        <w:rPr>
          <w:rFonts w:cstheme="minorHAnsi"/>
          <w:shd w:val="clear" w:color="auto" w:fill="FFFFFF"/>
        </w:rPr>
        <w:t>(4), pp.311-319.</w:t>
      </w:r>
    </w:p>
    <w:p w14:paraId="4D3EC5F9" w14:textId="77777777" w:rsidR="00E838DA" w:rsidRPr="00DA1B51" w:rsidRDefault="00E838DA" w:rsidP="009E071D">
      <w:pPr>
        <w:spacing w:line="360" w:lineRule="auto"/>
        <w:ind w:left="720" w:hanging="720"/>
        <w:rPr>
          <w:rFonts w:cstheme="minorHAnsi"/>
          <w:shd w:val="clear" w:color="auto" w:fill="FFFFFF"/>
        </w:rPr>
      </w:pPr>
      <w:r w:rsidRPr="00DA1B51">
        <w:rPr>
          <w:rFonts w:cstheme="minorHAnsi"/>
          <w:shd w:val="clear" w:color="auto" w:fill="FFFFFF"/>
        </w:rPr>
        <w:t>Clemson, J., Cartwright, J. and Booth, J., 1997. Structural segmentation and the influence of basement structure on the Namibian passive margin. </w:t>
      </w:r>
      <w:r w:rsidRPr="00DA1B51">
        <w:rPr>
          <w:rFonts w:cstheme="minorHAnsi"/>
          <w:i/>
          <w:iCs/>
          <w:shd w:val="clear" w:color="auto" w:fill="FFFFFF"/>
        </w:rPr>
        <w:t>Journal of the Geological Society</w:t>
      </w:r>
      <w:r w:rsidRPr="00DA1B51">
        <w:rPr>
          <w:rFonts w:cstheme="minorHAnsi"/>
          <w:shd w:val="clear" w:color="auto" w:fill="FFFFFF"/>
        </w:rPr>
        <w:t>, </w:t>
      </w:r>
      <w:r w:rsidRPr="00DA1B51">
        <w:rPr>
          <w:rFonts w:cstheme="minorHAnsi"/>
          <w:i/>
          <w:iCs/>
          <w:shd w:val="clear" w:color="auto" w:fill="FFFFFF"/>
        </w:rPr>
        <w:t>154</w:t>
      </w:r>
      <w:r w:rsidRPr="00DA1B51">
        <w:rPr>
          <w:rFonts w:cstheme="minorHAnsi"/>
          <w:shd w:val="clear" w:color="auto" w:fill="FFFFFF"/>
        </w:rPr>
        <w:t>(3), pp.477-482.</w:t>
      </w:r>
    </w:p>
    <w:p w14:paraId="7C3DBE37" w14:textId="77777777" w:rsidR="003306CD" w:rsidRPr="00DA1B51" w:rsidRDefault="003306CD" w:rsidP="009E071D">
      <w:pPr>
        <w:spacing w:line="360" w:lineRule="auto"/>
        <w:ind w:left="720" w:hanging="720"/>
        <w:rPr>
          <w:rFonts w:cstheme="minorHAnsi"/>
          <w:shd w:val="clear" w:color="auto" w:fill="FFFFFF"/>
        </w:rPr>
      </w:pPr>
      <w:r w:rsidRPr="00DA1B51">
        <w:rPr>
          <w:rFonts w:cstheme="minorHAnsi"/>
          <w:shd w:val="clear" w:color="auto" w:fill="FFFFFF"/>
        </w:rPr>
        <w:t xml:space="preserve">Collier, R.L., 1991. The Lower Carboniferous </w:t>
      </w:r>
      <w:proofErr w:type="spellStart"/>
      <w:r w:rsidRPr="00DA1B51">
        <w:rPr>
          <w:rFonts w:cstheme="minorHAnsi"/>
          <w:shd w:val="clear" w:color="auto" w:fill="FFFFFF"/>
        </w:rPr>
        <w:t>Stainmore</w:t>
      </w:r>
      <w:proofErr w:type="spellEnd"/>
      <w:r w:rsidRPr="00DA1B51">
        <w:rPr>
          <w:rFonts w:cstheme="minorHAnsi"/>
          <w:shd w:val="clear" w:color="auto" w:fill="FFFFFF"/>
        </w:rPr>
        <w:t xml:space="preserve"> Basin, N. England: extensional basin tectonics and sedimentation. </w:t>
      </w:r>
      <w:r w:rsidRPr="00DA1B51">
        <w:rPr>
          <w:rFonts w:cstheme="minorHAnsi"/>
          <w:i/>
          <w:iCs/>
          <w:shd w:val="clear" w:color="auto" w:fill="FFFFFF"/>
        </w:rPr>
        <w:t>Journal of the Geological Society</w:t>
      </w:r>
      <w:r w:rsidRPr="00DA1B51">
        <w:rPr>
          <w:rFonts w:cstheme="minorHAnsi"/>
          <w:shd w:val="clear" w:color="auto" w:fill="FFFFFF"/>
        </w:rPr>
        <w:t>, </w:t>
      </w:r>
      <w:r w:rsidRPr="00DA1B51">
        <w:rPr>
          <w:rFonts w:cstheme="minorHAnsi"/>
          <w:i/>
          <w:iCs/>
          <w:shd w:val="clear" w:color="auto" w:fill="FFFFFF"/>
        </w:rPr>
        <w:t>148</w:t>
      </w:r>
      <w:r w:rsidRPr="00DA1B51">
        <w:rPr>
          <w:rFonts w:cstheme="minorHAnsi"/>
          <w:shd w:val="clear" w:color="auto" w:fill="FFFFFF"/>
        </w:rPr>
        <w:t>(2), pp.379-390.</w:t>
      </w:r>
    </w:p>
    <w:p w14:paraId="67B73F3C" w14:textId="77777777" w:rsidR="001C79DB" w:rsidRPr="00DA1B51" w:rsidRDefault="001C79DB" w:rsidP="009E071D">
      <w:pPr>
        <w:spacing w:line="360" w:lineRule="auto"/>
        <w:ind w:left="720" w:hanging="720"/>
        <w:rPr>
          <w:rFonts w:cstheme="minorHAnsi"/>
          <w:shd w:val="clear" w:color="auto" w:fill="FFFFFF"/>
        </w:rPr>
      </w:pPr>
      <w:r w:rsidRPr="00DA1B51">
        <w:rPr>
          <w:rFonts w:cstheme="minorHAnsi"/>
          <w:shd w:val="clear" w:color="auto" w:fill="FFFFFF"/>
        </w:rPr>
        <w:t>Cooley, J.W. and Tukey, J.W., 1965. An algorithm for the machine calculation of complex Fourier series. </w:t>
      </w:r>
      <w:r w:rsidRPr="00DA1B51">
        <w:rPr>
          <w:rFonts w:cstheme="minorHAnsi"/>
          <w:i/>
          <w:iCs/>
          <w:shd w:val="clear" w:color="auto" w:fill="FFFFFF"/>
        </w:rPr>
        <w:t>Mathematics of computation</w:t>
      </w:r>
      <w:r w:rsidRPr="00DA1B51">
        <w:rPr>
          <w:rFonts w:cstheme="minorHAnsi"/>
          <w:shd w:val="clear" w:color="auto" w:fill="FFFFFF"/>
        </w:rPr>
        <w:t>, </w:t>
      </w:r>
      <w:r w:rsidRPr="00DA1B51">
        <w:rPr>
          <w:rFonts w:cstheme="minorHAnsi"/>
          <w:i/>
          <w:iCs/>
          <w:shd w:val="clear" w:color="auto" w:fill="FFFFFF"/>
        </w:rPr>
        <w:t>19</w:t>
      </w:r>
      <w:r w:rsidRPr="00DA1B51">
        <w:rPr>
          <w:rFonts w:cstheme="minorHAnsi"/>
          <w:shd w:val="clear" w:color="auto" w:fill="FFFFFF"/>
        </w:rPr>
        <w:t>(90), pp.297-301.</w:t>
      </w:r>
    </w:p>
    <w:p w14:paraId="7C01D95A" w14:textId="77777777" w:rsidR="00DC2989" w:rsidRPr="00DA1B51" w:rsidRDefault="00DC2989" w:rsidP="009E071D">
      <w:pPr>
        <w:spacing w:line="360" w:lineRule="auto"/>
        <w:ind w:left="720" w:hanging="720"/>
        <w:rPr>
          <w:rFonts w:cstheme="minorHAnsi"/>
        </w:rPr>
      </w:pPr>
      <w:r w:rsidRPr="00DA1B51">
        <w:rPr>
          <w:rFonts w:cstheme="minorHAnsi"/>
          <w:shd w:val="clear" w:color="auto" w:fill="FFFFFF"/>
        </w:rPr>
        <w:t xml:space="preserve">Corfield, S.M., </w:t>
      </w:r>
      <w:proofErr w:type="spellStart"/>
      <w:r w:rsidRPr="00DA1B51">
        <w:rPr>
          <w:rFonts w:cstheme="minorHAnsi"/>
          <w:shd w:val="clear" w:color="auto" w:fill="FFFFFF"/>
        </w:rPr>
        <w:t>Gawthorpe</w:t>
      </w:r>
      <w:proofErr w:type="spellEnd"/>
      <w:r w:rsidRPr="00DA1B51">
        <w:rPr>
          <w:rFonts w:cstheme="minorHAnsi"/>
          <w:shd w:val="clear" w:color="auto" w:fill="FFFFFF"/>
        </w:rPr>
        <w:t xml:space="preserve">, R.L., Gage, M., Fraser, A.J. and </w:t>
      </w:r>
      <w:proofErr w:type="spellStart"/>
      <w:r w:rsidRPr="00DA1B51">
        <w:rPr>
          <w:rFonts w:cstheme="minorHAnsi"/>
          <w:shd w:val="clear" w:color="auto" w:fill="FFFFFF"/>
        </w:rPr>
        <w:t>Besly</w:t>
      </w:r>
      <w:proofErr w:type="spellEnd"/>
      <w:r w:rsidRPr="00DA1B51">
        <w:rPr>
          <w:rFonts w:cstheme="minorHAnsi"/>
          <w:shd w:val="clear" w:color="auto" w:fill="FFFFFF"/>
        </w:rPr>
        <w:t>, B.M., 1996. Inversion tectonics of the Variscan foreland of the British Isles. </w:t>
      </w:r>
      <w:r w:rsidRPr="00DA1B51">
        <w:rPr>
          <w:rFonts w:cstheme="minorHAnsi"/>
          <w:i/>
          <w:iCs/>
          <w:shd w:val="clear" w:color="auto" w:fill="FFFFFF"/>
        </w:rPr>
        <w:t>Journal of the Geological Society</w:t>
      </w:r>
      <w:r w:rsidRPr="00DA1B51">
        <w:rPr>
          <w:rFonts w:cstheme="minorHAnsi"/>
          <w:shd w:val="clear" w:color="auto" w:fill="FFFFFF"/>
        </w:rPr>
        <w:t>, </w:t>
      </w:r>
      <w:r w:rsidRPr="00DA1B51">
        <w:rPr>
          <w:rFonts w:cstheme="minorHAnsi"/>
          <w:i/>
          <w:iCs/>
          <w:shd w:val="clear" w:color="auto" w:fill="FFFFFF"/>
        </w:rPr>
        <w:t>153</w:t>
      </w:r>
      <w:r w:rsidRPr="00DA1B51">
        <w:rPr>
          <w:rFonts w:cstheme="minorHAnsi"/>
          <w:shd w:val="clear" w:color="auto" w:fill="FFFFFF"/>
        </w:rPr>
        <w:t>(1), pp.17-32.</w:t>
      </w:r>
    </w:p>
    <w:p w14:paraId="6DFC5BDC" w14:textId="77777777" w:rsidR="0068751B" w:rsidRPr="00DA1B51" w:rsidRDefault="00C67686"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Coward, M.P., 1993. The effect of Late Caledonian and Variscan continental escape tectonics on basement structure, </w:t>
      </w:r>
      <w:proofErr w:type="spellStart"/>
      <w:r w:rsidRPr="00DA1B51">
        <w:rPr>
          <w:rFonts w:cstheme="minorHAnsi"/>
          <w:shd w:val="clear" w:color="auto" w:fill="FFFFFF"/>
        </w:rPr>
        <w:t>Paleozoic</w:t>
      </w:r>
      <w:proofErr w:type="spellEnd"/>
      <w:r w:rsidRPr="00DA1B51">
        <w:rPr>
          <w:rFonts w:cstheme="minorHAnsi"/>
          <w:shd w:val="clear" w:color="auto" w:fill="FFFFFF"/>
        </w:rPr>
        <w:t xml:space="preserve"> basin kinematics and subsequent Mesozoic basin development in NW Europe. In </w:t>
      </w:r>
      <w:r w:rsidRPr="00DA1B51">
        <w:rPr>
          <w:rFonts w:cstheme="minorHAnsi"/>
          <w:i/>
          <w:iCs/>
          <w:shd w:val="clear" w:color="auto" w:fill="FFFFFF"/>
        </w:rPr>
        <w:t>Geological Society, London, Petroleum Geology Conference series</w:t>
      </w:r>
      <w:r w:rsidRPr="00DA1B51">
        <w:rPr>
          <w:rFonts w:cstheme="minorHAnsi"/>
          <w:shd w:val="clear" w:color="auto" w:fill="FFFFFF"/>
        </w:rPr>
        <w:t> (Vol. 4, No. 1, pp. 1095-1108). Geological Society of London.</w:t>
      </w:r>
    </w:p>
    <w:p w14:paraId="055D0508" w14:textId="77777777" w:rsidR="00B13E0E" w:rsidRPr="00DA1B51" w:rsidRDefault="00B13E0E" w:rsidP="009E071D">
      <w:pPr>
        <w:spacing w:after="100" w:afterAutospacing="1" w:line="360" w:lineRule="auto"/>
        <w:ind w:left="720" w:hanging="720"/>
        <w:rPr>
          <w:rFonts w:cstheme="minorHAnsi"/>
        </w:rPr>
      </w:pPr>
      <w:r w:rsidRPr="00DA1B51">
        <w:rPr>
          <w:rFonts w:cstheme="minorHAnsi"/>
        </w:rPr>
        <w:lastRenderedPageBreak/>
        <w:t xml:space="preserve">Coward, M.P., 1995. Structural and tectonic setting of the </w:t>
      </w:r>
      <w:proofErr w:type="spellStart"/>
      <w:r w:rsidRPr="00DA1B51">
        <w:rPr>
          <w:rFonts w:cstheme="minorHAnsi"/>
        </w:rPr>
        <w:t>Permo</w:t>
      </w:r>
      <w:proofErr w:type="spellEnd"/>
      <w:r w:rsidRPr="00DA1B51">
        <w:rPr>
          <w:rFonts w:cstheme="minorHAnsi"/>
        </w:rPr>
        <w:t>-Triassic basins of northwest Europe. Geological Society, London, Special Publications, 91(1), pp.7-39.</w:t>
      </w:r>
    </w:p>
    <w:p w14:paraId="5C96ABFE" w14:textId="77777777" w:rsidR="00DC2989" w:rsidRPr="00DA1B51" w:rsidRDefault="00DC2989"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Cowie, P.A., Gupta, S. and </w:t>
      </w:r>
      <w:proofErr w:type="spellStart"/>
      <w:r w:rsidRPr="00DA1B51">
        <w:rPr>
          <w:rFonts w:cstheme="minorHAnsi"/>
          <w:shd w:val="clear" w:color="auto" w:fill="FFFFFF"/>
        </w:rPr>
        <w:t>Dawers</w:t>
      </w:r>
      <w:proofErr w:type="spellEnd"/>
      <w:r w:rsidRPr="00DA1B51">
        <w:rPr>
          <w:rFonts w:cstheme="minorHAnsi"/>
          <w:shd w:val="clear" w:color="auto" w:fill="FFFFFF"/>
        </w:rPr>
        <w:t xml:space="preserve">, N.H., 2000. Implications of fault array evolution for </w:t>
      </w:r>
      <w:proofErr w:type="spellStart"/>
      <w:r w:rsidRPr="00DA1B51">
        <w:rPr>
          <w:rFonts w:cstheme="minorHAnsi"/>
          <w:shd w:val="clear" w:color="auto" w:fill="FFFFFF"/>
        </w:rPr>
        <w:t>synrift</w:t>
      </w:r>
      <w:proofErr w:type="spellEnd"/>
      <w:r w:rsidRPr="00DA1B51">
        <w:rPr>
          <w:rFonts w:cstheme="minorHAnsi"/>
          <w:shd w:val="clear" w:color="auto" w:fill="FFFFFF"/>
        </w:rPr>
        <w:t xml:space="preserve"> depocentre development: insights from a numerical fault growth model. </w:t>
      </w:r>
      <w:r w:rsidRPr="00DA1B51">
        <w:rPr>
          <w:rFonts w:cstheme="minorHAnsi"/>
          <w:i/>
          <w:iCs/>
          <w:shd w:val="clear" w:color="auto" w:fill="FFFFFF"/>
        </w:rPr>
        <w:t>Basin Research</w:t>
      </w:r>
      <w:r w:rsidRPr="00DA1B51">
        <w:rPr>
          <w:rFonts w:cstheme="minorHAnsi"/>
          <w:shd w:val="clear" w:color="auto" w:fill="FFFFFF"/>
        </w:rPr>
        <w:t>, </w:t>
      </w:r>
      <w:r w:rsidRPr="00DA1B51">
        <w:rPr>
          <w:rFonts w:cstheme="minorHAnsi"/>
          <w:i/>
          <w:iCs/>
          <w:shd w:val="clear" w:color="auto" w:fill="FFFFFF"/>
        </w:rPr>
        <w:t>12</w:t>
      </w:r>
      <w:r w:rsidR="00EC5F46" w:rsidRPr="00DA1B51">
        <w:rPr>
          <w:rFonts w:cstheme="minorHAnsi"/>
          <w:shd w:val="clear" w:color="auto" w:fill="FFFFFF"/>
        </w:rPr>
        <w:t>(3-4), pp.241-261.</w:t>
      </w:r>
    </w:p>
    <w:p w14:paraId="1B510FEF" w14:textId="77777777" w:rsidR="00A30660" w:rsidRPr="00DA1B51" w:rsidRDefault="00A30660"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t>Davydov</w:t>
      </w:r>
      <w:proofErr w:type="spellEnd"/>
      <w:r w:rsidRPr="00DA1B51">
        <w:rPr>
          <w:rFonts w:cstheme="minorHAnsi"/>
          <w:shd w:val="clear" w:color="auto" w:fill="FFFFFF"/>
        </w:rPr>
        <w:t xml:space="preserve">, V.I., </w:t>
      </w:r>
      <w:proofErr w:type="spellStart"/>
      <w:r w:rsidRPr="00DA1B51">
        <w:rPr>
          <w:rFonts w:cstheme="minorHAnsi"/>
          <w:shd w:val="clear" w:color="auto" w:fill="FFFFFF"/>
        </w:rPr>
        <w:t>Korn</w:t>
      </w:r>
      <w:proofErr w:type="spellEnd"/>
      <w:r w:rsidRPr="00DA1B51">
        <w:rPr>
          <w:rFonts w:cstheme="minorHAnsi"/>
          <w:shd w:val="clear" w:color="auto" w:fill="FFFFFF"/>
        </w:rPr>
        <w:t>, D., Schmitz, M.D., Gradstein, F.M. and Hammer, O., 2012. The carboniferous period. In </w:t>
      </w:r>
      <w:r w:rsidRPr="00DA1B51">
        <w:rPr>
          <w:rFonts w:cstheme="minorHAnsi"/>
          <w:i/>
          <w:iCs/>
          <w:shd w:val="clear" w:color="auto" w:fill="FFFFFF"/>
        </w:rPr>
        <w:t>The geologic time scale</w:t>
      </w:r>
      <w:r w:rsidRPr="00DA1B51">
        <w:rPr>
          <w:rFonts w:cstheme="minorHAnsi"/>
          <w:shd w:val="clear" w:color="auto" w:fill="FFFFFF"/>
        </w:rPr>
        <w:t> (pp. 603-651).</w:t>
      </w:r>
    </w:p>
    <w:p w14:paraId="0FDD0371" w14:textId="77777777" w:rsidR="00ED1B8C" w:rsidRPr="00DA1B51" w:rsidRDefault="00ED1B8C" w:rsidP="009E071D">
      <w:pPr>
        <w:spacing w:after="100" w:afterAutospacing="1" w:line="360" w:lineRule="auto"/>
        <w:ind w:left="720" w:hanging="720"/>
        <w:rPr>
          <w:rFonts w:cstheme="minorHAnsi"/>
        </w:rPr>
      </w:pPr>
      <w:r w:rsidRPr="00DA1B51">
        <w:rPr>
          <w:rFonts w:cstheme="minorHAnsi"/>
          <w:shd w:val="clear" w:color="auto" w:fill="FFFFFF"/>
        </w:rPr>
        <w:t xml:space="preserve">Day, J.B.W., 1970. Geology of the country around </w:t>
      </w:r>
      <w:proofErr w:type="spellStart"/>
      <w:r w:rsidRPr="00DA1B51">
        <w:rPr>
          <w:rFonts w:cstheme="minorHAnsi"/>
          <w:shd w:val="clear" w:color="auto" w:fill="FFFFFF"/>
        </w:rPr>
        <w:t>Bewcastle</w:t>
      </w:r>
      <w:proofErr w:type="spellEnd"/>
      <w:r w:rsidRPr="00DA1B51">
        <w:rPr>
          <w:rFonts w:cstheme="minorHAnsi"/>
          <w:shd w:val="clear" w:color="auto" w:fill="FFFFFF"/>
        </w:rPr>
        <w:t>. </w:t>
      </w:r>
      <w:r w:rsidRPr="00DA1B51">
        <w:rPr>
          <w:rFonts w:cstheme="minorHAnsi"/>
          <w:i/>
          <w:iCs/>
          <w:shd w:val="clear" w:color="auto" w:fill="FFFFFF"/>
        </w:rPr>
        <w:t>Memoires of the Geological Survey of Great Britain</w:t>
      </w:r>
      <w:r w:rsidRPr="00DA1B51">
        <w:rPr>
          <w:rFonts w:cstheme="minorHAnsi"/>
          <w:shd w:val="clear" w:color="auto" w:fill="FFFFFF"/>
        </w:rPr>
        <w:t>, pp.95-99.</w:t>
      </w:r>
    </w:p>
    <w:p w14:paraId="2CD9C1B2" w14:textId="77777777" w:rsidR="00B13E0E" w:rsidRPr="00DA1B51" w:rsidRDefault="00B13E0E" w:rsidP="009E071D">
      <w:pPr>
        <w:spacing w:after="100" w:afterAutospacing="1" w:line="360" w:lineRule="auto"/>
        <w:ind w:left="720" w:hanging="720"/>
        <w:rPr>
          <w:rFonts w:cstheme="minorHAnsi"/>
        </w:rPr>
      </w:pPr>
      <w:r w:rsidRPr="00DA1B51">
        <w:rPr>
          <w:rFonts w:cstheme="minorHAnsi"/>
        </w:rPr>
        <w:t xml:space="preserve">Dean, M.T., Browne, M.A.E., Waters, C.N. and Powell, J.H., 2011. A </w:t>
      </w:r>
      <w:proofErr w:type="spellStart"/>
      <w:r w:rsidRPr="00DA1B51">
        <w:rPr>
          <w:rFonts w:cstheme="minorHAnsi"/>
        </w:rPr>
        <w:t>lithostratigraphical</w:t>
      </w:r>
      <w:proofErr w:type="spellEnd"/>
      <w:r w:rsidRPr="00DA1B51">
        <w:rPr>
          <w:rFonts w:cstheme="minorHAnsi"/>
        </w:rPr>
        <w:t xml:space="preserve"> framework for the Carboniferous successions of northern Great Britain (onshore). British Geological Survey.</w:t>
      </w:r>
    </w:p>
    <w:p w14:paraId="38E8939E" w14:textId="77777777" w:rsidR="00DC2989" w:rsidRPr="00DA1B51" w:rsidRDefault="00DC2989" w:rsidP="009E071D">
      <w:pPr>
        <w:spacing w:after="100" w:afterAutospacing="1" w:line="360" w:lineRule="auto"/>
        <w:ind w:left="720" w:hanging="720"/>
        <w:rPr>
          <w:rFonts w:cstheme="minorHAnsi"/>
        </w:rPr>
      </w:pPr>
      <w:r w:rsidRPr="00DA1B51">
        <w:rPr>
          <w:rFonts w:cstheme="minorHAnsi"/>
          <w:shd w:val="clear" w:color="auto" w:fill="FFFFFF"/>
        </w:rPr>
        <w:t>Dewey, J.F., 1982. Plate tectonics and the evolution of the British Isles: Thirty-fifth William Smith Lecture. </w:t>
      </w:r>
      <w:r w:rsidRPr="00DA1B51">
        <w:rPr>
          <w:rFonts w:cstheme="minorHAnsi"/>
          <w:i/>
          <w:iCs/>
          <w:shd w:val="clear" w:color="auto" w:fill="FFFFFF"/>
        </w:rPr>
        <w:t>Journal of the Geological Society</w:t>
      </w:r>
      <w:r w:rsidRPr="00DA1B51">
        <w:rPr>
          <w:rFonts w:cstheme="minorHAnsi"/>
          <w:shd w:val="clear" w:color="auto" w:fill="FFFFFF"/>
        </w:rPr>
        <w:t>, </w:t>
      </w:r>
      <w:r w:rsidRPr="00DA1B51">
        <w:rPr>
          <w:rFonts w:cstheme="minorHAnsi"/>
          <w:i/>
          <w:iCs/>
          <w:shd w:val="clear" w:color="auto" w:fill="FFFFFF"/>
        </w:rPr>
        <w:t>139</w:t>
      </w:r>
      <w:r w:rsidRPr="00DA1B51">
        <w:rPr>
          <w:rFonts w:cstheme="minorHAnsi"/>
          <w:shd w:val="clear" w:color="auto" w:fill="FFFFFF"/>
        </w:rPr>
        <w:t>(4), pp.371-412.</w:t>
      </w:r>
    </w:p>
    <w:p w14:paraId="4D73F8F4" w14:textId="77777777" w:rsidR="00B13E0E" w:rsidRPr="00DA1B51" w:rsidRDefault="00B13E0E" w:rsidP="009E071D">
      <w:pPr>
        <w:spacing w:after="100" w:afterAutospacing="1" w:line="360" w:lineRule="auto"/>
        <w:ind w:left="720" w:hanging="720"/>
        <w:rPr>
          <w:rFonts w:cstheme="minorHAnsi"/>
        </w:rPr>
      </w:pPr>
      <w:proofErr w:type="gramStart"/>
      <w:r w:rsidRPr="00DA1B51">
        <w:rPr>
          <w:rFonts w:cstheme="minorHAnsi"/>
        </w:rPr>
        <w:t>de</w:t>
      </w:r>
      <w:proofErr w:type="gramEnd"/>
      <w:r w:rsidRPr="00DA1B51">
        <w:rPr>
          <w:rFonts w:cstheme="minorHAnsi"/>
        </w:rPr>
        <w:t xml:space="preserve"> Saint-</w:t>
      </w:r>
      <w:proofErr w:type="spellStart"/>
      <w:r w:rsidRPr="00DA1B51">
        <w:rPr>
          <w:rFonts w:cstheme="minorHAnsi"/>
        </w:rPr>
        <w:t>Blanquat</w:t>
      </w:r>
      <w:proofErr w:type="spellEnd"/>
      <w:r w:rsidRPr="00DA1B51">
        <w:rPr>
          <w:rFonts w:cstheme="minorHAnsi"/>
        </w:rPr>
        <w:t xml:space="preserve">, M., Law, R.D., </w:t>
      </w:r>
      <w:proofErr w:type="spellStart"/>
      <w:r w:rsidRPr="00DA1B51">
        <w:rPr>
          <w:rFonts w:cstheme="minorHAnsi"/>
        </w:rPr>
        <w:t>Bouchez</w:t>
      </w:r>
      <w:proofErr w:type="spellEnd"/>
      <w:r w:rsidRPr="00DA1B51">
        <w:rPr>
          <w:rFonts w:cstheme="minorHAnsi"/>
        </w:rPr>
        <w:t>, J.L. and Morgan, S.S., 2001. Internal structure and emplacement of the Papoose Flat pluton: An integrated structural, petrographic, and magnetic susceptibility study. Geological Society of America Bulletin, 113(8), pp.976-995.</w:t>
      </w:r>
    </w:p>
    <w:p w14:paraId="75227956" w14:textId="77777777" w:rsidR="000327C1" w:rsidRPr="00DA1B51" w:rsidRDefault="000327C1" w:rsidP="009E071D">
      <w:pPr>
        <w:spacing w:after="100" w:afterAutospacing="1" w:line="360" w:lineRule="auto"/>
        <w:ind w:left="720" w:hanging="720"/>
        <w:rPr>
          <w:rFonts w:cstheme="minorHAnsi"/>
        </w:rPr>
      </w:pPr>
      <w:proofErr w:type="gramStart"/>
      <w:r w:rsidRPr="00DA1B51">
        <w:rPr>
          <w:rFonts w:cstheme="minorHAnsi"/>
        </w:rPr>
        <w:t>de</w:t>
      </w:r>
      <w:proofErr w:type="gramEnd"/>
      <w:r w:rsidRPr="00DA1B51">
        <w:rPr>
          <w:rFonts w:cstheme="minorHAnsi"/>
        </w:rPr>
        <w:t xml:space="preserve"> Castro, D.L., de Oliveira, D.C. and </w:t>
      </w:r>
      <w:proofErr w:type="spellStart"/>
      <w:r w:rsidRPr="00DA1B51">
        <w:rPr>
          <w:rFonts w:cstheme="minorHAnsi"/>
        </w:rPr>
        <w:t>Branco</w:t>
      </w:r>
      <w:proofErr w:type="spellEnd"/>
      <w:r w:rsidRPr="00DA1B51">
        <w:rPr>
          <w:rFonts w:cstheme="minorHAnsi"/>
        </w:rPr>
        <w:t xml:space="preserve">, R.M.G.C., 2007. On the tectonics of the </w:t>
      </w:r>
      <w:proofErr w:type="spellStart"/>
      <w:r w:rsidRPr="00DA1B51">
        <w:rPr>
          <w:rFonts w:cstheme="minorHAnsi"/>
        </w:rPr>
        <w:t>Neocomian</w:t>
      </w:r>
      <w:proofErr w:type="spellEnd"/>
      <w:r w:rsidRPr="00DA1B51">
        <w:rPr>
          <w:rFonts w:cstheme="minorHAnsi"/>
        </w:rPr>
        <w:t xml:space="preserve"> Rio do </w:t>
      </w:r>
      <w:proofErr w:type="spellStart"/>
      <w:r w:rsidRPr="00DA1B51">
        <w:rPr>
          <w:rFonts w:cstheme="minorHAnsi"/>
        </w:rPr>
        <w:t>Peixe</w:t>
      </w:r>
      <w:proofErr w:type="spellEnd"/>
      <w:r w:rsidRPr="00DA1B51">
        <w:rPr>
          <w:rFonts w:cstheme="minorHAnsi"/>
        </w:rPr>
        <w:t xml:space="preserve"> Rift Basin, NE Brazil: Lessons from gravity, magnetics, and radiometric data. Journal of South American Earth Sciences, 24(2-4), pp.184-202.</w:t>
      </w:r>
    </w:p>
    <w:p w14:paraId="4695CA22" w14:textId="77777777" w:rsidR="00B13E0E" w:rsidRPr="00DA1B51" w:rsidRDefault="00B13E0E" w:rsidP="009E071D">
      <w:pPr>
        <w:spacing w:after="100" w:afterAutospacing="1" w:line="360" w:lineRule="auto"/>
        <w:ind w:left="720" w:hanging="720"/>
        <w:rPr>
          <w:rFonts w:cstheme="minorHAnsi"/>
        </w:rPr>
      </w:pPr>
      <w:proofErr w:type="gramStart"/>
      <w:r w:rsidRPr="00DA1B51">
        <w:rPr>
          <w:rFonts w:cstheme="minorHAnsi"/>
        </w:rPr>
        <w:t>de</w:t>
      </w:r>
      <w:proofErr w:type="gramEnd"/>
      <w:r w:rsidRPr="00DA1B51">
        <w:rPr>
          <w:rFonts w:cstheme="minorHAnsi"/>
        </w:rPr>
        <w:t xml:space="preserve"> Castro, D.L., </w:t>
      </w:r>
      <w:proofErr w:type="spellStart"/>
      <w:r w:rsidRPr="00DA1B51">
        <w:rPr>
          <w:rFonts w:cstheme="minorHAnsi"/>
        </w:rPr>
        <w:t>Bezerra</w:t>
      </w:r>
      <w:proofErr w:type="spellEnd"/>
      <w:r w:rsidRPr="00DA1B51">
        <w:rPr>
          <w:rFonts w:cstheme="minorHAnsi"/>
        </w:rPr>
        <w:t xml:space="preserve">, F.H. and </w:t>
      </w:r>
      <w:proofErr w:type="spellStart"/>
      <w:r w:rsidRPr="00DA1B51">
        <w:rPr>
          <w:rFonts w:cstheme="minorHAnsi"/>
        </w:rPr>
        <w:t>Branco</w:t>
      </w:r>
      <w:proofErr w:type="spellEnd"/>
      <w:r w:rsidRPr="00DA1B51">
        <w:rPr>
          <w:rFonts w:cstheme="minorHAnsi"/>
        </w:rPr>
        <w:t xml:space="preserve">, R.M.C., 2008. Geophysical evidence of crustal-heterogeneity control of fault growth in the </w:t>
      </w:r>
      <w:proofErr w:type="spellStart"/>
      <w:r w:rsidRPr="00DA1B51">
        <w:rPr>
          <w:rFonts w:cstheme="minorHAnsi"/>
        </w:rPr>
        <w:t>Neocomian</w:t>
      </w:r>
      <w:proofErr w:type="spellEnd"/>
      <w:r w:rsidRPr="00DA1B51">
        <w:rPr>
          <w:rFonts w:cstheme="minorHAnsi"/>
        </w:rPr>
        <w:t xml:space="preserve"> </w:t>
      </w:r>
      <w:proofErr w:type="spellStart"/>
      <w:r w:rsidRPr="00DA1B51">
        <w:rPr>
          <w:rFonts w:cstheme="minorHAnsi"/>
        </w:rPr>
        <w:t>Iguatu</w:t>
      </w:r>
      <w:proofErr w:type="spellEnd"/>
      <w:r w:rsidRPr="00DA1B51">
        <w:rPr>
          <w:rFonts w:cstheme="minorHAnsi"/>
        </w:rPr>
        <w:t xml:space="preserve"> basin, NE Brazil. Journal of South American Earth Sciences, 26(3), pp.271-285.</w:t>
      </w:r>
    </w:p>
    <w:p w14:paraId="7B7857C9" w14:textId="77777777" w:rsidR="00DA1B51" w:rsidRPr="00DA1B51" w:rsidRDefault="00DA1B51" w:rsidP="009E071D">
      <w:pPr>
        <w:spacing w:after="100" w:afterAutospacing="1" w:line="360" w:lineRule="auto"/>
        <w:ind w:left="720" w:hanging="720"/>
        <w:rPr>
          <w:rFonts w:cstheme="minorHAnsi"/>
        </w:rPr>
      </w:pPr>
      <w:r w:rsidRPr="00DA1B51">
        <w:rPr>
          <w:rFonts w:cstheme="minorHAnsi"/>
          <w:shd w:val="clear" w:color="auto" w:fill="FFFFFF"/>
        </w:rPr>
        <w:t xml:space="preserve">De Vera, J., </w:t>
      </w:r>
      <w:proofErr w:type="spellStart"/>
      <w:r w:rsidRPr="00DA1B51">
        <w:rPr>
          <w:rFonts w:cstheme="minorHAnsi"/>
          <w:shd w:val="clear" w:color="auto" w:fill="FFFFFF"/>
        </w:rPr>
        <w:t>Granado</w:t>
      </w:r>
      <w:proofErr w:type="spellEnd"/>
      <w:r w:rsidRPr="00DA1B51">
        <w:rPr>
          <w:rFonts w:cstheme="minorHAnsi"/>
          <w:shd w:val="clear" w:color="auto" w:fill="FFFFFF"/>
        </w:rPr>
        <w:t>, P. and McClay, K., 2010. Structural evolution of the Orange Basin gravity-driven system, offshore Namibia. </w:t>
      </w:r>
      <w:r w:rsidRPr="00DA1B51">
        <w:rPr>
          <w:rFonts w:cstheme="minorHAnsi"/>
          <w:i/>
          <w:iCs/>
          <w:shd w:val="clear" w:color="auto" w:fill="FFFFFF"/>
        </w:rPr>
        <w:t>Marine and Petroleum Geology</w:t>
      </w:r>
      <w:r w:rsidRPr="00DA1B51">
        <w:rPr>
          <w:rFonts w:cstheme="minorHAnsi"/>
          <w:shd w:val="clear" w:color="auto" w:fill="FFFFFF"/>
        </w:rPr>
        <w:t>, </w:t>
      </w:r>
      <w:r w:rsidRPr="00DA1B51">
        <w:rPr>
          <w:rFonts w:cstheme="minorHAnsi"/>
          <w:i/>
          <w:iCs/>
          <w:shd w:val="clear" w:color="auto" w:fill="FFFFFF"/>
        </w:rPr>
        <w:t>27</w:t>
      </w:r>
      <w:r w:rsidRPr="00DA1B51">
        <w:rPr>
          <w:rFonts w:cstheme="minorHAnsi"/>
          <w:shd w:val="clear" w:color="auto" w:fill="FFFFFF"/>
        </w:rPr>
        <w:t>(1), pp.223-237.</w:t>
      </w:r>
    </w:p>
    <w:p w14:paraId="52CCA744" w14:textId="77777777" w:rsidR="00B13E0E" w:rsidRPr="00DA1B51" w:rsidRDefault="00B13E0E"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t>Dimitropoulos</w:t>
      </w:r>
      <w:proofErr w:type="spellEnd"/>
      <w:r w:rsidRPr="00DA1B51">
        <w:rPr>
          <w:rFonts w:cstheme="minorHAnsi"/>
          <w:shd w:val="clear" w:color="auto" w:fill="FFFFFF"/>
        </w:rPr>
        <w:t xml:space="preserve">, K. and Donato, J.A., 1981. The inner </w:t>
      </w:r>
      <w:proofErr w:type="gramStart"/>
      <w:r w:rsidRPr="00DA1B51">
        <w:rPr>
          <w:rFonts w:cstheme="minorHAnsi"/>
          <w:shd w:val="clear" w:color="auto" w:fill="FFFFFF"/>
        </w:rPr>
        <w:t>moray firth</w:t>
      </w:r>
      <w:proofErr w:type="gramEnd"/>
      <w:r w:rsidRPr="00DA1B51">
        <w:rPr>
          <w:rFonts w:cstheme="minorHAnsi"/>
          <w:shd w:val="clear" w:color="auto" w:fill="FFFFFF"/>
        </w:rPr>
        <w:t xml:space="preserve"> central ridge, a geophysical interpretation. </w:t>
      </w:r>
      <w:r w:rsidRPr="00DA1B51">
        <w:rPr>
          <w:rFonts w:cstheme="minorHAnsi"/>
          <w:i/>
          <w:iCs/>
          <w:shd w:val="clear" w:color="auto" w:fill="FFFFFF"/>
        </w:rPr>
        <w:t>Scottish Journal of Geology</w:t>
      </w:r>
      <w:r w:rsidRPr="00DA1B51">
        <w:rPr>
          <w:rFonts w:cstheme="minorHAnsi"/>
          <w:shd w:val="clear" w:color="auto" w:fill="FFFFFF"/>
        </w:rPr>
        <w:t>, </w:t>
      </w:r>
      <w:r w:rsidRPr="00DA1B51">
        <w:rPr>
          <w:rFonts w:cstheme="minorHAnsi"/>
          <w:i/>
          <w:iCs/>
          <w:shd w:val="clear" w:color="auto" w:fill="FFFFFF"/>
        </w:rPr>
        <w:t>17</w:t>
      </w:r>
      <w:r w:rsidRPr="00DA1B51">
        <w:rPr>
          <w:rFonts w:cstheme="minorHAnsi"/>
          <w:shd w:val="clear" w:color="auto" w:fill="FFFFFF"/>
        </w:rPr>
        <w:t>(1), pp.27-38.</w:t>
      </w:r>
    </w:p>
    <w:p w14:paraId="1039AF40" w14:textId="77777777" w:rsidR="001A67FF" w:rsidRPr="00DA1B51" w:rsidRDefault="001A67FF"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lastRenderedPageBreak/>
        <w:t xml:space="preserve">Dingle, R.V., 1992. Structural and sedimentary development of the continental margin off </w:t>
      </w:r>
      <w:proofErr w:type="spellStart"/>
      <w:r w:rsidRPr="00DA1B51">
        <w:rPr>
          <w:rFonts w:cstheme="minorHAnsi"/>
          <w:shd w:val="clear" w:color="auto" w:fill="FFFFFF"/>
        </w:rPr>
        <w:t>southwestern</w:t>
      </w:r>
      <w:proofErr w:type="spellEnd"/>
      <w:r w:rsidRPr="00DA1B51">
        <w:rPr>
          <w:rFonts w:cstheme="minorHAnsi"/>
          <w:shd w:val="clear" w:color="auto" w:fill="FFFFFF"/>
        </w:rPr>
        <w:t xml:space="preserve"> Africa. </w:t>
      </w:r>
      <w:r w:rsidRPr="00DA1B51">
        <w:rPr>
          <w:rFonts w:cstheme="minorHAnsi"/>
          <w:i/>
          <w:iCs/>
          <w:shd w:val="clear" w:color="auto" w:fill="FFFFFF"/>
        </w:rPr>
        <w:t>Communications of the Geological Survey of Namibia</w:t>
      </w:r>
      <w:r w:rsidRPr="00DA1B51">
        <w:rPr>
          <w:rFonts w:cstheme="minorHAnsi"/>
          <w:shd w:val="clear" w:color="auto" w:fill="FFFFFF"/>
        </w:rPr>
        <w:t>, </w:t>
      </w:r>
      <w:r w:rsidRPr="00DA1B51">
        <w:rPr>
          <w:rFonts w:cstheme="minorHAnsi"/>
          <w:i/>
          <w:iCs/>
          <w:shd w:val="clear" w:color="auto" w:fill="FFFFFF"/>
        </w:rPr>
        <w:t>8</w:t>
      </w:r>
      <w:r w:rsidRPr="00DA1B51">
        <w:rPr>
          <w:rFonts w:cstheme="minorHAnsi"/>
          <w:shd w:val="clear" w:color="auto" w:fill="FFFFFF"/>
        </w:rPr>
        <w:t>, pp.35-43.</w:t>
      </w:r>
    </w:p>
    <w:p w14:paraId="1004F209" w14:textId="77777777" w:rsidR="00B13E0E" w:rsidRPr="00DA1B51" w:rsidRDefault="00B13E0E" w:rsidP="009E071D">
      <w:pPr>
        <w:spacing w:after="100" w:afterAutospacing="1" w:line="360" w:lineRule="auto"/>
        <w:ind w:left="720" w:hanging="720"/>
        <w:rPr>
          <w:rFonts w:cstheme="minorHAnsi"/>
        </w:rPr>
      </w:pPr>
      <w:r w:rsidRPr="00DA1B51">
        <w:rPr>
          <w:rFonts w:cstheme="minorHAnsi"/>
          <w:shd w:val="clear" w:color="auto" w:fill="FFFFFF"/>
        </w:rPr>
        <w:t xml:space="preserve">Donato, J.A., Tully, M.C., </w:t>
      </w:r>
      <w:proofErr w:type="spellStart"/>
      <w:r w:rsidRPr="00DA1B51">
        <w:rPr>
          <w:rFonts w:cstheme="minorHAnsi"/>
          <w:shd w:val="clear" w:color="auto" w:fill="FFFFFF"/>
        </w:rPr>
        <w:t>Illing</w:t>
      </w:r>
      <w:proofErr w:type="spellEnd"/>
      <w:r w:rsidRPr="00DA1B51">
        <w:rPr>
          <w:rFonts w:cstheme="minorHAnsi"/>
          <w:shd w:val="clear" w:color="auto" w:fill="FFFFFF"/>
        </w:rPr>
        <w:t>, L.V. and Hobson, G.D., 1981. A regional interpretation of North Sea gravity data. </w:t>
      </w:r>
      <w:r w:rsidRPr="00DA1B51">
        <w:rPr>
          <w:rFonts w:cstheme="minorHAnsi"/>
          <w:i/>
          <w:iCs/>
          <w:shd w:val="clear" w:color="auto" w:fill="FFFFFF"/>
        </w:rPr>
        <w:t>Petroleum geology of the continental shelf of North-West Europe</w:t>
      </w:r>
      <w:r w:rsidRPr="00DA1B51">
        <w:rPr>
          <w:rFonts w:cstheme="minorHAnsi"/>
          <w:shd w:val="clear" w:color="auto" w:fill="FFFFFF"/>
        </w:rPr>
        <w:t>, pp.65-75.</w:t>
      </w:r>
    </w:p>
    <w:p w14:paraId="28C5F732" w14:textId="77777777" w:rsidR="00B13E0E" w:rsidRPr="00DA1B51" w:rsidRDefault="00B13E0E"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Donato, J.A., Martindale, W. and Tully, M.C., 1983. Buried granites within the Mid North Sea High. </w:t>
      </w:r>
      <w:r w:rsidRPr="00DA1B51">
        <w:rPr>
          <w:rFonts w:cstheme="minorHAnsi"/>
          <w:i/>
          <w:iCs/>
          <w:shd w:val="clear" w:color="auto" w:fill="FFFFFF"/>
        </w:rPr>
        <w:t>Journal of the Geological Society</w:t>
      </w:r>
      <w:r w:rsidRPr="00DA1B51">
        <w:rPr>
          <w:rFonts w:cstheme="minorHAnsi"/>
          <w:shd w:val="clear" w:color="auto" w:fill="FFFFFF"/>
        </w:rPr>
        <w:t>, </w:t>
      </w:r>
      <w:r w:rsidRPr="00DA1B51">
        <w:rPr>
          <w:rFonts w:cstheme="minorHAnsi"/>
          <w:i/>
          <w:iCs/>
          <w:shd w:val="clear" w:color="auto" w:fill="FFFFFF"/>
        </w:rPr>
        <w:t>140</w:t>
      </w:r>
      <w:r w:rsidRPr="00DA1B51">
        <w:rPr>
          <w:rFonts w:cstheme="minorHAnsi"/>
          <w:shd w:val="clear" w:color="auto" w:fill="FFFFFF"/>
        </w:rPr>
        <w:t>(5), pp.825-837.</w:t>
      </w:r>
    </w:p>
    <w:p w14:paraId="4DA90E48" w14:textId="77777777" w:rsidR="00B13E0E" w:rsidRPr="00DA1B51" w:rsidRDefault="00B13E0E"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Donato, J.A. and </w:t>
      </w:r>
      <w:proofErr w:type="spellStart"/>
      <w:r w:rsidRPr="00DA1B51">
        <w:rPr>
          <w:rFonts w:cstheme="minorHAnsi"/>
          <w:shd w:val="clear" w:color="auto" w:fill="FFFFFF"/>
        </w:rPr>
        <w:t>Megson</w:t>
      </w:r>
      <w:proofErr w:type="spellEnd"/>
      <w:r w:rsidRPr="00DA1B51">
        <w:rPr>
          <w:rFonts w:cstheme="minorHAnsi"/>
          <w:shd w:val="clear" w:color="auto" w:fill="FFFFFF"/>
        </w:rPr>
        <w:t>, J.B., 1990. A buried granite batholith beneath the East Midland Shelf of the Southern North Sea Basin. Journal of the Geological Society, 147(1), pp.133-140.</w:t>
      </w:r>
    </w:p>
    <w:p w14:paraId="6995C72E" w14:textId="77777777" w:rsidR="00B13E0E" w:rsidRPr="00DA1B51" w:rsidRDefault="00B13E0E"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Donato, J.A., 1993. A buried granite batholith and the origin of the Sole Pit Basin, UK Southern North Sea. Journal of the Geological Society, 150(2), pp.255-258.</w:t>
      </w:r>
    </w:p>
    <w:p w14:paraId="3207268C" w14:textId="77777777" w:rsidR="00762BFA" w:rsidRPr="00DA1B51" w:rsidRDefault="00762BFA"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Dunham, K.C., Johnson, G.A.L., </w:t>
      </w:r>
      <w:proofErr w:type="spellStart"/>
      <w:r w:rsidRPr="00DA1B51">
        <w:rPr>
          <w:rFonts w:cstheme="minorHAnsi"/>
          <w:shd w:val="clear" w:color="auto" w:fill="FFFFFF"/>
        </w:rPr>
        <w:t>Bott</w:t>
      </w:r>
      <w:proofErr w:type="spellEnd"/>
      <w:r w:rsidRPr="00DA1B51">
        <w:rPr>
          <w:rFonts w:cstheme="minorHAnsi"/>
          <w:shd w:val="clear" w:color="auto" w:fill="FFFFFF"/>
        </w:rPr>
        <w:t>, M.H.P. and Hodge, B.L., 1961. Granite beneath the northern Pennines. </w:t>
      </w:r>
      <w:r w:rsidRPr="00DA1B51">
        <w:rPr>
          <w:rFonts w:cstheme="minorHAnsi"/>
          <w:i/>
          <w:iCs/>
          <w:shd w:val="clear" w:color="auto" w:fill="FFFFFF"/>
        </w:rPr>
        <w:t>Nature</w:t>
      </w:r>
      <w:r w:rsidRPr="00DA1B51">
        <w:rPr>
          <w:rFonts w:cstheme="minorHAnsi"/>
          <w:shd w:val="clear" w:color="auto" w:fill="FFFFFF"/>
        </w:rPr>
        <w:t>, </w:t>
      </w:r>
      <w:r w:rsidRPr="00DA1B51">
        <w:rPr>
          <w:rFonts w:cstheme="minorHAnsi"/>
          <w:i/>
          <w:iCs/>
          <w:shd w:val="clear" w:color="auto" w:fill="FFFFFF"/>
        </w:rPr>
        <w:t>190</w:t>
      </w:r>
      <w:r w:rsidRPr="00DA1B51">
        <w:rPr>
          <w:rFonts w:cstheme="minorHAnsi"/>
          <w:shd w:val="clear" w:color="auto" w:fill="FFFFFF"/>
        </w:rPr>
        <w:t>(4779), p.899.</w:t>
      </w:r>
    </w:p>
    <w:p w14:paraId="575EA5D8" w14:textId="77777777" w:rsidR="00DF17BD" w:rsidRPr="00DA1B51" w:rsidRDefault="00DF17BD"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D</w:t>
      </w:r>
      <w:r w:rsidR="00745892" w:rsidRPr="00DA1B51">
        <w:rPr>
          <w:rFonts w:cstheme="minorHAnsi"/>
          <w:shd w:val="clear" w:color="auto" w:fill="FFFFFF"/>
        </w:rPr>
        <w:t>unham, K.C., Dunham</w:t>
      </w:r>
      <w:r w:rsidRPr="00DA1B51">
        <w:rPr>
          <w:rFonts w:cstheme="minorHAnsi"/>
          <w:shd w:val="clear" w:color="auto" w:fill="FFFFFF"/>
        </w:rPr>
        <w:t>, A</w:t>
      </w:r>
      <w:r w:rsidR="00745892" w:rsidRPr="00DA1B51">
        <w:rPr>
          <w:rFonts w:cstheme="minorHAnsi"/>
          <w:shd w:val="clear" w:color="auto" w:fill="FFFFFF"/>
        </w:rPr>
        <w:t>.C., Hodge, B.L. and Johnson</w:t>
      </w:r>
      <w:r w:rsidRPr="00DA1B51">
        <w:rPr>
          <w:rFonts w:cstheme="minorHAnsi"/>
          <w:shd w:val="clear" w:color="auto" w:fill="FFFFFF"/>
        </w:rPr>
        <w:t xml:space="preserve">, G.A.L., 1965. Granite beneath Viséan sediments with mineralization at </w:t>
      </w:r>
      <w:proofErr w:type="spellStart"/>
      <w:r w:rsidRPr="00DA1B51">
        <w:rPr>
          <w:rFonts w:cstheme="minorHAnsi"/>
          <w:shd w:val="clear" w:color="auto" w:fill="FFFFFF"/>
        </w:rPr>
        <w:t>Rookhope</w:t>
      </w:r>
      <w:proofErr w:type="spellEnd"/>
      <w:r w:rsidRPr="00DA1B51">
        <w:rPr>
          <w:rFonts w:cstheme="minorHAnsi"/>
          <w:shd w:val="clear" w:color="auto" w:fill="FFFFFF"/>
        </w:rPr>
        <w:t>, northern Pennines. </w:t>
      </w:r>
      <w:r w:rsidRPr="00DA1B51">
        <w:rPr>
          <w:rFonts w:cstheme="minorHAnsi"/>
          <w:i/>
          <w:iCs/>
          <w:shd w:val="clear" w:color="auto" w:fill="FFFFFF"/>
        </w:rPr>
        <w:t>Quarterly Journal of the Geological Society</w:t>
      </w:r>
      <w:r w:rsidRPr="00DA1B51">
        <w:rPr>
          <w:rFonts w:cstheme="minorHAnsi"/>
          <w:shd w:val="clear" w:color="auto" w:fill="FFFFFF"/>
        </w:rPr>
        <w:t>, </w:t>
      </w:r>
      <w:r w:rsidRPr="00DA1B51">
        <w:rPr>
          <w:rFonts w:cstheme="minorHAnsi"/>
          <w:i/>
          <w:iCs/>
          <w:shd w:val="clear" w:color="auto" w:fill="FFFFFF"/>
        </w:rPr>
        <w:t>121</w:t>
      </w:r>
      <w:r w:rsidRPr="00DA1B51">
        <w:rPr>
          <w:rFonts w:cstheme="minorHAnsi"/>
          <w:shd w:val="clear" w:color="auto" w:fill="FFFFFF"/>
        </w:rPr>
        <w:t>(1-4), pp.383-414.</w:t>
      </w:r>
    </w:p>
    <w:p w14:paraId="650D3944" w14:textId="77777777" w:rsidR="00814B92" w:rsidRPr="00DA1B51" w:rsidRDefault="00814B92"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Egan, S.S., 1992. The flexural isostatic response of the lithosphere to extensional tectonics. </w:t>
      </w:r>
      <w:r w:rsidRPr="00DA1B51">
        <w:rPr>
          <w:rFonts w:cstheme="minorHAnsi"/>
          <w:i/>
          <w:iCs/>
          <w:shd w:val="clear" w:color="auto" w:fill="FFFFFF"/>
        </w:rPr>
        <w:t>Tectonophysics</w:t>
      </w:r>
      <w:r w:rsidRPr="00DA1B51">
        <w:rPr>
          <w:rFonts w:cstheme="minorHAnsi"/>
          <w:shd w:val="clear" w:color="auto" w:fill="FFFFFF"/>
        </w:rPr>
        <w:t>, </w:t>
      </w:r>
      <w:r w:rsidRPr="00DA1B51">
        <w:rPr>
          <w:rFonts w:cstheme="minorHAnsi"/>
          <w:i/>
          <w:iCs/>
          <w:shd w:val="clear" w:color="auto" w:fill="FFFFFF"/>
        </w:rPr>
        <w:t>202</w:t>
      </w:r>
      <w:r w:rsidRPr="00DA1B51">
        <w:rPr>
          <w:rFonts w:cstheme="minorHAnsi"/>
          <w:shd w:val="clear" w:color="auto" w:fill="FFFFFF"/>
        </w:rPr>
        <w:t>(2-4), pp.291-308.</w:t>
      </w:r>
    </w:p>
    <w:p w14:paraId="475AD1D3" w14:textId="77777777" w:rsidR="00814B92" w:rsidRPr="00DA1B51" w:rsidRDefault="00814B92"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Egan, S.S. and Urquhart, J.M., 1993. Numerical modelling of lithosphere shortening: application to the </w:t>
      </w:r>
      <w:proofErr w:type="spellStart"/>
      <w:r w:rsidRPr="00DA1B51">
        <w:rPr>
          <w:rFonts w:cstheme="minorHAnsi"/>
          <w:shd w:val="clear" w:color="auto" w:fill="FFFFFF"/>
        </w:rPr>
        <w:t>Laramide</w:t>
      </w:r>
      <w:proofErr w:type="spellEnd"/>
      <w:r w:rsidRPr="00DA1B51">
        <w:rPr>
          <w:rFonts w:cstheme="minorHAnsi"/>
          <w:shd w:val="clear" w:color="auto" w:fill="FFFFFF"/>
        </w:rPr>
        <w:t xml:space="preserve"> </w:t>
      </w:r>
      <w:proofErr w:type="spellStart"/>
      <w:r w:rsidRPr="00DA1B51">
        <w:rPr>
          <w:rFonts w:cstheme="minorHAnsi"/>
          <w:shd w:val="clear" w:color="auto" w:fill="FFFFFF"/>
        </w:rPr>
        <w:t>erogenic</w:t>
      </w:r>
      <w:proofErr w:type="spellEnd"/>
      <w:r w:rsidRPr="00DA1B51">
        <w:rPr>
          <w:rFonts w:cstheme="minorHAnsi"/>
          <w:shd w:val="clear" w:color="auto" w:fill="FFFFFF"/>
        </w:rPr>
        <w:t xml:space="preserve"> province, western USA. </w:t>
      </w:r>
      <w:r w:rsidRPr="00DA1B51">
        <w:rPr>
          <w:rFonts w:cstheme="minorHAnsi"/>
          <w:i/>
          <w:iCs/>
          <w:shd w:val="clear" w:color="auto" w:fill="FFFFFF"/>
        </w:rPr>
        <w:t>Tectonophysics</w:t>
      </w:r>
      <w:r w:rsidRPr="00DA1B51">
        <w:rPr>
          <w:rFonts w:cstheme="minorHAnsi"/>
          <w:shd w:val="clear" w:color="auto" w:fill="FFFFFF"/>
        </w:rPr>
        <w:t>, </w:t>
      </w:r>
      <w:r w:rsidRPr="00DA1B51">
        <w:rPr>
          <w:rFonts w:cstheme="minorHAnsi"/>
          <w:i/>
          <w:iCs/>
          <w:shd w:val="clear" w:color="auto" w:fill="FFFFFF"/>
        </w:rPr>
        <w:t>221</w:t>
      </w:r>
      <w:r w:rsidRPr="00DA1B51">
        <w:rPr>
          <w:rFonts w:cstheme="minorHAnsi"/>
          <w:shd w:val="clear" w:color="auto" w:fill="FFFFFF"/>
        </w:rPr>
        <w:t>(3-4), pp.385-411.</w:t>
      </w:r>
    </w:p>
    <w:p w14:paraId="0230699E" w14:textId="77777777" w:rsidR="00ED1B8C" w:rsidRPr="00DA1B51" w:rsidRDefault="00ED1B8C"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Egan, S.S. and Meredith, D.J., 2007. A kinematic modelling approach to lithosphere deformation and basin formation: application to the Black Sea. </w:t>
      </w:r>
      <w:r w:rsidRPr="00DA1B51">
        <w:rPr>
          <w:rFonts w:cstheme="minorHAnsi"/>
          <w:i/>
          <w:iCs/>
          <w:shd w:val="clear" w:color="auto" w:fill="FFFFFF"/>
        </w:rPr>
        <w:t>Geological Society, London, Special Publications</w:t>
      </w:r>
      <w:r w:rsidRPr="00DA1B51">
        <w:rPr>
          <w:rFonts w:cstheme="minorHAnsi"/>
          <w:shd w:val="clear" w:color="auto" w:fill="FFFFFF"/>
        </w:rPr>
        <w:t>, </w:t>
      </w:r>
      <w:r w:rsidRPr="00DA1B51">
        <w:rPr>
          <w:rFonts w:cstheme="minorHAnsi"/>
          <w:i/>
          <w:iCs/>
          <w:shd w:val="clear" w:color="auto" w:fill="FFFFFF"/>
        </w:rPr>
        <w:t>282</w:t>
      </w:r>
      <w:r w:rsidRPr="00DA1B51">
        <w:rPr>
          <w:rFonts w:cstheme="minorHAnsi"/>
          <w:shd w:val="clear" w:color="auto" w:fill="FFFFFF"/>
        </w:rPr>
        <w:t>(1), pp.173-198.</w:t>
      </w:r>
    </w:p>
    <w:p w14:paraId="16507D56" w14:textId="77777777" w:rsidR="005979A7" w:rsidRPr="00DA1B51" w:rsidRDefault="005979A7"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Fraser, A.J. and </w:t>
      </w:r>
      <w:proofErr w:type="spellStart"/>
      <w:r w:rsidRPr="00DA1B51">
        <w:rPr>
          <w:rFonts w:cstheme="minorHAnsi"/>
          <w:shd w:val="clear" w:color="auto" w:fill="FFFFFF"/>
        </w:rPr>
        <w:t>Gawthorpe</w:t>
      </w:r>
      <w:proofErr w:type="spellEnd"/>
      <w:r w:rsidRPr="00DA1B51">
        <w:rPr>
          <w:rFonts w:cstheme="minorHAnsi"/>
          <w:shd w:val="clear" w:color="auto" w:fill="FFFFFF"/>
        </w:rPr>
        <w:t>, R.L., 1990. Tectono-stratigraphic development and hydrocarbon habitat of the Carboniferous in northern England. </w:t>
      </w:r>
      <w:r w:rsidRPr="00DA1B51">
        <w:rPr>
          <w:rFonts w:cstheme="minorHAnsi"/>
          <w:i/>
          <w:iCs/>
          <w:shd w:val="clear" w:color="auto" w:fill="FFFFFF"/>
        </w:rPr>
        <w:t>Geological Society, London, Special Publications</w:t>
      </w:r>
      <w:r w:rsidRPr="00DA1B51">
        <w:rPr>
          <w:rFonts w:cstheme="minorHAnsi"/>
          <w:shd w:val="clear" w:color="auto" w:fill="FFFFFF"/>
        </w:rPr>
        <w:t>, </w:t>
      </w:r>
      <w:r w:rsidRPr="00DA1B51">
        <w:rPr>
          <w:rFonts w:cstheme="minorHAnsi"/>
          <w:i/>
          <w:iCs/>
          <w:shd w:val="clear" w:color="auto" w:fill="FFFFFF"/>
        </w:rPr>
        <w:t>55</w:t>
      </w:r>
      <w:r w:rsidRPr="00DA1B51">
        <w:rPr>
          <w:rFonts w:cstheme="minorHAnsi"/>
          <w:shd w:val="clear" w:color="auto" w:fill="FFFFFF"/>
        </w:rPr>
        <w:t>(1), pp.49-86.</w:t>
      </w:r>
    </w:p>
    <w:p w14:paraId="28E502CB" w14:textId="77777777" w:rsidR="005979A7" w:rsidRPr="00DA1B51" w:rsidRDefault="005979A7"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Fraser, A.J. and </w:t>
      </w:r>
      <w:proofErr w:type="spellStart"/>
      <w:r w:rsidRPr="00DA1B51">
        <w:rPr>
          <w:rFonts w:cstheme="minorHAnsi"/>
          <w:shd w:val="clear" w:color="auto" w:fill="FFFFFF"/>
        </w:rPr>
        <w:t>Gawthorpe</w:t>
      </w:r>
      <w:proofErr w:type="spellEnd"/>
      <w:r w:rsidRPr="00DA1B51">
        <w:rPr>
          <w:rFonts w:cstheme="minorHAnsi"/>
          <w:shd w:val="clear" w:color="auto" w:fill="FFFFFF"/>
        </w:rPr>
        <w:t>, R.L., 2003. </w:t>
      </w:r>
      <w:r w:rsidRPr="00DA1B51">
        <w:rPr>
          <w:rFonts w:cstheme="minorHAnsi"/>
          <w:i/>
          <w:iCs/>
          <w:shd w:val="clear" w:color="auto" w:fill="FFFFFF"/>
        </w:rPr>
        <w:t>An atlas of Carboniferous basin evolution in northern England</w:t>
      </w:r>
      <w:r w:rsidRPr="00DA1B51">
        <w:rPr>
          <w:rFonts w:cstheme="minorHAnsi"/>
          <w:shd w:val="clear" w:color="auto" w:fill="FFFFFF"/>
        </w:rPr>
        <w:t>. Geological Society.</w:t>
      </w:r>
    </w:p>
    <w:p w14:paraId="74A8F937" w14:textId="77777777" w:rsidR="006224FE" w:rsidRPr="00DA1B51" w:rsidRDefault="006224FE"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lastRenderedPageBreak/>
        <w:t xml:space="preserve">George, T.N., 1958. Lower Carboniferous </w:t>
      </w:r>
      <w:proofErr w:type="spellStart"/>
      <w:r w:rsidRPr="00DA1B51">
        <w:rPr>
          <w:rFonts w:cstheme="minorHAnsi"/>
          <w:shd w:val="clear" w:color="auto" w:fill="FFFFFF"/>
        </w:rPr>
        <w:t>palaeogeography</w:t>
      </w:r>
      <w:proofErr w:type="spellEnd"/>
      <w:r w:rsidRPr="00DA1B51">
        <w:rPr>
          <w:rFonts w:cstheme="minorHAnsi"/>
          <w:shd w:val="clear" w:color="auto" w:fill="FFFFFF"/>
        </w:rPr>
        <w:t xml:space="preserve"> of the British Isles. </w:t>
      </w:r>
      <w:r w:rsidRPr="00DA1B51">
        <w:rPr>
          <w:rFonts w:cstheme="minorHAnsi"/>
          <w:i/>
          <w:iCs/>
          <w:shd w:val="clear" w:color="auto" w:fill="FFFFFF"/>
        </w:rPr>
        <w:t>Proceedings of the Yorkshire Geological Society</w:t>
      </w:r>
      <w:r w:rsidRPr="00DA1B51">
        <w:rPr>
          <w:rFonts w:cstheme="minorHAnsi"/>
          <w:shd w:val="clear" w:color="auto" w:fill="FFFFFF"/>
        </w:rPr>
        <w:t>, </w:t>
      </w:r>
      <w:r w:rsidRPr="00DA1B51">
        <w:rPr>
          <w:rFonts w:cstheme="minorHAnsi"/>
          <w:i/>
          <w:iCs/>
          <w:shd w:val="clear" w:color="auto" w:fill="FFFFFF"/>
        </w:rPr>
        <w:t>31</w:t>
      </w:r>
      <w:r w:rsidRPr="00DA1B51">
        <w:rPr>
          <w:rFonts w:cstheme="minorHAnsi"/>
          <w:shd w:val="clear" w:color="auto" w:fill="FFFFFF"/>
        </w:rPr>
        <w:t>(3), pp.227-318.</w:t>
      </w:r>
    </w:p>
    <w:p w14:paraId="116D9A29" w14:textId="77777777" w:rsidR="00DC2989" w:rsidRPr="00DA1B51" w:rsidRDefault="00DC2989"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Green, P.F., 2002. Early Tertiary paleo-thermal effects in Northern England: reconciling results from apatite fission track analysis with geological evidence. </w:t>
      </w:r>
      <w:r w:rsidRPr="00DA1B51">
        <w:rPr>
          <w:rFonts w:cstheme="minorHAnsi"/>
          <w:i/>
          <w:iCs/>
          <w:shd w:val="clear" w:color="auto" w:fill="FFFFFF"/>
        </w:rPr>
        <w:t>Tectonophysics</w:t>
      </w:r>
      <w:r w:rsidRPr="00DA1B51">
        <w:rPr>
          <w:rFonts w:cstheme="minorHAnsi"/>
          <w:shd w:val="clear" w:color="auto" w:fill="FFFFFF"/>
        </w:rPr>
        <w:t>, </w:t>
      </w:r>
      <w:r w:rsidRPr="00DA1B51">
        <w:rPr>
          <w:rFonts w:cstheme="minorHAnsi"/>
          <w:i/>
          <w:iCs/>
          <w:shd w:val="clear" w:color="auto" w:fill="FFFFFF"/>
        </w:rPr>
        <w:t>349</w:t>
      </w:r>
      <w:r w:rsidRPr="00DA1B51">
        <w:rPr>
          <w:rFonts w:cstheme="minorHAnsi"/>
          <w:shd w:val="clear" w:color="auto" w:fill="FFFFFF"/>
        </w:rPr>
        <w:t>(1-4), pp.131-144.</w:t>
      </w:r>
    </w:p>
    <w:p w14:paraId="34BFCF04" w14:textId="77777777" w:rsidR="00856951" w:rsidRPr="00DA1B51" w:rsidRDefault="00856951"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Harris, C., Faure, K., Diamond, R.E. and </w:t>
      </w:r>
      <w:proofErr w:type="spellStart"/>
      <w:r w:rsidRPr="00DA1B51">
        <w:rPr>
          <w:rFonts w:cstheme="minorHAnsi"/>
          <w:shd w:val="clear" w:color="auto" w:fill="FFFFFF"/>
        </w:rPr>
        <w:t>Scheepers</w:t>
      </w:r>
      <w:proofErr w:type="spellEnd"/>
      <w:r w:rsidRPr="00DA1B51">
        <w:rPr>
          <w:rFonts w:cstheme="minorHAnsi"/>
          <w:shd w:val="clear" w:color="auto" w:fill="FFFFFF"/>
        </w:rPr>
        <w:t xml:space="preserve">, R., 1997. Oxygen and hydrogen isotope geochemistry of S-and I-type </w:t>
      </w:r>
      <w:proofErr w:type="spellStart"/>
      <w:r w:rsidRPr="00DA1B51">
        <w:rPr>
          <w:rFonts w:cstheme="minorHAnsi"/>
          <w:shd w:val="clear" w:color="auto" w:fill="FFFFFF"/>
        </w:rPr>
        <w:t>granitoids</w:t>
      </w:r>
      <w:proofErr w:type="spellEnd"/>
      <w:r w:rsidRPr="00DA1B51">
        <w:rPr>
          <w:rFonts w:cstheme="minorHAnsi"/>
          <w:shd w:val="clear" w:color="auto" w:fill="FFFFFF"/>
        </w:rPr>
        <w:t>: the Cape Granite suite, South Africa. </w:t>
      </w:r>
      <w:r w:rsidRPr="00DA1B51">
        <w:rPr>
          <w:rFonts w:cstheme="minorHAnsi"/>
          <w:i/>
          <w:iCs/>
          <w:shd w:val="clear" w:color="auto" w:fill="FFFFFF"/>
        </w:rPr>
        <w:t>Chemical Geology</w:t>
      </w:r>
      <w:r w:rsidRPr="00DA1B51">
        <w:rPr>
          <w:rFonts w:cstheme="minorHAnsi"/>
          <w:shd w:val="clear" w:color="auto" w:fill="FFFFFF"/>
        </w:rPr>
        <w:t>, </w:t>
      </w:r>
      <w:r w:rsidRPr="00DA1B51">
        <w:rPr>
          <w:rFonts w:cstheme="minorHAnsi"/>
          <w:i/>
          <w:iCs/>
          <w:shd w:val="clear" w:color="auto" w:fill="FFFFFF"/>
        </w:rPr>
        <w:t>143</w:t>
      </w:r>
      <w:r w:rsidRPr="00DA1B51">
        <w:rPr>
          <w:rFonts w:cstheme="minorHAnsi"/>
          <w:shd w:val="clear" w:color="auto" w:fill="FFFFFF"/>
        </w:rPr>
        <w:t>(1-2), pp.95-114.</w:t>
      </w:r>
    </w:p>
    <w:p w14:paraId="3D75A82A" w14:textId="77777777" w:rsidR="00B13E0E" w:rsidRPr="00DA1B51" w:rsidRDefault="00B13E0E"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t>Haszeldine</w:t>
      </w:r>
      <w:proofErr w:type="spellEnd"/>
      <w:r w:rsidRPr="00DA1B51">
        <w:rPr>
          <w:rFonts w:cstheme="minorHAnsi"/>
          <w:shd w:val="clear" w:color="auto" w:fill="FFFFFF"/>
        </w:rPr>
        <w:t xml:space="preserve">, R.S., 1984. Carboniferous North Atlantic </w:t>
      </w:r>
      <w:proofErr w:type="spellStart"/>
      <w:r w:rsidRPr="00DA1B51">
        <w:rPr>
          <w:rFonts w:cstheme="minorHAnsi"/>
          <w:shd w:val="clear" w:color="auto" w:fill="FFFFFF"/>
        </w:rPr>
        <w:t>palaeogeography</w:t>
      </w:r>
      <w:proofErr w:type="spellEnd"/>
      <w:r w:rsidRPr="00DA1B51">
        <w:rPr>
          <w:rFonts w:cstheme="minorHAnsi"/>
          <w:shd w:val="clear" w:color="auto" w:fill="FFFFFF"/>
        </w:rPr>
        <w:t xml:space="preserve">: stratigraphic evidence for rifting, not </w:t>
      </w:r>
      <w:proofErr w:type="spellStart"/>
      <w:r w:rsidRPr="00DA1B51">
        <w:rPr>
          <w:rFonts w:cstheme="minorHAnsi"/>
          <w:shd w:val="clear" w:color="auto" w:fill="FFFFFF"/>
        </w:rPr>
        <w:t>megashear</w:t>
      </w:r>
      <w:proofErr w:type="spellEnd"/>
      <w:r w:rsidRPr="00DA1B51">
        <w:rPr>
          <w:rFonts w:cstheme="minorHAnsi"/>
          <w:shd w:val="clear" w:color="auto" w:fill="FFFFFF"/>
        </w:rPr>
        <w:t xml:space="preserve"> or subduction. Geological Magazine, 121(5), pp.443-463.</w:t>
      </w:r>
    </w:p>
    <w:p w14:paraId="65C139AF" w14:textId="77777777" w:rsidR="00DC2989" w:rsidRPr="00DA1B51" w:rsidRDefault="00DC2989"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t>Holford</w:t>
      </w:r>
      <w:proofErr w:type="spellEnd"/>
      <w:r w:rsidRPr="00DA1B51">
        <w:rPr>
          <w:rFonts w:cstheme="minorHAnsi"/>
          <w:shd w:val="clear" w:color="auto" w:fill="FFFFFF"/>
        </w:rPr>
        <w:t xml:space="preserve">, S.P., Green, P.F., Turner, J.P., Williams, G.A., </w:t>
      </w:r>
      <w:proofErr w:type="spellStart"/>
      <w:r w:rsidRPr="00DA1B51">
        <w:rPr>
          <w:rFonts w:cstheme="minorHAnsi"/>
          <w:shd w:val="clear" w:color="auto" w:fill="FFFFFF"/>
        </w:rPr>
        <w:t>Hillis</w:t>
      </w:r>
      <w:proofErr w:type="spellEnd"/>
      <w:r w:rsidRPr="00DA1B51">
        <w:rPr>
          <w:rFonts w:cstheme="minorHAnsi"/>
          <w:shd w:val="clear" w:color="auto" w:fill="FFFFFF"/>
        </w:rPr>
        <w:t xml:space="preserve">, R.R., </w:t>
      </w:r>
      <w:proofErr w:type="spellStart"/>
      <w:r w:rsidRPr="00DA1B51">
        <w:rPr>
          <w:rFonts w:cstheme="minorHAnsi"/>
          <w:shd w:val="clear" w:color="auto" w:fill="FFFFFF"/>
        </w:rPr>
        <w:t>Tappin</w:t>
      </w:r>
      <w:proofErr w:type="spellEnd"/>
      <w:r w:rsidRPr="00DA1B51">
        <w:rPr>
          <w:rFonts w:cstheme="minorHAnsi"/>
          <w:shd w:val="clear" w:color="auto" w:fill="FFFFFF"/>
        </w:rPr>
        <w:t xml:space="preserve">, D.R. and </w:t>
      </w:r>
      <w:proofErr w:type="spellStart"/>
      <w:r w:rsidRPr="00DA1B51">
        <w:rPr>
          <w:rFonts w:cstheme="minorHAnsi"/>
          <w:shd w:val="clear" w:color="auto" w:fill="FFFFFF"/>
        </w:rPr>
        <w:t>Duddy</w:t>
      </w:r>
      <w:proofErr w:type="spellEnd"/>
      <w:r w:rsidRPr="00DA1B51">
        <w:rPr>
          <w:rFonts w:cstheme="minorHAnsi"/>
          <w:shd w:val="clear" w:color="auto" w:fill="FFFFFF"/>
        </w:rPr>
        <w:t>, I.R., 2008. Evidence for kilometre-scale Neogene exhumation driven by compressional deformation in the Irish Sea basin system. </w:t>
      </w:r>
      <w:r w:rsidRPr="00DA1B51">
        <w:rPr>
          <w:rFonts w:cstheme="minorHAnsi"/>
          <w:i/>
          <w:iCs/>
          <w:shd w:val="clear" w:color="auto" w:fill="FFFFFF"/>
        </w:rPr>
        <w:t>Geological Society, London, Special Publications</w:t>
      </w:r>
      <w:r w:rsidRPr="00DA1B51">
        <w:rPr>
          <w:rFonts w:cstheme="minorHAnsi"/>
          <w:shd w:val="clear" w:color="auto" w:fill="FFFFFF"/>
        </w:rPr>
        <w:t>, </w:t>
      </w:r>
      <w:r w:rsidRPr="00DA1B51">
        <w:rPr>
          <w:rFonts w:cstheme="minorHAnsi"/>
          <w:i/>
          <w:iCs/>
          <w:shd w:val="clear" w:color="auto" w:fill="FFFFFF"/>
        </w:rPr>
        <w:t>306</w:t>
      </w:r>
      <w:r w:rsidRPr="00DA1B51">
        <w:rPr>
          <w:rFonts w:cstheme="minorHAnsi"/>
          <w:shd w:val="clear" w:color="auto" w:fill="FFFFFF"/>
        </w:rPr>
        <w:t>(1), pp.91-119.</w:t>
      </w:r>
    </w:p>
    <w:p w14:paraId="40CED407" w14:textId="77777777" w:rsidR="006224FE" w:rsidRPr="00DA1B51" w:rsidRDefault="006224FE"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Johnson, G.A.L., 1967. Basement control of Carboniferous sedimentation in northern England. </w:t>
      </w:r>
      <w:r w:rsidRPr="00DA1B51">
        <w:rPr>
          <w:rFonts w:cstheme="minorHAnsi"/>
          <w:i/>
          <w:iCs/>
          <w:shd w:val="clear" w:color="auto" w:fill="FFFFFF"/>
        </w:rPr>
        <w:t>Proceedings of the Yorkshire Geological Society</w:t>
      </w:r>
      <w:r w:rsidRPr="00DA1B51">
        <w:rPr>
          <w:rFonts w:cstheme="minorHAnsi"/>
          <w:shd w:val="clear" w:color="auto" w:fill="FFFFFF"/>
        </w:rPr>
        <w:t>, </w:t>
      </w:r>
      <w:r w:rsidRPr="00DA1B51">
        <w:rPr>
          <w:rFonts w:cstheme="minorHAnsi"/>
          <w:i/>
          <w:iCs/>
          <w:shd w:val="clear" w:color="auto" w:fill="FFFFFF"/>
        </w:rPr>
        <w:t>36</w:t>
      </w:r>
      <w:r w:rsidRPr="00DA1B51">
        <w:rPr>
          <w:rFonts w:cstheme="minorHAnsi"/>
          <w:shd w:val="clear" w:color="auto" w:fill="FFFFFF"/>
        </w:rPr>
        <w:t>(2), pp.175-194.</w:t>
      </w:r>
    </w:p>
    <w:p w14:paraId="59A8E822" w14:textId="77777777" w:rsidR="00E93B96" w:rsidRPr="00DA1B51" w:rsidRDefault="00E93B96"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Jung, S., </w:t>
      </w:r>
      <w:proofErr w:type="spellStart"/>
      <w:r w:rsidRPr="00DA1B51">
        <w:rPr>
          <w:rFonts w:cstheme="minorHAnsi"/>
          <w:shd w:val="clear" w:color="auto" w:fill="FFFFFF"/>
        </w:rPr>
        <w:t>Hoernes</w:t>
      </w:r>
      <w:proofErr w:type="spellEnd"/>
      <w:r w:rsidRPr="00DA1B51">
        <w:rPr>
          <w:rFonts w:cstheme="minorHAnsi"/>
          <w:shd w:val="clear" w:color="auto" w:fill="FFFFFF"/>
        </w:rPr>
        <w:t xml:space="preserve">, S. and </w:t>
      </w:r>
      <w:proofErr w:type="spellStart"/>
      <w:r w:rsidRPr="00DA1B51">
        <w:rPr>
          <w:rFonts w:cstheme="minorHAnsi"/>
          <w:shd w:val="clear" w:color="auto" w:fill="FFFFFF"/>
        </w:rPr>
        <w:t>Mezger</w:t>
      </w:r>
      <w:proofErr w:type="spellEnd"/>
      <w:r w:rsidRPr="00DA1B51">
        <w:rPr>
          <w:rFonts w:cstheme="minorHAnsi"/>
          <w:shd w:val="clear" w:color="auto" w:fill="FFFFFF"/>
        </w:rPr>
        <w:t xml:space="preserve">, K., 2000. Geochronology and </w:t>
      </w:r>
      <w:proofErr w:type="spellStart"/>
      <w:r w:rsidRPr="00DA1B51">
        <w:rPr>
          <w:rFonts w:cstheme="minorHAnsi"/>
          <w:shd w:val="clear" w:color="auto" w:fill="FFFFFF"/>
        </w:rPr>
        <w:t>petrogenesis</w:t>
      </w:r>
      <w:proofErr w:type="spellEnd"/>
      <w:r w:rsidRPr="00DA1B51">
        <w:rPr>
          <w:rFonts w:cstheme="minorHAnsi"/>
          <w:shd w:val="clear" w:color="auto" w:fill="FFFFFF"/>
        </w:rPr>
        <w:t xml:space="preserve"> of Pan-African, </w:t>
      </w:r>
      <w:proofErr w:type="spellStart"/>
      <w:r w:rsidRPr="00DA1B51">
        <w:rPr>
          <w:rFonts w:cstheme="minorHAnsi"/>
          <w:shd w:val="clear" w:color="auto" w:fill="FFFFFF"/>
        </w:rPr>
        <w:t>syn</w:t>
      </w:r>
      <w:proofErr w:type="spellEnd"/>
      <w:r w:rsidRPr="00DA1B51">
        <w:rPr>
          <w:rFonts w:cstheme="minorHAnsi"/>
          <w:shd w:val="clear" w:color="auto" w:fill="FFFFFF"/>
        </w:rPr>
        <w:t>-tectonic, S-type and post-tectonic A-type granite (Namibia): products of melting of crustal sources, fractional crystallization and wall rock entrainment. </w:t>
      </w:r>
      <w:proofErr w:type="spellStart"/>
      <w:r w:rsidRPr="00DA1B51">
        <w:rPr>
          <w:rFonts w:cstheme="minorHAnsi"/>
          <w:i/>
          <w:iCs/>
          <w:shd w:val="clear" w:color="auto" w:fill="FFFFFF"/>
        </w:rPr>
        <w:t>Lithos</w:t>
      </w:r>
      <w:proofErr w:type="spellEnd"/>
      <w:r w:rsidRPr="00DA1B51">
        <w:rPr>
          <w:rFonts w:cstheme="minorHAnsi"/>
          <w:shd w:val="clear" w:color="auto" w:fill="FFFFFF"/>
        </w:rPr>
        <w:t>, </w:t>
      </w:r>
      <w:r w:rsidRPr="00DA1B51">
        <w:rPr>
          <w:rFonts w:cstheme="minorHAnsi"/>
          <w:i/>
          <w:iCs/>
          <w:shd w:val="clear" w:color="auto" w:fill="FFFFFF"/>
        </w:rPr>
        <w:t>50</w:t>
      </w:r>
      <w:r w:rsidRPr="00DA1B51">
        <w:rPr>
          <w:rFonts w:cstheme="minorHAnsi"/>
          <w:shd w:val="clear" w:color="auto" w:fill="FFFFFF"/>
        </w:rPr>
        <w:t>(4), pp.259-287.</w:t>
      </w:r>
    </w:p>
    <w:p w14:paraId="3FDE4727" w14:textId="77777777" w:rsidR="00B13E0E" w:rsidRPr="00DA1B51" w:rsidRDefault="00B13E0E"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t>Karner</w:t>
      </w:r>
      <w:proofErr w:type="spellEnd"/>
      <w:r w:rsidRPr="00DA1B51">
        <w:rPr>
          <w:rFonts w:cstheme="minorHAnsi"/>
          <w:shd w:val="clear" w:color="auto" w:fill="FFFFFF"/>
        </w:rPr>
        <w:t>, G.D. and Watts, A.B., 1982. On isostasy at Atlantic‐type continental margins. Journal of Geophysical Research: Solid Earth, 87(B4), pp.2923-2948.</w:t>
      </w:r>
    </w:p>
    <w:p w14:paraId="4D5C8519"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t>Kimbell</w:t>
      </w:r>
      <w:proofErr w:type="spellEnd"/>
      <w:r w:rsidRPr="00DA1B51">
        <w:rPr>
          <w:rFonts w:cstheme="minorHAnsi"/>
        </w:rPr>
        <w:t xml:space="preserve">, G.S., Chadwick, R.A., Holliday, D.W. and </w:t>
      </w:r>
      <w:proofErr w:type="spellStart"/>
      <w:r w:rsidRPr="00DA1B51">
        <w:rPr>
          <w:rFonts w:cstheme="minorHAnsi"/>
        </w:rPr>
        <w:t>Werngren</w:t>
      </w:r>
      <w:proofErr w:type="spellEnd"/>
      <w:r w:rsidRPr="00DA1B51">
        <w:rPr>
          <w:rFonts w:cstheme="minorHAnsi"/>
        </w:rPr>
        <w:t>, O.C., 1989. The structure and evolution of the Northumberland Trough from new seismic reflection data and its bearing on modes of continental extension. Journal of the Geological Society, 146(5), pp.775-787.</w:t>
      </w:r>
    </w:p>
    <w:p w14:paraId="716AF96E" w14:textId="77777777" w:rsidR="00B27BD6" w:rsidRPr="00DA1B51" w:rsidRDefault="00B27BD6" w:rsidP="009E071D">
      <w:pPr>
        <w:spacing w:after="100" w:afterAutospacing="1" w:line="360" w:lineRule="auto"/>
        <w:ind w:left="720" w:hanging="720"/>
        <w:rPr>
          <w:rFonts w:cstheme="minorHAnsi"/>
        </w:rPr>
      </w:pPr>
      <w:proofErr w:type="spellStart"/>
      <w:r w:rsidRPr="00DA1B51">
        <w:rPr>
          <w:rFonts w:cstheme="minorHAnsi"/>
          <w:shd w:val="clear" w:color="auto" w:fill="FFFFFF"/>
        </w:rPr>
        <w:t>Kimbell</w:t>
      </w:r>
      <w:proofErr w:type="spellEnd"/>
      <w:r w:rsidRPr="00DA1B51">
        <w:rPr>
          <w:rFonts w:cstheme="minorHAnsi"/>
          <w:shd w:val="clear" w:color="auto" w:fill="FFFFFF"/>
        </w:rPr>
        <w:t>, G., Carruthers, R.M., Walker, A. and Williamson, J.P., 2006. Regional geophysics of southern Scotland and Northern England.</w:t>
      </w:r>
    </w:p>
    <w:p w14:paraId="2FEFD9A3"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shd w:val="clear" w:color="auto" w:fill="FFFFFF"/>
        </w:rPr>
        <w:t>Kimbell</w:t>
      </w:r>
      <w:proofErr w:type="spellEnd"/>
      <w:r w:rsidRPr="00DA1B51">
        <w:rPr>
          <w:rFonts w:cstheme="minorHAnsi"/>
          <w:shd w:val="clear" w:color="auto" w:fill="FFFFFF"/>
        </w:rPr>
        <w:t>, G.S., Young, B., Millward, D. and Crowley, Q.G., 2010, November. The North Pennine batholith (</w:t>
      </w:r>
      <w:proofErr w:type="spellStart"/>
      <w:r w:rsidRPr="00DA1B51">
        <w:rPr>
          <w:rFonts w:cstheme="minorHAnsi"/>
          <w:shd w:val="clear" w:color="auto" w:fill="FFFFFF"/>
        </w:rPr>
        <w:t>Weardale</w:t>
      </w:r>
      <w:proofErr w:type="spellEnd"/>
      <w:r w:rsidRPr="00DA1B51">
        <w:rPr>
          <w:rFonts w:cstheme="minorHAnsi"/>
          <w:shd w:val="clear" w:color="auto" w:fill="FFFFFF"/>
        </w:rPr>
        <w:t xml:space="preserve"> Granite) of northern England: new data on its age and form. Geological Society of London.</w:t>
      </w:r>
    </w:p>
    <w:p w14:paraId="1F7D129D" w14:textId="77777777" w:rsidR="00B13E0E" w:rsidRPr="00DA1B51" w:rsidRDefault="00B13E0E"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lastRenderedPageBreak/>
        <w:t>Kimbell</w:t>
      </w:r>
      <w:proofErr w:type="spellEnd"/>
      <w:r w:rsidRPr="00DA1B51">
        <w:rPr>
          <w:rFonts w:cstheme="minorHAnsi"/>
          <w:shd w:val="clear" w:color="auto" w:fill="FFFFFF"/>
        </w:rPr>
        <w:t>, G.S. and Williamson, J.P., 2015. A gravity interpretation of the Central North Sea.</w:t>
      </w:r>
    </w:p>
    <w:p w14:paraId="1C3FE70E" w14:textId="77777777" w:rsidR="00DC2989" w:rsidRPr="00DA1B51" w:rsidRDefault="00DC2989" w:rsidP="009E071D">
      <w:pPr>
        <w:spacing w:after="100" w:afterAutospacing="1" w:line="360" w:lineRule="auto"/>
        <w:ind w:left="720" w:hanging="720"/>
        <w:rPr>
          <w:rFonts w:cstheme="minorHAnsi"/>
        </w:rPr>
      </w:pPr>
      <w:proofErr w:type="spellStart"/>
      <w:r w:rsidRPr="00DA1B51">
        <w:rPr>
          <w:rFonts w:cstheme="minorHAnsi"/>
          <w:shd w:val="clear" w:color="auto" w:fill="FFFFFF"/>
        </w:rPr>
        <w:t>Kombrink</w:t>
      </w:r>
      <w:proofErr w:type="spellEnd"/>
      <w:r w:rsidRPr="00DA1B51">
        <w:rPr>
          <w:rFonts w:cstheme="minorHAnsi"/>
          <w:shd w:val="clear" w:color="auto" w:fill="FFFFFF"/>
        </w:rPr>
        <w:t xml:space="preserve">, H., </w:t>
      </w:r>
      <w:proofErr w:type="spellStart"/>
      <w:r w:rsidRPr="00DA1B51">
        <w:rPr>
          <w:rFonts w:cstheme="minorHAnsi"/>
          <w:shd w:val="clear" w:color="auto" w:fill="FFFFFF"/>
        </w:rPr>
        <w:t>Leever</w:t>
      </w:r>
      <w:proofErr w:type="spellEnd"/>
      <w:r w:rsidRPr="00DA1B51">
        <w:rPr>
          <w:rFonts w:cstheme="minorHAnsi"/>
          <w:shd w:val="clear" w:color="auto" w:fill="FFFFFF"/>
        </w:rPr>
        <w:t xml:space="preserve">, K.A., Van Wees, J.D., Van Bergen, F., David, P. and Wong, T.E., 2008. Late Carboniferous foreland basin formation and Early Carboniferous stretching in </w:t>
      </w:r>
      <w:proofErr w:type="spellStart"/>
      <w:r w:rsidRPr="00DA1B51">
        <w:rPr>
          <w:rFonts w:cstheme="minorHAnsi"/>
          <w:shd w:val="clear" w:color="auto" w:fill="FFFFFF"/>
        </w:rPr>
        <w:t>Northwestern</w:t>
      </w:r>
      <w:proofErr w:type="spellEnd"/>
      <w:r w:rsidRPr="00DA1B51">
        <w:rPr>
          <w:rFonts w:cstheme="minorHAnsi"/>
          <w:shd w:val="clear" w:color="auto" w:fill="FFFFFF"/>
        </w:rPr>
        <w:t xml:space="preserve"> Europe: inferences </w:t>
      </w:r>
      <w:proofErr w:type="spellStart"/>
      <w:r w:rsidRPr="00DA1B51">
        <w:rPr>
          <w:rFonts w:cstheme="minorHAnsi"/>
          <w:shd w:val="clear" w:color="auto" w:fill="FFFFFF"/>
        </w:rPr>
        <w:t>fromquantitative</w:t>
      </w:r>
      <w:proofErr w:type="spellEnd"/>
      <w:r w:rsidRPr="00DA1B51">
        <w:rPr>
          <w:rFonts w:cstheme="minorHAnsi"/>
          <w:shd w:val="clear" w:color="auto" w:fill="FFFFFF"/>
        </w:rPr>
        <w:t xml:space="preserve"> subsidence analyses in the Netherlands. </w:t>
      </w:r>
      <w:r w:rsidRPr="00DA1B51">
        <w:rPr>
          <w:rFonts w:cstheme="minorHAnsi"/>
          <w:i/>
          <w:iCs/>
          <w:shd w:val="clear" w:color="auto" w:fill="FFFFFF"/>
        </w:rPr>
        <w:t>Basin Research</w:t>
      </w:r>
      <w:r w:rsidRPr="00DA1B51">
        <w:rPr>
          <w:rFonts w:cstheme="minorHAnsi"/>
          <w:shd w:val="clear" w:color="auto" w:fill="FFFFFF"/>
        </w:rPr>
        <w:t>, </w:t>
      </w:r>
      <w:r w:rsidRPr="00DA1B51">
        <w:rPr>
          <w:rFonts w:cstheme="minorHAnsi"/>
          <w:i/>
          <w:iCs/>
          <w:shd w:val="clear" w:color="auto" w:fill="FFFFFF"/>
        </w:rPr>
        <w:t>20</w:t>
      </w:r>
      <w:r w:rsidRPr="00DA1B51">
        <w:rPr>
          <w:rFonts w:cstheme="minorHAnsi"/>
          <w:shd w:val="clear" w:color="auto" w:fill="FFFFFF"/>
        </w:rPr>
        <w:t>(3), pp.377-395.</w:t>
      </w:r>
    </w:p>
    <w:p w14:paraId="5A8FCBA4"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t>Kooi</w:t>
      </w:r>
      <w:proofErr w:type="spellEnd"/>
      <w:r w:rsidRPr="00DA1B51">
        <w:rPr>
          <w:rFonts w:cstheme="minorHAnsi"/>
        </w:rPr>
        <w:t xml:space="preserve">, H., </w:t>
      </w:r>
      <w:proofErr w:type="spellStart"/>
      <w:r w:rsidRPr="00DA1B51">
        <w:rPr>
          <w:rFonts w:cstheme="minorHAnsi"/>
        </w:rPr>
        <w:t>Cloetingh</w:t>
      </w:r>
      <w:proofErr w:type="spellEnd"/>
      <w:r w:rsidRPr="00DA1B51">
        <w:rPr>
          <w:rFonts w:cstheme="minorHAnsi"/>
        </w:rPr>
        <w:t xml:space="preserve">, S. and </w:t>
      </w:r>
      <w:proofErr w:type="spellStart"/>
      <w:r w:rsidRPr="00DA1B51">
        <w:rPr>
          <w:rFonts w:cstheme="minorHAnsi"/>
        </w:rPr>
        <w:t>Burrus</w:t>
      </w:r>
      <w:proofErr w:type="spellEnd"/>
      <w:r w:rsidRPr="00DA1B51">
        <w:rPr>
          <w:rFonts w:cstheme="minorHAnsi"/>
        </w:rPr>
        <w:t xml:space="preserve">, J., 1992. Lithospheric necking and regional isostasy at extensional basins 1. Subsidence and gravity </w:t>
      </w:r>
      <w:proofErr w:type="spellStart"/>
      <w:r w:rsidRPr="00DA1B51">
        <w:rPr>
          <w:rFonts w:cstheme="minorHAnsi"/>
        </w:rPr>
        <w:t>modeling</w:t>
      </w:r>
      <w:proofErr w:type="spellEnd"/>
      <w:r w:rsidRPr="00DA1B51">
        <w:rPr>
          <w:rFonts w:cstheme="minorHAnsi"/>
        </w:rPr>
        <w:t xml:space="preserve"> with an application to the Gulf of Lions margin (SE France). Journal of Geophysical Research: Solid Earth, 97(B12), pp.17553-17571.</w:t>
      </w:r>
    </w:p>
    <w:p w14:paraId="59843E53" w14:textId="77777777" w:rsidR="00C90BEF" w:rsidRPr="00DA1B51" w:rsidRDefault="00C90BEF" w:rsidP="009E071D">
      <w:pPr>
        <w:spacing w:after="100" w:afterAutospacing="1" w:line="360" w:lineRule="auto"/>
        <w:ind w:left="720" w:hanging="720"/>
        <w:rPr>
          <w:rFonts w:cstheme="minorHAnsi"/>
        </w:rPr>
      </w:pPr>
      <w:proofErr w:type="spellStart"/>
      <w:r w:rsidRPr="00DA1B51">
        <w:rPr>
          <w:rFonts w:cstheme="minorHAnsi"/>
          <w:shd w:val="clear" w:color="auto" w:fill="FFFFFF"/>
        </w:rPr>
        <w:t>Kusky</w:t>
      </w:r>
      <w:proofErr w:type="spellEnd"/>
      <w:r w:rsidRPr="00DA1B51">
        <w:rPr>
          <w:rFonts w:cstheme="minorHAnsi"/>
          <w:shd w:val="clear" w:color="auto" w:fill="FFFFFF"/>
        </w:rPr>
        <w:t xml:space="preserve">, T.M. and </w:t>
      </w:r>
      <w:proofErr w:type="spellStart"/>
      <w:r w:rsidRPr="00DA1B51">
        <w:rPr>
          <w:rFonts w:cstheme="minorHAnsi"/>
          <w:shd w:val="clear" w:color="auto" w:fill="FFFFFF"/>
        </w:rPr>
        <w:t>Polat</w:t>
      </w:r>
      <w:proofErr w:type="spellEnd"/>
      <w:r w:rsidRPr="00DA1B51">
        <w:rPr>
          <w:rFonts w:cstheme="minorHAnsi"/>
          <w:shd w:val="clear" w:color="auto" w:fill="FFFFFF"/>
        </w:rPr>
        <w:t>, A., 1999. Growth of granite–greenstone terranes at convergent margins, and stabilization of Archean cratons. </w:t>
      </w:r>
      <w:r w:rsidRPr="00DA1B51">
        <w:rPr>
          <w:rFonts w:cstheme="minorHAnsi"/>
          <w:i/>
          <w:iCs/>
          <w:shd w:val="clear" w:color="auto" w:fill="FFFFFF"/>
        </w:rPr>
        <w:t>Tectonophysics</w:t>
      </w:r>
      <w:r w:rsidRPr="00DA1B51">
        <w:rPr>
          <w:rFonts w:cstheme="minorHAnsi"/>
          <w:shd w:val="clear" w:color="auto" w:fill="FFFFFF"/>
        </w:rPr>
        <w:t>, </w:t>
      </w:r>
      <w:r w:rsidRPr="00DA1B51">
        <w:rPr>
          <w:rFonts w:cstheme="minorHAnsi"/>
          <w:i/>
          <w:iCs/>
          <w:shd w:val="clear" w:color="auto" w:fill="FFFFFF"/>
        </w:rPr>
        <w:t>305</w:t>
      </w:r>
      <w:r w:rsidRPr="00DA1B51">
        <w:rPr>
          <w:rFonts w:cstheme="minorHAnsi"/>
          <w:shd w:val="clear" w:color="auto" w:fill="FFFFFF"/>
        </w:rPr>
        <w:t>(1-3), pp.43-73.</w:t>
      </w:r>
    </w:p>
    <w:p w14:paraId="4157D7A2" w14:textId="77777777" w:rsidR="00B948A2" w:rsidRPr="00DA1B51" w:rsidRDefault="00B948A2" w:rsidP="009E071D">
      <w:pPr>
        <w:spacing w:after="100" w:afterAutospacing="1" w:line="360" w:lineRule="auto"/>
        <w:ind w:left="720" w:hanging="720"/>
        <w:rPr>
          <w:rFonts w:cstheme="minorHAnsi"/>
        </w:rPr>
      </w:pPr>
      <w:proofErr w:type="spellStart"/>
      <w:r w:rsidRPr="00DA1B51">
        <w:rPr>
          <w:rFonts w:cstheme="minorHAnsi"/>
          <w:shd w:val="clear" w:color="auto" w:fill="FFFFFF"/>
        </w:rPr>
        <w:t>Kusznir</w:t>
      </w:r>
      <w:proofErr w:type="spellEnd"/>
      <w:r w:rsidRPr="00DA1B51">
        <w:rPr>
          <w:rFonts w:cstheme="minorHAnsi"/>
          <w:shd w:val="clear" w:color="auto" w:fill="FFFFFF"/>
        </w:rPr>
        <w:t>, N.J. and Park, R.G., 1987. The extensional strength of the continental lithosphere: its dependence on geothermal gradient, and crustal composition and thickness. </w:t>
      </w:r>
      <w:r w:rsidRPr="00DA1B51">
        <w:rPr>
          <w:rFonts w:cstheme="minorHAnsi"/>
          <w:i/>
          <w:iCs/>
          <w:shd w:val="clear" w:color="auto" w:fill="FFFFFF"/>
        </w:rPr>
        <w:t>Geological Society, London, Special Publications</w:t>
      </w:r>
      <w:r w:rsidRPr="00DA1B51">
        <w:rPr>
          <w:rFonts w:cstheme="minorHAnsi"/>
          <w:shd w:val="clear" w:color="auto" w:fill="FFFFFF"/>
        </w:rPr>
        <w:t>, </w:t>
      </w:r>
      <w:r w:rsidRPr="00DA1B51">
        <w:rPr>
          <w:rFonts w:cstheme="minorHAnsi"/>
          <w:i/>
          <w:iCs/>
          <w:shd w:val="clear" w:color="auto" w:fill="FFFFFF"/>
        </w:rPr>
        <w:t>28</w:t>
      </w:r>
      <w:r w:rsidRPr="00DA1B51">
        <w:rPr>
          <w:rFonts w:cstheme="minorHAnsi"/>
          <w:shd w:val="clear" w:color="auto" w:fill="FFFFFF"/>
        </w:rPr>
        <w:t>(1), pp.35-52.</w:t>
      </w:r>
    </w:p>
    <w:p w14:paraId="61F847C1"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t>Kusznir</w:t>
      </w:r>
      <w:proofErr w:type="spellEnd"/>
      <w:r w:rsidRPr="00DA1B51">
        <w:rPr>
          <w:rFonts w:cstheme="minorHAnsi"/>
        </w:rPr>
        <w:t xml:space="preserve">, N.J. and Egan, S.S., 1989. Simple-Shear and Pure-Shear Models of Extensional Sedimentary Basin Formation: Application to the Jeanne </w:t>
      </w:r>
      <w:proofErr w:type="spellStart"/>
      <w:r w:rsidRPr="00DA1B51">
        <w:rPr>
          <w:rFonts w:cstheme="minorHAnsi"/>
        </w:rPr>
        <w:t>d'Arc</w:t>
      </w:r>
      <w:proofErr w:type="spellEnd"/>
      <w:r w:rsidRPr="00DA1B51">
        <w:rPr>
          <w:rFonts w:cstheme="minorHAnsi"/>
        </w:rPr>
        <w:t xml:space="preserve"> Basin, Grand Banks of Newfoundland: Chapter 20: North American Margins.</w:t>
      </w:r>
    </w:p>
    <w:p w14:paraId="0CE59228"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t>Kusznir</w:t>
      </w:r>
      <w:proofErr w:type="spellEnd"/>
      <w:r w:rsidRPr="00DA1B51">
        <w:rPr>
          <w:rFonts w:cstheme="minorHAnsi"/>
        </w:rPr>
        <w:t xml:space="preserve">, N.J., Marsden, G. and Egan, S.S., 1991. A flexural-cantilever simple-shear/pure-shear model of continental lithosphere extension: applications to the Jeanne </w:t>
      </w:r>
      <w:proofErr w:type="spellStart"/>
      <w:r w:rsidRPr="00DA1B51">
        <w:rPr>
          <w:rFonts w:cstheme="minorHAnsi"/>
        </w:rPr>
        <w:t>d’Arc</w:t>
      </w:r>
      <w:proofErr w:type="spellEnd"/>
      <w:r w:rsidRPr="00DA1B51">
        <w:rPr>
          <w:rFonts w:cstheme="minorHAnsi"/>
        </w:rPr>
        <w:t xml:space="preserve"> Basin, Grand Banks and Viking </w:t>
      </w:r>
      <w:proofErr w:type="spellStart"/>
      <w:r w:rsidRPr="00DA1B51">
        <w:rPr>
          <w:rFonts w:cstheme="minorHAnsi"/>
        </w:rPr>
        <w:t>Graben</w:t>
      </w:r>
      <w:proofErr w:type="spellEnd"/>
      <w:r w:rsidRPr="00DA1B51">
        <w:rPr>
          <w:rFonts w:cstheme="minorHAnsi"/>
        </w:rPr>
        <w:t>, North Sea. Geological Society, London, Special Publications, 56(1), pp.41-60.</w:t>
      </w:r>
    </w:p>
    <w:p w14:paraId="5E24B03E" w14:textId="77777777" w:rsidR="00DC2989" w:rsidRPr="00DA1B51" w:rsidRDefault="00DC2989" w:rsidP="009E071D">
      <w:pPr>
        <w:spacing w:after="100" w:afterAutospacing="1" w:line="360" w:lineRule="auto"/>
        <w:ind w:left="720" w:hanging="720"/>
        <w:rPr>
          <w:rFonts w:cstheme="minorHAnsi"/>
        </w:rPr>
      </w:pPr>
      <w:proofErr w:type="spellStart"/>
      <w:r w:rsidRPr="00DA1B51">
        <w:rPr>
          <w:rFonts w:cstheme="minorHAnsi"/>
          <w:shd w:val="clear" w:color="auto" w:fill="FFFFFF"/>
        </w:rPr>
        <w:t>Leeder</w:t>
      </w:r>
      <w:proofErr w:type="spellEnd"/>
      <w:r w:rsidRPr="00DA1B51">
        <w:rPr>
          <w:rFonts w:cstheme="minorHAnsi"/>
          <w:shd w:val="clear" w:color="auto" w:fill="FFFFFF"/>
        </w:rPr>
        <w:t xml:space="preserve">, M.R., 1975. </w:t>
      </w:r>
      <w:proofErr w:type="spellStart"/>
      <w:r w:rsidRPr="00DA1B51">
        <w:rPr>
          <w:rFonts w:cstheme="minorHAnsi"/>
          <w:shd w:val="clear" w:color="auto" w:fill="FFFFFF"/>
        </w:rPr>
        <w:t>Pedogenic</w:t>
      </w:r>
      <w:proofErr w:type="spellEnd"/>
      <w:r w:rsidRPr="00DA1B51">
        <w:rPr>
          <w:rFonts w:cstheme="minorHAnsi"/>
          <w:shd w:val="clear" w:color="auto" w:fill="FFFFFF"/>
        </w:rPr>
        <w:t xml:space="preserve"> carbonates and flood sediment accretion rates: a quantitative model for alluvial arid-zone </w:t>
      </w:r>
      <w:proofErr w:type="spellStart"/>
      <w:r w:rsidRPr="00DA1B51">
        <w:rPr>
          <w:rFonts w:cstheme="minorHAnsi"/>
          <w:shd w:val="clear" w:color="auto" w:fill="FFFFFF"/>
        </w:rPr>
        <w:t>lithofacies</w:t>
      </w:r>
      <w:proofErr w:type="spellEnd"/>
      <w:r w:rsidRPr="00DA1B51">
        <w:rPr>
          <w:rFonts w:cstheme="minorHAnsi"/>
          <w:shd w:val="clear" w:color="auto" w:fill="FFFFFF"/>
        </w:rPr>
        <w:t>. </w:t>
      </w:r>
      <w:r w:rsidRPr="00DA1B51">
        <w:rPr>
          <w:rFonts w:cstheme="minorHAnsi"/>
          <w:i/>
          <w:iCs/>
          <w:shd w:val="clear" w:color="auto" w:fill="FFFFFF"/>
        </w:rPr>
        <w:t>Geological Magazine</w:t>
      </w:r>
      <w:r w:rsidRPr="00DA1B51">
        <w:rPr>
          <w:rFonts w:cstheme="minorHAnsi"/>
          <w:shd w:val="clear" w:color="auto" w:fill="FFFFFF"/>
        </w:rPr>
        <w:t>, </w:t>
      </w:r>
      <w:r w:rsidRPr="00DA1B51">
        <w:rPr>
          <w:rFonts w:cstheme="minorHAnsi"/>
          <w:i/>
          <w:iCs/>
          <w:shd w:val="clear" w:color="auto" w:fill="FFFFFF"/>
        </w:rPr>
        <w:t>112</w:t>
      </w:r>
      <w:r w:rsidRPr="00DA1B51">
        <w:rPr>
          <w:rFonts w:cstheme="minorHAnsi"/>
          <w:shd w:val="clear" w:color="auto" w:fill="FFFFFF"/>
        </w:rPr>
        <w:t>(3), pp.257-270.</w:t>
      </w:r>
    </w:p>
    <w:p w14:paraId="408A1EB4"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t>Leeder</w:t>
      </w:r>
      <w:proofErr w:type="spellEnd"/>
      <w:r w:rsidRPr="00DA1B51">
        <w:rPr>
          <w:rFonts w:cstheme="minorHAnsi"/>
        </w:rPr>
        <w:t>, M.R., 1982. Upper Palaeozoic basins of the British Isles—</w:t>
      </w:r>
      <w:proofErr w:type="spellStart"/>
      <w:r w:rsidRPr="00DA1B51">
        <w:rPr>
          <w:rFonts w:cstheme="minorHAnsi"/>
        </w:rPr>
        <w:t>Caledonide</w:t>
      </w:r>
      <w:proofErr w:type="spellEnd"/>
      <w:r w:rsidRPr="00DA1B51">
        <w:rPr>
          <w:rFonts w:cstheme="minorHAnsi"/>
        </w:rPr>
        <w:t xml:space="preserve"> inheritance versus Hercynian plate margin processes. Journal of the Geological Society, 139(4), pp.479-491.</w:t>
      </w:r>
    </w:p>
    <w:p w14:paraId="0DC8B39D" w14:textId="77777777" w:rsidR="00E838DA" w:rsidRPr="00DA1B51" w:rsidRDefault="00E838DA" w:rsidP="009E071D">
      <w:pPr>
        <w:spacing w:after="100" w:afterAutospacing="1" w:line="360" w:lineRule="auto"/>
        <w:ind w:left="720" w:hanging="720"/>
        <w:rPr>
          <w:rFonts w:cstheme="minorHAnsi"/>
        </w:rPr>
      </w:pPr>
      <w:r w:rsidRPr="00DA1B51">
        <w:rPr>
          <w:rFonts w:cstheme="minorHAnsi"/>
          <w:shd w:val="clear" w:color="auto" w:fill="FFFFFF"/>
        </w:rPr>
        <w:t xml:space="preserve">Light, M.P.R., </w:t>
      </w:r>
      <w:proofErr w:type="spellStart"/>
      <w:r w:rsidRPr="00DA1B51">
        <w:rPr>
          <w:rFonts w:cstheme="minorHAnsi"/>
          <w:shd w:val="clear" w:color="auto" w:fill="FFFFFF"/>
        </w:rPr>
        <w:t>Maslanyj</w:t>
      </w:r>
      <w:proofErr w:type="spellEnd"/>
      <w:r w:rsidRPr="00DA1B51">
        <w:rPr>
          <w:rFonts w:cstheme="minorHAnsi"/>
          <w:shd w:val="clear" w:color="auto" w:fill="FFFFFF"/>
        </w:rPr>
        <w:t>, M.P. and Banks, N.L., 1992. New geophysical evidence for extensional tectonics on the divergent margin offshore Namibia. </w:t>
      </w:r>
      <w:r w:rsidRPr="00DA1B51">
        <w:rPr>
          <w:rFonts w:cstheme="minorHAnsi"/>
          <w:i/>
          <w:iCs/>
          <w:shd w:val="clear" w:color="auto" w:fill="FFFFFF"/>
        </w:rPr>
        <w:t>Geological Society, London, Special Publications</w:t>
      </w:r>
      <w:r w:rsidRPr="00DA1B51">
        <w:rPr>
          <w:rFonts w:cstheme="minorHAnsi"/>
          <w:shd w:val="clear" w:color="auto" w:fill="FFFFFF"/>
        </w:rPr>
        <w:t>, </w:t>
      </w:r>
      <w:r w:rsidRPr="00DA1B51">
        <w:rPr>
          <w:rFonts w:cstheme="minorHAnsi"/>
          <w:i/>
          <w:iCs/>
          <w:shd w:val="clear" w:color="auto" w:fill="FFFFFF"/>
        </w:rPr>
        <w:t>68</w:t>
      </w:r>
      <w:r w:rsidRPr="00DA1B51">
        <w:rPr>
          <w:rFonts w:cstheme="minorHAnsi"/>
          <w:shd w:val="clear" w:color="auto" w:fill="FFFFFF"/>
        </w:rPr>
        <w:t>(1), pp.257-270.</w:t>
      </w:r>
    </w:p>
    <w:p w14:paraId="679F47CE"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lastRenderedPageBreak/>
        <w:t>Maclennan</w:t>
      </w:r>
      <w:proofErr w:type="spellEnd"/>
      <w:r w:rsidRPr="00DA1B51">
        <w:rPr>
          <w:rFonts w:cstheme="minorHAnsi"/>
        </w:rPr>
        <w:t xml:space="preserve">, J. and Lovell, B., 2002. Control of regional sea level by surface uplift and subsidence caused by magmatic </w:t>
      </w:r>
      <w:proofErr w:type="spellStart"/>
      <w:r w:rsidRPr="00DA1B51">
        <w:rPr>
          <w:rFonts w:cstheme="minorHAnsi"/>
        </w:rPr>
        <w:t>underplating</w:t>
      </w:r>
      <w:proofErr w:type="spellEnd"/>
      <w:r w:rsidRPr="00DA1B51">
        <w:rPr>
          <w:rFonts w:cstheme="minorHAnsi"/>
        </w:rPr>
        <w:t xml:space="preserve"> of Earth's crust. Geology, 30(8), pp.675-678.</w:t>
      </w:r>
    </w:p>
    <w:p w14:paraId="64928565" w14:textId="77777777" w:rsidR="00B13E0E" w:rsidRPr="00DA1B51" w:rsidRDefault="00B13E0E"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McKenzie, D., 1978. Some remarks on the development of sedimentary basins. </w:t>
      </w:r>
      <w:r w:rsidRPr="00DA1B51">
        <w:rPr>
          <w:rFonts w:cstheme="minorHAnsi"/>
          <w:i/>
          <w:iCs/>
          <w:shd w:val="clear" w:color="auto" w:fill="FFFFFF"/>
        </w:rPr>
        <w:t>Earth and Planetary science letters</w:t>
      </w:r>
      <w:r w:rsidRPr="00DA1B51">
        <w:rPr>
          <w:rFonts w:cstheme="minorHAnsi"/>
          <w:shd w:val="clear" w:color="auto" w:fill="FFFFFF"/>
        </w:rPr>
        <w:t>, </w:t>
      </w:r>
      <w:r w:rsidRPr="00DA1B51">
        <w:rPr>
          <w:rFonts w:cstheme="minorHAnsi"/>
          <w:i/>
          <w:iCs/>
          <w:shd w:val="clear" w:color="auto" w:fill="FFFFFF"/>
        </w:rPr>
        <w:t>40</w:t>
      </w:r>
      <w:r w:rsidRPr="00DA1B51">
        <w:rPr>
          <w:rFonts w:cstheme="minorHAnsi"/>
          <w:shd w:val="clear" w:color="auto" w:fill="FFFFFF"/>
        </w:rPr>
        <w:t>(1), pp.25-32.</w:t>
      </w:r>
    </w:p>
    <w:p w14:paraId="6414728B" w14:textId="77777777" w:rsidR="00B27BD6" w:rsidRPr="00DA1B51" w:rsidRDefault="00B27BD6"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Meredith, D.J. and Egan, S.S., 2002. The geological and geodynamic evolution of the eastern Black Sea basin: insights from 2-D and 3-D tectonic modelling. </w:t>
      </w:r>
      <w:r w:rsidRPr="00DA1B51">
        <w:rPr>
          <w:rFonts w:cstheme="minorHAnsi"/>
          <w:i/>
          <w:iCs/>
          <w:shd w:val="clear" w:color="auto" w:fill="FFFFFF"/>
        </w:rPr>
        <w:t>Tectonophysics</w:t>
      </w:r>
      <w:r w:rsidRPr="00DA1B51">
        <w:rPr>
          <w:rFonts w:cstheme="minorHAnsi"/>
          <w:shd w:val="clear" w:color="auto" w:fill="FFFFFF"/>
        </w:rPr>
        <w:t>, </w:t>
      </w:r>
      <w:r w:rsidRPr="00DA1B51">
        <w:rPr>
          <w:rFonts w:cstheme="minorHAnsi"/>
          <w:i/>
          <w:iCs/>
          <w:shd w:val="clear" w:color="auto" w:fill="FFFFFF"/>
        </w:rPr>
        <w:t>350</w:t>
      </w:r>
      <w:r w:rsidRPr="00DA1B51">
        <w:rPr>
          <w:rFonts w:cstheme="minorHAnsi"/>
          <w:shd w:val="clear" w:color="auto" w:fill="FFFFFF"/>
        </w:rPr>
        <w:t>(2), pp.157-179.</w:t>
      </w:r>
    </w:p>
    <w:p w14:paraId="7F7B2C30" w14:textId="77777777" w:rsidR="00BF2B7F" w:rsidRPr="00DA1B51" w:rsidRDefault="00BF2B7F"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Monaghan, A.A. and Parrish, R.R., 2006. Geochronology of Carboniferous–Permian magmatism in the Midland Valley of Scotland: implications for regional </w:t>
      </w:r>
      <w:proofErr w:type="spellStart"/>
      <w:r w:rsidRPr="00DA1B51">
        <w:rPr>
          <w:rFonts w:cstheme="minorHAnsi"/>
          <w:shd w:val="clear" w:color="auto" w:fill="FFFFFF"/>
        </w:rPr>
        <w:t>tectonomagmatic</w:t>
      </w:r>
      <w:proofErr w:type="spellEnd"/>
      <w:r w:rsidRPr="00DA1B51">
        <w:rPr>
          <w:rFonts w:cstheme="minorHAnsi"/>
          <w:shd w:val="clear" w:color="auto" w:fill="FFFFFF"/>
        </w:rPr>
        <w:t xml:space="preserve"> evolution and the numerical time scale. </w:t>
      </w:r>
      <w:r w:rsidRPr="00DA1B51">
        <w:rPr>
          <w:rFonts w:cstheme="minorHAnsi"/>
          <w:i/>
          <w:iCs/>
          <w:shd w:val="clear" w:color="auto" w:fill="FFFFFF"/>
        </w:rPr>
        <w:t>Journal of the Geological Society</w:t>
      </w:r>
      <w:r w:rsidRPr="00DA1B51">
        <w:rPr>
          <w:rFonts w:cstheme="minorHAnsi"/>
          <w:shd w:val="clear" w:color="auto" w:fill="FFFFFF"/>
        </w:rPr>
        <w:t>, </w:t>
      </w:r>
      <w:r w:rsidRPr="00DA1B51">
        <w:rPr>
          <w:rFonts w:cstheme="minorHAnsi"/>
          <w:i/>
          <w:iCs/>
          <w:shd w:val="clear" w:color="auto" w:fill="FFFFFF"/>
        </w:rPr>
        <w:t>163</w:t>
      </w:r>
      <w:r w:rsidRPr="00DA1B51">
        <w:rPr>
          <w:rFonts w:cstheme="minorHAnsi"/>
          <w:shd w:val="clear" w:color="auto" w:fill="FFFFFF"/>
        </w:rPr>
        <w:t>(1), pp.15-28.</w:t>
      </w:r>
    </w:p>
    <w:p w14:paraId="335B2AA5" w14:textId="77777777" w:rsidR="00485B3D" w:rsidRPr="00DA1B51" w:rsidRDefault="00485B3D"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Murchison, D., 2004. Aberrations in the coalification patterns of the offshore coalfields of Northumberland and Durham, United Kingdom. </w:t>
      </w:r>
      <w:r w:rsidRPr="00DA1B51">
        <w:rPr>
          <w:rFonts w:cstheme="minorHAnsi"/>
          <w:i/>
          <w:iCs/>
          <w:shd w:val="clear" w:color="auto" w:fill="FFFFFF"/>
        </w:rPr>
        <w:t>International journal of coal geology</w:t>
      </w:r>
      <w:r w:rsidRPr="00DA1B51">
        <w:rPr>
          <w:rFonts w:cstheme="minorHAnsi"/>
          <w:shd w:val="clear" w:color="auto" w:fill="FFFFFF"/>
        </w:rPr>
        <w:t>, </w:t>
      </w:r>
      <w:r w:rsidRPr="00DA1B51">
        <w:rPr>
          <w:rFonts w:cstheme="minorHAnsi"/>
          <w:i/>
          <w:iCs/>
          <w:shd w:val="clear" w:color="auto" w:fill="FFFFFF"/>
        </w:rPr>
        <w:t>58</w:t>
      </w:r>
      <w:r w:rsidRPr="00DA1B51">
        <w:rPr>
          <w:rFonts w:cstheme="minorHAnsi"/>
          <w:shd w:val="clear" w:color="auto" w:fill="FFFFFF"/>
        </w:rPr>
        <w:t>(3), pp.133-146.</w:t>
      </w:r>
    </w:p>
    <w:p w14:paraId="4B7FC37F" w14:textId="77777777" w:rsidR="00B13E0E" w:rsidRPr="00DA1B51" w:rsidRDefault="00B13E0E"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Nicol, A., Walsh, J.J., </w:t>
      </w:r>
      <w:proofErr w:type="spellStart"/>
      <w:r w:rsidRPr="00DA1B51">
        <w:rPr>
          <w:rFonts w:cstheme="minorHAnsi"/>
          <w:shd w:val="clear" w:color="auto" w:fill="FFFFFF"/>
        </w:rPr>
        <w:t>Manzocchi</w:t>
      </w:r>
      <w:proofErr w:type="spellEnd"/>
      <w:r w:rsidRPr="00DA1B51">
        <w:rPr>
          <w:rFonts w:cstheme="minorHAnsi"/>
          <w:shd w:val="clear" w:color="auto" w:fill="FFFFFF"/>
        </w:rPr>
        <w:t xml:space="preserve">, T. and </w:t>
      </w:r>
      <w:proofErr w:type="spellStart"/>
      <w:r w:rsidRPr="00DA1B51">
        <w:rPr>
          <w:rFonts w:cstheme="minorHAnsi"/>
          <w:shd w:val="clear" w:color="auto" w:fill="FFFFFF"/>
        </w:rPr>
        <w:t>Morewood</w:t>
      </w:r>
      <w:proofErr w:type="spellEnd"/>
      <w:r w:rsidRPr="00DA1B51">
        <w:rPr>
          <w:rFonts w:cstheme="minorHAnsi"/>
          <w:shd w:val="clear" w:color="auto" w:fill="FFFFFF"/>
        </w:rPr>
        <w:t xml:space="preserve">, N., 2005. Displacement rates and </w:t>
      </w:r>
      <w:proofErr w:type="gramStart"/>
      <w:r w:rsidRPr="00DA1B51">
        <w:rPr>
          <w:rFonts w:cstheme="minorHAnsi"/>
          <w:shd w:val="clear" w:color="auto" w:fill="FFFFFF"/>
        </w:rPr>
        <w:t>average earthquake recurrence intervals</w:t>
      </w:r>
      <w:proofErr w:type="gramEnd"/>
      <w:r w:rsidRPr="00DA1B51">
        <w:rPr>
          <w:rFonts w:cstheme="minorHAnsi"/>
          <w:shd w:val="clear" w:color="auto" w:fill="FFFFFF"/>
        </w:rPr>
        <w:t xml:space="preserve"> on normal faults. Journal of Structural Geology, 27(3), pp.541-551.</w:t>
      </w:r>
    </w:p>
    <w:p w14:paraId="7F7BCAE1" w14:textId="77777777" w:rsidR="00B13E0E" w:rsidRPr="00DA1B51" w:rsidRDefault="00B13E0E" w:rsidP="009E071D">
      <w:pPr>
        <w:spacing w:after="100" w:afterAutospacing="1" w:line="360" w:lineRule="auto"/>
        <w:ind w:left="720" w:hanging="720"/>
        <w:rPr>
          <w:rFonts w:cstheme="minorHAnsi"/>
        </w:rPr>
      </w:pPr>
      <w:r w:rsidRPr="00DA1B51">
        <w:rPr>
          <w:rFonts w:cstheme="minorHAnsi"/>
        </w:rPr>
        <w:t xml:space="preserve">Parsons, B. and </w:t>
      </w:r>
      <w:proofErr w:type="spellStart"/>
      <w:r w:rsidRPr="00DA1B51">
        <w:rPr>
          <w:rFonts w:cstheme="minorHAnsi"/>
        </w:rPr>
        <w:t>Sclater</w:t>
      </w:r>
      <w:proofErr w:type="spellEnd"/>
      <w:r w:rsidRPr="00DA1B51">
        <w:rPr>
          <w:rFonts w:cstheme="minorHAnsi"/>
        </w:rPr>
        <w:t>, J.G., 1977. An analysis of the variation of ocean floor bathymetry and heat flow with age. Journal of geophysical research, 82(5), pp.803-827.</w:t>
      </w:r>
    </w:p>
    <w:p w14:paraId="4B232195" w14:textId="77777777" w:rsidR="00A11DD3" w:rsidRPr="00DA1B51" w:rsidRDefault="00A11DD3" w:rsidP="009E071D">
      <w:pPr>
        <w:spacing w:after="100" w:afterAutospacing="1" w:line="360" w:lineRule="auto"/>
        <w:ind w:left="720" w:hanging="720"/>
        <w:rPr>
          <w:rFonts w:cstheme="minorHAnsi"/>
        </w:rPr>
      </w:pPr>
      <w:r w:rsidRPr="00DA1B51">
        <w:rPr>
          <w:rFonts w:cstheme="minorHAnsi"/>
          <w:shd w:val="clear" w:color="auto" w:fill="FFFFFF"/>
        </w:rPr>
        <w:t xml:space="preserve">Peace, G.R. and </w:t>
      </w:r>
      <w:proofErr w:type="spellStart"/>
      <w:r w:rsidRPr="00DA1B51">
        <w:rPr>
          <w:rFonts w:cstheme="minorHAnsi"/>
          <w:shd w:val="clear" w:color="auto" w:fill="FFFFFF"/>
        </w:rPr>
        <w:t>Besly</w:t>
      </w:r>
      <w:proofErr w:type="spellEnd"/>
      <w:r w:rsidRPr="00DA1B51">
        <w:rPr>
          <w:rFonts w:cstheme="minorHAnsi"/>
          <w:shd w:val="clear" w:color="auto" w:fill="FFFFFF"/>
        </w:rPr>
        <w:t>, B.M., 1997. End-Carboniferous fold-thrust structures, Oxfordshire, UK: implications for the structural evolution of the late Variscan foreland of south-central England. </w:t>
      </w:r>
      <w:r w:rsidRPr="00DA1B51">
        <w:rPr>
          <w:rFonts w:cstheme="minorHAnsi"/>
          <w:i/>
          <w:iCs/>
          <w:shd w:val="clear" w:color="auto" w:fill="FFFFFF"/>
        </w:rPr>
        <w:t>Journal of the Geological Society</w:t>
      </w:r>
      <w:r w:rsidRPr="00DA1B51">
        <w:rPr>
          <w:rFonts w:cstheme="minorHAnsi"/>
          <w:shd w:val="clear" w:color="auto" w:fill="FFFFFF"/>
        </w:rPr>
        <w:t>, </w:t>
      </w:r>
      <w:r w:rsidRPr="00DA1B51">
        <w:rPr>
          <w:rFonts w:cstheme="minorHAnsi"/>
          <w:i/>
          <w:iCs/>
          <w:shd w:val="clear" w:color="auto" w:fill="FFFFFF"/>
        </w:rPr>
        <w:t>154</w:t>
      </w:r>
      <w:r w:rsidRPr="00DA1B51">
        <w:rPr>
          <w:rFonts w:cstheme="minorHAnsi"/>
          <w:shd w:val="clear" w:color="auto" w:fill="FFFFFF"/>
        </w:rPr>
        <w:t>(2), pp.225-237.</w:t>
      </w:r>
    </w:p>
    <w:p w14:paraId="1DCC371C" w14:textId="77777777" w:rsidR="007E60DF" w:rsidRPr="00DA1B51" w:rsidRDefault="007E60DF" w:rsidP="009E071D">
      <w:pPr>
        <w:spacing w:after="100" w:afterAutospacing="1" w:line="360" w:lineRule="auto"/>
        <w:ind w:left="720" w:hanging="720"/>
        <w:rPr>
          <w:rFonts w:cstheme="minorHAnsi"/>
        </w:rPr>
      </w:pPr>
      <w:r w:rsidRPr="00DA1B51">
        <w:rPr>
          <w:rFonts w:cstheme="minorHAnsi"/>
          <w:shd w:val="clear" w:color="auto" w:fill="FFFFFF"/>
        </w:rPr>
        <w:t xml:space="preserve">Pharaoh, T., England, R. and Lee, M., 1995. The concealed </w:t>
      </w:r>
      <w:proofErr w:type="spellStart"/>
      <w:r w:rsidRPr="00DA1B51">
        <w:rPr>
          <w:rFonts w:cstheme="minorHAnsi"/>
          <w:shd w:val="clear" w:color="auto" w:fill="FFFFFF"/>
        </w:rPr>
        <w:t>Caledonide</w:t>
      </w:r>
      <w:proofErr w:type="spellEnd"/>
      <w:r w:rsidRPr="00DA1B51">
        <w:rPr>
          <w:rFonts w:cstheme="minorHAnsi"/>
          <w:shd w:val="clear" w:color="auto" w:fill="FFFFFF"/>
        </w:rPr>
        <w:t xml:space="preserve"> basement of eastern England and the southern North Sea—a review. </w:t>
      </w:r>
      <w:proofErr w:type="spellStart"/>
      <w:r w:rsidRPr="00DA1B51">
        <w:rPr>
          <w:rFonts w:cstheme="minorHAnsi"/>
          <w:i/>
          <w:iCs/>
          <w:shd w:val="clear" w:color="auto" w:fill="FFFFFF"/>
        </w:rPr>
        <w:t>Studia</w:t>
      </w:r>
      <w:proofErr w:type="spellEnd"/>
      <w:r w:rsidRPr="00DA1B51">
        <w:rPr>
          <w:rFonts w:cstheme="minorHAnsi"/>
          <w:i/>
          <w:iCs/>
          <w:shd w:val="clear" w:color="auto" w:fill="FFFFFF"/>
        </w:rPr>
        <w:t xml:space="preserve"> </w:t>
      </w:r>
      <w:proofErr w:type="spellStart"/>
      <w:r w:rsidRPr="00DA1B51">
        <w:rPr>
          <w:rFonts w:cstheme="minorHAnsi"/>
          <w:i/>
          <w:iCs/>
          <w:shd w:val="clear" w:color="auto" w:fill="FFFFFF"/>
        </w:rPr>
        <w:t>geophysica</w:t>
      </w:r>
      <w:proofErr w:type="spellEnd"/>
      <w:r w:rsidRPr="00DA1B51">
        <w:rPr>
          <w:rFonts w:cstheme="minorHAnsi"/>
          <w:i/>
          <w:iCs/>
          <w:shd w:val="clear" w:color="auto" w:fill="FFFFFF"/>
        </w:rPr>
        <w:t xml:space="preserve"> </w:t>
      </w:r>
      <w:proofErr w:type="gramStart"/>
      <w:r w:rsidRPr="00DA1B51">
        <w:rPr>
          <w:rFonts w:cstheme="minorHAnsi"/>
          <w:i/>
          <w:iCs/>
          <w:shd w:val="clear" w:color="auto" w:fill="FFFFFF"/>
        </w:rPr>
        <w:t>et</w:t>
      </w:r>
      <w:proofErr w:type="gramEnd"/>
      <w:r w:rsidRPr="00DA1B51">
        <w:rPr>
          <w:rFonts w:cstheme="minorHAnsi"/>
          <w:i/>
          <w:iCs/>
          <w:shd w:val="clear" w:color="auto" w:fill="FFFFFF"/>
        </w:rPr>
        <w:t xml:space="preserve"> </w:t>
      </w:r>
      <w:proofErr w:type="spellStart"/>
      <w:r w:rsidRPr="00DA1B51">
        <w:rPr>
          <w:rFonts w:cstheme="minorHAnsi"/>
          <w:i/>
          <w:iCs/>
          <w:shd w:val="clear" w:color="auto" w:fill="FFFFFF"/>
        </w:rPr>
        <w:t>geodaetica</w:t>
      </w:r>
      <w:proofErr w:type="spellEnd"/>
      <w:r w:rsidRPr="00DA1B51">
        <w:rPr>
          <w:rFonts w:cstheme="minorHAnsi"/>
          <w:shd w:val="clear" w:color="auto" w:fill="FFFFFF"/>
        </w:rPr>
        <w:t>, </w:t>
      </w:r>
      <w:r w:rsidRPr="00DA1B51">
        <w:rPr>
          <w:rFonts w:cstheme="minorHAnsi"/>
          <w:i/>
          <w:iCs/>
          <w:shd w:val="clear" w:color="auto" w:fill="FFFFFF"/>
        </w:rPr>
        <w:t>39</w:t>
      </w:r>
      <w:r w:rsidRPr="00DA1B51">
        <w:rPr>
          <w:rFonts w:cstheme="minorHAnsi"/>
          <w:shd w:val="clear" w:color="auto" w:fill="FFFFFF"/>
        </w:rPr>
        <w:t>(3), pp.330-346.</w:t>
      </w:r>
    </w:p>
    <w:p w14:paraId="3E6AE8D1" w14:textId="77777777" w:rsidR="00B13E0E" w:rsidRPr="00DA1B51" w:rsidRDefault="00B13E0E" w:rsidP="009E071D">
      <w:pPr>
        <w:spacing w:after="100" w:afterAutospacing="1" w:line="360" w:lineRule="auto"/>
        <w:ind w:left="720" w:hanging="720"/>
        <w:rPr>
          <w:rFonts w:cstheme="minorHAnsi"/>
        </w:rPr>
      </w:pPr>
      <w:r w:rsidRPr="00DA1B51">
        <w:rPr>
          <w:rFonts w:cstheme="minorHAnsi"/>
        </w:rPr>
        <w:t xml:space="preserve">Pratt, J.H., 1858. The deflection of the </w:t>
      </w:r>
      <w:proofErr w:type="gramStart"/>
      <w:r w:rsidRPr="00DA1B51">
        <w:rPr>
          <w:rFonts w:cstheme="minorHAnsi"/>
        </w:rPr>
        <w:t>plumb-line</w:t>
      </w:r>
      <w:proofErr w:type="gramEnd"/>
      <w:r w:rsidRPr="00DA1B51">
        <w:rPr>
          <w:rFonts w:cstheme="minorHAnsi"/>
        </w:rPr>
        <w:t xml:space="preserve"> in India and the compensatory effect of a deficiency of matter below the Himalaya mountains. </w:t>
      </w:r>
      <w:proofErr w:type="spellStart"/>
      <w:r w:rsidRPr="00DA1B51">
        <w:rPr>
          <w:rFonts w:cstheme="minorHAnsi"/>
        </w:rPr>
        <w:t>Philos</w:t>
      </w:r>
      <w:proofErr w:type="spellEnd"/>
      <w:r w:rsidRPr="00DA1B51">
        <w:rPr>
          <w:rFonts w:cstheme="minorHAnsi"/>
        </w:rPr>
        <w:t xml:space="preserve"> Trans R So London, 149, pp.745-778.</w:t>
      </w:r>
    </w:p>
    <w:p w14:paraId="267263E2" w14:textId="77777777" w:rsidR="005F37BB" w:rsidRPr="00DA1B51" w:rsidRDefault="005F37BB"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t>Ridd</w:t>
      </w:r>
      <w:proofErr w:type="spellEnd"/>
      <w:r w:rsidRPr="00DA1B51">
        <w:rPr>
          <w:rFonts w:cstheme="minorHAnsi"/>
          <w:shd w:val="clear" w:color="auto" w:fill="FFFFFF"/>
        </w:rPr>
        <w:t xml:space="preserve">, M.F., Walker, D.B. and Jones, J.M., 1970. A deep borehole at </w:t>
      </w:r>
      <w:proofErr w:type="spellStart"/>
      <w:r w:rsidRPr="00DA1B51">
        <w:rPr>
          <w:rFonts w:cstheme="minorHAnsi"/>
          <w:shd w:val="clear" w:color="auto" w:fill="FFFFFF"/>
        </w:rPr>
        <w:t>Harton</w:t>
      </w:r>
      <w:proofErr w:type="spellEnd"/>
      <w:r w:rsidRPr="00DA1B51">
        <w:rPr>
          <w:rFonts w:cstheme="minorHAnsi"/>
          <w:shd w:val="clear" w:color="auto" w:fill="FFFFFF"/>
        </w:rPr>
        <w:t xml:space="preserve"> on the margin of the Northumbrian Trough. </w:t>
      </w:r>
      <w:r w:rsidRPr="00DA1B51">
        <w:rPr>
          <w:rFonts w:cstheme="minorHAnsi"/>
          <w:i/>
          <w:iCs/>
          <w:shd w:val="clear" w:color="auto" w:fill="FFFFFF"/>
        </w:rPr>
        <w:t>Proceedings of the Yorkshire Geological Society</w:t>
      </w:r>
      <w:r w:rsidRPr="00DA1B51">
        <w:rPr>
          <w:rFonts w:cstheme="minorHAnsi"/>
          <w:shd w:val="clear" w:color="auto" w:fill="FFFFFF"/>
        </w:rPr>
        <w:t>, </w:t>
      </w:r>
      <w:r w:rsidRPr="00DA1B51">
        <w:rPr>
          <w:rFonts w:cstheme="minorHAnsi"/>
          <w:i/>
          <w:iCs/>
          <w:shd w:val="clear" w:color="auto" w:fill="FFFFFF"/>
        </w:rPr>
        <w:t>38</w:t>
      </w:r>
      <w:r w:rsidRPr="00DA1B51">
        <w:rPr>
          <w:rFonts w:cstheme="minorHAnsi"/>
          <w:shd w:val="clear" w:color="auto" w:fill="FFFFFF"/>
        </w:rPr>
        <w:t>(1), pp.75-103.</w:t>
      </w:r>
    </w:p>
    <w:p w14:paraId="0D6E934C" w14:textId="77777777" w:rsidR="00B13E0E" w:rsidRPr="00DA1B51" w:rsidRDefault="00B13E0E" w:rsidP="009E071D">
      <w:pPr>
        <w:spacing w:after="100" w:afterAutospacing="1" w:line="360" w:lineRule="auto"/>
        <w:ind w:left="720" w:hanging="720"/>
        <w:rPr>
          <w:rFonts w:cstheme="minorHAnsi"/>
        </w:rPr>
      </w:pPr>
      <w:proofErr w:type="spellStart"/>
      <w:r w:rsidRPr="00DA1B51">
        <w:rPr>
          <w:rFonts w:cstheme="minorHAnsi"/>
        </w:rPr>
        <w:lastRenderedPageBreak/>
        <w:t>Royden</w:t>
      </w:r>
      <w:proofErr w:type="spellEnd"/>
      <w:r w:rsidRPr="00DA1B51">
        <w:rPr>
          <w:rFonts w:cstheme="minorHAnsi"/>
        </w:rPr>
        <w:t>, L. and Keen, C.E., 1980. Rifting process and thermal evolution of the continental margin of eastern Canada determined from subsidence curves. Earth and Planetary Science Letters, 51(2), pp.343-361.</w:t>
      </w:r>
    </w:p>
    <w:p w14:paraId="661574F1" w14:textId="77777777" w:rsidR="005F0D2C" w:rsidRPr="00DA1B51" w:rsidRDefault="005F0D2C"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t>Schoene</w:t>
      </w:r>
      <w:proofErr w:type="spellEnd"/>
      <w:r w:rsidRPr="00DA1B51">
        <w:rPr>
          <w:rFonts w:cstheme="minorHAnsi"/>
          <w:shd w:val="clear" w:color="auto" w:fill="FFFFFF"/>
        </w:rPr>
        <w:t xml:space="preserve">, B., de Wit, M.J. and Bowring, S.A., 2008. Mesoarchean assembly and stabilization of the eastern </w:t>
      </w:r>
      <w:proofErr w:type="spellStart"/>
      <w:r w:rsidRPr="00DA1B51">
        <w:rPr>
          <w:rFonts w:cstheme="minorHAnsi"/>
          <w:shd w:val="clear" w:color="auto" w:fill="FFFFFF"/>
        </w:rPr>
        <w:t>Kaapvaal</w:t>
      </w:r>
      <w:proofErr w:type="spellEnd"/>
      <w:r w:rsidRPr="00DA1B51">
        <w:rPr>
          <w:rFonts w:cstheme="minorHAnsi"/>
          <w:shd w:val="clear" w:color="auto" w:fill="FFFFFF"/>
        </w:rPr>
        <w:t xml:space="preserve"> craton: A structural‐</w:t>
      </w:r>
      <w:proofErr w:type="spellStart"/>
      <w:r w:rsidRPr="00DA1B51">
        <w:rPr>
          <w:rFonts w:cstheme="minorHAnsi"/>
          <w:shd w:val="clear" w:color="auto" w:fill="FFFFFF"/>
        </w:rPr>
        <w:t>thermochronological</w:t>
      </w:r>
      <w:proofErr w:type="spellEnd"/>
      <w:r w:rsidRPr="00DA1B51">
        <w:rPr>
          <w:rFonts w:cstheme="minorHAnsi"/>
          <w:shd w:val="clear" w:color="auto" w:fill="FFFFFF"/>
        </w:rPr>
        <w:t xml:space="preserve"> perspective. </w:t>
      </w:r>
      <w:r w:rsidRPr="00DA1B51">
        <w:rPr>
          <w:rFonts w:cstheme="minorHAnsi"/>
          <w:i/>
          <w:iCs/>
          <w:shd w:val="clear" w:color="auto" w:fill="FFFFFF"/>
        </w:rPr>
        <w:t>Tectonics</w:t>
      </w:r>
      <w:r w:rsidRPr="00DA1B51">
        <w:rPr>
          <w:rFonts w:cstheme="minorHAnsi"/>
          <w:shd w:val="clear" w:color="auto" w:fill="FFFFFF"/>
        </w:rPr>
        <w:t>, </w:t>
      </w:r>
      <w:r w:rsidRPr="00DA1B51">
        <w:rPr>
          <w:rFonts w:cstheme="minorHAnsi"/>
          <w:i/>
          <w:iCs/>
          <w:shd w:val="clear" w:color="auto" w:fill="FFFFFF"/>
        </w:rPr>
        <w:t>27</w:t>
      </w:r>
      <w:r w:rsidRPr="00DA1B51">
        <w:rPr>
          <w:rFonts w:cstheme="minorHAnsi"/>
          <w:shd w:val="clear" w:color="auto" w:fill="FFFFFF"/>
        </w:rPr>
        <w:t>(5).</w:t>
      </w:r>
    </w:p>
    <w:p w14:paraId="60343371" w14:textId="77777777" w:rsidR="001A67FF" w:rsidRPr="00DA1B51" w:rsidRDefault="001A67FF" w:rsidP="009E071D">
      <w:pPr>
        <w:spacing w:after="100" w:afterAutospacing="1" w:line="360" w:lineRule="auto"/>
        <w:ind w:left="720" w:hanging="720"/>
        <w:rPr>
          <w:rFonts w:cstheme="minorHAnsi"/>
        </w:rPr>
      </w:pPr>
      <w:proofErr w:type="spellStart"/>
      <w:r w:rsidRPr="00DA1B51">
        <w:rPr>
          <w:rFonts w:cstheme="minorHAnsi"/>
          <w:shd w:val="clear" w:color="auto" w:fill="FFFFFF"/>
        </w:rPr>
        <w:t>Scrutton</w:t>
      </w:r>
      <w:proofErr w:type="spellEnd"/>
      <w:r w:rsidRPr="00DA1B51">
        <w:rPr>
          <w:rFonts w:cstheme="minorHAnsi"/>
          <w:shd w:val="clear" w:color="auto" w:fill="FFFFFF"/>
        </w:rPr>
        <w:t>, R.A. and Dingle, R.V., 1976. Observations on the processes of sedimentary basin formation at the margins of southern Africa. In </w:t>
      </w:r>
      <w:r w:rsidRPr="00DA1B51">
        <w:rPr>
          <w:rFonts w:cstheme="minorHAnsi"/>
          <w:i/>
          <w:iCs/>
          <w:shd w:val="clear" w:color="auto" w:fill="FFFFFF"/>
        </w:rPr>
        <w:t xml:space="preserve">Developments in </w:t>
      </w:r>
      <w:proofErr w:type="spellStart"/>
      <w:r w:rsidRPr="00DA1B51">
        <w:rPr>
          <w:rFonts w:cstheme="minorHAnsi"/>
          <w:i/>
          <w:iCs/>
          <w:shd w:val="clear" w:color="auto" w:fill="FFFFFF"/>
        </w:rPr>
        <w:t>Geotectonics</w:t>
      </w:r>
      <w:proofErr w:type="spellEnd"/>
      <w:r w:rsidRPr="00DA1B51">
        <w:rPr>
          <w:rFonts w:cstheme="minorHAnsi"/>
          <w:shd w:val="clear" w:color="auto" w:fill="FFFFFF"/>
        </w:rPr>
        <w:t> (Vol. 12, pp. 143-156). Elsevier.</w:t>
      </w:r>
    </w:p>
    <w:p w14:paraId="4DA6537C" w14:textId="77777777" w:rsidR="007E60DF" w:rsidRPr="00DA1B51" w:rsidRDefault="005F37BB" w:rsidP="001B444D">
      <w:pPr>
        <w:spacing w:after="100" w:afterAutospacing="1" w:line="360" w:lineRule="auto"/>
        <w:ind w:left="720" w:hanging="720"/>
        <w:rPr>
          <w:rFonts w:cstheme="minorHAnsi"/>
        </w:rPr>
      </w:pPr>
      <w:proofErr w:type="spellStart"/>
      <w:r w:rsidRPr="00DA1B51">
        <w:rPr>
          <w:rFonts w:cstheme="minorHAnsi"/>
          <w:shd w:val="clear" w:color="auto" w:fill="FFFFFF"/>
        </w:rPr>
        <w:t>Sonder</w:t>
      </w:r>
      <w:proofErr w:type="spellEnd"/>
      <w:r w:rsidRPr="00DA1B51">
        <w:rPr>
          <w:rFonts w:cstheme="minorHAnsi"/>
          <w:shd w:val="clear" w:color="auto" w:fill="FFFFFF"/>
        </w:rPr>
        <w:t>, L.J., 1990. Effects of density contrasts on the orientation of stresses in the lithosphere: Relation to principal stress directions in the Transverse Ranges, California. </w:t>
      </w:r>
      <w:r w:rsidRPr="00DA1B51">
        <w:rPr>
          <w:rFonts w:cstheme="minorHAnsi"/>
          <w:i/>
          <w:iCs/>
          <w:shd w:val="clear" w:color="auto" w:fill="FFFFFF"/>
        </w:rPr>
        <w:t>Tectonics</w:t>
      </w:r>
      <w:r w:rsidRPr="00DA1B51">
        <w:rPr>
          <w:rFonts w:cstheme="minorHAnsi"/>
          <w:shd w:val="clear" w:color="auto" w:fill="FFFFFF"/>
        </w:rPr>
        <w:t>, </w:t>
      </w:r>
      <w:r w:rsidRPr="00DA1B51">
        <w:rPr>
          <w:rFonts w:cstheme="minorHAnsi"/>
          <w:i/>
          <w:iCs/>
          <w:shd w:val="clear" w:color="auto" w:fill="FFFFFF"/>
        </w:rPr>
        <w:t>9</w:t>
      </w:r>
      <w:r w:rsidRPr="00DA1B51">
        <w:rPr>
          <w:rFonts w:cstheme="minorHAnsi"/>
          <w:shd w:val="clear" w:color="auto" w:fill="FFFFFF"/>
        </w:rPr>
        <w:t>(4), pp.761-771.</w:t>
      </w:r>
    </w:p>
    <w:p w14:paraId="00DDA94C" w14:textId="77777777" w:rsidR="001C79DB" w:rsidRPr="00DA1B51" w:rsidRDefault="001C79DB" w:rsidP="009E071D">
      <w:pPr>
        <w:spacing w:after="100" w:afterAutospacing="1" w:line="360" w:lineRule="auto"/>
        <w:ind w:left="720" w:hanging="720"/>
        <w:rPr>
          <w:rFonts w:cstheme="minorHAnsi"/>
        </w:rPr>
      </w:pPr>
      <w:r w:rsidRPr="00DA1B51">
        <w:rPr>
          <w:rFonts w:cstheme="minorHAnsi"/>
          <w:shd w:val="clear" w:color="auto" w:fill="FFFFFF"/>
        </w:rPr>
        <w:t xml:space="preserve">Stein, S., </w:t>
      </w:r>
      <w:proofErr w:type="spellStart"/>
      <w:r w:rsidRPr="00DA1B51">
        <w:rPr>
          <w:rFonts w:cstheme="minorHAnsi"/>
          <w:shd w:val="clear" w:color="auto" w:fill="FFFFFF"/>
        </w:rPr>
        <w:t>Cloetingh</w:t>
      </w:r>
      <w:proofErr w:type="spellEnd"/>
      <w:r w:rsidRPr="00DA1B51">
        <w:rPr>
          <w:rFonts w:cstheme="minorHAnsi"/>
          <w:shd w:val="clear" w:color="auto" w:fill="FFFFFF"/>
        </w:rPr>
        <w:t xml:space="preserve">, S., Sleep, N.H. and </w:t>
      </w:r>
      <w:proofErr w:type="spellStart"/>
      <w:r w:rsidRPr="00DA1B51">
        <w:rPr>
          <w:rFonts w:cstheme="minorHAnsi"/>
          <w:shd w:val="clear" w:color="auto" w:fill="FFFFFF"/>
        </w:rPr>
        <w:t>Wortel</w:t>
      </w:r>
      <w:proofErr w:type="spellEnd"/>
      <w:r w:rsidRPr="00DA1B51">
        <w:rPr>
          <w:rFonts w:cstheme="minorHAnsi"/>
          <w:shd w:val="clear" w:color="auto" w:fill="FFFFFF"/>
        </w:rPr>
        <w:t>, R., 1989. Passive margin earthquakes, stresses and rheology. In </w:t>
      </w:r>
      <w:r w:rsidRPr="00DA1B51">
        <w:rPr>
          <w:rFonts w:cstheme="minorHAnsi"/>
          <w:i/>
          <w:iCs/>
          <w:shd w:val="clear" w:color="auto" w:fill="FFFFFF"/>
        </w:rPr>
        <w:t xml:space="preserve">Earthquakes at North-Atlantic Passive Margins: </w:t>
      </w:r>
      <w:proofErr w:type="spellStart"/>
      <w:r w:rsidRPr="00DA1B51">
        <w:rPr>
          <w:rFonts w:cstheme="minorHAnsi"/>
          <w:i/>
          <w:iCs/>
          <w:shd w:val="clear" w:color="auto" w:fill="FFFFFF"/>
        </w:rPr>
        <w:t>Neotectonics</w:t>
      </w:r>
      <w:proofErr w:type="spellEnd"/>
      <w:r w:rsidRPr="00DA1B51">
        <w:rPr>
          <w:rFonts w:cstheme="minorHAnsi"/>
          <w:i/>
          <w:iCs/>
          <w:shd w:val="clear" w:color="auto" w:fill="FFFFFF"/>
        </w:rPr>
        <w:t xml:space="preserve"> and Postglacial Rebound</w:t>
      </w:r>
      <w:r w:rsidRPr="00DA1B51">
        <w:rPr>
          <w:rFonts w:cstheme="minorHAnsi"/>
          <w:shd w:val="clear" w:color="auto" w:fill="FFFFFF"/>
        </w:rPr>
        <w:t> (pp. 231-259). Springer, Dordrecht.</w:t>
      </w:r>
    </w:p>
    <w:p w14:paraId="52B475A4" w14:textId="77777777" w:rsidR="007C24FD" w:rsidRPr="00DA1B51" w:rsidRDefault="00B13E0E" w:rsidP="009E071D">
      <w:pPr>
        <w:spacing w:after="100" w:afterAutospacing="1" w:line="360" w:lineRule="auto"/>
        <w:ind w:left="720" w:hanging="720"/>
        <w:rPr>
          <w:rFonts w:cstheme="minorHAnsi"/>
        </w:rPr>
      </w:pPr>
      <w:r w:rsidRPr="00DA1B51">
        <w:rPr>
          <w:rFonts w:cstheme="minorHAnsi"/>
        </w:rPr>
        <w:t xml:space="preserve">Stone, P., Millward, D., Young, B., Merritt, J., Clarke, S., </w:t>
      </w:r>
      <w:proofErr w:type="spellStart"/>
      <w:r w:rsidRPr="00DA1B51">
        <w:rPr>
          <w:rFonts w:cstheme="minorHAnsi"/>
        </w:rPr>
        <w:t>McCormac</w:t>
      </w:r>
      <w:proofErr w:type="spellEnd"/>
      <w:r w:rsidRPr="00DA1B51">
        <w:rPr>
          <w:rFonts w:cstheme="minorHAnsi"/>
        </w:rPr>
        <w:t>, M. and Lawrence, D., 2010. Northern England. British Geological Survey.</w:t>
      </w:r>
    </w:p>
    <w:p w14:paraId="7011F4C9" w14:textId="77777777" w:rsidR="007C24FD" w:rsidRPr="00DA1B51" w:rsidRDefault="007C24FD" w:rsidP="009E071D">
      <w:pPr>
        <w:spacing w:after="100" w:afterAutospacing="1" w:line="360" w:lineRule="auto"/>
        <w:ind w:left="720" w:hanging="720"/>
        <w:rPr>
          <w:rFonts w:cstheme="minorHAnsi"/>
        </w:rPr>
      </w:pPr>
      <w:proofErr w:type="spellStart"/>
      <w:r w:rsidRPr="00DA1B51">
        <w:rPr>
          <w:rFonts w:cstheme="minorHAnsi"/>
        </w:rPr>
        <w:t>Terrington</w:t>
      </w:r>
      <w:proofErr w:type="spellEnd"/>
      <w:r w:rsidRPr="00DA1B51">
        <w:rPr>
          <w:rFonts w:cstheme="minorHAnsi"/>
        </w:rPr>
        <w:t>, R.L. and Thorpe, S., 2013. Metadata report for the Northumberland and Solway Basin 1: 250 000 geological model.</w:t>
      </w:r>
    </w:p>
    <w:p w14:paraId="7BE8B103" w14:textId="77777777" w:rsidR="007153DC" w:rsidRPr="00DA1B51" w:rsidRDefault="007153DC"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Thomas, R.J., Von </w:t>
      </w:r>
      <w:proofErr w:type="spellStart"/>
      <w:r w:rsidRPr="00DA1B51">
        <w:rPr>
          <w:rFonts w:cstheme="minorHAnsi"/>
          <w:shd w:val="clear" w:color="auto" w:fill="FFFFFF"/>
        </w:rPr>
        <w:t>Veh</w:t>
      </w:r>
      <w:proofErr w:type="spellEnd"/>
      <w:r w:rsidRPr="00DA1B51">
        <w:rPr>
          <w:rFonts w:cstheme="minorHAnsi"/>
          <w:shd w:val="clear" w:color="auto" w:fill="FFFFFF"/>
        </w:rPr>
        <w:t>, M.W. and McCourt, S., 1993. The tectonic evolution of southern Africa: an overview. </w:t>
      </w:r>
      <w:r w:rsidRPr="00DA1B51">
        <w:rPr>
          <w:rFonts w:cstheme="minorHAnsi"/>
          <w:i/>
          <w:iCs/>
          <w:shd w:val="clear" w:color="auto" w:fill="FFFFFF"/>
        </w:rPr>
        <w:t>Journal of African Earth Sciences (and the Middle East)</w:t>
      </w:r>
      <w:r w:rsidRPr="00DA1B51">
        <w:rPr>
          <w:rFonts w:cstheme="minorHAnsi"/>
          <w:shd w:val="clear" w:color="auto" w:fill="FFFFFF"/>
        </w:rPr>
        <w:t>, </w:t>
      </w:r>
      <w:r w:rsidRPr="00DA1B51">
        <w:rPr>
          <w:rFonts w:cstheme="minorHAnsi"/>
          <w:i/>
          <w:iCs/>
          <w:shd w:val="clear" w:color="auto" w:fill="FFFFFF"/>
        </w:rPr>
        <w:t>16</w:t>
      </w:r>
      <w:r w:rsidRPr="00DA1B51">
        <w:rPr>
          <w:rFonts w:cstheme="minorHAnsi"/>
          <w:shd w:val="clear" w:color="auto" w:fill="FFFFFF"/>
        </w:rPr>
        <w:t>(1-2), pp.5-24.</w:t>
      </w:r>
    </w:p>
    <w:p w14:paraId="28DBB2CF" w14:textId="77777777" w:rsidR="00E31A58" w:rsidRPr="00DA1B51" w:rsidRDefault="00E31A58" w:rsidP="009E071D">
      <w:pPr>
        <w:spacing w:after="100" w:afterAutospacing="1" w:line="360" w:lineRule="auto"/>
        <w:ind w:left="720" w:hanging="720"/>
        <w:rPr>
          <w:rFonts w:cstheme="minorHAnsi"/>
        </w:rPr>
      </w:pPr>
      <w:proofErr w:type="spellStart"/>
      <w:r w:rsidRPr="00DA1B51">
        <w:rPr>
          <w:rFonts w:cstheme="minorHAnsi"/>
          <w:shd w:val="clear" w:color="auto" w:fill="FFFFFF"/>
        </w:rPr>
        <w:t>Veevers</w:t>
      </w:r>
      <w:proofErr w:type="spellEnd"/>
      <w:r w:rsidRPr="00DA1B51">
        <w:rPr>
          <w:rFonts w:cstheme="minorHAnsi"/>
          <w:shd w:val="clear" w:color="auto" w:fill="FFFFFF"/>
        </w:rPr>
        <w:t xml:space="preserve">, J.J., 2006. Updated </w:t>
      </w:r>
      <w:proofErr w:type="spellStart"/>
      <w:r w:rsidRPr="00DA1B51">
        <w:rPr>
          <w:rFonts w:cstheme="minorHAnsi"/>
          <w:shd w:val="clear" w:color="auto" w:fill="FFFFFF"/>
        </w:rPr>
        <w:t>Gondwana</w:t>
      </w:r>
      <w:proofErr w:type="spellEnd"/>
      <w:r w:rsidRPr="00DA1B51">
        <w:rPr>
          <w:rFonts w:cstheme="minorHAnsi"/>
          <w:shd w:val="clear" w:color="auto" w:fill="FFFFFF"/>
        </w:rPr>
        <w:t xml:space="preserve"> (Permian–Cretaceous) earth history of Australia. </w:t>
      </w:r>
      <w:proofErr w:type="spellStart"/>
      <w:r w:rsidRPr="00DA1B51">
        <w:rPr>
          <w:rFonts w:cstheme="minorHAnsi"/>
          <w:i/>
          <w:iCs/>
          <w:shd w:val="clear" w:color="auto" w:fill="FFFFFF"/>
        </w:rPr>
        <w:t>Gondwana</w:t>
      </w:r>
      <w:proofErr w:type="spellEnd"/>
      <w:r w:rsidRPr="00DA1B51">
        <w:rPr>
          <w:rFonts w:cstheme="minorHAnsi"/>
          <w:i/>
          <w:iCs/>
          <w:shd w:val="clear" w:color="auto" w:fill="FFFFFF"/>
        </w:rPr>
        <w:t xml:space="preserve"> Research</w:t>
      </w:r>
      <w:r w:rsidRPr="00DA1B51">
        <w:rPr>
          <w:rFonts w:cstheme="minorHAnsi"/>
          <w:shd w:val="clear" w:color="auto" w:fill="FFFFFF"/>
        </w:rPr>
        <w:t>, </w:t>
      </w:r>
      <w:r w:rsidRPr="00DA1B51">
        <w:rPr>
          <w:rFonts w:cstheme="minorHAnsi"/>
          <w:i/>
          <w:iCs/>
          <w:shd w:val="clear" w:color="auto" w:fill="FFFFFF"/>
        </w:rPr>
        <w:t>9</w:t>
      </w:r>
      <w:r w:rsidRPr="00DA1B51">
        <w:rPr>
          <w:rFonts w:cstheme="minorHAnsi"/>
          <w:shd w:val="clear" w:color="auto" w:fill="FFFFFF"/>
        </w:rPr>
        <w:t>(3), pp.231-260.</w:t>
      </w:r>
    </w:p>
    <w:p w14:paraId="0F676646" w14:textId="77777777" w:rsidR="007E60DF" w:rsidRPr="00DA1B51" w:rsidRDefault="007E60DF" w:rsidP="009E071D">
      <w:pPr>
        <w:spacing w:after="100" w:afterAutospacing="1" w:line="360" w:lineRule="auto"/>
        <w:ind w:left="720" w:hanging="720"/>
        <w:rPr>
          <w:rFonts w:cstheme="minorHAnsi"/>
          <w:shd w:val="clear" w:color="auto" w:fill="FFFFFF"/>
        </w:rPr>
      </w:pPr>
      <w:proofErr w:type="spellStart"/>
      <w:r w:rsidRPr="00DA1B51">
        <w:rPr>
          <w:rFonts w:cstheme="minorHAnsi"/>
          <w:shd w:val="clear" w:color="auto" w:fill="FFFFFF"/>
        </w:rPr>
        <w:t>Verrall</w:t>
      </w:r>
      <w:proofErr w:type="spellEnd"/>
      <w:r w:rsidRPr="00DA1B51">
        <w:rPr>
          <w:rFonts w:cstheme="minorHAnsi"/>
          <w:shd w:val="clear" w:color="auto" w:fill="FFFFFF"/>
        </w:rPr>
        <w:t>, P., 1982. Structural interpretation with applications to North Sea problems: Geological Society of London Course Notes No 3. </w:t>
      </w:r>
      <w:r w:rsidRPr="00DA1B51">
        <w:rPr>
          <w:rFonts w:cstheme="minorHAnsi"/>
          <w:i/>
          <w:iCs/>
          <w:shd w:val="clear" w:color="auto" w:fill="FFFFFF"/>
        </w:rPr>
        <w:t>JAPEC (UK)</w:t>
      </w:r>
      <w:r w:rsidRPr="00DA1B51">
        <w:rPr>
          <w:rFonts w:cstheme="minorHAnsi"/>
          <w:shd w:val="clear" w:color="auto" w:fill="FFFFFF"/>
        </w:rPr>
        <w:t>.</w:t>
      </w:r>
    </w:p>
    <w:p w14:paraId="0CCB5251" w14:textId="77777777" w:rsidR="0096007A" w:rsidRPr="00DA1B51" w:rsidRDefault="0096007A"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Waters, C., Browne, M., Dean, M. and Powell, J., 2007. </w:t>
      </w:r>
      <w:proofErr w:type="spellStart"/>
      <w:r w:rsidRPr="00DA1B51">
        <w:rPr>
          <w:rFonts w:cstheme="minorHAnsi"/>
          <w:i/>
          <w:iCs/>
          <w:shd w:val="clear" w:color="auto" w:fill="FFFFFF"/>
        </w:rPr>
        <w:t>Lithostratigraphical</w:t>
      </w:r>
      <w:proofErr w:type="spellEnd"/>
      <w:r w:rsidRPr="00DA1B51">
        <w:rPr>
          <w:rFonts w:cstheme="minorHAnsi"/>
          <w:i/>
          <w:iCs/>
          <w:shd w:val="clear" w:color="auto" w:fill="FFFFFF"/>
        </w:rPr>
        <w:t xml:space="preserve"> framework for Carboniferous successions of Great Britain (onshore)</w:t>
      </w:r>
      <w:r w:rsidRPr="00DA1B51">
        <w:rPr>
          <w:rFonts w:cstheme="minorHAnsi"/>
          <w:shd w:val="clear" w:color="auto" w:fill="FFFFFF"/>
        </w:rPr>
        <w:t>. British Geological Survey.</w:t>
      </w:r>
    </w:p>
    <w:p w14:paraId="6F219A75" w14:textId="77777777" w:rsidR="00A113F4" w:rsidRPr="00DA1B51" w:rsidRDefault="00A113F4" w:rsidP="009E071D">
      <w:pPr>
        <w:spacing w:after="100" w:afterAutospacing="1" w:line="360" w:lineRule="auto"/>
        <w:ind w:left="720" w:hanging="720"/>
        <w:rPr>
          <w:rFonts w:cstheme="minorHAnsi"/>
        </w:rPr>
      </w:pPr>
      <w:r w:rsidRPr="00DA1B51">
        <w:rPr>
          <w:rFonts w:cstheme="minorHAnsi"/>
        </w:rPr>
        <w:lastRenderedPageBreak/>
        <w:t xml:space="preserve">Watts, A.B., Bodine, J.H. and </w:t>
      </w:r>
      <w:proofErr w:type="spellStart"/>
      <w:r w:rsidRPr="00DA1B51">
        <w:rPr>
          <w:rFonts w:cstheme="minorHAnsi"/>
        </w:rPr>
        <w:t>Steckler</w:t>
      </w:r>
      <w:proofErr w:type="spellEnd"/>
      <w:r w:rsidRPr="00DA1B51">
        <w:rPr>
          <w:rFonts w:cstheme="minorHAnsi"/>
        </w:rPr>
        <w:t xml:space="preserve">, M.S., 1980. Observations of flexure and the state of stress in the oceanic lithosphere. </w:t>
      </w:r>
      <w:r w:rsidRPr="00DA1B51">
        <w:rPr>
          <w:rFonts w:cstheme="minorHAnsi"/>
          <w:i/>
        </w:rPr>
        <w:t>Journal of Geophysical Research: Solid Earth</w:t>
      </w:r>
      <w:r w:rsidRPr="00DA1B51">
        <w:rPr>
          <w:rFonts w:cstheme="minorHAnsi"/>
        </w:rPr>
        <w:t xml:space="preserve">, </w:t>
      </w:r>
      <w:r w:rsidRPr="00DA1B51">
        <w:rPr>
          <w:rFonts w:cstheme="minorHAnsi"/>
          <w:i/>
        </w:rPr>
        <w:t>85</w:t>
      </w:r>
      <w:r w:rsidRPr="00DA1B51">
        <w:rPr>
          <w:rFonts w:cstheme="minorHAnsi"/>
        </w:rPr>
        <w:t>(B11), pp.6369-6376.</w:t>
      </w:r>
    </w:p>
    <w:p w14:paraId="772F5AB5" w14:textId="77777777" w:rsidR="001C79DB" w:rsidRPr="00DA1B51" w:rsidRDefault="001C79DB" w:rsidP="009E071D">
      <w:pPr>
        <w:spacing w:after="100" w:afterAutospacing="1" w:line="360" w:lineRule="auto"/>
        <w:ind w:left="720" w:hanging="720"/>
        <w:rPr>
          <w:rFonts w:cstheme="minorHAnsi"/>
        </w:rPr>
      </w:pPr>
      <w:r w:rsidRPr="00DA1B51">
        <w:rPr>
          <w:rFonts w:cstheme="minorHAnsi"/>
          <w:shd w:val="clear" w:color="auto" w:fill="FFFFFF"/>
        </w:rPr>
        <w:t xml:space="preserve">Watts, A.B. and </w:t>
      </w:r>
      <w:proofErr w:type="spellStart"/>
      <w:r w:rsidRPr="00DA1B51">
        <w:rPr>
          <w:rFonts w:cstheme="minorHAnsi"/>
          <w:shd w:val="clear" w:color="auto" w:fill="FFFFFF"/>
        </w:rPr>
        <w:t>Zhong</w:t>
      </w:r>
      <w:proofErr w:type="spellEnd"/>
      <w:r w:rsidRPr="00DA1B51">
        <w:rPr>
          <w:rFonts w:cstheme="minorHAnsi"/>
          <w:shd w:val="clear" w:color="auto" w:fill="FFFFFF"/>
        </w:rPr>
        <w:t>, S., 2000. Observations of flexure and the rheology of oceanic lithosphere. </w:t>
      </w:r>
      <w:r w:rsidRPr="00DA1B51">
        <w:rPr>
          <w:rFonts w:cstheme="minorHAnsi"/>
          <w:i/>
          <w:iCs/>
          <w:shd w:val="clear" w:color="auto" w:fill="FFFFFF"/>
        </w:rPr>
        <w:t>Geophysical Journal International</w:t>
      </w:r>
      <w:r w:rsidRPr="00DA1B51">
        <w:rPr>
          <w:rFonts w:cstheme="minorHAnsi"/>
          <w:shd w:val="clear" w:color="auto" w:fill="FFFFFF"/>
        </w:rPr>
        <w:t>, </w:t>
      </w:r>
      <w:r w:rsidRPr="00DA1B51">
        <w:rPr>
          <w:rFonts w:cstheme="minorHAnsi"/>
          <w:i/>
          <w:iCs/>
          <w:shd w:val="clear" w:color="auto" w:fill="FFFFFF"/>
        </w:rPr>
        <w:t>142</w:t>
      </w:r>
      <w:r w:rsidRPr="00DA1B51">
        <w:rPr>
          <w:rFonts w:cstheme="minorHAnsi"/>
          <w:shd w:val="clear" w:color="auto" w:fill="FFFFFF"/>
        </w:rPr>
        <w:t>(3), pp.855-875.</w:t>
      </w:r>
    </w:p>
    <w:p w14:paraId="6EB7DAA5" w14:textId="77777777" w:rsidR="00EE7CDE" w:rsidRPr="00DA1B51" w:rsidRDefault="00EE7CDE" w:rsidP="009E071D">
      <w:pPr>
        <w:spacing w:after="100" w:afterAutospacing="1" w:line="360" w:lineRule="auto"/>
        <w:ind w:left="720" w:hanging="720"/>
        <w:rPr>
          <w:rFonts w:cstheme="minorHAnsi"/>
        </w:rPr>
      </w:pPr>
      <w:r w:rsidRPr="00DA1B51">
        <w:rPr>
          <w:rFonts w:cstheme="minorHAnsi"/>
          <w:shd w:val="clear" w:color="auto" w:fill="FFFFFF"/>
        </w:rPr>
        <w:t>Watts, A.B., 2001. </w:t>
      </w:r>
      <w:r w:rsidRPr="00DA1B51">
        <w:rPr>
          <w:rFonts w:cstheme="minorHAnsi"/>
          <w:i/>
          <w:iCs/>
          <w:shd w:val="clear" w:color="auto" w:fill="FFFFFF"/>
        </w:rPr>
        <w:t>Isostasy and Flexure of the Lithosphere</w:t>
      </w:r>
      <w:r w:rsidRPr="00DA1B51">
        <w:rPr>
          <w:rFonts w:cstheme="minorHAnsi"/>
          <w:shd w:val="clear" w:color="auto" w:fill="FFFFFF"/>
        </w:rPr>
        <w:t>. Cambridge University Press.</w:t>
      </w:r>
    </w:p>
    <w:p w14:paraId="1E4BE6C0" w14:textId="77777777" w:rsidR="007E60DF" w:rsidRPr="00DA1B51" w:rsidRDefault="007E60DF" w:rsidP="009E071D">
      <w:pPr>
        <w:spacing w:after="100" w:afterAutospacing="1" w:line="360" w:lineRule="auto"/>
        <w:ind w:left="720" w:hanging="720"/>
        <w:rPr>
          <w:rFonts w:cstheme="minorHAnsi"/>
        </w:rPr>
      </w:pPr>
      <w:r w:rsidRPr="00DA1B51">
        <w:rPr>
          <w:rFonts w:cstheme="minorHAnsi"/>
          <w:shd w:val="clear" w:color="auto" w:fill="FFFFFF"/>
        </w:rPr>
        <w:t>White, N.J., Jackson, J.A. and McKenzie, D.P., 1986. The relationship between the geometry of normal faults and that of the sedimentary layers in their hanging walls. </w:t>
      </w:r>
      <w:r w:rsidRPr="00DA1B51">
        <w:rPr>
          <w:rFonts w:cstheme="minorHAnsi"/>
          <w:i/>
          <w:iCs/>
          <w:shd w:val="clear" w:color="auto" w:fill="FFFFFF"/>
        </w:rPr>
        <w:t>Journal of Structural Geology</w:t>
      </w:r>
      <w:r w:rsidRPr="00DA1B51">
        <w:rPr>
          <w:rFonts w:cstheme="minorHAnsi"/>
          <w:shd w:val="clear" w:color="auto" w:fill="FFFFFF"/>
        </w:rPr>
        <w:t>, </w:t>
      </w:r>
      <w:r w:rsidRPr="00DA1B51">
        <w:rPr>
          <w:rFonts w:cstheme="minorHAnsi"/>
          <w:i/>
          <w:iCs/>
          <w:shd w:val="clear" w:color="auto" w:fill="FFFFFF"/>
        </w:rPr>
        <w:t>8</w:t>
      </w:r>
      <w:r w:rsidRPr="00DA1B51">
        <w:rPr>
          <w:rFonts w:cstheme="minorHAnsi"/>
          <w:shd w:val="clear" w:color="auto" w:fill="FFFFFF"/>
        </w:rPr>
        <w:t>(8), pp.897-909.</w:t>
      </w:r>
    </w:p>
    <w:p w14:paraId="60E0227F" w14:textId="77777777" w:rsidR="001C79DB" w:rsidRPr="00DA1B51" w:rsidRDefault="001C79DB" w:rsidP="009E071D">
      <w:pPr>
        <w:spacing w:after="100" w:afterAutospacing="1" w:line="360" w:lineRule="auto"/>
        <w:ind w:left="720" w:hanging="720"/>
        <w:rPr>
          <w:rFonts w:cstheme="minorHAnsi"/>
          <w:shd w:val="clear" w:color="auto" w:fill="FFFFFF"/>
        </w:rPr>
      </w:pPr>
      <w:r w:rsidRPr="00DA1B51">
        <w:rPr>
          <w:rFonts w:cstheme="minorHAnsi"/>
          <w:shd w:val="clear" w:color="auto" w:fill="FFFFFF"/>
        </w:rPr>
        <w:t xml:space="preserve">Ziegler, P.A., </w:t>
      </w:r>
      <w:proofErr w:type="spellStart"/>
      <w:r w:rsidRPr="00DA1B51">
        <w:rPr>
          <w:rFonts w:cstheme="minorHAnsi"/>
          <w:shd w:val="clear" w:color="auto" w:fill="FFFFFF"/>
        </w:rPr>
        <w:t>Cloetingh</w:t>
      </w:r>
      <w:proofErr w:type="spellEnd"/>
      <w:r w:rsidRPr="00DA1B51">
        <w:rPr>
          <w:rFonts w:cstheme="minorHAnsi"/>
          <w:shd w:val="clear" w:color="auto" w:fill="FFFFFF"/>
        </w:rPr>
        <w:t>, S. and van Wees, J.D., 1995. Dynamics of intra-plate compressional deformation: the Alpine foreland and other examples. </w:t>
      </w:r>
      <w:r w:rsidRPr="00DA1B51">
        <w:rPr>
          <w:rFonts w:cstheme="minorHAnsi"/>
          <w:i/>
          <w:iCs/>
          <w:shd w:val="clear" w:color="auto" w:fill="FFFFFF"/>
        </w:rPr>
        <w:t>Tectonophysics</w:t>
      </w:r>
      <w:r w:rsidRPr="00DA1B51">
        <w:rPr>
          <w:rFonts w:cstheme="minorHAnsi"/>
          <w:shd w:val="clear" w:color="auto" w:fill="FFFFFF"/>
        </w:rPr>
        <w:t>, </w:t>
      </w:r>
      <w:r w:rsidRPr="00DA1B51">
        <w:rPr>
          <w:rFonts w:cstheme="minorHAnsi"/>
          <w:i/>
          <w:iCs/>
          <w:shd w:val="clear" w:color="auto" w:fill="FFFFFF"/>
        </w:rPr>
        <w:t>252</w:t>
      </w:r>
      <w:r w:rsidRPr="00DA1B51">
        <w:rPr>
          <w:rFonts w:cstheme="minorHAnsi"/>
          <w:shd w:val="clear" w:color="auto" w:fill="FFFFFF"/>
        </w:rPr>
        <w:t>(1-4), pp.7-59.</w:t>
      </w:r>
    </w:p>
    <w:p w14:paraId="11985EAC" w14:textId="77777777" w:rsidR="005F37BB" w:rsidRPr="00DA1B51" w:rsidRDefault="005F37BB" w:rsidP="009E071D">
      <w:pPr>
        <w:spacing w:after="100" w:afterAutospacing="1" w:line="360" w:lineRule="auto"/>
        <w:ind w:left="720" w:hanging="720"/>
        <w:rPr>
          <w:rFonts w:cstheme="minorHAnsi"/>
        </w:rPr>
      </w:pPr>
      <w:proofErr w:type="spellStart"/>
      <w:r w:rsidRPr="00DA1B51">
        <w:rPr>
          <w:rFonts w:cstheme="minorHAnsi"/>
          <w:shd w:val="clear" w:color="auto" w:fill="FFFFFF"/>
        </w:rPr>
        <w:t>Zoback</w:t>
      </w:r>
      <w:proofErr w:type="spellEnd"/>
      <w:r w:rsidRPr="00DA1B51">
        <w:rPr>
          <w:rFonts w:cstheme="minorHAnsi"/>
          <w:shd w:val="clear" w:color="auto" w:fill="FFFFFF"/>
        </w:rPr>
        <w:t>, M.L., 1992. First‐and second‐order patterns of stress in the lithosphere: The World Stress Map Project. </w:t>
      </w:r>
      <w:r w:rsidRPr="00DA1B51">
        <w:rPr>
          <w:rFonts w:cstheme="minorHAnsi"/>
          <w:i/>
          <w:iCs/>
          <w:shd w:val="clear" w:color="auto" w:fill="FFFFFF"/>
        </w:rPr>
        <w:t>Journal of Geophysical Research: Solid Earth</w:t>
      </w:r>
      <w:r w:rsidRPr="00DA1B51">
        <w:rPr>
          <w:rFonts w:cstheme="minorHAnsi"/>
          <w:shd w:val="clear" w:color="auto" w:fill="FFFFFF"/>
        </w:rPr>
        <w:t>, </w:t>
      </w:r>
      <w:r w:rsidRPr="00DA1B51">
        <w:rPr>
          <w:rFonts w:cstheme="minorHAnsi"/>
          <w:i/>
          <w:iCs/>
          <w:shd w:val="clear" w:color="auto" w:fill="FFFFFF"/>
        </w:rPr>
        <w:t>97</w:t>
      </w:r>
      <w:r w:rsidRPr="00DA1B51">
        <w:rPr>
          <w:rFonts w:cstheme="minorHAnsi"/>
          <w:shd w:val="clear" w:color="auto" w:fill="FFFFFF"/>
        </w:rPr>
        <w:t>(B8), pp.11703-11728.</w:t>
      </w:r>
    </w:p>
    <w:sectPr w:rsidR="005F37BB" w:rsidRPr="00DA1B51" w:rsidSect="0075029C">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E0CE3" w16cid:durableId="2000189C"/>
  <w16cid:commentId w16cid:paraId="51EB1C65" w16cid:durableId="1FFFF3F7"/>
  <w16cid:commentId w16cid:paraId="00F062B7" w16cid:durableId="20001C2E"/>
  <w16cid:commentId w16cid:paraId="08A4390F" w16cid:durableId="1FFFF3F8"/>
  <w16cid:commentId w16cid:paraId="3805663A" w16cid:durableId="1FFFF3F9"/>
  <w16cid:commentId w16cid:paraId="371E6814" w16cid:durableId="1FFFF3FA"/>
  <w16cid:commentId w16cid:paraId="0829E2CE" w16cid:durableId="1FFFF3FB"/>
  <w16cid:commentId w16cid:paraId="2C104C67" w16cid:durableId="1FFFF3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3862F" w14:textId="77777777" w:rsidR="0072000C" w:rsidRDefault="0072000C" w:rsidP="00F004E1">
      <w:pPr>
        <w:spacing w:after="0" w:line="240" w:lineRule="auto"/>
      </w:pPr>
      <w:r>
        <w:separator/>
      </w:r>
    </w:p>
  </w:endnote>
  <w:endnote w:type="continuationSeparator" w:id="0">
    <w:p w14:paraId="495A3334" w14:textId="77777777" w:rsidR="0072000C" w:rsidRDefault="0072000C" w:rsidP="00F00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81646"/>
      <w:docPartObj>
        <w:docPartGallery w:val="Page Numbers (Bottom of Page)"/>
        <w:docPartUnique/>
      </w:docPartObj>
    </w:sdtPr>
    <w:sdtEndPr>
      <w:rPr>
        <w:color w:val="7F7F7F" w:themeColor="background1" w:themeShade="7F"/>
        <w:spacing w:val="60"/>
      </w:rPr>
    </w:sdtEndPr>
    <w:sdtContent>
      <w:p w14:paraId="288BDD6E" w14:textId="6426573C" w:rsidR="0072000C" w:rsidRDefault="0072000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27D3D" w:rsidRPr="00E27D3D">
          <w:rPr>
            <w:b/>
            <w:bCs/>
            <w:noProof/>
          </w:rPr>
          <w:t>24</w:t>
        </w:r>
        <w:r>
          <w:rPr>
            <w:b/>
            <w:bCs/>
            <w:noProof/>
          </w:rPr>
          <w:fldChar w:fldCharType="end"/>
        </w:r>
        <w:r>
          <w:rPr>
            <w:b/>
            <w:bCs/>
          </w:rPr>
          <w:t xml:space="preserve"> | </w:t>
        </w:r>
        <w:r>
          <w:rPr>
            <w:color w:val="7F7F7F" w:themeColor="background1" w:themeShade="7F"/>
            <w:spacing w:val="60"/>
          </w:rPr>
          <w:t>Page</w:t>
        </w:r>
      </w:p>
    </w:sdtContent>
  </w:sdt>
  <w:p w14:paraId="18BA9CA1" w14:textId="77777777" w:rsidR="0072000C" w:rsidRDefault="00720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D5450" w14:textId="77777777" w:rsidR="0072000C" w:rsidRDefault="0072000C" w:rsidP="00F004E1">
      <w:pPr>
        <w:spacing w:after="0" w:line="240" w:lineRule="auto"/>
      </w:pPr>
      <w:r>
        <w:separator/>
      </w:r>
    </w:p>
  </w:footnote>
  <w:footnote w:type="continuationSeparator" w:id="0">
    <w:p w14:paraId="16212CEB" w14:textId="77777777" w:rsidR="0072000C" w:rsidRDefault="0072000C" w:rsidP="00F004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5FF7"/>
    <w:multiLevelType w:val="hybridMultilevel"/>
    <w:tmpl w:val="ADC60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C181D"/>
    <w:multiLevelType w:val="hybridMultilevel"/>
    <w:tmpl w:val="94506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B51DD"/>
    <w:multiLevelType w:val="hybridMultilevel"/>
    <w:tmpl w:val="B400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142E93"/>
    <w:multiLevelType w:val="hybridMultilevel"/>
    <w:tmpl w:val="DC74D6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2C660533"/>
    <w:multiLevelType w:val="hybridMultilevel"/>
    <w:tmpl w:val="5FC6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B5022"/>
    <w:multiLevelType w:val="multilevel"/>
    <w:tmpl w:val="D722C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0C2DE3"/>
    <w:multiLevelType w:val="hybridMultilevel"/>
    <w:tmpl w:val="1366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F775BE"/>
    <w:multiLevelType w:val="hybridMultilevel"/>
    <w:tmpl w:val="7764BE1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2F8F2CFD"/>
    <w:multiLevelType w:val="hybridMultilevel"/>
    <w:tmpl w:val="415A8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A23F63"/>
    <w:multiLevelType w:val="hybridMultilevel"/>
    <w:tmpl w:val="DD3A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83969"/>
    <w:multiLevelType w:val="multilevel"/>
    <w:tmpl w:val="8348C5A4"/>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38D6311A"/>
    <w:multiLevelType w:val="hybridMultilevel"/>
    <w:tmpl w:val="C292E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687DF0"/>
    <w:multiLevelType w:val="hybridMultilevel"/>
    <w:tmpl w:val="E33C2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2308A4"/>
    <w:multiLevelType w:val="hybridMultilevel"/>
    <w:tmpl w:val="3288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FD374C"/>
    <w:multiLevelType w:val="hybridMultilevel"/>
    <w:tmpl w:val="3AC04F6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5" w15:restartNumberingAfterBreak="0">
    <w:nsid w:val="4C702AEC"/>
    <w:multiLevelType w:val="hybridMultilevel"/>
    <w:tmpl w:val="923C9B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EB94CEE"/>
    <w:multiLevelType w:val="hybridMultilevel"/>
    <w:tmpl w:val="196A3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BF4AD7"/>
    <w:multiLevelType w:val="hybridMultilevel"/>
    <w:tmpl w:val="C4DE1F8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5AAA705F"/>
    <w:multiLevelType w:val="hybridMultilevel"/>
    <w:tmpl w:val="8C5C24D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9" w15:restartNumberingAfterBreak="0">
    <w:nsid w:val="61A25D68"/>
    <w:multiLevelType w:val="hybridMultilevel"/>
    <w:tmpl w:val="65783CEA"/>
    <w:lvl w:ilvl="0" w:tplc="7C3EDCE8">
      <w:start w:val="3"/>
      <w:numFmt w:val="bullet"/>
      <w:lvlText w:val="-"/>
      <w:lvlJc w:val="left"/>
      <w:pPr>
        <w:ind w:left="720" w:hanging="360"/>
      </w:pPr>
      <w:rPr>
        <w:rFonts w:ascii="Calibri Light" w:eastAsiaTheme="majorEastAsia" w:hAnsi="Calibri Light"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9364EA"/>
    <w:multiLevelType w:val="hybridMultilevel"/>
    <w:tmpl w:val="5478D0F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15:restartNumberingAfterBreak="0">
    <w:nsid w:val="74040BE9"/>
    <w:multiLevelType w:val="hybridMultilevel"/>
    <w:tmpl w:val="DBB8D3E0"/>
    <w:lvl w:ilvl="0" w:tplc="A616420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560BCB"/>
    <w:multiLevelType w:val="hybridMultilevel"/>
    <w:tmpl w:val="3DE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4"/>
  </w:num>
  <w:num w:numId="5">
    <w:abstractNumId w:val="0"/>
  </w:num>
  <w:num w:numId="6">
    <w:abstractNumId w:val="2"/>
  </w:num>
  <w:num w:numId="7">
    <w:abstractNumId w:val="22"/>
  </w:num>
  <w:num w:numId="8">
    <w:abstractNumId w:val="1"/>
  </w:num>
  <w:num w:numId="9">
    <w:abstractNumId w:val="10"/>
  </w:num>
  <w:num w:numId="10">
    <w:abstractNumId w:val="8"/>
  </w:num>
  <w:num w:numId="11">
    <w:abstractNumId w:val="7"/>
  </w:num>
  <w:num w:numId="12">
    <w:abstractNumId w:val="20"/>
  </w:num>
  <w:num w:numId="13">
    <w:abstractNumId w:val="18"/>
  </w:num>
  <w:num w:numId="14">
    <w:abstractNumId w:val="19"/>
  </w:num>
  <w:num w:numId="15">
    <w:abstractNumId w:val="21"/>
  </w:num>
  <w:num w:numId="16">
    <w:abstractNumId w:val="14"/>
  </w:num>
  <w:num w:numId="17">
    <w:abstractNumId w:val="16"/>
  </w:num>
  <w:num w:numId="18">
    <w:abstractNumId w:val="15"/>
  </w:num>
  <w:num w:numId="19">
    <w:abstractNumId w:val="17"/>
  </w:num>
  <w:num w:numId="20">
    <w:abstractNumId w:val="3"/>
  </w:num>
  <w:num w:numId="21">
    <w:abstractNumId w:val="13"/>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0E"/>
    <w:rsid w:val="000012CB"/>
    <w:rsid w:val="0000380A"/>
    <w:rsid w:val="0001798A"/>
    <w:rsid w:val="00020A1B"/>
    <w:rsid w:val="0002221E"/>
    <w:rsid w:val="00025E4E"/>
    <w:rsid w:val="00027307"/>
    <w:rsid w:val="000301D5"/>
    <w:rsid w:val="00032612"/>
    <w:rsid w:val="000327C1"/>
    <w:rsid w:val="00032C00"/>
    <w:rsid w:val="000338EE"/>
    <w:rsid w:val="00035D8B"/>
    <w:rsid w:val="00037224"/>
    <w:rsid w:val="00040CF4"/>
    <w:rsid w:val="00041937"/>
    <w:rsid w:val="00042FDC"/>
    <w:rsid w:val="0004327A"/>
    <w:rsid w:val="00047A32"/>
    <w:rsid w:val="00053125"/>
    <w:rsid w:val="00054429"/>
    <w:rsid w:val="00055C73"/>
    <w:rsid w:val="00060115"/>
    <w:rsid w:val="00060A77"/>
    <w:rsid w:val="00060CBE"/>
    <w:rsid w:val="00061161"/>
    <w:rsid w:val="000637B4"/>
    <w:rsid w:val="0006395A"/>
    <w:rsid w:val="000641EF"/>
    <w:rsid w:val="00067009"/>
    <w:rsid w:val="000710A2"/>
    <w:rsid w:val="00073A05"/>
    <w:rsid w:val="00073D5A"/>
    <w:rsid w:val="00075CD0"/>
    <w:rsid w:val="00076615"/>
    <w:rsid w:val="00077EA5"/>
    <w:rsid w:val="00084DEF"/>
    <w:rsid w:val="00090603"/>
    <w:rsid w:val="00093880"/>
    <w:rsid w:val="0009477B"/>
    <w:rsid w:val="00094CF7"/>
    <w:rsid w:val="00096760"/>
    <w:rsid w:val="000A1EC6"/>
    <w:rsid w:val="000A2D75"/>
    <w:rsid w:val="000A2F12"/>
    <w:rsid w:val="000B25CA"/>
    <w:rsid w:val="000B30BD"/>
    <w:rsid w:val="000B372A"/>
    <w:rsid w:val="000B4683"/>
    <w:rsid w:val="000B5796"/>
    <w:rsid w:val="000C1631"/>
    <w:rsid w:val="000C552F"/>
    <w:rsid w:val="000C5E92"/>
    <w:rsid w:val="000D13E1"/>
    <w:rsid w:val="000D26A9"/>
    <w:rsid w:val="000D6A28"/>
    <w:rsid w:val="000F0E2B"/>
    <w:rsid w:val="000F0E4F"/>
    <w:rsid w:val="000F3012"/>
    <w:rsid w:val="000F33E4"/>
    <w:rsid w:val="000F36EA"/>
    <w:rsid w:val="000F3D76"/>
    <w:rsid w:val="000F4EDD"/>
    <w:rsid w:val="000F6759"/>
    <w:rsid w:val="000F6AAE"/>
    <w:rsid w:val="001010A2"/>
    <w:rsid w:val="00104C15"/>
    <w:rsid w:val="00105AE4"/>
    <w:rsid w:val="001117D4"/>
    <w:rsid w:val="0011387E"/>
    <w:rsid w:val="00114EA9"/>
    <w:rsid w:val="00117584"/>
    <w:rsid w:val="00117D1D"/>
    <w:rsid w:val="00122F3B"/>
    <w:rsid w:val="0012527B"/>
    <w:rsid w:val="00125E8D"/>
    <w:rsid w:val="00127E98"/>
    <w:rsid w:val="00130E1A"/>
    <w:rsid w:val="001314D4"/>
    <w:rsid w:val="0013405D"/>
    <w:rsid w:val="001348B0"/>
    <w:rsid w:val="00136634"/>
    <w:rsid w:val="0014091E"/>
    <w:rsid w:val="001413FF"/>
    <w:rsid w:val="001419DD"/>
    <w:rsid w:val="00144EA9"/>
    <w:rsid w:val="001514DF"/>
    <w:rsid w:val="00151BD4"/>
    <w:rsid w:val="00151E5C"/>
    <w:rsid w:val="00153DB9"/>
    <w:rsid w:val="0015429C"/>
    <w:rsid w:val="00154563"/>
    <w:rsid w:val="00154DD1"/>
    <w:rsid w:val="00157624"/>
    <w:rsid w:val="001602B7"/>
    <w:rsid w:val="001605C7"/>
    <w:rsid w:val="001640BD"/>
    <w:rsid w:val="001740B8"/>
    <w:rsid w:val="0017458B"/>
    <w:rsid w:val="00180641"/>
    <w:rsid w:val="00182431"/>
    <w:rsid w:val="00184004"/>
    <w:rsid w:val="00190DA3"/>
    <w:rsid w:val="001915D5"/>
    <w:rsid w:val="001936B5"/>
    <w:rsid w:val="00195AF1"/>
    <w:rsid w:val="00196C0E"/>
    <w:rsid w:val="001A2180"/>
    <w:rsid w:val="001A4192"/>
    <w:rsid w:val="001A4447"/>
    <w:rsid w:val="001A67FF"/>
    <w:rsid w:val="001B044C"/>
    <w:rsid w:val="001B3528"/>
    <w:rsid w:val="001B37C8"/>
    <w:rsid w:val="001B444D"/>
    <w:rsid w:val="001C14BC"/>
    <w:rsid w:val="001C2AC3"/>
    <w:rsid w:val="001C30FE"/>
    <w:rsid w:val="001C5483"/>
    <w:rsid w:val="001C5803"/>
    <w:rsid w:val="001C79DB"/>
    <w:rsid w:val="001D1723"/>
    <w:rsid w:val="001D3731"/>
    <w:rsid w:val="001D701C"/>
    <w:rsid w:val="001D7CAD"/>
    <w:rsid w:val="001E01EF"/>
    <w:rsid w:val="001E08E1"/>
    <w:rsid w:val="001E3C40"/>
    <w:rsid w:val="001E60E1"/>
    <w:rsid w:val="001E64C7"/>
    <w:rsid w:val="001E69DF"/>
    <w:rsid w:val="001F14D6"/>
    <w:rsid w:val="001F1C2B"/>
    <w:rsid w:val="001F22C3"/>
    <w:rsid w:val="001F4F6D"/>
    <w:rsid w:val="001F5F44"/>
    <w:rsid w:val="001F62D1"/>
    <w:rsid w:val="002000F7"/>
    <w:rsid w:val="00201B69"/>
    <w:rsid w:val="00205C72"/>
    <w:rsid w:val="00205D3D"/>
    <w:rsid w:val="00213B9B"/>
    <w:rsid w:val="00213C61"/>
    <w:rsid w:val="00216B74"/>
    <w:rsid w:val="0022105B"/>
    <w:rsid w:val="00232165"/>
    <w:rsid w:val="00232767"/>
    <w:rsid w:val="00237B93"/>
    <w:rsid w:val="002477FA"/>
    <w:rsid w:val="0025080B"/>
    <w:rsid w:val="00251490"/>
    <w:rsid w:val="00257A4A"/>
    <w:rsid w:val="00264956"/>
    <w:rsid w:val="002650F0"/>
    <w:rsid w:val="00273B8A"/>
    <w:rsid w:val="00276F56"/>
    <w:rsid w:val="00280C2B"/>
    <w:rsid w:val="00282179"/>
    <w:rsid w:val="00283732"/>
    <w:rsid w:val="0028441E"/>
    <w:rsid w:val="002848CC"/>
    <w:rsid w:val="00284981"/>
    <w:rsid w:val="00285E29"/>
    <w:rsid w:val="00291B29"/>
    <w:rsid w:val="002926FE"/>
    <w:rsid w:val="002A0D89"/>
    <w:rsid w:val="002A1039"/>
    <w:rsid w:val="002A1E5A"/>
    <w:rsid w:val="002A36FA"/>
    <w:rsid w:val="002A7F07"/>
    <w:rsid w:val="002B14A9"/>
    <w:rsid w:val="002B1A19"/>
    <w:rsid w:val="002B2217"/>
    <w:rsid w:val="002B343B"/>
    <w:rsid w:val="002B666F"/>
    <w:rsid w:val="002C1F9B"/>
    <w:rsid w:val="002C387C"/>
    <w:rsid w:val="002C4078"/>
    <w:rsid w:val="002C7FBB"/>
    <w:rsid w:val="002D1A72"/>
    <w:rsid w:val="002D3551"/>
    <w:rsid w:val="002D355C"/>
    <w:rsid w:val="002D63EE"/>
    <w:rsid w:val="002E2D7F"/>
    <w:rsid w:val="002E3896"/>
    <w:rsid w:val="002E4CED"/>
    <w:rsid w:val="002E4E73"/>
    <w:rsid w:val="002E5330"/>
    <w:rsid w:val="002E5CEF"/>
    <w:rsid w:val="002E7FA9"/>
    <w:rsid w:val="002F44AD"/>
    <w:rsid w:val="002F7616"/>
    <w:rsid w:val="003020EB"/>
    <w:rsid w:val="00303F8B"/>
    <w:rsid w:val="00305457"/>
    <w:rsid w:val="0030773E"/>
    <w:rsid w:val="003165CB"/>
    <w:rsid w:val="00316B08"/>
    <w:rsid w:val="003211A5"/>
    <w:rsid w:val="0032230B"/>
    <w:rsid w:val="003233E9"/>
    <w:rsid w:val="00324D0C"/>
    <w:rsid w:val="00325323"/>
    <w:rsid w:val="00325768"/>
    <w:rsid w:val="003306CD"/>
    <w:rsid w:val="00331469"/>
    <w:rsid w:val="00331E2A"/>
    <w:rsid w:val="003338F9"/>
    <w:rsid w:val="0033430E"/>
    <w:rsid w:val="00336372"/>
    <w:rsid w:val="00336E93"/>
    <w:rsid w:val="00342AA6"/>
    <w:rsid w:val="00345000"/>
    <w:rsid w:val="003463B0"/>
    <w:rsid w:val="00351D94"/>
    <w:rsid w:val="00353092"/>
    <w:rsid w:val="00362F30"/>
    <w:rsid w:val="0036753F"/>
    <w:rsid w:val="00367793"/>
    <w:rsid w:val="00385557"/>
    <w:rsid w:val="0038652D"/>
    <w:rsid w:val="00387D80"/>
    <w:rsid w:val="00393169"/>
    <w:rsid w:val="003949A0"/>
    <w:rsid w:val="00396BD5"/>
    <w:rsid w:val="003A2B1C"/>
    <w:rsid w:val="003A3682"/>
    <w:rsid w:val="003A54E6"/>
    <w:rsid w:val="003B2D81"/>
    <w:rsid w:val="003B5EA3"/>
    <w:rsid w:val="003C0D3F"/>
    <w:rsid w:val="003C157D"/>
    <w:rsid w:val="003C5312"/>
    <w:rsid w:val="003C6275"/>
    <w:rsid w:val="003C690F"/>
    <w:rsid w:val="003C6EF6"/>
    <w:rsid w:val="003C7CEC"/>
    <w:rsid w:val="003D038F"/>
    <w:rsid w:val="003D25B0"/>
    <w:rsid w:val="003E2009"/>
    <w:rsid w:val="003E2FC1"/>
    <w:rsid w:val="003E59D2"/>
    <w:rsid w:val="003E69E5"/>
    <w:rsid w:val="003F5AAD"/>
    <w:rsid w:val="003F5E89"/>
    <w:rsid w:val="003F6929"/>
    <w:rsid w:val="003F6FED"/>
    <w:rsid w:val="003F776B"/>
    <w:rsid w:val="00400D07"/>
    <w:rsid w:val="00402FAB"/>
    <w:rsid w:val="004043A5"/>
    <w:rsid w:val="004119E5"/>
    <w:rsid w:val="00412C3A"/>
    <w:rsid w:val="00413052"/>
    <w:rsid w:val="00414294"/>
    <w:rsid w:val="00423127"/>
    <w:rsid w:val="00423506"/>
    <w:rsid w:val="0042400F"/>
    <w:rsid w:val="004302D5"/>
    <w:rsid w:val="0043064E"/>
    <w:rsid w:val="004315E8"/>
    <w:rsid w:val="0043363C"/>
    <w:rsid w:val="00434821"/>
    <w:rsid w:val="00434FCA"/>
    <w:rsid w:val="004350B8"/>
    <w:rsid w:val="00435412"/>
    <w:rsid w:val="00436F63"/>
    <w:rsid w:val="00442E94"/>
    <w:rsid w:val="0044454D"/>
    <w:rsid w:val="004463BE"/>
    <w:rsid w:val="00450A87"/>
    <w:rsid w:val="00452372"/>
    <w:rsid w:val="0045284C"/>
    <w:rsid w:val="00452C64"/>
    <w:rsid w:val="004568F1"/>
    <w:rsid w:val="004572CC"/>
    <w:rsid w:val="00462657"/>
    <w:rsid w:val="00462BB0"/>
    <w:rsid w:val="0046525D"/>
    <w:rsid w:val="00467289"/>
    <w:rsid w:val="004713C5"/>
    <w:rsid w:val="004717DA"/>
    <w:rsid w:val="00472463"/>
    <w:rsid w:val="00473125"/>
    <w:rsid w:val="00476446"/>
    <w:rsid w:val="004764EE"/>
    <w:rsid w:val="00477025"/>
    <w:rsid w:val="00477177"/>
    <w:rsid w:val="00480C32"/>
    <w:rsid w:val="00482C84"/>
    <w:rsid w:val="004841DF"/>
    <w:rsid w:val="00485B3D"/>
    <w:rsid w:val="004901C1"/>
    <w:rsid w:val="004906EA"/>
    <w:rsid w:val="004921C1"/>
    <w:rsid w:val="004922A3"/>
    <w:rsid w:val="0049322B"/>
    <w:rsid w:val="0049593C"/>
    <w:rsid w:val="0049606E"/>
    <w:rsid w:val="00496BF2"/>
    <w:rsid w:val="004A1959"/>
    <w:rsid w:val="004A3650"/>
    <w:rsid w:val="004A61B6"/>
    <w:rsid w:val="004A6E5B"/>
    <w:rsid w:val="004A709C"/>
    <w:rsid w:val="004B0070"/>
    <w:rsid w:val="004B0447"/>
    <w:rsid w:val="004B257D"/>
    <w:rsid w:val="004B5D02"/>
    <w:rsid w:val="004C12CA"/>
    <w:rsid w:val="004C2107"/>
    <w:rsid w:val="004C479F"/>
    <w:rsid w:val="004C5571"/>
    <w:rsid w:val="004C63BB"/>
    <w:rsid w:val="004D25F2"/>
    <w:rsid w:val="004D2973"/>
    <w:rsid w:val="004D73B4"/>
    <w:rsid w:val="004E0F99"/>
    <w:rsid w:val="004E48B2"/>
    <w:rsid w:val="004E5BC9"/>
    <w:rsid w:val="004E711D"/>
    <w:rsid w:val="004F0EEC"/>
    <w:rsid w:val="004F1065"/>
    <w:rsid w:val="004F3D34"/>
    <w:rsid w:val="004F4639"/>
    <w:rsid w:val="004F5FC9"/>
    <w:rsid w:val="004F7476"/>
    <w:rsid w:val="004F7F45"/>
    <w:rsid w:val="00501B4B"/>
    <w:rsid w:val="005039F4"/>
    <w:rsid w:val="005153FC"/>
    <w:rsid w:val="005155A3"/>
    <w:rsid w:val="00515C7D"/>
    <w:rsid w:val="00516776"/>
    <w:rsid w:val="005238BE"/>
    <w:rsid w:val="00523C96"/>
    <w:rsid w:val="005246C0"/>
    <w:rsid w:val="00532E64"/>
    <w:rsid w:val="005338D1"/>
    <w:rsid w:val="00534413"/>
    <w:rsid w:val="00534BE5"/>
    <w:rsid w:val="0053649D"/>
    <w:rsid w:val="00537069"/>
    <w:rsid w:val="0054169B"/>
    <w:rsid w:val="00546413"/>
    <w:rsid w:val="005476B2"/>
    <w:rsid w:val="00550CAE"/>
    <w:rsid w:val="00551DA0"/>
    <w:rsid w:val="005526E7"/>
    <w:rsid w:val="00553B4F"/>
    <w:rsid w:val="00554BF2"/>
    <w:rsid w:val="005612AF"/>
    <w:rsid w:val="00564257"/>
    <w:rsid w:val="00565A8B"/>
    <w:rsid w:val="00566CC0"/>
    <w:rsid w:val="005720FD"/>
    <w:rsid w:val="00572773"/>
    <w:rsid w:val="0057314B"/>
    <w:rsid w:val="00580393"/>
    <w:rsid w:val="00583886"/>
    <w:rsid w:val="005979A7"/>
    <w:rsid w:val="005A01EE"/>
    <w:rsid w:val="005A2AAB"/>
    <w:rsid w:val="005A552C"/>
    <w:rsid w:val="005A69C9"/>
    <w:rsid w:val="005B0C0D"/>
    <w:rsid w:val="005B1395"/>
    <w:rsid w:val="005B226B"/>
    <w:rsid w:val="005B30FE"/>
    <w:rsid w:val="005B388B"/>
    <w:rsid w:val="005B5F04"/>
    <w:rsid w:val="005B744D"/>
    <w:rsid w:val="005C0FE7"/>
    <w:rsid w:val="005C196B"/>
    <w:rsid w:val="005C341E"/>
    <w:rsid w:val="005C4A81"/>
    <w:rsid w:val="005C53C4"/>
    <w:rsid w:val="005C566F"/>
    <w:rsid w:val="005D1567"/>
    <w:rsid w:val="005D1D32"/>
    <w:rsid w:val="005D2B55"/>
    <w:rsid w:val="005D318F"/>
    <w:rsid w:val="005D475D"/>
    <w:rsid w:val="005E03D8"/>
    <w:rsid w:val="005E2F30"/>
    <w:rsid w:val="005E3837"/>
    <w:rsid w:val="005E639D"/>
    <w:rsid w:val="005F0D2C"/>
    <w:rsid w:val="005F1A43"/>
    <w:rsid w:val="005F37BB"/>
    <w:rsid w:val="005F4058"/>
    <w:rsid w:val="005F7E96"/>
    <w:rsid w:val="006013DB"/>
    <w:rsid w:val="00602AD2"/>
    <w:rsid w:val="006078BC"/>
    <w:rsid w:val="00614A88"/>
    <w:rsid w:val="00616694"/>
    <w:rsid w:val="006171A1"/>
    <w:rsid w:val="00617761"/>
    <w:rsid w:val="006224FE"/>
    <w:rsid w:val="0062491E"/>
    <w:rsid w:val="00626838"/>
    <w:rsid w:val="00627C7E"/>
    <w:rsid w:val="006307E2"/>
    <w:rsid w:val="006308CA"/>
    <w:rsid w:val="006315F9"/>
    <w:rsid w:val="00635455"/>
    <w:rsid w:val="00636864"/>
    <w:rsid w:val="006376E1"/>
    <w:rsid w:val="00641C65"/>
    <w:rsid w:val="00644636"/>
    <w:rsid w:val="006476A8"/>
    <w:rsid w:val="006478E9"/>
    <w:rsid w:val="00650921"/>
    <w:rsid w:val="00654693"/>
    <w:rsid w:val="00657E8F"/>
    <w:rsid w:val="0066656A"/>
    <w:rsid w:val="00666F14"/>
    <w:rsid w:val="00670C59"/>
    <w:rsid w:val="00672190"/>
    <w:rsid w:val="00672F2E"/>
    <w:rsid w:val="00676784"/>
    <w:rsid w:val="00680274"/>
    <w:rsid w:val="00682319"/>
    <w:rsid w:val="00685CAE"/>
    <w:rsid w:val="00685FF4"/>
    <w:rsid w:val="00686E58"/>
    <w:rsid w:val="0068751B"/>
    <w:rsid w:val="006876AB"/>
    <w:rsid w:val="00690AF1"/>
    <w:rsid w:val="0069136D"/>
    <w:rsid w:val="00691752"/>
    <w:rsid w:val="006918ED"/>
    <w:rsid w:val="0069329B"/>
    <w:rsid w:val="00695AAE"/>
    <w:rsid w:val="006A23B4"/>
    <w:rsid w:val="006A4A84"/>
    <w:rsid w:val="006A4D76"/>
    <w:rsid w:val="006A6340"/>
    <w:rsid w:val="006B1BB4"/>
    <w:rsid w:val="006B26D1"/>
    <w:rsid w:val="006B2EE0"/>
    <w:rsid w:val="006B2F58"/>
    <w:rsid w:val="006B3F59"/>
    <w:rsid w:val="006B6D88"/>
    <w:rsid w:val="006C6912"/>
    <w:rsid w:val="006E1D89"/>
    <w:rsid w:val="006E3466"/>
    <w:rsid w:val="006E41CC"/>
    <w:rsid w:val="006E474C"/>
    <w:rsid w:val="006E54EF"/>
    <w:rsid w:val="006F2853"/>
    <w:rsid w:val="006F2F5D"/>
    <w:rsid w:val="006F4974"/>
    <w:rsid w:val="006F4E53"/>
    <w:rsid w:val="006F52EA"/>
    <w:rsid w:val="006F77B5"/>
    <w:rsid w:val="006F7BC2"/>
    <w:rsid w:val="00700503"/>
    <w:rsid w:val="00700B74"/>
    <w:rsid w:val="00701C0B"/>
    <w:rsid w:val="00702DFB"/>
    <w:rsid w:val="00703401"/>
    <w:rsid w:val="007034DA"/>
    <w:rsid w:val="00707F92"/>
    <w:rsid w:val="007101DD"/>
    <w:rsid w:val="00711183"/>
    <w:rsid w:val="007142CD"/>
    <w:rsid w:val="007153DC"/>
    <w:rsid w:val="00715523"/>
    <w:rsid w:val="00715C28"/>
    <w:rsid w:val="00716398"/>
    <w:rsid w:val="0072000C"/>
    <w:rsid w:val="00720013"/>
    <w:rsid w:val="00722195"/>
    <w:rsid w:val="00723ABC"/>
    <w:rsid w:val="00725978"/>
    <w:rsid w:val="0073278B"/>
    <w:rsid w:val="0073355D"/>
    <w:rsid w:val="00734268"/>
    <w:rsid w:val="00735693"/>
    <w:rsid w:val="00735D00"/>
    <w:rsid w:val="0074126A"/>
    <w:rsid w:val="00745892"/>
    <w:rsid w:val="0075029C"/>
    <w:rsid w:val="0075191E"/>
    <w:rsid w:val="00752C24"/>
    <w:rsid w:val="00762BFA"/>
    <w:rsid w:val="007635B9"/>
    <w:rsid w:val="00764DB3"/>
    <w:rsid w:val="00766118"/>
    <w:rsid w:val="0077251F"/>
    <w:rsid w:val="00772CFC"/>
    <w:rsid w:val="0077315F"/>
    <w:rsid w:val="00774C5E"/>
    <w:rsid w:val="0077545B"/>
    <w:rsid w:val="007824CD"/>
    <w:rsid w:val="00784201"/>
    <w:rsid w:val="007866B8"/>
    <w:rsid w:val="0079203E"/>
    <w:rsid w:val="00793962"/>
    <w:rsid w:val="007976DB"/>
    <w:rsid w:val="00797B24"/>
    <w:rsid w:val="00797E19"/>
    <w:rsid w:val="007A356D"/>
    <w:rsid w:val="007B26A0"/>
    <w:rsid w:val="007B42F2"/>
    <w:rsid w:val="007C0875"/>
    <w:rsid w:val="007C1179"/>
    <w:rsid w:val="007C210A"/>
    <w:rsid w:val="007C24FD"/>
    <w:rsid w:val="007C2CD0"/>
    <w:rsid w:val="007C4093"/>
    <w:rsid w:val="007C50A6"/>
    <w:rsid w:val="007C518E"/>
    <w:rsid w:val="007D1593"/>
    <w:rsid w:val="007D1D15"/>
    <w:rsid w:val="007D3BAC"/>
    <w:rsid w:val="007D47FC"/>
    <w:rsid w:val="007D5952"/>
    <w:rsid w:val="007D5B02"/>
    <w:rsid w:val="007E4725"/>
    <w:rsid w:val="007E60DF"/>
    <w:rsid w:val="007F2845"/>
    <w:rsid w:val="007F386D"/>
    <w:rsid w:val="007F47C1"/>
    <w:rsid w:val="007F5CDE"/>
    <w:rsid w:val="00803014"/>
    <w:rsid w:val="008045A2"/>
    <w:rsid w:val="00810EDC"/>
    <w:rsid w:val="00813084"/>
    <w:rsid w:val="00814A98"/>
    <w:rsid w:val="00814B92"/>
    <w:rsid w:val="00814F90"/>
    <w:rsid w:val="008156C6"/>
    <w:rsid w:val="008239F7"/>
    <w:rsid w:val="008260D0"/>
    <w:rsid w:val="0083032F"/>
    <w:rsid w:val="00832947"/>
    <w:rsid w:val="0084498C"/>
    <w:rsid w:val="00853790"/>
    <w:rsid w:val="008540B1"/>
    <w:rsid w:val="008553B7"/>
    <w:rsid w:val="00856951"/>
    <w:rsid w:val="00856C6D"/>
    <w:rsid w:val="00857551"/>
    <w:rsid w:val="00863830"/>
    <w:rsid w:val="008675D1"/>
    <w:rsid w:val="008746D2"/>
    <w:rsid w:val="00877D57"/>
    <w:rsid w:val="008805D2"/>
    <w:rsid w:val="00881CF3"/>
    <w:rsid w:val="00882A49"/>
    <w:rsid w:val="00883776"/>
    <w:rsid w:val="00892C11"/>
    <w:rsid w:val="00896F6C"/>
    <w:rsid w:val="00896FD3"/>
    <w:rsid w:val="0089799D"/>
    <w:rsid w:val="008A0644"/>
    <w:rsid w:val="008A14A0"/>
    <w:rsid w:val="008A2378"/>
    <w:rsid w:val="008A3E9D"/>
    <w:rsid w:val="008B1B5D"/>
    <w:rsid w:val="008B38B0"/>
    <w:rsid w:val="008B49E9"/>
    <w:rsid w:val="008B5F5E"/>
    <w:rsid w:val="008B73E9"/>
    <w:rsid w:val="008C16E4"/>
    <w:rsid w:val="008C2B91"/>
    <w:rsid w:val="008C4646"/>
    <w:rsid w:val="008C6600"/>
    <w:rsid w:val="008C6751"/>
    <w:rsid w:val="008D4AC0"/>
    <w:rsid w:val="008D5A49"/>
    <w:rsid w:val="008D75AC"/>
    <w:rsid w:val="008D7BAA"/>
    <w:rsid w:val="008D7E1E"/>
    <w:rsid w:val="008E1E82"/>
    <w:rsid w:val="008E289F"/>
    <w:rsid w:val="008E2B24"/>
    <w:rsid w:val="008E5019"/>
    <w:rsid w:val="008F39FD"/>
    <w:rsid w:val="008F69FE"/>
    <w:rsid w:val="008F6E1D"/>
    <w:rsid w:val="009003AA"/>
    <w:rsid w:val="00900D53"/>
    <w:rsid w:val="00901D2C"/>
    <w:rsid w:val="00901EEC"/>
    <w:rsid w:val="0090324B"/>
    <w:rsid w:val="00904A9D"/>
    <w:rsid w:val="00905A47"/>
    <w:rsid w:val="0091089D"/>
    <w:rsid w:val="009110FA"/>
    <w:rsid w:val="00914472"/>
    <w:rsid w:val="00914AE8"/>
    <w:rsid w:val="0091520C"/>
    <w:rsid w:val="00916467"/>
    <w:rsid w:val="00922AEA"/>
    <w:rsid w:val="00922E94"/>
    <w:rsid w:val="00922F13"/>
    <w:rsid w:val="00924768"/>
    <w:rsid w:val="0093109D"/>
    <w:rsid w:val="00931196"/>
    <w:rsid w:val="0093452C"/>
    <w:rsid w:val="009345E3"/>
    <w:rsid w:val="0094027E"/>
    <w:rsid w:val="009403A6"/>
    <w:rsid w:val="009417F0"/>
    <w:rsid w:val="00943188"/>
    <w:rsid w:val="00946047"/>
    <w:rsid w:val="0095018D"/>
    <w:rsid w:val="00956574"/>
    <w:rsid w:val="0095705A"/>
    <w:rsid w:val="0096007A"/>
    <w:rsid w:val="00962829"/>
    <w:rsid w:val="00963304"/>
    <w:rsid w:val="009635CF"/>
    <w:rsid w:val="00972FF4"/>
    <w:rsid w:val="009756C2"/>
    <w:rsid w:val="00975B7B"/>
    <w:rsid w:val="00977372"/>
    <w:rsid w:val="00981DCE"/>
    <w:rsid w:val="0098735D"/>
    <w:rsid w:val="009A1C1F"/>
    <w:rsid w:val="009A78B0"/>
    <w:rsid w:val="009B123A"/>
    <w:rsid w:val="009B1C06"/>
    <w:rsid w:val="009B27B4"/>
    <w:rsid w:val="009B592E"/>
    <w:rsid w:val="009C0907"/>
    <w:rsid w:val="009C7D02"/>
    <w:rsid w:val="009D207D"/>
    <w:rsid w:val="009D2B86"/>
    <w:rsid w:val="009D6B67"/>
    <w:rsid w:val="009D7417"/>
    <w:rsid w:val="009D77A6"/>
    <w:rsid w:val="009D7883"/>
    <w:rsid w:val="009E071D"/>
    <w:rsid w:val="009E1C1B"/>
    <w:rsid w:val="009E1FEC"/>
    <w:rsid w:val="009E4015"/>
    <w:rsid w:val="009F2715"/>
    <w:rsid w:val="009F6365"/>
    <w:rsid w:val="00A0111B"/>
    <w:rsid w:val="00A019A0"/>
    <w:rsid w:val="00A030CD"/>
    <w:rsid w:val="00A06CF8"/>
    <w:rsid w:val="00A07709"/>
    <w:rsid w:val="00A07AD2"/>
    <w:rsid w:val="00A1032B"/>
    <w:rsid w:val="00A109D5"/>
    <w:rsid w:val="00A110B5"/>
    <w:rsid w:val="00A113F4"/>
    <w:rsid w:val="00A11DD3"/>
    <w:rsid w:val="00A125AA"/>
    <w:rsid w:val="00A13B3D"/>
    <w:rsid w:val="00A15A4B"/>
    <w:rsid w:val="00A20C7D"/>
    <w:rsid w:val="00A227A1"/>
    <w:rsid w:val="00A23CF8"/>
    <w:rsid w:val="00A24DE4"/>
    <w:rsid w:val="00A30660"/>
    <w:rsid w:val="00A31077"/>
    <w:rsid w:val="00A310B9"/>
    <w:rsid w:val="00A317AF"/>
    <w:rsid w:val="00A32CF2"/>
    <w:rsid w:val="00A341E6"/>
    <w:rsid w:val="00A3529C"/>
    <w:rsid w:val="00A36028"/>
    <w:rsid w:val="00A436F4"/>
    <w:rsid w:val="00A46D02"/>
    <w:rsid w:val="00A53570"/>
    <w:rsid w:val="00A64F4C"/>
    <w:rsid w:val="00A66EA3"/>
    <w:rsid w:val="00A724E4"/>
    <w:rsid w:val="00A73D6B"/>
    <w:rsid w:val="00A74290"/>
    <w:rsid w:val="00A76234"/>
    <w:rsid w:val="00A76CBD"/>
    <w:rsid w:val="00A82AFD"/>
    <w:rsid w:val="00A84A4B"/>
    <w:rsid w:val="00A853AE"/>
    <w:rsid w:val="00A86D05"/>
    <w:rsid w:val="00A86F46"/>
    <w:rsid w:val="00A87786"/>
    <w:rsid w:val="00A90F7F"/>
    <w:rsid w:val="00A929F8"/>
    <w:rsid w:val="00A9349A"/>
    <w:rsid w:val="00A942DB"/>
    <w:rsid w:val="00A94906"/>
    <w:rsid w:val="00A96684"/>
    <w:rsid w:val="00A9683A"/>
    <w:rsid w:val="00A97408"/>
    <w:rsid w:val="00AA3E47"/>
    <w:rsid w:val="00AA5360"/>
    <w:rsid w:val="00AA6B7B"/>
    <w:rsid w:val="00AB39F9"/>
    <w:rsid w:val="00AB5A1F"/>
    <w:rsid w:val="00AC059B"/>
    <w:rsid w:val="00AC0EC1"/>
    <w:rsid w:val="00AC3678"/>
    <w:rsid w:val="00AC4E7D"/>
    <w:rsid w:val="00AC6467"/>
    <w:rsid w:val="00AC6AFC"/>
    <w:rsid w:val="00AC7E1E"/>
    <w:rsid w:val="00AD09B9"/>
    <w:rsid w:val="00AD2AFF"/>
    <w:rsid w:val="00AD542A"/>
    <w:rsid w:val="00AD69FC"/>
    <w:rsid w:val="00AE3EE6"/>
    <w:rsid w:val="00AE5C79"/>
    <w:rsid w:val="00AF30B1"/>
    <w:rsid w:val="00AF3435"/>
    <w:rsid w:val="00AF3BE0"/>
    <w:rsid w:val="00AF4EDA"/>
    <w:rsid w:val="00AF6EA4"/>
    <w:rsid w:val="00AF7563"/>
    <w:rsid w:val="00B00AB4"/>
    <w:rsid w:val="00B01566"/>
    <w:rsid w:val="00B01917"/>
    <w:rsid w:val="00B01C9E"/>
    <w:rsid w:val="00B03B2F"/>
    <w:rsid w:val="00B05165"/>
    <w:rsid w:val="00B11C22"/>
    <w:rsid w:val="00B11D36"/>
    <w:rsid w:val="00B1241C"/>
    <w:rsid w:val="00B13E0E"/>
    <w:rsid w:val="00B1556C"/>
    <w:rsid w:val="00B22BFA"/>
    <w:rsid w:val="00B24D91"/>
    <w:rsid w:val="00B26BDD"/>
    <w:rsid w:val="00B27889"/>
    <w:rsid w:val="00B27BD6"/>
    <w:rsid w:val="00B32034"/>
    <w:rsid w:val="00B336F5"/>
    <w:rsid w:val="00B33EF2"/>
    <w:rsid w:val="00B3648F"/>
    <w:rsid w:val="00B36D71"/>
    <w:rsid w:val="00B41BD7"/>
    <w:rsid w:val="00B43121"/>
    <w:rsid w:val="00B470D7"/>
    <w:rsid w:val="00B47826"/>
    <w:rsid w:val="00B5117E"/>
    <w:rsid w:val="00B51604"/>
    <w:rsid w:val="00B53107"/>
    <w:rsid w:val="00B547FF"/>
    <w:rsid w:val="00B54A48"/>
    <w:rsid w:val="00B5518F"/>
    <w:rsid w:val="00B60A10"/>
    <w:rsid w:val="00B60DC7"/>
    <w:rsid w:val="00B6477B"/>
    <w:rsid w:val="00B64E1C"/>
    <w:rsid w:val="00B66430"/>
    <w:rsid w:val="00B679BF"/>
    <w:rsid w:val="00B72629"/>
    <w:rsid w:val="00B75045"/>
    <w:rsid w:val="00B75694"/>
    <w:rsid w:val="00B80500"/>
    <w:rsid w:val="00B8063F"/>
    <w:rsid w:val="00B81254"/>
    <w:rsid w:val="00B819DF"/>
    <w:rsid w:val="00B821EE"/>
    <w:rsid w:val="00B928E3"/>
    <w:rsid w:val="00B948A2"/>
    <w:rsid w:val="00B948B6"/>
    <w:rsid w:val="00BA13AA"/>
    <w:rsid w:val="00BA7CC5"/>
    <w:rsid w:val="00BB607C"/>
    <w:rsid w:val="00BB71C3"/>
    <w:rsid w:val="00BC02F5"/>
    <w:rsid w:val="00BC164E"/>
    <w:rsid w:val="00BC5922"/>
    <w:rsid w:val="00BC6A0E"/>
    <w:rsid w:val="00BD102D"/>
    <w:rsid w:val="00BD13C2"/>
    <w:rsid w:val="00BD2FB8"/>
    <w:rsid w:val="00BD310B"/>
    <w:rsid w:val="00BD4E65"/>
    <w:rsid w:val="00BE321B"/>
    <w:rsid w:val="00BE36CD"/>
    <w:rsid w:val="00BE3C91"/>
    <w:rsid w:val="00BE3EF3"/>
    <w:rsid w:val="00BF04E5"/>
    <w:rsid w:val="00BF137E"/>
    <w:rsid w:val="00BF1528"/>
    <w:rsid w:val="00BF2B7F"/>
    <w:rsid w:val="00BF339D"/>
    <w:rsid w:val="00BF4858"/>
    <w:rsid w:val="00BF5285"/>
    <w:rsid w:val="00C0024C"/>
    <w:rsid w:val="00C004B6"/>
    <w:rsid w:val="00C00F4F"/>
    <w:rsid w:val="00C01154"/>
    <w:rsid w:val="00C03EFC"/>
    <w:rsid w:val="00C07CB0"/>
    <w:rsid w:val="00C10333"/>
    <w:rsid w:val="00C136C7"/>
    <w:rsid w:val="00C148D3"/>
    <w:rsid w:val="00C14BBD"/>
    <w:rsid w:val="00C154CB"/>
    <w:rsid w:val="00C160B3"/>
    <w:rsid w:val="00C165F2"/>
    <w:rsid w:val="00C16BCC"/>
    <w:rsid w:val="00C16C78"/>
    <w:rsid w:val="00C211C6"/>
    <w:rsid w:val="00C22189"/>
    <w:rsid w:val="00C242BC"/>
    <w:rsid w:val="00C2490A"/>
    <w:rsid w:val="00C30002"/>
    <w:rsid w:val="00C3017E"/>
    <w:rsid w:val="00C32F55"/>
    <w:rsid w:val="00C401CF"/>
    <w:rsid w:val="00C40EC8"/>
    <w:rsid w:val="00C41C5A"/>
    <w:rsid w:val="00C47409"/>
    <w:rsid w:val="00C50357"/>
    <w:rsid w:val="00C517FF"/>
    <w:rsid w:val="00C52832"/>
    <w:rsid w:val="00C56152"/>
    <w:rsid w:val="00C66B87"/>
    <w:rsid w:val="00C67686"/>
    <w:rsid w:val="00C72A30"/>
    <w:rsid w:val="00C7467C"/>
    <w:rsid w:val="00C766A3"/>
    <w:rsid w:val="00C81A22"/>
    <w:rsid w:val="00C81A8F"/>
    <w:rsid w:val="00C86E38"/>
    <w:rsid w:val="00C90BEF"/>
    <w:rsid w:val="00C91131"/>
    <w:rsid w:val="00C9231D"/>
    <w:rsid w:val="00C9483C"/>
    <w:rsid w:val="00C95A9E"/>
    <w:rsid w:val="00CA3071"/>
    <w:rsid w:val="00CA429C"/>
    <w:rsid w:val="00CA62CE"/>
    <w:rsid w:val="00CB06FB"/>
    <w:rsid w:val="00CB3A9E"/>
    <w:rsid w:val="00CB6C35"/>
    <w:rsid w:val="00CB7D55"/>
    <w:rsid w:val="00CC187A"/>
    <w:rsid w:val="00CC1CB0"/>
    <w:rsid w:val="00CC1E0A"/>
    <w:rsid w:val="00CC1E85"/>
    <w:rsid w:val="00CC3742"/>
    <w:rsid w:val="00CD1235"/>
    <w:rsid w:val="00CD4E84"/>
    <w:rsid w:val="00CD5582"/>
    <w:rsid w:val="00CD70DE"/>
    <w:rsid w:val="00CE3103"/>
    <w:rsid w:val="00CE3A25"/>
    <w:rsid w:val="00CE4429"/>
    <w:rsid w:val="00CE47B9"/>
    <w:rsid w:val="00CE4FA2"/>
    <w:rsid w:val="00CF06C9"/>
    <w:rsid w:val="00CF2F13"/>
    <w:rsid w:val="00CF30EA"/>
    <w:rsid w:val="00CF5343"/>
    <w:rsid w:val="00D028F5"/>
    <w:rsid w:val="00D0332F"/>
    <w:rsid w:val="00D06897"/>
    <w:rsid w:val="00D07AC6"/>
    <w:rsid w:val="00D103FD"/>
    <w:rsid w:val="00D108E3"/>
    <w:rsid w:val="00D111EE"/>
    <w:rsid w:val="00D12D1F"/>
    <w:rsid w:val="00D21C68"/>
    <w:rsid w:val="00D23274"/>
    <w:rsid w:val="00D24319"/>
    <w:rsid w:val="00D263B0"/>
    <w:rsid w:val="00D275BA"/>
    <w:rsid w:val="00D328E9"/>
    <w:rsid w:val="00D37D31"/>
    <w:rsid w:val="00D41649"/>
    <w:rsid w:val="00D42CC6"/>
    <w:rsid w:val="00D43188"/>
    <w:rsid w:val="00D43A42"/>
    <w:rsid w:val="00D453C7"/>
    <w:rsid w:val="00D5145C"/>
    <w:rsid w:val="00D51B24"/>
    <w:rsid w:val="00D52B40"/>
    <w:rsid w:val="00D5410B"/>
    <w:rsid w:val="00D54392"/>
    <w:rsid w:val="00D571EF"/>
    <w:rsid w:val="00D6050B"/>
    <w:rsid w:val="00D61601"/>
    <w:rsid w:val="00D6404D"/>
    <w:rsid w:val="00D70F36"/>
    <w:rsid w:val="00D73650"/>
    <w:rsid w:val="00D76591"/>
    <w:rsid w:val="00D83543"/>
    <w:rsid w:val="00D84A2F"/>
    <w:rsid w:val="00D87216"/>
    <w:rsid w:val="00D917E2"/>
    <w:rsid w:val="00D920EB"/>
    <w:rsid w:val="00D934E2"/>
    <w:rsid w:val="00D93F39"/>
    <w:rsid w:val="00DA134F"/>
    <w:rsid w:val="00DA1B51"/>
    <w:rsid w:val="00DA1E8B"/>
    <w:rsid w:val="00DA611B"/>
    <w:rsid w:val="00DB00A3"/>
    <w:rsid w:val="00DB1C5B"/>
    <w:rsid w:val="00DB2139"/>
    <w:rsid w:val="00DB21A5"/>
    <w:rsid w:val="00DC1653"/>
    <w:rsid w:val="00DC2989"/>
    <w:rsid w:val="00DC29FC"/>
    <w:rsid w:val="00DC570D"/>
    <w:rsid w:val="00DC6257"/>
    <w:rsid w:val="00DC785D"/>
    <w:rsid w:val="00DC7F9D"/>
    <w:rsid w:val="00DD1088"/>
    <w:rsid w:val="00DD4AD2"/>
    <w:rsid w:val="00DD5C96"/>
    <w:rsid w:val="00DD60D9"/>
    <w:rsid w:val="00DD70B1"/>
    <w:rsid w:val="00DE74F9"/>
    <w:rsid w:val="00DF0B8A"/>
    <w:rsid w:val="00DF17BD"/>
    <w:rsid w:val="00DF4535"/>
    <w:rsid w:val="00DF7461"/>
    <w:rsid w:val="00E02439"/>
    <w:rsid w:val="00E02BEB"/>
    <w:rsid w:val="00E03A8A"/>
    <w:rsid w:val="00E04323"/>
    <w:rsid w:val="00E0690E"/>
    <w:rsid w:val="00E10A0C"/>
    <w:rsid w:val="00E110FF"/>
    <w:rsid w:val="00E14238"/>
    <w:rsid w:val="00E1510B"/>
    <w:rsid w:val="00E15CA4"/>
    <w:rsid w:val="00E164AF"/>
    <w:rsid w:val="00E238DC"/>
    <w:rsid w:val="00E25BD0"/>
    <w:rsid w:val="00E267C8"/>
    <w:rsid w:val="00E27D3D"/>
    <w:rsid w:val="00E31583"/>
    <w:rsid w:val="00E31A58"/>
    <w:rsid w:val="00E33447"/>
    <w:rsid w:val="00E34463"/>
    <w:rsid w:val="00E34557"/>
    <w:rsid w:val="00E41CD8"/>
    <w:rsid w:val="00E479B5"/>
    <w:rsid w:val="00E50C38"/>
    <w:rsid w:val="00E51E58"/>
    <w:rsid w:val="00E53BAB"/>
    <w:rsid w:val="00E55359"/>
    <w:rsid w:val="00E564A3"/>
    <w:rsid w:val="00E57008"/>
    <w:rsid w:val="00E613F6"/>
    <w:rsid w:val="00E63583"/>
    <w:rsid w:val="00E63A1A"/>
    <w:rsid w:val="00E63CF0"/>
    <w:rsid w:val="00E640E8"/>
    <w:rsid w:val="00E67184"/>
    <w:rsid w:val="00E708E5"/>
    <w:rsid w:val="00E72C7A"/>
    <w:rsid w:val="00E77702"/>
    <w:rsid w:val="00E83055"/>
    <w:rsid w:val="00E838DA"/>
    <w:rsid w:val="00E85571"/>
    <w:rsid w:val="00E8678D"/>
    <w:rsid w:val="00E87063"/>
    <w:rsid w:val="00E920A4"/>
    <w:rsid w:val="00E9275E"/>
    <w:rsid w:val="00E939F2"/>
    <w:rsid w:val="00E93B8C"/>
    <w:rsid w:val="00E93B96"/>
    <w:rsid w:val="00E971C6"/>
    <w:rsid w:val="00E97A50"/>
    <w:rsid w:val="00E97D2B"/>
    <w:rsid w:val="00EA052C"/>
    <w:rsid w:val="00EA1D3F"/>
    <w:rsid w:val="00EA35A1"/>
    <w:rsid w:val="00EA4E09"/>
    <w:rsid w:val="00EB16B5"/>
    <w:rsid w:val="00EB313E"/>
    <w:rsid w:val="00EB58F7"/>
    <w:rsid w:val="00EC1348"/>
    <w:rsid w:val="00EC31B4"/>
    <w:rsid w:val="00EC4E6B"/>
    <w:rsid w:val="00EC5C67"/>
    <w:rsid w:val="00EC5F46"/>
    <w:rsid w:val="00EC6A96"/>
    <w:rsid w:val="00ED09F7"/>
    <w:rsid w:val="00ED1051"/>
    <w:rsid w:val="00ED1B8C"/>
    <w:rsid w:val="00ED1BF3"/>
    <w:rsid w:val="00ED4EE6"/>
    <w:rsid w:val="00ED75DA"/>
    <w:rsid w:val="00EE1376"/>
    <w:rsid w:val="00EE7CDE"/>
    <w:rsid w:val="00EF3E4B"/>
    <w:rsid w:val="00EF5013"/>
    <w:rsid w:val="00EF6346"/>
    <w:rsid w:val="00F004E1"/>
    <w:rsid w:val="00F04216"/>
    <w:rsid w:val="00F05D36"/>
    <w:rsid w:val="00F100D5"/>
    <w:rsid w:val="00F115C3"/>
    <w:rsid w:val="00F117EC"/>
    <w:rsid w:val="00F14BC4"/>
    <w:rsid w:val="00F16FAF"/>
    <w:rsid w:val="00F21284"/>
    <w:rsid w:val="00F21EA0"/>
    <w:rsid w:val="00F23508"/>
    <w:rsid w:val="00F23D87"/>
    <w:rsid w:val="00F33175"/>
    <w:rsid w:val="00F3452E"/>
    <w:rsid w:val="00F34DE9"/>
    <w:rsid w:val="00F35AA4"/>
    <w:rsid w:val="00F36660"/>
    <w:rsid w:val="00F47C0E"/>
    <w:rsid w:val="00F53DB5"/>
    <w:rsid w:val="00F55EB0"/>
    <w:rsid w:val="00F60634"/>
    <w:rsid w:val="00F60C94"/>
    <w:rsid w:val="00F6240B"/>
    <w:rsid w:val="00F6263A"/>
    <w:rsid w:val="00F64C9B"/>
    <w:rsid w:val="00F65F9B"/>
    <w:rsid w:val="00F66443"/>
    <w:rsid w:val="00F670E4"/>
    <w:rsid w:val="00F72AC6"/>
    <w:rsid w:val="00F742FC"/>
    <w:rsid w:val="00F826C9"/>
    <w:rsid w:val="00F848C2"/>
    <w:rsid w:val="00F85C26"/>
    <w:rsid w:val="00F87386"/>
    <w:rsid w:val="00F87946"/>
    <w:rsid w:val="00F87B70"/>
    <w:rsid w:val="00F914A1"/>
    <w:rsid w:val="00F96553"/>
    <w:rsid w:val="00FA0581"/>
    <w:rsid w:val="00FA1ED6"/>
    <w:rsid w:val="00FA618E"/>
    <w:rsid w:val="00FB0451"/>
    <w:rsid w:val="00FB1F9E"/>
    <w:rsid w:val="00FB3544"/>
    <w:rsid w:val="00FB37B0"/>
    <w:rsid w:val="00FB4D7C"/>
    <w:rsid w:val="00FB5DBB"/>
    <w:rsid w:val="00FC080E"/>
    <w:rsid w:val="00FC0C91"/>
    <w:rsid w:val="00FC2F4E"/>
    <w:rsid w:val="00FC2F62"/>
    <w:rsid w:val="00FC4190"/>
    <w:rsid w:val="00FC64EF"/>
    <w:rsid w:val="00FC6B64"/>
    <w:rsid w:val="00FC6BBE"/>
    <w:rsid w:val="00FD024C"/>
    <w:rsid w:val="00FD28FA"/>
    <w:rsid w:val="00FD4224"/>
    <w:rsid w:val="00FD4667"/>
    <w:rsid w:val="00FD5718"/>
    <w:rsid w:val="00FE0407"/>
    <w:rsid w:val="00FE0E07"/>
    <w:rsid w:val="00FE543B"/>
    <w:rsid w:val="00FE6ADE"/>
    <w:rsid w:val="00FE77F0"/>
    <w:rsid w:val="00FE7FC2"/>
    <w:rsid w:val="00FF302B"/>
    <w:rsid w:val="00FF3C7A"/>
    <w:rsid w:val="00FF7CA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C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E0E"/>
  </w:style>
  <w:style w:type="paragraph" w:styleId="Heading1">
    <w:name w:val="heading 1"/>
    <w:basedOn w:val="Normal"/>
    <w:next w:val="Normal"/>
    <w:link w:val="Heading1Char"/>
    <w:uiPriority w:val="9"/>
    <w:qFormat/>
    <w:rsid w:val="00B13E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13E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13E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E0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13E0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13E0E"/>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B13E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E0E"/>
    <w:rPr>
      <w:rFonts w:ascii="Segoe UI" w:hAnsi="Segoe UI" w:cs="Segoe UI"/>
      <w:sz w:val="18"/>
      <w:szCs w:val="18"/>
    </w:rPr>
  </w:style>
  <w:style w:type="paragraph" w:styleId="ListParagraph">
    <w:name w:val="List Paragraph"/>
    <w:basedOn w:val="Normal"/>
    <w:uiPriority w:val="34"/>
    <w:qFormat/>
    <w:rsid w:val="00B13E0E"/>
    <w:pPr>
      <w:ind w:left="720"/>
      <w:contextualSpacing/>
    </w:pPr>
  </w:style>
  <w:style w:type="character" w:styleId="CommentReference">
    <w:name w:val="annotation reference"/>
    <w:basedOn w:val="DefaultParagraphFont"/>
    <w:uiPriority w:val="99"/>
    <w:semiHidden/>
    <w:unhideWhenUsed/>
    <w:rsid w:val="00B13E0E"/>
    <w:rPr>
      <w:sz w:val="16"/>
      <w:szCs w:val="16"/>
    </w:rPr>
  </w:style>
  <w:style w:type="paragraph" w:styleId="CommentText">
    <w:name w:val="annotation text"/>
    <w:basedOn w:val="Normal"/>
    <w:link w:val="CommentTextChar"/>
    <w:uiPriority w:val="99"/>
    <w:semiHidden/>
    <w:unhideWhenUsed/>
    <w:rsid w:val="00B13E0E"/>
    <w:pPr>
      <w:spacing w:line="240" w:lineRule="auto"/>
    </w:pPr>
    <w:rPr>
      <w:sz w:val="20"/>
      <w:szCs w:val="20"/>
    </w:rPr>
  </w:style>
  <w:style w:type="character" w:customStyle="1" w:styleId="CommentTextChar">
    <w:name w:val="Comment Text Char"/>
    <w:basedOn w:val="DefaultParagraphFont"/>
    <w:link w:val="CommentText"/>
    <w:uiPriority w:val="99"/>
    <w:semiHidden/>
    <w:rsid w:val="00B13E0E"/>
    <w:rPr>
      <w:sz w:val="20"/>
      <w:szCs w:val="20"/>
    </w:rPr>
  </w:style>
  <w:style w:type="character" w:customStyle="1" w:styleId="CommentSubjectChar">
    <w:name w:val="Comment Subject Char"/>
    <w:basedOn w:val="CommentTextChar"/>
    <w:link w:val="CommentSubject"/>
    <w:uiPriority w:val="99"/>
    <w:semiHidden/>
    <w:rsid w:val="00B13E0E"/>
    <w:rPr>
      <w:b/>
      <w:bCs/>
      <w:sz w:val="20"/>
      <w:szCs w:val="20"/>
    </w:rPr>
  </w:style>
  <w:style w:type="paragraph" w:styleId="CommentSubject">
    <w:name w:val="annotation subject"/>
    <w:basedOn w:val="CommentText"/>
    <w:next w:val="CommentText"/>
    <w:link w:val="CommentSubjectChar"/>
    <w:uiPriority w:val="99"/>
    <w:semiHidden/>
    <w:unhideWhenUsed/>
    <w:rsid w:val="00B13E0E"/>
    <w:rPr>
      <w:b/>
      <w:bCs/>
    </w:rPr>
  </w:style>
  <w:style w:type="table" w:styleId="TableGrid">
    <w:name w:val="Table Grid"/>
    <w:basedOn w:val="TableNormal"/>
    <w:uiPriority w:val="39"/>
    <w:rsid w:val="00B13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60E1"/>
    <w:rPr>
      <w:color w:val="808080"/>
    </w:rPr>
  </w:style>
  <w:style w:type="character" w:styleId="LineNumber">
    <w:name w:val="line number"/>
    <w:basedOn w:val="DefaultParagraphFont"/>
    <w:uiPriority w:val="99"/>
    <w:semiHidden/>
    <w:unhideWhenUsed/>
    <w:rsid w:val="0075029C"/>
  </w:style>
  <w:style w:type="paragraph" w:styleId="Header">
    <w:name w:val="header"/>
    <w:basedOn w:val="Normal"/>
    <w:link w:val="HeaderChar"/>
    <w:uiPriority w:val="99"/>
    <w:unhideWhenUsed/>
    <w:rsid w:val="00F00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4E1"/>
  </w:style>
  <w:style w:type="paragraph" w:styleId="Footer">
    <w:name w:val="footer"/>
    <w:basedOn w:val="Normal"/>
    <w:link w:val="FooterChar"/>
    <w:uiPriority w:val="99"/>
    <w:unhideWhenUsed/>
    <w:rsid w:val="00F00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4E1"/>
  </w:style>
  <w:style w:type="character" w:styleId="Hyperlink">
    <w:name w:val="Hyperlink"/>
    <w:basedOn w:val="DefaultParagraphFont"/>
    <w:uiPriority w:val="99"/>
    <w:unhideWhenUsed/>
    <w:rsid w:val="008638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6306">
      <w:bodyDiv w:val="1"/>
      <w:marLeft w:val="0"/>
      <w:marRight w:val="0"/>
      <w:marTop w:val="0"/>
      <w:marBottom w:val="0"/>
      <w:divBdr>
        <w:top w:val="none" w:sz="0" w:space="0" w:color="auto"/>
        <w:left w:val="none" w:sz="0" w:space="0" w:color="auto"/>
        <w:bottom w:val="none" w:sz="0" w:space="0" w:color="auto"/>
        <w:right w:val="none" w:sz="0" w:space="0" w:color="auto"/>
      </w:divBdr>
    </w:div>
    <w:div w:id="249699274">
      <w:bodyDiv w:val="1"/>
      <w:marLeft w:val="0"/>
      <w:marRight w:val="0"/>
      <w:marTop w:val="0"/>
      <w:marBottom w:val="0"/>
      <w:divBdr>
        <w:top w:val="none" w:sz="0" w:space="0" w:color="auto"/>
        <w:left w:val="none" w:sz="0" w:space="0" w:color="auto"/>
        <w:bottom w:val="none" w:sz="0" w:space="0" w:color="auto"/>
        <w:right w:val="none" w:sz="0" w:space="0" w:color="auto"/>
      </w:divBdr>
    </w:div>
    <w:div w:id="429012014">
      <w:bodyDiv w:val="1"/>
      <w:marLeft w:val="0"/>
      <w:marRight w:val="0"/>
      <w:marTop w:val="0"/>
      <w:marBottom w:val="0"/>
      <w:divBdr>
        <w:top w:val="none" w:sz="0" w:space="0" w:color="auto"/>
        <w:left w:val="none" w:sz="0" w:space="0" w:color="auto"/>
        <w:bottom w:val="none" w:sz="0" w:space="0" w:color="auto"/>
        <w:right w:val="none" w:sz="0" w:space="0" w:color="auto"/>
      </w:divBdr>
      <w:divsChild>
        <w:div w:id="1973899357">
          <w:marLeft w:val="0"/>
          <w:marRight w:val="0"/>
          <w:marTop w:val="0"/>
          <w:marBottom w:val="0"/>
          <w:divBdr>
            <w:top w:val="none" w:sz="0" w:space="0" w:color="auto"/>
            <w:left w:val="none" w:sz="0" w:space="0" w:color="auto"/>
            <w:bottom w:val="none" w:sz="0" w:space="0" w:color="auto"/>
            <w:right w:val="none" w:sz="0" w:space="0" w:color="auto"/>
          </w:divBdr>
        </w:div>
      </w:divsChild>
    </w:div>
    <w:div w:id="579172172">
      <w:bodyDiv w:val="1"/>
      <w:marLeft w:val="0"/>
      <w:marRight w:val="0"/>
      <w:marTop w:val="0"/>
      <w:marBottom w:val="0"/>
      <w:divBdr>
        <w:top w:val="none" w:sz="0" w:space="0" w:color="auto"/>
        <w:left w:val="none" w:sz="0" w:space="0" w:color="auto"/>
        <w:bottom w:val="none" w:sz="0" w:space="0" w:color="auto"/>
        <w:right w:val="none" w:sz="0" w:space="0" w:color="auto"/>
      </w:divBdr>
    </w:div>
    <w:div w:id="737674258">
      <w:bodyDiv w:val="1"/>
      <w:marLeft w:val="0"/>
      <w:marRight w:val="0"/>
      <w:marTop w:val="0"/>
      <w:marBottom w:val="0"/>
      <w:divBdr>
        <w:top w:val="none" w:sz="0" w:space="0" w:color="auto"/>
        <w:left w:val="none" w:sz="0" w:space="0" w:color="auto"/>
        <w:bottom w:val="none" w:sz="0" w:space="0" w:color="auto"/>
        <w:right w:val="none" w:sz="0" w:space="0" w:color="auto"/>
      </w:divBdr>
    </w:div>
    <w:div w:id="1181553829">
      <w:bodyDiv w:val="1"/>
      <w:marLeft w:val="0"/>
      <w:marRight w:val="0"/>
      <w:marTop w:val="0"/>
      <w:marBottom w:val="0"/>
      <w:divBdr>
        <w:top w:val="none" w:sz="0" w:space="0" w:color="auto"/>
        <w:left w:val="none" w:sz="0" w:space="0" w:color="auto"/>
        <w:bottom w:val="none" w:sz="0" w:space="0" w:color="auto"/>
        <w:right w:val="none" w:sz="0" w:space="0" w:color="auto"/>
      </w:divBdr>
    </w:div>
    <w:div w:id="1287152376">
      <w:bodyDiv w:val="1"/>
      <w:marLeft w:val="0"/>
      <w:marRight w:val="0"/>
      <w:marTop w:val="0"/>
      <w:marBottom w:val="0"/>
      <w:divBdr>
        <w:top w:val="none" w:sz="0" w:space="0" w:color="auto"/>
        <w:left w:val="none" w:sz="0" w:space="0" w:color="auto"/>
        <w:bottom w:val="none" w:sz="0" w:space="0" w:color="auto"/>
        <w:right w:val="none" w:sz="0" w:space="0" w:color="auto"/>
      </w:divBdr>
    </w:div>
    <w:div w:id="1313411336">
      <w:bodyDiv w:val="1"/>
      <w:marLeft w:val="0"/>
      <w:marRight w:val="0"/>
      <w:marTop w:val="0"/>
      <w:marBottom w:val="0"/>
      <w:divBdr>
        <w:top w:val="none" w:sz="0" w:space="0" w:color="auto"/>
        <w:left w:val="none" w:sz="0" w:space="0" w:color="auto"/>
        <w:bottom w:val="none" w:sz="0" w:space="0" w:color="auto"/>
        <w:right w:val="none" w:sz="0" w:space="0" w:color="auto"/>
      </w:divBdr>
    </w:div>
    <w:div w:id="1886989651">
      <w:bodyDiv w:val="1"/>
      <w:marLeft w:val="0"/>
      <w:marRight w:val="0"/>
      <w:marTop w:val="0"/>
      <w:marBottom w:val="0"/>
      <w:divBdr>
        <w:top w:val="none" w:sz="0" w:space="0" w:color="auto"/>
        <w:left w:val="none" w:sz="0" w:space="0" w:color="auto"/>
        <w:bottom w:val="none" w:sz="0" w:space="0" w:color="auto"/>
        <w:right w:val="none" w:sz="0" w:space="0" w:color="auto"/>
      </w:divBdr>
    </w:div>
    <w:div w:id="210595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p.howell@keele.ac.uk"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1F8D7-D345-4A80-B6B7-B293055A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12119</Words>
  <Characters>69081</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2018-11-08T14:14:00Z</cp:lastPrinted>
  <dcterms:created xsi:type="dcterms:W3CDTF">2019-02-05T15:58:00Z</dcterms:created>
  <dcterms:modified xsi:type="dcterms:W3CDTF">2019-02-15T14:24:00Z</dcterms:modified>
</cp:coreProperties>
</file>