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59A7B54" w14:textId="77777777" w:rsidR="00C45B45" w:rsidRDefault="00C45B45" w:rsidP="00CC31D3">
      <w:pPr>
        <w:spacing w:line="259" w:lineRule="auto"/>
        <w:jc w:val="both"/>
        <w:rPr>
          <w:rFonts w:ascii="Times New Roman" w:hAnsi="Times New Roman" w:cs="Times New Roman"/>
          <w:sz w:val="32"/>
          <w:szCs w:val="32"/>
          <w:vertAlign w:val="superscript"/>
        </w:rPr>
      </w:pPr>
      <w:r w:rsidRPr="00C45B45">
        <w:rPr>
          <w:rFonts w:ascii="Times New Roman" w:hAnsi="Times New Roman" w:cs="Times New Roman"/>
          <w:sz w:val="32"/>
          <w:szCs w:val="32"/>
        </w:rPr>
        <w:t>An alternative modular ‘click-S</w:t>
      </w:r>
      <w:r w:rsidRPr="00C45B45">
        <w:rPr>
          <w:rFonts w:ascii="Times New Roman" w:hAnsi="Times New Roman" w:cs="Times New Roman"/>
          <w:sz w:val="32"/>
          <w:szCs w:val="32"/>
          <w:vertAlign w:val="subscript"/>
        </w:rPr>
        <w:t>N</w:t>
      </w:r>
      <w:r w:rsidRPr="00C45B45">
        <w:rPr>
          <w:rFonts w:ascii="Times New Roman" w:hAnsi="Times New Roman" w:cs="Times New Roman"/>
          <w:sz w:val="32"/>
          <w:szCs w:val="32"/>
        </w:rPr>
        <w:t>Ar-click’ approach to develop subcellular localised fluorescent probes to image mobile Zn</w:t>
      </w:r>
      <w:r w:rsidRPr="00C45B45">
        <w:rPr>
          <w:rFonts w:ascii="Times New Roman" w:hAnsi="Times New Roman" w:cs="Times New Roman"/>
          <w:sz w:val="32"/>
          <w:szCs w:val="32"/>
          <w:vertAlign w:val="superscript"/>
        </w:rPr>
        <w:t>2+</w:t>
      </w:r>
    </w:p>
    <w:p w14:paraId="6B3937AD" w14:textId="32846D39" w:rsidR="008C6492" w:rsidRDefault="008C6492" w:rsidP="00CC31D3">
      <w:pPr>
        <w:spacing w:line="259" w:lineRule="auto"/>
        <w:jc w:val="both"/>
        <w:rPr>
          <w:rFonts w:ascii="Times New Roman" w:hAnsi="Times New Roman" w:cs="Times New Roman"/>
          <w:sz w:val="24"/>
          <w:szCs w:val="24"/>
        </w:rPr>
      </w:pPr>
      <w:r w:rsidRPr="008C6492">
        <w:rPr>
          <w:rFonts w:ascii="Times New Roman" w:hAnsi="Times New Roman" w:cs="Times New Roman"/>
          <w:sz w:val="24"/>
          <w:szCs w:val="24"/>
        </w:rPr>
        <w:t>Le Fang,</w:t>
      </w:r>
      <w:r w:rsidRPr="008C6492">
        <w:rPr>
          <w:rFonts w:ascii="Times New Roman" w:hAnsi="Times New Roman" w:cs="Times New Roman"/>
          <w:sz w:val="24"/>
          <w:szCs w:val="24"/>
          <w:vertAlign w:val="superscript"/>
        </w:rPr>
        <w:t>a</w:t>
      </w:r>
      <w:r w:rsidRPr="008C6492">
        <w:rPr>
          <w:rFonts w:ascii="Times New Roman" w:hAnsi="Times New Roman" w:cs="Times New Roman"/>
          <w:sz w:val="24"/>
          <w:szCs w:val="24"/>
        </w:rPr>
        <w:t xml:space="preserve"> Giuseppe Trigiante,</w:t>
      </w:r>
      <w:r w:rsidRPr="008C6492">
        <w:rPr>
          <w:rFonts w:ascii="Times New Roman" w:hAnsi="Times New Roman" w:cs="Times New Roman"/>
          <w:sz w:val="24"/>
          <w:szCs w:val="24"/>
          <w:vertAlign w:val="superscript"/>
        </w:rPr>
        <w:t>b</w:t>
      </w:r>
      <w:r w:rsidRPr="008C6492">
        <w:rPr>
          <w:rFonts w:ascii="Times New Roman" w:hAnsi="Times New Roman" w:cs="Times New Roman"/>
          <w:sz w:val="24"/>
          <w:szCs w:val="24"/>
        </w:rPr>
        <w:t xml:space="preserve"> Rachel Crespo-Otero,</w:t>
      </w:r>
      <w:r w:rsidRPr="008C6492">
        <w:rPr>
          <w:rFonts w:ascii="Times New Roman" w:hAnsi="Times New Roman" w:cs="Times New Roman"/>
          <w:sz w:val="24"/>
          <w:szCs w:val="24"/>
          <w:vertAlign w:val="superscript"/>
        </w:rPr>
        <w:t>a</w:t>
      </w:r>
      <w:r w:rsidR="002B6E0F">
        <w:rPr>
          <w:rFonts w:ascii="Times New Roman" w:hAnsi="Times New Roman" w:cs="Times New Roman"/>
          <w:sz w:val="24"/>
          <w:szCs w:val="24"/>
        </w:rPr>
        <w:t xml:space="preserve"> Michael P.</w:t>
      </w:r>
      <w:r w:rsidRPr="008C6492">
        <w:rPr>
          <w:rFonts w:ascii="Times New Roman" w:hAnsi="Times New Roman" w:cs="Times New Roman"/>
          <w:sz w:val="24"/>
          <w:szCs w:val="24"/>
        </w:rPr>
        <w:t xml:space="preserve"> Philpott,</w:t>
      </w:r>
      <w:r w:rsidRPr="008C6492">
        <w:rPr>
          <w:rFonts w:ascii="Times New Roman" w:hAnsi="Times New Roman" w:cs="Times New Roman"/>
          <w:sz w:val="24"/>
          <w:szCs w:val="24"/>
          <w:vertAlign w:val="superscript"/>
        </w:rPr>
        <w:t>b</w:t>
      </w:r>
      <w:r w:rsidRPr="008C6492">
        <w:rPr>
          <w:rFonts w:ascii="Times New Roman" w:hAnsi="Times New Roman" w:cs="Times New Roman"/>
          <w:sz w:val="24"/>
          <w:szCs w:val="24"/>
        </w:rPr>
        <w:t xml:space="preserve"> </w:t>
      </w:r>
      <w:r w:rsidR="00BA0198" w:rsidRPr="00BA0198">
        <w:rPr>
          <w:rFonts w:ascii="Times New Roman" w:hAnsi="Times New Roman" w:cs="Times New Roman"/>
          <w:sz w:val="24"/>
          <w:szCs w:val="24"/>
        </w:rPr>
        <w:t>Christopher R Jones,</w:t>
      </w:r>
      <w:r w:rsidR="00BA0198" w:rsidRPr="00BA0198">
        <w:rPr>
          <w:rFonts w:ascii="Times New Roman" w:hAnsi="Times New Roman" w:cs="Times New Roman"/>
          <w:sz w:val="24"/>
          <w:szCs w:val="24"/>
          <w:vertAlign w:val="superscript"/>
        </w:rPr>
        <w:t>a</w:t>
      </w:r>
      <w:r w:rsidR="00BA0198" w:rsidRPr="00BA0198">
        <w:rPr>
          <w:rFonts w:ascii="Times New Roman" w:hAnsi="Times New Roman" w:cs="Times New Roman"/>
          <w:sz w:val="24"/>
          <w:szCs w:val="24"/>
        </w:rPr>
        <w:t xml:space="preserve"> </w:t>
      </w:r>
      <w:r w:rsidRPr="008C6492">
        <w:rPr>
          <w:rFonts w:ascii="Times New Roman" w:hAnsi="Times New Roman" w:cs="Times New Roman"/>
          <w:sz w:val="24"/>
          <w:szCs w:val="24"/>
        </w:rPr>
        <w:t>and Michael Watkinson*</w:t>
      </w:r>
      <w:r w:rsidRPr="008C6492">
        <w:rPr>
          <w:rFonts w:ascii="Times New Roman" w:hAnsi="Times New Roman" w:cs="Times New Roman"/>
          <w:sz w:val="24"/>
          <w:szCs w:val="24"/>
          <w:vertAlign w:val="superscript"/>
        </w:rPr>
        <w:t>c</w:t>
      </w:r>
      <w:r w:rsidRPr="008C6492">
        <w:rPr>
          <w:rFonts w:ascii="Times New Roman" w:hAnsi="Times New Roman" w:cs="Times New Roman"/>
          <w:sz w:val="24"/>
          <w:szCs w:val="24"/>
        </w:rPr>
        <w:t xml:space="preserve">  </w:t>
      </w:r>
    </w:p>
    <w:p w14:paraId="1EADF1B5" w14:textId="2F1C0348" w:rsidR="008C6492" w:rsidRPr="008C6492" w:rsidRDefault="008C6492" w:rsidP="008C6492">
      <w:pPr>
        <w:spacing w:line="259" w:lineRule="auto"/>
        <w:jc w:val="both"/>
        <w:rPr>
          <w:rFonts w:ascii="Times New Roman" w:hAnsi="Times New Roman" w:cs="Times New Roman"/>
        </w:rPr>
      </w:pPr>
      <w:r>
        <w:rPr>
          <w:rFonts w:ascii="Times New Roman" w:hAnsi="Times New Roman" w:cs="Times New Roman"/>
        </w:rPr>
        <w:t xml:space="preserve">a. </w:t>
      </w:r>
      <w:r w:rsidR="00556AF5">
        <w:rPr>
          <w:rFonts w:ascii="Times New Roman" w:hAnsi="Times New Roman" w:cs="Times New Roman"/>
        </w:rPr>
        <w:t xml:space="preserve">The Joseph Priestley Building, </w:t>
      </w:r>
      <w:r w:rsidRPr="008C6492">
        <w:rPr>
          <w:rFonts w:ascii="Times New Roman" w:hAnsi="Times New Roman" w:cs="Times New Roman"/>
        </w:rPr>
        <w:t>School of Biological and Chemical Science</w:t>
      </w:r>
      <w:r w:rsidR="00666371">
        <w:rPr>
          <w:rFonts w:ascii="Times New Roman" w:hAnsi="Times New Roman" w:cs="Times New Roman"/>
        </w:rPr>
        <w:t>s</w:t>
      </w:r>
      <w:r w:rsidRPr="008C6492">
        <w:rPr>
          <w:rFonts w:ascii="Times New Roman" w:hAnsi="Times New Roman" w:cs="Times New Roman"/>
        </w:rPr>
        <w:t>, Queen Mary University of London, Mile End Road, London, E1 4NS, UK.</w:t>
      </w:r>
    </w:p>
    <w:p w14:paraId="121E6301" w14:textId="4C080B2A" w:rsidR="008C6492" w:rsidRPr="008C6492" w:rsidRDefault="008C6492" w:rsidP="008C6492">
      <w:pPr>
        <w:spacing w:line="259" w:lineRule="auto"/>
        <w:jc w:val="both"/>
        <w:rPr>
          <w:rFonts w:ascii="Times New Roman" w:hAnsi="Times New Roman" w:cs="Times New Roman"/>
        </w:rPr>
      </w:pPr>
      <w:r>
        <w:rPr>
          <w:rFonts w:ascii="Times New Roman" w:hAnsi="Times New Roman" w:cs="Times New Roman"/>
        </w:rPr>
        <w:t xml:space="preserve">b. </w:t>
      </w:r>
      <w:r w:rsidRPr="008C6492">
        <w:rPr>
          <w:rFonts w:ascii="Times New Roman" w:hAnsi="Times New Roman" w:cs="Times New Roman"/>
        </w:rPr>
        <w:t>Centre for Cutaneous Research, Institute of Cell and Molecular Science, Barts and The London School of Medicine and Dentistry, Queen Mary University of London, London E1 2AT, UK.</w:t>
      </w:r>
    </w:p>
    <w:p w14:paraId="32C8E452" w14:textId="36BA3B7E" w:rsidR="008C6492" w:rsidRPr="008C6492" w:rsidRDefault="003A76EF" w:rsidP="008C6492">
      <w:pPr>
        <w:spacing w:line="259" w:lineRule="auto"/>
        <w:jc w:val="both"/>
        <w:rPr>
          <w:rFonts w:ascii="Times New Roman" w:hAnsi="Times New Roman" w:cs="Times New Roman"/>
        </w:rPr>
      </w:pPr>
      <w:r>
        <w:rPr>
          <w:rFonts w:ascii="Times New Roman" w:hAnsi="Times New Roman" w:cs="Times New Roman"/>
        </w:rPr>
        <w:t xml:space="preserve">c. </w:t>
      </w:r>
      <w:r w:rsidR="00556AF5">
        <w:rPr>
          <w:rFonts w:ascii="Times New Roman" w:hAnsi="Times New Roman" w:cs="Times New Roman"/>
        </w:rPr>
        <w:t xml:space="preserve">The Lennard-Jones Laboratories, </w:t>
      </w:r>
      <w:r w:rsidRPr="003A76EF">
        <w:rPr>
          <w:rFonts w:ascii="Times New Roman" w:hAnsi="Times New Roman" w:cs="Times New Roman"/>
        </w:rPr>
        <w:t>School of Chemical and Physical Science, Keele University, ST5 5BG, UK. Email: m.watkinson@keele.ac.uk</w:t>
      </w:r>
    </w:p>
    <w:p w14:paraId="19024769" w14:textId="739BD5EC" w:rsidR="0058526E" w:rsidRDefault="0058526E">
      <w:pPr>
        <w:spacing w:line="259" w:lineRule="auto"/>
        <w:jc w:val="both"/>
        <w:rPr>
          <w:rFonts w:ascii="Times New Roman" w:hAnsi="Times New Roman" w:cs="Times New Roman"/>
          <w:b/>
          <w:sz w:val="24"/>
          <w:szCs w:val="24"/>
        </w:rPr>
      </w:pPr>
    </w:p>
    <w:p w14:paraId="533B13AA" w14:textId="2E845988" w:rsidR="0014545F" w:rsidRDefault="00C110AE" w:rsidP="0014545F">
      <w:r>
        <w:rPr>
          <w:noProof/>
        </w:rPr>
        <w:object w:dxaOrig="8220" w:dyaOrig="3728" w14:anchorId="55BF44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 style="width:227.4pt;height:103pt;mso-width-percent:0;mso-height-percent:0;mso-width-percent:0;mso-height-percent:0" o:ole="">
            <v:imagedata r:id="rId8" o:title=""/>
          </v:shape>
          <o:OLEObject Type="Embed" ProgID="ACD.ChemSketchCDX" ShapeID="_x0000_i1026" DrawAspect="Content" ObjectID="_1633259691" r:id="rId9"/>
        </w:object>
      </w:r>
    </w:p>
    <w:p w14:paraId="1C6E33EE" w14:textId="77777777" w:rsidR="0014545F" w:rsidRDefault="0014545F" w:rsidP="0014545F"/>
    <w:p w14:paraId="4ACAFCC3" w14:textId="77777777" w:rsidR="0014545F" w:rsidRPr="005C40EA" w:rsidRDefault="0014545F" w:rsidP="005C40EA">
      <w:pPr>
        <w:spacing w:line="480" w:lineRule="auto"/>
        <w:jc w:val="both"/>
        <w:rPr>
          <w:rFonts w:ascii="Times New Roman" w:hAnsi="Times New Roman" w:cs="Times New Roman"/>
          <w:sz w:val="24"/>
          <w:szCs w:val="24"/>
        </w:rPr>
      </w:pPr>
      <w:r w:rsidRPr="005C40EA">
        <w:rPr>
          <w:rFonts w:ascii="Times New Roman" w:hAnsi="Times New Roman" w:cs="Times New Roman"/>
          <w:sz w:val="24"/>
          <w:szCs w:val="24"/>
        </w:rPr>
        <w:t>A modular ‘bottom to top’ synthesis of organelle targeted small molecule fluorescent probes for the detection of mobile zinc.</w:t>
      </w:r>
    </w:p>
    <w:p w14:paraId="028BC789" w14:textId="77777777" w:rsidR="00385399" w:rsidRDefault="00385399">
      <w:pPr>
        <w:spacing w:line="259" w:lineRule="auto"/>
        <w:jc w:val="both"/>
        <w:rPr>
          <w:rFonts w:ascii="Times New Roman" w:hAnsi="Times New Roman" w:cs="Times New Roman"/>
          <w:b/>
          <w:sz w:val="24"/>
          <w:szCs w:val="24"/>
        </w:rPr>
      </w:pPr>
    </w:p>
    <w:p w14:paraId="10C882BA" w14:textId="77777777" w:rsidR="00385399" w:rsidRDefault="00385399">
      <w:pPr>
        <w:spacing w:line="259" w:lineRule="auto"/>
        <w:jc w:val="both"/>
        <w:rPr>
          <w:rFonts w:ascii="Times New Roman" w:hAnsi="Times New Roman" w:cs="Times New Roman"/>
          <w:b/>
          <w:sz w:val="24"/>
          <w:szCs w:val="24"/>
        </w:rPr>
      </w:pPr>
      <w:r>
        <w:rPr>
          <w:rFonts w:ascii="Times New Roman" w:hAnsi="Times New Roman" w:cs="Times New Roman"/>
          <w:b/>
          <w:sz w:val="24"/>
          <w:szCs w:val="24"/>
        </w:rPr>
        <w:br w:type="page"/>
      </w:r>
    </w:p>
    <w:p w14:paraId="46B69666" w14:textId="77777777" w:rsidR="0064604A" w:rsidRPr="0064604A" w:rsidRDefault="0064604A" w:rsidP="0064604A">
      <w:pPr>
        <w:spacing w:line="480" w:lineRule="auto"/>
        <w:jc w:val="both"/>
        <w:rPr>
          <w:rFonts w:ascii="Times New Roman" w:hAnsi="Times New Roman" w:cs="Times New Roman"/>
          <w:b/>
          <w:color w:val="000000" w:themeColor="text1"/>
          <w:sz w:val="24"/>
          <w:szCs w:val="24"/>
        </w:rPr>
      </w:pPr>
      <w:r w:rsidRPr="0064604A">
        <w:rPr>
          <w:rFonts w:ascii="Times New Roman" w:hAnsi="Times New Roman" w:cs="Times New Roman"/>
          <w:b/>
          <w:color w:val="000000" w:themeColor="text1"/>
          <w:sz w:val="24"/>
          <w:szCs w:val="24"/>
        </w:rPr>
        <w:lastRenderedPageBreak/>
        <w:t>Abstract</w:t>
      </w:r>
    </w:p>
    <w:p w14:paraId="22E30634" w14:textId="64AF6956" w:rsidR="0064604A" w:rsidRDefault="0064604A" w:rsidP="0064604A">
      <w:pPr>
        <w:spacing w:line="480" w:lineRule="auto"/>
        <w:jc w:val="both"/>
        <w:rPr>
          <w:rFonts w:ascii="Times New Roman" w:hAnsi="Times New Roman" w:cs="Times New Roman"/>
          <w:sz w:val="24"/>
          <w:szCs w:val="24"/>
        </w:rPr>
      </w:pPr>
      <w:r w:rsidRPr="0064604A">
        <w:rPr>
          <w:rFonts w:ascii="Times New Roman" w:hAnsi="Times New Roman" w:cs="Times New Roman"/>
          <w:color w:val="000000" w:themeColor="text1"/>
          <w:sz w:val="24"/>
          <w:szCs w:val="24"/>
        </w:rPr>
        <w:t>Zn</w:t>
      </w:r>
      <w:r w:rsidRPr="0064604A">
        <w:rPr>
          <w:rFonts w:ascii="Times New Roman" w:hAnsi="Times New Roman" w:cs="Times New Roman"/>
          <w:color w:val="000000" w:themeColor="text1"/>
          <w:sz w:val="24"/>
          <w:szCs w:val="24"/>
          <w:vertAlign w:val="superscript"/>
        </w:rPr>
        <w:t>2+</w:t>
      </w:r>
      <w:r w:rsidRPr="0064604A">
        <w:rPr>
          <w:rFonts w:ascii="Times New Roman" w:hAnsi="Times New Roman" w:cs="Times New Roman"/>
          <w:color w:val="000000" w:themeColor="text1"/>
          <w:sz w:val="24"/>
          <w:szCs w:val="24"/>
        </w:rPr>
        <w:t xml:space="preserve"> is involved in a number of biological processes and its wide-ranging roles at the subcellular level, especially in specific organelles, have not yet been fully established due to a lack of tools to image it effectively. We report a new and efficient modular double ‘click’ approach towards a range of sub-cellular localised probes for mobile zinc. Through this methodology, endoplasmic reticulum, mitochondria and lysosome localised probes were successfully prepared which show good fluorescence responses to mobile Zn</w:t>
      </w:r>
      <w:r w:rsidRPr="0064604A">
        <w:rPr>
          <w:rFonts w:ascii="Times New Roman" w:hAnsi="Times New Roman" w:cs="Times New Roman"/>
          <w:color w:val="000000" w:themeColor="text1"/>
          <w:sz w:val="24"/>
          <w:szCs w:val="24"/>
          <w:vertAlign w:val="superscript"/>
        </w:rPr>
        <w:t>2+</w:t>
      </w:r>
      <w:r w:rsidRPr="0064604A">
        <w:rPr>
          <w:rFonts w:ascii="Times New Roman" w:hAnsi="Times New Roman" w:cs="Times New Roman"/>
          <w:color w:val="000000" w:themeColor="text1"/>
          <w:sz w:val="24"/>
          <w:szCs w:val="24"/>
        </w:rPr>
        <w:t xml:space="preserve"> in vitro and in cellulo whilst a non-targeting probe was synthesized as a control. The methodology appears to have wide-utility for the generation of sub-cellular localised probes by incorporating specific organelle targeting vectors for mobile Zn</w:t>
      </w:r>
      <w:r w:rsidRPr="0064604A">
        <w:rPr>
          <w:rFonts w:ascii="Times New Roman" w:hAnsi="Times New Roman" w:cs="Times New Roman"/>
          <w:color w:val="000000" w:themeColor="text1"/>
          <w:sz w:val="24"/>
          <w:szCs w:val="24"/>
          <w:vertAlign w:val="superscript"/>
        </w:rPr>
        <w:t>2+</w:t>
      </w:r>
      <w:r w:rsidRPr="0064604A">
        <w:rPr>
          <w:rFonts w:ascii="Times New Roman" w:hAnsi="Times New Roman" w:cs="Times New Roman"/>
          <w:color w:val="000000" w:themeColor="text1"/>
          <w:sz w:val="24"/>
          <w:szCs w:val="24"/>
        </w:rPr>
        <w:t xml:space="preserve"> imaging.</w:t>
      </w:r>
      <w:r w:rsidRPr="0064604A">
        <w:rPr>
          <w:rFonts w:ascii="Times New Roman" w:hAnsi="Times New Roman" w:cs="Times New Roman"/>
          <w:sz w:val="24"/>
          <w:szCs w:val="24"/>
        </w:rPr>
        <w:t xml:space="preserve">  </w:t>
      </w:r>
    </w:p>
    <w:p w14:paraId="6AAF435E" w14:textId="77777777" w:rsidR="00842C0E" w:rsidRDefault="00842C0E" w:rsidP="00301F4F">
      <w:pPr>
        <w:spacing w:line="480" w:lineRule="auto"/>
        <w:jc w:val="both"/>
        <w:rPr>
          <w:rFonts w:ascii="Times New Roman" w:hAnsi="Times New Roman" w:cs="Times New Roman"/>
          <w:b/>
          <w:sz w:val="24"/>
          <w:szCs w:val="24"/>
        </w:rPr>
      </w:pPr>
    </w:p>
    <w:p w14:paraId="57AC6EEE" w14:textId="6FA366E5" w:rsidR="00301F4F" w:rsidRPr="00301F4F" w:rsidRDefault="00301F4F" w:rsidP="00301F4F">
      <w:pPr>
        <w:spacing w:line="480" w:lineRule="auto"/>
        <w:jc w:val="both"/>
        <w:rPr>
          <w:rFonts w:ascii="Times New Roman" w:hAnsi="Times New Roman" w:cs="Times New Roman"/>
          <w:b/>
          <w:sz w:val="24"/>
          <w:szCs w:val="24"/>
        </w:rPr>
      </w:pPr>
      <w:r w:rsidRPr="00301F4F">
        <w:rPr>
          <w:rFonts w:ascii="Times New Roman" w:hAnsi="Times New Roman" w:cs="Times New Roman"/>
          <w:b/>
          <w:sz w:val="24"/>
          <w:szCs w:val="24"/>
        </w:rPr>
        <w:t xml:space="preserve">Introduction </w:t>
      </w:r>
    </w:p>
    <w:p w14:paraId="0D28932E" w14:textId="77777777" w:rsidR="00301F4F" w:rsidRPr="00301F4F" w:rsidRDefault="00301F4F" w:rsidP="00301F4F">
      <w:pPr>
        <w:spacing w:line="480" w:lineRule="auto"/>
        <w:jc w:val="both"/>
        <w:rPr>
          <w:rFonts w:ascii="Times New Roman" w:hAnsi="Times New Roman" w:cs="Times New Roman"/>
          <w:sz w:val="24"/>
          <w:szCs w:val="24"/>
        </w:rPr>
      </w:pPr>
      <w:r w:rsidRPr="00301F4F">
        <w:rPr>
          <w:rFonts w:ascii="Times New Roman" w:hAnsi="Times New Roman" w:cs="Times New Roman"/>
          <w:sz w:val="24"/>
          <w:szCs w:val="24"/>
        </w:rPr>
        <w:t>Zinc, as the second most abundant d-block metal in the human body, plays an extremely important role in a wide range of biological processes, such as brain function and pathology,</w:t>
      </w:r>
      <w:r w:rsidRPr="00301F4F">
        <w:rPr>
          <w:rFonts w:ascii="Times New Roman" w:hAnsi="Times New Roman" w:cs="Times New Roman"/>
          <w:sz w:val="24"/>
          <w:szCs w:val="24"/>
          <w:vertAlign w:val="superscript"/>
        </w:rPr>
        <w:t xml:space="preserve">1,2 </w:t>
      </w:r>
      <w:r w:rsidRPr="00301F4F">
        <w:rPr>
          <w:rFonts w:ascii="Times New Roman" w:hAnsi="Times New Roman" w:cs="Times New Roman"/>
          <w:sz w:val="24"/>
          <w:szCs w:val="24"/>
        </w:rPr>
        <w:t>immune function,</w:t>
      </w:r>
      <w:r w:rsidRPr="00301F4F">
        <w:rPr>
          <w:rFonts w:ascii="Times New Roman" w:hAnsi="Times New Roman" w:cs="Times New Roman"/>
          <w:sz w:val="24"/>
          <w:szCs w:val="24"/>
          <w:vertAlign w:val="superscript"/>
        </w:rPr>
        <w:t>3,4</w:t>
      </w:r>
      <w:r w:rsidRPr="00301F4F">
        <w:rPr>
          <w:rFonts w:ascii="Times New Roman" w:hAnsi="Times New Roman" w:cs="Times New Roman"/>
          <w:sz w:val="24"/>
          <w:szCs w:val="24"/>
        </w:rPr>
        <w:t xml:space="preserve"> gene transcription,</w:t>
      </w:r>
      <w:r w:rsidRPr="00301F4F">
        <w:rPr>
          <w:rFonts w:ascii="Times New Roman" w:hAnsi="Times New Roman" w:cs="Times New Roman"/>
          <w:sz w:val="24"/>
          <w:szCs w:val="24"/>
          <w:vertAlign w:val="superscript"/>
        </w:rPr>
        <w:t>5,6</w:t>
      </w:r>
      <w:r w:rsidRPr="00301F4F">
        <w:rPr>
          <w:rFonts w:ascii="Times New Roman" w:hAnsi="Times New Roman" w:cs="Times New Roman"/>
          <w:sz w:val="24"/>
          <w:szCs w:val="24"/>
        </w:rPr>
        <w:t xml:space="preserve"> and mammalian reproduction.</w:t>
      </w:r>
      <w:r w:rsidRPr="00301F4F">
        <w:rPr>
          <w:rFonts w:ascii="Times New Roman" w:hAnsi="Times New Roman" w:cs="Times New Roman"/>
          <w:sz w:val="24"/>
          <w:szCs w:val="24"/>
          <w:vertAlign w:val="superscript"/>
        </w:rPr>
        <w:t>7</w:t>
      </w:r>
      <w:r w:rsidRPr="00301F4F">
        <w:rPr>
          <w:rFonts w:ascii="Times New Roman" w:hAnsi="Times New Roman" w:cs="Times New Roman"/>
          <w:sz w:val="24"/>
          <w:szCs w:val="24"/>
        </w:rPr>
        <w:t xml:space="preserve"> Due to this, problems with zinc homeostasis are associated with many diseases, including Alzheimer's disease,</w:t>
      </w:r>
      <w:r w:rsidRPr="00301F4F">
        <w:rPr>
          <w:rFonts w:ascii="Times New Roman" w:hAnsi="Times New Roman" w:cs="Times New Roman"/>
          <w:sz w:val="24"/>
          <w:szCs w:val="24"/>
          <w:vertAlign w:val="superscript"/>
        </w:rPr>
        <w:t>8</w:t>
      </w:r>
      <w:r w:rsidRPr="00301F4F">
        <w:rPr>
          <w:rFonts w:ascii="Times New Roman" w:hAnsi="Times New Roman" w:cs="Times New Roman"/>
          <w:sz w:val="24"/>
          <w:szCs w:val="24"/>
        </w:rPr>
        <w:t xml:space="preserve"> prostate cancer,</w:t>
      </w:r>
      <w:r w:rsidRPr="00301F4F">
        <w:rPr>
          <w:rFonts w:ascii="Times New Roman" w:hAnsi="Times New Roman" w:cs="Times New Roman"/>
          <w:sz w:val="24"/>
          <w:szCs w:val="24"/>
          <w:vertAlign w:val="superscript"/>
        </w:rPr>
        <w:t>9,10</w:t>
      </w:r>
      <w:r w:rsidRPr="00301F4F">
        <w:rPr>
          <w:rFonts w:ascii="Times New Roman" w:hAnsi="Times New Roman" w:cs="Times New Roman"/>
          <w:sz w:val="24"/>
          <w:szCs w:val="24"/>
        </w:rPr>
        <w:t xml:space="preserve"> type 2 diabetes,</w:t>
      </w:r>
      <w:r w:rsidRPr="00301F4F">
        <w:rPr>
          <w:rFonts w:ascii="Times New Roman" w:hAnsi="Times New Roman" w:cs="Times New Roman"/>
          <w:sz w:val="24"/>
          <w:szCs w:val="24"/>
          <w:vertAlign w:val="superscript"/>
        </w:rPr>
        <w:t>11</w:t>
      </w:r>
      <w:r w:rsidRPr="00301F4F">
        <w:rPr>
          <w:rFonts w:ascii="Times New Roman" w:hAnsi="Times New Roman" w:cs="Times New Roman"/>
          <w:sz w:val="24"/>
          <w:szCs w:val="24"/>
        </w:rPr>
        <w:t xml:space="preserve"> and ischemic stroke.</w:t>
      </w:r>
      <w:r w:rsidRPr="00301F4F">
        <w:rPr>
          <w:rFonts w:ascii="Times New Roman" w:hAnsi="Times New Roman" w:cs="Times New Roman"/>
          <w:sz w:val="24"/>
          <w:szCs w:val="24"/>
          <w:vertAlign w:val="superscript"/>
        </w:rPr>
        <w:t>12</w:t>
      </w:r>
      <w:r w:rsidRPr="00301F4F">
        <w:rPr>
          <w:rFonts w:ascii="Times New Roman" w:hAnsi="Times New Roman" w:cs="Times New Roman"/>
          <w:sz w:val="24"/>
          <w:szCs w:val="24"/>
        </w:rPr>
        <w:t xml:space="preserve"> Though most of the zinc is in bound forms, there exist mobile pools of zinc that play a critical role in a range of cellular processes and its biological trafficking and control is performed by a complex array of transporter proteins.</w:t>
      </w:r>
      <w:r w:rsidRPr="00301F4F">
        <w:rPr>
          <w:rFonts w:ascii="Times New Roman" w:hAnsi="Times New Roman" w:cs="Times New Roman"/>
          <w:sz w:val="24"/>
          <w:szCs w:val="24"/>
          <w:vertAlign w:val="superscript"/>
        </w:rPr>
        <w:t>13,14</w:t>
      </w:r>
      <w:r w:rsidRPr="00301F4F">
        <w:rPr>
          <w:rFonts w:ascii="Times New Roman" w:hAnsi="Times New Roman" w:cs="Times New Roman"/>
          <w:sz w:val="24"/>
          <w:szCs w:val="24"/>
        </w:rPr>
        <w:t xml:space="preserve">  Variation in these tightly regulated mobile zinc levels adversely affects a number of cellular processes. For example, it is known that the dysregulation of zinc transporters or zinc deficiency in the endoplasmic reticulum (ER) causes ER stress and this activates the unfolded protein response (UPR).</w:t>
      </w:r>
      <w:r w:rsidRPr="00301F4F">
        <w:rPr>
          <w:rFonts w:ascii="Times New Roman" w:hAnsi="Times New Roman" w:cs="Times New Roman"/>
          <w:sz w:val="24"/>
          <w:szCs w:val="24"/>
          <w:vertAlign w:val="superscript"/>
        </w:rPr>
        <w:t>15–17</w:t>
      </w:r>
      <w:r w:rsidRPr="00301F4F">
        <w:rPr>
          <w:rFonts w:ascii="Times New Roman" w:hAnsi="Times New Roman" w:cs="Times New Roman"/>
          <w:sz w:val="24"/>
          <w:szCs w:val="24"/>
        </w:rPr>
        <w:t xml:space="preserve"> In addition, Zn</w:t>
      </w:r>
      <w:r w:rsidRPr="00301F4F">
        <w:rPr>
          <w:rFonts w:ascii="Times New Roman" w:hAnsi="Times New Roman" w:cs="Times New Roman"/>
          <w:sz w:val="24"/>
          <w:szCs w:val="24"/>
          <w:vertAlign w:val="superscript"/>
        </w:rPr>
        <w:t>2+</w:t>
      </w:r>
      <w:r w:rsidRPr="00301F4F">
        <w:rPr>
          <w:rFonts w:ascii="Times New Roman" w:hAnsi="Times New Roman" w:cs="Times New Roman"/>
          <w:sz w:val="24"/>
          <w:szCs w:val="24"/>
        </w:rPr>
        <w:t xml:space="preserve"> is  closely associated with the mitochondrial respiratory chain and this organelle is also involved in intracellular Zn</w:t>
      </w:r>
      <w:r w:rsidRPr="00301F4F">
        <w:rPr>
          <w:rFonts w:ascii="Times New Roman" w:hAnsi="Times New Roman" w:cs="Times New Roman"/>
          <w:sz w:val="24"/>
          <w:szCs w:val="24"/>
          <w:vertAlign w:val="superscript"/>
        </w:rPr>
        <w:t>2+</w:t>
      </w:r>
      <w:r w:rsidRPr="00301F4F">
        <w:rPr>
          <w:rFonts w:ascii="Times New Roman" w:hAnsi="Times New Roman" w:cs="Times New Roman"/>
          <w:sz w:val="24"/>
          <w:szCs w:val="24"/>
        </w:rPr>
        <w:t xml:space="preserve"> </w:t>
      </w:r>
      <w:r w:rsidRPr="00301F4F">
        <w:rPr>
          <w:rFonts w:ascii="Times New Roman" w:hAnsi="Times New Roman" w:cs="Times New Roman"/>
          <w:sz w:val="24"/>
          <w:szCs w:val="24"/>
        </w:rPr>
        <w:lastRenderedPageBreak/>
        <w:t>transportation and storage.</w:t>
      </w:r>
      <w:r w:rsidRPr="00301F4F">
        <w:rPr>
          <w:rFonts w:ascii="Times New Roman" w:hAnsi="Times New Roman" w:cs="Times New Roman"/>
          <w:sz w:val="24"/>
          <w:szCs w:val="24"/>
          <w:vertAlign w:val="superscript"/>
        </w:rPr>
        <w:t>18–20</w:t>
      </w:r>
      <w:r w:rsidRPr="00301F4F">
        <w:rPr>
          <w:rFonts w:ascii="Times New Roman" w:hAnsi="Times New Roman" w:cs="Times New Roman"/>
          <w:sz w:val="24"/>
          <w:szCs w:val="24"/>
        </w:rPr>
        <w:t xml:space="preserve"> The influx of hydrogen peroxide also results in a rapid release of Zn</w:t>
      </w:r>
      <w:r w:rsidRPr="00301F4F">
        <w:rPr>
          <w:rFonts w:ascii="Times New Roman" w:hAnsi="Times New Roman" w:cs="Times New Roman"/>
          <w:sz w:val="24"/>
          <w:szCs w:val="24"/>
          <w:vertAlign w:val="superscript"/>
        </w:rPr>
        <w:t>2+</w:t>
      </w:r>
      <w:r w:rsidRPr="00301F4F">
        <w:rPr>
          <w:rFonts w:ascii="Times New Roman" w:hAnsi="Times New Roman" w:cs="Times New Roman"/>
          <w:sz w:val="24"/>
          <w:szCs w:val="24"/>
        </w:rPr>
        <w:t xml:space="preserve"> that accumulates in the lysosome, causing lysosomal membrane permeabilization (LMP)</w:t>
      </w:r>
      <w:r w:rsidRPr="00301F4F">
        <w:rPr>
          <w:rFonts w:ascii="Times New Roman" w:hAnsi="Times New Roman" w:cs="Times New Roman"/>
          <w:sz w:val="24"/>
          <w:szCs w:val="24"/>
          <w:vertAlign w:val="superscript"/>
        </w:rPr>
        <w:t>21</w:t>
      </w:r>
      <w:r w:rsidRPr="00301F4F">
        <w:rPr>
          <w:rFonts w:ascii="Times New Roman" w:hAnsi="Times New Roman" w:cs="Times New Roman"/>
          <w:sz w:val="24"/>
          <w:szCs w:val="24"/>
        </w:rPr>
        <w:t xml:space="preserve"> inducing hippocampal neuronal death, which is related to various neurodegenerative diseases.</w:t>
      </w:r>
      <w:r w:rsidRPr="00301F4F">
        <w:rPr>
          <w:rFonts w:ascii="Times New Roman" w:hAnsi="Times New Roman" w:cs="Times New Roman"/>
          <w:sz w:val="24"/>
          <w:szCs w:val="24"/>
          <w:vertAlign w:val="superscript"/>
        </w:rPr>
        <w:t>2,22</w:t>
      </w:r>
      <w:r w:rsidRPr="00301F4F">
        <w:rPr>
          <w:rFonts w:ascii="Times New Roman" w:hAnsi="Times New Roman" w:cs="Times New Roman"/>
          <w:sz w:val="24"/>
          <w:szCs w:val="24"/>
        </w:rPr>
        <w:t xml:space="preserve"> Therefore, a comprehensive understanding of the distribution, uptake and trafficking of mobile Zn</w:t>
      </w:r>
      <w:r w:rsidRPr="00301F4F">
        <w:rPr>
          <w:rFonts w:ascii="Times New Roman" w:hAnsi="Times New Roman" w:cs="Times New Roman"/>
          <w:sz w:val="24"/>
          <w:szCs w:val="24"/>
          <w:vertAlign w:val="superscript"/>
        </w:rPr>
        <w:t>2+</w:t>
      </w:r>
      <w:r w:rsidRPr="00301F4F">
        <w:rPr>
          <w:rFonts w:ascii="Times New Roman" w:hAnsi="Times New Roman" w:cs="Times New Roman"/>
          <w:sz w:val="24"/>
          <w:szCs w:val="24"/>
        </w:rPr>
        <w:t xml:space="preserve"> in biological systems, especially at the sub-cellular level is essential for the development of a fundamental understanding of its role in the array of  biological processes it is associated with. </w:t>
      </w:r>
    </w:p>
    <w:p w14:paraId="68A302B5" w14:textId="77777777" w:rsidR="00301F4F" w:rsidRPr="00301F4F" w:rsidRDefault="00301F4F" w:rsidP="00301F4F">
      <w:pPr>
        <w:spacing w:line="480" w:lineRule="auto"/>
        <w:jc w:val="both"/>
        <w:rPr>
          <w:rFonts w:ascii="Times New Roman" w:hAnsi="Times New Roman" w:cs="Times New Roman"/>
          <w:sz w:val="24"/>
          <w:szCs w:val="24"/>
        </w:rPr>
      </w:pPr>
      <w:r w:rsidRPr="00301F4F">
        <w:rPr>
          <w:rFonts w:ascii="Times New Roman" w:hAnsi="Times New Roman" w:cs="Times New Roman"/>
          <w:sz w:val="24"/>
          <w:szCs w:val="24"/>
        </w:rPr>
        <w:t>Small molecule fluorescent probes have many advantages as tools to image mobile zinc such as their high sensitivity and selectivity, low toxicity, and good photophysical properties. Consequently they have been widely used to investigate biological events involving mobile zinc.</w:t>
      </w:r>
      <w:r w:rsidRPr="00301F4F">
        <w:rPr>
          <w:rFonts w:ascii="Times New Roman" w:hAnsi="Times New Roman" w:cs="Times New Roman"/>
          <w:sz w:val="24"/>
          <w:szCs w:val="24"/>
          <w:vertAlign w:val="superscript"/>
        </w:rPr>
        <w:t>23–27</w:t>
      </w:r>
      <w:r w:rsidRPr="00301F4F">
        <w:rPr>
          <w:rFonts w:ascii="Times New Roman" w:hAnsi="Times New Roman" w:cs="Times New Roman"/>
          <w:sz w:val="24"/>
          <w:szCs w:val="24"/>
        </w:rPr>
        <w:t xml:space="preserve"> However, a failure to control the probes’ sub-cellular location limits their utility somewhat. In the last decade, there have been extensive efforts in the development of probes to detect mobile zinc in specific cellular space, such as the extracellular plasma membrane,</w:t>
      </w:r>
      <w:r w:rsidRPr="00301F4F">
        <w:rPr>
          <w:rFonts w:ascii="Times New Roman" w:hAnsi="Times New Roman" w:cs="Times New Roman"/>
          <w:sz w:val="24"/>
          <w:szCs w:val="24"/>
          <w:vertAlign w:val="superscript"/>
        </w:rPr>
        <w:t>28–31</w:t>
      </w:r>
      <w:r w:rsidRPr="00301F4F">
        <w:rPr>
          <w:rFonts w:ascii="Times New Roman" w:hAnsi="Times New Roman" w:cs="Times New Roman"/>
          <w:sz w:val="24"/>
          <w:szCs w:val="24"/>
        </w:rPr>
        <w:t xml:space="preserve"> mitochondria,</w:t>
      </w:r>
      <w:r w:rsidRPr="00301F4F">
        <w:rPr>
          <w:rFonts w:ascii="Times New Roman" w:hAnsi="Times New Roman" w:cs="Times New Roman"/>
          <w:sz w:val="24"/>
          <w:szCs w:val="24"/>
          <w:vertAlign w:val="superscript"/>
        </w:rPr>
        <w:t>32–35</w:t>
      </w:r>
      <w:r w:rsidRPr="00301F4F">
        <w:rPr>
          <w:rFonts w:ascii="Times New Roman" w:hAnsi="Times New Roman" w:cs="Times New Roman"/>
          <w:sz w:val="24"/>
          <w:szCs w:val="24"/>
        </w:rPr>
        <w:t xml:space="preserve"> lysosome,</w:t>
      </w:r>
      <w:r w:rsidRPr="00301F4F">
        <w:rPr>
          <w:rFonts w:ascii="Times New Roman" w:hAnsi="Times New Roman" w:cs="Times New Roman"/>
          <w:sz w:val="24"/>
          <w:szCs w:val="24"/>
          <w:vertAlign w:val="superscript"/>
        </w:rPr>
        <w:t>36–39</w:t>
      </w:r>
      <w:r w:rsidRPr="00301F4F">
        <w:rPr>
          <w:rFonts w:ascii="Times New Roman" w:hAnsi="Times New Roman" w:cs="Times New Roman"/>
          <w:sz w:val="24"/>
          <w:szCs w:val="24"/>
        </w:rPr>
        <w:t xml:space="preserve"> ER</w:t>
      </w:r>
      <w:r w:rsidRPr="00301F4F">
        <w:rPr>
          <w:rFonts w:ascii="Times New Roman" w:hAnsi="Times New Roman" w:cs="Times New Roman"/>
          <w:sz w:val="24"/>
          <w:szCs w:val="24"/>
          <w:vertAlign w:val="superscript"/>
        </w:rPr>
        <w:t xml:space="preserve">40,41 </w:t>
      </w:r>
      <w:r w:rsidRPr="00301F4F">
        <w:rPr>
          <w:rFonts w:ascii="Times New Roman" w:hAnsi="Times New Roman" w:cs="Times New Roman"/>
          <w:sz w:val="24"/>
          <w:szCs w:val="24"/>
        </w:rPr>
        <w:t>and the Golgi apparatus.</w:t>
      </w:r>
      <w:r w:rsidRPr="00301F4F">
        <w:rPr>
          <w:rFonts w:ascii="Times New Roman" w:hAnsi="Times New Roman" w:cs="Times New Roman"/>
          <w:sz w:val="24"/>
          <w:szCs w:val="24"/>
          <w:vertAlign w:val="superscript"/>
        </w:rPr>
        <w:t>42,43</w:t>
      </w:r>
      <w:r w:rsidRPr="00301F4F">
        <w:rPr>
          <w:rFonts w:ascii="Times New Roman" w:hAnsi="Times New Roman" w:cs="Times New Roman"/>
          <w:sz w:val="24"/>
          <w:szCs w:val="24"/>
        </w:rPr>
        <w:t xml:space="preserve"> Whilst some success has been achieved through adventitious localisation, probe localisation in specific organelles through the inclusion of targeting vectors has proven to be the most effective and reliable strategy. For example, the triphenylphosphonium salt (TPP)</w:t>
      </w:r>
      <w:r w:rsidRPr="00301F4F">
        <w:rPr>
          <w:rFonts w:ascii="Times New Roman" w:hAnsi="Times New Roman" w:cs="Times New Roman"/>
          <w:sz w:val="24"/>
          <w:szCs w:val="24"/>
          <w:vertAlign w:val="superscript"/>
        </w:rPr>
        <w:t>32,44,45</w:t>
      </w:r>
      <w:r w:rsidRPr="00301F4F">
        <w:rPr>
          <w:rFonts w:ascii="Times New Roman" w:hAnsi="Times New Roman" w:cs="Times New Roman"/>
          <w:sz w:val="24"/>
          <w:szCs w:val="24"/>
        </w:rPr>
        <w:t xml:space="preserve"> has been demonstrated to target the mitochondria effectively, whilst basic ethylenediamine</w:t>
      </w:r>
      <w:r w:rsidRPr="00301F4F">
        <w:rPr>
          <w:rFonts w:ascii="Times New Roman" w:hAnsi="Times New Roman" w:cs="Times New Roman"/>
          <w:sz w:val="24"/>
          <w:szCs w:val="24"/>
          <w:vertAlign w:val="superscript"/>
        </w:rPr>
        <w:t>36</w:t>
      </w:r>
      <w:r w:rsidRPr="00301F4F">
        <w:rPr>
          <w:rFonts w:ascii="Times New Roman" w:hAnsi="Times New Roman" w:cs="Times New Roman"/>
          <w:sz w:val="24"/>
          <w:szCs w:val="24"/>
        </w:rPr>
        <w:t xml:space="preserve"> or morpholine</w:t>
      </w:r>
      <w:r w:rsidRPr="00301F4F">
        <w:rPr>
          <w:rFonts w:ascii="Times New Roman" w:hAnsi="Times New Roman" w:cs="Times New Roman"/>
          <w:sz w:val="24"/>
          <w:szCs w:val="24"/>
          <w:vertAlign w:val="superscript"/>
        </w:rPr>
        <w:t>38,39,46</w:t>
      </w:r>
      <w:r w:rsidRPr="00301F4F">
        <w:rPr>
          <w:rFonts w:ascii="Times New Roman" w:hAnsi="Times New Roman" w:cs="Times New Roman"/>
          <w:sz w:val="24"/>
          <w:szCs w:val="24"/>
        </w:rPr>
        <w:t xml:space="preserve"> groups have been used to target lysosomal space. Whilst this strategy has not been as widely explored in ER-localized fluorescent Zn</w:t>
      </w:r>
      <w:r w:rsidRPr="00301F4F">
        <w:rPr>
          <w:rFonts w:ascii="Times New Roman" w:hAnsi="Times New Roman" w:cs="Times New Roman"/>
          <w:sz w:val="24"/>
          <w:szCs w:val="24"/>
          <w:vertAlign w:val="superscript"/>
        </w:rPr>
        <w:t>2+</w:t>
      </w:r>
      <w:r w:rsidRPr="00301F4F">
        <w:rPr>
          <w:rFonts w:ascii="Times New Roman" w:hAnsi="Times New Roman" w:cs="Times New Roman"/>
          <w:sz w:val="24"/>
          <w:szCs w:val="24"/>
        </w:rPr>
        <w:t xml:space="preserve"> probes a number of recent reports have appeared in which the methyl sulfonamide group has been used as a targeting unit to visualize hydrogen peroxide,</w:t>
      </w:r>
      <w:r w:rsidRPr="00301F4F">
        <w:rPr>
          <w:rFonts w:ascii="Times New Roman" w:hAnsi="Times New Roman" w:cs="Times New Roman"/>
          <w:sz w:val="24"/>
          <w:szCs w:val="24"/>
          <w:vertAlign w:val="superscript"/>
        </w:rPr>
        <w:t>47</w:t>
      </w:r>
      <w:r w:rsidRPr="00301F4F">
        <w:rPr>
          <w:rFonts w:ascii="Times New Roman" w:hAnsi="Times New Roman" w:cs="Times New Roman"/>
          <w:sz w:val="24"/>
          <w:szCs w:val="24"/>
        </w:rPr>
        <w:t xml:space="preserve"> methylglyoxal,</w:t>
      </w:r>
      <w:r w:rsidRPr="00301F4F">
        <w:rPr>
          <w:rFonts w:ascii="Times New Roman" w:hAnsi="Times New Roman" w:cs="Times New Roman"/>
          <w:sz w:val="24"/>
          <w:szCs w:val="24"/>
          <w:vertAlign w:val="superscript"/>
        </w:rPr>
        <w:t>48</w:t>
      </w:r>
      <w:r w:rsidRPr="00301F4F">
        <w:rPr>
          <w:rFonts w:ascii="Times New Roman" w:hAnsi="Times New Roman" w:cs="Times New Roman"/>
          <w:sz w:val="24"/>
          <w:szCs w:val="24"/>
        </w:rPr>
        <w:t xml:space="preserve"> hypochlorite</w:t>
      </w:r>
      <w:r w:rsidRPr="00301F4F">
        <w:rPr>
          <w:rFonts w:ascii="Times New Roman" w:hAnsi="Times New Roman" w:cs="Times New Roman"/>
          <w:sz w:val="24"/>
          <w:szCs w:val="24"/>
          <w:vertAlign w:val="superscript"/>
        </w:rPr>
        <w:t>49</w:t>
      </w:r>
      <w:r w:rsidRPr="00301F4F">
        <w:rPr>
          <w:rFonts w:ascii="Times New Roman" w:hAnsi="Times New Roman" w:cs="Times New Roman"/>
          <w:sz w:val="24"/>
          <w:szCs w:val="24"/>
        </w:rPr>
        <w:t xml:space="preserve"> and hydrogen sulfide</w:t>
      </w:r>
      <w:r w:rsidRPr="00301F4F">
        <w:rPr>
          <w:rFonts w:ascii="Times New Roman" w:hAnsi="Times New Roman" w:cs="Times New Roman"/>
          <w:sz w:val="24"/>
          <w:szCs w:val="24"/>
          <w:vertAlign w:val="superscript"/>
        </w:rPr>
        <w:t>50</w:t>
      </w:r>
      <w:r w:rsidRPr="00301F4F">
        <w:rPr>
          <w:rFonts w:ascii="Times New Roman" w:hAnsi="Times New Roman" w:cs="Times New Roman"/>
          <w:sz w:val="24"/>
          <w:szCs w:val="24"/>
        </w:rPr>
        <w:t xml:space="preserve"> in the ER.</w:t>
      </w:r>
    </w:p>
    <w:p w14:paraId="386903A6" w14:textId="2E8EDF80" w:rsidR="0064604A" w:rsidRDefault="00301F4F" w:rsidP="00301F4F">
      <w:pPr>
        <w:spacing w:line="480" w:lineRule="auto"/>
        <w:jc w:val="both"/>
        <w:rPr>
          <w:rFonts w:ascii="Times New Roman" w:hAnsi="Times New Roman" w:cs="Times New Roman"/>
          <w:sz w:val="24"/>
          <w:szCs w:val="24"/>
        </w:rPr>
      </w:pPr>
      <w:r w:rsidRPr="00301F4F">
        <w:rPr>
          <w:rFonts w:ascii="Times New Roman" w:hAnsi="Times New Roman" w:cs="Times New Roman"/>
          <w:sz w:val="24"/>
          <w:szCs w:val="24"/>
        </w:rPr>
        <w:t>Previously we have reported a modular ‘click’ synthetic methodology to produce an array of fluorescent probes for imaging of zinc at specific cellular targets (see Fig. 1),</w:t>
      </w:r>
      <w:r w:rsidRPr="00301F4F">
        <w:rPr>
          <w:rFonts w:ascii="Times New Roman" w:hAnsi="Times New Roman" w:cs="Times New Roman"/>
          <w:sz w:val="24"/>
          <w:szCs w:val="24"/>
          <w:vertAlign w:val="superscript"/>
        </w:rPr>
        <w:t>51,52</w:t>
      </w:r>
      <w:r w:rsidRPr="00301F4F">
        <w:rPr>
          <w:rFonts w:ascii="Times New Roman" w:hAnsi="Times New Roman" w:cs="Times New Roman"/>
          <w:sz w:val="24"/>
          <w:szCs w:val="24"/>
        </w:rPr>
        <w:t xml:space="preserve"> whilst others have also used ‘click’ methodology to good effect in naphthalimide-based probes.</w:t>
      </w:r>
      <w:r w:rsidRPr="00301F4F">
        <w:rPr>
          <w:rFonts w:ascii="Times New Roman" w:hAnsi="Times New Roman" w:cs="Times New Roman"/>
          <w:sz w:val="24"/>
          <w:szCs w:val="24"/>
          <w:vertAlign w:val="superscript"/>
        </w:rPr>
        <w:t>53,54</w:t>
      </w:r>
      <w:r w:rsidRPr="00301F4F">
        <w:rPr>
          <w:rFonts w:ascii="Times New Roman" w:hAnsi="Times New Roman" w:cs="Times New Roman"/>
          <w:sz w:val="24"/>
          <w:szCs w:val="24"/>
        </w:rPr>
        <w:t xml:space="preserve"> </w:t>
      </w:r>
      <w:r w:rsidRPr="00301F4F">
        <w:rPr>
          <w:rFonts w:ascii="Times New Roman" w:hAnsi="Times New Roman" w:cs="Times New Roman"/>
          <w:sz w:val="24"/>
          <w:szCs w:val="24"/>
        </w:rPr>
        <w:lastRenderedPageBreak/>
        <w:t>However, this methodology, based on a ‘top to bottom’ double click process can be hampered somewhat by the final synthetic step, which can be a slow, moderately low yielding reaction and can also lead to the</w:t>
      </w:r>
      <w:r w:rsidR="009F3E76">
        <w:rPr>
          <w:rFonts w:ascii="Times New Roman" w:hAnsi="Times New Roman" w:cs="Times New Roman"/>
          <w:sz w:val="24"/>
          <w:szCs w:val="24"/>
        </w:rPr>
        <w:t xml:space="preserve"> </w:t>
      </w:r>
      <w:r w:rsidR="009F3E76" w:rsidRPr="009F3E76">
        <w:rPr>
          <w:rFonts w:ascii="Times New Roman" w:hAnsi="Times New Roman" w:cs="Times New Roman"/>
          <w:sz w:val="24"/>
          <w:szCs w:val="24"/>
        </w:rPr>
        <w:t>unwanted formation of an aniline by-product that is difficult to remove. This is unattractive if the targeting unit is either expensive or requires complex multi-step synthesis. Therefore, we sought to develop an alternative approach to ameliorate these issues and were attracted by a modular strategy involving a ‘bottom to top’ double click reaction methodology, which would have the advantage that high value organelle targeting vectors could be introduced in the last synthetic step, which is generally fast and high yielding.</w:t>
      </w:r>
    </w:p>
    <w:p w14:paraId="3A20F623" w14:textId="17F3A642" w:rsidR="009F3E76" w:rsidRDefault="004915D3" w:rsidP="00301F4F">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44D5D8C" wp14:editId="72D95DE2">
            <wp:extent cx="3905250" cy="1697182"/>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21081" cy="1704062"/>
                    </a:xfrm>
                    <a:prstGeom prst="rect">
                      <a:avLst/>
                    </a:prstGeom>
                    <a:noFill/>
                    <a:ln>
                      <a:noFill/>
                    </a:ln>
                  </pic:spPr>
                </pic:pic>
              </a:graphicData>
            </a:graphic>
          </wp:inline>
        </w:drawing>
      </w:r>
    </w:p>
    <w:p w14:paraId="793DEEE4" w14:textId="74837AD9" w:rsidR="004915D3" w:rsidRDefault="00AC3CE1" w:rsidP="00301F4F">
      <w:pPr>
        <w:spacing w:line="480" w:lineRule="auto"/>
        <w:jc w:val="both"/>
        <w:rPr>
          <w:rFonts w:ascii="Times New Roman" w:hAnsi="Times New Roman" w:cs="Times New Roman"/>
          <w:sz w:val="24"/>
          <w:szCs w:val="24"/>
        </w:rPr>
      </w:pPr>
      <w:r w:rsidRPr="00AC3CE1">
        <w:rPr>
          <w:rFonts w:ascii="Times New Roman" w:hAnsi="Times New Roman" w:cs="Times New Roman"/>
          <w:sz w:val="24"/>
          <w:szCs w:val="24"/>
        </w:rPr>
        <w:t>Fig. 1 The ‘top to bottom’ methodology originally reported.</w:t>
      </w:r>
      <w:r w:rsidRPr="00AC3CE1">
        <w:rPr>
          <w:rFonts w:ascii="Times New Roman" w:hAnsi="Times New Roman" w:cs="Times New Roman"/>
          <w:sz w:val="24"/>
          <w:szCs w:val="24"/>
          <w:vertAlign w:val="superscript"/>
        </w:rPr>
        <w:t>51,52</w:t>
      </w:r>
    </w:p>
    <w:p w14:paraId="5C9F8AF9" w14:textId="77777777" w:rsidR="00842C0E" w:rsidRDefault="00842C0E" w:rsidP="005D6865">
      <w:pPr>
        <w:spacing w:line="480" w:lineRule="auto"/>
        <w:jc w:val="both"/>
        <w:rPr>
          <w:rFonts w:ascii="Times New Roman" w:hAnsi="Times New Roman" w:cs="Times New Roman"/>
          <w:b/>
          <w:sz w:val="24"/>
          <w:szCs w:val="24"/>
        </w:rPr>
      </w:pPr>
    </w:p>
    <w:p w14:paraId="777E951F" w14:textId="553490B0" w:rsidR="005D6865" w:rsidRPr="005D6865" w:rsidRDefault="005D6865" w:rsidP="005D6865">
      <w:pPr>
        <w:spacing w:line="480" w:lineRule="auto"/>
        <w:jc w:val="both"/>
        <w:rPr>
          <w:rFonts w:ascii="Times New Roman" w:hAnsi="Times New Roman" w:cs="Times New Roman"/>
          <w:b/>
          <w:sz w:val="24"/>
          <w:szCs w:val="24"/>
        </w:rPr>
      </w:pPr>
      <w:r w:rsidRPr="005D6865">
        <w:rPr>
          <w:rFonts w:ascii="Times New Roman" w:hAnsi="Times New Roman" w:cs="Times New Roman"/>
          <w:b/>
          <w:sz w:val="24"/>
          <w:szCs w:val="24"/>
        </w:rPr>
        <w:t>Results and discussion</w:t>
      </w:r>
    </w:p>
    <w:p w14:paraId="4E2BCA6F" w14:textId="77777777" w:rsidR="005D6865" w:rsidRPr="005D6865" w:rsidRDefault="005D6865" w:rsidP="005D6865">
      <w:pPr>
        <w:spacing w:line="480" w:lineRule="auto"/>
        <w:jc w:val="both"/>
        <w:rPr>
          <w:rFonts w:ascii="Times New Roman" w:hAnsi="Times New Roman" w:cs="Times New Roman"/>
          <w:b/>
          <w:sz w:val="24"/>
          <w:szCs w:val="24"/>
        </w:rPr>
      </w:pPr>
      <w:r w:rsidRPr="005D6865">
        <w:rPr>
          <w:rFonts w:ascii="Times New Roman" w:hAnsi="Times New Roman" w:cs="Times New Roman"/>
          <w:b/>
          <w:sz w:val="24"/>
          <w:szCs w:val="24"/>
        </w:rPr>
        <w:t>Synthesis and characterisation</w:t>
      </w:r>
    </w:p>
    <w:p w14:paraId="42162783" w14:textId="67293EA0" w:rsidR="005D6865" w:rsidRPr="005D6865" w:rsidRDefault="005D6865" w:rsidP="005D6865">
      <w:pPr>
        <w:spacing w:line="480" w:lineRule="auto"/>
        <w:jc w:val="both"/>
        <w:rPr>
          <w:rFonts w:ascii="Times New Roman" w:hAnsi="Times New Roman" w:cs="Times New Roman"/>
          <w:sz w:val="24"/>
          <w:szCs w:val="24"/>
        </w:rPr>
      </w:pPr>
      <w:r w:rsidRPr="005D6865">
        <w:rPr>
          <w:rFonts w:ascii="Times New Roman" w:hAnsi="Times New Roman" w:cs="Times New Roman"/>
          <w:sz w:val="24"/>
          <w:szCs w:val="24"/>
        </w:rPr>
        <w:t xml:space="preserve">The precursors </w:t>
      </w:r>
      <w:r w:rsidRPr="005D6865">
        <w:rPr>
          <w:rFonts w:ascii="Times New Roman" w:hAnsi="Times New Roman" w:cs="Times New Roman"/>
          <w:b/>
          <w:sz w:val="24"/>
          <w:szCs w:val="24"/>
        </w:rPr>
        <w:t>1</w:t>
      </w:r>
      <w:r w:rsidRPr="005D6865">
        <w:rPr>
          <w:rFonts w:ascii="Times New Roman" w:hAnsi="Times New Roman" w:cs="Times New Roman"/>
          <w:sz w:val="24"/>
          <w:szCs w:val="24"/>
        </w:rPr>
        <w:t>,</w:t>
      </w:r>
      <w:r w:rsidRPr="005D6865">
        <w:rPr>
          <w:rFonts w:ascii="Times New Roman" w:hAnsi="Times New Roman" w:cs="Times New Roman"/>
          <w:sz w:val="24"/>
          <w:szCs w:val="24"/>
          <w:vertAlign w:val="superscript"/>
        </w:rPr>
        <w:t>55</w:t>
      </w:r>
      <w:r w:rsidRPr="005D6865">
        <w:rPr>
          <w:rFonts w:ascii="Times New Roman" w:hAnsi="Times New Roman" w:cs="Times New Roman"/>
          <w:sz w:val="24"/>
          <w:szCs w:val="24"/>
        </w:rPr>
        <w:t xml:space="preserve"> </w:t>
      </w:r>
      <w:r w:rsidRPr="005D6865">
        <w:rPr>
          <w:rFonts w:ascii="Times New Roman" w:hAnsi="Times New Roman" w:cs="Times New Roman"/>
          <w:b/>
          <w:sz w:val="24"/>
          <w:szCs w:val="24"/>
        </w:rPr>
        <w:t>2</w:t>
      </w:r>
      <w:r w:rsidRPr="005D6865">
        <w:rPr>
          <w:rFonts w:ascii="Times New Roman" w:hAnsi="Times New Roman" w:cs="Times New Roman"/>
          <w:sz w:val="24"/>
          <w:szCs w:val="24"/>
        </w:rPr>
        <w:t>,</w:t>
      </w:r>
      <w:r w:rsidRPr="005D6865">
        <w:rPr>
          <w:rFonts w:ascii="Times New Roman" w:hAnsi="Times New Roman" w:cs="Times New Roman"/>
          <w:sz w:val="24"/>
          <w:szCs w:val="24"/>
          <w:vertAlign w:val="superscript"/>
        </w:rPr>
        <w:t>56</w:t>
      </w:r>
      <w:r w:rsidRPr="005D6865">
        <w:rPr>
          <w:rFonts w:ascii="Times New Roman" w:hAnsi="Times New Roman" w:cs="Times New Roman"/>
          <w:sz w:val="24"/>
          <w:szCs w:val="24"/>
        </w:rPr>
        <w:t xml:space="preserve"> </w:t>
      </w:r>
      <w:r w:rsidRPr="005D6865">
        <w:rPr>
          <w:rFonts w:ascii="Times New Roman" w:hAnsi="Times New Roman" w:cs="Times New Roman"/>
          <w:b/>
          <w:sz w:val="24"/>
          <w:szCs w:val="24"/>
        </w:rPr>
        <w:t>4</w:t>
      </w:r>
      <w:r w:rsidRPr="005D6865">
        <w:rPr>
          <w:rFonts w:ascii="Times New Roman" w:hAnsi="Times New Roman" w:cs="Times New Roman"/>
          <w:sz w:val="24"/>
          <w:szCs w:val="24"/>
        </w:rPr>
        <w:t>,</w:t>
      </w:r>
      <w:r w:rsidRPr="005D6865">
        <w:rPr>
          <w:rFonts w:ascii="Times New Roman" w:hAnsi="Times New Roman" w:cs="Times New Roman"/>
          <w:sz w:val="24"/>
          <w:szCs w:val="24"/>
          <w:vertAlign w:val="superscript"/>
        </w:rPr>
        <w:t>57</w:t>
      </w:r>
      <w:r w:rsidRPr="005D6865">
        <w:rPr>
          <w:rFonts w:ascii="Times New Roman" w:hAnsi="Times New Roman" w:cs="Times New Roman"/>
          <w:b/>
          <w:sz w:val="24"/>
          <w:szCs w:val="24"/>
        </w:rPr>
        <w:t xml:space="preserve"> 5</w:t>
      </w:r>
      <w:r w:rsidRPr="005D6865">
        <w:rPr>
          <w:rFonts w:ascii="Times New Roman" w:hAnsi="Times New Roman" w:cs="Times New Roman"/>
          <w:sz w:val="24"/>
          <w:szCs w:val="24"/>
        </w:rPr>
        <w:t>,</w:t>
      </w:r>
      <w:r w:rsidRPr="005D6865">
        <w:rPr>
          <w:rFonts w:ascii="Times New Roman" w:hAnsi="Times New Roman" w:cs="Times New Roman"/>
          <w:sz w:val="24"/>
          <w:szCs w:val="24"/>
          <w:vertAlign w:val="superscript"/>
        </w:rPr>
        <w:t>51</w:t>
      </w:r>
      <w:r w:rsidRPr="005D6865">
        <w:rPr>
          <w:rFonts w:ascii="Times New Roman" w:hAnsi="Times New Roman" w:cs="Times New Roman"/>
          <w:sz w:val="24"/>
          <w:szCs w:val="24"/>
        </w:rPr>
        <w:t xml:space="preserve"> </w:t>
      </w:r>
      <w:r w:rsidRPr="005D6865">
        <w:rPr>
          <w:rFonts w:ascii="Times New Roman" w:hAnsi="Times New Roman" w:cs="Times New Roman"/>
          <w:b/>
          <w:sz w:val="24"/>
          <w:szCs w:val="24"/>
        </w:rPr>
        <w:t>6</w:t>
      </w:r>
      <w:r w:rsidRPr="005D6865">
        <w:rPr>
          <w:rFonts w:ascii="Times New Roman" w:hAnsi="Times New Roman" w:cs="Times New Roman"/>
          <w:sz w:val="24"/>
          <w:szCs w:val="24"/>
          <w:vertAlign w:val="superscript"/>
        </w:rPr>
        <w:t>51</w:t>
      </w:r>
      <w:r w:rsidRPr="005D6865">
        <w:rPr>
          <w:rFonts w:ascii="Times New Roman" w:hAnsi="Times New Roman" w:cs="Times New Roman"/>
          <w:sz w:val="24"/>
          <w:szCs w:val="24"/>
        </w:rPr>
        <w:t xml:space="preserve"> were all synthesized according to reported procedures.  The conversion of azide </w:t>
      </w:r>
      <w:r w:rsidRPr="005D6865">
        <w:rPr>
          <w:rFonts w:ascii="Times New Roman" w:hAnsi="Times New Roman" w:cs="Times New Roman"/>
          <w:b/>
          <w:sz w:val="24"/>
          <w:szCs w:val="24"/>
        </w:rPr>
        <w:t>1</w:t>
      </w:r>
      <w:r w:rsidRPr="005D6865">
        <w:rPr>
          <w:rFonts w:ascii="Times New Roman" w:hAnsi="Times New Roman" w:cs="Times New Roman"/>
          <w:sz w:val="24"/>
          <w:szCs w:val="24"/>
        </w:rPr>
        <w:t xml:space="preserve">, to alkyne </w:t>
      </w:r>
      <w:r w:rsidRPr="005D6865">
        <w:rPr>
          <w:rFonts w:ascii="Times New Roman" w:hAnsi="Times New Roman" w:cs="Times New Roman"/>
          <w:b/>
          <w:sz w:val="24"/>
          <w:szCs w:val="24"/>
        </w:rPr>
        <w:t>3</w:t>
      </w:r>
      <w:r w:rsidRPr="005D6865">
        <w:rPr>
          <w:rFonts w:ascii="Times New Roman" w:hAnsi="Times New Roman" w:cs="Times New Roman"/>
          <w:sz w:val="24"/>
          <w:szCs w:val="24"/>
        </w:rPr>
        <w:t xml:space="preserve">, was performed in a one-pot reaction because the intermediate formed after the ‘click’ reaction could not be readily extracted from the aqueous layer. It proved expedient to simply follow this step by the direct addition of propargylamine to the reaction mixture to give </w:t>
      </w:r>
      <w:r w:rsidRPr="005D6865">
        <w:rPr>
          <w:rFonts w:ascii="Times New Roman" w:hAnsi="Times New Roman" w:cs="Times New Roman"/>
          <w:b/>
          <w:sz w:val="24"/>
          <w:szCs w:val="24"/>
        </w:rPr>
        <w:t>3</w:t>
      </w:r>
      <w:r w:rsidRPr="005D6865">
        <w:rPr>
          <w:rFonts w:ascii="Times New Roman" w:hAnsi="Times New Roman" w:cs="Times New Roman"/>
          <w:sz w:val="24"/>
          <w:szCs w:val="24"/>
        </w:rPr>
        <w:t xml:space="preserve"> in a moderate yield.  With alkyne </w:t>
      </w:r>
      <w:r w:rsidRPr="005D6865">
        <w:rPr>
          <w:rFonts w:ascii="Times New Roman" w:hAnsi="Times New Roman" w:cs="Times New Roman"/>
          <w:b/>
          <w:sz w:val="24"/>
          <w:szCs w:val="24"/>
        </w:rPr>
        <w:t>3</w:t>
      </w:r>
      <w:r w:rsidRPr="005D6865">
        <w:rPr>
          <w:rFonts w:ascii="Times New Roman" w:hAnsi="Times New Roman" w:cs="Times New Roman"/>
          <w:sz w:val="24"/>
          <w:szCs w:val="24"/>
        </w:rPr>
        <w:t xml:space="preserve"> and the range of different organelle targeting azides </w:t>
      </w:r>
      <w:r w:rsidRPr="005D6865">
        <w:rPr>
          <w:rFonts w:ascii="Times New Roman" w:hAnsi="Times New Roman" w:cs="Times New Roman"/>
          <w:b/>
          <w:sz w:val="24"/>
          <w:szCs w:val="24"/>
        </w:rPr>
        <w:t>4</w:t>
      </w:r>
      <w:r w:rsidRPr="005D6865">
        <w:rPr>
          <w:rFonts w:ascii="Times New Roman" w:hAnsi="Times New Roman" w:cs="Times New Roman"/>
          <w:sz w:val="24"/>
          <w:szCs w:val="24"/>
        </w:rPr>
        <w:t>-</w:t>
      </w:r>
      <w:r w:rsidRPr="005D6865">
        <w:rPr>
          <w:rFonts w:ascii="Times New Roman" w:hAnsi="Times New Roman" w:cs="Times New Roman"/>
          <w:b/>
          <w:sz w:val="24"/>
          <w:szCs w:val="24"/>
        </w:rPr>
        <w:t>6</w:t>
      </w:r>
      <w:r w:rsidRPr="005D6865">
        <w:rPr>
          <w:rFonts w:ascii="Times New Roman" w:hAnsi="Times New Roman" w:cs="Times New Roman"/>
          <w:sz w:val="24"/>
          <w:szCs w:val="24"/>
        </w:rPr>
        <w:t xml:space="preserve"> in hand, the top ‘click’ reactions were performed successfully in </w:t>
      </w:r>
      <w:r w:rsidRPr="005D6865">
        <w:rPr>
          <w:rFonts w:ascii="Times New Roman" w:hAnsi="Times New Roman" w:cs="Times New Roman"/>
          <w:sz w:val="24"/>
          <w:szCs w:val="24"/>
        </w:rPr>
        <w:lastRenderedPageBreak/>
        <w:t xml:space="preserve">moderate to good yields to produce the different organelle targeting probes </w:t>
      </w:r>
      <w:r w:rsidRPr="005D6865">
        <w:rPr>
          <w:rFonts w:ascii="Times New Roman" w:hAnsi="Times New Roman" w:cs="Times New Roman"/>
          <w:b/>
          <w:sz w:val="24"/>
          <w:szCs w:val="24"/>
        </w:rPr>
        <w:t>7</w:t>
      </w:r>
      <w:r w:rsidRPr="005D6865">
        <w:rPr>
          <w:rFonts w:ascii="Times New Roman" w:hAnsi="Times New Roman" w:cs="Times New Roman"/>
          <w:sz w:val="24"/>
          <w:szCs w:val="24"/>
        </w:rPr>
        <w:t>-</w:t>
      </w:r>
      <w:r w:rsidRPr="005D6865">
        <w:rPr>
          <w:rFonts w:ascii="Times New Roman" w:hAnsi="Times New Roman" w:cs="Times New Roman"/>
          <w:b/>
          <w:sz w:val="24"/>
          <w:szCs w:val="24"/>
        </w:rPr>
        <w:t>9</w:t>
      </w:r>
      <w:r w:rsidRPr="005D6865">
        <w:rPr>
          <w:rFonts w:ascii="Times New Roman" w:hAnsi="Times New Roman" w:cs="Times New Roman"/>
          <w:sz w:val="24"/>
          <w:szCs w:val="24"/>
        </w:rPr>
        <w:t xml:space="preserve">. As a control, the non-targeting probe </w:t>
      </w:r>
      <w:r w:rsidRPr="005D6865">
        <w:rPr>
          <w:rFonts w:ascii="Times New Roman" w:hAnsi="Times New Roman" w:cs="Times New Roman"/>
          <w:b/>
          <w:sz w:val="24"/>
          <w:szCs w:val="24"/>
        </w:rPr>
        <w:t>10</w:t>
      </w:r>
      <w:r w:rsidRPr="005D6865">
        <w:rPr>
          <w:rFonts w:ascii="Times New Roman" w:hAnsi="Times New Roman" w:cs="Times New Roman"/>
          <w:sz w:val="24"/>
          <w:szCs w:val="24"/>
        </w:rPr>
        <w:t xml:space="preserve"> (R</w:t>
      </w:r>
      <w:r w:rsidRPr="005D6865">
        <w:rPr>
          <w:rFonts w:ascii="Times New Roman" w:hAnsi="Times New Roman" w:cs="Times New Roman"/>
          <w:sz w:val="24"/>
          <w:szCs w:val="24"/>
          <w:vertAlign w:val="superscript"/>
        </w:rPr>
        <w:t>4</w:t>
      </w:r>
      <w:r w:rsidRPr="005D6865">
        <w:rPr>
          <w:rFonts w:ascii="Times New Roman" w:hAnsi="Times New Roman" w:cs="Times New Roman"/>
          <w:sz w:val="24"/>
          <w:szCs w:val="24"/>
        </w:rPr>
        <w:t xml:space="preserve"> = Et) was also prepared as reported in 93% yield.</w:t>
      </w:r>
      <w:r w:rsidRPr="00842C0E">
        <w:rPr>
          <w:rFonts w:ascii="Times New Roman" w:hAnsi="Times New Roman" w:cs="Times New Roman"/>
          <w:sz w:val="24"/>
          <w:szCs w:val="24"/>
          <w:vertAlign w:val="superscript"/>
        </w:rPr>
        <w:t>58</w:t>
      </w:r>
      <w:r w:rsidRPr="005D6865">
        <w:rPr>
          <w:rFonts w:ascii="Times New Roman" w:hAnsi="Times New Roman" w:cs="Times New Roman"/>
          <w:sz w:val="24"/>
          <w:szCs w:val="24"/>
        </w:rPr>
        <w:t xml:space="preserve"> All products were satisfactorily characterized by </w:t>
      </w:r>
      <w:r w:rsidRPr="00842C0E">
        <w:rPr>
          <w:rFonts w:ascii="Times New Roman" w:hAnsi="Times New Roman" w:cs="Times New Roman"/>
          <w:sz w:val="24"/>
          <w:szCs w:val="24"/>
          <w:vertAlign w:val="superscript"/>
        </w:rPr>
        <w:t>1</w:t>
      </w:r>
      <w:r w:rsidRPr="005D6865">
        <w:rPr>
          <w:rFonts w:ascii="Times New Roman" w:hAnsi="Times New Roman" w:cs="Times New Roman"/>
          <w:sz w:val="24"/>
          <w:szCs w:val="24"/>
        </w:rPr>
        <w:t xml:space="preserve">H, </w:t>
      </w:r>
      <w:r w:rsidRPr="00842C0E">
        <w:rPr>
          <w:rFonts w:ascii="Times New Roman" w:hAnsi="Times New Roman" w:cs="Times New Roman"/>
          <w:sz w:val="24"/>
          <w:szCs w:val="24"/>
          <w:vertAlign w:val="superscript"/>
        </w:rPr>
        <w:t>13</w:t>
      </w:r>
      <w:r w:rsidRPr="005D6865">
        <w:rPr>
          <w:rFonts w:ascii="Times New Roman" w:hAnsi="Times New Roman" w:cs="Times New Roman"/>
          <w:sz w:val="24"/>
          <w:szCs w:val="24"/>
        </w:rPr>
        <w:t>C NMR and IR spectroscopies as well as high-resolution mass spectrometry (see Electronic Supporting Information (ESI)).</w:t>
      </w:r>
    </w:p>
    <w:p w14:paraId="28A689DF" w14:textId="5F48075A" w:rsidR="00842C0E" w:rsidRDefault="00C110AE" w:rsidP="005D6865">
      <w:pPr>
        <w:spacing w:line="480" w:lineRule="auto"/>
        <w:jc w:val="both"/>
      </w:pPr>
      <w:r>
        <w:rPr>
          <w:noProof/>
        </w:rPr>
        <w:object w:dxaOrig="12826" w:dyaOrig="7627" w14:anchorId="5705B51A">
          <v:shape id="_x0000_i1025" type="#_x0000_t75" alt="" style="width:450.7pt;height:267.95pt;mso-width-percent:0;mso-height-percent:0;mso-width-percent:0;mso-height-percent:0" o:ole="">
            <v:imagedata r:id="rId11" o:title=""/>
          </v:shape>
          <o:OLEObject Type="Embed" ProgID="ACD.ChemSketchCDX" ShapeID="_x0000_i1025" DrawAspect="Content" ObjectID="_1633259692" r:id="rId12"/>
        </w:object>
      </w:r>
    </w:p>
    <w:p w14:paraId="0A1BE476" w14:textId="2DC34D58" w:rsidR="00FD0BDA" w:rsidRPr="00E83191" w:rsidRDefault="0059088B" w:rsidP="005D6865">
      <w:pPr>
        <w:spacing w:line="480" w:lineRule="auto"/>
        <w:jc w:val="both"/>
        <w:rPr>
          <w:rFonts w:ascii="Times New Roman" w:hAnsi="Times New Roman" w:cs="Times New Roman"/>
          <w:sz w:val="24"/>
          <w:szCs w:val="24"/>
        </w:rPr>
      </w:pPr>
      <w:r w:rsidRPr="0059088B">
        <w:rPr>
          <w:rFonts w:ascii="Times New Roman" w:hAnsi="Times New Roman" w:cs="Times New Roman"/>
          <w:sz w:val="24"/>
          <w:szCs w:val="24"/>
        </w:rPr>
        <w:t>Scheme 1 a) The new ‘bottom to top’ modular synthetic route towards the sub-cellular targeting Zn</w:t>
      </w:r>
      <w:r w:rsidRPr="0059088B">
        <w:rPr>
          <w:rFonts w:ascii="Times New Roman" w:hAnsi="Times New Roman" w:cs="Times New Roman"/>
          <w:sz w:val="24"/>
          <w:szCs w:val="24"/>
          <w:vertAlign w:val="superscript"/>
        </w:rPr>
        <w:t>2+</w:t>
      </w:r>
      <w:r w:rsidRPr="0059088B">
        <w:rPr>
          <w:rFonts w:ascii="Times New Roman" w:hAnsi="Times New Roman" w:cs="Times New Roman"/>
          <w:sz w:val="24"/>
          <w:szCs w:val="24"/>
        </w:rPr>
        <w:t xml:space="preserve"> probes; b) The structures of ER probe (</w:t>
      </w:r>
      <w:r w:rsidRPr="0059088B">
        <w:rPr>
          <w:rFonts w:ascii="Times New Roman" w:hAnsi="Times New Roman" w:cs="Times New Roman"/>
          <w:b/>
          <w:sz w:val="24"/>
          <w:szCs w:val="24"/>
        </w:rPr>
        <w:t>7</w:t>
      </w:r>
      <w:r w:rsidRPr="0059088B">
        <w:rPr>
          <w:rFonts w:ascii="Times New Roman" w:hAnsi="Times New Roman" w:cs="Times New Roman"/>
          <w:sz w:val="24"/>
          <w:szCs w:val="24"/>
        </w:rPr>
        <w:t>), mitochondria probe (</w:t>
      </w:r>
      <w:r w:rsidRPr="0059088B">
        <w:rPr>
          <w:rFonts w:ascii="Times New Roman" w:hAnsi="Times New Roman" w:cs="Times New Roman"/>
          <w:b/>
          <w:sz w:val="24"/>
          <w:szCs w:val="24"/>
        </w:rPr>
        <w:t>8</w:t>
      </w:r>
      <w:r w:rsidRPr="0059088B">
        <w:rPr>
          <w:rFonts w:ascii="Times New Roman" w:hAnsi="Times New Roman" w:cs="Times New Roman"/>
          <w:sz w:val="24"/>
          <w:szCs w:val="24"/>
        </w:rPr>
        <w:t>), lysosome probe (</w:t>
      </w:r>
      <w:r w:rsidRPr="0059088B">
        <w:rPr>
          <w:rFonts w:ascii="Times New Roman" w:hAnsi="Times New Roman" w:cs="Times New Roman"/>
          <w:b/>
          <w:sz w:val="24"/>
          <w:szCs w:val="24"/>
        </w:rPr>
        <w:t>9</w:t>
      </w:r>
      <w:r w:rsidRPr="0059088B">
        <w:rPr>
          <w:rFonts w:ascii="Times New Roman" w:hAnsi="Times New Roman" w:cs="Times New Roman"/>
          <w:sz w:val="24"/>
          <w:szCs w:val="24"/>
        </w:rPr>
        <w:t>) and non-targeting probe (</w:t>
      </w:r>
      <w:r w:rsidRPr="0059088B">
        <w:rPr>
          <w:rFonts w:ascii="Times New Roman" w:hAnsi="Times New Roman" w:cs="Times New Roman"/>
          <w:b/>
          <w:sz w:val="24"/>
          <w:szCs w:val="24"/>
        </w:rPr>
        <w:t>10</w:t>
      </w:r>
      <w:r w:rsidRPr="0059088B">
        <w:rPr>
          <w:rFonts w:ascii="Times New Roman" w:hAnsi="Times New Roman" w:cs="Times New Roman"/>
          <w:sz w:val="24"/>
          <w:szCs w:val="24"/>
        </w:rPr>
        <w:t>).</w:t>
      </w:r>
    </w:p>
    <w:p w14:paraId="66F6AEAC" w14:textId="34547F5B" w:rsidR="005D6865" w:rsidRPr="00842C0E" w:rsidRDefault="005D6865" w:rsidP="005D6865">
      <w:pPr>
        <w:spacing w:line="480" w:lineRule="auto"/>
        <w:jc w:val="both"/>
        <w:rPr>
          <w:rFonts w:ascii="Times New Roman" w:hAnsi="Times New Roman" w:cs="Times New Roman"/>
          <w:b/>
          <w:sz w:val="24"/>
          <w:szCs w:val="24"/>
        </w:rPr>
      </w:pPr>
      <w:r w:rsidRPr="00842C0E">
        <w:rPr>
          <w:rFonts w:ascii="Times New Roman" w:hAnsi="Times New Roman" w:cs="Times New Roman"/>
          <w:b/>
          <w:sz w:val="24"/>
          <w:szCs w:val="24"/>
        </w:rPr>
        <w:t>Photophysical properties</w:t>
      </w:r>
    </w:p>
    <w:p w14:paraId="63952A84" w14:textId="77777777" w:rsidR="00EC1589" w:rsidRPr="00EC1589" w:rsidRDefault="005D6865" w:rsidP="00EC1589">
      <w:pPr>
        <w:spacing w:line="480" w:lineRule="auto"/>
        <w:jc w:val="both"/>
        <w:rPr>
          <w:rFonts w:ascii="Times New Roman" w:hAnsi="Times New Roman" w:cs="Times New Roman"/>
          <w:sz w:val="24"/>
          <w:szCs w:val="24"/>
        </w:rPr>
      </w:pPr>
      <w:r w:rsidRPr="005D6865">
        <w:rPr>
          <w:rFonts w:ascii="Times New Roman" w:hAnsi="Times New Roman" w:cs="Times New Roman"/>
          <w:sz w:val="24"/>
          <w:szCs w:val="24"/>
        </w:rPr>
        <w:t>Fluorescence titrations of the different probes with Zn</w:t>
      </w:r>
      <w:r w:rsidRPr="00842C0E">
        <w:rPr>
          <w:rFonts w:ascii="Times New Roman" w:hAnsi="Times New Roman" w:cs="Times New Roman"/>
          <w:sz w:val="24"/>
          <w:szCs w:val="24"/>
          <w:vertAlign w:val="superscript"/>
        </w:rPr>
        <w:t>2+</w:t>
      </w:r>
      <w:r w:rsidRPr="005D6865">
        <w:rPr>
          <w:rFonts w:ascii="Times New Roman" w:hAnsi="Times New Roman" w:cs="Times New Roman"/>
          <w:sz w:val="24"/>
          <w:szCs w:val="24"/>
        </w:rPr>
        <w:t xml:space="preserve"> were undertaken to show their Zn</w:t>
      </w:r>
      <w:r w:rsidRPr="00842C0E">
        <w:rPr>
          <w:rFonts w:ascii="Times New Roman" w:hAnsi="Times New Roman" w:cs="Times New Roman"/>
          <w:sz w:val="24"/>
          <w:szCs w:val="24"/>
          <w:vertAlign w:val="superscript"/>
        </w:rPr>
        <w:t>2+</w:t>
      </w:r>
      <w:r w:rsidRPr="005D6865">
        <w:rPr>
          <w:rFonts w:ascii="Times New Roman" w:hAnsi="Times New Roman" w:cs="Times New Roman"/>
          <w:sz w:val="24"/>
          <w:szCs w:val="24"/>
        </w:rPr>
        <w:t xml:space="preserve"> response. As shown in Fig. 2, addition of Zn</w:t>
      </w:r>
      <w:r w:rsidRPr="00842C0E">
        <w:rPr>
          <w:rFonts w:ascii="Times New Roman" w:hAnsi="Times New Roman" w:cs="Times New Roman"/>
          <w:sz w:val="24"/>
          <w:szCs w:val="24"/>
          <w:vertAlign w:val="superscript"/>
        </w:rPr>
        <w:t>2+</w:t>
      </w:r>
      <w:r w:rsidRPr="005D6865">
        <w:rPr>
          <w:rFonts w:ascii="Times New Roman" w:hAnsi="Times New Roman" w:cs="Times New Roman"/>
          <w:sz w:val="24"/>
          <w:szCs w:val="24"/>
        </w:rPr>
        <w:t xml:space="preserve"> results in the fluorescence intensity of probe </w:t>
      </w:r>
      <w:r w:rsidRPr="00657C68">
        <w:rPr>
          <w:rFonts w:ascii="Times New Roman" w:hAnsi="Times New Roman" w:cs="Times New Roman"/>
          <w:b/>
          <w:sz w:val="24"/>
          <w:szCs w:val="24"/>
        </w:rPr>
        <w:t>7</w:t>
      </w:r>
      <w:r w:rsidRPr="005D6865">
        <w:rPr>
          <w:rFonts w:ascii="Times New Roman" w:hAnsi="Times New Roman" w:cs="Times New Roman"/>
          <w:sz w:val="24"/>
          <w:szCs w:val="24"/>
        </w:rPr>
        <w:t xml:space="preserve"> increasing gradually, until a maximal 10-fold increase was observed; a similar response was observed in the other three probes (shown in Fig. S5-S7, ESI). The Job’s plots of the probes (Fig. S8-S11, ESI) revealed the expected 1:1 binding stoichiometry with Zn</w:t>
      </w:r>
      <w:r w:rsidRPr="00657C68">
        <w:rPr>
          <w:rFonts w:ascii="Times New Roman" w:hAnsi="Times New Roman" w:cs="Times New Roman"/>
          <w:sz w:val="24"/>
          <w:szCs w:val="24"/>
          <w:vertAlign w:val="superscript"/>
        </w:rPr>
        <w:t>2+</w:t>
      </w:r>
      <w:r w:rsidRPr="005D6865">
        <w:rPr>
          <w:rFonts w:ascii="Times New Roman" w:hAnsi="Times New Roman" w:cs="Times New Roman"/>
          <w:sz w:val="24"/>
          <w:szCs w:val="24"/>
        </w:rPr>
        <w:t xml:space="preserve">. Dissociation constants, </w:t>
      </w:r>
      <w:r w:rsidRPr="00657C68">
        <w:rPr>
          <w:rFonts w:ascii="Times New Roman" w:hAnsi="Times New Roman" w:cs="Times New Roman"/>
          <w:i/>
          <w:sz w:val="24"/>
          <w:szCs w:val="24"/>
        </w:rPr>
        <w:t>K</w:t>
      </w:r>
      <w:r w:rsidRPr="00657C68">
        <w:rPr>
          <w:rFonts w:ascii="Times New Roman" w:hAnsi="Times New Roman" w:cs="Times New Roman"/>
          <w:sz w:val="24"/>
          <w:szCs w:val="24"/>
          <w:vertAlign w:val="subscript"/>
        </w:rPr>
        <w:t>d</w:t>
      </w:r>
      <w:r w:rsidRPr="005D6865">
        <w:rPr>
          <w:rFonts w:ascii="Times New Roman" w:hAnsi="Times New Roman" w:cs="Times New Roman"/>
          <w:sz w:val="24"/>
          <w:szCs w:val="24"/>
        </w:rPr>
        <w:t xml:space="preserve">, were evaluated from non-linear curve fitting analysis (Fig. S12-S15, ESI) of the </w:t>
      </w:r>
      <w:r w:rsidRPr="005D6865">
        <w:rPr>
          <w:rFonts w:ascii="Times New Roman" w:hAnsi="Times New Roman" w:cs="Times New Roman"/>
          <w:sz w:val="24"/>
          <w:szCs w:val="24"/>
        </w:rPr>
        <w:lastRenderedPageBreak/>
        <w:t xml:space="preserve">data obtained from the fluorescence titrations of different concentration probes in a competitive system with EGTA (ethylene glycol-bis(β-aminoethyl ether)-N,N,N′,N′-tetraacetic acid) and the results given in Table S1. The best fitting for all probes was observed at 0.01 µM and </w:t>
      </w:r>
      <w:r w:rsidRPr="00845FC9">
        <w:rPr>
          <w:rFonts w:ascii="Times New Roman" w:hAnsi="Times New Roman" w:cs="Times New Roman"/>
          <w:i/>
          <w:sz w:val="24"/>
          <w:szCs w:val="24"/>
        </w:rPr>
        <w:t>K</w:t>
      </w:r>
      <w:r w:rsidRPr="00845FC9">
        <w:rPr>
          <w:rFonts w:ascii="Times New Roman" w:hAnsi="Times New Roman" w:cs="Times New Roman"/>
          <w:sz w:val="24"/>
          <w:szCs w:val="24"/>
          <w:vertAlign w:val="subscript"/>
        </w:rPr>
        <w:t>d</w:t>
      </w:r>
      <w:r w:rsidRPr="005D6865">
        <w:rPr>
          <w:rFonts w:ascii="Times New Roman" w:hAnsi="Times New Roman" w:cs="Times New Roman"/>
          <w:sz w:val="24"/>
          <w:szCs w:val="24"/>
        </w:rPr>
        <w:t xml:space="preserve"> values were determined to be 2.83 ± 0.11 nM for </w:t>
      </w:r>
      <w:r w:rsidRPr="00845FC9">
        <w:rPr>
          <w:rFonts w:ascii="Times New Roman" w:hAnsi="Times New Roman" w:cs="Times New Roman"/>
          <w:b/>
          <w:sz w:val="24"/>
          <w:szCs w:val="24"/>
        </w:rPr>
        <w:t>7</w:t>
      </w:r>
      <w:r w:rsidRPr="005D6865">
        <w:rPr>
          <w:rFonts w:ascii="Times New Roman" w:hAnsi="Times New Roman" w:cs="Times New Roman"/>
          <w:sz w:val="24"/>
          <w:szCs w:val="24"/>
        </w:rPr>
        <w:t xml:space="preserve">, 3.44 ± 0.22 nM for </w:t>
      </w:r>
      <w:r w:rsidRPr="00845FC9">
        <w:rPr>
          <w:rFonts w:ascii="Times New Roman" w:hAnsi="Times New Roman" w:cs="Times New Roman"/>
          <w:b/>
          <w:sz w:val="24"/>
          <w:szCs w:val="24"/>
        </w:rPr>
        <w:t>8</w:t>
      </w:r>
      <w:r w:rsidRPr="005D6865">
        <w:rPr>
          <w:rFonts w:ascii="Times New Roman" w:hAnsi="Times New Roman" w:cs="Times New Roman"/>
          <w:sz w:val="24"/>
          <w:szCs w:val="24"/>
        </w:rPr>
        <w:t xml:space="preserve">, 3.68 ± 0.26 nM for </w:t>
      </w:r>
      <w:r w:rsidRPr="00845FC9">
        <w:rPr>
          <w:rFonts w:ascii="Times New Roman" w:hAnsi="Times New Roman" w:cs="Times New Roman"/>
          <w:b/>
          <w:sz w:val="24"/>
          <w:szCs w:val="24"/>
        </w:rPr>
        <w:t>9</w:t>
      </w:r>
      <w:r w:rsidRPr="005D6865">
        <w:rPr>
          <w:rFonts w:ascii="Times New Roman" w:hAnsi="Times New Roman" w:cs="Times New Roman"/>
          <w:sz w:val="24"/>
          <w:szCs w:val="24"/>
        </w:rPr>
        <w:t xml:space="preserve"> and 3.24 ± 0.20 nM for </w:t>
      </w:r>
      <w:r w:rsidRPr="00845FC9">
        <w:rPr>
          <w:rFonts w:ascii="Times New Roman" w:hAnsi="Times New Roman" w:cs="Times New Roman"/>
          <w:b/>
          <w:sz w:val="24"/>
          <w:szCs w:val="24"/>
        </w:rPr>
        <w:t>10</w:t>
      </w:r>
      <w:r w:rsidRPr="005D6865">
        <w:rPr>
          <w:rFonts w:ascii="Times New Roman" w:hAnsi="Times New Roman" w:cs="Times New Roman"/>
          <w:sz w:val="24"/>
          <w:szCs w:val="24"/>
        </w:rPr>
        <w:t>, which are</w:t>
      </w:r>
      <w:r w:rsidR="00845FC9">
        <w:rPr>
          <w:rFonts w:ascii="Times New Roman" w:hAnsi="Times New Roman" w:cs="Times New Roman"/>
          <w:sz w:val="24"/>
          <w:szCs w:val="24"/>
        </w:rPr>
        <w:t xml:space="preserve"> </w:t>
      </w:r>
      <w:r w:rsidR="00EC1589" w:rsidRPr="00EC1589">
        <w:rPr>
          <w:rFonts w:ascii="Times New Roman" w:hAnsi="Times New Roman" w:cs="Times New Roman"/>
          <w:sz w:val="24"/>
          <w:szCs w:val="24"/>
        </w:rPr>
        <w:t>consistent and comparable to reported values for this chelate.</w:t>
      </w:r>
      <w:r w:rsidR="00EC1589" w:rsidRPr="00EC1589">
        <w:rPr>
          <w:rFonts w:ascii="Times New Roman" w:hAnsi="Times New Roman" w:cs="Times New Roman"/>
          <w:sz w:val="24"/>
          <w:szCs w:val="24"/>
          <w:vertAlign w:val="superscript"/>
        </w:rPr>
        <w:t>32,59</w:t>
      </w:r>
      <w:r w:rsidR="00EC1589" w:rsidRPr="00EC1589">
        <w:rPr>
          <w:rFonts w:ascii="Times New Roman" w:hAnsi="Times New Roman" w:cs="Times New Roman"/>
          <w:sz w:val="24"/>
          <w:szCs w:val="24"/>
        </w:rPr>
        <w:t xml:space="preserve"> The detection limit was calculated based on the fluorescence titration data through the method reported</w:t>
      </w:r>
      <w:r w:rsidR="00EC1589" w:rsidRPr="00EC1589">
        <w:rPr>
          <w:rFonts w:ascii="Times New Roman" w:hAnsi="Times New Roman" w:cs="Times New Roman"/>
          <w:sz w:val="24"/>
          <w:szCs w:val="24"/>
          <w:vertAlign w:val="superscript"/>
        </w:rPr>
        <w:t>60,61</w:t>
      </w:r>
      <w:r w:rsidR="00EC1589" w:rsidRPr="00EC1589">
        <w:rPr>
          <w:rFonts w:ascii="Times New Roman" w:hAnsi="Times New Roman" w:cs="Times New Roman"/>
          <w:sz w:val="24"/>
          <w:szCs w:val="24"/>
        </w:rPr>
        <w:t xml:space="preserve"> and was determined to be 48 pM for </w:t>
      </w:r>
      <w:r w:rsidR="00EC1589" w:rsidRPr="00EC1589">
        <w:rPr>
          <w:rFonts w:ascii="Times New Roman" w:hAnsi="Times New Roman" w:cs="Times New Roman"/>
          <w:b/>
          <w:sz w:val="24"/>
          <w:szCs w:val="24"/>
        </w:rPr>
        <w:t>7</w:t>
      </w:r>
      <w:r w:rsidR="00EC1589" w:rsidRPr="00EC1589">
        <w:rPr>
          <w:rFonts w:ascii="Times New Roman" w:hAnsi="Times New Roman" w:cs="Times New Roman"/>
          <w:sz w:val="24"/>
          <w:szCs w:val="24"/>
        </w:rPr>
        <w:t xml:space="preserve">, 99 pM for </w:t>
      </w:r>
      <w:r w:rsidR="00EC1589" w:rsidRPr="00EC1589">
        <w:rPr>
          <w:rFonts w:ascii="Times New Roman" w:hAnsi="Times New Roman" w:cs="Times New Roman"/>
          <w:b/>
          <w:sz w:val="24"/>
          <w:szCs w:val="24"/>
        </w:rPr>
        <w:t>8</w:t>
      </w:r>
      <w:r w:rsidR="00EC1589" w:rsidRPr="00EC1589">
        <w:rPr>
          <w:rFonts w:ascii="Times New Roman" w:hAnsi="Times New Roman" w:cs="Times New Roman"/>
          <w:sz w:val="24"/>
          <w:szCs w:val="24"/>
        </w:rPr>
        <w:t xml:space="preserve">, 51 pM for </w:t>
      </w:r>
      <w:r w:rsidR="00EC1589" w:rsidRPr="00EC1589">
        <w:rPr>
          <w:rFonts w:ascii="Times New Roman" w:hAnsi="Times New Roman" w:cs="Times New Roman"/>
          <w:b/>
          <w:sz w:val="24"/>
          <w:szCs w:val="24"/>
        </w:rPr>
        <w:t>9</w:t>
      </w:r>
      <w:r w:rsidR="00EC1589" w:rsidRPr="00EC1589">
        <w:rPr>
          <w:rFonts w:ascii="Times New Roman" w:hAnsi="Times New Roman" w:cs="Times New Roman"/>
          <w:sz w:val="24"/>
          <w:szCs w:val="24"/>
        </w:rPr>
        <w:t xml:space="preserve"> and 47 pM for </w:t>
      </w:r>
      <w:r w:rsidR="00EC1589" w:rsidRPr="00EC1589">
        <w:rPr>
          <w:rFonts w:ascii="Times New Roman" w:hAnsi="Times New Roman" w:cs="Times New Roman"/>
          <w:b/>
          <w:sz w:val="24"/>
          <w:szCs w:val="24"/>
        </w:rPr>
        <w:t>10</w:t>
      </w:r>
      <w:r w:rsidR="00EC1589" w:rsidRPr="00EC1589">
        <w:rPr>
          <w:rFonts w:ascii="Times New Roman" w:hAnsi="Times New Roman" w:cs="Times New Roman"/>
          <w:sz w:val="24"/>
          <w:szCs w:val="24"/>
        </w:rPr>
        <w:t xml:space="preserve">. </w:t>
      </w:r>
    </w:p>
    <w:p w14:paraId="6C8CF519" w14:textId="77777777" w:rsidR="00EC1589" w:rsidRPr="00EC1589" w:rsidRDefault="00EC1589" w:rsidP="00EC1589">
      <w:pPr>
        <w:spacing w:line="480" w:lineRule="auto"/>
        <w:jc w:val="both"/>
        <w:rPr>
          <w:rFonts w:ascii="Times New Roman" w:hAnsi="Times New Roman" w:cs="Times New Roman"/>
          <w:sz w:val="24"/>
          <w:szCs w:val="24"/>
        </w:rPr>
      </w:pPr>
      <w:r w:rsidRPr="00EC1589">
        <w:rPr>
          <w:rFonts w:ascii="Times New Roman" w:hAnsi="Times New Roman" w:cs="Times New Roman"/>
          <w:sz w:val="24"/>
          <w:szCs w:val="24"/>
        </w:rPr>
        <w:t>The fluorescence quantum yield was measured using anthracene as a standard (</w:t>
      </w:r>
      <w:r w:rsidRPr="00EC1589">
        <w:rPr>
          <w:rFonts w:ascii="Times New Roman" w:hAnsi="Times New Roman" w:cs="Times New Roman"/>
          <w:i/>
          <w:sz w:val="24"/>
          <w:szCs w:val="24"/>
        </w:rPr>
        <w:t>Φ</w:t>
      </w:r>
      <w:r w:rsidRPr="00EC1589">
        <w:rPr>
          <w:rFonts w:ascii="Times New Roman" w:hAnsi="Times New Roman" w:cs="Times New Roman"/>
          <w:sz w:val="24"/>
          <w:szCs w:val="24"/>
        </w:rPr>
        <w:t xml:space="preserve"> = 0.27 in ethanol) and linear plots of probes </w:t>
      </w:r>
      <w:r w:rsidRPr="00EC1589">
        <w:rPr>
          <w:rFonts w:ascii="Times New Roman" w:hAnsi="Times New Roman" w:cs="Times New Roman"/>
          <w:b/>
          <w:sz w:val="24"/>
          <w:szCs w:val="24"/>
        </w:rPr>
        <w:t>7</w:t>
      </w:r>
      <w:r w:rsidRPr="00EC1589">
        <w:rPr>
          <w:rFonts w:ascii="Times New Roman" w:hAnsi="Times New Roman" w:cs="Times New Roman"/>
          <w:sz w:val="24"/>
          <w:szCs w:val="24"/>
        </w:rPr>
        <w:t>-</w:t>
      </w:r>
      <w:r w:rsidRPr="00EC1589">
        <w:rPr>
          <w:rFonts w:ascii="Times New Roman" w:hAnsi="Times New Roman" w:cs="Times New Roman"/>
          <w:b/>
          <w:sz w:val="24"/>
          <w:szCs w:val="24"/>
        </w:rPr>
        <w:t>10</w:t>
      </w:r>
      <w:r w:rsidRPr="00EC1589">
        <w:rPr>
          <w:rFonts w:ascii="Times New Roman" w:hAnsi="Times New Roman" w:cs="Times New Roman"/>
          <w:sz w:val="24"/>
          <w:szCs w:val="24"/>
        </w:rPr>
        <w:t xml:space="preserve"> and their complexes with one equivalent of Zn</w:t>
      </w:r>
      <w:r w:rsidRPr="00EC1589">
        <w:rPr>
          <w:rFonts w:ascii="Times New Roman" w:hAnsi="Times New Roman" w:cs="Times New Roman"/>
          <w:sz w:val="24"/>
          <w:szCs w:val="24"/>
          <w:vertAlign w:val="superscript"/>
        </w:rPr>
        <w:t>2+</w:t>
      </w:r>
      <w:r w:rsidRPr="00EC1589">
        <w:rPr>
          <w:rFonts w:ascii="Times New Roman" w:hAnsi="Times New Roman" w:cs="Times New Roman"/>
          <w:sz w:val="24"/>
          <w:szCs w:val="24"/>
        </w:rPr>
        <w:t xml:space="preserve"> are shown (Fig. S20-S23, ESI).The calculated quantum yields are listed (Table S2, ESI) and shows that the targeting units reduce the probes’ quantum yields significantly, compared to that of </w:t>
      </w:r>
      <w:r w:rsidRPr="00EC1589">
        <w:rPr>
          <w:rFonts w:ascii="Times New Roman" w:hAnsi="Times New Roman" w:cs="Times New Roman"/>
          <w:b/>
          <w:sz w:val="24"/>
          <w:szCs w:val="24"/>
        </w:rPr>
        <w:t>10</w:t>
      </w:r>
      <w:r w:rsidRPr="00EC1589">
        <w:rPr>
          <w:rFonts w:ascii="Times New Roman" w:hAnsi="Times New Roman" w:cs="Times New Roman"/>
          <w:sz w:val="24"/>
          <w:szCs w:val="24"/>
        </w:rPr>
        <w:t>, with no targeting unit, presumably due to the increased access to non-radiative pathways that are available in the larger molecular structures.</w:t>
      </w:r>
    </w:p>
    <w:p w14:paraId="76A3B68A" w14:textId="168BEEEB" w:rsidR="00EC1589" w:rsidRPr="00EC1589" w:rsidRDefault="00EC1589" w:rsidP="00EC1589">
      <w:pPr>
        <w:spacing w:line="480" w:lineRule="auto"/>
        <w:jc w:val="both"/>
        <w:rPr>
          <w:rFonts w:ascii="Times New Roman" w:hAnsi="Times New Roman" w:cs="Times New Roman"/>
          <w:sz w:val="24"/>
          <w:szCs w:val="24"/>
        </w:rPr>
      </w:pPr>
      <w:r w:rsidRPr="00EC1589">
        <w:rPr>
          <w:rFonts w:ascii="Times New Roman" w:hAnsi="Times New Roman" w:cs="Times New Roman"/>
          <w:sz w:val="24"/>
          <w:szCs w:val="24"/>
        </w:rPr>
        <w:t>The pH-dependent fluorescence response was measured to show that all probes have fluorescence responses to Zn</w:t>
      </w:r>
      <w:r w:rsidRPr="00EC1589">
        <w:rPr>
          <w:rFonts w:ascii="Times New Roman" w:hAnsi="Times New Roman" w:cs="Times New Roman"/>
          <w:sz w:val="24"/>
          <w:szCs w:val="24"/>
          <w:vertAlign w:val="superscript"/>
        </w:rPr>
        <w:t>2+</w:t>
      </w:r>
      <w:r w:rsidRPr="00EC1589">
        <w:rPr>
          <w:rFonts w:ascii="Times New Roman" w:hAnsi="Times New Roman" w:cs="Times New Roman"/>
          <w:sz w:val="24"/>
          <w:szCs w:val="24"/>
        </w:rPr>
        <w:t xml:space="preserve"> in the biologically relevant pH range. As shown in Fig. 2b, probe </w:t>
      </w:r>
      <w:r w:rsidRPr="00EC1589">
        <w:rPr>
          <w:rFonts w:ascii="Times New Roman" w:hAnsi="Times New Roman" w:cs="Times New Roman"/>
          <w:b/>
          <w:sz w:val="24"/>
          <w:szCs w:val="24"/>
        </w:rPr>
        <w:t>7</w:t>
      </w:r>
      <w:r w:rsidRPr="00EC1589">
        <w:rPr>
          <w:rFonts w:ascii="Times New Roman" w:hAnsi="Times New Roman" w:cs="Times New Roman"/>
          <w:sz w:val="24"/>
          <w:szCs w:val="24"/>
        </w:rPr>
        <w:t xml:space="preserve"> shows a good switch on response to Zn</w:t>
      </w:r>
      <w:r w:rsidRPr="00EC1589">
        <w:rPr>
          <w:rFonts w:ascii="Times New Roman" w:hAnsi="Times New Roman" w:cs="Times New Roman"/>
          <w:sz w:val="24"/>
          <w:szCs w:val="24"/>
          <w:vertAlign w:val="superscript"/>
        </w:rPr>
        <w:t>2+</w:t>
      </w:r>
      <w:r w:rsidRPr="00EC1589">
        <w:rPr>
          <w:rFonts w:ascii="Times New Roman" w:hAnsi="Times New Roman" w:cs="Times New Roman"/>
          <w:sz w:val="24"/>
          <w:szCs w:val="24"/>
        </w:rPr>
        <w:t xml:space="preserve"> over a wide pH range 3.0-10.0, the same results were broadly observed for probes </w:t>
      </w:r>
      <w:r w:rsidRPr="00EC1589">
        <w:rPr>
          <w:rFonts w:ascii="Times New Roman" w:hAnsi="Times New Roman" w:cs="Times New Roman"/>
          <w:b/>
          <w:sz w:val="24"/>
          <w:szCs w:val="24"/>
        </w:rPr>
        <w:t>8</w:t>
      </w:r>
      <w:r w:rsidRPr="00EC1589">
        <w:rPr>
          <w:rFonts w:ascii="Times New Roman" w:hAnsi="Times New Roman" w:cs="Times New Roman"/>
          <w:sz w:val="24"/>
          <w:szCs w:val="24"/>
        </w:rPr>
        <w:t>-</w:t>
      </w:r>
      <w:r w:rsidRPr="00EC1589">
        <w:rPr>
          <w:rFonts w:ascii="Times New Roman" w:hAnsi="Times New Roman" w:cs="Times New Roman"/>
          <w:b/>
          <w:sz w:val="24"/>
          <w:szCs w:val="24"/>
        </w:rPr>
        <w:t>10</w:t>
      </w:r>
      <w:r w:rsidRPr="00EC1589">
        <w:rPr>
          <w:rFonts w:ascii="Times New Roman" w:hAnsi="Times New Roman" w:cs="Times New Roman"/>
          <w:sz w:val="24"/>
          <w:szCs w:val="24"/>
        </w:rPr>
        <w:t xml:space="preserve"> (Fig. S24-S26, ESI), as expected due to the identical metal-chelating motif. The fluorescence intensity of all probes increased in an acidic environment, however, compared to the other three probes, </w:t>
      </w:r>
      <w:r w:rsidRPr="00EC1589">
        <w:rPr>
          <w:rFonts w:ascii="Times New Roman" w:hAnsi="Times New Roman" w:cs="Times New Roman"/>
          <w:b/>
          <w:sz w:val="24"/>
          <w:szCs w:val="24"/>
        </w:rPr>
        <w:t>7</w:t>
      </w:r>
      <w:r w:rsidRPr="00EC1589">
        <w:rPr>
          <w:rFonts w:ascii="Times New Roman" w:hAnsi="Times New Roman" w:cs="Times New Roman"/>
          <w:sz w:val="24"/>
          <w:szCs w:val="24"/>
        </w:rPr>
        <w:t xml:space="preserve"> and its complex were significantly brighter. Sessler et al. explained this behaviour based on a PET mechanism,</w:t>
      </w:r>
      <w:r w:rsidRPr="00EC1589">
        <w:rPr>
          <w:rFonts w:ascii="Times New Roman" w:hAnsi="Times New Roman" w:cs="Times New Roman"/>
          <w:sz w:val="24"/>
          <w:szCs w:val="24"/>
          <w:vertAlign w:val="superscript"/>
        </w:rPr>
        <w:t>39</w:t>
      </w:r>
      <w:r w:rsidRPr="00EC1589">
        <w:rPr>
          <w:rFonts w:ascii="Times New Roman" w:hAnsi="Times New Roman" w:cs="Times New Roman"/>
          <w:sz w:val="24"/>
          <w:szCs w:val="24"/>
        </w:rPr>
        <w:t xml:space="preserve"> however Veale and Gunnlaugasson have previously suggested that this is unlikely because the PET quenching from groups connected via the imide moiety is normally prevented.</w:t>
      </w:r>
      <w:r w:rsidRPr="00EC1589">
        <w:rPr>
          <w:rFonts w:ascii="Times New Roman" w:hAnsi="Times New Roman" w:cs="Times New Roman"/>
          <w:sz w:val="24"/>
          <w:szCs w:val="24"/>
          <w:vertAlign w:val="superscript"/>
        </w:rPr>
        <w:t>62</w:t>
      </w:r>
      <w:r w:rsidRPr="00EC1589">
        <w:rPr>
          <w:rFonts w:ascii="Times New Roman" w:hAnsi="Times New Roman" w:cs="Times New Roman"/>
          <w:sz w:val="24"/>
          <w:szCs w:val="24"/>
        </w:rPr>
        <w:t xml:space="preserve"> It therefore seems more likely that the differences in emission observed at different pH values are due to the presence of different species formed by the protonation of the tertiary amine or </w:t>
      </w:r>
      <w:r w:rsidRPr="00EC1589">
        <w:rPr>
          <w:rFonts w:ascii="Times New Roman" w:hAnsi="Times New Roman" w:cs="Times New Roman"/>
          <w:sz w:val="24"/>
          <w:szCs w:val="24"/>
        </w:rPr>
        <w:lastRenderedPageBreak/>
        <w:t>by the deprotonation of coordinated water. Given the range of pH observed in different organelles and the cytoplasm (i.e.</w:t>
      </w:r>
      <w:r>
        <w:rPr>
          <w:rFonts w:ascii="Times New Roman" w:hAnsi="Times New Roman" w:cs="Times New Roman"/>
          <w:sz w:val="24"/>
          <w:szCs w:val="24"/>
        </w:rPr>
        <w:t xml:space="preserve"> </w:t>
      </w:r>
      <w:r w:rsidRPr="00EC1589">
        <w:rPr>
          <w:rFonts w:ascii="Times New Roman" w:hAnsi="Times New Roman" w:cs="Times New Roman"/>
          <w:sz w:val="24"/>
          <w:szCs w:val="24"/>
        </w:rPr>
        <w:t>the pH is about 7.2 in ER and cytoplasm, 8 in the mitochondria and around 5 in the lysosome), all probes should display a response to mobile Zn</w:t>
      </w:r>
      <w:r w:rsidRPr="00EC1589">
        <w:rPr>
          <w:rFonts w:ascii="Times New Roman" w:hAnsi="Times New Roman" w:cs="Times New Roman"/>
          <w:sz w:val="24"/>
          <w:szCs w:val="24"/>
          <w:vertAlign w:val="superscript"/>
        </w:rPr>
        <w:t>2+</w:t>
      </w:r>
      <w:r w:rsidRPr="00EC1589">
        <w:rPr>
          <w:rFonts w:ascii="Times New Roman" w:hAnsi="Times New Roman" w:cs="Times New Roman"/>
          <w:sz w:val="24"/>
          <w:szCs w:val="24"/>
        </w:rPr>
        <w:t xml:space="preserve"> in cellulo. By integrating the intensity of the fluorescence emission spectra against pH (Fig. S27-S30, ESI) for different probes their apparent p</w:t>
      </w:r>
      <w:r w:rsidRPr="00EC1589">
        <w:rPr>
          <w:rFonts w:ascii="Times New Roman" w:hAnsi="Times New Roman" w:cs="Times New Roman"/>
          <w:i/>
          <w:sz w:val="24"/>
          <w:szCs w:val="24"/>
        </w:rPr>
        <w:t>K</w:t>
      </w:r>
      <w:r w:rsidRPr="00EC1589">
        <w:rPr>
          <w:rFonts w:ascii="Times New Roman" w:hAnsi="Times New Roman" w:cs="Times New Roman"/>
          <w:sz w:val="24"/>
          <w:szCs w:val="24"/>
          <w:vertAlign w:val="subscript"/>
        </w:rPr>
        <w:t>a</w:t>
      </w:r>
      <w:r w:rsidRPr="00EC1589">
        <w:rPr>
          <w:rFonts w:ascii="Times New Roman" w:hAnsi="Times New Roman" w:cs="Times New Roman"/>
          <w:sz w:val="24"/>
          <w:szCs w:val="24"/>
        </w:rPr>
        <w:t xml:space="preserve"> values were determined through non-linear curve fitting (Equation S4, ESI).</w:t>
      </w:r>
    </w:p>
    <w:p w14:paraId="4514855A" w14:textId="2FCEC983" w:rsidR="00EC1589" w:rsidRDefault="00EC1589" w:rsidP="00EC1589">
      <w:pPr>
        <w:spacing w:line="480" w:lineRule="auto"/>
        <w:jc w:val="both"/>
        <w:rPr>
          <w:rFonts w:ascii="Times New Roman" w:hAnsi="Times New Roman" w:cs="Times New Roman"/>
          <w:sz w:val="24"/>
          <w:szCs w:val="24"/>
        </w:rPr>
      </w:pPr>
      <w:r w:rsidRPr="00EC1589">
        <w:rPr>
          <w:rFonts w:ascii="Times New Roman" w:hAnsi="Times New Roman" w:cs="Times New Roman"/>
          <w:sz w:val="24"/>
          <w:szCs w:val="24"/>
        </w:rPr>
        <w:t xml:space="preserve">The selectivity of probes </w:t>
      </w:r>
      <w:r w:rsidRPr="00EC1589">
        <w:rPr>
          <w:rFonts w:ascii="Times New Roman" w:hAnsi="Times New Roman" w:cs="Times New Roman"/>
          <w:b/>
          <w:sz w:val="24"/>
          <w:szCs w:val="24"/>
        </w:rPr>
        <w:t>7</w:t>
      </w:r>
      <w:r w:rsidRPr="00EC1589">
        <w:rPr>
          <w:rFonts w:ascii="Times New Roman" w:hAnsi="Times New Roman" w:cs="Times New Roman"/>
          <w:sz w:val="24"/>
          <w:szCs w:val="24"/>
        </w:rPr>
        <w:t>-</w:t>
      </w:r>
      <w:r w:rsidRPr="00EC1589">
        <w:rPr>
          <w:rFonts w:ascii="Times New Roman" w:hAnsi="Times New Roman" w:cs="Times New Roman"/>
          <w:b/>
          <w:sz w:val="24"/>
          <w:szCs w:val="24"/>
        </w:rPr>
        <w:t>10</w:t>
      </w:r>
      <w:r w:rsidRPr="00EC1589">
        <w:rPr>
          <w:rFonts w:ascii="Times New Roman" w:hAnsi="Times New Roman" w:cs="Times New Roman"/>
          <w:sz w:val="24"/>
          <w:szCs w:val="24"/>
        </w:rPr>
        <w:t xml:space="preserve"> was investigated in the presence of a range of other biologically relevant cations.  From Fig. 2c and Fig. S31-S33 (ESI), it can be seen that all probes display similar behaviour, which is to be expected given they contain the same metal binding motif. The fluorescence did not show an obvious increase after addition of 5 equivalents of other cations, except for the stereoelectronic isostere Cd</w:t>
      </w:r>
      <w:r w:rsidRPr="00EC1589">
        <w:rPr>
          <w:rFonts w:ascii="Times New Roman" w:hAnsi="Times New Roman" w:cs="Times New Roman"/>
          <w:sz w:val="24"/>
          <w:szCs w:val="24"/>
          <w:vertAlign w:val="superscript"/>
        </w:rPr>
        <w:t>2+</w:t>
      </w:r>
      <w:r w:rsidRPr="00EC1589">
        <w:rPr>
          <w:rFonts w:ascii="Times New Roman" w:hAnsi="Times New Roman" w:cs="Times New Roman"/>
          <w:sz w:val="24"/>
          <w:szCs w:val="24"/>
        </w:rPr>
        <w:t>, which is not concerning since it is not a biologically relevant analyte. Subsequent addition of 1 equivalent of Zn</w:t>
      </w:r>
      <w:r w:rsidRPr="00EC1589">
        <w:rPr>
          <w:rFonts w:ascii="Times New Roman" w:hAnsi="Times New Roman" w:cs="Times New Roman"/>
          <w:sz w:val="24"/>
          <w:szCs w:val="24"/>
          <w:vertAlign w:val="superscript"/>
        </w:rPr>
        <w:t>2+</w:t>
      </w:r>
      <w:r w:rsidRPr="00EC1589">
        <w:rPr>
          <w:rFonts w:ascii="Times New Roman" w:hAnsi="Times New Roman" w:cs="Times New Roman"/>
          <w:sz w:val="24"/>
          <w:szCs w:val="24"/>
        </w:rPr>
        <w:t xml:space="preserve"> resulted in recovery of a fluorescence response for most cations, however for Co</w:t>
      </w:r>
      <w:r w:rsidRPr="00EC1589">
        <w:rPr>
          <w:rFonts w:ascii="Times New Roman" w:hAnsi="Times New Roman" w:cs="Times New Roman"/>
          <w:sz w:val="24"/>
          <w:szCs w:val="24"/>
          <w:vertAlign w:val="superscript"/>
        </w:rPr>
        <w:t>2+</w:t>
      </w:r>
      <w:r w:rsidRPr="00EC1589">
        <w:rPr>
          <w:rFonts w:ascii="Times New Roman" w:hAnsi="Times New Roman" w:cs="Times New Roman"/>
          <w:sz w:val="24"/>
          <w:szCs w:val="24"/>
        </w:rPr>
        <w:t>, Cu</w:t>
      </w:r>
      <w:r w:rsidRPr="00EC1589">
        <w:rPr>
          <w:rFonts w:ascii="Times New Roman" w:hAnsi="Times New Roman" w:cs="Times New Roman"/>
          <w:sz w:val="24"/>
          <w:szCs w:val="24"/>
          <w:vertAlign w:val="superscript"/>
        </w:rPr>
        <w:t>2+</w:t>
      </w:r>
      <w:r w:rsidRPr="00EC1589">
        <w:rPr>
          <w:rFonts w:ascii="Times New Roman" w:hAnsi="Times New Roman" w:cs="Times New Roman"/>
          <w:sz w:val="24"/>
          <w:szCs w:val="24"/>
        </w:rPr>
        <w:t xml:space="preserve"> and Ni</w:t>
      </w:r>
      <w:r w:rsidRPr="00EC1589">
        <w:rPr>
          <w:rFonts w:ascii="Times New Roman" w:hAnsi="Times New Roman" w:cs="Times New Roman"/>
          <w:sz w:val="24"/>
          <w:szCs w:val="24"/>
          <w:vertAlign w:val="superscript"/>
        </w:rPr>
        <w:t>2+</w:t>
      </w:r>
      <w:r w:rsidRPr="00EC1589">
        <w:rPr>
          <w:rFonts w:ascii="Times New Roman" w:hAnsi="Times New Roman" w:cs="Times New Roman"/>
          <w:sz w:val="24"/>
          <w:szCs w:val="24"/>
        </w:rPr>
        <w:t xml:space="preserve"> fluorescence was still quenched, but as they essentially exist in bound forms in biology, rather than the free cations tested here, this should not be problematical. Therefore, the results above suggest that all probes should have a selective response to mobile Zn</w:t>
      </w:r>
      <w:r w:rsidRPr="00EC1589">
        <w:rPr>
          <w:rFonts w:ascii="Times New Roman" w:hAnsi="Times New Roman" w:cs="Times New Roman"/>
          <w:sz w:val="24"/>
          <w:szCs w:val="24"/>
          <w:vertAlign w:val="superscript"/>
        </w:rPr>
        <w:t>2+</w:t>
      </w:r>
      <w:r w:rsidRPr="00EC1589">
        <w:rPr>
          <w:rFonts w:ascii="Times New Roman" w:hAnsi="Times New Roman" w:cs="Times New Roman"/>
          <w:sz w:val="24"/>
          <w:szCs w:val="24"/>
        </w:rPr>
        <w:t xml:space="preserve"> in celluo.</w:t>
      </w:r>
    </w:p>
    <w:p w14:paraId="2B1578F0" w14:textId="47717A71" w:rsidR="001D7026" w:rsidRDefault="00536B74" w:rsidP="00EC1589">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831A9EA" wp14:editId="7F926E03">
            <wp:extent cx="5727700" cy="1530350"/>
            <wp:effectExtent l="0" t="0" r="6350" b="0"/>
            <wp:docPr id="229" name="Picture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7700" cy="1530350"/>
                    </a:xfrm>
                    <a:prstGeom prst="rect">
                      <a:avLst/>
                    </a:prstGeom>
                    <a:noFill/>
                    <a:ln>
                      <a:noFill/>
                    </a:ln>
                  </pic:spPr>
                </pic:pic>
              </a:graphicData>
            </a:graphic>
          </wp:inline>
        </w:drawing>
      </w:r>
    </w:p>
    <w:p w14:paraId="67731438" w14:textId="4891C1FD" w:rsidR="00536B74" w:rsidRPr="00EC1589" w:rsidRDefault="00110F55" w:rsidP="00EC1589">
      <w:pPr>
        <w:spacing w:line="480" w:lineRule="auto"/>
        <w:jc w:val="both"/>
        <w:rPr>
          <w:rFonts w:ascii="Times New Roman" w:hAnsi="Times New Roman" w:cs="Times New Roman"/>
          <w:sz w:val="24"/>
          <w:szCs w:val="24"/>
        </w:rPr>
      </w:pPr>
      <w:r w:rsidRPr="00110F55">
        <w:rPr>
          <w:rFonts w:ascii="Times New Roman" w:hAnsi="Times New Roman" w:cs="Times New Roman"/>
          <w:sz w:val="24"/>
          <w:szCs w:val="24"/>
        </w:rPr>
        <w:t xml:space="preserve">Fig. 2a) The fluorescence response of </w:t>
      </w:r>
      <w:r w:rsidRPr="00110F55">
        <w:rPr>
          <w:rFonts w:ascii="Times New Roman" w:hAnsi="Times New Roman" w:cs="Times New Roman"/>
          <w:b/>
          <w:sz w:val="24"/>
          <w:szCs w:val="24"/>
        </w:rPr>
        <w:t>7</w:t>
      </w:r>
      <w:r w:rsidRPr="00110F55">
        <w:rPr>
          <w:rFonts w:ascii="Times New Roman" w:hAnsi="Times New Roman" w:cs="Times New Roman"/>
          <w:sz w:val="24"/>
          <w:szCs w:val="24"/>
        </w:rPr>
        <w:t xml:space="preserve"> (50 µM) to different equivalents of ZnCl</w:t>
      </w:r>
      <w:r w:rsidRPr="00110F55">
        <w:rPr>
          <w:rFonts w:ascii="Times New Roman" w:hAnsi="Times New Roman" w:cs="Times New Roman"/>
          <w:sz w:val="24"/>
          <w:szCs w:val="24"/>
          <w:vertAlign w:val="subscript"/>
        </w:rPr>
        <w:t>2</w:t>
      </w:r>
      <w:r w:rsidRPr="00110F55">
        <w:rPr>
          <w:rFonts w:ascii="Times New Roman" w:hAnsi="Times New Roman" w:cs="Times New Roman"/>
          <w:sz w:val="24"/>
          <w:szCs w:val="24"/>
        </w:rPr>
        <w:t xml:space="preserve">; b) The pH profile of </w:t>
      </w:r>
      <w:r w:rsidRPr="00110F55">
        <w:rPr>
          <w:rFonts w:ascii="Times New Roman" w:hAnsi="Times New Roman" w:cs="Times New Roman"/>
          <w:b/>
          <w:sz w:val="24"/>
          <w:szCs w:val="24"/>
        </w:rPr>
        <w:t>7</w:t>
      </w:r>
      <w:r w:rsidRPr="00110F55">
        <w:rPr>
          <w:rFonts w:ascii="Times New Roman" w:hAnsi="Times New Roman" w:cs="Times New Roman"/>
          <w:sz w:val="24"/>
          <w:szCs w:val="24"/>
        </w:rPr>
        <w:t xml:space="preserve"> (50 µM, black dots) and its complex with 1 equivalent Zn</w:t>
      </w:r>
      <w:r w:rsidRPr="00110F55">
        <w:rPr>
          <w:rFonts w:ascii="Times New Roman" w:hAnsi="Times New Roman" w:cs="Times New Roman"/>
          <w:sz w:val="24"/>
          <w:szCs w:val="24"/>
          <w:vertAlign w:val="superscript"/>
        </w:rPr>
        <w:t>2+</w:t>
      </w:r>
      <w:r w:rsidRPr="00110F55">
        <w:rPr>
          <w:rFonts w:ascii="Times New Roman" w:hAnsi="Times New Roman" w:cs="Times New Roman"/>
          <w:sz w:val="24"/>
          <w:szCs w:val="24"/>
        </w:rPr>
        <w:t xml:space="preserve"> (red dots); c) Metal ion selectivity of </w:t>
      </w:r>
      <w:r w:rsidRPr="00110F55">
        <w:rPr>
          <w:rFonts w:ascii="Times New Roman" w:hAnsi="Times New Roman" w:cs="Times New Roman"/>
          <w:b/>
          <w:sz w:val="24"/>
          <w:szCs w:val="24"/>
        </w:rPr>
        <w:t>7</w:t>
      </w:r>
      <w:r w:rsidRPr="00110F55">
        <w:rPr>
          <w:rFonts w:ascii="Times New Roman" w:hAnsi="Times New Roman" w:cs="Times New Roman"/>
          <w:sz w:val="24"/>
          <w:szCs w:val="24"/>
        </w:rPr>
        <w:t xml:space="preserve">. Average normalized fluorescence intensities for </w:t>
      </w:r>
      <w:r w:rsidRPr="00110F55">
        <w:rPr>
          <w:rFonts w:ascii="Times New Roman" w:hAnsi="Times New Roman" w:cs="Times New Roman"/>
          <w:b/>
          <w:sz w:val="24"/>
          <w:szCs w:val="24"/>
        </w:rPr>
        <w:t>7</w:t>
      </w:r>
      <w:r w:rsidRPr="00110F55">
        <w:rPr>
          <w:rFonts w:ascii="Times New Roman" w:hAnsi="Times New Roman" w:cs="Times New Roman"/>
          <w:sz w:val="24"/>
          <w:szCs w:val="24"/>
        </w:rPr>
        <w:t xml:space="preserve"> (50 µM) (black bars), after addition of 5 equivalents of various cations (red bars), followed by addition of 1 equivalent </w:t>
      </w:r>
      <w:r w:rsidRPr="00110F55">
        <w:rPr>
          <w:rFonts w:ascii="Times New Roman" w:hAnsi="Times New Roman" w:cs="Times New Roman"/>
          <w:sz w:val="24"/>
          <w:szCs w:val="24"/>
        </w:rPr>
        <w:lastRenderedPageBreak/>
        <w:t>ZnCl</w:t>
      </w:r>
      <w:r w:rsidRPr="00110F55">
        <w:rPr>
          <w:rFonts w:ascii="Times New Roman" w:hAnsi="Times New Roman" w:cs="Times New Roman"/>
          <w:sz w:val="24"/>
          <w:szCs w:val="24"/>
          <w:vertAlign w:val="subscript"/>
        </w:rPr>
        <w:t>2</w:t>
      </w:r>
      <w:r w:rsidRPr="00110F55">
        <w:rPr>
          <w:rFonts w:ascii="Times New Roman" w:hAnsi="Times New Roman" w:cs="Times New Roman"/>
          <w:sz w:val="24"/>
          <w:szCs w:val="24"/>
        </w:rPr>
        <w:t xml:space="preserve"> (blue bars). (For all tests, the solution is 0.01 mM HEPES buffer with 1% DMSO, pH = 7.4 except pH profile, λ</w:t>
      </w:r>
      <w:r w:rsidRPr="00110F55">
        <w:rPr>
          <w:rFonts w:ascii="Times New Roman" w:hAnsi="Times New Roman" w:cs="Times New Roman"/>
          <w:sz w:val="24"/>
          <w:szCs w:val="24"/>
          <w:vertAlign w:val="subscript"/>
        </w:rPr>
        <w:t>ex</w:t>
      </w:r>
      <w:r w:rsidRPr="00110F55">
        <w:rPr>
          <w:rFonts w:ascii="Times New Roman" w:hAnsi="Times New Roman" w:cs="Times New Roman"/>
          <w:sz w:val="24"/>
          <w:szCs w:val="24"/>
        </w:rPr>
        <w:t xml:space="preserve"> = 346 nm, λ</w:t>
      </w:r>
      <w:r w:rsidRPr="00110F55">
        <w:rPr>
          <w:rFonts w:ascii="Times New Roman" w:hAnsi="Times New Roman" w:cs="Times New Roman"/>
          <w:sz w:val="24"/>
          <w:szCs w:val="24"/>
          <w:vertAlign w:val="subscript"/>
        </w:rPr>
        <w:t>em</w:t>
      </w:r>
      <w:r w:rsidRPr="00110F55">
        <w:rPr>
          <w:rFonts w:ascii="Times New Roman" w:hAnsi="Times New Roman" w:cs="Times New Roman"/>
          <w:sz w:val="24"/>
          <w:szCs w:val="24"/>
        </w:rPr>
        <w:t xml:space="preserve"> = 414 nm, slit width: 5/2.5 nm).</w:t>
      </w:r>
    </w:p>
    <w:p w14:paraId="792A3E92" w14:textId="3D23F275" w:rsidR="0064604A" w:rsidRPr="001D7026" w:rsidRDefault="00EC1589" w:rsidP="00EC1589">
      <w:pPr>
        <w:spacing w:line="480" w:lineRule="auto"/>
        <w:jc w:val="both"/>
        <w:rPr>
          <w:rFonts w:ascii="Times New Roman" w:hAnsi="Times New Roman" w:cs="Times New Roman"/>
          <w:b/>
          <w:sz w:val="24"/>
          <w:szCs w:val="24"/>
        </w:rPr>
      </w:pPr>
      <w:r w:rsidRPr="001D7026">
        <w:rPr>
          <w:rFonts w:ascii="Times New Roman" w:hAnsi="Times New Roman" w:cs="Times New Roman"/>
          <w:b/>
          <w:sz w:val="24"/>
          <w:szCs w:val="24"/>
        </w:rPr>
        <w:t>NMR titration of 10 with Zn</w:t>
      </w:r>
      <w:r w:rsidRPr="001D7026">
        <w:rPr>
          <w:rFonts w:ascii="Times New Roman" w:hAnsi="Times New Roman" w:cs="Times New Roman"/>
          <w:b/>
          <w:sz w:val="24"/>
          <w:szCs w:val="24"/>
          <w:vertAlign w:val="superscript"/>
        </w:rPr>
        <w:t>2+</w:t>
      </w:r>
    </w:p>
    <w:p w14:paraId="3A690F8E" w14:textId="13B673E5" w:rsidR="00E83191" w:rsidRPr="00E83191" w:rsidRDefault="00E83191" w:rsidP="00E83191">
      <w:pPr>
        <w:spacing w:line="480" w:lineRule="auto"/>
        <w:jc w:val="both"/>
        <w:rPr>
          <w:rFonts w:ascii="Times New Roman" w:hAnsi="Times New Roman" w:cs="Times New Roman"/>
          <w:sz w:val="24"/>
          <w:szCs w:val="24"/>
        </w:rPr>
      </w:pPr>
      <w:r w:rsidRPr="00E83191">
        <w:rPr>
          <w:rFonts w:ascii="Times New Roman" w:hAnsi="Times New Roman" w:cs="Times New Roman"/>
          <w:sz w:val="24"/>
          <w:szCs w:val="24"/>
        </w:rPr>
        <w:t xml:space="preserve">In order to study the binding behaviour between </w:t>
      </w:r>
      <w:r w:rsidRPr="00E83191">
        <w:rPr>
          <w:rFonts w:ascii="Times New Roman" w:hAnsi="Times New Roman" w:cs="Times New Roman"/>
          <w:b/>
          <w:sz w:val="24"/>
          <w:szCs w:val="24"/>
        </w:rPr>
        <w:t>10</w:t>
      </w:r>
      <w:r w:rsidRPr="00E83191">
        <w:rPr>
          <w:rFonts w:ascii="Times New Roman" w:hAnsi="Times New Roman" w:cs="Times New Roman"/>
          <w:sz w:val="24"/>
          <w:szCs w:val="24"/>
        </w:rPr>
        <w:t xml:space="preserve"> and Zn</w:t>
      </w:r>
      <w:r w:rsidRPr="00E83191">
        <w:rPr>
          <w:rFonts w:ascii="Times New Roman" w:hAnsi="Times New Roman" w:cs="Times New Roman"/>
          <w:sz w:val="24"/>
          <w:szCs w:val="24"/>
          <w:vertAlign w:val="superscript"/>
        </w:rPr>
        <w:t>2+</w:t>
      </w:r>
      <w:r w:rsidRPr="00E83191">
        <w:rPr>
          <w:rFonts w:ascii="Times New Roman" w:hAnsi="Times New Roman" w:cs="Times New Roman"/>
          <w:sz w:val="24"/>
          <w:szCs w:val="24"/>
        </w:rPr>
        <w:t xml:space="preserve">, a </w:t>
      </w:r>
      <w:r w:rsidRPr="00E83191">
        <w:rPr>
          <w:rFonts w:ascii="Times New Roman" w:hAnsi="Times New Roman" w:cs="Times New Roman"/>
          <w:sz w:val="24"/>
          <w:szCs w:val="24"/>
          <w:vertAlign w:val="superscript"/>
        </w:rPr>
        <w:t>1</w:t>
      </w:r>
      <w:r w:rsidRPr="00E83191">
        <w:rPr>
          <w:rFonts w:ascii="Times New Roman" w:hAnsi="Times New Roman" w:cs="Times New Roman"/>
          <w:sz w:val="24"/>
          <w:szCs w:val="24"/>
        </w:rPr>
        <w:t>H NMR titration with different equivalents Zn</w:t>
      </w:r>
      <w:r w:rsidRPr="00E83191">
        <w:rPr>
          <w:rFonts w:ascii="Times New Roman" w:hAnsi="Times New Roman" w:cs="Times New Roman"/>
          <w:sz w:val="24"/>
          <w:szCs w:val="24"/>
          <w:vertAlign w:val="superscript"/>
        </w:rPr>
        <w:t>2+</w:t>
      </w:r>
      <w:r w:rsidRPr="00E83191">
        <w:rPr>
          <w:rFonts w:ascii="Times New Roman" w:hAnsi="Times New Roman" w:cs="Times New Roman"/>
          <w:sz w:val="24"/>
          <w:szCs w:val="24"/>
        </w:rPr>
        <w:t xml:space="preserve"> was performed (see Fig. S34, ESI). From Fig. 3 and Fig. S35 (see ESI), it can be seen that protons H</w:t>
      </w:r>
      <w:r w:rsidRPr="00E83191">
        <w:rPr>
          <w:rFonts w:ascii="Times New Roman" w:hAnsi="Times New Roman" w:cs="Times New Roman"/>
          <w:sz w:val="24"/>
          <w:szCs w:val="24"/>
          <w:vertAlign w:val="subscript"/>
        </w:rPr>
        <w:t>c-g</w:t>
      </w:r>
      <w:r w:rsidRPr="00E83191">
        <w:rPr>
          <w:rFonts w:ascii="Times New Roman" w:hAnsi="Times New Roman" w:cs="Times New Roman"/>
          <w:sz w:val="24"/>
          <w:szCs w:val="24"/>
        </w:rPr>
        <w:t xml:space="preserve"> are largely unaffected, while H</w:t>
      </w:r>
      <w:r w:rsidRPr="00E83191">
        <w:rPr>
          <w:rFonts w:ascii="Times New Roman" w:hAnsi="Times New Roman" w:cs="Times New Roman"/>
          <w:sz w:val="24"/>
          <w:szCs w:val="24"/>
          <w:vertAlign w:val="subscript"/>
        </w:rPr>
        <w:t>l-n</w:t>
      </w:r>
      <w:r w:rsidRPr="00E83191">
        <w:rPr>
          <w:rFonts w:ascii="Times New Roman" w:hAnsi="Times New Roman" w:cs="Times New Roman"/>
          <w:sz w:val="24"/>
          <w:szCs w:val="24"/>
        </w:rPr>
        <w:t>, H</w:t>
      </w:r>
      <w:r w:rsidRPr="00E83191">
        <w:rPr>
          <w:rFonts w:ascii="Times New Roman" w:hAnsi="Times New Roman" w:cs="Times New Roman"/>
          <w:sz w:val="24"/>
          <w:szCs w:val="24"/>
          <w:vertAlign w:val="subscript"/>
        </w:rPr>
        <w:t>h</w:t>
      </w:r>
      <w:r w:rsidRPr="00E83191">
        <w:rPr>
          <w:rFonts w:ascii="Times New Roman" w:hAnsi="Times New Roman" w:cs="Times New Roman"/>
          <w:sz w:val="24"/>
          <w:szCs w:val="24"/>
        </w:rPr>
        <w:t xml:space="preserve"> and H</w:t>
      </w:r>
      <w:r w:rsidRPr="00E83191">
        <w:rPr>
          <w:rFonts w:ascii="Times New Roman" w:hAnsi="Times New Roman" w:cs="Times New Roman"/>
          <w:sz w:val="24"/>
          <w:szCs w:val="24"/>
          <w:vertAlign w:val="subscript"/>
        </w:rPr>
        <w:t>i,j</w:t>
      </w:r>
      <w:r w:rsidRPr="00E83191">
        <w:rPr>
          <w:rFonts w:ascii="Times New Roman" w:hAnsi="Times New Roman" w:cs="Times New Roman"/>
          <w:sz w:val="24"/>
          <w:szCs w:val="24"/>
        </w:rPr>
        <w:t xml:space="preserve"> have significant downfield shifts after binding with Zn</w:t>
      </w:r>
      <w:r w:rsidRPr="00E83191">
        <w:rPr>
          <w:rFonts w:ascii="Times New Roman" w:hAnsi="Times New Roman" w:cs="Times New Roman"/>
          <w:sz w:val="24"/>
          <w:szCs w:val="24"/>
          <w:vertAlign w:val="superscript"/>
        </w:rPr>
        <w:t>2+</w:t>
      </w:r>
      <w:r w:rsidRPr="00E83191">
        <w:rPr>
          <w:rFonts w:ascii="Times New Roman" w:hAnsi="Times New Roman" w:cs="Times New Roman"/>
          <w:sz w:val="24"/>
          <w:szCs w:val="24"/>
        </w:rPr>
        <w:t>, This indicates that the ligand N,N-di-(2-picolyl)ethylenediamine (DPEN) and the triazole are involved in metal binding.  This result is consistent with the behaviour observed by single crystal X-ray diffraction in related structures</w:t>
      </w:r>
      <w:r w:rsidRPr="00E83191">
        <w:rPr>
          <w:rFonts w:ascii="Times New Roman" w:hAnsi="Times New Roman" w:cs="Times New Roman"/>
          <w:sz w:val="24"/>
          <w:szCs w:val="24"/>
          <w:vertAlign w:val="superscript"/>
        </w:rPr>
        <w:t>63,64</w:t>
      </w:r>
      <w:r w:rsidRPr="00E83191">
        <w:rPr>
          <w:rFonts w:ascii="Times New Roman" w:hAnsi="Times New Roman" w:cs="Times New Roman"/>
          <w:sz w:val="24"/>
          <w:szCs w:val="24"/>
        </w:rPr>
        <w:t xml:space="preserve"> as well as recent DFT calculations.</w:t>
      </w:r>
      <w:r w:rsidRPr="00E83191">
        <w:rPr>
          <w:rFonts w:ascii="Times New Roman" w:hAnsi="Times New Roman" w:cs="Times New Roman"/>
          <w:sz w:val="24"/>
          <w:szCs w:val="24"/>
          <w:vertAlign w:val="superscript"/>
        </w:rPr>
        <w:t>52</w:t>
      </w:r>
    </w:p>
    <w:p w14:paraId="55C1737A" w14:textId="4520E5A0" w:rsidR="00060BDE" w:rsidRDefault="006A753E" w:rsidP="00E83191">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EE80EDD" wp14:editId="6790A4C7">
            <wp:extent cx="5721350" cy="3911600"/>
            <wp:effectExtent l="0" t="0" r="0" b="0"/>
            <wp:docPr id="230" name="Picture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1350" cy="3911600"/>
                    </a:xfrm>
                    <a:prstGeom prst="rect">
                      <a:avLst/>
                    </a:prstGeom>
                    <a:noFill/>
                    <a:ln>
                      <a:noFill/>
                    </a:ln>
                  </pic:spPr>
                </pic:pic>
              </a:graphicData>
            </a:graphic>
          </wp:inline>
        </w:drawing>
      </w:r>
    </w:p>
    <w:p w14:paraId="1A1611DB" w14:textId="28ED6755" w:rsidR="006A753E" w:rsidRPr="00060BDE" w:rsidRDefault="003479E5" w:rsidP="00E83191">
      <w:pPr>
        <w:spacing w:line="480" w:lineRule="auto"/>
        <w:jc w:val="both"/>
        <w:rPr>
          <w:rFonts w:ascii="Times New Roman" w:hAnsi="Times New Roman" w:cs="Times New Roman"/>
          <w:sz w:val="24"/>
          <w:szCs w:val="24"/>
        </w:rPr>
      </w:pPr>
      <w:r w:rsidRPr="003479E5">
        <w:rPr>
          <w:rFonts w:ascii="Times New Roman" w:hAnsi="Times New Roman" w:cs="Times New Roman"/>
          <w:sz w:val="24"/>
          <w:szCs w:val="24"/>
        </w:rPr>
        <w:t xml:space="preserve">Fig. 3 The aromatic region of the </w:t>
      </w:r>
      <w:r w:rsidRPr="003479E5">
        <w:rPr>
          <w:rFonts w:ascii="Times New Roman" w:hAnsi="Times New Roman" w:cs="Times New Roman"/>
          <w:sz w:val="24"/>
          <w:szCs w:val="24"/>
          <w:vertAlign w:val="superscript"/>
        </w:rPr>
        <w:t>1</w:t>
      </w:r>
      <w:r w:rsidRPr="003479E5">
        <w:rPr>
          <w:rFonts w:ascii="Times New Roman" w:hAnsi="Times New Roman" w:cs="Times New Roman"/>
          <w:sz w:val="24"/>
          <w:szCs w:val="24"/>
        </w:rPr>
        <w:t xml:space="preserve">H NMR spectra of probe </w:t>
      </w:r>
      <w:r w:rsidRPr="003479E5">
        <w:rPr>
          <w:rFonts w:ascii="Times New Roman" w:hAnsi="Times New Roman" w:cs="Times New Roman"/>
          <w:b/>
          <w:sz w:val="24"/>
          <w:szCs w:val="24"/>
        </w:rPr>
        <w:t>10</w:t>
      </w:r>
      <w:r w:rsidRPr="003479E5">
        <w:rPr>
          <w:rFonts w:ascii="Times New Roman" w:hAnsi="Times New Roman" w:cs="Times New Roman"/>
          <w:sz w:val="24"/>
          <w:szCs w:val="24"/>
        </w:rPr>
        <w:t xml:space="preserve"> (5 mM) with different equivalents of ZnCl</w:t>
      </w:r>
      <w:r w:rsidRPr="003479E5">
        <w:rPr>
          <w:rFonts w:ascii="Times New Roman" w:hAnsi="Times New Roman" w:cs="Times New Roman"/>
          <w:sz w:val="24"/>
          <w:szCs w:val="24"/>
          <w:vertAlign w:val="subscript"/>
        </w:rPr>
        <w:t>2</w:t>
      </w:r>
      <w:r w:rsidRPr="003479E5">
        <w:rPr>
          <w:rFonts w:ascii="Times New Roman" w:hAnsi="Times New Roman" w:cs="Times New Roman"/>
          <w:sz w:val="24"/>
          <w:szCs w:val="24"/>
        </w:rPr>
        <w:t xml:space="preserve"> in CD</w:t>
      </w:r>
      <w:r w:rsidRPr="003479E5">
        <w:rPr>
          <w:rFonts w:ascii="Times New Roman" w:hAnsi="Times New Roman" w:cs="Times New Roman"/>
          <w:sz w:val="24"/>
          <w:szCs w:val="24"/>
          <w:vertAlign w:val="subscript"/>
        </w:rPr>
        <w:t>3</w:t>
      </w:r>
      <w:r w:rsidRPr="003479E5">
        <w:rPr>
          <w:rFonts w:ascii="Times New Roman" w:hAnsi="Times New Roman" w:cs="Times New Roman"/>
          <w:sz w:val="24"/>
          <w:szCs w:val="24"/>
        </w:rPr>
        <w:t xml:space="preserve">OD.  </w:t>
      </w:r>
    </w:p>
    <w:p w14:paraId="6B868882" w14:textId="68E935CA" w:rsidR="00E83191" w:rsidRPr="00E83191" w:rsidRDefault="00E83191" w:rsidP="00E83191">
      <w:pPr>
        <w:spacing w:line="480" w:lineRule="auto"/>
        <w:jc w:val="both"/>
        <w:rPr>
          <w:rFonts w:ascii="Times New Roman" w:hAnsi="Times New Roman" w:cs="Times New Roman"/>
          <w:b/>
          <w:sz w:val="24"/>
          <w:szCs w:val="24"/>
        </w:rPr>
      </w:pPr>
      <w:r w:rsidRPr="00E83191">
        <w:rPr>
          <w:rFonts w:ascii="Times New Roman" w:hAnsi="Times New Roman" w:cs="Times New Roman"/>
          <w:b/>
          <w:sz w:val="24"/>
          <w:szCs w:val="24"/>
        </w:rPr>
        <w:lastRenderedPageBreak/>
        <w:t>DFT calculations</w:t>
      </w:r>
    </w:p>
    <w:p w14:paraId="232FDFD6" w14:textId="77777777" w:rsidR="00E83191" w:rsidRPr="00E83191" w:rsidRDefault="00E83191" w:rsidP="00E83191">
      <w:pPr>
        <w:spacing w:line="480" w:lineRule="auto"/>
        <w:jc w:val="both"/>
        <w:rPr>
          <w:rFonts w:ascii="Times New Roman" w:hAnsi="Times New Roman" w:cs="Times New Roman"/>
          <w:sz w:val="24"/>
          <w:szCs w:val="24"/>
        </w:rPr>
      </w:pPr>
      <w:r w:rsidRPr="00E83191">
        <w:rPr>
          <w:rFonts w:ascii="Times New Roman" w:hAnsi="Times New Roman" w:cs="Times New Roman"/>
          <w:sz w:val="24"/>
          <w:szCs w:val="24"/>
        </w:rPr>
        <w:t xml:space="preserve">In addition to the </w:t>
      </w:r>
      <w:r w:rsidRPr="00E83191">
        <w:rPr>
          <w:rFonts w:ascii="Times New Roman" w:hAnsi="Times New Roman" w:cs="Times New Roman"/>
          <w:sz w:val="24"/>
          <w:szCs w:val="24"/>
          <w:vertAlign w:val="superscript"/>
        </w:rPr>
        <w:t>1</w:t>
      </w:r>
      <w:r w:rsidRPr="00E83191">
        <w:rPr>
          <w:rFonts w:ascii="Times New Roman" w:hAnsi="Times New Roman" w:cs="Times New Roman"/>
          <w:sz w:val="24"/>
          <w:szCs w:val="24"/>
        </w:rPr>
        <w:t>H NMR titration, DFT calculations were also undertaken to study the association between probes and Zn</w:t>
      </w:r>
      <w:r w:rsidRPr="00E83191">
        <w:rPr>
          <w:rFonts w:ascii="Times New Roman" w:hAnsi="Times New Roman" w:cs="Times New Roman"/>
          <w:sz w:val="24"/>
          <w:szCs w:val="24"/>
          <w:vertAlign w:val="superscript"/>
        </w:rPr>
        <w:t>2+</w:t>
      </w:r>
      <w:r w:rsidRPr="00E83191">
        <w:rPr>
          <w:rFonts w:ascii="Times New Roman" w:hAnsi="Times New Roman" w:cs="Times New Roman"/>
          <w:sz w:val="24"/>
          <w:szCs w:val="24"/>
        </w:rPr>
        <w:t xml:space="preserve">. The optimised structures of the complexes of </w:t>
      </w:r>
      <w:r w:rsidRPr="00E83191">
        <w:rPr>
          <w:rFonts w:ascii="Times New Roman" w:hAnsi="Times New Roman" w:cs="Times New Roman"/>
          <w:b/>
          <w:sz w:val="24"/>
          <w:szCs w:val="24"/>
        </w:rPr>
        <w:t>7</w:t>
      </w:r>
      <w:r w:rsidRPr="00E83191">
        <w:rPr>
          <w:rFonts w:ascii="Times New Roman" w:hAnsi="Times New Roman" w:cs="Times New Roman"/>
          <w:sz w:val="24"/>
          <w:szCs w:val="24"/>
        </w:rPr>
        <w:t>-</w:t>
      </w:r>
      <w:r w:rsidRPr="00E83191">
        <w:rPr>
          <w:rFonts w:ascii="Times New Roman" w:hAnsi="Times New Roman" w:cs="Times New Roman"/>
          <w:b/>
          <w:sz w:val="24"/>
          <w:szCs w:val="24"/>
        </w:rPr>
        <w:t>10</w:t>
      </w:r>
      <w:r w:rsidRPr="00E83191">
        <w:rPr>
          <w:rFonts w:ascii="Times New Roman" w:hAnsi="Times New Roman" w:cs="Times New Roman"/>
          <w:sz w:val="24"/>
          <w:szCs w:val="24"/>
        </w:rPr>
        <w:t xml:space="preserve"> with 1 equivalent Zn</w:t>
      </w:r>
      <w:r w:rsidRPr="00E83191">
        <w:rPr>
          <w:rFonts w:ascii="Times New Roman" w:hAnsi="Times New Roman" w:cs="Times New Roman"/>
          <w:sz w:val="24"/>
          <w:szCs w:val="24"/>
          <w:vertAlign w:val="superscript"/>
        </w:rPr>
        <w:t>2+</w:t>
      </w:r>
      <w:r w:rsidRPr="00E83191">
        <w:rPr>
          <w:rFonts w:ascii="Times New Roman" w:hAnsi="Times New Roman" w:cs="Times New Roman"/>
          <w:sz w:val="24"/>
          <w:szCs w:val="24"/>
        </w:rPr>
        <w:t xml:space="preserve"> (Fig. S36-S39, ESI) also show the nitrogen atoms in the triazoles adjacent to the DPEN ligand are involved in binding with Zn</w:t>
      </w:r>
      <w:r w:rsidRPr="00E83191">
        <w:rPr>
          <w:rFonts w:ascii="Times New Roman" w:hAnsi="Times New Roman" w:cs="Times New Roman"/>
          <w:sz w:val="24"/>
          <w:szCs w:val="24"/>
          <w:vertAlign w:val="superscript"/>
        </w:rPr>
        <w:t>2+</w:t>
      </w:r>
      <w:r w:rsidRPr="00E83191">
        <w:rPr>
          <w:rFonts w:ascii="Times New Roman" w:hAnsi="Times New Roman" w:cs="Times New Roman"/>
          <w:sz w:val="24"/>
          <w:szCs w:val="24"/>
        </w:rPr>
        <w:t>, in addition to those of the DPEN ligands.</w:t>
      </w:r>
    </w:p>
    <w:p w14:paraId="7EAACAE9" w14:textId="77777777" w:rsidR="00E83191" w:rsidRPr="00E83191" w:rsidRDefault="00E83191" w:rsidP="00E83191">
      <w:pPr>
        <w:spacing w:line="480" w:lineRule="auto"/>
        <w:jc w:val="both"/>
        <w:rPr>
          <w:rFonts w:ascii="Times New Roman" w:hAnsi="Times New Roman" w:cs="Times New Roman"/>
          <w:sz w:val="24"/>
          <w:szCs w:val="24"/>
        </w:rPr>
      </w:pPr>
      <w:r w:rsidRPr="00E83191">
        <w:rPr>
          <w:rFonts w:ascii="Times New Roman" w:hAnsi="Times New Roman" w:cs="Times New Roman"/>
          <w:sz w:val="24"/>
          <w:szCs w:val="24"/>
        </w:rPr>
        <w:t xml:space="preserve">TDDFT studies were also undertaken to understand the excitation and emission profiles of probes </w:t>
      </w:r>
      <w:r w:rsidRPr="00E83191">
        <w:rPr>
          <w:rFonts w:ascii="Times New Roman" w:hAnsi="Times New Roman" w:cs="Times New Roman"/>
          <w:b/>
          <w:sz w:val="24"/>
          <w:szCs w:val="24"/>
        </w:rPr>
        <w:t>7</w:t>
      </w:r>
      <w:r w:rsidRPr="00E83191">
        <w:rPr>
          <w:rFonts w:ascii="Times New Roman" w:hAnsi="Times New Roman" w:cs="Times New Roman"/>
          <w:sz w:val="24"/>
          <w:szCs w:val="24"/>
        </w:rPr>
        <w:t>-</w:t>
      </w:r>
      <w:r w:rsidRPr="00E83191">
        <w:rPr>
          <w:rFonts w:ascii="Times New Roman" w:hAnsi="Times New Roman" w:cs="Times New Roman"/>
          <w:b/>
          <w:sz w:val="24"/>
          <w:szCs w:val="24"/>
        </w:rPr>
        <w:t>10</w:t>
      </w:r>
      <w:r w:rsidRPr="00E83191">
        <w:rPr>
          <w:rFonts w:ascii="Times New Roman" w:hAnsi="Times New Roman" w:cs="Times New Roman"/>
          <w:sz w:val="24"/>
          <w:szCs w:val="24"/>
        </w:rPr>
        <w:t>. The results of calculated absorption energy from ground state S</w:t>
      </w:r>
      <w:r w:rsidRPr="00E83191">
        <w:rPr>
          <w:rFonts w:ascii="Times New Roman" w:hAnsi="Times New Roman" w:cs="Times New Roman"/>
          <w:sz w:val="24"/>
          <w:szCs w:val="24"/>
          <w:vertAlign w:val="subscript"/>
        </w:rPr>
        <w:t>0</w:t>
      </w:r>
      <w:r w:rsidRPr="00E83191">
        <w:rPr>
          <w:rFonts w:ascii="Times New Roman" w:hAnsi="Times New Roman" w:cs="Times New Roman"/>
          <w:sz w:val="24"/>
          <w:szCs w:val="24"/>
        </w:rPr>
        <w:t xml:space="preserve"> to the excited state S</w:t>
      </w:r>
      <w:r w:rsidRPr="00E83191">
        <w:rPr>
          <w:rFonts w:ascii="Times New Roman" w:hAnsi="Times New Roman" w:cs="Times New Roman"/>
          <w:sz w:val="24"/>
          <w:szCs w:val="24"/>
          <w:vertAlign w:val="subscript"/>
        </w:rPr>
        <w:t>1</w:t>
      </w:r>
      <w:r w:rsidRPr="00E83191">
        <w:rPr>
          <w:rFonts w:ascii="Times New Roman" w:hAnsi="Times New Roman" w:cs="Times New Roman"/>
          <w:sz w:val="24"/>
          <w:szCs w:val="24"/>
        </w:rPr>
        <w:t>, and the emission energy were in agreement with the experimental data (Table S3-S6, ESI). There was also nearly no difference among the different probes, showing that the targeting groups have negligible effects on the Zn</w:t>
      </w:r>
      <w:r w:rsidRPr="00E83191">
        <w:rPr>
          <w:rFonts w:ascii="Times New Roman" w:hAnsi="Times New Roman" w:cs="Times New Roman"/>
          <w:sz w:val="24"/>
          <w:szCs w:val="24"/>
          <w:vertAlign w:val="superscript"/>
        </w:rPr>
        <w:t>2+</w:t>
      </w:r>
      <w:r w:rsidRPr="00E83191">
        <w:rPr>
          <w:rFonts w:ascii="Times New Roman" w:hAnsi="Times New Roman" w:cs="Times New Roman"/>
          <w:sz w:val="24"/>
          <w:szCs w:val="24"/>
        </w:rPr>
        <w:t xml:space="preserve"> association and photophysical properties, other than quantum yields, which is consistent with the experimental data above. </w:t>
      </w:r>
    </w:p>
    <w:p w14:paraId="5B6BFD0E" w14:textId="01F44D97" w:rsidR="00E83191" w:rsidRPr="00E83191" w:rsidRDefault="00E83191" w:rsidP="00E83191">
      <w:pPr>
        <w:spacing w:line="480" w:lineRule="auto"/>
        <w:jc w:val="both"/>
        <w:rPr>
          <w:rFonts w:ascii="Times New Roman" w:hAnsi="Times New Roman" w:cs="Times New Roman"/>
          <w:sz w:val="24"/>
          <w:szCs w:val="24"/>
        </w:rPr>
      </w:pPr>
      <w:r w:rsidRPr="00E83191">
        <w:rPr>
          <w:rFonts w:ascii="Times New Roman" w:hAnsi="Times New Roman" w:cs="Times New Roman"/>
          <w:sz w:val="24"/>
          <w:szCs w:val="24"/>
        </w:rPr>
        <w:t>In keeping with our previous reports,</w:t>
      </w:r>
      <w:r w:rsidRPr="00E83191">
        <w:rPr>
          <w:rFonts w:ascii="Times New Roman" w:hAnsi="Times New Roman" w:cs="Times New Roman"/>
          <w:sz w:val="24"/>
          <w:szCs w:val="24"/>
          <w:vertAlign w:val="superscript"/>
        </w:rPr>
        <w:t xml:space="preserve">52,65 </w:t>
      </w:r>
      <w:r w:rsidRPr="00E83191">
        <w:rPr>
          <w:rFonts w:ascii="Times New Roman" w:hAnsi="Times New Roman" w:cs="Times New Roman"/>
          <w:sz w:val="24"/>
          <w:szCs w:val="24"/>
        </w:rPr>
        <w:t>the S</w:t>
      </w:r>
      <w:r w:rsidRPr="00E83191">
        <w:rPr>
          <w:rFonts w:ascii="Times New Roman" w:hAnsi="Times New Roman" w:cs="Times New Roman"/>
          <w:sz w:val="24"/>
          <w:szCs w:val="24"/>
          <w:vertAlign w:val="subscript"/>
        </w:rPr>
        <w:t>1</w:t>
      </w:r>
      <w:r w:rsidRPr="00E83191">
        <w:rPr>
          <w:rFonts w:ascii="Times New Roman" w:hAnsi="Times New Roman" w:cs="Times New Roman"/>
          <w:sz w:val="24"/>
          <w:szCs w:val="24"/>
        </w:rPr>
        <w:t>-S</w:t>
      </w:r>
      <w:r w:rsidRPr="00E83191">
        <w:rPr>
          <w:rFonts w:ascii="Times New Roman" w:hAnsi="Times New Roman" w:cs="Times New Roman"/>
          <w:sz w:val="24"/>
          <w:szCs w:val="24"/>
          <w:vertAlign w:val="subscript"/>
        </w:rPr>
        <w:t>0</w:t>
      </w:r>
      <w:r w:rsidRPr="00E83191">
        <w:rPr>
          <w:rFonts w:ascii="Times New Roman" w:hAnsi="Times New Roman" w:cs="Times New Roman"/>
          <w:sz w:val="24"/>
          <w:szCs w:val="24"/>
        </w:rPr>
        <w:t xml:space="preserve"> electron density transition (Fig. S40-S43, ESI) of all probes is mainly localised on the naphthalimide moiety and the vicinal triazole, and there is only a slight decrease of electron density on the triazole when it is involved in complex formation and the oscillator strength is not significantly affected. Therefore, the enhancement of emissive behaviour of the complexes should be related to a reduced decay through nonradiative pathways after complexation with Zn</w:t>
      </w:r>
      <w:r w:rsidRPr="00E83191">
        <w:rPr>
          <w:rFonts w:ascii="Times New Roman" w:hAnsi="Times New Roman" w:cs="Times New Roman"/>
          <w:sz w:val="24"/>
          <w:szCs w:val="24"/>
          <w:vertAlign w:val="superscript"/>
        </w:rPr>
        <w:t>2+</w:t>
      </w:r>
      <w:r w:rsidRPr="00E83191">
        <w:rPr>
          <w:rFonts w:ascii="Times New Roman" w:hAnsi="Times New Roman" w:cs="Times New Roman"/>
          <w:sz w:val="24"/>
          <w:szCs w:val="24"/>
        </w:rPr>
        <w:t>. The stabilisation of the complex hinders large amplitude vibrations in the vicinity of the fluorophore hampering the access to nonradiative mechanisms and increasing the quantum yield of emission. The restriction of intramolecular rotations can also hinder the access to low energy conical intersections associated with ultrafast decay to the ground state. The role of these mechanisms in contrast to PET has recently been highlighted in the literature.</w:t>
      </w:r>
      <w:r w:rsidRPr="00E83191">
        <w:rPr>
          <w:rFonts w:ascii="Times New Roman" w:hAnsi="Times New Roman" w:cs="Times New Roman"/>
          <w:sz w:val="24"/>
          <w:szCs w:val="24"/>
          <w:vertAlign w:val="superscript"/>
        </w:rPr>
        <w:t>66,67</w:t>
      </w:r>
      <w:r w:rsidRPr="00E83191">
        <w:rPr>
          <w:rFonts w:ascii="Times New Roman" w:hAnsi="Times New Roman" w:cs="Times New Roman"/>
          <w:sz w:val="24"/>
          <w:szCs w:val="24"/>
        </w:rPr>
        <w:t xml:space="preserve"> </w:t>
      </w:r>
    </w:p>
    <w:p w14:paraId="58D7EBCF" w14:textId="77777777" w:rsidR="00E83191" w:rsidRPr="00E83191" w:rsidRDefault="00E83191" w:rsidP="00E83191">
      <w:pPr>
        <w:spacing w:line="480" w:lineRule="auto"/>
        <w:jc w:val="both"/>
        <w:rPr>
          <w:rFonts w:ascii="Times New Roman" w:hAnsi="Times New Roman" w:cs="Times New Roman"/>
          <w:b/>
          <w:sz w:val="24"/>
          <w:szCs w:val="24"/>
        </w:rPr>
      </w:pPr>
      <w:r w:rsidRPr="00E83191">
        <w:rPr>
          <w:rFonts w:ascii="Times New Roman" w:hAnsi="Times New Roman" w:cs="Times New Roman"/>
          <w:b/>
          <w:sz w:val="24"/>
          <w:szCs w:val="24"/>
        </w:rPr>
        <w:t>Subcellular localisation studies</w:t>
      </w:r>
    </w:p>
    <w:p w14:paraId="6E7E495A" w14:textId="77777777" w:rsidR="00E83191" w:rsidRPr="00E83191" w:rsidRDefault="00E83191" w:rsidP="00E83191">
      <w:pPr>
        <w:spacing w:line="480" w:lineRule="auto"/>
        <w:jc w:val="both"/>
        <w:rPr>
          <w:rFonts w:ascii="Times New Roman" w:hAnsi="Times New Roman" w:cs="Times New Roman"/>
          <w:sz w:val="24"/>
          <w:szCs w:val="24"/>
        </w:rPr>
      </w:pPr>
      <w:r w:rsidRPr="00E83191">
        <w:rPr>
          <w:rFonts w:ascii="Times New Roman" w:hAnsi="Times New Roman" w:cs="Times New Roman"/>
          <w:sz w:val="24"/>
          <w:szCs w:val="24"/>
        </w:rPr>
        <w:lastRenderedPageBreak/>
        <w:t xml:space="preserve">As probes </w:t>
      </w:r>
      <w:r w:rsidRPr="00E83191">
        <w:rPr>
          <w:rFonts w:ascii="Times New Roman" w:hAnsi="Times New Roman" w:cs="Times New Roman"/>
          <w:b/>
          <w:sz w:val="24"/>
          <w:szCs w:val="24"/>
        </w:rPr>
        <w:t>7</w:t>
      </w:r>
      <w:r w:rsidRPr="00E83191">
        <w:rPr>
          <w:rFonts w:ascii="Times New Roman" w:hAnsi="Times New Roman" w:cs="Times New Roman"/>
          <w:sz w:val="24"/>
          <w:szCs w:val="24"/>
        </w:rPr>
        <w:t>-</w:t>
      </w:r>
      <w:r w:rsidRPr="00E83191">
        <w:rPr>
          <w:rFonts w:ascii="Times New Roman" w:hAnsi="Times New Roman" w:cs="Times New Roman"/>
          <w:b/>
          <w:sz w:val="24"/>
          <w:szCs w:val="24"/>
        </w:rPr>
        <w:t>10</w:t>
      </w:r>
      <w:r w:rsidRPr="00E83191">
        <w:rPr>
          <w:rFonts w:ascii="Times New Roman" w:hAnsi="Times New Roman" w:cs="Times New Roman"/>
          <w:sz w:val="24"/>
          <w:szCs w:val="24"/>
        </w:rPr>
        <w:t xml:space="preserve"> show excellent photophysical properties in vitro, we assessed their suitability for imaging Zn</w:t>
      </w:r>
      <w:r w:rsidRPr="00E83191">
        <w:rPr>
          <w:rFonts w:ascii="Times New Roman" w:hAnsi="Times New Roman" w:cs="Times New Roman"/>
          <w:sz w:val="24"/>
          <w:szCs w:val="24"/>
          <w:vertAlign w:val="superscript"/>
        </w:rPr>
        <w:t>2+</w:t>
      </w:r>
      <w:r w:rsidRPr="00E83191">
        <w:rPr>
          <w:rFonts w:ascii="Times New Roman" w:hAnsi="Times New Roman" w:cs="Times New Roman"/>
          <w:sz w:val="24"/>
          <w:szCs w:val="24"/>
        </w:rPr>
        <w:t xml:space="preserve"> in cellulo. Firstly, the innate toxicity of all probes was measured through an alamarBlue cell viability assay. After 24 hours’ incubation with probes </w:t>
      </w:r>
      <w:r w:rsidRPr="00E83191">
        <w:rPr>
          <w:rFonts w:ascii="Times New Roman" w:hAnsi="Times New Roman" w:cs="Times New Roman"/>
          <w:b/>
          <w:sz w:val="24"/>
          <w:szCs w:val="24"/>
        </w:rPr>
        <w:t>7</w:t>
      </w:r>
      <w:r w:rsidRPr="00E83191">
        <w:rPr>
          <w:rFonts w:ascii="Times New Roman" w:hAnsi="Times New Roman" w:cs="Times New Roman"/>
          <w:sz w:val="24"/>
          <w:szCs w:val="24"/>
        </w:rPr>
        <w:t>-</w:t>
      </w:r>
      <w:r w:rsidRPr="00E83191">
        <w:rPr>
          <w:rFonts w:ascii="Times New Roman" w:hAnsi="Times New Roman" w:cs="Times New Roman"/>
          <w:b/>
          <w:sz w:val="24"/>
          <w:szCs w:val="24"/>
        </w:rPr>
        <w:t>10</w:t>
      </w:r>
      <w:r w:rsidRPr="00E83191">
        <w:rPr>
          <w:rFonts w:ascii="Times New Roman" w:hAnsi="Times New Roman" w:cs="Times New Roman"/>
          <w:sz w:val="24"/>
          <w:szCs w:val="24"/>
        </w:rPr>
        <w:t>, the HeLa cells’ viability (Fig. S44-S47, ESI) did not show an obvious decrease with increasing probe concentration from 0 to 50 µM, indicating that the probes have no toxicity to cells.</w:t>
      </w:r>
    </w:p>
    <w:p w14:paraId="09EA030C" w14:textId="77777777" w:rsidR="00060BDE" w:rsidRPr="00060BDE" w:rsidRDefault="00E83191" w:rsidP="00060BDE">
      <w:pPr>
        <w:spacing w:line="480" w:lineRule="auto"/>
        <w:jc w:val="both"/>
        <w:rPr>
          <w:rFonts w:ascii="Times New Roman" w:hAnsi="Times New Roman" w:cs="Times New Roman"/>
          <w:sz w:val="24"/>
          <w:szCs w:val="24"/>
        </w:rPr>
      </w:pPr>
      <w:r w:rsidRPr="00E83191">
        <w:rPr>
          <w:rFonts w:ascii="Times New Roman" w:hAnsi="Times New Roman" w:cs="Times New Roman"/>
          <w:sz w:val="24"/>
          <w:szCs w:val="24"/>
        </w:rPr>
        <w:t xml:space="preserve">Co-localisation experiments were undertaken to confirm the probes’ subcellular targeting ability. HeLa cells were co-incubated with probes and organelle tracking dyes, as shown in Fig. 4, probe </w:t>
      </w:r>
      <w:r w:rsidRPr="00E83191">
        <w:rPr>
          <w:rFonts w:ascii="Times New Roman" w:hAnsi="Times New Roman" w:cs="Times New Roman"/>
          <w:b/>
          <w:sz w:val="24"/>
          <w:szCs w:val="24"/>
        </w:rPr>
        <w:t>7</w:t>
      </w:r>
      <w:r w:rsidRPr="00E83191">
        <w:rPr>
          <w:rFonts w:ascii="Times New Roman" w:hAnsi="Times New Roman" w:cs="Times New Roman"/>
          <w:sz w:val="24"/>
          <w:szCs w:val="24"/>
        </w:rPr>
        <w:t xml:space="preserve"> </w:t>
      </w:r>
      <w:r w:rsidR="00060BDE" w:rsidRPr="00060BDE">
        <w:rPr>
          <w:rFonts w:ascii="Times New Roman" w:hAnsi="Times New Roman" w:cs="Times New Roman"/>
          <w:sz w:val="24"/>
          <w:szCs w:val="24"/>
        </w:rPr>
        <w:t>excellent co-localisation with ER-tracker red with a Pearson’s correlation coefficient of 0.88, and its dispersion in the ER and other organelles (Fig. S48, ESI) compares well with recent reports.</w:t>
      </w:r>
      <w:r w:rsidR="00060BDE" w:rsidRPr="003479E5">
        <w:rPr>
          <w:rFonts w:ascii="Times New Roman" w:hAnsi="Times New Roman" w:cs="Times New Roman"/>
          <w:sz w:val="24"/>
          <w:szCs w:val="24"/>
          <w:vertAlign w:val="superscript"/>
        </w:rPr>
        <w:t>48</w:t>
      </w:r>
      <w:r w:rsidR="00060BDE" w:rsidRPr="00060BDE">
        <w:rPr>
          <w:rFonts w:ascii="Times New Roman" w:hAnsi="Times New Roman" w:cs="Times New Roman"/>
          <w:sz w:val="24"/>
          <w:szCs w:val="24"/>
        </w:rPr>
        <w:t xml:space="preserve">  Probes </w:t>
      </w:r>
      <w:r w:rsidR="00060BDE" w:rsidRPr="003479E5">
        <w:rPr>
          <w:rFonts w:ascii="Times New Roman" w:hAnsi="Times New Roman" w:cs="Times New Roman"/>
          <w:b/>
          <w:sz w:val="24"/>
          <w:szCs w:val="24"/>
        </w:rPr>
        <w:t>8</w:t>
      </w:r>
      <w:r w:rsidR="00060BDE" w:rsidRPr="00060BDE">
        <w:rPr>
          <w:rFonts w:ascii="Times New Roman" w:hAnsi="Times New Roman" w:cs="Times New Roman"/>
          <w:sz w:val="24"/>
          <w:szCs w:val="24"/>
        </w:rPr>
        <w:t xml:space="preserve"> and </w:t>
      </w:r>
      <w:r w:rsidR="00060BDE" w:rsidRPr="003479E5">
        <w:rPr>
          <w:rFonts w:ascii="Times New Roman" w:hAnsi="Times New Roman" w:cs="Times New Roman"/>
          <w:b/>
          <w:sz w:val="24"/>
          <w:szCs w:val="24"/>
        </w:rPr>
        <w:t>9</w:t>
      </w:r>
      <w:r w:rsidR="00060BDE" w:rsidRPr="00060BDE">
        <w:rPr>
          <w:rFonts w:ascii="Times New Roman" w:hAnsi="Times New Roman" w:cs="Times New Roman"/>
          <w:sz w:val="24"/>
          <w:szCs w:val="24"/>
        </w:rPr>
        <w:t xml:space="preserve"> also displayed good co-localisation with Mito-tracker red and Lyso-tracker red (Pearson’s coefficients of 0.93 and 0.86 respectively, see Fig. 4 and Fig. S49-S50, ESI). In contrast, control probe </w:t>
      </w:r>
      <w:r w:rsidR="00060BDE" w:rsidRPr="003479E5">
        <w:rPr>
          <w:rFonts w:ascii="Times New Roman" w:hAnsi="Times New Roman" w:cs="Times New Roman"/>
          <w:b/>
          <w:sz w:val="24"/>
          <w:szCs w:val="24"/>
        </w:rPr>
        <w:t>10</w:t>
      </w:r>
      <w:r w:rsidR="00060BDE" w:rsidRPr="00060BDE">
        <w:rPr>
          <w:rFonts w:ascii="Times New Roman" w:hAnsi="Times New Roman" w:cs="Times New Roman"/>
          <w:sz w:val="24"/>
          <w:szCs w:val="24"/>
        </w:rPr>
        <w:t xml:space="preserve">, which has no targeting group, was widely distributed in all three organelles (Fig. S51, ESI). Therefore, we can conclude that probes </w:t>
      </w:r>
      <w:r w:rsidR="00060BDE" w:rsidRPr="003479E5">
        <w:rPr>
          <w:rFonts w:ascii="Times New Roman" w:hAnsi="Times New Roman" w:cs="Times New Roman"/>
          <w:b/>
          <w:sz w:val="24"/>
          <w:szCs w:val="24"/>
        </w:rPr>
        <w:t>7</w:t>
      </w:r>
      <w:r w:rsidR="00060BDE" w:rsidRPr="00060BDE">
        <w:rPr>
          <w:rFonts w:ascii="Times New Roman" w:hAnsi="Times New Roman" w:cs="Times New Roman"/>
          <w:sz w:val="24"/>
          <w:szCs w:val="24"/>
        </w:rPr>
        <w:t>-</w:t>
      </w:r>
      <w:r w:rsidR="00060BDE" w:rsidRPr="003479E5">
        <w:rPr>
          <w:rFonts w:ascii="Times New Roman" w:hAnsi="Times New Roman" w:cs="Times New Roman"/>
          <w:b/>
          <w:sz w:val="24"/>
          <w:szCs w:val="24"/>
        </w:rPr>
        <w:t>9</w:t>
      </w:r>
      <w:r w:rsidR="00060BDE" w:rsidRPr="00060BDE">
        <w:rPr>
          <w:rFonts w:ascii="Times New Roman" w:hAnsi="Times New Roman" w:cs="Times New Roman"/>
          <w:sz w:val="24"/>
          <w:szCs w:val="24"/>
        </w:rPr>
        <w:t>, which incorporate different organelle targeting groups, have the expected organelle localisation ability.</w:t>
      </w:r>
    </w:p>
    <w:p w14:paraId="718388BF" w14:textId="33282B88" w:rsidR="00060BDE" w:rsidRDefault="00B94246" w:rsidP="00060BD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1D4923A4" wp14:editId="2BF4E94C">
            <wp:extent cx="5734050" cy="5181600"/>
            <wp:effectExtent l="0" t="0" r="0" b="0"/>
            <wp:docPr id="234" name="Picture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4050" cy="5181600"/>
                    </a:xfrm>
                    <a:prstGeom prst="rect">
                      <a:avLst/>
                    </a:prstGeom>
                    <a:noFill/>
                    <a:ln>
                      <a:noFill/>
                    </a:ln>
                  </pic:spPr>
                </pic:pic>
              </a:graphicData>
            </a:graphic>
          </wp:inline>
        </w:drawing>
      </w:r>
    </w:p>
    <w:p w14:paraId="271AD8C0" w14:textId="006BB3C7" w:rsidR="00B94246" w:rsidRPr="00060BDE" w:rsidRDefault="001F7A7D" w:rsidP="00060BDE">
      <w:pPr>
        <w:spacing w:line="480" w:lineRule="auto"/>
        <w:jc w:val="both"/>
        <w:rPr>
          <w:rFonts w:ascii="Times New Roman" w:hAnsi="Times New Roman" w:cs="Times New Roman"/>
          <w:sz w:val="24"/>
          <w:szCs w:val="24"/>
        </w:rPr>
      </w:pPr>
      <w:r w:rsidRPr="001F7A7D">
        <w:rPr>
          <w:rFonts w:ascii="Times New Roman" w:hAnsi="Times New Roman" w:cs="Times New Roman"/>
          <w:sz w:val="24"/>
          <w:szCs w:val="24"/>
        </w:rPr>
        <w:t xml:space="preserve">Fig. 4 The colocalization images of HeLa cells incubated with </w:t>
      </w:r>
      <w:r w:rsidRPr="001F7A7D">
        <w:rPr>
          <w:rFonts w:ascii="Times New Roman" w:hAnsi="Times New Roman" w:cs="Times New Roman"/>
          <w:b/>
          <w:sz w:val="24"/>
          <w:szCs w:val="24"/>
        </w:rPr>
        <w:t>7</w:t>
      </w:r>
      <w:r w:rsidRPr="001F7A7D">
        <w:rPr>
          <w:rFonts w:ascii="Times New Roman" w:hAnsi="Times New Roman" w:cs="Times New Roman"/>
          <w:sz w:val="24"/>
          <w:szCs w:val="24"/>
        </w:rPr>
        <w:t>-</w:t>
      </w:r>
      <w:r w:rsidRPr="001F7A7D">
        <w:rPr>
          <w:rFonts w:ascii="Times New Roman" w:hAnsi="Times New Roman" w:cs="Times New Roman"/>
          <w:b/>
          <w:sz w:val="24"/>
          <w:szCs w:val="24"/>
        </w:rPr>
        <w:t>9</w:t>
      </w:r>
      <w:r w:rsidRPr="001F7A7D">
        <w:rPr>
          <w:rFonts w:ascii="Times New Roman" w:hAnsi="Times New Roman" w:cs="Times New Roman"/>
          <w:sz w:val="24"/>
          <w:szCs w:val="24"/>
        </w:rPr>
        <w:t xml:space="preserve"> (20 µM, GFP filter: λ</w:t>
      </w:r>
      <w:r w:rsidRPr="001F7A7D">
        <w:rPr>
          <w:rFonts w:ascii="Times New Roman" w:hAnsi="Times New Roman" w:cs="Times New Roman"/>
          <w:sz w:val="24"/>
          <w:szCs w:val="24"/>
          <w:vertAlign w:val="subscript"/>
        </w:rPr>
        <w:t>ex</w:t>
      </w:r>
      <w:r w:rsidRPr="001F7A7D">
        <w:rPr>
          <w:rFonts w:ascii="Times New Roman" w:hAnsi="Times New Roman" w:cs="Times New Roman"/>
          <w:sz w:val="24"/>
          <w:szCs w:val="24"/>
        </w:rPr>
        <w:t xml:space="preserve"> = 470/30 nm, λ</w:t>
      </w:r>
      <w:r w:rsidRPr="001F7A7D">
        <w:rPr>
          <w:rFonts w:ascii="Times New Roman" w:hAnsi="Times New Roman" w:cs="Times New Roman"/>
          <w:sz w:val="24"/>
          <w:szCs w:val="24"/>
          <w:vertAlign w:val="subscript"/>
        </w:rPr>
        <w:t>em</w:t>
      </w:r>
      <w:r w:rsidRPr="001F7A7D">
        <w:rPr>
          <w:rFonts w:ascii="Times New Roman" w:hAnsi="Times New Roman" w:cs="Times New Roman"/>
          <w:sz w:val="24"/>
          <w:szCs w:val="24"/>
        </w:rPr>
        <w:t xml:space="preserve"> = 530/50 nm) and commercial organelle tracker red dyes (RFP filter: λ</w:t>
      </w:r>
      <w:r w:rsidRPr="001F7A7D">
        <w:rPr>
          <w:rFonts w:ascii="Times New Roman" w:hAnsi="Times New Roman" w:cs="Times New Roman"/>
          <w:sz w:val="24"/>
          <w:szCs w:val="24"/>
          <w:vertAlign w:val="subscript"/>
        </w:rPr>
        <w:t>ex</w:t>
      </w:r>
      <w:r w:rsidRPr="001F7A7D">
        <w:rPr>
          <w:rFonts w:ascii="Times New Roman" w:hAnsi="Times New Roman" w:cs="Times New Roman"/>
          <w:sz w:val="24"/>
          <w:szCs w:val="24"/>
        </w:rPr>
        <w:t xml:space="preserve"> = 530/40 nm, λ</w:t>
      </w:r>
      <w:r w:rsidRPr="001F7A7D">
        <w:rPr>
          <w:rFonts w:ascii="Times New Roman" w:hAnsi="Times New Roman" w:cs="Times New Roman"/>
          <w:sz w:val="24"/>
          <w:szCs w:val="24"/>
          <w:vertAlign w:val="subscript"/>
        </w:rPr>
        <w:t>em</w:t>
      </w:r>
      <w:r w:rsidRPr="001F7A7D">
        <w:rPr>
          <w:rFonts w:ascii="Times New Roman" w:hAnsi="Times New Roman" w:cs="Times New Roman"/>
          <w:sz w:val="24"/>
          <w:szCs w:val="24"/>
        </w:rPr>
        <w:t xml:space="preserve"> = 605/55 nm). (Scale bars = 20 µm)</w:t>
      </w:r>
    </w:p>
    <w:p w14:paraId="5E21F9BA" w14:textId="77777777" w:rsidR="00060BDE" w:rsidRPr="001F7A7D" w:rsidRDefault="00060BDE" w:rsidP="00060BDE">
      <w:pPr>
        <w:spacing w:line="480" w:lineRule="auto"/>
        <w:jc w:val="both"/>
        <w:rPr>
          <w:rFonts w:ascii="Times New Roman" w:hAnsi="Times New Roman" w:cs="Times New Roman"/>
          <w:b/>
          <w:sz w:val="24"/>
          <w:szCs w:val="24"/>
        </w:rPr>
      </w:pPr>
      <w:r w:rsidRPr="001F7A7D">
        <w:rPr>
          <w:rFonts w:ascii="Times New Roman" w:hAnsi="Times New Roman" w:cs="Times New Roman"/>
          <w:b/>
          <w:sz w:val="24"/>
          <w:szCs w:val="24"/>
        </w:rPr>
        <w:t>Zn</w:t>
      </w:r>
      <w:r w:rsidRPr="001F7A7D">
        <w:rPr>
          <w:rFonts w:ascii="Times New Roman" w:hAnsi="Times New Roman" w:cs="Times New Roman"/>
          <w:b/>
          <w:sz w:val="24"/>
          <w:szCs w:val="24"/>
          <w:vertAlign w:val="superscript"/>
        </w:rPr>
        <w:t>2+</w:t>
      </w:r>
      <w:r w:rsidRPr="001F7A7D">
        <w:rPr>
          <w:rFonts w:ascii="Times New Roman" w:hAnsi="Times New Roman" w:cs="Times New Roman"/>
          <w:b/>
          <w:sz w:val="24"/>
          <w:szCs w:val="24"/>
        </w:rPr>
        <w:t xml:space="preserve"> fluorescence response in cells</w:t>
      </w:r>
    </w:p>
    <w:p w14:paraId="5876359A" w14:textId="3EDC8128" w:rsidR="00060BDE" w:rsidRDefault="00060BDE" w:rsidP="00060BDE">
      <w:pPr>
        <w:spacing w:line="480" w:lineRule="auto"/>
        <w:jc w:val="both"/>
        <w:rPr>
          <w:rFonts w:ascii="Times New Roman" w:hAnsi="Times New Roman" w:cs="Times New Roman"/>
          <w:sz w:val="24"/>
          <w:szCs w:val="24"/>
        </w:rPr>
      </w:pPr>
      <w:r w:rsidRPr="00060BDE">
        <w:rPr>
          <w:rFonts w:ascii="Times New Roman" w:hAnsi="Times New Roman" w:cs="Times New Roman"/>
          <w:sz w:val="24"/>
          <w:szCs w:val="24"/>
        </w:rPr>
        <w:t>As all probes displayed organelle targeting behaviour, their fluorescence response to increased levels of cellular Zn</w:t>
      </w:r>
      <w:r w:rsidRPr="001F7A7D">
        <w:rPr>
          <w:rFonts w:ascii="Times New Roman" w:hAnsi="Times New Roman" w:cs="Times New Roman"/>
          <w:sz w:val="24"/>
          <w:szCs w:val="24"/>
          <w:vertAlign w:val="superscript"/>
        </w:rPr>
        <w:t>2+</w:t>
      </w:r>
      <w:r w:rsidRPr="00060BDE">
        <w:rPr>
          <w:rFonts w:ascii="Times New Roman" w:hAnsi="Times New Roman" w:cs="Times New Roman"/>
          <w:sz w:val="24"/>
          <w:szCs w:val="24"/>
        </w:rPr>
        <w:t xml:space="preserve"> was measured. As shown in Fig. 5a, the fluorescence of probe </w:t>
      </w:r>
      <w:r w:rsidRPr="001F7A7D">
        <w:rPr>
          <w:rFonts w:ascii="Times New Roman" w:hAnsi="Times New Roman" w:cs="Times New Roman"/>
          <w:b/>
          <w:sz w:val="24"/>
          <w:szCs w:val="24"/>
        </w:rPr>
        <w:t>7</w:t>
      </w:r>
      <w:r w:rsidRPr="00060BDE">
        <w:rPr>
          <w:rFonts w:ascii="Times New Roman" w:hAnsi="Times New Roman" w:cs="Times New Roman"/>
          <w:sz w:val="24"/>
          <w:szCs w:val="24"/>
        </w:rPr>
        <w:t xml:space="preserve"> in the ER can be observed, and after the addition of zinc pyrithione, a membrane permeable zinc source, the fluorescence intensity increased considerably. However, the addition of N,N,N’,N’-tetrakis(2-pyridinylmethyl)-1,2-ethanediamine (TPEN), a strong chelator of mobile Zn</w:t>
      </w:r>
      <w:r w:rsidRPr="001F7A7D">
        <w:rPr>
          <w:rFonts w:ascii="Times New Roman" w:hAnsi="Times New Roman" w:cs="Times New Roman"/>
          <w:sz w:val="24"/>
          <w:szCs w:val="24"/>
          <w:vertAlign w:val="superscript"/>
        </w:rPr>
        <w:t>2+</w:t>
      </w:r>
      <w:r w:rsidRPr="00060BDE">
        <w:rPr>
          <w:rFonts w:ascii="Times New Roman" w:hAnsi="Times New Roman" w:cs="Times New Roman"/>
          <w:sz w:val="24"/>
          <w:szCs w:val="24"/>
        </w:rPr>
        <w:t xml:space="preserve">, </w:t>
      </w:r>
      <w:r w:rsidRPr="00060BDE">
        <w:rPr>
          <w:rFonts w:ascii="Times New Roman" w:hAnsi="Times New Roman" w:cs="Times New Roman"/>
          <w:sz w:val="24"/>
          <w:szCs w:val="24"/>
        </w:rPr>
        <w:lastRenderedPageBreak/>
        <w:t xml:space="preserve">caused almost complete quenching of the fluorescence. Similar results were obtained for probe </w:t>
      </w:r>
      <w:r w:rsidRPr="001F7A7D">
        <w:rPr>
          <w:rFonts w:ascii="Times New Roman" w:hAnsi="Times New Roman" w:cs="Times New Roman"/>
          <w:b/>
          <w:sz w:val="24"/>
          <w:szCs w:val="24"/>
        </w:rPr>
        <w:t>8</w:t>
      </w:r>
      <w:r w:rsidRPr="00060BDE">
        <w:rPr>
          <w:rFonts w:ascii="Times New Roman" w:hAnsi="Times New Roman" w:cs="Times New Roman"/>
          <w:sz w:val="24"/>
          <w:szCs w:val="24"/>
        </w:rPr>
        <w:t>-</w:t>
      </w:r>
      <w:r w:rsidRPr="001F7A7D">
        <w:rPr>
          <w:rFonts w:ascii="Times New Roman" w:hAnsi="Times New Roman" w:cs="Times New Roman"/>
          <w:b/>
          <w:sz w:val="24"/>
          <w:szCs w:val="24"/>
        </w:rPr>
        <w:t>10</w:t>
      </w:r>
      <w:r w:rsidRPr="00060BDE">
        <w:rPr>
          <w:rFonts w:ascii="Times New Roman" w:hAnsi="Times New Roman" w:cs="Times New Roman"/>
          <w:sz w:val="24"/>
          <w:szCs w:val="24"/>
        </w:rPr>
        <w:t xml:space="preserve"> (Fig. S52-S54, ESI), indicating that all probes display a clear fluorescence response to mobile Zn</w:t>
      </w:r>
      <w:r w:rsidRPr="001F7A7D">
        <w:rPr>
          <w:rFonts w:ascii="Times New Roman" w:hAnsi="Times New Roman" w:cs="Times New Roman"/>
          <w:sz w:val="24"/>
          <w:szCs w:val="24"/>
          <w:vertAlign w:val="superscript"/>
        </w:rPr>
        <w:t>2+</w:t>
      </w:r>
      <w:r w:rsidRPr="00060BDE">
        <w:rPr>
          <w:rFonts w:ascii="Times New Roman" w:hAnsi="Times New Roman" w:cs="Times New Roman"/>
          <w:sz w:val="24"/>
          <w:szCs w:val="24"/>
        </w:rPr>
        <w:t xml:space="preserve"> in cells and the fluorescence intensity read from the cells for each probe is shown in Fig. 5b.</w:t>
      </w:r>
    </w:p>
    <w:p w14:paraId="2C53A749" w14:textId="42B91091" w:rsidR="001F7A7D" w:rsidRDefault="00960799" w:rsidP="00060BDE">
      <w:pPr>
        <w:spacing w:line="48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04FD04D" wp14:editId="01D8AF56">
            <wp:extent cx="4706766" cy="5708650"/>
            <wp:effectExtent l="0" t="0" r="0" b="635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11181" cy="5714005"/>
                    </a:xfrm>
                    <a:prstGeom prst="rect">
                      <a:avLst/>
                    </a:prstGeom>
                    <a:noFill/>
                    <a:ln>
                      <a:noFill/>
                    </a:ln>
                  </pic:spPr>
                </pic:pic>
              </a:graphicData>
            </a:graphic>
          </wp:inline>
        </w:drawing>
      </w:r>
    </w:p>
    <w:p w14:paraId="50BD56BA" w14:textId="5B97C958" w:rsidR="00960799" w:rsidRPr="00060BDE" w:rsidRDefault="006C7D3B" w:rsidP="00060BDE">
      <w:pPr>
        <w:spacing w:line="480" w:lineRule="auto"/>
        <w:jc w:val="both"/>
        <w:rPr>
          <w:rFonts w:ascii="Times New Roman" w:hAnsi="Times New Roman" w:cs="Times New Roman"/>
          <w:sz w:val="24"/>
          <w:szCs w:val="24"/>
        </w:rPr>
      </w:pPr>
      <w:r w:rsidRPr="006C7D3B">
        <w:rPr>
          <w:rFonts w:ascii="Times New Roman" w:hAnsi="Times New Roman" w:cs="Times New Roman"/>
          <w:sz w:val="24"/>
          <w:szCs w:val="24"/>
        </w:rPr>
        <w:t xml:space="preserve">Fig. 5 a) Fluorescence microscopy images of HeLa cells treated with </w:t>
      </w:r>
      <w:r w:rsidRPr="006C7D3B">
        <w:rPr>
          <w:rFonts w:ascii="Times New Roman" w:hAnsi="Times New Roman" w:cs="Times New Roman"/>
          <w:b/>
          <w:sz w:val="24"/>
          <w:szCs w:val="24"/>
        </w:rPr>
        <w:t>7</w:t>
      </w:r>
      <w:r w:rsidRPr="006C7D3B">
        <w:rPr>
          <w:rFonts w:ascii="Times New Roman" w:hAnsi="Times New Roman" w:cs="Times New Roman"/>
          <w:sz w:val="24"/>
          <w:szCs w:val="24"/>
        </w:rPr>
        <w:t xml:space="preserve"> (20 µM), </w:t>
      </w:r>
      <w:r w:rsidRPr="006C7D3B">
        <w:rPr>
          <w:rFonts w:ascii="Times New Roman" w:hAnsi="Times New Roman" w:cs="Times New Roman"/>
          <w:b/>
          <w:sz w:val="24"/>
          <w:szCs w:val="24"/>
        </w:rPr>
        <w:t>7</w:t>
      </w:r>
      <w:r w:rsidRPr="006C7D3B">
        <w:rPr>
          <w:rFonts w:ascii="Times New Roman" w:hAnsi="Times New Roman" w:cs="Times New Roman"/>
          <w:sz w:val="24"/>
          <w:szCs w:val="24"/>
        </w:rPr>
        <w:t xml:space="preserve"> (20 µM) with zinc pyrithione (100 µM), and </w:t>
      </w:r>
      <w:r w:rsidRPr="006C7D3B">
        <w:rPr>
          <w:rFonts w:ascii="Times New Roman" w:hAnsi="Times New Roman" w:cs="Times New Roman"/>
          <w:b/>
          <w:sz w:val="24"/>
          <w:szCs w:val="24"/>
        </w:rPr>
        <w:t>7</w:t>
      </w:r>
      <w:r w:rsidRPr="006C7D3B">
        <w:rPr>
          <w:rFonts w:ascii="Times New Roman" w:hAnsi="Times New Roman" w:cs="Times New Roman"/>
          <w:sz w:val="24"/>
          <w:szCs w:val="24"/>
        </w:rPr>
        <w:t xml:space="preserve"> (20 µM) with TPEN (100 µM) (Scale bars = 20 µm); b) The fluorescence intensity (F) of probes in HeLa cells with zinc pyrithione (red bars) or TPEN (blue bars) relative to the intensity of the probe alone (F</w:t>
      </w:r>
      <w:r w:rsidRPr="006C7D3B">
        <w:rPr>
          <w:rFonts w:ascii="Times New Roman" w:hAnsi="Times New Roman" w:cs="Times New Roman"/>
          <w:sz w:val="24"/>
          <w:szCs w:val="24"/>
          <w:vertAlign w:val="subscript"/>
        </w:rPr>
        <w:t>0</w:t>
      </w:r>
      <w:r w:rsidRPr="006C7D3B">
        <w:rPr>
          <w:rFonts w:ascii="Times New Roman" w:hAnsi="Times New Roman" w:cs="Times New Roman"/>
          <w:sz w:val="24"/>
          <w:szCs w:val="24"/>
        </w:rPr>
        <w:t>, black bars, normalised to 1).</w:t>
      </w:r>
    </w:p>
    <w:p w14:paraId="49F33767" w14:textId="77777777" w:rsidR="00060BDE" w:rsidRPr="006C7D3B" w:rsidRDefault="00060BDE" w:rsidP="00060BDE">
      <w:pPr>
        <w:spacing w:line="480" w:lineRule="auto"/>
        <w:jc w:val="both"/>
        <w:rPr>
          <w:rFonts w:ascii="Times New Roman" w:hAnsi="Times New Roman" w:cs="Times New Roman"/>
          <w:b/>
          <w:sz w:val="24"/>
          <w:szCs w:val="24"/>
        </w:rPr>
      </w:pPr>
      <w:r w:rsidRPr="006C7D3B">
        <w:rPr>
          <w:rFonts w:ascii="Times New Roman" w:hAnsi="Times New Roman" w:cs="Times New Roman"/>
          <w:b/>
          <w:sz w:val="24"/>
          <w:szCs w:val="24"/>
        </w:rPr>
        <w:lastRenderedPageBreak/>
        <w:t>Conclusions</w:t>
      </w:r>
    </w:p>
    <w:p w14:paraId="12A137D2" w14:textId="77777777" w:rsidR="00060BDE" w:rsidRPr="00060BDE" w:rsidRDefault="00060BDE" w:rsidP="00060BDE">
      <w:pPr>
        <w:spacing w:line="480" w:lineRule="auto"/>
        <w:jc w:val="both"/>
        <w:rPr>
          <w:rFonts w:ascii="Times New Roman" w:hAnsi="Times New Roman" w:cs="Times New Roman"/>
          <w:sz w:val="24"/>
          <w:szCs w:val="24"/>
        </w:rPr>
      </w:pPr>
      <w:r w:rsidRPr="00060BDE">
        <w:rPr>
          <w:rFonts w:ascii="Times New Roman" w:hAnsi="Times New Roman" w:cs="Times New Roman"/>
          <w:sz w:val="24"/>
          <w:szCs w:val="24"/>
        </w:rPr>
        <w:t>In conclusion, we have developed a new modular ‘bottom to top’ click approach to synthesize subcellular localised probes by incorporating organelle targeting vectors in the last step click reaction, which is an effective and efficient method to prepare an array of different organelle targeting Zn</w:t>
      </w:r>
      <w:r w:rsidRPr="006C7D3B">
        <w:rPr>
          <w:rFonts w:ascii="Times New Roman" w:hAnsi="Times New Roman" w:cs="Times New Roman"/>
          <w:sz w:val="24"/>
          <w:szCs w:val="24"/>
          <w:vertAlign w:val="superscript"/>
        </w:rPr>
        <w:t>2+</w:t>
      </w:r>
      <w:r w:rsidRPr="00060BDE">
        <w:rPr>
          <w:rFonts w:ascii="Times New Roman" w:hAnsi="Times New Roman" w:cs="Times New Roman"/>
          <w:sz w:val="24"/>
          <w:szCs w:val="24"/>
        </w:rPr>
        <w:t xml:space="preserve"> probes. Three probes </w:t>
      </w:r>
      <w:r w:rsidRPr="006C7D3B">
        <w:rPr>
          <w:rFonts w:ascii="Times New Roman" w:hAnsi="Times New Roman" w:cs="Times New Roman"/>
          <w:b/>
          <w:sz w:val="24"/>
          <w:szCs w:val="24"/>
        </w:rPr>
        <w:t>7</w:t>
      </w:r>
      <w:r w:rsidRPr="00060BDE">
        <w:rPr>
          <w:rFonts w:ascii="Times New Roman" w:hAnsi="Times New Roman" w:cs="Times New Roman"/>
          <w:sz w:val="24"/>
          <w:szCs w:val="24"/>
        </w:rPr>
        <w:t>-</w:t>
      </w:r>
      <w:r w:rsidRPr="006C7D3B">
        <w:rPr>
          <w:rFonts w:ascii="Times New Roman" w:hAnsi="Times New Roman" w:cs="Times New Roman"/>
          <w:b/>
          <w:sz w:val="24"/>
          <w:szCs w:val="24"/>
        </w:rPr>
        <w:t>9</w:t>
      </w:r>
      <w:r w:rsidRPr="00060BDE">
        <w:rPr>
          <w:rFonts w:ascii="Times New Roman" w:hAnsi="Times New Roman" w:cs="Times New Roman"/>
          <w:sz w:val="24"/>
          <w:szCs w:val="24"/>
        </w:rPr>
        <w:t xml:space="preserve"> have been successfully prepared through this approach, and have been proven to localise in the ER, mitochondria and lysosome, and all display a good fluorescence response to Zn</w:t>
      </w:r>
      <w:r w:rsidRPr="006C7D3B">
        <w:rPr>
          <w:rFonts w:ascii="Times New Roman" w:hAnsi="Times New Roman" w:cs="Times New Roman"/>
          <w:sz w:val="24"/>
          <w:szCs w:val="24"/>
          <w:vertAlign w:val="superscript"/>
        </w:rPr>
        <w:t>2+</w:t>
      </w:r>
      <w:r w:rsidRPr="00060BDE">
        <w:rPr>
          <w:rFonts w:ascii="Times New Roman" w:hAnsi="Times New Roman" w:cs="Times New Roman"/>
          <w:sz w:val="24"/>
          <w:szCs w:val="24"/>
        </w:rPr>
        <w:t xml:space="preserve"> in vitro and in cellulo. We believe that these probes have significant potential to be applied in the imaging of mobile Zn</w:t>
      </w:r>
      <w:r w:rsidRPr="006C7D3B">
        <w:rPr>
          <w:rFonts w:ascii="Times New Roman" w:hAnsi="Times New Roman" w:cs="Times New Roman"/>
          <w:sz w:val="24"/>
          <w:szCs w:val="24"/>
          <w:vertAlign w:val="superscript"/>
        </w:rPr>
        <w:t>2+</w:t>
      </w:r>
      <w:r w:rsidRPr="00060BDE">
        <w:rPr>
          <w:rFonts w:ascii="Times New Roman" w:hAnsi="Times New Roman" w:cs="Times New Roman"/>
          <w:sz w:val="24"/>
          <w:szCs w:val="24"/>
        </w:rPr>
        <w:t xml:space="preserve"> related biological processes in these organelles and that through this method, other sub-cellular targeting mobile Zn</w:t>
      </w:r>
      <w:r w:rsidRPr="006C7D3B">
        <w:rPr>
          <w:rFonts w:ascii="Times New Roman" w:hAnsi="Times New Roman" w:cs="Times New Roman"/>
          <w:sz w:val="24"/>
          <w:szCs w:val="24"/>
          <w:vertAlign w:val="superscript"/>
        </w:rPr>
        <w:t>2+</w:t>
      </w:r>
      <w:r w:rsidRPr="00060BDE">
        <w:rPr>
          <w:rFonts w:ascii="Times New Roman" w:hAnsi="Times New Roman" w:cs="Times New Roman"/>
          <w:sz w:val="24"/>
          <w:szCs w:val="24"/>
        </w:rPr>
        <w:t xml:space="preserve"> probes can be developed to satisfy the imaging demands of other specific cellular locations. </w:t>
      </w:r>
    </w:p>
    <w:p w14:paraId="3BD2F79D" w14:textId="77777777" w:rsidR="006C7D3B" w:rsidRDefault="006C7D3B" w:rsidP="00060BDE">
      <w:pPr>
        <w:spacing w:line="480" w:lineRule="auto"/>
        <w:jc w:val="both"/>
        <w:rPr>
          <w:rFonts w:ascii="Times New Roman" w:hAnsi="Times New Roman" w:cs="Times New Roman"/>
          <w:b/>
          <w:sz w:val="24"/>
          <w:szCs w:val="24"/>
        </w:rPr>
      </w:pPr>
    </w:p>
    <w:p w14:paraId="4DE73F1E" w14:textId="70CB218C" w:rsidR="00060BDE" w:rsidRPr="006C7D3B" w:rsidRDefault="00060BDE" w:rsidP="00060BDE">
      <w:pPr>
        <w:spacing w:line="480" w:lineRule="auto"/>
        <w:jc w:val="both"/>
        <w:rPr>
          <w:rFonts w:ascii="Times New Roman" w:hAnsi="Times New Roman" w:cs="Times New Roman"/>
          <w:b/>
          <w:sz w:val="24"/>
          <w:szCs w:val="24"/>
        </w:rPr>
      </w:pPr>
      <w:r w:rsidRPr="006C7D3B">
        <w:rPr>
          <w:rFonts w:ascii="Times New Roman" w:hAnsi="Times New Roman" w:cs="Times New Roman"/>
          <w:b/>
          <w:sz w:val="24"/>
          <w:szCs w:val="24"/>
        </w:rPr>
        <w:t>Experimental</w:t>
      </w:r>
    </w:p>
    <w:p w14:paraId="3B6D34D8" w14:textId="77777777" w:rsidR="00060BDE" w:rsidRPr="00060BDE" w:rsidRDefault="00060BDE" w:rsidP="00060BDE">
      <w:pPr>
        <w:spacing w:line="480" w:lineRule="auto"/>
        <w:jc w:val="both"/>
        <w:rPr>
          <w:rFonts w:ascii="Times New Roman" w:hAnsi="Times New Roman" w:cs="Times New Roman"/>
          <w:sz w:val="24"/>
          <w:szCs w:val="24"/>
        </w:rPr>
      </w:pPr>
      <w:r w:rsidRPr="00EF4DBB">
        <w:rPr>
          <w:rFonts w:ascii="Times New Roman" w:hAnsi="Times New Roman" w:cs="Times New Roman"/>
          <w:b/>
          <w:sz w:val="24"/>
          <w:szCs w:val="24"/>
        </w:rPr>
        <w:t>6-(4-((bis(Pyridin-2-ylmethyl)amino)methyl)-1</w:t>
      </w:r>
      <w:r w:rsidRPr="00175819">
        <w:rPr>
          <w:rFonts w:ascii="Times New Roman" w:hAnsi="Times New Roman" w:cs="Times New Roman"/>
          <w:b/>
          <w:i/>
          <w:sz w:val="24"/>
          <w:szCs w:val="24"/>
        </w:rPr>
        <w:t>H</w:t>
      </w:r>
      <w:r w:rsidRPr="00EF4DBB">
        <w:rPr>
          <w:rFonts w:ascii="Times New Roman" w:hAnsi="Times New Roman" w:cs="Times New Roman"/>
          <w:b/>
          <w:sz w:val="24"/>
          <w:szCs w:val="24"/>
        </w:rPr>
        <w:t>-1,2,3-triazol-1-yl)-2-(prop-2-yn-1-yl)-1</w:t>
      </w:r>
      <w:r w:rsidRPr="00175819">
        <w:rPr>
          <w:rFonts w:ascii="Times New Roman" w:hAnsi="Times New Roman" w:cs="Times New Roman"/>
          <w:b/>
          <w:i/>
          <w:sz w:val="24"/>
          <w:szCs w:val="24"/>
        </w:rPr>
        <w:t>H</w:t>
      </w:r>
      <w:r w:rsidRPr="00EF4DBB">
        <w:rPr>
          <w:rFonts w:ascii="Times New Roman" w:hAnsi="Times New Roman" w:cs="Times New Roman"/>
          <w:b/>
          <w:sz w:val="24"/>
          <w:szCs w:val="24"/>
        </w:rPr>
        <w:t>-benzo[</w:t>
      </w:r>
      <w:r w:rsidRPr="00175819">
        <w:rPr>
          <w:rFonts w:ascii="Times New Roman" w:hAnsi="Times New Roman" w:cs="Times New Roman"/>
          <w:b/>
          <w:i/>
          <w:sz w:val="24"/>
          <w:szCs w:val="24"/>
        </w:rPr>
        <w:t>de</w:t>
      </w:r>
      <w:r w:rsidRPr="00EF4DBB">
        <w:rPr>
          <w:rFonts w:ascii="Times New Roman" w:hAnsi="Times New Roman" w:cs="Times New Roman"/>
          <w:b/>
          <w:sz w:val="24"/>
          <w:szCs w:val="24"/>
        </w:rPr>
        <w:t>]isoquinoline-1,3(2</w:t>
      </w:r>
      <w:r w:rsidRPr="00175819">
        <w:rPr>
          <w:rFonts w:ascii="Times New Roman" w:hAnsi="Times New Roman" w:cs="Times New Roman"/>
          <w:b/>
          <w:i/>
          <w:sz w:val="24"/>
          <w:szCs w:val="24"/>
        </w:rPr>
        <w:t>H</w:t>
      </w:r>
      <w:r w:rsidRPr="00EF4DBB">
        <w:rPr>
          <w:rFonts w:ascii="Times New Roman" w:hAnsi="Times New Roman" w:cs="Times New Roman"/>
          <w:b/>
          <w:sz w:val="24"/>
          <w:szCs w:val="24"/>
        </w:rPr>
        <w:t>)-dione (3).</w:t>
      </w:r>
      <w:r w:rsidRPr="00060BDE">
        <w:rPr>
          <w:rFonts w:ascii="Times New Roman" w:hAnsi="Times New Roman" w:cs="Times New Roman"/>
          <w:sz w:val="24"/>
          <w:szCs w:val="24"/>
        </w:rPr>
        <w:t xml:space="preserve"> Under a nitrogen atmosphere, azide </w:t>
      </w:r>
      <w:r w:rsidRPr="00175819">
        <w:rPr>
          <w:rFonts w:ascii="Times New Roman" w:hAnsi="Times New Roman" w:cs="Times New Roman"/>
          <w:b/>
          <w:sz w:val="24"/>
          <w:szCs w:val="24"/>
        </w:rPr>
        <w:t>1</w:t>
      </w:r>
      <w:r w:rsidRPr="00060BDE">
        <w:rPr>
          <w:rFonts w:ascii="Times New Roman" w:hAnsi="Times New Roman" w:cs="Times New Roman"/>
          <w:sz w:val="24"/>
          <w:szCs w:val="24"/>
        </w:rPr>
        <w:t xml:space="preserve"> (120 mg, 0.500 mmol), alkyne </w:t>
      </w:r>
      <w:r w:rsidRPr="00175819">
        <w:rPr>
          <w:rFonts w:ascii="Times New Roman" w:hAnsi="Times New Roman" w:cs="Times New Roman"/>
          <w:b/>
          <w:sz w:val="24"/>
          <w:szCs w:val="24"/>
        </w:rPr>
        <w:t>2</w:t>
      </w:r>
      <w:r w:rsidRPr="00060BDE">
        <w:rPr>
          <w:rFonts w:ascii="Times New Roman" w:hAnsi="Times New Roman" w:cs="Times New Roman"/>
          <w:sz w:val="24"/>
          <w:szCs w:val="24"/>
        </w:rPr>
        <w:t xml:space="preserve"> (119 mg, 0.500 mmol), and tetrakis(acetonitrile)copper(I) hexafluorophosphate (55.9 mg, 0.150 mmol), were added to a mixture of 1-methyl-2-pyrrolidinone (NMP, 2.0 mL) and EtOH (2.0 mL). The flask was covered with aluminium foil and the mixture was stirred at room temperature for 24 h, after the starting materials were consumed, the propargylamide (45.0 µL, 0.700 mmol) was added and the mixture was stirred at room temperature for 16 hours. After the reaction was complete, saturated EDTA in 17% NH</w:t>
      </w:r>
      <w:r w:rsidRPr="00175819">
        <w:rPr>
          <w:rFonts w:ascii="Times New Roman" w:hAnsi="Times New Roman" w:cs="Times New Roman"/>
          <w:sz w:val="24"/>
          <w:szCs w:val="24"/>
          <w:vertAlign w:val="subscript"/>
        </w:rPr>
        <w:t>3</w:t>
      </w:r>
      <w:r w:rsidRPr="00060BDE">
        <w:rPr>
          <w:rFonts w:ascii="Times New Roman" w:hAnsi="Times New Roman" w:cs="Times New Roman"/>
          <w:sz w:val="24"/>
          <w:szCs w:val="24"/>
        </w:rPr>
        <w:t>·H</w:t>
      </w:r>
      <w:r w:rsidRPr="00175819">
        <w:rPr>
          <w:rFonts w:ascii="Times New Roman" w:hAnsi="Times New Roman" w:cs="Times New Roman"/>
          <w:sz w:val="24"/>
          <w:szCs w:val="24"/>
          <w:vertAlign w:val="subscript"/>
        </w:rPr>
        <w:t>2</w:t>
      </w:r>
      <w:r w:rsidRPr="00060BDE">
        <w:rPr>
          <w:rFonts w:ascii="Times New Roman" w:hAnsi="Times New Roman" w:cs="Times New Roman"/>
          <w:sz w:val="24"/>
          <w:szCs w:val="24"/>
        </w:rPr>
        <w:t>O (50.0 mL) was added and the precipitate was collected by filtration, washed with water (30.0 mL). The crude product was purified by column chromatography on silica gel (eluent CH</w:t>
      </w:r>
      <w:r w:rsidRPr="00175819">
        <w:rPr>
          <w:rFonts w:ascii="Times New Roman" w:hAnsi="Times New Roman" w:cs="Times New Roman"/>
          <w:sz w:val="24"/>
          <w:szCs w:val="24"/>
          <w:vertAlign w:val="subscript"/>
        </w:rPr>
        <w:t>2</w:t>
      </w:r>
      <w:r w:rsidRPr="00060BDE">
        <w:rPr>
          <w:rFonts w:ascii="Times New Roman" w:hAnsi="Times New Roman" w:cs="Times New Roman"/>
          <w:sz w:val="24"/>
          <w:szCs w:val="24"/>
        </w:rPr>
        <w:t>Cl</w:t>
      </w:r>
      <w:r w:rsidRPr="00175819">
        <w:rPr>
          <w:rFonts w:ascii="Times New Roman" w:hAnsi="Times New Roman" w:cs="Times New Roman"/>
          <w:sz w:val="24"/>
          <w:szCs w:val="24"/>
          <w:vertAlign w:val="subscript"/>
        </w:rPr>
        <w:t>2</w:t>
      </w:r>
      <w:r w:rsidRPr="00060BDE">
        <w:rPr>
          <w:rFonts w:ascii="Times New Roman" w:hAnsi="Times New Roman" w:cs="Times New Roman"/>
          <w:sz w:val="24"/>
          <w:szCs w:val="24"/>
        </w:rPr>
        <w:t xml:space="preserve">: MeOH = 20:1) to give </w:t>
      </w:r>
      <w:r w:rsidRPr="00175819">
        <w:rPr>
          <w:rFonts w:ascii="Times New Roman" w:hAnsi="Times New Roman" w:cs="Times New Roman"/>
          <w:b/>
          <w:sz w:val="24"/>
          <w:szCs w:val="24"/>
        </w:rPr>
        <w:t>3</w:t>
      </w:r>
      <w:r w:rsidRPr="00060BDE">
        <w:rPr>
          <w:rFonts w:ascii="Times New Roman" w:hAnsi="Times New Roman" w:cs="Times New Roman"/>
          <w:sz w:val="24"/>
          <w:szCs w:val="24"/>
        </w:rPr>
        <w:t xml:space="preserve"> (131 mg, 51%) as a brown oil. </w:t>
      </w:r>
      <w:r w:rsidRPr="00175819">
        <w:rPr>
          <w:rFonts w:ascii="Times New Roman" w:hAnsi="Times New Roman" w:cs="Times New Roman"/>
          <w:sz w:val="24"/>
          <w:szCs w:val="24"/>
          <w:vertAlign w:val="superscript"/>
        </w:rPr>
        <w:t>1</w:t>
      </w:r>
      <w:r w:rsidRPr="00060BDE">
        <w:rPr>
          <w:rFonts w:ascii="Times New Roman" w:hAnsi="Times New Roman" w:cs="Times New Roman"/>
          <w:sz w:val="24"/>
          <w:szCs w:val="24"/>
        </w:rPr>
        <w:t>H NMR (400 MHz, CDCl</w:t>
      </w:r>
      <w:r w:rsidRPr="00175819">
        <w:rPr>
          <w:rFonts w:ascii="Times New Roman" w:hAnsi="Times New Roman" w:cs="Times New Roman"/>
          <w:sz w:val="24"/>
          <w:szCs w:val="24"/>
          <w:vertAlign w:val="subscript"/>
        </w:rPr>
        <w:t>3</w:t>
      </w:r>
      <w:r w:rsidRPr="00060BDE">
        <w:rPr>
          <w:rFonts w:ascii="Times New Roman" w:hAnsi="Times New Roman" w:cs="Times New Roman"/>
          <w:sz w:val="24"/>
          <w:szCs w:val="24"/>
        </w:rPr>
        <w:t xml:space="preserve">) δ 8.79-8.73 (m, 2H), 8.57 (d, 2H, </w:t>
      </w:r>
      <w:r w:rsidRPr="00DD6D83">
        <w:rPr>
          <w:rFonts w:ascii="Times New Roman" w:hAnsi="Times New Roman" w:cs="Times New Roman"/>
          <w:i/>
          <w:sz w:val="24"/>
          <w:szCs w:val="24"/>
        </w:rPr>
        <w:t>J</w:t>
      </w:r>
      <w:r w:rsidRPr="00060BDE">
        <w:rPr>
          <w:rFonts w:ascii="Times New Roman" w:hAnsi="Times New Roman" w:cs="Times New Roman"/>
          <w:sz w:val="24"/>
          <w:szCs w:val="24"/>
        </w:rPr>
        <w:t xml:space="preserve"> = 4.2), 8.32 (dd, 1H, </w:t>
      </w:r>
      <w:r w:rsidRPr="00DD6D83">
        <w:rPr>
          <w:rFonts w:ascii="Times New Roman" w:hAnsi="Times New Roman" w:cs="Times New Roman"/>
          <w:i/>
          <w:sz w:val="24"/>
          <w:szCs w:val="24"/>
        </w:rPr>
        <w:t>J</w:t>
      </w:r>
      <w:r w:rsidRPr="00060BDE">
        <w:rPr>
          <w:rFonts w:ascii="Times New Roman" w:hAnsi="Times New Roman" w:cs="Times New Roman"/>
          <w:sz w:val="24"/>
          <w:szCs w:val="24"/>
        </w:rPr>
        <w:t xml:space="preserve"> = 8.6, 0.9), 8.17 (s, 1H), </w:t>
      </w:r>
      <w:r w:rsidRPr="00060BDE">
        <w:rPr>
          <w:rFonts w:ascii="Times New Roman" w:hAnsi="Times New Roman" w:cs="Times New Roman"/>
          <w:sz w:val="24"/>
          <w:szCs w:val="24"/>
        </w:rPr>
        <w:lastRenderedPageBreak/>
        <w:t xml:space="preserve">7.88-7.82 (m, 2H), 7.72-7.66 (m, 2H), 7.63-7.57 (m, 2H), 7.21-7.15 (m, 2H), 5.00 (d, 2H, </w:t>
      </w:r>
      <w:r w:rsidRPr="00DD6D83">
        <w:rPr>
          <w:rFonts w:ascii="Times New Roman" w:hAnsi="Times New Roman" w:cs="Times New Roman"/>
          <w:i/>
          <w:sz w:val="24"/>
          <w:szCs w:val="24"/>
        </w:rPr>
        <w:t>J</w:t>
      </w:r>
      <w:r w:rsidRPr="00060BDE">
        <w:rPr>
          <w:rFonts w:ascii="Times New Roman" w:hAnsi="Times New Roman" w:cs="Times New Roman"/>
          <w:sz w:val="24"/>
          <w:szCs w:val="24"/>
        </w:rPr>
        <w:t xml:space="preserve"> = 2.4), 4.09 (s, 2H), 3.97 (s, 4H), 2.23 (t, 1H, </w:t>
      </w:r>
      <w:r w:rsidRPr="00DD6D83">
        <w:rPr>
          <w:rFonts w:ascii="Times New Roman" w:hAnsi="Times New Roman" w:cs="Times New Roman"/>
          <w:i/>
          <w:sz w:val="24"/>
          <w:szCs w:val="24"/>
        </w:rPr>
        <w:t>J</w:t>
      </w:r>
      <w:r w:rsidRPr="00060BDE">
        <w:rPr>
          <w:rFonts w:ascii="Times New Roman" w:hAnsi="Times New Roman" w:cs="Times New Roman"/>
          <w:sz w:val="24"/>
          <w:szCs w:val="24"/>
        </w:rPr>
        <w:t xml:space="preserve"> = 2.4). </w:t>
      </w:r>
      <w:r w:rsidRPr="00175819">
        <w:rPr>
          <w:rFonts w:ascii="Times New Roman" w:hAnsi="Times New Roman" w:cs="Times New Roman"/>
          <w:sz w:val="24"/>
          <w:szCs w:val="24"/>
          <w:vertAlign w:val="superscript"/>
        </w:rPr>
        <w:t>13</w:t>
      </w:r>
      <w:r w:rsidRPr="00060BDE">
        <w:rPr>
          <w:rFonts w:ascii="Times New Roman" w:hAnsi="Times New Roman" w:cs="Times New Roman"/>
          <w:sz w:val="24"/>
          <w:szCs w:val="24"/>
        </w:rPr>
        <w:t>C NMR (101 MHz, CDCl</w:t>
      </w:r>
      <w:r w:rsidRPr="00175819">
        <w:rPr>
          <w:rFonts w:ascii="Times New Roman" w:hAnsi="Times New Roman" w:cs="Times New Roman"/>
          <w:sz w:val="24"/>
          <w:szCs w:val="24"/>
          <w:vertAlign w:val="subscript"/>
        </w:rPr>
        <w:t>3</w:t>
      </w:r>
      <w:r w:rsidRPr="00060BDE">
        <w:rPr>
          <w:rFonts w:ascii="Times New Roman" w:hAnsi="Times New Roman" w:cs="Times New Roman"/>
          <w:sz w:val="24"/>
          <w:szCs w:val="24"/>
        </w:rPr>
        <w:t>) δ 163.0, 162.5, 159.0, 149.3, 145.1, 138.8, 136.8, 135.8, 132.7, 131.2, 130.3, 129.3, 128.7, 126.6, 125.8, 123.6, 123.5, 122.7, 122.4, 78.3, 71.0, 59.9, 48.6, 29.8. IR: (</w:t>
      </w:r>
      <w:r w:rsidRPr="00175819">
        <w:rPr>
          <w:rFonts w:ascii="Times New Roman" w:hAnsi="Times New Roman" w:cs="Times New Roman"/>
          <w:i/>
          <w:sz w:val="24"/>
          <w:szCs w:val="24"/>
        </w:rPr>
        <w:t>υ</w:t>
      </w:r>
      <w:r w:rsidRPr="00175819">
        <w:rPr>
          <w:rFonts w:ascii="Times New Roman" w:hAnsi="Times New Roman" w:cs="Times New Roman"/>
          <w:sz w:val="24"/>
          <w:szCs w:val="24"/>
          <w:vertAlign w:val="subscript"/>
        </w:rPr>
        <w:t>max</w:t>
      </w:r>
      <w:r w:rsidRPr="00060BDE">
        <w:rPr>
          <w:rFonts w:ascii="Times New Roman" w:hAnsi="Times New Roman" w:cs="Times New Roman"/>
          <w:sz w:val="24"/>
          <w:szCs w:val="24"/>
        </w:rPr>
        <w:t>/cm</w:t>
      </w:r>
      <w:r w:rsidRPr="00175819">
        <w:rPr>
          <w:rFonts w:ascii="Times New Roman" w:hAnsi="Times New Roman" w:cs="Times New Roman"/>
          <w:sz w:val="24"/>
          <w:szCs w:val="24"/>
          <w:vertAlign w:val="superscript"/>
        </w:rPr>
        <w:t>-1</w:t>
      </w:r>
      <w:r w:rsidRPr="00060BDE">
        <w:rPr>
          <w:rFonts w:ascii="Times New Roman" w:hAnsi="Times New Roman" w:cs="Times New Roman"/>
          <w:sz w:val="24"/>
          <w:szCs w:val="24"/>
        </w:rPr>
        <w:t>) 1744, 1707, 1665, 1581, 1483, 1378, 1232, 1040, 845, 782, 754. HR-NSI MS (m/z) [M+Na]</w:t>
      </w:r>
      <w:r w:rsidRPr="00175819">
        <w:rPr>
          <w:rFonts w:ascii="Times New Roman" w:hAnsi="Times New Roman" w:cs="Times New Roman"/>
          <w:sz w:val="24"/>
          <w:szCs w:val="24"/>
          <w:vertAlign w:val="superscript"/>
        </w:rPr>
        <w:t>+</w:t>
      </w:r>
      <w:r w:rsidRPr="00060BDE">
        <w:rPr>
          <w:rFonts w:ascii="Times New Roman" w:hAnsi="Times New Roman" w:cs="Times New Roman"/>
          <w:sz w:val="24"/>
          <w:szCs w:val="24"/>
        </w:rPr>
        <w:t xml:space="preserve"> calcd for C</w:t>
      </w:r>
      <w:r w:rsidRPr="00175819">
        <w:rPr>
          <w:rFonts w:ascii="Times New Roman" w:hAnsi="Times New Roman" w:cs="Times New Roman"/>
          <w:sz w:val="24"/>
          <w:szCs w:val="24"/>
          <w:vertAlign w:val="subscript"/>
        </w:rPr>
        <w:t>30</w:t>
      </w:r>
      <w:r w:rsidRPr="00060BDE">
        <w:rPr>
          <w:rFonts w:ascii="Times New Roman" w:hAnsi="Times New Roman" w:cs="Times New Roman"/>
          <w:sz w:val="24"/>
          <w:szCs w:val="24"/>
        </w:rPr>
        <w:t>H</w:t>
      </w:r>
      <w:r w:rsidRPr="00175819">
        <w:rPr>
          <w:rFonts w:ascii="Times New Roman" w:hAnsi="Times New Roman" w:cs="Times New Roman"/>
          <w:sz w:val="24"/>
          <w:szCs w:val="24"/>
          <w:vertAlign w:val="subscript"/>
        </w:rPr>
        <w:t>23</w:t>
      </w:r>
      <w:r w:rsidRPr="00060BDE">
        <w:rPr>
          <w:rFonts w:ascii="Times New Roman" w:hAnsi="Times New Roman" w:cs="Times New Roman"/>
          <w:sz w:val="24"/>
          <w:szCs w:val="24"/>
        </w:rPr>
        <w:t>N</w:t>
      </w:r>
      <w:r w:rsidRPr="00175819">
        <w:rPr>
          <w:rFonts w:ascii="Times New Roman" w:hAnsi="Times New Roman" w:cs="Times New Roman"/>
          <w:sz w:val="24"/>
          <w:szCs w:val="24"/>
          <w:vertAlign w:val="subscript"/>
        </w:rPr>
        <w:t>7</w:t>
      </w:r>
      <w:r w:rsidRPr="00060BDE">
        <w:rPr>
          <w:rFonts w:ascii="Times New Roman" w:hAnsi="Times New Roman" w:cs="Times New Roman"/>
          <w:sz w:val="24"/>
          <w:szCs w:val="24"/>
        </w:rPr>
        <w:t>O</w:t>
      </w:r>
      <w:r w:rsidRPr="00175819">
        <w:rPr>
          <w:rFonts w:ascii="Times New Roman" w:hAnsi="Times New Roman" w:cs="Times New Roman"/>
          <w:sz w:val="24"/>
          <w:szCs w:val="24"/>
          <w:vertAlign w:val="subscript"/>
        </w:rPr>
        <w:t>2</w:t>
      </w:r>
      <w:r w:rsidRPr="00060BDE">
        <w:rPr>
          <w:rFonts w:ascii="Times New Roman" w:hAnsi="Times New Roman" w:cs="Times New Roman"/>
          <w:sz w:val="24"/>
          <w:szCs w:val="24"/>
        </w:rPr>
        <w:t>Na 536.1805, found 536.1796.</w:t>
      </w:r>
    </w:p>
    <w:p w14:paraId="67911F3A" w14:textId="77777777" w:rsidR="00060BDE" w:rsidRPr="00060BDE" w:rsidRDefault="00060BDE" w:rsidP="00060BDE">
      <w:pPr>
        <w:spacing w:line="480" w:lineRule="auto"/>
        <w:jc w:val="both"/>
        <w:rPr>
          <w:rFonts w:ascii="Times New Roman" w:hAnsi="Times New Roman" w:cs="Times New Roman"/>
          <w:sz w:val="24"/>
          <w:szCs w:val="24"/>
        </w:rPr>
      </w:pPr>
      <w:r w:rsidRPr="00DD6D83">
        <w:rPr>
          <w:rFonts w:ascii="Times New Roman" w:hAnsi="Times New Roman" w:cs="Times New Roman"/>
          <w:b/>
          <w:sz w:val="24"/>
          <w:szCs w:val="24"/>
        </w:rPr>
        <w:t>General procedure of top click reaction</w:t>
      </w:r>
      <w:r w:rsidRPr="00060BDE">
        <w:rPr>
          <w:rFonts w:ascii="Times New Roman" w:hAnsi="Times New Roman" w:cs="Times New Roman"/>
          <w:sz w:val="24"/>
          <w:szCs w:val="24"/>
        </w:rPr>
        <w:t xml:space="preserve">. Under an atmosphere of nitrogen, alkyne </w:t>
      </w:r>
      <w:r w:rsidRPr="00DD6D83">
        <w:rPr>
          <w:rFonts w:ascii="Times New Roman" w:hAnsi="Times New Roman" w:cs="Times New Roman"/>
          <w:b/>
          <w:sz w:val="24"/>
          <w:szCs w:val="24"/>
        </w:rPr>
        <w:t>3</w:t>
      </w:r>
      <w:r w:rsidRPr="00060BDE">
        <w:rPr>
          <w:rFonts w:ascii="Times New Roman" w:hAnsi="Times New Roman" w:cs="Times New Roman"/>
          <w:sz w:val="24"/>
          <w:szCs w:val="24"/>
        </w:rPr>
        <w:t xml:space="preserve"> (51.4 mg, 0.100 mmol) and azide </w:t>
      </w:r>
      <w:r w:rsidRPr="00DD6D83">
        <w:rPr>
          <w:rFonts w:ascii="Times New Roman" w:hAnsi="Times New Roman" w:cs="Times New Roman"/>
          <w:b/>
          <w:sz w:val="24"/>
          <w:szCs w:val="24"/>
        </w:rPr>
        <w:t>4</w:t>
      </w:r>
      <w:r w:rsidRPr="00060BDE">
        <w:rPr>
          <w:rFonts w:ascii="Times New Roman" w:hAnsi="Times New Roman" w:cs="Times New Roman"/>
          <w:sz w:val="24"/>
          <w:szCs w:val="24"/>
        </w:rPr>
        <w:t>-</w:t>
      </w:r>
      <w:r w:rsidRPr="00DD6D83">
        <w:rPr>
          <w:rFonts w:ascii="Times New Roman" w:hAnsi="Times New Roman" w:cs="Times New Roman"/>
          <w:b/>
          <w:sz w:val="24"/>
          <w:szCs w:val="24"/>
        </w:rPr>
        <w:t>6</w:t>
      </w:r>
      <w:r w:rsidRPr="00060BDE">
        <w:rPr>
          <w:rFonts w:ascii="Times New Roman" w:hAnsi="Times New Roman" w:cs="Times New Roman"/>
          <w:sz w:val="24"/>
          <w:szCs w:val="24"/>
        </w:rPr>
        <w:t xml:space="preserve"> (0.100 mmol) were dissolved in the mixture of NMP (1.0 mL) and EtOH (1.0 mL), tetrakis(acetonitrile)copper(I) hexafluorophosphate (7.5 mg, 0.020 mmol) was added. The mixture was stirred at room temperature for 24 hours.  After the reaction had finished, saturated EDTA in 17% NH</w:t>
      </w:r>
      <w:r w:rsidRPr="00DD6D83">
        <w:rPr>
          <w:rFonts w:ascii="Times New Roman" w:hAnsi="Times New Roman" w:cs="Times New Roman"/>
          <w:sz w:val="24"/>
          <w:szCs w:val="24"/>
          <w:vertAlign w:val="subscript"/>
        </w:rPr>
        <w:t>3</w:t>
      </w:r>
      <w:r w:rsidRPr="00060BDE">
        <w:rPr>
          <w:rFonts w:ascii="Times New Roman" w:hAnsi="Times New Roman" w:cs="Times New Roman"/>
          <w:sz w:val="24"/>
          <w:szCs w:val="24"/>
        </w:rPr>
        <w:t>·H</w:t>
      </w:r>
      <w:r w:rsidRPr="00DD6D83">
        <w:rPr>
          <w:rFonts w:ascii="Times New Roman" w:hAnsi="Times New Roman" w:cs="Times New Roman"/>
          <w:sz w:val="24"/>
          <w:szCs w:val="24"/>
          <w:vertAlign w:val="subscript"/>
        </w:rPr>
        <w:t>2</w:t>
      </w:r>
      <w:r w:rsidRPr="00060BDE">
        <w:rPr>
          <w:rFonts w:ascii="Times New Roman" w:hAnsi="Times New Roman" w:cs="Times New Roman"/>
          <w:sz w:val="24"/>
          <w:szCs w:val="24"/>
        </w:rPr>
        <w:t>O (10.0 mL) was poured into the mixture and the precipitate that formed was collected by filtration, and washed with water (30.0 mL). The crude product was purified by flash chromatography on silica gel (eluent: CH</w:t>
      </w:r>
      <w:r w:rsidRPr="00DD6D83">
        <w:rPr>
          <w:rFonts w:ascii="Times New Roman" w:hAnsi="Times New Roman" w:cs="Times New Roman"/>
          <w:sz w:val="24"/>
          <w:szCs w:val="24"/>
          <w:vertAlign w:val="subscript"/>
        </w:rPr>
        <w:t>2</w:t>
      </w:r>
      <w:r w:rsidRPr="00060BDE">
        <w:rPr>
          <w:rFonts w:ascii="Times New Roman" w:hAnsi="Times New Roman" w:cs="Times New Roman"/>
          <w:sz w:val="24"/>
          <w:szCs w:val="24"/>
        </w:rPr>
        <w:t>Cl</w:t>
      </w:r>
      <w:r w:rsidRPr="00DD6D83">
        <w:rPr>
          <w:rFonts w:ascii="Times New Roman" w:hAnsi="Times New Roman" w:cs="Times New Roman"/>
          <w:sz w:val="24"/>
          <w:szCs w:val="24"/>
          <w:vertAlign w:val="subscript"/>
        </w:rPr>
        <w:t>2</w:t>
      </w:r>
      <w:r w:rsidRPr="00060BDE">
        <w:rPr>
          <w:rFonts w:ascii="Times New Roman" w:hAnsi="Times New Roman" w:cs="Times New Roman"/>
          <w:sz w:val="24"/>
          <w:szCs w:val="24"/>
        </w:rPr>
        <w:t xml:space="preserve">/MeOH 20:1) to give product </w:t>
      </w:r>
      <w:r w:rsidRPr="00DD6D83">
        <w:rPr>
          <w:rFonts w:ascii="Times New Roman" w:hAnsi="Times New Roman" w:cs="Times New Roman"/>
          <w:b/>
          <w:sz w:val="24"/>
          <w:szCs w:val="24"/>
        </w:rPr>
        <w:t>7</w:t>
      </w:r>
      <w:r w:rsidRPr="00060BDE">
        <w:rPr>
          <w:rFonts w:ascii="Times New Roman" w:hAnsi="Times New Roman" w:cs="Times New Roman"/>
          <w:sz w:val="24"/>
          <w:szCs w:val="24"/>
        </w:rPr>
        <w:t>-</w:t>
      </w:r>
      <w:r w:rsidRPr="00DD6D83">
        <w:rPr>
          <w:rFonts w:ascii="Times New Roman" w:hAnsi="Times New Roman" w:cs="Times New Roman"/>
          <w:b/>
          <w:sz w:val="24"/>
          <w:szCs w:val="24"/>
        </w:rPr>
        <w:t>9</w:t>
      </w:r>
      <w:r w:rsidRPr="00060BDE">
        <w:rPr>
          <w:rFonts w:ascii="Times New Roman" w:hAnsi="Times New Roman" w:cs="Times New Roman"/>
          <w:sz w:val="24"/>
          <w:szCs w:val="24"/>
        </w:rPr>
        <w:t xml:space="preserve"> as brown solids.</w:t>
      </w:r>
    </w:p>
    <w:p w14:paraId="4567EF54" w14:textId="77777777" w:rsidR="00060BDE" w:rsidRPr="00060BDE" w:rsidRDefault="00060BDE" w:rsidP="00060BDE">
      <w:pPr>
        <w:spacing w:line="480" w:lineRule="auto"/>
        <w:jc w:val="both"/>
        <w:rPr>
          <w:rFonts w:ascii="Times New Roman" w:hAnsi="Times New Roman" w:cs="Times New Roman"/>
          <w:sz w:val="24"/>
          <w:szCs w:val="24"/>
        </w:rPr>
      </w:pPr>
      <w:r w:rsidRPr="00DD6D83">
        <w:rPr>
          <w:rFonts w:ascii="Times New Roman" w:hAnsi="Times New Roman" w:cs="Times New Roman"/>
          <w:b/>
          <w:sz w:val="24"/>
          <w:szCs w:val="24"/>
        </w:rPr>
        <w:t>N-(2-(1-((6-(4-((bis(Pyridin-2-ylmethyl)amino)methyl)-1H-1,2,3-triazol-1-yl)-1,3-dioxo-1H-benzo[de]isoquinolin-2(3H)-yl)methyl)-1H-1,2,3-triazol-4-yl)ethyl)-4-methylbenzenesulfonamide (7)</w:t>
      </w:r>
      <w:r w:rsidRPr="00060BDE">
        <w:rPr>
          <w:rFonts w:ascii="Times New Roman" w:hAnsi="Times New Roman" w:cs="Times New Roman"/>
          <w:sz w:val="24"/>
          <w:szCs w:val="24"/>
        </w:rPr>
        <w:t xml:space="preserve"> (67.1 mg, 89%, M.p. 103-107 °C). </w:t>
      </w:r>
      <w:r w:rsidRPr="00DD6D83">
        <w:rPr>
          <w:rFonts w:ascii="Times New Roman" w:hAnsi="Times New Roman" w:cs="Times New Roman"/>
          <w:sz w:val="24"/>
          <w:szCs w:val="24"/>
          <w:vertAlign w:val="superscript"/>
        </w:rPr>
        <w:t>1</w:t>
      </w:r>
      <w:r w:rsidRPr="00060BDE">
        <w:rPr>
          <w:rFonts w:ascii="Times New Roman" w:hAnsi="Times New Roman" w:cs="Times New Roman"/>
          <w:sz w:val="24"/>
          <w:szCs w:val="24"/>
        </w:rPr>
        <w:t>H NMR (400 MHz, CDCl</w:t>
      </w:r>
      <w:r w:rsidRPr="00DD6D83">
        <w:rPr>
          <w:rFonts w:ascii="Times New Roman" w:hAnsi="Times New Roman" w:cs="Times New Roman"/>
          <w:sz w:val="24"/>
          <w:szCs w:val="24"/>
          <w:vertAlign w:val="subscript"/>
        </w:rPr>
        <w:t>3</w:t>
      </w:r>
      <w:r w:rsidRPr="00060BDE">
        <w:rPr>
          <w:rFonts w:ascii="Times New Roman" w:hAnsi="Times New Roman" w:cs="Times New Roman"/>
          <w:sz w:val="24"/>
          <w:szCs w:val="24"/>
        </w:rPr>
        <w:t xml:space="preserve">) δ 8.72-8.67 (m, 2H), 8.55 (d, 2H, </w:t>
      </w:r>
      <w:r w:rsidRPr="00DD6D83">
        <w:rPr>
          <w:rFonts w:ascii="Times New Roman" w:hAnsi="Times New Roman" w:cs="Times New Roman"/>
          <w:i/>
          <w:sz w:val="24"/>
          <w:szCs w:val="24"/>
        </w:rPr>
        <w:t>J</w:t>
      </w:r>
      <w:r w:rsidRPr="00060BDE">
        <w:rPr>
          <w:rFonts w:ascii="Times New Roman" w:hAnsi="Times New Roman" w:cs="Times New Roman"/>
          <w:sz w:val="24"/>
          <w:szCs w:val="24"/>
        </w:rPr>
        <w:t xml:space="preserve"> = 4.1), 8.28 (d, 1H, </w:t>
      </w:r>
      <w:r w:rsidRPr="00DD6D83">
        <w:rPr>
          <w:rFonts w:ascii="Times New Roman" w:hAnsi="Times New Roman" w:cs="Times New Roman"/>
          <w:i/>
          <w:sz w:val="24"/>
          <w:szCs w:val="24"/>
        </w:rPr>
        <w:t>J</w:t>
      </w:r>
      <w:r w:rsidRPr="00060BDE">
        <w:rPr>
          <w:rFonts w:ascii="Times New Roman" w:hAnsi="Times New Roman" w:cs="Times New Roman"/>
          <w:sz w:val="24"/>
          <w:szCs w:val="24"/>
        </w:rPr>
        <w:t xml:space="preserve"> = 7.8), 8.17 (s, 1H), 7.85-7.78 (m, 2H), 7.72-7.65 (m, 5H), 7.63-7.59 (m, 2H), 7.29 (d, 2H, </w:t>
      </w:r>
      <w:r w:rsidRPr="00DD6D83">
        <w:rPr>
          <w:rFonts w:ascii="Times New Roman" w:hAnsi="Times New Roman" w:cs="Times New Roman"/>
          <w:i/>
          <w:sz w:val="24"/>
          <w:szCs w:val="24"/>
        </w:rPr>
        <w:t>J</w:t>
      </w:r>
      <w:r w:rsidRPr="00060BDE">
        <w:rPr>
          <w:rFonts w:ascii="Times New Roman" w:hAnsi="Times New Roman" w:cs="Times New Roman"/>
          <w:sz w:val="24"/>
          <w:szCs w:val="24"/>
        </w:rPr>
        <w:t xml:space="preserve"> = 8.0), 7.21-7.15 (m, 2H), 5.50 (s, 2H), 5.18-5.09 (m, 1H), 4.45-4.38 (m, 2H), 4.08 (s, 2H), 3.96 (s, 4H), 3.51-3.45 (m, 2H), 2.41 (s, 3H). </w:t>
      </w:r>
      <w:r w:rsidRPr="00DD6D83">
        <w:rPr>
          <w:rFonts w:ascii="Times New Roman" w:hAnsi="Times New Roman" w:cs="Times New Roman"/>
          <w:sz w:val="24"/>
          <w:szCs w:val="24"/>
          <w:vertAlign w:val="superscript"/>
        </w:rPr>
        <w:t>13</w:t>
      </w:r>
      <w:r w:rsidRPr="00060BDE">
        <w:rPr>
          <w:rFonts w:ascii="Times New Roman" w:hAnsi="Times New Roman" w:cs="Times New Roman"/>
          <w:sz w:val="24"/>
          <w:szCs w:val="24"/>
        </w:rPr>
        <w:t>C NMR (101 MHz, CDCl</w:t>
      </w:r>
      <w:r w:rsidRPr="00DD6D83">
        <w:rPr>
          <w:rFonts w:ascii="Times New Roman" w:hAnsi="Times New Roman" w:cs="Times New Roman"/>
          <w:sz w:val="24"/>
          <w:szCs w:val="24"/>
          <w:vertAlign w:val="subscript"/>
        </w:rPr>
        <w:t>3</w:t>
      </w:r>
      <w:r w:rsidRPr="00060BDE">
        <w:rPr>
          <w:rFonts w:ascii="Times New Roman" w:hAnsi="Times New Roman" w:cs="Times New Roman"/>
          <w:sz w:val="24"/>
          <w:szCs w:val="24"/>
        </w:rPr>
        <w:t>) δ 163.4, 162.9, 159.1, 149.2, 145.0, 143.8, 143.2, 138.5, 136.9, 136.8, 132.5, 131.1, 130.1, 129.9, 129.0, 128.6, 127.1, 126.3, 125.8, 124.9, 123.6, 123.5, 123.3, 122.6, 122.4, 59.9, 50.3, 48.6, 42.7, 35.4, 21.6. IR: (</w:t>
      </w:r>
      <w:r w:rsidRPr="00DD6D83">
        <w:rPr>
          <w:rFonts w:ascii="Times New Roman" w:hAnsi="Times New Roman" w:cs="Times New Roman"/>
          <w:i/>
          <w:sz w:val="24"/>
          <w:szCs w:val="24"/>
        </w:rPr>
        <w:t>υ</w:t>
      </w:r>
      <w:r w:rsidRPr="00DD6D83">
        <w:rPr>
          <w:rFonts w:ascii="Times New Roman" w:hAnsi="Times New Roman" w:cs="Times New Roman"/>
          <w:sz w:val="24"/>
          <w:szCs w:val="24"/>
          <w:vertAlign w:val="subscript"/>
        </w:rPr>
        <w:t>max</w:t>
      </w:r>
      <w:r w:rsidRPr="00060BDE">
        <w:rPr>
          <w:rFonts w:ascii="Times New Roman" w:hAnsi="Times New Roman" w:cs="Times New Roman"/>
          <w:sz w:val="24"/>
          <w:szCs w:val="24"/>
        </w:rPr>
        <w:t>/cm</w:t>
      </w:r>
      <w:r w:rsidRPr="00DD6D83">
        <w:rPr>
          <w:rFonts w:ascii="Times New Roman" w:hAnsi="Times New Roman" w:cs="Times New Roman"/>
          <w:sz w:val="24"/>
          <w:szCs w:val="24"/>
          <w:vertAlign w:val="superscript"/>
        </w:rPr>
        <w:t>-1</w:t>
      </w:r>
      <w:r w:rsidRPr="00060BDE">
        <w:rPr>
          <w:rFonts w:ascii="Times New Roman" w:hAnsi="Times New Roman" w:cs="Times New Roman"/>
          <w:sz w:val="24"/>
          <w:szCs w:val="24"/>
        </w:rPr>
        <w:t>) 3073, 1704, 1662, 1589, 1432, 1329, 1233, 1157, 1041, 996, 786, 660. HR-NSI MS (m/z) [M+H]</w:t>
      </w:r>
      <w:r w:rsidRPr="00DD6D83">
        <w:rPr>
          <w:rFonts w:ascii="Times New Roman" w:hAnsi="Times New Roman" w:cs="Times New Roman"/>
          <w:sz w:val="24"/>
          <w:szCs w:val="24"/>
          <w:vertAlign w:val="superscript"/>
        </w:rPr>
        <w:t>+</w:t>
      </w:r>
      <w:r w:rsidRPr="00060BDE">
        <w:rPr>
          <w:rFonts w:ascii="Times New Roman" w:hAnsi="Times New Roman" w:cs="Times New Roman"/>
          <w:sz w:val="24"/>
          <w:szCs w:val="24"/>
        </w:rPr>
        <w:t xml:space="preserve"> calcd for C</w:t>
      </w:r>
      <w:r w:rsidRPr="00DD6D83">
        <w:rPr>
          <w:rFonts w:ascii="Times New Roman" w:hAnsi="Times New Roman" w:cs="Times New Roman"/>
          <w:sz w:val="24"/>
          <w:szCs w:val="24"/>
          <w:vertAlign w:val="subscript"/>
        </w:rPr>
        <w:t>39</w:t>
      </w:r>
      <w:r w:rsidRPr="00060BDE">
        <w:rPr>
          <w:rFonts w:ascii="Times New Roman" w:hAnsi="Times New Roman" w:cs="Times New Roman"/>
          <w:sz w:val="24"/>
          <w:szCs w:val="24"/>
        </w:rPr>
        <w:t>H</w:t>
      </w:r>
      <w:r w:rsidRPr="00DD6D83">
        <w:rPr>
          <w:rFonts w:ascii="Times New Roman" w:hAnsi="Times New Roman" w:cs="Times New Roman"/>
          <w:sz w:val="24"/>
          <w:szCs w:val="24"/>
          <w:vertAlign w:val="subscript"/>
        </w:rPr>
        <w:t>36</w:t>
      </w:r>
      <w:r w:rsidRPr="00060BDE">
        <w:rPr>
          <w:rFonts w:ascii="Times New Roman" w:hAnsi="Times New Roman" w:cs="Times New Roman"/>
          <w:sz w:val="24"/>
          <w:szCs w:val="24"/>
        </w:rPr>
        <w:t>N</w:t>
      </w:r>
      <w:r w:rsidRPr="00DD6D83">
        <w:rPr>
          <w:rFonts w:ascii="Times New Roman" w:hAnsi="Times New Roman" w:cs="Times New Roman"/>
          <w:sz w:val="24"/>
          <w:szCs w:val="24"/>
          <w:vertAlign w:val="subscript"/>
        </w:rPr>
        <w:t>11</w:t>
      </w:r>
      <w:r w:rsidRPr="00060BDE">
        <w:rPr>
          <w:rFonts w:ascii="Times New Roman" w:hAnsi="Times New Roman" w:cs="Times New Roman"/>
          <w:sz w:val="24"/>
          <w:szCs w:val="24"/>
        </w:rPr>
        <w:t>O</w:t>
      </w:r>
      <w:r w:rsidRPr="00DD6D83">
        <w:rPr>
          <w:rFonts w:ascii="Times New Roman" w:hAnsi="Times New Roman" w:cs="Times New Roman"/>
          <w:sz w:val="24"/>
          <w:szCs w:val="24"/>
          <w:vertAlign w:val="subscript"/>
        </w:rPr>
        <w:t>4</w:t>
      </w:r>
      <w:r w:rsidRPr="00060BDE">
        <w:rPr>
          <w:rFonts w:ascii="Times New Roman" w:hAnsi="Times New Roman" w:cs="Times New Roman"/>
          <w:sz w:val="24"/>
          <w:szCs w:val="24"/>
        </w:rPr>
        <w:t>S 754.2667, found 754.2662.</w:t>
      </w:r>
    </w:p>
    <w:p w14:paraId="3F553BA3" w14:textId="77777777" w:rsidR="00060BDE" w:rsidRPr="00060BDE" w:rsidRDefault="00060BDE" w:rsidP="00060BDE">
      <w:pPr>
        <w:spacing w:line="480" w:lineRule="auto"/>
        <w:jc w:val="both"/>
        <w:rPr>
          <w:rFonts w:ascii="Times New Roman" w:hAnsi="Times New Roman" w:cs="Times New Roman"/>
          <w:sz w:val="24"/>
          <w:szCs w:val="24"/>
        </w:rPr>
      </w:pPr>
      <w:r w:rsidRPr="00DD6D83">
        <w:rPr>
          <w:rFonts w:ascii="Times New Roman" w:hAnsi="Times New Roman" w:cs="Times New Roman"/>
          <w:b/>
          <w:sz w:val="24"/>
          <w:szCs w:val="24"/>
        </w:rPr>
        <w:lastRenderedPageBreak/>
        <w:t xml:space="preserve">(4-(1-((6-(4-((Bis(pyridin-2-ylmethyl)amino)methyl)-1H-1,2,3-triazol-1-yl)-1,3-dioxo-1H-benzo[de]isoquinolin-2(3H)-yl)methyl)-1H-1,2,3-triazol-4-yl)butyl)triphenylphosphonium tetrafluoroborate (8) </w:t>
      </w:r>
      <w:r w:rsidRPr="00060BDE">
        <w:rPr>
          <w:rFonts w:ascii="Times New Roman" w:hAnsi="Times New Roman" w:cs="Times New Roman"/>
          <w:sz w:val="24"/>
          <w:szCs w:val="24"/>
        </w:rPr>
        <w:t xml:space="preserve">(130 mg, 68%, M.p. 131-135°C). </w:t>
      </w:r>
      <w:r w:rsidRPr="00DD6D83">
        <w:rPr>
          <w:rFonts w:ascii="Times New Roman" w:hAnsi="Times New Roman" w:cs="Times New Roman"/>
          <w:sz w:val="24"/>
          <w:szCs w:val="24"/>
          <w:vertAlign w:val="superscript"/>
        </w:rPr>
        <w:t>1</w:t>
      </w:r>
      <w:r w:rsidRPr="00060BDE">
        <w:rPr>
          <w:rFonts w:ascii="Times New Roman" w:hAnsi="Times New Roman" w:cs="Times New Roman"/>
          <w:sz w:val="24"/>
          <w:szCs w:val="24"/>
        </w:rPr>
        <w:t>H NMR (400 MHz, CDCl</w:t>
      </w:r>
      <w:r w:rsidRPr="00DD6D83">
        <w:rPr>
          <w:rFonts w:ascii="Times New Roman" w:hAnsi="Times New Roman" w:cs="Times New Roman"/>
          <w:sz w:val="24"/>
          <w:szCs w:val="24"/>
          <w:vertAlign w:val="subscript"/>
        </w:rPr>
        <w:t>3</w:t>
      </w:r>
      <w:r w:rsidRPr="00060BDE">
        <w:rPr>
          <w:rFonts w:ascii="Times New Roman" w:hAnsi="Times New Roman" w:cs="Times New Roman"/>
          <w:sz w:val="24"/>
          <w:szCs w:val="24"/>
        </w:rPr>
        <w:t xml:space="preserve">) δ 8.58-8.50 (m, 2H), 8.47 (d, 2H,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4.3), 8.22 (s, 1H), 8.17 (d, 1H,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8.5), 7.78-7.74 (m, 2H), 7.72-7.57 (m, 20H), 7.15-7.07 (m, 2H), 5.34 (s, 2H), 4.34 (t, 2H,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6.3), 4.01 (s, 2H), 3.90 (s, 4H), 3.35-3.24 (m, 2H), 2.17-2.04 (m, 2H), 1.62-1.49 (m, 2H). </w:t>
      </w:r>
      <w:r w:rsidRPr="00DD6D83">
        <w:rPr>
          <w:rFonts w:ascii="Times New Roman" w:hAnsi="Times New Roman" w:cs="Times New Roman"/>
          <w:sz w:val="24"/>
          <w:szCs w:val="24"/>
          <w:vertAlign w:val="superscript"/>
        </w:rPr>
        <w:t>13</w:t>
      </w:r>
      <w:r w:rsidRPr="00060BDE">
        <w:rPr>
          <w:rFonts w:ascii="Times New Roman" w:hAnsi="Times New Roman" w:cs="Times New Roman"/>
          <w:sz w:val="24"/>
          <w:szCs w:val="24"/>
        </w:rPr>
        <w:t>C NMR (101 MHz, CDCl</w:t>
      </w:r>
      <w:r w:rsidRPr="00DD6D83">
        <w:rPr>
          <w:rFonts w:ascii="Times New Roman" w:hAnsi="Times New Roman" w:cs="Times New Roman"/>
          <w:sz w:val="24"/>
          <w:szCs w:val="24"/>
          <w:vertAlign w:val="subscript"/>
        </w:rPr>
        <w:t>3</w:t>
      </w:r>
      <w:r w:rsidRPr="00060BDE">
        <w:rPr>
          <w:rFonts w:ascii="Times New Roman" w:hAnsi="Times New Roman" w:cs="Times New Roman"/>
          <w:sz w:val="24"/>
          <w:szCs w:val="24"/>
        </w:rPr>
        <w:t xml:space="preserve">) δ 163.3, 162.7, 159.0, 149.0, 145.1, 143.3, 138.4, 136.7, 135.1 (d,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2.8), 133.4 (d,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10.0), 132.3, 131.0, 130.5 (d,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12.6), 129.9, 129.0, 128.4, 126.3, 125.8, 123.6, 123.5, 123.4, 123.3, 122.6, 122.2, 117.8 (d,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85.8), 59.8, 53.5, 48.6, 35.5, 29.9 (d,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17.3), 21.1 (d,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53.5), 19.2. </w:t>
      </w:r>
      <w:r w:rsidRPr="00DD6D83">
        <w:rPr>
          <w:rFonts w:ascii="Times New Roman" w:hAnsi="Times New Roman" w:cs="Times New Roman"/>
          <w:sz w:val="24"/>
          <w:szCs w:val="24"/>
          <w:vertAlign w:val="superscript"/>
        </w:rPr>
        <w:t>31</w:t>
      </w:r>
      <w:r w:rsidRPr="00060BDE">
        <w:rPr>
          <w:rFonts w:ascii="Times New Roman" w:hAnsi="Times New Roman" w:cs="Times New Roman"/>
          <w:sz w:val="24"/>
          <w:szCs w:val="24"/>
        </w:rPr>
        <w:t>P NMR (162 MHz, CDCl</w:t>
      </w:r>
      <w:r w:rsidRPr="00DD6D83">
        <w:rPr>
          <w:rFonts w:ascii="Times New Roman" w:hAnsi="Times New Roman" w:cs="Times New Roman"/>
          <w:sz w:val="24"/>
          <w:szCs w:val="24"/>
          <w:vertAlign w:val="subscript"/>
        </w:rPr>
        <w:t>3</w:t>
      </w:r>
      <w:r w:rsidRPr="00060BDE">
        <w:rPr>
          <w:rFonts w:ascii="Times New Roman" w:hAnsi="Times New Roman" w:cs="Times New Roman"/>
          <w:sz w:val="24"/>
          <w:szCs w:val="24"/>
        </w:rPr>
        <w:t xml:space="preserve">) δ 23.91. </w:t>
      </w:r>
      <w:r w:rsidRPr="00DD6D83">
        <w:rPr>
          <w:rFonts w:ascii="Times New Roman" w:hAnsi="Times New Roman" w:cs="Times New Roman"/>
          <w:sz w:val="24"/>
          <w:szCs w:val="24"/>
          <w:vertAlign w:val="superscript"/>
        </w:rPr>
        <w:t>19</w:t>
      </w:r>
      <w:r w:rsidRPr="00060BDE">
        <w:rPr>
          <w:rFonts w:ascii="Times New Roman" w:hAnsi="Times New Roman" w:cs="Times New Roman"/>
          <w:sz w:val="24"/>
          <w:szCs w:val="24"/>
        </w:rPr>
        <w:t>F NMR (377 MHz, CDCl</w:t>
      </w:r>
      <w:r w:rsidRPr="00DD6D83">
        <w:rPr>
          <w:rFonts w:ascii="Times New Roman" w:hAnsi="Times New Roman" w:cs="Times New Roman"/>
          <w:sz w:val="24"/>
          <w:szCs w:val="24"/>
          <w:vertAlign w:val="subscript"/>
        </w:rPr>
        <w:t>3</w:t>
      </w:r>
      <w:r w:rsidRPr="00060BDE">
        <w:rPr>
          <w:rFonts w:ascii="Times New Roman" w:hAnsi="Times New Roman" w:cs="Times New Roman"/>
          <w:sz w:val="24"/>
          <w:szCs w:val="24"/>
        </w:rPr>
        <w:t>) δ −151.75. IR: (</w:t>
      </w:r>
      <w:r w:rsidRPr="007230FF">
        <w:rPr>
          <w:rFonts w:ascii="Times New Roman" w:hAnsi="Times New Roman" w:cs="Times New Roman"/>
          <w:i/>
          <w:sz w:val="24"/>
          <w:szCs w:val="24"/>
        </w:rPr>
        <w:t>υ</w:t>
      </w:r>
      <w:r w:rsidRPr="00DD6D83">
        <w:rPr>
          <w:rFonts w:ascii="Times New Roman" w:hAnsi="Times New Roman" w:cs="Times New Roman"/>
          <w:sz w:val="24"/>
          <w:szCs w:val="24"/>
          <w:vertAlign w:val="subscript"/>
        </w:rPr>
        <w:t>max</w:t>
      </w:r>
      <w:r w:rsidRPr="00060BDE">
        <w:rPr>
          <w:rFonts w:ascii="Times New Roman" w:hAnsi="Times New Roman" w:cs="Times New Roman"/>
          <w:sz w:val="24"/>
          <w:szCs w:val="24"/>
        </w:rPr>
        <w:t>/cm</w:t>
      </w:r>
      <w:r w:rsidRPr="00DD6D83">
        <w:rPr>
          <w:rFonts w:ascii="Times New Roman" w:hAnsi="Times New Roman" w:cs="Times New Roman"/>
          <w:sz w:val="24"/>
          <w:szCs w:val="24"/>
          <w:vertAlign w:val="superscript"/>
        </w:rPr>
        <w:t>-1</w:t>
      </w:r>
      <w:r w:rsidRPr="00060BDE">
        <w:rPr>
          <w:rFonts w:ascii="Times New Roman" w:hAnsi="Times New Roman" w:cs="Times New Roman"/>
          <w:sz w:val="24"/>
          <w:szCs w:val="24"/>
        </w:rPr>
        <w:t>) 3067, 1738, 1585, 1436, 1366, 1232, 1112, 1037, 785, 689. HR-NSI MS (m/z) [M - BF</w:t>
      </w:r>
      <w:r w:rsidRPr="00DD6D83">
        <w:rPr>
          <w:rFonts w:ascii="Times New Roman" w:hAnsi="Times New Roman" w:cs="Times New Roman"/>
          <w:sz w:val="24"/>
          <w:szCs w:val="24"/>
          <w:vertAlign w:val="subscript"/>
        </w:rPr>
        <w:t>4</w:t>
      </w:r>
      <w:r w:rsidRPr="00060BDE">
        <w:rPr>
          <w:rFonts w:ascii="Times New Roman" w:hAnsi="Times New Roman" w:cs="Times New Roman"/>
          <w:sz w:val="24"/>
          <w:szCs w:val="24"/>
        </w:rPr>
        <w:t>]</w:t>
      </w:r>
      <w:r w:rsidRPr="00DD6D83">
        <w:rPr>
          <w:rFonts w:ascii="Times New Roman" w:hAnsi="Times New Roman" w:cs="Times New Roman"/>
          <w:sz w:val="24"/>
          <w:szCs w:val="24"/>
          <w:vertAlign w:val="superscript"/>
        </w:rPr>
        <w:t>+</w:t>
      </w:r>
      <w:r w:rsidRPr="00060BDE">
        <w:rPr>
          <w:rFonts w:ascii="Times New Roman" w:hAnsi="Times New Roman" w:cs="Times New Roman"/>
          <w:sz w:val="24"/>
          <w:szCs w:val="24"/>
        </w:rPr>
        <w:t xml:space="preserve"> calcd for C</w:t>
      </w:r>
      <w:r w:rsidRPr="00DD6D83">
        <w:rPr>
          <w:rFonts w:ascii="Times New Roman" w:hAnsi="Times New Roman" w:cs="Times New Roman"/>
          <w:sz w:val="24"/>
          <w:szCs w:val="24"/>
          <w:vertAlign w:val="subscript"/>
        </w:rPr>
        <w:t>52</w:t>
      </w:r>
      <w:r w:rsidRPr="00060BDE">
        <w:rPr>
          <w:rFonts w:ascii="Times New Roman" w:hAnsi="Times New Roman" w:cs="Times New Roman"/>
          <w:sz w:val="24"/>
          <w:szCs w:val="24"/>
        </w:rPr>
        <w:t>H</w:t>
      </w:r>
      <w:r w:rsidRPr="00DD6D83">
        <w:rPr>
          <w:rFonts w:ascii="Times New Roman" w:hAnsi="Times New Roman" w:cs="Times New Roman"/>
          <w:sz w:val="24"/>
          <w:szCs w:val="24"/>
          <w:vertAlign w:val="subscript"/>
        </w:rPr>
        <w:t>46</w:t>
      </w:r>
      <w:r w:rsidRPr="00060BDE">
        <w:rPr>
          <w:rFonts w:ascii="Times New Roman" w:hAnsi="Times New Roman" w:cs="Times New Roman"/>
          <w:sz w:val="24"/>
          <w:szCs w:val="24"/>
        </w:rPr>
        <w:t>N</w:t>
      </w:r>
      <w:r w:rsidRPr="00DD6D83">
        <w:rPr>
          <w:rFonts w:ascii="Times New Roman" w:hAnsi="Times New Roman" w:cs="Times New Roman"/>
          <w:sz w:val="24"/>
          <w:szCs w:val="24"/>
          <w:vertAlign w:val="subscript"/>
        </w:rPr>
        <w:t>10</w:t>
      </w:r>
      <w:r w:rsidRPr="00060BDE">
        <w:rPr>
          <w:rFonts w:ascii="Times New Roman" w:hAnsi="Times New Roman" w:cs="Times New Roman"/>
          <w:sz w:val="24"/>
          <w:szCs w:val="24"/>
        </w:rPr>
        <w:t>O</w:t>
      </w:r>
      <w:r w:rsidRPr="00DD6D83">
        <w:rPr>
          <w:rFonts w:ascii="Times New Roman" w:hAnsi="Times New Roman" w:cs="Times New Roman"/>
          <w:sz w:val="24"/>
          <w:szCs w:val="24"/>
          <w:vertAlign w:val="subscript"/>
        </w:rPr>
        <w:t>2</w:t>
      </w:r>
      <w:r w:rsidRPr="00060BDE">
        <w:rPr>
          <w:rFonts w:ascii="Times New Roman" w:hAnsi="Times New Roman" w:cs="Times New Roman"/>
          <w:sz w:val="24"/>
          <w:szCs w:val="24"/>
        </w:rPr>
        <w:t xml:space="preserve">P 873.3537, found 873.3544. </w:t>
      </w:r>
    </w:p>
    <w:p w14:paraId="43DDB90D" w14:textId="77777777" w:rsidR="00060BDE" w:rsidRPr="00060BDE" w:rsidRDefault="00060BDE" w:rsidP="00060BDE">
      <w:pPr>
        <w:spacing w:line="480" w:lineRule="auto"/>
        <w:jc w:val="both"/>
        <w:rPr>
          <w:rFonts w:ascii="Times New Roman" w:hAnsi="Times New Roman" w:cs="Times New Roman"/>
          <w:sz w:val="24"/>
          <w:szCs w:val="24"/>
        </w:rPr>
      </w:pPr>
      <w:r w:rsidRPr="007230FF">
        <w:rPr>
          <w:rFonts w:ascii="Times New Roman" w:hAnsi="Times New Roman" w:cs="Times New Roman"/>
          <w:b/>
          <w:sz w:val="24"/>
          <w:szCs w:val="24"/>
        </w:rPr>
        <w:t xml:space="preserve"> 2-(1-((6-(4-((bis(Pyridin-2-ylmethyl)amino)methyl)-1H-1,2,3-triazol-1-yl)-1,3-dioxo-1H-benzo[de]isoquinolin-2(3H)-yl)methyl)-1H-1,2,3-triazol-4-yl)-N-(2-(dimethylamino)ethyl)acetamide (9)</w:t>
      </w:r>
      <w:r w:rsidRPr="00060BDE">
        <w:rPr>
          <w:rFonts w:ascii="Times New Roman" w:hAnsi="Times New Roman" w:cs="Times New Roman"/>
          <w:sz w:val="24"/>
          <w:szCs w:val="24"/>
        </w:rPr>
        <w:t xml:space="preserve"> (92.4 mg, 90%, M.p. 113-117 °C). </w:t>
      </w:r>
      <w:r w:rsidRPr="00DD6D83">
        <w:rPr>
          <w:rFonts w:ascii="Times New Roman" w:hAnsi="Times New Roman" w:cs="Times New Roman"/>
          <w:sz w:val="24"/>
          <w:szCs w:val="24"/>
          <w:vertAlign w:val="superscript"/>
        </w:rPr>
        <w:t>1</w:t>
      </w:r>
      <w:r w:rsidRPr="00060BDE">
        <w:rPr>
          <w:rFonts w:ascii="Times New Roman" w:hAnsi="Times New Roman" w:cs="Times New Roman"/>
          <w:sz w:val="24"/>
          <w:szCs w:val="24"/>
        </w:rPr>
        <w:t>H NMR (400 MHz, CDCl</w:t>
      </w:r>
      <w:r w:rsidRPr="007230FF">
        <w:rPr>
          <w:rFonts w:ascii="Times New Roman" w:hAnsi="Times New Roman" w:cs="Times New Roman"/>
          <w:sz w:val="24"/>
          <w:szCs w:val="24"/>
          <w:vertAlign w:val="subscript"/>
        </w:rPr>
        <w:t>3</w:t>
      </w:r>
      <w:r w:rsidRPr="00060BDE">
        <w:rPr>
          <w:rFonts w:ascii="Times New Roman" w:hAnsi="Times New Roman" w:cs="Times New Roman"/>
          <w:sz w:val="24"/>
          <w:szCs w:val="24"/>
        </w:rPr>
        <w:t xml:space="preserve">) δ 8.71-7.64 (m, 2H), 8.53 (d, 2H,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4.7), 8.26 (d, 1H,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8.6), 8.17 (s, 1H), 7.86 (s, 1H), 7.83-7.76 (m, 2H), 7.70-7.63 (m, 2H), 7.59 (d, 2H,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7.8), 7.18-7.12 (m, 2H), 6.70-6.58 (bs, 1H), 5.52 (s, 2H), 5.00 (s, 2H), 4.06 (s, 2H), 3.94 (s, 4H), 3.32-3.23 (m, 2H), 2.34 (t, 2H,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6.1), 2.13 (s, 6H). </w:t>
      </w:r>
      <w:r w:rsidRPr="00DD6D83">
        <w:rPr>
          <w:rFonts w:ascii="Times New Roman" w:hAnsi="Times New Roman" w:cs="Times New Roman"/>
          <w:sz w:val="24"/>
          <w:szCs w:val="24"/>
          <w:vertAlign w:val="superscript"/>
        </w:rPr>
        <w:t>13</w:t>
      </w:r>
      <w:r w:rsidRPr="00060BDE">
        <w:rPr>
          <w:rFonts w:ascii="Times New Roman" w:hAnsi="Times New Roman" w:cs="Times New Roman"/>
          <w:sz w:val="24"/>
          <w:szCs w:val="24"/>
        </w:rPr>
        <w:t>C NMR (101 MHz, CDCl</w:t>
      </w:r>
      <w:r w:rsidRPr="007230FF">
        <w:rPr>
          <w:rFonts w:ascii="Times New Roman" w:hAnsi="Times New Roman" w:cs="Times New Roman"/>
          <w:sz w:val="24"/>
          <w:szCs w:val="24"/>
          <w:vertAlign w:val="subscript"/>
        </w:rPr>
        <w:t>3</w:t>
      </w:r>
      <w:r w:rsidRPr="00060BDE">
        <w:rPr>
          <w:rFonts w:ascii="Times New Roman" w:hAnsi="Times New Roman" w:cs="Times New Roman"/>
          <w:sz w:val="24"/>
          <w:szCs w:val="24"/>
        </w:rPr>
        <w:t>) δ 165.1, 163.3, 162.8, 159.0, 149.2, 145.0, 143.6, 138.5, 136.6, 132.4, 131.0, 130.0, 129.1, 128.5, 126.3, 125.7, 125.1, 123.4 (overlapping signals), 122.6, 122.2, 59.8, 57.4, 52.9, 48.5, 45.0, 37.2, 35.4. IR: (υ</w:t>
      </w:r>
      <w:r w:rsidRPr="007230FF">
        <w:rPr>
          <w:rFonts w:ascii="Times New Roman" w:hAnsi="Times New Roman" w:cs="Times New Roman"/>
          <w:sz w:val="24"/>
          <w:szCs w:val="24"/>
          <w:vertAlign w:val="subscript"/>
        </w:rPr>
        <w:t>max</w:t>
      </w:r>
      <w:r w:rsidRPr="00060BDE">
        <w:rPr>
          <w:rFonts w:ascii="Times New Roman" w:hAnsi="Times New Roman" w:cs="Times New Roman"/>
          <w:sz w:val="24"/>
          <w:szCs w:val="24"/>
        </w:rPr>
        <w:t>/cm</w:t>
      </w:r>
      <w:r w:rsidRPr="00DD6D83">
        <w:rPr>
          <w:rFonts w:ascii="Times New Roman" w:hAnsi="Times New Roman" w:cs="Times New Roman"/>
          <w:sz w:val="24"/>
          <w:szCs w:val="24"/>
          <w:vertAlign w:val="superscript"/>
        </w:rPr>
        <w:t>-1</w:t>
      </w:r>
      <w:r w:rsidRPr="00060BDE">
        <w:rPr>
          <w:rFonts w:ascii="Times New Roman" w:hAnsi="Times New Roman" w:cs="Times New Roman"/>
          <w:sz w:val="24"/>
          <w:szCs w:val="24"/>
        </w:rPr>
        <w:t>) 3128, 1610, 1551, 1473, 1428, 1366, 1231, 1038, 810, 782. HR-NSI MS (m/z) [M+H]</w:t>
      </w:r>
      <w:r w:rsidRPr="00DD6D83">
        <w:rPr>
          <w:rFonts w:ascii="Times New Roman" w:hAnsi="Times New Roman" w:cs="Times New Roman"/>
          <w:sz w:val="24"/>
          <w:szCs w:val="24"/>
          <w:vertAlign w:val="superscript"/>
        </w:rPr>
        <w:t>+</w:t>
      </w:r>
      <w:r w:rsidRPr="00060BDE">
        <w:rPr>
          <w:rFonts w:ascii="Times New Roman" w:hAnsi="Times New Roman" w:cs="Times New Roman"/>
          <w:sz w:val="24"/>
          <w:szCs w:val="24"/>
        </w:rPr>
        <w:t xml:space="preserve"> calcd for C</w:t>
      </w:r>
      <w:r w:rsidRPr="007230FF">
        <w:rPr>
          <w:rFonts w:ascii="Times New Roman" w:hAnsi="Times New Roman" w:cs="Times New Roman"/>
          <w:sz w:val="24"/>
          <w:szCs w:val="24"/>
          <w:vertAlign w:val="subscript"/>
        </w:rPr>
        <w:t>36</w:t>
      </w:r>
      <w:r w:rsidRPr="00060BDE">
        <w:rPr>
          <w:rFonts w:ascii="Times New Roman" w:hAnsi="Times New Roman" w:cs="Times New Roman"/>
          <w:sz w:val="24"/>
          <w:szCs w:val="24"/>
        </w:rPr>
        <w:t>H</w:t>
      </w:r>
      <w:r w:rsidRPr="007230FF">
        <w:rPr>
          <w:rFonts w:ascii="Times New Roman" w:hAnsi="Times New Roman" w:cs="Times New Roman"/>
          <w:sz w:val="24"/>
          <w:szCs w:val="24"/>
          <w:vertAlign w:val="subscript"/>
        </w:rPr>
        <w:t>37</w:t>
      </w:r>
      <w:r w:rsidRPr="00060BDE">
        <w:rPr>
          <w:rFonts w:ascii="Times New Roman" w:hAnsi="Times New Roman" w:cs="Times New Roman"/>
          <w:sz w:val="24"/>
          <w:szCs w:val="24"/>
        </w:rPr>
        <w:t>N</w:t>
      </w:r>
      <w:r w:rsidRPr="007230FF">
        <w:rPr>
          <w:rFonts w:ascii="Times New Roman" w:hAnsi="Times New Roman" w:cs="Times New Roman"/>
          <w:sz w:val="24"/>
          <w:szCs w:val="24"/>
          <w:vertAlign w:val="subscript"/>
        </w:rPr>
        <w:t>12</w:t>
      </w:r>
      <w:r w:rsidRPr="00060BDE">
        <w:rPr>
          <w:rFonts w:ascii="Times New Roman" w:hAnsi="Times New Roman" w:cs="Times New Roman"/>
          <w:sz w:val="24"/>
          <w:szCs w:val="24"/>
        </w:rPr>
        <w:t>O</w:t>
      </w:r>
      <w:r w:rsidRPr="007230FF">
        <w:rPr>
          <w:rFonts w:ascii="Times New Roman" w:hAnsi="Times New Roman" w:cs="Times New Roman"/>
          <w:sz w:val="24"/>
          <w:szCs w:val="24"/>
          <w:vertAlign w:val="subscript"/>
        </w:rPr>
        <w:t>3</w:t>
      </w:r>
      <w:r w:rsidRPr="00060BDE">
        <w:rPr>
          <w:rFonts w:ascii="Times New Roman" w:hAnsi="Times New Roman" w:cs="Times New Roman"/>
          <w:sz w:val="24"/>
          <w:szCs w:val="24"/>
        </w:rPr>
        <w:t xml:space="preserve"> 685.3106, found 685.3104.</w:t>
      </w:r>
    </w:p>
    <w:p w14:paraId="2C110396" w14:textId="77777777" w:rsidR="00060BDE" w:rsidRPr="00060BDE" w:rsidRDefault="00060BDE" w:rsidP="00060BDE">
      <w:pPr>
        <w:spacing w:line="480" w:lineRule="auto"/>
        <w:jc w:val="both"/>
        <w:rPr>
          <w:rFonts w:ascii="Times New Roman" w:hAnsi="Times New Roman" w:cs="Times New Roman"/>
          <w:sz w:val="24"/>
          <w:szCs w:val="24"/>
        </w:rPr>
      </w:pPr>
      <w:r w:rsidRPr="007230FF">
        <w:rPr>
          <w:rFonts w:ascii="Times New Roman" w:hAnsi="Times New Roman" w:cs="Times New Roman"/>
          <w:b/>
          <w:sz w:val="24"/>
          <w:szCs w:val="24"/>
        </w:rPr>
        <w:t>6-(4-((bis(Pyridin-2-ylmethyl)amino)methyl)-1H-1,2,3-triazol-1-yl)-2-ethyl-1H-benzo[de]isoquinoline-1,3(2H)-dione (10)</w:t>
      </w:r>
      <w:r w:rsidRPr="00060BDE">
        <w:rPr>
          <w:rFonts w:ascii="Times New Roman" w:hAnsi="Times New Roman" w:cs="Times New Roman"/>
          <w:sz w:val="24"/>
          <w:szCs w:val="24"/>
        </w:rPr>
        <w:t xml:space="preserve"> Under a nitrogen atmosphere, 4-azido-N-ethyl-</w:t>
      </w:r>
      <w:r w:rsidRPr="00060BDE">
        <w:rPr>
          <w:rFonts w:ascii="Times New Roman" w:hAnsi="Times New Roman" w:cs="Times New Roman"/>
          <w:sz w:val="24"/>
          <w:szCs w:val="24"/>
        </w:rPr>
        <w:lastRenderedPageBreak/>
        <w:t xml:space="preserve">1,8-naphthalimide </w:t>
      </w:r>
      <w:r w:rsidRPr="007230FF">
        <w:rPr>
          <w:rFonts w:ascii="Times New Roman" w:hAnsi="Times New Roman" w:cs="Times New Roman"/>
          <w:b/>
          <w:sz w:val="24"/>
          <w:szCs w:val="24"/>
        </w:rPr>
        <w:t>S5</w:t>
      </w:r>
      <w:r w:rsidRPr="00060BDE">
        <w:rPr>
          <w:rFonts w:ascii="Times New Roman" w:hAnsi="Times New Roman" w:cs="Times New Roman"/>
          <w:sz w:val="24"/>
          <w:szCs w:val="24"/>
        </w:rPr>
        <w:t xml:space="preserve"> (0.160 g, 0.62 mmol) and alkyne </w:t>
      </w:r>
      <w:r w:rsidRPr="007230FF">
        <w:rPr>
          <w:rFonts w:ascii="Times New Roman" w:hAnsi="Times New Roman" w:cs="Times New Roman"/>
          <w:b/>
          <w:sz w:val="24"/>
          <w:szCs w:val="24"/>
        </w:rPr>
        <w:t>2</w:t>
      </w:r>
      <w:r w:rsidRPr="00060BDE">
        <w:rPr>
          <w:rFonts w:ascii="Times New Roman" w:hAnsi="Times New Roman" w:cs="Times New Roman"/>
          <w:sz w:val="24"/>
          <w:szCs w:val="24"/>
        </w:rPr>
        <w:t xml:space="preserve"> (0.150 g, 0.62 mmol) were dissolved in a mixture of NMP (6.2 mL) and EtOH (6.2 mL). To this mixture tetrakis(acetonitrile)copper(I) hexafluorophosphate (45.0 mg, 0.12 mmol) was added and stirred at room temperature for 24 hours. After the reaction was complete, saturated EDTA in 17% NH</w:t>
      </w:r>
      <w:r w:rsidRPr="007230FF">
        <w:rPr>
          <w:rFonts w:ascii="Times New Roman" w:hAnsi="Times New Roman" w:cs="Times New Roman"/>
          <w:sz w:val="24"/>
          <w:szCs w:val="24"/>
          <w:vertAlign w:val="subscript"/>
        </w:rPr>
        <w:t>3</w:t>
      </w:r>
      <w:r w:rsidRPr="00060BDE">
        <w:rPr>
          <w:rFonts w:ascii="Times New Roman" w:hAnsi="Times New Roman" w:cs="Times New Roman"/>
          <w:sz w:val="24"/>
          <w:szCs w:val="24"/>
        </w:rPr>
        <w:t>·H</w:t>
      </w:r>
      <w:r w:rsidRPr="007230FF">
        <w:rPr>
          <w:rFonts w:ascii="Times New Roman" w:hAnsi="Times New Roman" w:cs="Times New Roman"/>
          <w:sz w:val="24"/>
          <w:szCs w:val="24"/>
          <w:vertAlign w:val="subscript"/>
        </w:rPr>
        <w:t>2</w:t>
      </w:r>
      <w:r w:rsidRPr="00060BDE">
        <w:rPr>
          <w:rFonts w:ascii="Times New Roman" w:hAnsi="Times New Roman" w:cs="Times New Roman"/>
          <w:sz w:val="24"/>
          <w:szCs w:val="24"/>
        </w:rPr>
        <w:t xml:space="preserve">O (20.0 mL) was poured into the mixture and the precipitate that formed was collected by filtration, then washed with water (30.0 mL). This crude product was purified by flash chromatography (eluent: DCM/MeOH 20:1) to give </w:t>
      </w:r>
      <w:r w:rsidRPr="007230FF">
        <w:rPr>
          <w:rFonts w:ascii="Times New Roman" w:hAnsi="Times New Roman" w:cs="Times New Roman"/>
          <w:b/>
          <w:sz w:val="24"/>
          <w:szCs w:val="24"/>
        </w:rPr>
        <w:t>10</w:t>
      </w:r>
      <w:r w:rsidRPr="00060BDE">
        <w:rPr>
          <w:rFonts w:ascii="Times New Roman" w:hAnsi="Times New Roman" w:cs="Times New Roman"/>
          <w:sz w:val="24"/>
          <w:szCs w:val="24"/>
        </w:rPr>
        <w:t xml:space="preserve"> (0.290 g, 93%, M.p. 93-97 °C) as a brown solid. </w:t>
      </w:r>
      <w:r w:rsidRPr="007230FF">
        <w:rPr>
          <w:rFonts w:ascii="Times New Roman" w:hAnsi="Times New Roman" w:cs="Times New Roman"/>
          <w:sz w:val="24"/>
          <w:szCs w:val="24"/>
          <w:vertAlign w:val="superscript"/>
        </w:rPr>
        <w:t>1</w:t>
      </w:r>
      <w:r w:rsidRPr="00060BDE">
        <w:rPr>
          <w:rFonts w:ascii="Times New Roman" w:hAnsi="Times New Roman" w:cs="Times New Roman"/>
          <w:sz w:val="24"/>
          <w:szCs w:val="24"/>
        </w:rPr>
        <w:t>H NMR (400 MHz, CDCl</w:t>
      </w:r>
      <w:r w:rsidRPr="007230FF">
        <w:rPr>
          <w:rFonts w:ascii="Times New Roman" w:hAnsi="Times New Roman" w:cs="Times New Roman"/>
          <w:sz w:val="24"/>
          <w:szCs w:val="24"/>
          <w:vertAlign w:val="subscript"/>
        </w:rPr>
        <w:t>3</w:t>
      </w:r>
      <w:r w:rsidRPr="00060BDE">
        <w:rPr>
          <w:rFonts w:ascii="Times New Roman" w:hAnsi="Times New Roman" w:cs="Times New Roman"/>
          <w:sz w:val="24"/>
          <w:szCs w:val="24"/>
        </w:rPr>
        <w:t xml:space="preserve">) δ 8.67-8.60 (m, 2H), 8.48 (dd, 2H,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4.9, 0.8), 8.19 (dd, 1H,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8.6, 1.0), 8.11 (s, 1H), 7.78-7.71 (m, 2H), 7.65-7.58 (m, 2H), 7.54 (d, 2H,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7.8), 7.13-7.07 (m, 2H), 4.20 (q, 2H,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7.1), 4.01 (s, 2H), 3.89 (s, 4H), 1.29 (t, 3H, </w:t>
      </w:r>
      <w:r w:rsidRPr="007230FF">
        <w:rPr>
          <w:rFonts w:ascii="Times New Roman" w:hAnsi="Times New Roman" w:cs="Times New Roman"/>
          <w:i/>
          <w:sz w:val="24"/>
          <w:szCs w:val="24"/>
        </w:rPr>
        <w:t>J</w:t>
      </w:r>
      <w:r w:rsidRPr="00060BDE">
        <w:rPr>
          <w:rFonts w:ascii="Times New Roman" w:hAnsi="Times New Roman" w:cs="Times New Roman"/>
          <w:sz w:val="24"/>
          <w:szCs w:val="24"/>
        </w:rPr>
        <w:t xml:space="preserve"> = 7.1). </w:t>
      </w:r>
      <w:r w:rsidRPr="007230FF">
        <w:rPr>
          <w:rFonts w:ascii="Times New Roman" w:hAnsi="Times New Roman" w:cs="Times New Roman"/>
          <w:sz w:val="24"/>
          <w:szCs w:val="24"/>
          <w:vertAlign w:val="superscript"/>
        </w:rPr>
        <w:t>13</w:t>
      </w:r>
      <w:r w:rsidRPr="00060BDE">
        <w:rPr>
          <w:rFonts w:ascii="Times New Roman" w:hAnsi="Times New Roman" w:cs="Times New Roman"/>
          <w:sz w:val="24"/>
          <w:szCs w:val="24"/>
        </w:rPr>
        <w:t>C NMR (101 MHz, CDCl</w:t>
      </w:r>
      <w:r w:rsidRPr="007230FF">
        <w:rPr>
          <w:rFonts w:ascii="Times New Roman" w:hAnsi="Times New Roman" w:cs="Times New Roman"/>
          <w:sz w:val="24"/>
          <w:szCs w:val="24"/>
          <w:vertAlign w:val="subscript"/>
        </w:rPr>
        <w:t>3</w:t>
      </w:r>
      <w:r w:rsidRPr="00060BDE">
        <w:rPr>
          <w:rFonts w:ascii="Times New Roman" w:hAnsi="Times New Roman" w:cs="Times New Roman"/>
          <w:sz w:val="24"/>
          <w:szCs w:val="24"/>
        </w:rPr>
        <w:t>) δ 163.4, 162.9, 158.9, 149.1, 144.9, 138.2, 136.6, 132.0, 130.6, 129.5, 128.9, 128.5, 126.3, 125.7, 125.5, 123.7, 123.4, 122.9, 122.2, 59.8, 48.4, 35.7, 13.3. IR: (υ</w:t>
      </w:r>
      <w:r w:rsidRPr="007230FF">
        <w:rPr>
          <w:rFonts w:ascii="Times New Roman" w:hAnsi="Times New Roman" w:cs="Times New Roman"/>
          <w:sz w:val="24"/>
          <w:szCs w:val="24"/>
          <w:vertAlign w:val="subscript"/>
        </w:rPr>
        <w:t>max</w:t>
      </w:r>
      <w:r w:rsidRPr="00060BDE">
        <w:rPr>
          <w:rFonts w:ascii="Times New Roman" w:hAnsi="Times New Roman" w:cs="Times New Roman"/>
          <w:sz w:val="24"/>
          <w:szCs w:val="24"/>
        </w:rPr>
        <w:t>/cm</w:t>
      </w:r>
      <w:r w:rsidRPr="007230FF">
        <w:rPr>
          <w:rFonts w:ascii="Times New Roman" w:hAnsi="Times New Roman" w:cs="Times New Roman"/>
          <w:sz w:val="24"/>
          <w:szCs w:val="24"/>
          <w:vertAlign w:val="superscript"/>
        </w:rPr>
        <w:t>-1</w:t>
      </w:r>
      <w:r w:rsidRPr="00060BDE">
        <w:rPr>
          <w:rFonts w:ascii="Times New Roman" w:hAnsi="Times New Roman" w:cs="Times New Roman"/>
          <w:sz w:val="24"/>
          <w:szCs w:val="24"/>
        </w:rPr>
        <w:t>) 3196, 1703, 1611, 1551, 1473, 1427, 1365, 1230, 1119, 1037, 950, 726. HR-NSI MS (m/z) [M+H]</w:t>
      </w:r>
      <w:r w:rsidRPr="007230FF">
        <w:rPr>
          <w:rFonts w:ascii="Times New Roman" w:hAnsi="Times New Roman" w:cs="Times New Roman"/>
          <w:sz w:val="24"/>
          <w:szCs w:val="24"/>
          <w:vertAlign w:val="superscript"/>
        </w:rPr>
        <w:t>+</w:t>
      </w:r>
      <w:r w:rsidRPr="00060BDE">
        <w:rPr>
          <w:rFonts w:ascii="Times New Roman" w:hAnsi="Times New Roman" w:cs="Times New Roman"/>
          <w:sz w:val="24"/>
          <w:szCs w:val="24"/>
        </w:rPr>
        <w:t xml:space="preserve"> calcd for C</w:t>
      </w:r>
      <w:r w:rsidRPr="007230FF">
        <w:rPr>
          <w:rFonts w:ascii="Times New Roman" w:hAnsi="Times New Roman" w:cs="Times New Roman"/>
          <w:sz w:val="24"/>
          <w:szCs w:val="24"/>
          <w:vertAlign w:val="subscript"/>
        </w:rPr>
        <w:t>29</w:t>
      </w:r>
      <w:r w:rsidRPr="00060BDE">
        <w:rPr>
          <w:rFonts w:ascii="Times New Roman" w:hAnsi="Times New Roman" w:cs="Times New Roman"/>
          <w:sz w:val="24"/>
          <w:szCs w:val="24"/>
        </w:rPr>
        <w:t>H</w:t>
      </w:r>
      <w:r w:rsidRPr="007230FF">
        <w:rPr>
          <w:rFonts w:ascii="Times New Roman" w:hAnsi="Times New Roman" w:cs="Times New Roman"/>
          <w:sz w:val="24"/>
          <w:szCs w:val="24"/>
          <w:vertAlign w:val="subscript"/>
        </w:rPr>
        <w:t>26</w:t>
      </w:r>
      <w:r w:rsidRPr="00060BDE">
        <w:rPr>
          <w:rFonts w:ascii="Times New Roman" w:hAnsi="Times New Roman" w:cs="Times New Roman"/>
          <w:sz w:val="24"/>
          <w:szCs w:val="24"/>
        </w:rPr>
        <w:t>N</w:t>
      </w:r>
      <w:r w:rsidRPr="007230FF">
        <w:rPr>
          <w:rFonts w:ascii="Times New Roman" w:hAnsi="Times New Roman" w:cs="Times New Roman"/>
          <w:sz w:val="24"/>
          <w:szCs w:val="24"/>
          <w:vertAlign w:val="subscript"/>
        </w:rPr>
        <w:t>7</w:t>
      </w:r>
      <w:r w:rsidRPr="00060BDE">
        <w:rPr>
          <w:rFonts w:ascii="Times New Roman" w:hAnsi="Times New Roman" w:cs="Times New Roman"/>
          <w:sz w:val="24"/>
          <w:szCs w:val="24"/>
        </w:rPr>
        <w:t>O</w:t>
      </w:r>
      <w:r w:rsidRPr="007230FF">
        <w:rPr>
          <w:rFonts w:ascii="Times New Roman" w:hAnsi="Times New Roman" w:cs="Times New Roman"/>
          <w:sz w:val="24"/>
          <w:szCs w:val="24"/>
          <w:vertAlign w:val="subscript"/>
        </w:rPr>
        <w:t>2</w:t>
      </w:r>
      <w:r w:rsidRPr="00060BDE">
        <w:rPr>
          <w:rFonts w:ascii="Times New Roman" w:hAnsi="Times New Roman" w:cs="Times New Roman"/>
          <w:sz w:val="24"/>
          <w:szCs w:val="24"/>
        </w:rPr>
        <w:t xml:space="preserve"> 504.2142, found 504.2134.   </w:t>
      </w:r>
    </w:p>
    <w:p w14:paraId="58C5180E" w14:textId="77777777" w:rsidR="007230FF" w:rsidRDefault="007230FF" w:rsidP="00060BDE">
      <w:pPr>
        <w:spacing w:line="480" w:lineRule="auto"/>
        <w:jc w:val="both"/>
        <w:rPr>
          <w:rFonts w:ascii="Times New Roman" w:hAnsi="Times New Roman" w:cs="Times New Roman"/>
          <w:b/>
          <w:sz w:val="24"/>
          <w:szCs w:val="24"/>
        </w:rPr>
      </w:pPr>
    </w:p>
    <w:p w14:paraId="23C35F7F" w14:textId="6C7ED52D" w:rsidR="00060BDE" w:rsidRPr="007230FF" w:rsidRDefault="00060BDE" w:rsidP="00060BDE">
      <w:pPr>
        <w:spacing w:line="480" w:lineRule="auto"/>
        <w:jc w:val="both"/>
        <w:rPr>
          <w:rFonts w:ascii="Times New Roman" w:hAnsi="Times New Roman" w:cs="Times New Roman"/>
          <w:b/>
          <w:sz w:val="24"/>
          <w:szCs w:val="24"/>
        </w:rPr>
      </w:pPr>
      <w:r w:rsidRPr="007230FF">
        <w:rPr>
          <w:rFonts w:ascii="Times New Roman" w:hAnsi="Times New Roman" w:cs="Times New Roman"/>
          <w:b/>
          <w:sz w:val="24"/>
          <w:szCs w:val="24"/>
        </w:rPr>
        <w:t>Conflicts of interest</w:t>
      </w:r>
    </w:p>
    <w:p w14:paraId="193341FD" w14:textId="77777777" w:rsidR="00060BDE" w:rsidRPr="00060BDE" w:rsidRDefault="00060BDE" w:rsidP="00060BDE">
      <w:pPr>
        <w:spacing w:line="480" w:lineRule="auto"/>
        <w:jc w:val="both"/>
        <w:rPr>
          <w:rFonts w:ascii="Times New Roman" w:hAnsi="Times New Roman" w:cs="Times New Roman"/>
          <w:sz w:val="24"/>
          <w:szCs w:val="24"/>
        </w:rPr>
      </w:pPr>
      <w:r w:rsidRPr="00060BDE">
        <w:rPr>
          <w:rFonts w:ascii="Times New Roman" w:hAnsi="Times New Roman" w:cs="Times New Roman"/>
          <w:sz w:val="24"/>
          <w:szCs w:val="24"/>
        </w:rPr>
        <w:t>There are no conflicts to declare.</w:t>
      </w:r>
    </w:p>
    <w:p w14:paraId="4899EE63" w14:textId="77777777" w:rsidR="007230FF" w:rsidRDefault="007230FF" w:rsidP="00060BDE">
      <w:pPr>
        <w:spacing w:line="480" w:lineRule="auto"/>
        <w:jc w:val="both"/>
        <w:rPr>
          <w:rFonts w:ascii="Times New Roman" w:hAnsi="Times New Roman" w:cs="Times New Roman"/>
          <w:b/>
          <w:sz w:val="24"/>
          <w:szCs w:val="24"/>
        </w:rPr>
      </w:pPr>
    </w:p>
    <w:p w14:paraId="5E7738E3" w14:textId="1C38C2E8" w:rsidR="00060BDE" w:rsidRPr="007230FF" w:rsidRDefault="00060BDE" w:rsidP="00060BDE">
      <w:pPr>
        <w:spacing w:line="480" w:lineRule="auto"/>
        <w:jc w:val="both"/>
        <w:rPr>
          <w:rFonts w:ascii="Times New Roman" w:hAnsi="Times New Roman" w:cs="Times New Roman"/>
          <w:b/>
          <w:sz w:val="24"/>
          <w:szCs w:val="24"/>
        </w:rPr>
      </w:pPr>
      <w:r w:rsidRPr="007230FF">
        <w:rPr>
          <w:rFonts w:ascii="Times New Roman" w:hAnsi="Times New Roman" w:cs="Times New Roman"/>
          <w:b/>
          <w:sz w:val="24"/>
          <w:szCs w:val="24"/>
        </w:rPr>
        <w:t>Acknowledgements</w:t>
      </w:r>
    </w:p>
    <w:p w14:paraId="458CFB1D" w14:textId="77777777" w:rsidR="007230FF" w:rsidRDefault="00060BDE" w:rsidP="00060BDE">
      <w:pPr>
        <w:spacing w:line="480" w:lineRule="auto"/>
        <w:jc w:val="both"/>
        <w:rPr>
          <w:rFonts w:ascii="Times New Roman" w:hAnsi="Times New Roman" w:cs="Times New Roman"/>
          <w:sz w:val="24"/>
          <w:szCs w:val="24"/>
        </w:rPr>
      </w:pPr>
      <w:r w:rsidRPr="00060BDE">
        <w:rPr>
          <w:rFonts w:ascii="Times New Roman" w:hAnsi="Times New Roman" w:cs="Times New Roman"/>
          <w:sz w:val="24"/>
          <w:szCs w:val="24"/>
        </w:rPr>
        <w:t xml:space="preserve">We acknowledge the EPSRC National Mass Spectrometry Service, University of Wales, Swansea for the provision of high-resolution mass spectrometry. DFT calculations were performed on the QMUL Apocrita facility. LF is grateful to the Chinese Scholarship Council for the provision of a PhD studentship. </w:t>
      </w:r>
    </w:p>
    <w:p w14:paraId="40707419" w14:textId="77777777" w:rsidR="0011227B" w:rsidRPr="0011227B" w:rsidRDefault="0011227B" w:rsidP="0011227B">
      <w:pPr>
        <w:spacing w:line="480" w:lineRule="auto"/>
        <w:jc w:val="both"/>
        <w:rPr>
          <w:rFonts w:ascii="Times New Roman" w:hAnsi="Times New Roman" w:cs="Times New Roman"/>
          <w:b/>
          <w:sz w:val="24"/>
          <w:szCs w:val="24"/>
        </w:rPr>
      </w:pPr>
      <w:r w:rsidRPr="0011227B">
        <w:rPr>
          <w:rFonts w:ascii="Times New Roman" w:hAnsi="Times New Roman" w:cs="Times New Roman"/>
          <w:b/>
          <w:sz w:val="24"/>
          <w:szCs w:val="24"/>
        </w:rPr>
        <w:lastRenderedPageBreak/>
        <w:t>Notes and references</w:t>
      </w:r>
    </w:p>
    <w:p w14:paraId="3522AB2A"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1</w:t>
      </w:r>
      <w:r w:rsidRPr="0011227B">
        <w:rPr>
          <w:rFonts w:ascii="Times New Roman" w:hAnsi="Times New Roman" w:cs="Times New Roman"/>
          <w:sz w:val="24"/>
          <w:szCs w:val="24"/>
        </w:rPr>
        <w:tab/>
        <w:t xml:space="preserve">S. L. Sensi, P. Paoletti, A. I. Bush and I. Sekler, </w:t>
      </w:r>
      <w:r w:rsidRPr="00071187">
        <w:rPr>
          <w:rFonts w:ascii="Times New Roman" w:hAnsi="Times New Roman" w:cs="Times New Roman"/>
          <w:i/>
          <w:sz w:val="24"/>
          <w:szCs w:val="24"/>
        </w:rPr>
        <w:t>Nat. Rev. Neurosci.</w:t>
      </w:r>
      <w:r w:rsidRPr="0011227B">
        <w:rPr>
          <w:rFonts w:ascii="Times New Roman" w:hAnsi="Times New Roman" w:cs="Times New Roman"/>
          <w:sz w:val="24"/>
          <w:szCs w:val="24"/>
        </w:rPr>
        <w:t>, 2009, 10, 780–791.</w:t>
      </w:r>
    </w:p>
    <w:p w14:paraId="0E0D3A0F"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2</w:t>
      </w:r>
      <w:r w:rsidRPr="0011227B">
        <w:rPr>
          <w:rFonts w:ascii="Times New Roman" w:hAnsi="Times New Roman" w:cs="Times New Roman"/>
          <w:sz w:val="24"/>
          <w:szCs w:val="24"/>
        </w:rPr>
        <w:tab/>
        <w:t xml:space="preserve">S. L. Sensi, P. Paoletti, J.-Y. Koh, E. Aizenman, A. I. Bush and M. Hershfinkel, J. </w:t>
      </w:r>
      <w:r w:rsidRPr="00071187">
        <w:rPr>
          <w:rFonts w:ascii="Times New Roman" w:hAnsi="Times New Roman" w:cs="Times New Roman"/>
          <w:i/>
          <w:sz w:val="24"/>
          <w:szCs w:val="24"/>
        </w:rPr>
        <w:t>Neurosci.</w:t>
      </w:r>
      <w:r w:rsidRPr="0011227B">
        <w:rPr>
          <w:rFonts w:ascii="Times New Roman" w:hAnsi="Times New Roman" w:cs="Times New Roman"/>
          <w:sz w:val="24"/>
          <w:szCs w:val="24"/>
        </w:rPr>
        <w:t>, 2011, 31, 16076–16085.</w:t>
      </w:r>
    </w:p>
    <w:p w14:paraId="2C791616"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3</w:t>
      </w:r>
      <w:r w:rsidRPr="0011227B">
        <w:rPr>
          <w:rFonts w:ascii="Times New Roman" w:hAnsi="Times New Roman" w:cs="Times New Roman"/>
          <w:sz w:val="24"/>
          <w:szCs w:val="24"/>
        </w:rPr>
        <w:tab/>
        <w:t xml:space="preserve">A. S. Prasad, </w:t>
      </w:r>
      <w:r w:rsidRPr="00071187">
        <w:rPr>
          <w:rFonts w:ascii="Times New Roman" w:hAnsi="Times New Roman" w:cs="Times New Roman"/>
          <w:i/>
          <w:sz w:val="24"/>
          <w:szCs w:val="24"/>
        </w:rPr>
        <w:t>Mol. Med.</w:t>
      </w:r>
      <w:r w:rsidRPr="0011227B">
        <w:rPr>
          <w:rFonts w:ascii="Times New Roman" w:hAnsi="Times New Roman" w:cs="Times New Roman"/>
          <w:sz w:val="24"/>
          <w:szCs w:val="24"/>
        </w:rPr>
        <w:t>, 2008, 14, 353–357.</w:t>
      </w:r>
    </w:p>
    <w:p w14:paraId="3C510C28"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4</w:t>
      </w:r>
      <w:r w:rsidRPr="0011227B">
        <w:rPr>
          <w:rFonts w:ascii="Times New Roman" w:hAnsi="Times New Roman" w:cs="Times New Roman"/>
          <w:sz w:val="24"/>
          <w:szCs w:val="24"/>
        </w:rPr>
        <w:tab/>
        <w:t xml:space="preserve">P. Bonaventura, G. Benedetti, F. Albarède and P. Miossec, </w:t>
      </w:r>
      <w:r w:rsidRPr="00071187">
        <w:rPr>
          <w:rFonts w:ascii="Times New Roman" w:hAnsi="Times New Roman" w:cs="Times New Roman"/>
          <w:i/>
          <w:sz w:val="24"/>
          <w:szCs w:val="24"/>
        </w:rPr>
        <w:t>Autoimmun. Rev.</w:t>
      </w:r>
      <w:r w:rsidRPr="0011227B">
        <w:rPr>
          <w:rFonts w:ascii="Times New Roman" w:hAnsi="Times New Roman" w:cs="Times New Roman"/>
          <w:sz w:val="24"/>
          <w:szCs w:val="24"/>
        </w:rPr>
        <w:t>, 2015, 14, 277–285.</w:t>
      </w:r>
    </w:p>
    <w:p w14:paraId="0C4C1CEC"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5</w:t>
      </w:r>
      <w:r w:rsidRPr="0011227B">
        <w:rPr>
          <w:rFonts w:ascii="Times New Roman" w:hAnsi="Times New Roman" w:cs="Times New Roman"/>
          <w:sz w:val="24"/>
          <w:szCs w:val="24"/>
        </w:rPr>
        <w:tab/>
        <w:t xml:space="preserve">R. K. Blanchard, J. B. Moore, C. L. Green and R. J. Cousins, </w:t>
      </w:r>
      <w:r w:rsidRPr="00071187">
        <w:rPr>
          <w:rFonts w:ascii="Times New Roman" w:hAnsi="Times New Roman" w:cs="Times New Roman"/>
          <w:i/>
          <w:sz w:val="24"/>
          <w:szCs w:val="24"/>
        </w:rPr>
        <w:t>Proc. Natl. Acad. Sci.</w:t>
      </w:r>
      <w:r w:rsidRPr="0011227B">
        <w:rPr>
          <w:rFonts w:ascii="Times New Roman" w:hAnsi="Times New Roman" w:cs="Times New Roman"/>
          <w:sz w:val="24"/>
          <w:szCs w:val="24"/>
        </w:rPr>
        <w:t>, 2002, 98, 13507–13513.</w:t>
      </w:r>
    </w:p>
    <w:p w14:paraId="5EFE3AA9"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6</w:t>
      </w:r>
      <w:r w:rsidRPr="0011227B">
        <w:rPr>
          <w:rFonts w:ascii="Times New Roman" w:hAnsi="Times New Roman" w:cs="Times New Roman"/>
          <w:sz w:val="24"/>
          <w:szCs w:val="24"/>
        </w:rPr>
        <w:tab/>
        <w:t xml:space="preserve">K. A. Jackson, R. A. Valentine, L. J. Coneyworth, J. C. Mathers and D. Ford, </w:t>
      </w:r>
      <w:r w:rsidRPr="00071187">
        <w:rPr>
          <w:rFonts w:ascii="Times New Roman" w:hAnsi="Times New Roman" w:cs="Times New Roman"/>
          <w:i/>
          <w:sz w:val="24"/>
          <w:szCs w:val="24"/>
        </w:rPr>
        <w:t>Biochem. Soc. Trans.</w:t>
      </w:r>
      <w:r w:rsidRPr="0011227B">
        <w:rPr>
          <w:rFonts w:ascii="Times New Roman" w:hAnsi="Times New Roman" w:cs="Times New Roman"/>
          <w:sz w:val="24"/>
          <w:szCs w:val="24"/>
        </w:rPr>
        <w:t>, 2008, 36, 1262 LP-1266.</w:t>
      </w:r>
    </w:p>
    <w:p w14:paraId="5A1D56AF"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7</w:t>
      </w:r>
      <w:r w:rsidRPr="0011227B">
        <w:rPr>
          <w:rFonts w:ascii="Times New Roman" w:hAnsi="Times New Roman" w:cs="Times New Roman"/>
          <w:sz w:val="24"/>
          <w:szCs w:val="24"/>
        </w:rPr>
        <w:tab/>
        <w:t xml:space="preserve">J. Y. Uriu-Adams and C. L. Keen, </w:t>
      </w:r>
      <w:r w:rsidRPr="00071187">
        <w:rPr>
          <w:rFonts w:ascii="Times New Roman" w:hAnsi="Times New Roman" w:cs="Times New Roman"/>
          <w:i/>
          <w:sz w:val="24"/>
          <w:szCs w:val="24"/>
        </w:rPr>
        <w:t>Birth Defects Res. Part B - Dev. Reprod. Toxicol</w:t>
      </w:r>
      <w:r w:rsidRPr="0011227B">
        <w:rPr>
          <w:rFonts w:ascii="Times New Roman" w:hAnsi="Times New Roman" w:cs="Times New Roman"/>
          <w:sz w:val="24"/>
          <w:szCs w:val="24"/>
        </w:rPr>
        <w:t>., 2010, 89, 313–325.</w:t>
      </w:r>
    </w:p>
    <w:p w14:paraId="329369FE"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8</w:t>
      </w:r>
      <w:r w:rsidRPr="0011227B">
        <w:rPr>
          <w:rFonts w:ascii="Times New Roman" w:hAnsi="Times New Roman" w:cs="Times New Roman"/>
          <w:sz w:val="24"/>
          <w:szCs w:val="24"/>
        </w:rPr>
        <w:tab/>
        <w:t xml:space="preserve">B. Szewczyk, Front. </w:t>
      </w:r>
      <w:r w:rsidRPr="00071187">
        <w:rPr>
          <w:rFonts w:ascii="Times New Roman" w:hAnsi="Times New Roman" w:cs="Times New Roman"/>
          <w:i/>
          <w:sz w:val="24"/>
          <w:szCs w:val="24"/>
        </w:rPr>
        <w:t>Aging Neurosci</w:t>
      </w:r>
      <w:r w:rsidRPr="0011227B">
        <w:rPr>
          <w:rFonts w:ascii="Times New Roman" w:hAnsi="Times New Roman" w:cs="Times New Roman"/>
          <w:sz w:val="24"/>
          <w:szCs w:val="24"/>
        </w:rPr>
        <w:t>., 2013, 5, 1–12.</w:t>
      </w:r>
    </w:p>
    <w:p w14:paraId="5C55F6C2"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9</w:t>
      </w:r>
      <w:r w:rsidRPr="0011227B">
        <w:rPr>
          <w:rFonts w:ascii="Times New Roman" w:hAnsi="Times New Roman" w:cs="Times New Roman"/>
          <w:sz w:val="24"/>
          <w:szCs w:val="24"/>
        </w:rPr>
        <w:tab/>
        <w:t xml:space="preserve">B. L. Mihelich, E. A. Khramtsova, N. Arva, A. Vaishnav, D. N. Johnson, A. A. Giangreco, E. Martens-Uzunova, O. Bagasra, A. Kajdacsy-Balla and L. Nonn, </w:t>
      </w:r>
      <w:r w:rsidRPr="00071187">
        <w:rPr>
          <w:rFonts w:ascii="Times New Roman" w:hAnsi="Times New Roman" w:cs="Times New Roman"/>
          <w:i/>
          <w:sz w:val="24"/>
          <w:szCs w:val="24"/>
        </w:rPr>
        <w:t>J. Biol. Chem.</w:t>
      </w:r>
      <w:r w:rsidRPr="0011227B">
        <w:rPr>
          <w:rFonts w:ascii="Times New Roman" w:hAnsi="Times New Roman" w:cs="Times New Roman"/>
          <w:sz w:val="24"/>
          <w:szCs w:val="24"/>
        </w:rPr>
        <w:t>, 2011, 286, 44503–44511.</w:t>
      </w:r>
    </w:p>
    <w:p w14:paraId="68E8673C"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10</w:t>
      </w:r>
      <w:r w:rsidRPr="0011227B">
        <w:rPr>
          <w:rFonts w:ascii="Times New Roman" w:hAnsi="Times New Roman" w:cs="Times New Roman"/>
          <w:sz w:val="24"/>
          <w:szCs w:val="24"/>
        </w:rPr>
        <w:tab/>
        <w:t xml:space="preserve">L. Y. Fong, R. Jing, K. J. Smalley, Z.-X. Wang, C. Taccioli, S. Fan, H. Chen, H. Alder, K. Huebner, J. L. Farber, O. Fiehn and C. M. Croce, </w:t>
      </w:r>
      <w:r w:rsidRPr="00071187">
        <w:rPr>
          <w:rFonts w:ascii="Times New Roman" w:hAnsi="Times New Roman" w:cs="Times New Roman"/>
          <w:i/>
          <w:sz w:val="24"/>
          <w:szCs w:val="24"/>
        </w:rPr>
        <w:t>Proc. Natl. Acad. Sci.</w:t>
      </w:r>
      <w:r w:rsidRPr="0011227B">
        <w:rPr>
          <w:rFonts w:ascii="Times New Roman" w:hAnsi="Times New Roman" w:cs="Times New Roman"/>
          <w:sz w:val="24"/>
          <w:szCs w:val="24"/>
        </w:rPr>
        <w:t>, 2018, 115, E11091–E11100.</w:t>
      </w:r>
    </w:p>
    <w:p w14:paraId="36CD652E"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lastRenderedPageBreak/>
        <w:t>11</w:t>
      </w:r>
      <w:r w:rsidRPr="0011227B">
        <w:rPr>
          <w:rFonts w:ascii="Times New Roman" w:hAnsi="Times New Roman" w:cs="Times New Roman"/>
          <w:sz w:val="24"/>
          <w:szCs w:val="24"/>
        </w:rPr>
        <w:tab/>
        <w:t xml:space="preserve">Q. Sun, R. M. Van Dam, W. C. Willett and F. B. Hu, </w:t>
      </w:r>
      <w:r w:rsidRPr="00071187">
        <w:rPr>
          <w:rFonts w:ascii="Times New Roman" w:hAnsi="Times New Roman" w:cs="Times New Roman"/>
          <w:i/>
          <w:sz w:val="24"/>
          <w:szCs w:val="24"/>
        </w:rPr>
        <w:t>Diabetes Care</w:t>
      </w:r>
      <w:r w:rsidRPr="0011227B">
        <w:rPr>
          <w:rFonts w:ascii="Times New Roman" w:hAnsi="Times New Roman" w:cs="Times New Roman"/>
          <w:sz w:val="24"/>
          <w:szCs w:val="24"/>
        </w:rPr>
        <w:t>, 2009, 32, 629–634.</w:t>
      </w:r>
    </w:p>
    <w:p w14:paraId="00AF5D46"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12</w:t>
      </w:r>
      <w:r w:rsidRPr="0011227B">
        <w:rPr>
          <w:rFonts w:ascii="Times New Roman" w:hAnsi="Times New Roman" w:cs="Times New Roman"/>
          <w:sz w:val="24"/>
          <w:szCs w:val="24"/>
        </w:rPr>
        <w:tab/>
        <w:t xml:space="preserve">C. W. Shuttleworth and J. H. Weiss, </w:t>
      </w:r>
      <w:r w:rsidRPr="00071187">
        <w:rPr>
          <w:rFonts w:ascii="Times New Roman" w:hAnsi="Times New Roman" w:cs="Times New Roman"/>
          <w:i/>
          <w:sz w:val="24"/>
          <w:szCs w:val="24"/>
        </w:rPr>
        <w:t>Trends Pharmacol. Sci</w:t>
      </w:r>
      <w:r w:rsidRPr="0011227B">
        <w:rPr>
          <w:rFonts w:ascii="Times New Roman" w:hAnsi="Times New Roman" w:cs="Times New Roman"/>
          <w:sz w:val="24"/>
          <w:szCs w:val="24"/>
        </w:rPr>
        <w:t>., 2011, 32, 480–486.</w:t>
      </w:r>
    </w:p>
    <w:p w14:paraId="6299E573"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13</w:t>
      </w:r>
      <w:r w:rsidRPr="0011227B">
        <w:rPr>
          <w:rFonts w:ascii="Times New Roman" w:hAnsi="Times New Roman" w:cs="Times New Roman"/>
          <w:sz w:val="24"/>
          <w:szCs w:val="24"/>
        </w:rPr>
        <w:tab/>
        <w:t xml:space="preserve">S. J. Lippard and E. Tomat, </w:t>
      </w:r>
      <w:r w:rsidRPr="00071187">
        <w:rPr>
          <w:rFonts w:ascii="Times New Roman" w:hAnsi="Times New Roman" w:cs="Times New Roman"/>
          <w:i/>
          <w:sz w:val="24"/>
          <w:szCs w:val="24"/>
        </w:rPr>
        <w:t>Curr. Opin. Chem. Biol</w:t>
      </w:r>
      <w:r w:rsidRPr="0011227B">
        <w:rPr>
          <w:rFonts w:ascii="Times New Roman" w:hAnsi="Times New Roman" w:cs="Times New Roman"/>
          <w:sz w:val="24"/>
          <w:szCs w:val="24"/>
        </w:rPr>
        <w:t>., 2010, 14, 225–230.</w:t>
      </w:r>
    </w:p>
    <w:p w14:paraId="45044E43"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14</w:t>
      </w:r>
      <w:r w:rsidRPr="0011227B">
        <w:rPr>
          <w:rFonts w:ascii="Times New Roman" w:hAnsi="Times New Roman" w:cs="Times New Roman"/>
          <w:sz w:val="24"/>
          <w:szCs w:val="24"/>
        </w:rPr>
        <w:tab/>
        <w:t xml:space="preserve">Q. Lu, H. Haragopal, K. G. Slepchenko, C. Stork and Y. V. Li, </w:t>
      </w:r>
      <w:r w:rsidRPr="00071187">
        <w:rPr>
          <w:rFonts w:ascii="Times New Roman" w:hAnsi="Times New Roman" w:cs="Times New Roman"/>
          <w:i/>
          <w:sz w:val="24"/>
          <w:szCs w:val="24"/>
        </w:rPr>
        <w:t>Int. J. Physiol. Pathophysiol. Pharmacol.</w:t>
      </w:r>
      <w:r w:rsidRPr="0011227B">
        <w:rPr>
          <w:rFonts w:ascii="Times New Roman" w:hAnsi="Times New Roman" w:cs="Times New Roman"/>
          <w:sz w:val="24"/>
          <w:szCs w:val="24"/>
        </w:rPr>
        <w:t>, 2016, 8, 35–43.</w:t>
      </w:r>
    </w:p>
    <w:p w14:paraId="513B2B58"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15</w:t>
      </w:r>
      <w:r w:rsidRPr="0011227B">
        <w:rPr>
          <w:rFonts w:ascii="Times New Roman" w:hAnsi="Times New Roman" w:cs="Times New Roman"/>
          <w:sz w:val="24"/>
          <w:szCs w:val="24"/>
        </w:rPr>
        <w:tab/>
        <w:t xml:space="preserve">C. D. Ellis, F. Wang, C. W. MacDiarmid, S. Clark, T. Lyons and D. J. Eide, </w:t>
      </w:r>
      <w:r w:rsidRPr="00071187">
        <w:rPr>
          <w:rFonts w:ascii="Times New Roman" w:hAnsi="Times New Roman" w:cs="Times New Roman"/>
          <w:i/>
          <w:sz w:val="24"/>
          <w:szCs w:val="24"/>
        </w:rPr>
        <w:t>J. Cell Biol.</w:t>
      </w:r>
      <w:r w:rsidRPr="0011227B">
        <w:rPr>
          <w:rFonts w:ascii="Times New Roman" w:hAnsi="Times New Roman" w:cs="Times New Roman"/>
          <w:sz w:val="24"/>
          <w:szCs w:val="24"/>
        </w:rPr>
        <w:t>, 2004, 166, 325–335.</w:t>
      </w:r>
    </w:p>
    <w:p w14:paraId="65FAA1FD"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16</w:t>
      </w:r>
      <w:r w:rsidRPr="0011227B">
        <w:rPr>
          <w:rFonts w:ascii="Times New Roman" w:hAnsi="Times New Roman" w:cs="Times New Roman"/>
          <w:sz w:val="24"/>
          <w:szCs w:val="24"/>
        </w:rPr>
        <w:tab/>
        <w:t xml:space="preserve">M.-H. Kim, T. B. Aydemir, J. Kim and R. J. Cousins, </w:t>
      </w:r>
      <w:r w:rsidRPr="00071187">
        <w:rPr>
          <w:rFonts w:ascii="Times New Roman" w:hAnsi="Times New Roman" w:cs="Times New Roman"/>
          <w:i/>
          <w:sz w:val="24"/>
          <w:szCs w:val="24"/>
        </w:rPr>
        <w:t>Proc. Natl. Acad. Sci.</w:t>
      </w:r>
      <w:r w:rsidRPr="0011227B">
        <w:rPr>
          <w:rFonts w:ascii="Times New Roman" w:hAnsi="Times New Roman" w:cs="Times New Roman"/>
          <w:sz w:val="24"/>
          <w:szCs w:val="24"/>
        </w:rPr>
        <w:t>, 2017, 114, E5805–E5814.</w:t>
      </w:r>
    </w:p>
    <w:p w14:paraId="5B254AA3"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17</w:t>
      </w:r>
      <w:r w:rsidRPr="0011227B">
        <w:rPr>
          <w:rFonts w:ascii="Times New Roman" w:hAnsi="Times New Roman" w:cs="Times New Roman"/>
          <w:sz w:val="24"/>
          <w:szCs w:val="24"/>
        </w:rPr>
        <w:tab/>
        <w:t xml:space="preserve">B. H. Bin, J. Bhin, J. Seo, S. Y. Kim, E. Lee, K. Park, D. H. Choi, T. Takagishi, T. Hara, D. Hwang, H. Koseki, Y. Asada, S. Shimoda, K. Mishima and T. Fukada, </w:t>
      </w:r>
      <w:r w:rsidRPr="00071187">
        <w:rPr>
          <w:rFonts w:ascii="Times New Roman" w:hAnsi="Times New Roman" w:cs="Times New Roman"/>
          <w:i/>
          <w:sz w:val="24"/>
          <w:szCs w:val="24"/>
        </w:rPr>
        <w:t>J. Invest. Dermatol.</w:t>
      </w:r>
      <w:r w:rsidRPr="0011227B">
        <w:rPr>
          <w:rFonts w:ascii="Times New Roman" w:hAnsi="Times New Roman" w:cs="Times New Roman"/>
          <w:sz w:val="24"/>
          <w:szCs w:val="24"/>
        </w:rPr>
        <w:t>, 2017, 137, 1682–1691.</w:t>
      </w:r>
    </w:p>
    <w:p w14:paraId="40AD465A"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18</w:t>
      </w:r>
      <w:r w:rsidRPr="0011227B">
        <w:rPr>
          <w:rFonts w:ascii="Times New Roman" w:hAnsi="Times New Roman" w:cs="Times New Roman"/>
          <w:sz w:val="24"/>
          <w:szCs w:val="24"/>
        </w:rPr>
        <w:tab/>
        <w:t xml:space="preserve">S. L. Sensi, D. Ton-That, P. G. Sullivan, E. A. Jonas, K. R. Gee, L. K. Kaczmarek and J. H. Weiss, </w:t>
      </w:r>
      <w:r w:rsidRPr="00071187">
        <w:rPr>
          <w:rFonts w:ascii="Times New Roman" w:hAnsi="Times New Roman" w:cs="Times New Roman"/>
          <w:i/>
          <w:sz w:val="24"/>
          <w:szCs w:val="24"/>
        </w:rPr>
        <w:t>Proc. Natl. Acad. Sci.</w:t>
      </w:r>
      <w:r w:rsidRPr="0011227B">
        <w:rPr>
          <w:rFonts w:ascii="Times New Roman" w:hAnsi="Times New Roman" w:cs="Times New Roman"/>
          <w:sz w:val="24"/>
          <w:szCs w:val="24"/>
        </w:rPr>
        <w:t>, 2003, 100, 6157–6162.</w:t>
      </w:r>
    </w:p>
    <w:p w14:paraId="5270BD31"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19</w:t>
      </w:r>
      <w:r w:rsidRPr="0011227B">
        <w:rPr>
          <w:rFonts w:ascii="Times New Roman" w:hAnsi="Times New Roman" w:cs="Times New Roman"/>
          <w:sz w:val="24"/>
          <w:szCs w:val="24"/>
        </w:rPr>
        <w:tab/>
        <w:t xml:space="preserve">A. Atkinson, O. Khalimonchuk, P. Smith, H. Sabic, D. Eide and D. R. Winge, </w:t>
      </w:r>
      <w:r w:rsidRPr="00071187">
        <w:rPr>
          <w:rFonts w:ascii="Times New Roman" w:hAnsi="Times New Roman" w:cs="Times New Roman"/>
          <w:i/>
          <w:sz w:val="24"/>
          <w:szCs w:val="24"/>
        </w:rPr>
        <w:t>J. Biol. Chem.</w:t>
      </w:r>
      <w:r w:rsidRPr="0011227B">
        <w:rPr>
          <w:rFonts w:ascii="Times New Roman" w:hAnsi="Times New Roman" w:cs="Times New Roman"/>
          <w:sz w:val="24"/>
          <w:szCs w:val="24"/>
        </w:rPr>
        <w:t>, 2010, 285, 19450–19459.</w:t>
      </w:r>
    </w:p>
    <w:p w14:paraId="4A16DA1D"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20</w:t>
      </w:r>
      <w:r w:rsidRPr="0011227B">
        <w:rPr>
          <w:rFonts w:ascii="Times New Roman" w:hAnsi="Times New Roman" w:cs="Times New Roman"/>
          <w:sz w:val="24"/>
          <w:szCs w:val="24"/>
        </w:rPr>
        <w:tab/>
        <w:t xml:space="preserve">G. Zhang, M. Sheng, J. Wang, T. Teng, Y. Sun, Q. Yang and Z. Xu, </w:t>
      </w:r>
      <w:r w:rsidRPr="00071187">
        <w:rPr>
          <w:rFonts w:ascii="Times New Roman" w:hAnsi="Times New Roman" w:cs="Times New Roman"/>
          <w:i/>
          <w:sz w:val="24"/>
          <w:szCs w:val="24"/>
        </w:rPr>
        <w:t>J. Mol. Cell. Cardiol.</w:t>
      </w:r>
      <w:r w:rsidRPr="0011227B">
        <w:rPr>
          <w:rFonts w:ascii="Times New Roman" w:hAnsi="Times New Roman" w:cs="Times New Roman"/>
          <w:sz w:val="24"/>
          <w:szCs w:val="24"/>
        </w:rPr>
        <w:t>, 2018, 118, 169–182.</w:t>
      </w:r>
    </w:p>
    <w:p w14:paraId="69BA7827"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21</w:t>
      </w:r>
      <w:r w:rsidRPr="0011227B">
        <w:rPr>
          <w:rFonts w:ascii="Times New Roman" w:hAnsi="Times New Roman" w:cs="Times New Roman"/>
          <w:sz w:val="24"/>
          <w:szCs w:val="24"/>
        </w:rPr>
        <w:tab/>
        <w:t xml:space="preserve">J. J. Hwang, S.-J. Lee, T.-Y. Kim, J.-H. Cho and J.-Y. Koh, </w:t>
      </w:r>
      <w:r w:rsidRPr="00071187">
        <w:rPr>
          <w:rFonts w:ascii="Times New Roman" w:hAnsi="Times New Roman" w:cs="Times New Roman"/>
          <w:i/>
          <w:sz w:val="24"/>
          <w:szCs w:val="24"/>
        </w:rPr>
        <w:t>J. Neurosci.</w:t>
      </w:r>
      <w:r w:rsidRPr="0011227B">
        <w:rPr>
          <w:rFonts w:ascii="Times New Roman" w:hAnsi="Times New Roman" w:cs="Times New Roman"/>
          <w:sz w:val="24"/>
          <w:szCs w:val="24"/>
        </w:rPr>
        <w:t>, 2008, 28, 3114–3122.</w:t>
      </w:r>
    </w:p>
    <w:p w14:paraId="31A06668"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lastRenderedPageBreak/>
        <w:t>22</w:t>
      </w:r>
      <w:r w:rsidRPr="0011227B">
        <w:rPr>
          <w:rFonts w:ascii="Times New Roman" w:hAnsi="Times New Roman" w:cs="Times New Roman"/>
          <w:sz w:val="24"/>
          <w:szCs w:val="24"/>
        </w:rPr>
        <w:tab/>
        <w:t xml:space="preserve">H. C. Roh, S. Collier, J. Guthrie, J. D. Robertson and K. Kornfeld, </w:t>
      </w:r>
      <w:r w:rsidRPr="00071187">
        <w:rPr>
          <w:rFonts w:ascii="Times New Roman" w:hAnsi="Times New Roman" w:cs="Times New Roman"/>
          <w:i/>
          <w:sz w:val="24"/>
          <w:szCs w:val="24"/>
        </w:rPr>
        <w:t>Cell Metab</w:t>
      </w:r>
      <w:r w:rsidRPr="0011227B">
        <w:rPr>
          <w:rFonts w:ascii="Times New Roman" w:hAnsi="Times New Roman" w:cs="Times New Roman"/>
          <w:sz w:val="24"/>
          <w:szCs w:val="24"/>
        </w:rPr>
        <w:t>., 2012, 15, 88–99.</w:t>
      </w:r>
    </w:p>
    <w:p w14:paraId="71856F62"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23</w:t>
      </w:r>
      <w:r w:rsidRPr="0011227B">
        <w:rPr>
          <w:rFonts w:ascii="Times New Roman" w:hAnsi="Times New Roman" w:cs="Times New Roman"/>
          <w:sz w:val="24"/>
          <w:szCs w:val="24"/>
        </w:rPr>
        <w:tab/>
        <w:t xml:space="preserve">D. Wu, A. C. Sedgwick, T. Gunnlaugsson, E. U. Akkaya, J. Yoon and T. D. James, </w:t>
      </w:r>
      <w:r w:rsidRPr="00071187">
        <w:rPr>
          <w:rFonts w:ascii="Times New Roman" w:hAnsi="Times New Roman" w:cs="Times New Roman"/>
          <w:i/>
          <w:sz w:val="24"/>
          <w:szCs w:val="24"/>
        </w:rPr>
        <w:t>Chem. Soc. Rev.</w:t>
      </w:r>
      <w:r w:rsidRPr="0011227B">
        <w:rPr>
          <w:rFonts w:ascii="Times New Roman" w:hAnsi="Times New Roman" w:cs="Times New Roman"/>
          <w:sz w:val="24"/>
          <w:szCs w:val="24"/>
        </w:rPr>
        <w:t>, 2017, 46, 7105–7123.</w:t>
      </w:r>
    </w:p>
    <w:p w14:paraId="270EE702"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24</w:t>
      </w:r>
      <w:r w:rsidRPr="0011227B">
        <w:rPr>
          <w:rFonts w:ascii="Times New Roman" w:hAnsi="Times New Roman" w:cs="Times New Roman"/>
          <w:sz w:val="24"/>
          <w:szCs w:val="24"/>
        </w:rPr>
        <w:tab/>
        <w:t xml:space="preserve">Y. Chen, Y. Bai, Z. Han, W. He and Z. Guo, </w:t>
      </w:r>
      <w:r w:rsidRPr="00071187">
        <w:rPr>
          <w:rFonts w:ascii="Times New Roman" w:hAnsi="Times New Roman" w:cs="Times New Roman"/>
          <w:i/>
          <w:sz w:val="24"/>
          <w:szCs w:val="24"/>
        </w:rPr>
        <w:t>Chem. Soc. Rev.</w:t>
      </w:r>
      <w:r w:rsidRPr="0011227B">
        <w:rPr>
          <w:rFonts w:ascii="Times New Roman" w:hAnsi="Times New Roman" w:cs="Times New Roman"/>
          <w:sz w:val="24"/>
          <w:szCs w:val="24"/>
        </w:rPr>
        <w:t>, 2015, 44, 4517–4546.</w:t>
      </w:r>
    </w:p>
    <w:p w14:paraId="01C0FA7E"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25</w:t>
      </w:r>
      <w:r w:rsidRPr="0011227B">
        <w:rPr>
          <w:rFonts w:ascii="Times New Roman" w:hAnsi="Times New Roman" w:cs="Times New Roman"/>
          <w:sz w:val="24"/>
          <w:szCs w:val="24"/>
        </w:rPr>
        <w:tab/>
        <w:t xml:space="preserve">M. H. Lee, J. S. Kim and J. L. Sessler, </w:t>
      </w:r>
      <w:r w:rsidRPr="00071187">
        <w:rPr>
          <w:rFonts w:ascii="Times New Roman" w:hAnsi="Times New Roman" w:cs="Times New Roman"/>
          <w:i/>
          <w:sz w:val="24"/>
          <w:szCs w:val="24"/>
        </w:rPr>
        <w:t>Chem. Soc. Rev</w:t>
      </w:r>
      <w:r w:rsidRPr="0011227B">
        <w:rPr>
          <w:rFonts w:ascii="Times New Roman" w:hAnsi="Times New Roman" w:cs="Times New Roman"/>
          <w:sz w:val="24"/>
          <w:szCs w:val="24"/>
        </w:rPr>
        <w:t>., 2015, 44, 4185–4191.</w:t>
      </w:r>
    </w:p>
    <w:p w14:paraId="6356612E"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26</w:t>
      </w:r>
      <w:r w:rsidRPr="0011227B">
        <w:rPr>
          <w:rFonts w:ascii="Times New Roman" w:hAnsi="Times New Roman" w:cs="Times New Roman"/>
          <w:sz w:val="24"/>
          <w:szCs w:val="24"/>
        </w:rPr>
        <w:tab/>
        <w:t xml:space="preserve">H. M. Kim and B. R. Cho, </w:t>
      </w:r>
      <w:r w:rsidRPr="00071187">
        <w:rPr>
          <w:rFonts w:ascii="Times New Roman" w:hAnsi="Times New Roman" w:cs="Times New Roman"/>
          <w:i/>
          <w:sz w:val="24"/>
          <w:szCs w:val="24"/>
        </w:rPr>
        <w:t>Chem. Rev</w:t>
      </w:r>
      <w:r w:rsidRPr="0011227B">
        <w:rPr>
          <w:rFonts w:ascii="Times New Roman" w:hAnsi="Times New Roman" w:cs="Times New Roman"/>
          <w:sz w:val="24"/>
          <w:szCs w:val="24"/>
        </w:rPr>
        <w:t>., 2015, 115, 5014–5055.</w:t>
      </w:r>
    </w:p>
    <w:p w14:paraId="03DAFE67"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27</w:t>
      </w:r>
      <w:r w:rsidRPr="0011227B">
        <w:rPr>
          <w:rFonts w:ascii="Times New Roman" w:hAnsi="Times New Roman" w:cs="Times New Roman"/>
          <w:sz w:val="24"/>
          <w:szCs w:val="24"/>
        </w:rPr>
        <w:tab/>
        <w:t xml:space="preserve">L. Yuan, W. Lin, K. Zheng and S. Zhu, </w:t>
      </w:r>
      <w:r w:rsidRPr="00071187">
        <w:rPr>
          <w:rFonts w:ascii="Times New Roman" w:hAnsi="Times New Roman" w:cs="Times New Roman"/>
          <w:i/>
          <w:sz w:val="24"/>
          <w:szCs w:val="24"/>
        </w:rPr>
        <w:t>Acc. Chem. Res.</w:t>
      </w:r>
      <w:r w:rsidRPr="0011227B">
        <w:rPr>
          <w:rFonts w:ascii="Times New Roman" w:hAnsi="Times New Roman" w:cs="Times New Roman"/>
          <w:sz w:val="24"/>
          <w:szCs w:val="24"/>
        </w:rPr>
        <w:t>, 2013, 46, 1462–1473.</w:t>
      </w:r>
    </w:p>
    <w:p w14:paraId="035E73FD"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28</w:t>
      </w:r>
      <w:r w:rsidRPr="0011227B">
        <w:rPr>
          <w:rFonts w:ascii="Times New Roman" w:hAnsi="Times New Roman" w:cs="Times New Roman"/>
          <w:sz w:val="24"/>
          <w:szCs w:val="24"/>
        </w:rPr>
        <w:tab/>
        <w:t xml:space="preserve">S. Iyoshi, M. Taki and Y. Yamamoto, </w:t>
      </w:r>
      <w:r w:rsidRPr="00071187">
        <w:rPr>
          <w:rFonts w:ascii="Times New Roman" w:hAnsi="Times New Roman" w:cs="Times New Roman"/>
          <w:i/>
          <w:sz w:val="24"/>
          <w:szCs w:val="24"/>
        </w:rPr>
        <w:t>Org. Lett.</w:t>
      </w:r>
      <w:r w:rsidRPr="0011227B">
        <w:rPr>
          <w:rFonts w:ascii="Times New Roman" w:hAnsi="Times New Roman" w:cs="Times New Roman"/>
          <w:sz w:val="24"/>
          <w:szCs w:val="24"/>
        </w:rPr>
        <w:t>, 2011, 13, 4558–4561.</w:t>
      </w:r>
    </w:p>
    <w:p w14:paraId="599457B9"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29</w:t>
      </w:r>
      <w:r w:rsidRPr="0011227B">
        <w:rPr>
          <w:rFonts w:ascii="Times New Roman" w:hAnsi="Times New Roman" w:cs="Times New Roman"/>
          <w:sz w:val="24"/>
          <w:szCs w:val="24"/>
        </w:rPr>
        <w:tab/>
        <w:t xml:space="preserve">D. Li, S. Chen, E. A. Bellomo, A. I. Tarasov, C. Kaut, G. A. Rutter and W. -h. Li, </w:t>
      </w:r>
      <w:r w:rsidRPr="00071187">
        <w:rPr>
          <w:rFonts w:ascii="Times New Roman" w:hAnsi="Times New Roman" w:cs="Times New Roman"/>
          <w:i/>
          <w:sz w:val="24"/>
          <w:szCs w:val="24"/>
        </w:rPr>
        <w:t>Proc. Natl. Acad. Sci.</w:t>
      </w:r>
      <w:r w:rsidRPr="0011227B">
        <w:rPr>
          <w:rFonts w:ascii="Times New Roman" w:hAnsi="Times New Roman" w:cs="Times New Roman"/>
          <w:sz w:val="24"/>
          <w:szCs w:val="24"/>
        </w:rPr>
        <w:t>, 2011, 108, 21063–21068.</w:t>
      </w:r>
    </w:p>
    <w:p w14:paraId="2AF6317F"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30</w:t>
      </w:r>
      <w:r w:rsidRPr="0011227B">
        <w:rPr>
          <w:rFonts w:ascii="Times New Roman" w:hAnsi="Times New Roman" w:cs="Times New Roman"/>
          <w:sz w:val="24"/>
          <w:szCs w:val="24"/>
        </w:rPr>
        <w:tab/>
        <w:t xml:space="preserve">R. J. Radford, W. Chyan and S. J. Lippard, </w:t>
      </w:r>
      <w:r w:rsidRPr="00071187">
        <w:rPr>
          <w:rFonts w:ascii="Times New Roman" w:hAnsi="Times New Roman" w:cs="Times New Roman"/>
          <w:i/>
          <w:sz w:val="24"/>
          <w:szCs w:val="24"/>
        </w:rPr>
        <w:t>Chem. Sci.</w:t>
      </w:r>
      <w:r w:rsidRPr="0011227B">
        <w:rPr>
          <w:rFonts w:ascii="Times New Roman" w:hAnsi="Times New Roman" w:cs="Times New Roman"/>
          <w:sz w:val="24"/>
          <w:szCs w:val="24"/>
        </w:rPr>
        <w:t>, 2013, 4, 3080–3084.</w:t>
      </w:r>
    </w:p>
    <w:p w14:paraId="41D58E15"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31</w:t>
      </w:r>
      <w:r w:rsidRPr="0011227B">
        <w:rPr>
          <w:rFonts w:ascii="Times New Roman" w:hAnsi="Times New Roman" w:cs="Times New Roman"/>
          <w:sz w:val="24"/>
          <w:szCs w:val="24"/>
        </w:rPr>
        <w:tab/>
        <w:t xml:space="preserve">K. Rathore, C. S. Lim, Y. Lee, H. J. Park and B. R. Cho, </w:t>
      </w:r>
      <w:r w:rsidRPr="00071187">
        <w:rPr>
          <w:rFonts w:ascii="Times New Roman" w:hAnsi="Times New Roman" w:cs="Times New Roman"/>
          <w:i/>
          <w:sz w:val="24"/>
          <w:szCs w:val="24"/>
        </w:rPr>
        <w:t>Asian J. Org. Chem.</w:t>
      </w:r>
      <w:r w:rsidRPr="0011227B">
        <w:rPr>
          <w:rFonts w:ascii="Times New Roman" w:hAnsi="Times New Roman" w:cs="Times New Roman"/>
          <w:sz w:val="24"/>
          <w:szCs w:val="24"/>
        </w:rPr>
        <w:t>, 2014, 3, 1070–1073.</w:t>
      </w:r>
    </w:p>
    <w:p w14:paraId="38B89744"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32</w:t>
      </w:r>
      <w:r w:rsidRPr="0011227B">
        <w:rPr>
          <w:rFonts w:ascii="Times New Roman" w:hAnsi="Times New Roman" w:cs="Times New Roman"/>
          <w:sz w:val="24"/>
          <w:szCs w:val="24"/>
        </w:rPr>
        <w:tab/>
        <w:t xml:space="preserve">H. M. Kim, C. S. Lim, G. Masanta, H. J. Kim, B. R. Cho and J. H. Han, </w:t>
      </w:r>
      <w:r w:rsidRPr="00071187">
        <w:rPr>
          <w:rFonts w:ascii="Times New Roman" w:hAnsi="Times New Roman" w:cs="Times New Roman"/>
          <w:i/>
          <w:sz w:val="24"/>
          <w:szCs w:val="24"/>
        </w:rPr>
        <w:t>J. Am. Chem. Soc.</w:t>
      </w:r>
      <w:r w:rsidRPr="0011227B">
        <w:rPr>
          <w:rFonts w:ascii="Times New Roman" w:hAnsi="Times New Roman" w:cs="Times New Roman"/>
          <w:sz w:val="24"/>
          <w:szCs w:val="24"/>
        </w:rPr>
        <w:t>, 2011, 133, 5698–5700.</w:t>
      </w:r>
    </w:p>
    <w:p w14:paraId="1C8FEB2A"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33</w:t>
      </w:r>
      <w:r w:rsidRPr="0011227B">
        <w:rPr>
          <w:rFonts w:ascii="Times New Roman" w:hAnsi="Times New Roman" w:cs="Times New Roman"/>
          <w:sz w:val="24"/>
          <w:szCs w:val="24"/>
        </w:rPr>
        <w:tab/>
        <w:t xml:space="preserve">Z. Guo, Z. Liu, W. He, C. Zhang and Y. Chen, </w:t>
      </w:r>
      <w:r w:rsidRPr="00071187">
        <w:rPr>
          <w:rFonts w:ascii="Times New Roman" w:hAnsi="Times New Roman" w:cs="Times New Roman"/>
          <w:i/>
          <w:sz w:val="24"/>
          <w:szCs w:val="24"/>
        </w:rPr>
        <w:t>Chem. Commun.</w:t>
      </w:r>
      <w:r w:rsidRPr="0011227B">
        <w:rPr>
          <w:rFonts w:ascii="Times New Roman" w:hAnsi="Times New Roman" w:cs="Times New Roman"/>
          <w:sz w:val="24"/>
          <w:szCs w:val="24"/>
        </w:rPr>
        <w:t>, 2012, 48, 8365.</w:t>
      </w:r>
    </w:p>
    <w:p w14:paraId="583D6D78"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34</w:t>
      </w:r>
      <w:r w:rsidRPr="0011227B">
        <w:rPr>
          <w:rFonts w:ascii="Times New Roman" w:hAnsi="Times New Roman" w:cs="Times New Roman"/>
          <w:sz w:val="24"/>
          <w:szCs w:val="24"/>
        </w:rPr>
        <w:tab/>
        <w:t xml:space="preserve">L. Xue, G. Li, C. Yu and H. Jiang, </w:t>
      </w:r>
      <w:r w:rsidRPr="00071187">
        <w:rPr>
          <w:rFonts w:ascii="Times New Roman" w:hAnsi="Times New Roman" w:cs="Times New Roman"/>
          <w:i/>
          <w:sz w:val="24"/>
          <w:szCs w:val="24"/>
        </w:rPr>
        <w:t xml:space="preserve">Chem. - A Eur. J., </w:t>
      </w:r>
      <w:r w:rsidRPr="0011227B">
        <w:rPr>
          <w:rFonts w:ascii="Times New Roman" w:hAnsi="Times New Roman" w:cs="Times New Roman"/>
          <w:sz w:val="24"/>
          <w:szCs w:val="24"/>
        </w:rPr>
        <w:t>2012, 18, 1050–1054.</w:t>
      </w:r>
    </w:p>
    <w:p w14:paraId="479D6BCF"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35</w:t>
      </w:r>
      <w:r w:rsidRPr="0011227B">
        <w:rPr>
          <w:rFonts w:ascii="Times New Roman" w:hAnsi="Times New Roman" w:cs="Times New Roman"/>
          <w:sz w:val="24"/>
          <w:szCs w:val="24"/>
        </w:rPr>
        <w:tab/>
        <w:t xml:space="preserve">W. Chyan, D. Y. Zhang, S. J. Lippard and R. J. Radford, </w:t>
      </w:r>
      <w:r w:rsidRPr="00071187">
        <w:rPr>
          <w:rFonts w:ascii="Times New Roman" w:hAnsi="Times New Roman" w:cs="Times New Roman"/>
          <w:i/>
          <w:sz w:val="24"/>
          <w:szCs w:val="24"/>
        </w:rPr>
        <w:t>Proc. Natl. Acad. Sci.</w:t>
      </w:r>
      <w:r w:rsidRPr="0011227B">
        <w:rPr>
          <w:rFonts w:ascii="Times New Roman" w:hAnsi="Times New Roman" w:cs="Times New Roman"/>
          <w:sz w:val="24"/>
          <w:szCs w:val="24"/>
        </w:rPr>
        <w:t>, 2014, 111, 143–148.</w:t>
      </w:r>
    </w:p>
    <w:p w14:paraId="7D3DCE85"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36</w:t>
      </w:r>
      <w:r w:rsidRPr="0011227B">
        <w:rPr>
          <w:rFonts w:ascii="Times New Roman" w:hAnsi="Times New Roman" w:cs="Times New Roman"/>
          <w:sz w:val="24"/>
          <w:szCs w:val="24"/>
        </w:rPr>
        <w:tab/>
        <w:t xml:space="preserve">Q. Liu, D. Zhu, H. Jiang, L. Xue and G. Li, </w:t>
      </w:r>
      <w:r w:rsidRPr="00071187">
        <w:rPr>
          <w:rFonts w:ascii="Times New Roman" w:hAnsi="Times New Roman" w:cs="Times New Roman"/>
          <w:i/>
          <w:sz w:val="24"/>
          <w:szCs w:val="24"/>
        </w:rPr>
        <w:t>Inorg. Chem.</w:t>
      </w:r>
      <w:r w:rsidRPr="0011227B">
        <w:rPr>
          <w:rFonts w:ascii="Times New Roman" w:hAnsi="Times New Roman" w:cs="Times New Roman"/>
          <w:sz w:val="24"/>
          <w:szCs w:val="24"/>
        </w:rPr>
        <w:t>, 2012, 51, 10842–10849.</w:t>
      </w:r>
    </w:p>
    <w:p w14:paraId="4728BADA"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lastRenderedPageBreak/>
        <w:t>37</w:t>
      </w:r>
      <w:r w:rsidRPr="0011227B">
        <w:rPr>
          <w:rFonts w:ascii="Times New Roman" w:hAnsi="Times New Roman" w:cs="Times New Roman"/>
          <w:sz w:val="24"/>
          <w:szCs w:val="24"/>
        </w:rPr>
        <w:tab/>
        <w:t xml:space="preserve">H. Zhu, J. Fan, S. Zhang, J. Cao, K. Song, D. Ge, H. Dong, J. Wang and X. Peng, </w:t>
      </w:r>
      <w:r w:rsidRPr="00071187">
        <w:rPr>
          <w:rFonts w:ascii="Times New Roman" w:hAnsi="Times New Roman" w:cs="Times New Roman"/>
          <w:i/>
          <w:sz w:val="24"/>
          <w:szCs w:val="24"/>
        </w:rPr>
        <w:t>Biomater. Sci.</w:t>
      </w:r>
      <w:r w:rsidRPr="0011227B">
        <w:rPr>
          <w:rFonts w:ascii="Times New Roman" w:hAnsi="Times New Roman" w:cs="Times New Roman"/>
          <w:sz w:val="24"/>
          <w:szCs w:val="24"/>
        </w:rPr>
        <w:t>, 2014, 2, 89–97.</w:t>
      </w:r>
    </w:p>
    <w:p w14:paraId="009524D3"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38</w:t>
      </w:r>
      <w:r w:rsidRPr="0011227B">
        <w:rPr>
          <w:rFonts w:ascii="Times New Roman" w:hAnsi="Times New Roman" w:cs="Times New Roman"/>
          <w:sz w:val="24"/>
          <w:szCs w:val="24"/>
        </w:rPr>
        <w:tab/>
        <w:t xml:space="preserve">H. J. Lee, C. W. Cho, H. Seo, S. Singha, Y. W. Jun, K. H. Lee, Y. Jung, K. T. Kim, S. Park, S. C. Bae and K. H. Ahn, </w:t>
      </w:r>
      <w:r w:rsidRPr="00071187">
        <w:rPr>
          <w:rFonts w:ascii="Times New Roman" w:hAnsi="Times New Roman" w:cs="Times New Roman"/>
          <w:i/>
          <w:sz w:val="24"/>
          <w:szCs w:val="24"/>
        </w:rPr>
        <w:t>Chem. Commun</w:t>
      </w:r>
      <w:r w:rsidRPr="0011227B">
        <w:rPr>
          <w:rFonts w:ascii="Times New Roman" w:hAnsi="Times New Roman" w:cs="Times New Roman"/>
          <w:sz w:val="24"/>
          <w:szCs w:val="24"/>
        </w:rPr>
        <w:t>., 2016, 52, 124–127.</w:t>
      </w:r>
    </w:p>
    <w:p w14:paraId="74B26E24"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39</w:t>
      </w:r>
      <w:r w:rsidRPr="0011227B">
        <w:rPr>
          <w:rFonts w:ascii="Times New Roman" w:hAnsi="Times New Roman" w:cs="Times New Roman"/>
          <w:sz w:val="24"/>
          <w:szCs w:val="24"/>
        </w:rPr>
        <w:tab/>
        <w:t xml:space="preserve">C. Du, S. Fu, X. Wang, A. C. Sedgwick, W. Zhen, M. Li, X. Li, J. Zhou, Z. Wang, H. Wang and J. L. Sessler, </w:t>
      </w:r>
      <w:r w:rsidRPr="00071187">
        <w:rPr>
          <w:rFonts w:ascii="Times New Roman" w:hAnsi="Times New Roman" w:cs="Times New Roman"/>
          <w:i/>
          <w:sz w:val="24"/>
          <w:szCs w:val="24"/>
        </w:rPr>
        <w:t>Chem. Sci</w:t>
      </w:r>
      <w:r w:rsidRPr="0011227B">
        <w:rPr>
          <w:rFonts w:ascii="Times New Roman" w:hAnsi="Times New Roman" w:cs="Times New Roman"/>
          <w:sz w:val="24"/>
          <w:szCs w:val="24"/>
        </w:rPr>
        <w:t>., 2019, 10, 5699–5704.</w:t>
      </w:r>
    </w:p>
    <w:p w14:paraId="7C3863D2"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40</w:t>
      </w:r>
      <w:r w:rsidRPr="0011227B">
        <w:rPr>
          <w:rFonts w:ascii="Times New Roman" w:hAnsi="Times New Roman" w:cs="Times New Roman"/>
          <w:sz w:val="24"/>
          <w:szCs w:val="24"/>
        </w:rPr>
        <w:tab/>
        <w:t xml:space="preserve">X. Gan, P. Sun, H. Li, X. Tian, B. Zhang, J. Wu, Y. Tian and H. Zhou, </w:t>
      </w:r>
      <w:r w:rsidRPr="00071187">
        <w:rPr>
          <w:rFonts w:ascii="Times New Roman" w:hAnsi="Times New Roman" w:cs="Times New Roman"/>
          <w:i/>
          <w:sz w:val="24"/>
          <w:szCs w:val="24"/>
        </w:rPr>
        <w:t>Biosens. Bioelectron.</w:t>
      </w:r>
      <w:r w:rsidRPr="0011227B">
        <w:rPr>
          <w:rFonts w:ascii="Times New Roman" w:hAnsi="Times New Roman" w:cs="Times New Roman"/>
          <w:sz w:val="24"/>
          <w:szCs w:val="24"/>
        </w:rPr>
        <w:t>, 2016, 86, 393–397.</w:t>
      </w:r>
    </w:p>
    <w:p w14:paraId="1A5A67B4"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41</w:t>
      </w:r>
      <w:r w:rsidRPr="0011227B">
        <w:rPr>
          <w:rFonts w:ascii="Times New Roman" w:hAnsi="Times New Roman" w:cs="Times New Roman"/>
          <w:sz w:val="24"/>
          <w:szCs w:val="24"/>
        </w:rPr>
        <w:tab/>
        <w:t xml:space="preserve">W. Lin, D. Buccella and S. J. Lippard, </w:t>
      </w:r>
      <w:r w:rsidRPr="00071187">
        <w:rPr>
          <w:rFonts w:ascii="Times New Roman" w:hAnsi="Times New Roman" w:cs="Times New Roman"/>
          <w:i/>
          <w:sz w:val="24"/>
          <w:szCs w:val="24"/>
        </w:rPr>
        <w:t>J. Am. Chem. Soc</w:t>
      </w:r>
      <w:r w:rsidRPr="0011227B">
        <w:rPr>
          <w:rFonts w:ascii="Times New Roman" w:hAnsi="Times New Roman" w:cs="Times New Roman"/>
          <w:sz w:val="24"/>
          <w:szCs w:val="24"/>
        </w:rPr>
        <w:t>., 2013, 135, 13512–13520.</w:t>
      </w:r>
    </w:p>
    <w:p w14:paraId="194913F9"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42</w:t>
      </w:r>
      <w:r w:rsidRPr="0011227B">
        <w:rPr>
          <w:rFonts w:ascii="Times New Roman" w:hAnsi="Times New Roman" w:cs="Times New Roman"/>
          <w:sz w:val="24"/>
          <w:szCs w:val="24"/>
        </w:rPr>
        <w:tab/>
        <w:t xml:space="preserve">S. J. Lippard, E. Tomat, E. M. Nolan and J. Jaworski, </w:t>
      </w:r>
      <w:r w:rsidRPr="00071187">
        <w:rPr>
          <w:rFonts w:ascii="Times New Roman" w:hAnsi="Times New Roman" w:cs="Times New Roman"/>
          <w:i/>
          <w:sz w:val="24"/>
          <w:szCs w:val="24"/>
        </w:rPr>
        <w:t>J. Am. Chem. Soc</w:t>
      </w:r>
      <w:r w:rsidRPr="0011227B">
        <w:rPr>
          <w:rFonts w:ascii="Times New Roman" w:hAnsi="Times New Roman" w:cs="Times New Roman"/>
          <w:sz w:val="24"/>
          <w:szCs w:val="24"/>
        </w:rPr>
        <w:t>., 2008, 130, 15776–+.</w:t>
      </w:r>
    </w:p>
    <w:p w14:paraId="238FF80C"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43</w:t>
      </w:r>
      <w:r w:rsidRPr="0011227B">
        <w:rPr>
          <w:rFonts w:ascii="Times New Roman" w:hAnsi="Times New Roman" w:cs="Times New Roman"/>
          <w:sz w:val="24"/>
          <w:szCs w:val="24"/>
        </w:rPr>
        <w:tab/>
        <w:t xml:space="preserve">H. Singh, H. W. Lee, C. H. Heo, J. W. Byun, A. R. Sarkar and H. M. Kim, </w:t>
      </w:r>
      <w:r w:rsidRPr="00071187">
        <w:rPr>
          <w:rFonts w:ascii="Times New Roman" w:hAnsi="Times New Roman" w:cs="Times New Roman"/>
          <w:i/>
          <w:sz w:val="24"/>
          <w:szCs w:val="24"/>
        </w:rPr>
        <w:t>Chem. Commun.</w:t>
      </w:r>
      <w:r w:rsidRPr="0011227B">
        <w:rPr>
          <w:rFonts w:ascii="Times New Roman" w:hAnsi="Times New Roman" w:cs="Times New Roman"/>
          <w:sz w:val="24"/>
          <w:szCs w:val="24"/>
        </w:rPr>
        <w:t>, 2015, 51, 12099–12102.</w:t>
      </w:r>
    </w:p>
    <w:p w14:paraId="652BADDD"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44</w:t>
      </w:r>
      <w:r w:rsidRPr="0011227B">
        <w:rPr>
          <w:rFonts w:ascii="Times New Roman" w:hAnsi="Times New Roman" w:cs="Times New Roman"/>
          <w:sz w:val="24"/>
          <w:szCs w:val="24"/>
        </w:rPr>
        <w:tab/>
        <w:t xml:space="preserve">H. M. Kim, B. R. Cho, G. Masanta, C. S. Lim, C. H. Heo and N. Y. Baek, </w:t>
      </w:r>
      <w:r w:rsidRPr="00071187">
        <w:rPr>
          <w:rFonts w:ascii="Times New Roman" w:hAnsi="Times New Roman" w:cs="Times New Roman"/>
          <w:i/>
          <w:sz w:val="24"/>
          <w:szCs w:val="24"/>
        </w:rPr>
        <w:t>Chem. Commun.</w:t>
      </w:r>
      <w:r w:rsidRPr="0011227B">
        <w:rPr>
          <w:rFonts w:ascii="Times New Roman" w:hAnsi="Times New Roman" w:cs="Times New Roman"/>
          <w:sz w:val="24"/>
          <w:szCs w:val="24"/>
        </w:rPr>
        <w:t>, 2012, 48, 4546.</w:t>
      </w:r>
    </w:p>
    <w:p w14:paraId="57B9D864"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45</w:t>
      </w:r>
      <w:r w:rsidRPr="0011227B">
        <w:rPr>
          <w:rFonts w:ascii="Times New Roman" w:hAnsi="Times New Roman" w:cs="Times New Roman"/>
          <w:sz w:val="24"/>
          <w:szCs w:val="24"/>
        </w:rPr>
        <w:tab/>
        <w:t xml:space="preserve">Z. Liu, C. Zhang, Y. Chen, W. He and Z. Guo, </w:t>
      </w:r>
      <w:r w:rsidRPr="00071187">
        <w:rPr>
          <w:rFonts w:ascii="Times New Roman" w:hAnsi="Times New Roman" w:cs="Times New Roman"/>
          <w:i/>
          <w:sz w:val="24"/>
          <w:szCs w:val="24"/>
        </w:rPr>
        <w:t>Chem. Commun.</w:t>
      </w:r>
      <w:r w:rsidRPr="0011227B">
        <w:rPr>
          <w:rFonts w:ascii="Times New Roman" w:hAnsi="Times New Roman" w:cs="Times New Roman"/>
          <w:sz w:val="24"/>
          <w:szCs w:val="24"/>
        </w:rPr>
        <w:t>, 2012, 48, 8365–8367.</w:t>
      </w:r>
    </w:p>
    <w:p w14:paraId="0FAF5DC1"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46</w:t>
      </w:r>
      <w:r w:rsidRPr="0011227B">
        <w:rPr>
          <w:rFonts w:ascii="Times New Roman" w:hAnsi="Times New Roman" w:cs="Times New Roman"/>
          <w:sz w:val="24"/>
          <w:szCs w:val="24"/>
        </w:rPr>
        <w:tab/>
        <w:t xml:space="preserve">X. Xie, F. Tang, X. Shangguan, S. Che, J. Niu, Y. Xiao, X. Wang and B. Tang, </w:t>
      </w:r>
      <w:r w:rsidRPr="00071187">
        <w:rPr>
          <w:rFonts w:ascii="Times New Roman" w:hAnsi="Times New Roman" w:cs="Times New Roman"/>
          <w:i/>
          <w:sz w:val="24"/>
          <w:szCs w:val="24"/>
        </w:rPr>
        <w:t>Chem. Commun.</w:t>
      </w:r>
      <w:r w:rsidRPr="0011227B">
        <w:rPr>
          <w:rFonts w:ascii="Times New Roman" w:hAnsi="Times New Roman" w:cs="Times New Roman"/>
          <w:sz w:val="24"/>
          <w:szCs w:val="24"/>
        </w:rPr>
        <w:t>, 2017, 53, 6520–6523.</w:t>
      </w:r>
    </w:p>
    <w:p w14:paraId="55AC7E64"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47</w:t>
      </w:r>
      <w:r w:rsidRPr="0011227B">
        <w:rPr>
          <w:rFonts w:ascii="Times New Roman" w:hAnsi="Times New Roman" w:cs="Times New Roman"/>
          <w:sz w:val="24"/>
          <w:szCs w:val="24"/>
        </w:rPr>
        <w:tab/>
        <w:t>H. Xiao, P. Li, X. Hu, X. Shi, W. Zhang and B. Tang</w:t>
      </w:r>
      <w:r w:rsidRPr="00071187">
        <w:rPr>
          <w:rFonts w:ascii="Times New Roman" w:hAnsi="Times New Roman" w:cs="Times New Roman"/>
          <w:i/>
          <w:sz w:val="24"/>
          <w:szCs w:val="24"/>
        </w:rPr>
        <w:t>, Chem. Sci</w:t>
      </w:r>
      <w:r w:rsidRPr="0011227B">
        <w:rPr>
          <w:rFonts w:ascii="Times New Roman" w:hAnsi="Times New Roman" w:cs="Times New Roman"/>
          <w:sz w:val="24"/>
          <w:szCs w:val="24"/>
        </w:rPr>
        <w:t>., 2016, 7, 6153–6159.</w:t>
      </w:r>
    </w:p>
    <w:p w14:paraId="5579B4E4"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48</w:t>
      </w:r>
      <w:r w:rsidRPr="0011227B">
        <w:rPr>
          <w:rFonts w:ascii="Times New Roman" w:hAnsi="Times New Roman" w:cs="Times New Roman"/>
          <w:sz w:val="24"/>
          <w:szCs w:val="24"/>
        </w:rPr>
        <w:tab/>
        <w:t xml:space="preserve">M. Yang, J. Fan, J. Zhang, J. Du and X. Peng, </w:t>
      </w:r>
      <w:r w:rsidRPr="00071187">
        <w:rPr>
          <w:rFonts w:ascii="Times New Roman" w:hAnsi="Times New Roman" w:cs="Times New Roman"/>
          <w:i/>
          <w:sz w:val="24"/>
          <w:szCs w:val="24"/>
        </w:rPr>
        <w:t>Chem. Sci.</w:t>
      </w:r>
      <w:r w:rsidRPr="0011227B">
        <w:rPr>
          <w:rFonts w:ascii="Times New Roman" w:hAnsi="Times New Roman" w:cs="Times New Roman"/>
          <w:sz w:val="24"/>
          <w:szCs w:val="24"/>
        </w:rPr>
        <w:t>, 2018, 9, 6758–6764.</w:t>
      </w:r>
    </w:p>
    <w:p w14:paraId="391D849E"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49</w:t>
      </w:r>
      <w:r w:rsidRPr="0011227B">
        <w:rPr>
          <w:rFonts w:ascii="Times New Roman" w:hAnsi="Times New Roman" w:cs="Times New Roman"/>
          <w:sz w:val="24"/>
          <w:szCs w:val="24"/>
        </w:rPr>
        <w:tab/>
        <w:t xml:space="preserve">J.-T. Hou, H. S. Kim, C. Duan, M. S. Ji, S. Wang, L. Zeng, W. Ren and J. S. Kim, </w:t>
      </w:r>
      <w:r w:rsidRPr="00071187">
        <w:rPr>
          <w:rFonts w:ascii="Times New Roman" w:hAnsi="Times New Roman" w:cs="Times New Roman"/>
          <w:i/>
          <w:sz w:val="24"/>
          <w:szCs w:val="24"/>
        </w:rPr>
        <w:t>Chem. Commun.</w:t>
      </w:r>
      <w:r w:rsidRPr="0011227B">
        <w:rPr>
          <w:rFonts w:ascii="Times New Roman" w:hAnsi="Times New Roman" w:cs="Times New Roman"/>
          <w:sz w:val="24"/>
          <w:szCs w:val="24"/>
        </w:rPr>
        <w:t>, 2019, 2533–2536.</w:t>
      </w:r>
    </w:p>
    <w:p w14:paraId="3C75698E"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lastRenderedPageBreak/>
        <w:t>50</w:t>
      </w:r>
      <w:r w:rsidRPr="0011227B">
        <w:rPr>
          <w:rFonts w:ascii="Times New Roman" w:hAnsi="Times New Roman" w:cs="Times New Roman"/>
          <w:sz w:val="24"/>
          <w:szCs w:val="24"/>
        </w:rPr>
        <w:tab/>
        <w:t xml:space="preserve">W. Lin, G. Xu, S. Gao, Y. Ma, Y. Tang and A. Xu, </w:t>
      </w:r>
      <w:r w:rsidRPr="00071187">
        <w:rPr>
          <w:rFonts w:ascii="Times New Roman" w:hAnsi="Times New Roman" w:cs="Times New Roman"/>
          <w:i/>
          <w:sz w:val="24"/>
          <w:szCs w:val="24"/>
        </w:rPr>
        <w:t>Sci. Rep.</w:t>
      </w:r>
      <w:r w:rsidRPr="0011227B">
        <w:rPr>
          <w:rFonts w:ascii="Times New Roman" w:hAnsi="Times New Roman" w:cs="Times New Roman"/>
          <w:sz w:val="24"/>
          <w:szCs w:val="24"/>
        </w:rPr>
        <w:t>, 2017, 7, 1–9.</w:t>
      </w:r>
    </w:p>
    <w:p w14:paraId="7F5F4359"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51</w:t>
      </w:r>
      <w:r w:rsidRPr="0011227B">
        <w:rPr>
          <w:rFonts w:ascii="Times New Roman" w:hAnsi="Times New Roman" w:cs="Times New Roman"/>
          <w:sz w:val="24"/>
          <w:szCs w:val="24"/>
        </w:rPr>
        <w:tab/>
        <w:t xml:space="preserve">J. Pancholi, D. J. Hodson, K. Jobe, G. A. Rutter, S. M. Goldup and M. Watkinson, </w:t>
      </w:r>
      <w:r w:rsidRPr="00071187">
        <w:rPr>
          <w:rFonts w:ascii="Times New Roman" w:hAnsi="Times New Roman" w:cs="Times New Roman"/>
          <w:i/>
          <w:sz w:val="24"/>
          <w:szCs w:val="24"/>
        </w:rPr>
        <w:t>Chem. Sci.</w:t>
      </w:r>
      <w:r w:rsidRPr="0011227B">
        <w:rPr>
          <w:rFonts w:ascii="Times New Roman" w:hAnsi="Times New Roman" w:cs="Times New Roman"/>
          <w:sz w:val="24"/>
          <w:szCs w:val="24"/>
        </w:rPr>
        <w:t>, 2014, 5, 3528–3535.</w:t>
      </w:r>
    </w:p>
    <w:p w14:paraId="04A7BA93"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52</w:t>
      </w:r>
      <w:r w:rsidRPr="0011227B">
        <w:rPr>
          <w:rFonts w:ascii="Times New Roman" w:hAnsi="Times New Roman" w:cs="Times New Roman"/>
          <w:sz w:val="24"/>
          <w:szCs w:val="24"/>
        </w:rPr>
        <w:tab/>
        <w:t xml:space="preserve">L. Fang, G. Trigiante, C. J. Kousseff, R. Crespo-Otero, M. P. Philpott and M. Watkinson, </w:t>
      </w:r>
      <w:r w:rsidRPr="00071187">
        <w:rPr>
          <w:rFonts w:ascii="Times New Roman" w:hAnsi="Times New Roman" w:cs="Times New Roman"/>
          <w:i/>
          <w:sz w:val="24"/>
          <w:szCs w:val="24"/>
        </w:rPr>
        <w:t>Chem. Commun.</w:t>
      </w:r>
      <w:r w:rsidRPr="0011227B">
        <w:rPr>
          <w:rFonts w:ascii="Times New Roman" w:hAnsi="Times New Roman" w:cs="Times New Roman"/>
          <w:sz w:val="24"/>
          <w:szCs w:val="24"/>
        </w:rPr>
        <w:t>, 2018, 54, 9619–9622.</w:t>
      </w:r>
    </w:p>
    <w:p w14:paraId="31AD5C04"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53</w:t>
      </w:r>
      <w:r w:rsidRPr="0011227B">
        <w:rPr>
          <w:rFonts w:ascii="Times New Roman" w:hAnsi="Times New Roman" w:cs="Times New Roman"/>
          <w:sz w:val="24"/>
          <w:szCs w:val="24"/>
        </w:rPr>
        <w:tab/>
        <w:t xml:space="preserve">E. Calatrava-Pérez, S. A. Bright, S. Achermann, C. Moylan, M. O. Senge, E. B. Veale, D. C. Williams, T. Gunnlaugsson and E. M. Scanlan, </w:t>
      </w:r>
      <w:r w:rsidRPr="00071187">
        <w:rPr>
          <w:rFonts w:ascii="Times New Roman" w:hAnsi="Times New Roman" w:cs="Times New Roman"/>
          <w:i/>
          <w:sz w:val="24"/>
          <w:szCs w:val="24"/>
        </w:rPr>
        <w:t>Chem. Commun.</w:t>
      </w:r>
      <w:r w:rsidRPr="0011227B">
        <w:rPr>
          <w:rFonts w:ascii="Times New Roman" w:hAnsi="Times New Roman" w:cs="Times New Roman"/>
          <w:sz w:val="24"/>
          <w:szCs w:val="24"/>
        </w:rPr>
        <w:t>, 2016, 52, 13086–13089.</w:t>
      </w:r>
    </w:p>
    <w:p w14:paraId="62AFCB49"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54</w:t>
      </w:r>
      <w:r w:rsidRPr="0011227B">
        <w:rPr>
          <w:rFonts w:ascii="Times New Roman" w:hAnsi="Times New Roman" w:cs="Times New Roman"/>
          <w:sz w:val="24"/>
          <w:szCs w:val="24"/>
        </w:rPr>
        <w:tab/>
        <w:t xml:space="preserve">E. Calatrava-Pérez, J. M. Delente, S. Shanmugaraju, C. S. Hawes, C. D. Williams, T. Gunnlaugsson and E. M. Scanlan, </w:t>
      </w:r>
      <w:r w:rsidRPr="00071187">
        <w:rPr>
          <w:rFonts w:ascii="Times New Roman" w:hAnsi="Times New Roman" w:cs="Times New Roman"/>
          <w:i/>
          <w:sz w:val="24"/>
          <w:szCs w:val="24"/>
        </w:rPr>
        <w:t>Org. Biomol. Chem</w:t>
      </w:r>
      <w:r w:rsidRPr="0011227B">
        <w:rPr>
          <w:rFonts w:ascii="Times New Roman" w:hAnsi="Times New Roman" w:cs="Times New Roman"/>
          <w:sz w:val="24"/>
          <w:szCs w:val="24"/>
        </w:rPr>
        <w:t>., 2019, 17, 2116–2125.</w:t>
      </w:r>
    </w:p>
    <w:p w14:paraId="0D169474"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55</w:t>
      </w:r>
      <w:r w:rsidRPr="0011227B">
        <w:rPr>
          <w:rFonts w:ascii="Times New Roman" w:hAnsi="Times New Roman" w:cs="Times New Roman"/>
          <w:sz w:val="24"/>
          <w:szCs w:val="24"/>
        </w:rPr>
        <w:tab/>
        <w:t xml:space="preserve">A. K. Bandela, S. Bandaru and C. Pulla, </w:t>
      </w:r>
      <w:r w:rsidRPr="00071187">
        <w:rPr>
          <w:rFonts w:ascii="Times New Roman" w:hAnsi="Times New Roman" w:cs="Times New Roman"/>
          <w:i/>
          <w:sz w:val="24"/>
          <w:szCs w:val="24"/>
        </w:rPr>
        <w:t>Chem.Eur.J</w:t>
      </w:r>
      <w:r w:rsidRPr="0011227B">
        <w:rPr>
          <w:rFonts w:ascii="Times New Roman" w:hAnsi="Times New Roman" w:cs="Times New Roman"/>
          <w:sz w:val="24"/>
          <w:szCs w:val="24"/>
        </w:rPr>
        <w:t>, 2015, 21, 13364–13374.</w:t>
      </w:r>
    </w:p>
    <w:p w14:paraId="3649CCF4"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56</w:t>
      </w:r>
      <w:r w:rsidRPr="0011227B">
        <w:rPr>
          <w:rFonts w:ascii="Times New Roman" w:hAnsi="Times New Roman" w:cs="Times New Roman"/>
          <w:sz w:val="24"/>
          <w:szCs w:val="24"/>
        </w:rPr>
        <w:tab/>
        <w:t xml:space="preserve">J. Chaignon, S. E. Stiriba, F. Lloret, C. Yuste, G. Pilet, L. Bonneviot, B. Albela and I. Castro, </w:t>
      </w:r>
      <w:r w:rsidRPr="00071187">
        <w:rPr>
          <w:rFonts w:ascii="Times New Roman" w:hAnsi="Times New Roman" w:cs="Times New Roman"/>
          <w:i/>
          <w:sz w:val="24"/>
          <w:szCs w:val="24"/>
        </w:rPr>
        <w:t>Dalt. Trans</w:t>
      </w:r>
      <w:r w:rsidRPr="0011227B">
        <w:rPr>
          <w:rFonts w:ascii="Times New Roman" w:hAnsi="Times New Roman" w:cs="Times New Roman"/>
          <w:sz w:val="24"/>
          <w:szCs w:val="24"/>
        </w:rPr>
        <w:t>., 2014, 43, 9704–9713.</w:t>
      </w:r>
    </w:p>
    <w:p w14:paraId="484889ED"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57</w:t>
      </w:r>
      <w:r w:rsidRPr="0011227B">
        <w:rPr>
          <w:rFonts w:ascii="Times New Roman" w:hAnsi="Times New Roman" w:cs="Times New Roman"/>
          <w:sz w:val="24"/>
          <w:szCs w:val="24"/>
        </w:rPr>
        <w:tab/>
        <w:t xml:space="preserve">A. Hayata, H. Itoh, S. Matsutaka and M. Inoue, </w:t>
      </w:r>
      <w:r w:rsidRPr="00071187">
        <w:rPr>
          <w:rFonts w:ascii="Times New Roman" w:hAnsi="Times New Roman" w:cs="Times New Roman"/>
          <w:i/>
          <w:sz w:val="24"/>
          <w:szCs w:val="24"/>
        </w:rPr>
        <w:t>Chem. - A Eur. J</w:t>
      </w:r>
      <w:r w:rsidRPr="0011227B">
        <w:rPr>
          <w:rFonts w:ascii="Times New Roman" w:hAnsi="Times New Roman" w:cs="Times New Roman"/>
          <w:sz w:val="24"/>
          <w:szCs w:val="24"/>
        </w:rPr>
        <w:t>., 2016, 22, 3370–3377.</w:t>
      </w:r>
    </w:p>
    <w:p w14:paraId="21E02869"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58</w:t>
      </w:r>
      <w:r w:rsidRPr="0011227B">
        <w:rPr>
          <w:rFonts w:ascii="Times New Roman" w:hAnsi="Times New Roman" w:cs="Times New Roman"/>
          <w:sz w:val="24"/>
          <w:szCs w:val="24"/>
        </w:rPr>
        <w:tab/>
        <w:t xml:space="preserve">K. Jobe, C. H. Brennan, M. Motevalli, S. M. Goldup and M. Watkinson, </w:t>
      </w:r>
      <w:r w:rsidRPr="00071187">
        <w:rPr>
          <w:rFonts w:ascii="Times New Roman" w:hAnsi="Times New Roman" w:cs="Times New Roman"/>
          <w:i/>
          <w:sz w:val="24"/>
          <w:szCs w:val="24"/>
        </w:rPr>
        <w:t>Chem. Commun.,</w:t>
      </w:r>
      <w:r w:rsidRPr="0011227B">
        <w:rPr>
          <w:rFonts w:ascii="Times New Roman" w:hAnsi="Times New Roman" w:cs="Times New Roman"/>
          <w:sz w:val="24"/>
          <w:szCs w:val="24"/>
        </w:rPr>
        <w:t xml:space="preserve"> 2011, 47, 6036–6038.</w:t>
      </w:r>
    </w:p>
    <w:p w14:paraId="2F7AF96B"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59</w:t>
      </w:r>
      <w:r w:rsidRPr="0011227B">
        <w:rPr>
          <w:rFonts w:ascii="Times New Roman" w:hAnsi="Times New Roman" w:cs="Times New Roman"/>
          <w:sz w:val="24"/>
          <w:szCs w:val="24"/>
        </w:rPr>
        <w:tab/>
        <w:t xml:space="preserve"> and T. N. Tomoya Hirano, Kazuya Kikuchi, Yasuteru Urano, Tsunehiko Higuchi, </w:t>
      </w:r>
      <w:r w:rsidRPr="00071187">
        <w:rPr>
          <w:rFonts w:ascii="Times New Roman" w:hAnsi="Times New Roman" w:cs="Times New Roman"/>
          <w:i/>
          <w:sz w:val="24"/>
          <w:szCs w:val="24"/>
        </w:rPr>
        <w:t>J. Am. Chem. Soc.</w:t>
      </w:r>
      <w:r w:rsidRPr="0011227B">
        <w:rPr>
          <w:rFonts w:ascii="Times New Roman" w:hAnsi="Times New Roman" w:cs="Times New Roman"/>
          <w:sz w:val="24"/>
          <w:szCs w:val="24"/>
        </w:rPr>
        <w:t>, 2000, 122, 12399–12400.</w:t>
      </w:r>
    </w:p>
    <w:p w14:paraId="1BBF5D55"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60</w:t>
      </w:r>
      <w:r w:rsidRPr="0011227B">
        <w:rPr>
          <w:rFonts w:ascii="Times New Roman" w:hAnsi="Times New Roman" w:cs="Times New Roman"/>
          <w:sz w:val="24"/>
          <w:szCs w:val="24"/>
        </w:rPr>
        <w:tab/>
        <w:t xml:space="preserve">M. Shortreed, R. Kopelman, M. Kuhn and B. Hoyland, </w:t>
      </w:r>
      <w:r w:rsidRPr="00071187">
        <w:rPr>
          <w:rFonts w:ascii="Times New Roman" w:hAnsi="Times New Roman" w:cs="Times New Roman"/>
          <w:i/>
          <w:sz w:val="24"/>
          <w:szCs w:val="24"/>
        </w:rPr>
        <w:t>Anal. Chem.</w:t>
      </w:r>
      <w:r w:rsidRPr="0011227B">
        <w:rPr>
          <w:rFonts w:ascii="Times New Roman" w:hAnsi="Times New Roman" w:cs="Times New Roman"/>
          <w:sz w:val="24"/>
          <w:szCs w:val="24"/>
        </w:rPr>
        <w:t>, 1996, 68, 1414–1418.</w:t>
      </w:r>
    </w:p>
    <w:p w14:paraId="176C4918"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61</w:t>
      </w:r>
      <w:r w:rsidRPr="0011227B">
        <w:rPr>
          <w:rFonts w:ascii="Times New Roman" w:hAnsi="Times New Roman" w:cs="Times New Roman"/>
          <w:sz w:val="24"/>
          <w:szCs w:val="24"/>
        </w:rPr>
        <w:tab/>
        <w:t xml:space="preserve">W. Lin, L. Long and W. Tan, </w:t>
      </w:r>
      <w:r w:rsidRPr="00071187">
        <w:rPr>
          <w:rFonts w:ascii="Times New Roman" w:hAnsi="Times New Roman" w:cs="Times New Roman"/>
          <w:i/>
          <w:sz w:val="24"/>
          <w:szCs w:val="24"/>
        </w:rPr>
        <w:t>Chem. Commun</w:t>
      </w:r>
      <w:r w:rsidRPr="0011227B">
        <w:rPr>
          <w:rFonts w:ascii="Times New Roman" w:hAnsi="Times New Roman" w:cs="Times New Roman"/>
          <w:sz w:val="24"/>
          <w:szCs w:val="24"/>
        </w:rPr>
        <w:t>., 2010, 46, 1503–1505.</w:t>
      </w:r>
    </w:p>
    <w:p w14:paraId="303CCE93"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lastRenderedPageBreak/>
        <w:t>62</w:t>
      </w:r>
      <w:r w:rsidRPr="0011227B">
        <w:rPr>
          <w:rFonts w:ascii="Times New Roman" w:hAnsi="Times New Roman" w:cs="Times New Roman"/>
          <w:sz w:val="24"/>
          <w:szCs w:val="24"/>
        </w:rPr>
        <w:tab/>
        <w:t xml:space="preserve">E. B. Veale and T. Gunnlaugsson, </w:t>
      </w:r>
      <w:r w:rsidRPr="00071187">
        <w:rPr>
          <w:rFonts w:ascii="Times New Roman" w:hAnsi="Times New Roman" w:cs="Times New Roman"/>
          <w:i/>
          <w:sz w:val="24"/>
          <w:szCs w:val="24"/>
        </w:rPr>
        <w:t>J. Org. Chem</w:t>
      </w:r>
      <w:r w:rsidRPr="0011227B">
        <w:rPr>
          <w:rFonts w:ascii="Times New Roman" w:hAnsi="Times New Roman" w:cs="Times New Roman"/>
          <w:sz w:val="24"/>
          <w:szCs w:val="24"/>
        </w:rPr>
        <w:t>., 2008, 73, 8073–8076.</w:t>
      </w:r>
    </w:p>
    <w:p w14:paraId="27CDA15D"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63</w:t>
      </w:r>
      <w:r w:rsidRPr="0011227B">
        <w:rPr>
          <w:rFonts w:ascii="Times New Roman" w:hAnsi="Times New Roman" w:cs="Times New Roman"/>
          <w:sz w:val="24"/>
          <w:szCs w:val="24"/>
        </w:rPr>
        <w:tab/>
        <w:t xml:space="preserve">E. Tamanini, A. Katewa, L. M. Sedger, M. H. Todd and M. Watkinson, </w:t>
      </w:r>
      <w:r w:rsidRPr="00071187">
        <w:rPr>
          <w:rFonts w:ascii="Times New Roman" w:hAnsi="Times New Roman" w:cs="Times New Roman"/>
          <w:i/>
          <w:sz w:val="24"/>
          <w:szCs w:val="24"/>
        </w:rPr>
        <w:t>Inorg.Chem.</w:t>
      </w:r>
      <w:r w:rsidRPr="0011227B">
        <w:rPr>
          <w:rFonts w:ascii="Times New Roman" w:hAnsi="Times New Roman" w:cs="Times New Roman"/>
          <w:sz w:val="24"/>
          <w:szCs w:val="24"/>
        </w:rPr>
        <w:t>, 2009, 48, 319–324.</w:t>
      </w:r>
    </w:p>
    <w:p w14:paraId="16B43CF6"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64</w:t>
      </w:r>
      <w:r w:rsidRPr="0011227B">
        <w:rPr>
          <w:rFonts w:ascii="Times New Roman" w:hAnsi="Times New Roman" w:cs="Times New Roman"/>
          <w:sz w:val="24"/>
          <w:szCs w:val="24"/>
        </w:rPr>
        <w:tab/>
        <w:t xml:space="preserve">E. Tamanini, K. Flavin, M. Motevalli, S. Piperno, L. A. Gheber, M. H. Todd and M. Watkinson, </w:t>
      </w:r>
      <w:r w:rsidRPr="00071187">
        <w:rPr>
          <w:rFonts w:ascii="Times New Roman" w:hAnsi="Times New Roman" w:cs="Times New Roman"/>
          <w:i/>
          <w:sz w:val="24"/>
          <w:szCs w:val="24"/>
        </w:rPr>
        <w:t>Inorg. Chem.,</w:t>
      </w:r>
      <w:r w:rsidRPr="0011227B">
        <w:rPr>
          <w:rFonts w:ascii="Times New Roman" w:hAnsi="Times New Roman" w:cs="Times New Roman"/>
          <w:sz w:val="24"/>
          <w:szCs w:val="24"/>
        </w:rPr>
        <w:t xml:space="preserve"> 2010, 49, 3789–3800.</w:t>
      </w:r>
    </w:p>
    <w:p w14:paraId="1B936A7C"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65</w:t>
      </w:r>
      <w:r w:rsidRPr="0011227B">
        <w:rPr>
          <w:rFonts w:ascii="Times New Roman" w:hAnsi="Times New Roman" w:cs="Times New Roman"/>
          <w:sz w:val="24"/>
          <w:szCs w:val="24"/>
        </w:rPr>
        <w:tab/>
        <w:t>L. Fang, G. Trigiante, R. Crespo-Otero, C. S. Hawes, M. P. Philpott, C. R. Jones, and M. Watkinson,  submitted for publication.</w:t>
      </w:r>
    </w:p>
    <w:p w14:paraId="0168C49C"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66</w:t>
      </w:r>
      <w:r w:rsidRPr="0011227B">
        <w:rPr>
          <w:rFonts w:ascii="Times New Roman" w:hAnsi="Times New Roman" w:cs="Times New Roman"/>
          <w:sz w:val="24"/>
          <w:szCs w:val="24"/>
        </w:rPr>
        <w:tab/>
        <w:t xml:space="preserve">H. Su, X. Chen and W. Fang, </w:t>
      </w:r>
      <w:r w:rsidRPr="00071187">
        <w:rPr>
          <w:rFonts w:ascii="Times New Roman" w:hAnsi="Times New Roman" w:cs="Times New Roman"/>
          <w:i/>
          <w:sz w:val="24"/>
          <w:szCs w:val="24"/>
        </w:rPr>
        <w:t>Anal. Chem</w:t>
      </w:r>
      <w:r w:rsidRPr="0011227B">
        <w:rPr>
          <w:rFonts w:ascii="Times New Roman" w:hAnsi="Times New Roman" w:cs="Times New Roman"/>
          <w:sz w:val="24"/>
          <w:szCs w:val="24"/>
        </w:rPr>
        <w:t>., 2014, 86, 891–899.</w:t>
      </w:r>
    </w:p>
    <w:p w14:paraId="2B4B3292" w14:textId="77777777" w:rsidR="0011227B" w:rsidRPr="0011227B" w:rsidRDefault="0011227B" w:rsidP="0011227B">
      <w:pPr>
        <w:spacing w:line="480" w:lineRule="auto"/>
        <w:jc w:val="both"/>
        <w:rPr>
          <w:rFonts w:ascii="Times New Roman" w:hAnsi="Times New Roman" w:cs="Times New Roman"/>
          <w:sz w:val="24"/>
          <w:szCs w:val="24"/>
        </w:rPr>
      </w:pPr>
      <w:r w:rsidRPr="0011227B">
        <w:rPr>
          <w:rFonts w:ascii="Times New Roman" w:hAnsi="Times New Roman" w:cs="Times New Roman"/>
          <w:sz w:val="24"/>
          <w:szCs w:val="24"/>
        </w:rPr>
        <w:t>67</w:t>
      </w:r>
      <w:r w:rsidRPr="0011227B">
        <w:rPr>
          <w:rFonts w:ascii="Times New Roman" w:hAnsi="Times New Roman" w:cs="Times New Roman"/>
          <w:sz w:val="24"/>
          <w:szCs w:val="24"/>
        </w:rPr>
        <w:tab/>
        <w:t xml:space="preserve">D. Escudero, </w:t>
      </w:r>
      <w:r w:rsidRPr="00071187">
        <w:rPr>
          <w:rFonts w:ascii="Times New Roman" w:hAnsi="Times New Roman" w:cs="Times New Roman"/>
          <w:i/>
          <w:sz w:val="24"/>
          <w:szCs w:val="24"/>
        </w:rPr>
        <w:t>Acc. Chem. Res</w:t>
      </w:r>
      <w:r w:rsidRPr="0011227B">
        <w:rPr>
          <w:rFonts w:ascii="Times New Roman" w:hAnsi="Times New Roman" w:cs="Times New Roman"/>
          <w:sz w:val="24"/>
          <w:szCs w:val="24"/>
        </w:rPr>
        <w:t>., 2016, 49, 1816–1824.</w:t>
      </w:r>
    </w:p>
    <w:p w14:paraId="400CDEDB" w14:textId="7F7C6A6F" w:rsidR="00A3125C" w:rsidRPr="001F32CD" w:rsidRDefault="00A3125C" w:rsidP="001F32CD">
      <w:pPr>
        <w:spacing w:line="480" w:lineRule="auto"/>
        <w:jc w:val="both"/>
        <w:rPr>
          <w:rFonts w:ascii="Times New Roman" w:hAnsi="Times New Roman" w:cs="Times New Roman"/>
          <w:sz w:val="24"/>
          <w:szCs w:val="24"/>
        </w:rPr>
      </w:pPr>
      <w:bookmarkStart w:id="0" w:name="_GoBack"/>
      <w:bookmarkEnd w:id="0"/>
    </w:p>
    <w:sectPr w:rsidR="00A3125C" w:rsidRPr="001F32CD" w:rsidSect="00EB4E01">
      <w:footerReference w:type="default" r:id="rId17"/>
      <w:footerReference w:type="first" r:id="rId18"/>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BC4B0B" w14:textId="77777777" w:rsidR="00C110AE" w:rsidRDefault="00C110AE" w:rsidP="008D3DE9">
      <w:pPr>
        <w:spacing w:after="0" w:line="240" w:lineRule="auto"/>
      </w:pPr>
      <w:r>
        <w:separator/>
      </w:r>
    </w:p>
  </w:endnote>
  <w:endnote w:type="continuationSeparator" w:id="0">
    <w:p w14:paraId="7649C957" w14:textId="77777777" w:rsidR="00C110AE" w:rsidRDefault="00C110AE" w:rsidP="008D3DE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01796636"/>
      <w:docPartObj>
        <w:docPartGallery w:val="Page Numbers (Bottom of Page)"/>
        <w:docPartUnique/>
      </w:docPartObj>
    </w:sdtPr>
    <w:sdtEndPr>
      <w:rPr>
        <w:noProof/>
      </w:rPr>
    </w:sdtEndPr>
    <w:sdtContent>
      <w:p w14:paraId="446A51BB" w14:textId="304CC39E" w:rsidR="00EB4E01" w:rsidRDefault="00EB4E01">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8629BCE" w14:textId="650D25A7" w:rsidR="00D87A76" w:rsidRDefault="00D87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05634375"/>
      <w:docPartObj>
        <w:docPartGallery w:val="Page Numbers (Bottom of Page)"/>
        <w:docPartUnique/>
      </w:docPartObj>
    </w:sdtPr>
    <w:sdtEndPr>
      <w:rPr>
        <w:noProof/>
      </w:rPr>
    </w:sdtEndPr>
    <w:sdtContent>
      <w:p w14:paraId="4B86364F" w14:textId="74C2322D" w:rsidR="00EB4E01" w:rsidRDefault="00C110AE">
        <w:pPr>
          <w:pStyle w:val="Footer"/>
          <w:jc w:val="center"/>
        </w:pPr>
      </w:p>
    </w:sdtContent>
  </w:sdt>
  <w:p w14:paraId="15AAD0D6" w14:textId="77777777" w:rsidR="00EB4E01" w:rsidRDefault="00EB4E0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BEE58C" w14:textId="77777777" w:rsidR="00C110AE" w:rsidRDefault="00C110AE" w:rsidP="008D3DE9">
      <w:pPr>
        <w:spacing w:after="0" w:line="240" w:lineRule="auto"/>
      </w:pPr>
      <w:r>
        <w:separator/>
      </w:r>
    </w:p>
  </w:footnote>
  <w:footnote w:type="continuationSeparator" w:id="0">
    <w:p w14:paraId="0DEE3775" w14:textId="77777777" w:rsidR="00C110AE" w:rsidRDefault="00C110AE" w:rsidP="008D3DE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3A62A9D"/>
    <w:multiLevelType w:val="hybridMultilevel"/>
    <w:tmpl w:val="FAECEB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15:restartNumberingAfterBreak="0">
    <w:nsid w:val="34672007"/>
    <w:multiLevelType w:val="hybridMultilevel"/>
    <w:tmpl w:val="9910A2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9250076"/>
    <w:multiLevelType w:val="hybridMultilevel"/>
    <w:tmpl w:val="CA8CDDF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 w15:restartNumberingAfterBreak="0">
    <w:nsid w:val="4E3634B1"/>
    <w:multiLevelType w:val="hybridMultilevel"/>
    <w:tmpl w:val="17BE15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98B2654"/>
    <w:multiLevelType w:val="hybridMultilevel"/>
    <w:tmpl w:val="EC5AFDCA"/>
    <w:lvl w:ilvl="0" w:tplc="704A2DEA">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60"/>
  <w:hideSpellingErrors/>
  <w:hideGrammaticalErrors/>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440B"/>
    <w:rsid w:val="00010AF1"/>
    <w:rsid w:val="00014554"/>
    <w:rsid w:val="0001497D"/>
    <w:rsid w:val="00017F05"/>
    <w:rsid w:val="00021228"/>
    <w:rsid w:val="000218EF"/>
    <w:rsid w:val="00027C79"/>
    <w:rsid w:val="0003425F"/>
    <w:rsid w:val="0004417B"/>
    <w:rsid w:val="000443D5"/>
    <w:rsid w:val="000464CA"/>
    <w:rsid w:val="000511AF"/>
    <w:rsid w:val="000517E8"/>
    <w:rsid w:val="000573D1"/>
    <w:rsid w:val="00060BDE"/>
    <w:rsid w:val="000668DC"/>
    <w:rsid w:val="00070731"/>
    <w:rsid w:val="00071110"/>
    <w:rsid w:val="00071187"/>
    <w:rsid w:val="000715D3"/>
    <w:rsid w:val="00072144"/>
    <w:rsid w:val="0007236D"/>
    <w:rsid w:val="00074DC4"/>
    <w:rsid w:val="000830C6"/>
    <w:rsid w:val="00083348"/>
    <w:rsid w:val="00086E5E"/>
    <w:rsid w:val="000870F5"/>
    <w:rsid w:val="000A1305"/>
    <w:rsid w:val="000A1C12"/>
    <w:rsid w:val="000A69E6"/>
    <w:rsid w:val="000A78F5"/>
    <w:rsid w:val="000B28B7"/>
    <w:rsid w:val="000B3E70"/>
    <w:rsid w:val="000B590B"/>
    <w:rsid w:val="000B5B79"/>
    <w:rsid w:val="000B738D"/>
    <w:rsid w:val="000C105C"/>
    <w:rsid w:val="000C2462"/>
    <w:rsid w:val="000D4385"/>
    <w:rsid w:val="000D6F17"/>
    <w:rsid w:val="000D7C9B"/>
    <w:rsid w:val="000E0023"/>
    <w:rsid w:val="000E0F5E"/>
    <w:rsid w:val="000E3A64"/>
    <w:rsid w:val="000E4D4F"/>
    <w:rsid w:val="000F4661"/>
    <w:rsid w:val="000F5D17"/>
    <w:rsid w:val="000F5EEC"/>
    <w:rsid w:val="00100E70"/>
    <w:rsid w:val="001020A1"/>
    <w:rsid w:val="00102AA8"/>
    <w:rsid w:val="00103C63"/>
    <w:rsid w:val="00110F55"/>
    <w:rsid w:val="0011227B"/>
    <w:rsid w:val="00113D3E"/>
    <w:rsid w:val="001153E2"/>
    <w:rsid w:val="0012155F"/>
    <w:rsid w:val="00121D7A"/>
    <w:rsid w:val="00121F91"/>
    <w:rsid w:val="00122BD5"/>
    <w:rsid w:val="00126B88"/>
    <w:rsid w:val="00136F03"/>
    <w:rsid w:val="00137FEB"/>
    <w:rsid w:val="00140273"/>
    <w:rsid w:val="00140F28"/>
    <w:rsid w:val="00142E32"/>
    <w:rsid w:val="0014545F"/>
    <w:rsid w:val="00146479"/>
    <w:rsid w:val="00151AD1"/>
    <w:rsid w:val="00152C8E"/>
    <w:rsid w:val="001562F3"/>
    <w:rsid w:val="00157B1E"/>
    <w:rsid w:val="0016575B"/>
    <w:rsid w:val="00165B5B"/>
    <w:rsid w:val="001731FF"/>
    <w:rsid w:val="00174173"/>
    <w:rsid w:val="00175819"/>
    <w:rsid w:val="00176628"/>
    <w:rsid w:val="00180D17"/>
    <w:rsid w:val="001916CF"/>
    <w:rsid w:val="00192CCC"/>
    <w:rsid w:val="00196BCD"/>
    <w:rsid w:val="001A1FEA"/>
    <w:rsid w:val="001A3DDB"/>
    <w:rsid w:val="001A4420"/>
    <w:rsid w:val="001A5AED"/>
    <w:rsid w:val="001A6179"/>
    <w:rsid w:val="001A6489"/>
    <w:rsid w:val="001B0E02"/>
    <w:rsid w:val="001B2CEF"/>
    <w:rsid w:val="001B2F34"/>
    <w:rsid w:val="001B629A"/>
    <w:rsid w:val="001C2D4A"/>
    <w:rsid w:val="001C3628"/>
    <w:rsid w:val="001C365C"/>
    <w:rsid w:val="001C39E5"/>
    <w:rsid w:val="001C719D"/>
    <w:rsid w:val="001D2FC5"/>
    <w:rsid w:val="001D5C5F"/>
    <w:rsid w:val="001D7026"/>
    <w:rsid w:val="001E1B41"/>
    <w:rsid w:val="001E40C6"/>
    <w:rsid w:val="001E453A"/>
    <w:rsid w:val="001E5D11"/>
    <w:rsid w:val="001E6C9B"/>
    <w:rsid w:val="001F01C6"/>
    <w:rsid w:val="001F12EC"/>
    <w:rsid w:val="001F298B"/>
    <w:rsid w:val="001F32CD"/>
    <w:rsid w:val="001F5518"/>
    <w:rsid w:val="001F7A7D"/>
    <w:rsid w:val="0020057B"/>
    <w:rsid w:val="002005CA"/>
    <w:rsid w:val="0020280D"/>
    <w:rsid w:val="00202890"/>
    <w:rsid w:val="002034AA"/>
    <w:rsid w:val="002109DA"/>
    <w:rsid w:val="00210FEF"/>
    <w:rsid w:val="00211D55"/>
    <w:rsid w:val="00213F09"/>
    <w:rsid w:val="002143D6"/>
    <w:rsid w:val="00214A33"/>
    <w:rsid w:val="00215191"/>
    <w:rsid w:val="002154E6"/>
    <w:rsid w:val="002205C5"/>
    <w:rsid w:val="00221113"/>
    <w:rsid w:val="00221FD3"/>
    <w:rsid w:val="002225D3"/>
    <w:rsid w:val="00223FE1"/>
    <w:rsid w:val="00225681"/>
    <w:rsid w:val="002264A9"/>
    <w:rsid w:val="00227125"/>
    <w:rsid w:val="00230110"/>
    <w:rsid w:val="00231469"/>
    <w:rsid w:val="0023285E"/>
    <w:rsid w:val="002329A1"/>
    <w:rsid w:val="00237677"/>
    <w:rsid w:val="002406BD"/>
    <w:rsid w:val="00242383"/>
    <w:rsid w:val="0024789F"/>
    <w:rsid w:val="002478B0"/>
    <w:rsid w:val="00252AA3"/>
    <w:rsid w:val="00253085"/>
    <w:rsid w:val="00257A51"/>
    <w:rsid w:val="002607D8"/>
    <w:rsid w:val="002613FC"/>
    <w:rsid w:val="0026408E"/>
    <w:rsid w:val="0026459A"/>
    <w:rsid w:val="00272CD5"/>
    <w:rsid w:val="00272CF1"/>
    <w:rsid w:val="00275BCF"/>
    <w:rsid w:val="00277AEF"/>
    <w:rsid w:val="00286B9A"/>
    <w:rsid w:val="002917F2"/>
    <w:rsid w:val="00293836"/>
    <w:rsid w:val="0029642A"/>
    <w:rsid w:val="002975E0"/>
    <w:rsid w:val="002A1A13"/>
    <w:rsid w:val="002A1FDB"/>
    <w:rsid w:val="002A4A31"/>
    <w:rsid w:val="002A5B93"/>
    <w:rsid w:val="002A7DA8"/>
    <w:rsid w:val="002B01D0"/>
    <w:rsid w:val="002B0689"/>
    <w:rsid w:val="002B2E61"/>
    <w:rsid w:val="002B346F"/>
    <w:rsid w:val="002B6E0F"/>
    <w:rsid w:val="002B740E"/>
    <w:rsid w:val="002C1310"/>
    <w:rsid w:val="002C307B"/>
    <w:rsid w:val="002C3762"/>
    <w:rsid w:val="002C5FE8"/>
    <w:rsid w:val="002D0D3C"/>
    <w:rsid w:val="002D13D9"/>
    <w:rsid w:val="002D5C84"/>
    <w:rsid w:val="002E2684"/>
    <w:rsid w:val="002E59F9"/>
    <w:rsid w:val="002F046B"/>
    <w:rsid w:val="002F33F6"/>
    <w:rsid w:val="002F371C"/>
    <w:rsid w:val="002F68F0"/>
    <w:rsid w:val="002F7021"/>
    <w:rsid w:val="002F7E0A"/>
    <w:rsid w:val="00300CB6"/>
    <w:rsid w:val="003019A4"/>
    <w:rsid w:val="00301F4F"/>
    <w:rsid w:val="00302DA4"/>
    <w:rsid w:val="00304D9B"/>
    <w:rsid w:val="00305CA3"/>
    <w:rsid w:val="003065C0"/>
    <w:rsid w:val="0031319A"/>
    <w:rsid w:val="00315587"/>
    <w:rsid w:val="0032245B"/>
    <w:rsid w:val="0032575C"/>
    <w:rsid w:val="00326314"/>
    <w:rsid w:val="00330500"/>
    <w:rsid w:val="00330DA2"/>
    <w:rsid w:val="00331E1C"/>
    <w:rsid w:val="003340A2"/>
    <w:rsid w:val="003349B1"/>
    <w:rsid w:val="00335BC0"/>
    <w:rsid w:val="003409CD"/>
    <w:rsid w:val="00343DE0"/>
    <w:rsid w:val="003472C1"/>
    <w:rsid w:val="003479E5"/>
    <w:rsid w:val="00352944"/>
    <w:rsid w:val="003529B3"/>
    <w:rsid w:val="00354841"/>
    <w:rsid w:val="00355956"/>
    <w:rsid w:val="00360623"/>
    <w:rsid w:val="0036260A"/>
    <w:rsid w:val="00363CCC"/>
    <w:rsid w:val="00370FE8"/>
    <w:rsid w:val="00371229"/>
    <w:rsid w:val="00373A0D"/>
    <w:rsid w:val="00374A3B"/>
    <w:rsid w:val="00374D0D"/>
    <w:rsid w:val="0037597F"/>
    <w:rsid w:val="00383868"/>
    <w:rsid w:val="00384EFC"/>
    <w:rsid w:val="00385399"/>
    <w:rsid w:val="00385AD4"/>
    <w:rsid w:val="003867E4"/>
    <w:rsid w:val="003875A0"/>
    <w:rsid w:val="00387FE0"/>
    <w:rsid w:val="00391D14"/>
    <w:rsid w:val="0039448D"/>
    <w:rsid w:val="00397B57"/>
    <w:rsid w:val="003A76EF"/>
    <w:rsid w:val="003B0841"/>
    <w:rsid w:val="003B1CAC"/>
    <w:rsid w:val="003B2C51"/>
    <w:rsid w:val="003B5FFE"/>
    <w:rsid w:val="003B664B"/>
    <w:rsid w:val="003B6CDF"/>
    <w:rsid w:val="003C1EC7"/>
    <w:rsid w:val="003C363F"/>
    <w:rsid w:val="003C3C67"/>
    <w:rsid w:val="003D0F33"/>
    <w:rsid w:val="003E07A3"/>
    <w:rsid w:val="003E2D1A"/>
    <w:rsid w:val="003F26D5"/>
    <w:rsid w:val="003F428B"/>
    <w:rsid w:val="003F4558"/>
    <w:rsid w:val="003F4D41"/>
    <w:rsid w:val="003F6A40"/>
    <w:rsid w:val="003F6D51"/>
    <w:rsid w:val="00400F58"/>
    <w:rsid w:val="00402328"/>
    <w:rsid w:val="00402F90"/>
    <w:rsid w:val="0040402E"/>
    <w:rsid w:val="00410D4D"/>
    <w:rsid w:val="00412F8F"/>
    <w:rsid w:val="00413118"/>
    <w:rsid w:val="004175D7"/>
    <w:rsid w:val="0042115B"/>
    <w:rsid w:val="00422F01"/>
    <w:rsid w:val="00423FE9"/>
    <w:rsid w:val="00424260"/>
    <w:rsid w:val="00424401"/>
    <w:rsid w:val="00425207"/>
    <w:rsid w:val="0042593D"/>
    <w:rsid w:val="00426287"/>
    <w:rsid w:val="00427252"/>
    <w:rsid w:val="00427404"/>
    <w:rsid w:val="00430393"/>
    <w:rsid w:val="004303CF"/>
    <w:rsid w:val="00430409"/>
    <w:rsid w:val="0043040E"/>
    <w:rsid w:val="0043109B"/>
    <w:rsid w:val="00432766"/>
    <w:rsid w:val="004358A8"/>
    <w:rsid w:val="00440320"/>
    <w:rsid w:val="00440A34"/>
    <w:rsid w:val="00441943"/>
    <w:rsid w:val="00444F6E"/>
    <w:rsid w:val="00452343"/>
    <w:rsid w:val="004525EB"/>
    <w:rsid w:val="00453E44"/>
    <w:rsid w:val="00454626"/>
    <w:rsid w:val="00456C60"/>
    <w:rsid w:val="004612E1"/>
    <w:rsid w:val="00461F57"/>
    <w:rsid w:val="0046274D"/>
    <w:rsid w:val="00463CA6"/>
    <w:rsid w:val="00464DB1"/>
    <w:rsid w:val="00464E3E"/>
    <w:rsid w:val="0046534C"/>
    <w:rsid w:val="00470309"/>
    <w:rsid w:val="004718FD"/>
    <w:rsid w:val="00472421"/>
    <w:rsid w:val="00474E4B"/>
    <w:rsid w:val="004752BC"/>
    <w:rsid w:val="0047611F"/>
    <w:rsid w:val="00476C9B"/>
    <w:rsid w:val="00476D9A"/>
    <w:rsid w:val="0047736A"/>
    <w:rsid w:val="00477ED1"/>
    <w:rsid w:val="0048386A"/>
    <w:rsid w:val="00484732"/>
    <w:rsid w:val="0048616C"/>
    <w:rsid w:val="00487EFC"/>
    <w:rsid w:val="004915D3"/>
    <w:rsid w:val="0049425D"/>
    <w:rsid w:val="00494EFE"/>
    <w:rsid w:val="004969CB"/>
    <w:rsid w:val="00497862"/>
    <w:rsid w:val="004A0886"/>
    <w:rsid w:val="004A1EF2"/>
    <w:rsid w:val="004A2315"/>
    <w:rsid w:val="004A35E6"/>
    <w:rsid w:val="004A4E2B"/>
    <w:rsid w:val="004A5F17"/>
    <w:rsid w:val="004B1B81"/>
    <w:rsid w:val="004B2170"/>
    <w:rsid w:val="004B3CD2"/>
    <w:rsid w:val="004B4823"/>
    <w:rsid w:val="004B5997"/>
    <w:rsid w:val="004B670E"/>
    <w:rsid w:val="004C0F71"/>
    <w:rsid w:val="004C1E5E"/>
    <w:rsid w:val="004C20A6"/>
    <w:rsid w:val="004C4EA1"/>
    <w:rsid w:val="004D0878"/>
    <w:rsid w:val="004D1867"/>
    <w:rsid w:val="004D4391"/>
    <w:rsid w:val="004E07D5"/>
    <w:rsid w:val="004E1424"/>
    <w:rsid w:val="004E15C4"/>
    <w:rsid w:val="004E18E4"/>
    <w:rsid w:val="004E3B97"/>
    <w:rsid w:val="004F51A6"/>
    <w:rsid w:val="004F51FF"/>
    <w:rsid w:val="004F56D2"/>
    <w:rsid w:val="00501DB4"/>
    <w:rsid w:val="00502C99"/>
    <w:rsid w:val="00504D1A"/>
    <w:rsid w:val="005064DD"/>
    <w:rsid w:val="00511449"/>
    <w:rsid w:val="00512274"/>
    <w:rsid w:val="00512C19"/>
    <w:rsid w:val="005148A5"/>
    <w:rsid w:val="0051590F"/>
    <w:rsid w:val="0051592E"/>
    <w:rsid w:val="00525071"/>
    <w:rsid w:val="00531224"/>
    <w:rsid w:val="005346EC"/>
    <w:rsid w:val="005352FB"/>
    <w:rsid w:val="00536B74"/>
    <w:rsid w:val="00543168"/>
    <w:rsid w:val="00544896"/>
    <w:rsid w:val="005452B4"/>
    <w:rsid w:val="0054653B"/>
    <w:rsid w:val="00546766"/>
    <w:rsid w:val="0054756E"/>
    <w:rsid w:val="00547CE3"/>
    <w:rsid w:val="00550669"/>
    <w:rsid w:val="00551E8A"/>
    <w:rsid w:val="00553A80"/>
    <w:rsid w:val="00555D5F"/>
    <w:rsid w:val="00556AF5"/>
    <w:rsid w:val="00563CAF"/>
    <w:rsid w:val="00564A04"/>
    <w:rsid w:val="00564C0C"/>
    <w:rsid w:val="00576216"/>
    <w:rsid w:val="00577A2D"/>
    <w:rsid w:val="005809DF"/>
    <w:rsid w:val="0058526E"/>
    <w:rsid w:val="00586DB4"/>
    <w:rsid w:val="0059088B"/>
    <w:rsid w:val="0059154E"/>
    <w:rsid w:val="00596B58"/>
    <w:rsid w:val="005A1D72"/>
    <w:rsid w:val="005A3C13"/>
    <w:rsid w:val="005A4B4B"/>
    <w:rsid w:val="005B0126"/>
    <w:rsid w:val="005B2FA8"/>
    <w:rsid w:val="005B3DAE"/>
    <w:rsid w:val="005B7C59"/>
    <w:rsid w:val="005C05F4"/>
    <w:rsid w:val="005C40EA"/>
    <w:rsid w:val="005C59DB"/>
    <w:rsid w:val="005C7D65"/>
    <w:rsid w:val="005D0B2F"/>
    <w:rsid w:val="005D1ABC"/>
    <w:rsid w:val="005D43A3"/>
    <w:rsid w:val="005D63C5"/>
    <w:rsid w:val="005D6865"/>
    <w:rsid w:val="005D6975"/>
    <w:rsid w:val="005D7031"/>
    <w:rsid w:val="005E2354"/>
    <w:rsid w:val="005E27EE"/>
    <w:rsid w:val="005E6ECF"/>
    <w:rsid w:val="005E72BD"/>
    <w:rsid w:val="005E79C5"/>
    <w:rsid w:val="005F19C5"/>
    <w:rsid w:val="005F1AEA"/>
    <w:rsid w:val="005F48EE"/>
    <w:rsid w:val="005F4A2B"/>
    <w:rsid w:val="005F6C65"/>
    <w:rsid w:val="0060189D"/>
    <w:rsid w:val="0060197F"/>
    <w:rsid w:val="00605268"/>
    <w:rsid w:val="006154B0"/>
    <w:rsid w:val="00615680"/>
    <w:rsid w:val="0061718C"/>
    <w:rsid w:val="006175E2"/>
    <w:rsid w:val="00620968"/>
    <w:rsid w:val="00620FEC"/>
    <w:rsid w:val="006235BA"/>
    <w:rsid w:val="00624315"/>
    <w:rsid w:val="0062483F"/>
    <w:rsid w:val="00625823"/>
    <w:rsid w:val="006269B0"/>
    <w:rsid w:val="00627AC8"/>
    <w:rsid w:val="00630DD1"/>
    <w:rsid w:val="00634FA7"/>
    <w:rsid w:val="00635A6F"/>
    <w:rsid w:val="00635A8E"/>
    <w:rsid w:val="00635DCC"/>
    <w:rsid w:val="00636FDD"/>
    <w:rsid w:val="00637E74"/>
    <w:rsid w:val="00643CB7"/>
    <w:rsid w:val="006456CD"/>
    <w:rsid w:val="0064604A"/>
    <w:rsid w:val="00646CEB"/>
    <w:rsid w:val="00654E12"/>
    <w:rsid w:val="0065589C"/>
    <w:rsid w:val="00656948"/>
    <w:rsid w:val="00656CF3"/>
    <w:rsid w:val="00657C68"/>
    <w:rsid w:val="00657C88"/>
    <w:rsid w:val="006604E5"/>
    <w:rsid w:val="00660C7A"/>
    <w:rsid w:val="0066120B"/>
    <w:rsid w:val="00661815"/>
    <w:rsid w:val="006627A3"/>
    <w:rsid w:val="00663530"/>
    <w:rsid w:val="00666371"/>
    <w:rsid w:val="00676327"/>
    <w:rsid w:val="00677A80"/>
    <w:rsid w:val="00677F39"/>
    <w:rsid w:val="006809FA"/>
    <w:rsid w:val="00681548"/>
    <w:rsid w:val="00683F94"/>
    <w:rsid w:val="00691335"/>
    <w:rsid w:val="006914BD"/>
    <w:rsid w:val="00692FE4"/>
    <w:rsid w:val="006931F8"/>
    <w:rsid w:val="00696474"/>
    <w:rsid w:val="006A2200"/>
    <w:rsid w:val="006A2D06"/>
    <w:rsid w:val="006A4AD7"/>
    <w:rsid w:val="006A735F"/>
    <w:rsid w:val="006A753E"/>
    <w:rsid w:val="006B42C7"/>
    <w:rsid w:val="006B5344"/>
    <w:rsid w:val="006B5B21"/>
    <w:rsid w:val="006B7FB5"/>
    <w:rsid w:val="006C22D4"/>
    <w:rsid w:val="006C33BE"/>
    <w:rsid w:val="006C37AC"/>
    <w:rsid w:val="006C6456"/>
    <w:rsid w:val="006C7D3B"/>
    <w:rsid w:val="006D0658"/>
    <w:rsid w:val="006D25D2"/>
    <w:rsid w:val="006D2A21"/>
    <w:rsid w:val="006D360F"/>
    <w:rsid w:val="006D4FA2"/>
    <w:rsid w:val="006D5EAC"/>
    <w:rsid w:val="006D7E56"/>
    <w:rsid w:val="006E06F9"/>
    <w:rsid w:val="006E1CBC"/>
    <w:rsid w:val="006E21E3"/>
    <w:rsid w:val="006E3B0C"/>
    <w:rsid w:val="006E4C8C"/>
    <w:rsid w:val="006E512B"/>
    <w:rsid w:val="006F36FA"/>
    <w:rsid w:val="006F3D84"/>
    <w:rsid w:val="006F641B"/>
    <w:rsid w:val="006F701E"/>
    <w:rsid w:val="006F7666"/>
    <w:rsid w:val="007074B0"/>
    <w:rsid w:val="00707B57"/>
    <w:rsid w:val="00711BF2"/>
    <w:rsid w:val="00712C0D"/>
    <w:rsid w:val="00714F7A"/>
    <w:rsid w:val="007230FF"/>
    <w:rsid w:val="0072371E"/>
    <w:rsid w:val="0072474E"/>
    <w:rsid w:val="00724C9A"/>
    <w:rsid w:val="007263F0"/>
    <w:rsid w:val="00727D06"/>
    <w:rsid w:val="007357FB"/>
    <w:rsid w:val="00735BC0"/>
    <w:rsid w:val="007404D3"/>
    <w:rsid w:val="007420C9"/>
    <w:rsid w:val="007444E1"/>
    <w:rsid w:val="00747997"/>
    <w:rsid w:val="00756D21"/>
    <w:rsid w:val="00761792"/>
    <w:rsid w:val="00763071"/>
    <w:rsid w:val="00765F92"/>
    <w:rsid w:val="00766622"/>
    <w:rsid w:val="00771F1D"/>
    <w:rsid w:val="00775951"/>
    <w:rsid w:val="007771A7"/>
    <w:rsid w:val="00777648"/>
    <w:rsid w:val="007779FD"/>
    <w:rsid w:val="00780FD4"/>
    <w:rsid w:val="00781544"/>
    <w:rsid w:val="00785F5D"/>
    <w:rsid w:val="00790014"/>
    <w:rsid w:val="0079476A"/>
    <w:rsid w:val="00796A49"/>
    <w:rsid w:val="0079738C"/>
    <w:rsid w:val="007A0838"/>
    <w:rsid w:val="007A127B"/>
    <w:rsid w:val="007A1AF2"/>
    <w:rsid w:val="007A28C3"/>
    <w:rsid w:val="007A692C"/>
    <w:rsid w:val="007B0CDE"/>
    <w:rsid w:val="007B19F2"/>
    <w:rsid w:val="007B3A7D"/>
    <w:rsid w:val="007B48BD"/>
    <w:rsid w:val="007B51E7"/>
    <w:rsid w:val="007B6F8D"/>
    <w:rsid w:val="007C2B5B"/>
    <w:rsid w:val="007C6D81"/>
    <w:rsid w:val="007C7D96"/>
    <w:rsid w:val="007D4B14"/>
    <w:rsid w:val="007D519D"/>
    <w:rsid w:val="007E57E6"/>
    <w:rsid w:val="007F419A"/>
    <w:rsid w:val="007F62B0"/>
    <w:rsid w:val="0080171F"/>
    <w:rsid w:val="008077DE"/>
    <w:rsid w:val="0081074B"/>
    <w:rsid w:val="00810F54"/>
    <w:rsid w:val="00812C5D"/>
    <w:rsid w:val="00814427"/>
    <w:rsid w:val="00814708"/>
    <w:rsid w:val="00815E93"/>
    <w:rsid w:val="0082172B"/>
    <w:rsid w:val="00823A13"/>
    <w:rsid w:val="00823B1A"/>
    <w:rsid w:val="0082531E"/>
    <w:rsid w:val="00826265"/>
    <w:rsid w:val="00830A22"/>
    <w:rsid w:val="0083227E"/>
    <w:rsid w:val="008327E9"/>
    <w:rsid w:val="00832D5C"/>
    <w:rsid w:val="0083460E"/>
    <w:rsid w:val="008348DD"/>
    <w:rsid w:val="00834D45"/>
    <w:rsid w:val="00840B9D"/>
    <w:rsid w:val="00842369"/>
    <w:rsid w:val="008426C6"/>
    <w:rsid w:val="00842C0E"/>
    <w:rsid w:val="00842D27"/>
    <w:rsid w:val="00845BF3"/>
    <w:rsid w:val="00845FC9"/>
    <w:rsid w:val="00850DD2"/>
    <w:rsid w:val="00852C87"/>
    <w:rsid w:val="00853E8D"/>
    <w:rsid w:val="00854BED"/>
    <w:rsid w:val="0085526A"/>
    <w:rsid w:val="00855E6A"/>
    <w:rsid w:val="008600BD"/>
    <w:rsid w:val="00861569"/>
    <w:rsid w:val="008617C9"/>
    <w:rsid w:val="0086249E"/>
    <w:rsid w:val="00862C39"/>
    <w:rsid w:val="00865E03"/>
    <w:rsid w:val="008677B1"/>
    <w:rsid w:val="0087407D"/>
    <w:rsid w:val="008751E0"/>
    <w:rsid w:val="008803F2"/>
    <w:rsid w:val="00881D8F"/>
    <w:rsid w:val="00881DB6"/>
    <w:rsid w:val="00883A9E"/>
    <w:rsid w:val="00885380"/>
    <w:rsid w:val="008900F9"/>
    <w:rsid w:val="0089187B"/>
    <w:rsid w:val="00897AA9"/>
    <w:rsid w:val="008A1424"/>
    <w:rsid w:val="008A3E2F"/>
    <w:rsid w:val="008A5CCC"/>
    <w:rsid w:val="008B1295"/>
    <w:rsid w:val="008B34BB"/>
    <w:rsid w:val="008B3C82"/>
    <w:rsid w:val="008B54D0"/>
    <w:rsid w:val="008C1191"/>
    <w:rsid w:val="008C11FC"/>
    <w:rsid w:val="008C1963"/>
    <w:rsid w:val="008C1D98"/>
    <w:rsid w:val="008C4ACA"/>
    <w:rsid w:val="008C57A2"/>
    <w:rsid w:val="008C6492"/>
    <w:rsid w:val="008D0186"/>
    <w:rsid w:val="008D0400"/>
    <w:rsid w:val="008D1569"/>
    <w:rsid w:val="008D3691"/>
    <w:rsid w:val="008D3DE9"/>
    <w:rsid w:val="008D4676"/>
    <w:rsid w:val="008D4FF7"/>
    <w:rsid w:val="008E5FB7"/>
    <w:rsid w:val="008E7FB9"/>
    <w:rsid w:val="008F1391"/>
    <w:rsid w:val="008F19FB"/>
    <w:rsid w:val="008F2719"/>
    <w:rsid w:val="008F3E55"/>
    <w:rsid w:val="008F4541"/>
    <w:rsid w:val="009014D3"/>
    <w:rsid w:val="00901A8F"/>
    <w:rsid w:val="00903B88"/>
    <w:rsid w:val="00904BA7"/>
    <w:rsid w:val="009065AD"/>
    <w:rsid w:val="00906E44"/>
    <w:rsid w:val="00907DF8"/>
    <w:rsid w:val="00917B4A"/>
    <w:rsid w:val="00921939"/>
    <w:rsid w:val="00925A36"/>
    <w:rsid w:val="00927C0C"/>
    <w:rsid w:val="00931571"/>
    <w:rsid w:val="00934899"/>
    <w:rsid w:val="00936811"/>
    <w:rsid w:val="00936B8D"/>
    <w:rsid w:val="00940828"/>
    <w:rsid w:val="0094143C"/>
    <w:rsid w:val="0094610E"/>
    <w:rsid w:val="0094698E"/>
    <w:rsid w:val="0095068B"/>
    <w:rsid w:val="00953DA9"/>
    <w:rsid w:val="00953F68"/>
    <w:rsid w:val="009543F5"/>
    <w:rsid w:val="00960799"/>
    <w:rsid w:val="00963533"/>
    <w:rsid w:val="00965FCB"/>
    <w:rsid w:val="0097382A"/>
    <w:rsid w:val="00975C7B"/>
    <w:rsid w:val="00976F4C"/>
    <w:rsid w:val="00980996"/>
    <w:rsid w:val="009831A6"/>
    <w:rsid w:val="00991E71"/>
    <w:rsid w:val="0099301C"/>
    <w:rsid w:val="00995E6A"/>
    <w:rsid w:val="009963CD"/>
    <w:rsid w:val="009A6692"/>
    <w:rsid w:val="009A6700"/>
    <w:rsid w:val="009B0EBE"/>
    <w:rsid w:val="009B18FE"/>
    <w:rsid w:val="009B32C5"/>
    <w:rsid w:val="009C16B0"/>
    <w:rsid w:val="009C1A06"/>
    <w:rsid w:val="009C58B7"/>
    <w:rsid w:val="009D0404"/>
    <w:rsid w:val="009D2AA3"/>
    <w:rsid w:val="009D44B2"/>
    <w:rsid w:val="009D7A84"/>
    <w:rsid w:val="009D7E4B"/>
    <w:rsid w:val="009E33D7"/>
    <w:rsid w:val="009E67B3"/>
    <w:rsid w:val="009E6D4C"/>
    <w:rsid w:val="009E7148"/>
    <w:rsid w:val="009E7310"/>
    <w:rsid w:val="009E734B"/>
    <w:rsid w:val="009F0EC4"/>
    <w:rsid w:val="009F3CA3"/>
    <w:rsid w:val="009F3E76"/>
    <w:rsid w:val="009F4BC5"/>
    <w:rsid w:val="009F794C"/>
    <w:rsid w:val="009F7B25"/>
    <w:rsid w:val="00A01A01"/>
    <w:rsid w:val="00A04115"/>
    <w:rsid w:val="00A10545"/>
    <w:rsid w:val="00A147C8"/>
    <w:rsid w:val="00A153E1"/>
    <w:rsid w:val="00A1684B"/>
    <w:rsid w:val="00A20B25"/>
    <w:rsid w:val="00A23C5F"/>
    <w:rsid w:val="00A254DB"/>
    <w:rsid w:val="00A25FC0"/>
    <w:rsid w:val="00A3125C"/>
    <w:rsid w:val="00A31ED0"/>
    <w:rsid w:val="00A3203B"/>
    <w:rsid w:val="00A34AD4"/>
    <w:rsid w:val="00A378D0"/>
    <w:rsid w:val="00A42199"/>
    <w:rsid w:val="00A422D5"/>
    <w:rsid w:val="00A42BD5"/>
    <w:rsid w:val="00A42E67"/>
    <w:rsid w:val="00A435B2"/>
    <w:rsid w:val="00A47E78"/>
    <w:rsid w:val="00A51FF4"/>
    <w:rsid w:val="00A55A18"/>
    <w:rsid w:val="00A60338"/>
    <w:rsid w:val="00A60883"/>
    <w:rsid w:val="00A60924"/>
    <w:rsid w:val="00A616A0"/>
    <w:rsid w:val="00A65E16"/>
    <w:rsid w:val="00A66974"/>
    <w:rsid w:val="00A67AD8"/>
    <w:rsid w:val="00A67CD1"/>
    <w:rsid w:val="00A71767"/>
    <w:rsid w:val="00A743DA"/>
    <w:rsid w:val="00A762CD"/>
    <w:rsid w:val="00A77ABF"/>
    <w:rsid w:val="00A8021D"/>
    <w:rsid w:val="00A80BA7"/>
    <w:rsid w:val="00A84053"/>
    <w:rsid w:val="00A8717C"/>
    <w:rsid w:val="00A87A42"/>
    <w:rsid w:val="00A92BF7"/>
    <w:rsid w:val="00A933A0"/>
    <w:rsid w:val="00A95DCF"/>
    <w:rsid w:val="00A9683D"/>
    <w:rsid w:val="00A97612"/>
    <w:rsid w:val="00AA6FF3"/>
    <w:rsid w:val="00AB168A"/>
    <w:rsid w:val="00AB1A37"/>
    <w:rsid w:val="00AB1EBD"/>
    <w:rsid w:val="00AB57B5"/>
    <w:rsid w:val="00AC0F58"/>
    <w:rsid w:val="00AC3CE1"/>
    <w:rsid w:val="00AC427E"/>
    <w:rsid w:val="00AC53BD"/>
    <w:rsid w:val="00AC7087"/>
    <w:rsid w:val="00AC70E9"/>
    <w:rsid w:val="00AE0300"/>
    <w:rsid w:val="00AE3734"/>
    <w:rsid w:val="00AE3F61"/>
    <w:rsid w:val="00AE558A"/>
    <w:rsid w:val="00AE5FD3"/>
    <w:rsid w:val="00AE627A"/>
    <w:rsid w:val="00AF1CD7"/>
    <w:rsid w:val="00AF2DF0"/>
    <w:rsid w:val="00AF3133"/>
    <w:rsid w:val="00AF32E4"/>
    <w:rsid w:val="00AF33EF"/>
    <w:rsid w:val="00AF3BD5"/>
    <w:rsid w:val="00AF4948"/>
    <w:rsid w:val="00AF61B3"/>
    <w:rsid w:val="00AF7008"/>
    <w:rsid w:val="00B00B8B"/>
    <w:rsid w:val="00B03A57"/>
    <w:rsid w:val="00B07EAF"/>
    <w:rsid w:val="00B11013"/>
    <w:rsid w:val="00B12108"/>
    <w:rsid w:val="00B12E45"/>
    <w:rsid w:val="00B131BD"/>
    <w:rsid w:val="00B13503"/>
    <w:rsid w:val="00B14009"/>
    <w:rsid w:val="00B17D9C"/>
    <w:rsid w:val="00B220B9"/>
    <w:rsid w:val="00B23F17"/>
    <w:rsid w:val="00B301B9"/>
    <w:rsid w:val="00B37B40"/>
    <w:rsid w:val="00B37C10"/>
    <w:rsid w:val="00B409CC"/>
    <w:rsid w:val="00B41499"/>
    <w:rsid w:val="00B42C9A"/>
    <w:rsid w:val="00B467C8"/>
    <w:rsid w:val="00B475FC"/>
    <w:rsid w:val="00B4789A"/>
    <w:rsid w:val="00B47B9F"/>
    <w:rsid w:val="00B50E44"/>
    <w:rsid w:val="00B524DD"/>
    <w:rsid w:val="00B60286"/>
    <w:rsid w:val="00B61EA1"/>
    <w:rsid w:val="00B62958"/>
    <w:rsid w:val="00B6505B"/>
    <w:rsid w:val="00B67646"/>
    <w:rsid w:val="00B742DD"/>
    <w:rsid w:val="00B77974"/>
    <w:rsid w:val="00B840DE"/>
    <w:rsid w:val="00B86091"/>
    <w:rsid w:val="00B87F24"/>
    <w:rsid w:val="00B90AAB"/>
    <w:rsid w:val="00B920AB"/>
    <w:rsid w:val="00B941AF"/>
    <w:rsid w:val="00B94246"/>
    <w:rsid w:val="00B949E3"/>
    <w:rsid w:val="00B96B2A"/>
    <w:rsid w:val="00BA0198"/>
    <w:rsid w:val="00BA12FB"/>
    <w:rsid w:val="00BA31A5"/>
    <w:rsid w:val="00BA55AB"/>
    <w:rsid w:val="00BA5909"/>
    <w:rsid w:val="00BB1D71"/>
    <w:rsid w:val="00BB22C5"/>
    <w:rsid w:val="00BB4277"/>
    <w:rsid w:val="00BB4A2C"/>
    <w:rsid w:val="00BB58AE"/>
    <w:rsid w:val="00BB6556"/>
    <w:rsid w:val="00BB6D4B"/>
    <w:rsid w:val="00BC0DA6"/>
    <w:rsid w:val="00BC4CC0"/>
    <w:rsid w:val="00BD4057"/>
    <w:rsid w:val="00BD44BC"/>
    <w:rsid w:val="00BD5306"/>
    <w:rsid w:val="00BD6CE7"/>
    <w:rsid w:val="00BE1561"/>
    <w:rsid w:val="00BE22BA"/>
    <w:rsid w:val="00BE2E5B"/>
    <w:rsid w:val="00BF13C0"/>
    <w:rsid w:val="00BF5728"/>
    <w:rsid w:val="00C058D5"/>
    <w:rsid w:val="00C0592A"/>
    <w:rsid w:val="00C06C9B"/>
    <w:rsid w:val="00C110AE"/>
    <w:rsid w:val="00C11A5A"/>
    <w:rsid w:val="00C16F60"/>
    <w:rsid w:val="00C2363C"/>
    <w:rsid w:val="00C260C9"/>
    <w:rsid w:val="00C27668"/>
    <w:rsid w:val="00C30582"/>
    <w:rsid w:val="00C3483A"/>
    <w:rsid w:val="00C35848"/>
    <w:rsid w:val="00C42DE1"/>
    <w:rsid w:val="00C4412D"/>
    <w:rsid w:val="00C45B45"/>
    <w:rsid w:val="00C4660D"/>
    <w:rsid w:val="00C501F7"/>
    <w:rsid w:val="00C53B3D"/>
    <w:rsid w:val="00C57D3D"/>
    <w:rsid w:val="00C60059"/>
    <w:rsid w:val="00C60C88"/>
    <w:rsid w:val="00C6179B"/>
    <w:rsid w:val="00C64D2F"/>
    <w:rsid w:val="00C7145A"/>
    <w:rsid w:val="00C7740D"/>
    <w:rsid w:val="00C77B48"/>
    <w:rsid w:val="00C77D00"/>
    <w:rsid w:val="00C842C1"/>
    <w:rsid w:val="00C9205E"/>
    <w:rsid w:val="00C96ADC"/>
    <w:rsid w:val="00C96B8A"/>
    <w:rsid w:val="00CA18A9"/>
    <w:rsid w:val="00CA4EEE"/>
    <w:rsid w:val="00CA75CC"/>
    <w:rsid w:val="00CB02EF"/>
    <w:rsid w:val="00CB2A23"/>
    <w:rsid w:val="00CB4259"/>
    <w:rsid w:val="00CB4318"/>
    <w:rsid w:val="00CC31D3"/>
    <w:rsid w:val="00CC3385"/>
    <w:rsid w:val="00CC36BD"/>
    <w:rsid w:val="00CC6BD2"/>
    <w:rsid w:val="00CC7197"/>
    <w:rsid w:val="00CD04E1"/>
    <w:rsid w:val="00CD0588"/>
    <w:rsid w:val="00CD075C"/>
    <w:rsid w:val="00CD07D9"/>
    <w:rsid w:val="00CD25A3"/>
    <w:rsid w:val="00CD4224"/>
    <w:rsid w:val="00CD50C5"/>
    <w:rsid w:val="00CD51EA"/>
    <w:rsid w:val="00CE0B75"/>
    <w:rsid w:val="00CE0EBF"/>
    <w:rsid w:val="00CE3E79"/>
    <w:rsid w:val="00CE453B"/>
    <w:rsid w:val="00CE5E16"/>
    <w:rsid w:val="00CE76A2"/>
    <w:rsid w:val="00CF0348"/>
    <w:rsid w:val="00CF18ED"/>
    <w:rsid w:val="00CF1C1B"/>
    <w:rsid w:val="00CF27B5"/>
    <w:rsid w:val="00CF767E"/>
    <w:rsid w:val="00D00E01"/>
    <w:rsid w:val="00D03ACA"/>
    <w:rsid w:val="00D06828"/>
    <w:rsid w:val="00D1180E"/>
    <w:rsid w:val="00D145BA"/>
    <w:rsid w:val="00D15B03"/>
    <w:rsid w:val="00D22965"/>
    <w:rsid w:val="00D249B6"/>
    <w:rsid w:val="00D25C2A"/>
    <w:rsid w:val="00D27E88"/>
    <w:rsid w:val="00D3041E"/>
    <w:rsid w:val="00D314C9"/>
    <w:rsid w:val="00D31862"/>
    <w:rsid w:val="00D32639"/>
    <w:rsid w:val="00D41B5F"/>
    <w:rsid w:val="00D41D1C"/>
    <w:rsid w:val="00D44515"/>
    <w:rsid w:val="00D45468"/>
    <w:rsid w:val="00D46004"/>
    <w:rsid w:val="00D46238"/>
    <w:rsid w:val="00D4648C"/>
    <w:rsid w:val="00D46951"/>
    <w:rsid w:val="00D46D17"/>
    <w:rsid w:val="00D50DB8"/>
    <w:rsid w:val="00D53288"/>
    <w:rsid w:val="00D560B7"/>
    <w:rsid w:val="00D56464"/>
    <w:rsid w:val="00D566DC"/>
    <w:rsid w:val="00D57361"/>
    <w:rsid w:val="00D5781C"/>
    <w:rsid w:val="00D605C1"/>
    <w:rsid w:val="00D61B05"/>
    <w:rsid w:val="00D61F1A"/>
    <w:rsid w:val="00D62425"/>
    <w:rsid w:val="00D62724"/>
    <w:rsid w:val="00D65102"/>
    <w:rsid w:val="00D6770F"/>
    <w:rsid w:val="00D75754"/>
    <w:rsid w:val="00D803E7"/>
    <w:rsid w:val="00D8060D"/>
    <w:rsid w:val="00D828DA"/>
    <w:rsid w:val="00D84CF4"/>
    <w:rsid w:val="00D87A76"/>
    <w:rsid w:val="00D909F5"/>
    <w:rsid w:val="00D91CB0"/>
    <w:rsid w:val="00D92C45"/>
    <w:rsid w:val="00D94C6B"/>
    <w:rsid w:val="00D95C23"/>
    <w:rsid w:val="00D97A5D"/>
    <w:rsid w:val="00DA063A"/>
    <w:rsid w:val="00DA1012"/>
    <w:rsid w:val="00DA2780"/>
    <w:rsid w:val="00DA57A5"/>
    <w:rsid w:val="00DB0E61"/>
    <w:rsid w:val="00DB1211"/>
    <w:rsid w:val="00DB22DE"/>
    <w:rsid w:val="00DB73E6"/>
    <w:rsid w:val="00DB78A5"/>
    <w:rsid w:val="00DC0BAD"/>
    <w:rsid w:val="00DC1E2D"/>
    <w:rsid w:val="00DC556A"/>
    <w:rsid w:val="00DC55DF"/>
    <w:rsid w:val="00DC7738"/>
    <w:rsid w:val="00DD0A72"/>
    <w:rsid w:val="00DD31EB"/>
    <w:rsid w:val="00DD3AE4"/>
    <w:rsid w:val="00DD6286"/>
    <w:rsid w:val="00DD6D83"/>
    <w:rsid w:val="00DD7182"/>
    <w:rsid w:val="00DE0120"/>
    <w:rsid w:val="00DE05B1"/>
    <w:rsid w:val="00DE23FF"/>
    <w:rsid w:val="00DE2603"/>
    <w:rsid w:val="00DE3DAC"/>
    <w:rsid w:val="00DE4B67"/>
    <w:rsid w:val="00DE585D"/>
    <w:rsid w:val="00DF31F5"/>
    <w:rsid w:val="00DF5D6A"/>
    <w:rsid w:val="00E00FF6"/>
    <w:rsid w:val="00E02CD5"/>
    <w:rsid w:val="00E06D3D"/>
    <w:rsid w:val="00E11457"/>
    <w:rsid w:val="00E11BD3"/>
    <w:rsid w:val="00E12B09"/>
    <w:rsid w:val="00E131FE"/>
    <w:rsid w:val="00E158E2"/>
    <w:rsid w:val="00E173E7"/>
    <w:rsid w:val="00E221A5"/>
    <w:rsid w:val="00E222E2"/>
    <w:rsid w:val="00E25902"/>
    <w:rsid w:val="00E3163A"/>
    <w:rsid w:val="00E3640F"/>
    <w:rsid w:val="00E40D1B"/>
    <w:rsid w:val="00E41AEF"/>
    <w:rsid w:val="00E441DA"/>
    <w:rsid w:val="00E46AB7"/>
    <w:rsid w:val="00E51F8E"/>
    <w:rsid w:val="00E536DF"/>
    <w:rsid w:val="00E571F1"/>
    <w:rsid w:val="00E57AD4"/>
    <w:rsid w:val="00E60615"/>
    <w:rsid w:val="00E61CB5"/>
    <w:rsid w:val="00E6222E"/>
    <w:rsid w:val="00E7009E"/>
    <w:rsid w:val="00E70DA2"/>
    <w:rsid w:val="00E7474B"/>
    <w:rsid w:val="00E7562C"/>
    <w:rsid w:val="00E80DA9"/>
    <w:rsid w:val="00E83191"/>
    <w:rsid w:val="00E840F4"/>
    <w:rsid w:val="00E85C8F"/>
    <w:rsid w:val="00E868CD"/>
    <w:rsid w:val="00E87EC5"/>
    <w:rsid w:val="00E90E92"/>
    <w:rsid w:val="00E92DD3"/>
    <w:rsid w:val="00E95213"/>
    <w:rsid w:val="00E96AF0"/>
    <w:rsid w:val="00E96EA0"/>
    <w:rsid w:val="00E977CD"/>
    <w:rsid w:val="00E97ACD"/>
    <w:rsid w:val="00EA35B7"/>
    <w:rsid w:val="00EA47E2"/>
    <w:rsid w:val="00EA5CDD"/>
    <w:rsid w:val="00EA64FE"/>
    <w:rsid w:val="00EA7086"/>
    <w:rsid w:val="00EB4E01"/>
    <w:rsid w:val="00EB524E"/>
    <w:rsid w:val="00EC04F3"/>
    <w:rsid w:val="00EC0D07"/>
    <w:rsid w:val="00EC1589"/>
    <w:rsid w:val="00EC3BD4"/>
    <w:rsid w:val="00EC4B8C"/>
    <w:rsid w:val="00EC4DD1"/>
    <w:rsid w:val="00ED4F50"/>
    <w:rsid w:val="00ED5582"/>
    <w:rsid w:val="00ED7EEE"/>
    <w:rsid w:val="00EE6095"/>
    <w:rsid w:val="00EF48A1"/>
    <w:rsid w:val="00EF4BF8"/>
    <w:rsid w:val="00EF4DBB"/>
    <w:rsid w:val="00EF5824"/>
    <w:rsid w:val="00EF6812"/>
    <w:rsid w:val="00F008C8"/>
    <w:rsid w:val="00F03882"/>
    <w:rsid w:val="00F0698F"/>
    <w:rsid w:val="00F102D1"/>
    <w:rsid w:val="00F129B5"/>
    <w:rsid w:val="00F13F1E"/>
    <w:rsid w:val="00F143A4"/>
    <w:rsid w:val="00F14D6A"/>
    <w:rsid w:val="00F1506B"/>
    <w:rsid w:val="00F156B5"/>
    <w:rsid w:val="00F2168D"/>
    <w:rsid w:val="00F23234"/>
    <w:rsid w:val="00F236DC"/>
    <w:rsid w:val="00F272BD"/>
    <w:rsid w:val="00F301F7"/>
    <w:rsid w:val="00F30C4C"/>
    <w:rsid w:val="00F361F2"/>
    <w:rsid w:val="00F3725F"/>
    <w:rsid w:val="00F37742"/>
    <w:rsid w:val="00F42E65"/>
    <w:rsid w:val="00F449C9"/>
    <w:rsid w:val="00F52B13"/>
    <w:rsid w:val="00F5732C"/>
    <w:rsid w:val="00F5799D"/>
    <w:rsid w:val="00F60D1D"/>
    <w:rsid w:val="00F60F3D"/>
    <w:rsid w:val="00F61121"/>
    <w:rsid w:val="00F62719"/>
    <w:rsid w:val="00F62A01"/>
    <w:rsid w:val="00F62C6B"/>
    <w:rsid w:val="00F6431B"/>
    <w:rsid w:val="00F6456F"/>
    <w:rsid w:val="00F661D1"/>
    <w:rsid w:val="00F66B6D"/>
    <w:rsid w:val="00F6738F"/>
    <w:rsid w:val="00F70BC8"/>
    <w:rsid w:val="00F718D5"/>
    <w:rsid w:val="00F763A3"/>
    <w:rsid w:val="00F81B4A"/>
    <w:rsid w:val="00F835A6"/>
    <w:rsid w:val="00F84D85"/>
    <w:rsid w:val="00F854AF"/>
    <w:rsid w:val="00F85850"/>
    <w:rsid w:val="00F92061"/>
    <w:rsid w:val="00F93AE6"/>
    <w:rsid w:val="00F9440B"/>
    <w:rsid w:val="00F96451"/>
    <w:rsid w:val="00FA1CCC"/>
    <w:rsid w:val="00FA239B"/>
    <w:rsid w:val="00FA77A9"/>
    <w:rsid w:val="00FB0ECA"/>
    <w:rsid w:val="00FB3980"/>
    <w:rsid w:val="00FB6142"/>
    <w:rsid w:val="00FB62C3"/>
    <w:rsid w:val="00FB7A1B"/>
    <w:rsid w:val="00FC1CF1"/>
    <w:rsid w:val="00FC2BDF"/>
    <w:rsid w:val="00FC4A09"/>
    <w:rsid w:val="00FC6D13"/>
    <w:rsid w:val="00FD0BDA"/>
    <w:rsid w:val="00FD510C"/>
    <w:rsid w:val="00FD7AF7"/>
    <w:rsid w:val="00FD7DB0"/>
    <w:rsid w:val="00FE0F5A"/>
    <w:rsid w:val="00FE1D62"/>
    <w:rsid w:val="00FE2917"/>
    <w:rsid w:val="00FE4FB6"/>
    <w:rsid w:val="00FE583E"/>
    <w:rsid w:val="00FE66F4"/>
    <w:rsid w:val="00FF1295"/>
    <w:rsid w:val="00FF5A89"/>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C3E39F5"/>
  <w15:docId w15:val="{14675915-9E5A-430E-9BDD-1D50EB1392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GB" w:eastAsia="zh-CN" w:bidi="ar-SA"/>
      </w:rPr>
    </w:rPrDefault>
    <w:pPrDefault>
      <w:pPr>
        <w:spacing w:after="160" w:line="259" w:lineRule="auto"/>
        <w:jc w:val="both"/>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B87F24"/>
    <w:pPr>
      <w:spacing w:line="256" w:lineRule="auto"/>
      <w:jc w:val="left"/>
    </w:pPr>
    <w:rPr>
      <w:rFonts w:eastAsiaTheme="minorHAnsi"/>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E06D3D"/>
    <w:rPr>
      <w:color w:val="0563C1" w:themeColor="hyperlink"/>
      <w:u w:val="single"/>
    </w:rPr>
  </w:style>
  <w:style w:type="table" w:styleId="TableGrid">
    <w:name w:val="Table Grid"/>
    <w:basedOn w:val="TableNormal"/>
    <w:uiPriority w:val="39"/>
    <w:rsid w:val="00137F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556AF5"/>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56AF5"/>
    <w:rPr>
      <w:rFonts w:ascii="Times New Roman" w:eastAsiaTheme="minorHAnsi" w:hAnsi="Times New Roman" w:cs="Times New Roman"/>
      <w:sz w:val="18"/>
      <w:szCs w:val="18"/>
      <w:lang w:val="en-US" w:eastAsia="en-US"/>
    </w:rPr>
  </w:style>
  <w:style w:type="character" w:styleId="CommentReference">
    <w:name w:val="annotation reference"/>
    <w:basedOn w:val="DefaultParagraphFont"/>
    <w:uiPriority w:val="99"/>
    <w:semiHidden/>
    <w:unhideWhenUsed/>
    <w:rsid w:val="00556AF5"/>
    <w:rPr>
      <w:sz w:val="16"/>
      <w:szCs w:val="16"/>
    </w:rPr>
  </w:style>
  <w:style w:type="paragraph" w:styleId="CommentText">
    <w:name w:val="annotation text"/>
    <w:basedOn w:val="Normal"/>
    <w:link w:val="CommentTextChar"/>
    <w:uiPriority w:val="99"/>
    <w:semiHidden/>
    <w:unhideWhenUsed/>
    <w:rsid w:val="00556AF5"/>
    <w:pPr>
      <w:spacing w:line="240" w:lineRule="auto"/>
    </w:pPr>
    <w:rPr>
      <w:sz w:val="20"/>
      <w:szCs w:val="20"/>
    </w:rPr>
  </w:style>
  <w:style w:type="character" w:customStyle="1" w:styleId="CommentTextChar">
    <w:name w:val="Comment Text Char"/>
    <w:basedOn w:val="DefaultParagraphFont"/>
    <w:link w:val="CommentText"/>
    <w:uiPriority w:val="99"/>
    <w:semiHidden/>
    <w:rsid w:val="00556AF5"/>
    <w:rPr>
      <w:rFonts w:eastAsiaTheme="minorHAnsi"/>
      <w:sz w:val="20"/>
      <w:szCs w:val="20"/>
      <w:lang w:val="en-US" w:eastAsia="en-US"/>
    </w:rPr>
  </w:style>
  <w:style w:type="paragraph" w:styleId="CommentSubject">
    <w:name w:val="annotation subject"/>
    <w:basedOn w:val="CommentText"/>
    <w:next w:val="CommentText"/>
    <w:link w:val="CommentSubjectChar"/>
    <w:uiPriority w:val="99"/>
    <w:semiHidden/>
    <w:unhideWhenUsed/>
    <w:rsid w:val="00556AF5"/>
    <w:rPr>
      <w:b/>
      <w:bCs/>
    </w:rPr>
  </w:style>
  <w:style w:type="character" w:customStyle="1" w:styleId="CommentSubjectChar">
    <w:name w:val="Comment Subject Char"/>
    <w:basedOn w:val="CommentTextChar"/>
    <w:link w:val="CommentSubject"/>
    <w:uiPriority w:val="99"/>
    <w:semiHidden/>
    <w:rsid w:val="00556AF5"/>
    <w:rPr>
      <w:rFonts w:eastAsiaTheme="minorHAnsi"/>
      <w:b/>
      <w:bCs/>
      <w:sz w:val="20"/>
      <w:szCs w:val="20"/>
      <w:lang w:val="en-US" w:eastAsia="en-US"/>
    </w:rPr>
  </w:style>
  <w:style w:type="paragraph" w:styleId="ListParagraph">
    <w:name w:val="List Paragraph"/>
    <w:basedOn w:val="Normal"/>
    <w:uiPriority w:val="34"/>
    <w:qFormat/>
    <w:rsid w:val="00CB4318"/>
    <w:pPr>
      <w:ind w:left="720"/>
      <w:contextualSpacing/>
    </w:pPr>
  </w:style>
  <w:style w:type="character" w:styleId="LineNumber">
    <w:name w:val="line number"/>
    <w:basedOn w:val="DefaultParagraphFont"/>
    <w:uiPriority w:val="99"/>
    <w:semiHidden/>
    <w:unhideWhenUsed/>
    <w:rsid w:val="002A5B93"/>
  </w:style>
  <w:style w:type="paragraph" w:styleId="Revision">
    <w:name w:val="Revision"/>
    <w:hidden/>
    <w:uiPriority w:val="99"/>
    <w:semiHidden/>
    <w:rsid w:val="00862C39"/>
    <w:pPr>
      <w:spacing w:after="0" w:line="240" w:lineRule="auto"/>
      <w:jc w:val="left"/>
    </w:pPr>
    <w:rPr>
      <w:rFonts w:eastAsiaTheme="minorHAnsi"/>
      <w:lang w:val="en-US" w:eastAsia="en-US"/>
    </w:rPr>
  </w:style>
  <w:style w:type="table" w:customStyle="1" w:styleId="TableGridLight1">
    <w:name w:val="Table Grid Light1"/>
    <w:basedOn w:val="TableNormal"/>
    <w:uiPriority w:val="40"/>
    <w:rsid w:val="0086249E"/>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Header">
    <w:name w:val="header"/>
    <w:basedOn w:val="Normal"/>
    <w:link w:val="HeaderChar"/>
    <w:uiPriority w:val="99"/>
    <w:unhideWhenUsed/>
    <w:rsid w:val="008D3DE9"/>
    <w:pPr>
      <w:tabs>
        <w:tab w:val="center" w:pos="4513"/>
        <w:tab w:val="right" w:pos="9026"/>
      </w:tabs>
      <w:spacing w:after="0" w:line="240" w:lineRule="auto"/>
    </w:pPr>
  </w:style>
  <w:style w:type="character" w:customStyle="1" w:styleId="HeaderChar">
    <w:name w:val="Header Char"/>
    <w:basedOn w:val="DefaultParagraphFont"/>
    <w:link w:val="Header"/>
    <w:uiPriority w:val="99"/>
    <w:rsid w:val="008D3DE9"/>
    <w:rPr>
      <w:rFonts w:eastAsiaTheme="minorHAnsi"/>
      <w:lang w:eastAsia="en-US"/>
    </w:rPr>
  </w:style>
  <w:style w:type="paragraph" w:styleId="Footer">
    <w:name w:val="footer"/>
    <w:basedOn w:val="Normal"/>
    <w:link w:val="FooterChar"/>
    <w:uiPriority w:val="99"/>
    <w:unhideWhenUsed/>
    <w:rsid w:val="008D3DE9"/>
    <w:pPr>
      <w:tabs>
        <w:tab w:val="center" w:pos="4513"/>
        <w:tab w:val="right" w:pos="9026"/>
      </w:tabs>
      <w:spacing w:after="0" w:line="240" w:lineRule="auto"/>
    </w:pPr>
  </w:style>
  <w:style w:type="character" w:customStyle="1" w:styleId="FooterChar">
    <w:name w:val="Footer Char"/>
    <w:basedOn w:val="DefaultParagraphFont"/>
    <w:link w:val="Footer"/>
    <w:uiPriority w:val="99"/>
    <w:rsid w:val="008D3DE9"/>
    <w:rPr>
      <w:rFonts w:eastAsiaTheme="minorHAnsi"/>
      <w:lang w:eastAsia="en-US"/>
    </w:rPr>
  </w:style>
  <w:style w:type="paragraph" w:customStyle="1" w:styleId="RSCB02ArticleText">
    <w:name w:val="RSC B02 Article Text"/>
    <w:basedOn w:val="Normal"/>
    <w:link w:val="RSCB02ArticleTextChar"/>
    <w:qFormat/>
    <w:rsid w:val="0059088B"/>
    <w:pPr>
      <w:spacing w:after="0" w:line="240" w:lineRule="exact"/>
      <w:jc w:val="both"/>
    </w:pPr>
    <w:rPr>
      <w:rFonts w:cs="Times New Roman"/>
      <w:w w:val="108"/>
      <w:sz w:val="18"/>
      <w:szCs w:val="18"/>
    </w:rPr>
  </w:style>
  <w:style w:type="character" w:customStyle="1" w:styleId="RSCB02ArticleTextChar">
    <w:name w:val="RSC B02 Article Text Char"/>
    <w:basedOn w:val="DefaultParagraphFont"/>
    <w:link w:val="RSCB02ArticleText"/>
    <w:rsid w:val="0059088B"/>
    <w:rPr>
      <w:rFonts w:eastAsiaTheme="minorHAnsi" w:cs="Times New Roman"/>
      <w:w w:val="108"/>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9517330">
      <w:bodyDiv w:val="1"/>
      <w:marLeft w:val="0"/>
      <w:marRight w:val="0"/>
      <w:marTop w:val="0"/>
      <w:marBottom w:val="0"/>
      <w:divBdr>
        <w:top w:val="none" w:sz="0" w:space="0" w:color="auto"/>
        <w:left w:val="none" w:sz="0" w:space="0" w:color="auto"/>
        <w:bottom w:val="none" w:sz="0" w:space="0" w:color="auto"/>
        <w:right w:val="none" w:sz="0" w:space="0" w:color="auto"/>
      </w:divBdr>
    </w:div>
    <w:div w:id="123349293">
      <w:bodyDiv w:val="1"/>
      <w:marLeft w:val="0"/>
      <w:marRight w:val="0"/>
      <w:marTop w:val="0"/>
      <w:marBottom w:val="0"/>
      <w:divBdr>
        <w:top w:val="none" w:sz="0" w:space="0" w:color="auto"/>
        <w:left w:val="none" w:sz="0" w:space="0" w:color="auto"/>
        <w:bottom w:val="none" w:sz="0" w:space="0" w:color="auto"/>
        <w:right w:val="none" w:sz="0" w:space="0" w:color="auto"/>
      </w:divBdr>
    </w:div>
    <w:div w:id="221791474">
      <w:bodyDiv w:val="1"/>
      <w:marLeft w:val="0"/>
      <w:marRight w:val="0"/>
      <w:marTop w:val="0"/>
      <w:marBottom w:val="0"/>
      <w:divBdr>
        <w:top w:val="none" w:sz="0" w:space="0" w:color="auto"/>
        <w:left w:val="none" w:sz="0" w:space="0" w:color="auto"/>
        <w:bottom w:val="none" w:sz="0" w:space="0" w:color="auto"/>
        <w:right w:val="none" w:sz="0" w:space="0" w:color="auto"/>
      </w:divBdr>
    </w:div>
    <w:div w:id="228347837">
      <w:bodyDiv w:val="1"/>
      <w:marLeft w:val="0"/>
      <w:marRight w:val="0"/>
      <w:marTop w:val="0"/>
      <w:marBottom w:val="0"/>
      <w:divBdr>
        <w:top w:val="none" w:sz="0" w:space="0" w:color="auto"/>
        <w:left w:val="none" w:sz="0" w:space="0" w:color="auto"/>
        <w:bottom w:val="none" w:sz="0" w:space="0" w:color="auto"/>
        <w:right w:val="none" w:sz="0" w:space="0" w:color="auto"/>
      </w:divBdr>
    </w:div>
    <w:div w:id="445393581">
      <w:bodyDiv w:val="1"/>
      <w:marLeft w:val="0"/>
      <w:marRight w:val="0"/>
      <w:marTop w:val="0"/>
      <w:marBottom w:val="0"/>
      <w:divBdr>
        <w:top w:val="none" w:sz="0" w:space="0" w:color="auto"/>
        <w:left w:val="none" w:sz="0" w:space="0" w:color="auto"/>
        <w:bottom w:val="none" w:sz="0" w:space="0" w:color="auto"/>
        <w:right w:val="none" w:sz="0" w:space="0" w:color="auto"/>
      </w:divBdr>
    </w:div>
    <w:div w:id="453528124">
      <w:bodyDiv w:val="1"/>
      <w:marLeft w:val="0"/>
      <w:marRight w:val="0"/>
      <w:marTop w:val="0"/>
      <w:marBottom w:val="0"/>
      <w:divBdr>
        <w:top w:val="none" w:sz="0" w:space="0" w:color="auto"/>
        <w:left w:val="none" w:sz="0" w:space="0" w:color="auto"/>
        <w:bottom w:val="none" w:sz="0" w:space="0" w:color="auto"/>
        <w:right w:val="none" w:sz="0" w:space="0" w:color="auto"/>
      </w:divBdr>
    </w:div>
    <w:div w:id="587426745">
      <w:bodyDiv w:val="1"/>
      <w:marLeft w:val="0"/>
      <w:marRight w:val="0"/>
      <w:marTop w:val="0"/>
      <w:marBottom w:val="0"/>
      <w:divBdr>
        <w:top w:val="none" w:sz="0" w:space="0" w:color="auto"/>
        <w:left w:val="none" w:sz="0" w:space="0" w:color="auto"/>
        <w:bottom w:val="none" w:sz="0" w:space="0" w:color="auto"/>
        <w:right w:val="none" w:sz="0" w:space="0" w:color="auto"/>
      </w:divBdr>
    </w:div>
    <w:div w:id="772821383">
      <w:bodyDiv w:val="1"/>
      <w:marLeft w:val="0"/>
      <w:marRight w:val="0"/>
      <w:marTop w:val="0"/>
      <w:marBottom w:val="0"/>
      <w:divBdr>
        <w:top w:val="none" w:sz="0" w:space="0" w:color="auto"/>
        <w:left w:val="none" w:sz="0" w:space="0" w:color="auto"/>
        <w:bottom w:val="none" w:sz="0" w:space="0" w:color="auto"/>
        <w:right w:val="none" w:sz="0" w:space="0" w:color="auto"/>
      </w:divBdr>
    </w:div>
    <w:div w:id="953169017">
      <w:bodyDiv w:val="1"/>
      <w:marLeft w:val="0"/>
      <w:marRight w:val="0"/>
      <w:marTop w:val="0"/>
      <w:marBottom w:val="0"/>
      <w:divBdr>
        <w:top w:val="none" w:sz="0" w:space="0" w:color="auto"/>
        <w:left w:val="none" w:sz="0" w:space="0" w:color="auto"/>
        <w:bottom w:val="none" w:sz="0" w:space="0" w:color="auto"/>
        <w:right w:val="none" w:sz="0" w:space="0" w:color="auto"/>
      </w:divBdr>
    </w:div>
    <w:div w:id="1051684992">
      <w:bodyDiv w:val="1"/>
      <w:marLeft w:val="0"/>
      <w:marRight w:val="0"/>
      <w:marTop w:val="0"/>
      <w:marBottom w:val="0"/>
      <w:divBdr>
        <w:top w:val="none" w:sz="0" w:space="0" w:color="auto"/>
        <w:left w:val="none" w:sz="0" w:space="0" w:color="auto"/>
        <w:bottom w:val="none" w:sz="0" w:space="0" w:color="auto"/>
        <w:right w:val="none" w:sz="0" w:space="0" w:color="auto"/>
      </w:divBdr>
    </w:div>
    <w:div w:id="1253126199">
      <w:bodyDiv w:val="1"/>
      <w:marLeft w:val="0"/>
      <w:marRight w:val="0"/>
      <w:marTop w:val="0"/>
      <w:marBottom w:val="0"/>
      <w:divBdr>
        <w:top w:val="none" w:sz="0" w:space="0" w:color="auto"/>
        <w:left w:val="none" w:sz="0" w:space="0" w:color="auto"/>
        <w:bottom w:val="none" w:sz="0" w:space="0" w:color="auto"/>
        <w:right w:val="none" w:sz="0" w:space="0" w:color="auto"/>
      </w:divBdr>
    </w:div>
    <w:div w:id="1288854506">
      <w:bodyDiv w:val="1"/>
      <w:marLeft w:val="0"/>
      <w:marRight w:val="0"/>
      <w:marTop w:val="0"/>
      <w:marBottom w:val="0"/>
      <w:divBdr>
        <w:top w:val="none" w:sz="0" w:space="0" w:color="auto"/>
        <w:left w:val="none" w:sz="0" w:space="0" w:color="auto"/>
        <w:bottom w:val="none" w:sz="0" w:space="0" w:color="auto"/>
        <w:right w:val="none" w:sz="0" w:space="0" w:color="auto"/>
      </w:divBdr>
      <w:divsChild>
        <w:div w:id="312418616">
          <w:marLeft w:val="0"/>
          <w:marRight w:val="0"/>
          <w:marTop w:val="0"/>
          <w:marBottom w:val="0"/>
          <w:divBdr>
            <w:top w:val="none" w:sz="0" w:space="0" w:color="auto"/>
            <w:left w:val="none" w:sz="0" w:space="0" w:color="auto"/>
            <w:bottom w:val="none" w:sz="0" w:space="0" w:color="auto"/>
            <w:right w:val="none" w:sz="0" w:space="0" w:color="auto"/>
          </w:divBdr>
        </w:div>
        <w:div w:id="637950649">
          <w:marLeft w:val="0"/>
          <w:marRight w:val="0"/>
          <w:marTop w:val="0"/>
          <w:marBottom w:val="0"/>
          <w:divBdr>
            <w:top w:val="none" w:sz="0" w:space="0" w:color="auto"/>
            <w:left w:val="none" w:sz="0" w:space="0" w:color="auto"/>
            <w:bottom w:val="none" w:sz="0" w:space="0" w:color="auto"/>
            <w:right w:val="none" w:sz="0" w:space="0" w:color="auto"/>
          </w:divBdr>
        </w:div>
        <w:div w:id="1396199741">
          <w:marLeft w:val="0"/>
          <w:marRight w:val="0"/>
          <w:marTop w:val="0"/>
          <w:marBottom w:val="0"/>
          <w:divBdr>
            <w:top w:val="none" w:sz="0" w:space="0" w:color="auto"/>
            <w:left w:val="none" w:sz="0" w:space="0" w:color="auto"/>
            <w:bottom w:val="none" w:sz="0" w:space="0" w:color="auto"/>
            <w:right w:val="none" w:sz="0" w:space="0" w:color="auto"/>
          </w:divBdr>
        </w:div>
        <w:div w:id="2014143777">
          <w:marLeft w:val="0"/>
          <w:marRight w:val="0"/>
          <w:marTop w:val="0"/>
          <w:marBottom w:val="0"/>
          <w:divBdr>
            <w:top w:val="none" w:sz="0" w:space="0" w:color="auto"/>
            <w:left w:val="none" w:sz="0" w:space="0" w:color="auto"/>
            <w:bottom w:val="none" w:sz="0" w:space="0" w:color="auto"/>
            <w:right w:val="none" w:sz="0" w:space="0" w:color="auto"/>
          </w:divBdr>
        </w:div>
        <w:div w:id="2099670966">
          <w:marLeft w:val="0"/>
          <w:marRight w:val="0"/>
          <w:marTop w:val="0"/>
          <w:marBottom w:val="0"/>
          <w:divBdr>
            <w:top w:val="none" w:sz="0" w:space="0" w:color="auto"/>
            <w:left w:val="none" w:sz="0" w:space="0" w:color="auto"/>
            <w:bottom w:val="none" w:sz="0" w:space="0" w:color="auto"/>
            <w:right w:val="none" w:sz="0" w:space="0" w:color="auto"/>
          </w:divBdr>
        </w:div>
      </w:divsChild>
    </w:div>
    <w:div w:id="1297829731">
      <w:bodyDiv w:val="1"/>
      <w:marLeft w:val="0"/>
      <w:marRight w:val="0"/>
      <w:marTop w:val="0"/>
      <w:marBottom w:val="0"/>
      <w:divBdr>
        <w:top w:val="none" w:sz="0" w:space="0" w:color="auto"/>
        <w:left w:val="none" w:sz="0" w:space="0" w:color="auto"/>
        <w:bottom w:val="none" w:sz="0" w:space="0" w:color="auto"/>
        <w:right w:val="none" w:sz="0" w:space="0" w:color="auto"/>
      </w:divBdr>
    </w:div>
    <w:div w:id="1381394864">
      <w:bodyDiv w:val="1"/>
      <w:marLeft w:val="0"/>
      <w:marRight w:val="0"/>
      <w:marTop w:val="0"/>
      <w:marBottom w:val="0"/>
      <w:divBdr>
        <w:top w:val="none" w:sz="0" w:space="0" w:color="auto"/>
        <w:left w:val="none" w:sz="0" w:space="0" w:color="auto"/>
        <w:bottom w:val="none" w:sz="0" w:space="0" w:color="auto"/>
        <w:right w:val="none" w:sz="0" w:space="0" w:color="auto"/>
      </w:divBdr>
    </w:div>
    <w:div w:id="1693604214">
      <w:bodyDiv w:val="1"/>
      <w:marLeft w:val="0"/>
      <w:marRight w:val="0"/>
      <w:marTop w:val="0"/>
      <w:marBottom w:val="0"/>
      <w:divBdr>
        <w:top w:val="none" w:sz="0" w:space="0" w:color="auto"/>
        <w:left w:val="none" w:sz="0" w:space="0" w:color="auto"/>
        <w:bottom w:val="none" w:sz="0" w:space="0" w:color="auto"/>
        <w:right w:val="none" w:sz="0" w:space="0" w:color="auto"/>
      </w:divBdr>
    </w:div>
    <w:div w:id="1724214385">
      <w:bodyDiv w:val="1"/>
      <w:marLeft w:val="0"/>
      <w:marRight w:val="0"/>
      <w:marTop w:val="0"/>
      <w:marBottom w:val="0"/>
      <w:divBdr>
        <w:top w:val="none" w:sz="0" w:space="0" w:color="auto"/>
        <w:left w:val="none" w:sz="0" w:space="0" w:color="auto"/>
        <w:bottom w:val="none" w:sz="0" w:space="0" w:color="auto"/>
        <w:right w:val="none" w:sz="0" w:space="0" w:color="auto"/>
      </w:divBdr>
    </w:div>
    <w:div w:id="1778258342">
      <w:bodyDiv w:val="1"/>
      <w:marLeft w:val="0"/>
      <w:marRight w:val="0"/>
      <w:marTop w:val="0"/>
      <w:marBottom w:val="0"/>
      <w:divBdr>
        <w:top w:val="none" w:sz="0" w:space="0" w:color="auto"/>
        <w:left w:val="none" w:sz="0" w:space="0" w:color="auto"/>
        <w:bottom w:val="none" w:sz="0" w:space="0" w:color="auto"/>
        <w:right w:val="none" w:sz="0" w:space="0" w:color="auto"/>
      </w:divBdr>
      <w:divsChild>
        <w:div w:id="758334525">
          <w:marLeft w:val="0"/>
          <w:marRight w:val="0"/>
          <w:marTop w:val="0"/>
          <w:marBottom w:val="0"/>
          <w:divBdr>
            <w:top w:val="none" w:sz="0" w:space="0" w:color="auto"/>
            <w:left w:val="none" w:sz="0" w:space="0" w:color="auto"/>
            <w:bottom w:val="none" w:sz="0" w:space="0" w:color="auto"/>
            <w:right w:val="none" w:sz="0" w:space="0" w:color="auto"/>
          </w:divBdr>
        </w:div>
        <w:div w:id="1884051727">
          <w:marLeft w:val="0"/>
          <w:marRight w:val="0"/>
          <w:marTop w:val="0"/>
          <w:marBottom w:val="0"/>
          <w:divBdr>
            <w:top w:val="none" w:sz="0" w:space="0" w:color="auto"/>
            <w:left w:val="none" w:sz="0" w:space="0" w:color="auto"/>
            <w:bottom w:val="none" w:sz="0" w:space="0" w:color="auto"/>
            <w:right w:val="none" w:sz="0" w:space="0" w:color="auto"/>
          </w:divBdr>
        </w:div>
      </w:divsChild>
    </w:div>
    <w:div w:id="1845440293">
      <w:bodyDiv w:val="1"/>
      <w:marLeft w:val="0"/>
      <w:marRight w:val="0"/>
      <w:marTop w:val="0"/>
      <w:marBottom w:val="0"/>
      <w:divBdr>
        <w:top w:val="none" w:sz="0" w:space="0" w:color="auto"/>
        <w:left w:val="none" w:sz="0" w:space="0" w:color="auto"/>
        <w:bottom w:val="none" w:sz="0" w:space="0" w:color="auto"/>
        <w:right w:val="none" w:sz="0" w:space="0" w:color="auto"/>
      </w:divBdr>
    </w:div>
    <w:div w:id="20651060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4.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oleObject" Target="embeddings/oleObject2.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emf"/><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tiff"/><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5385BF-6420-6244-916B-19FCFBDAD0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22</Pages>
  <Words>4786</Words>
  <Characters>27283</Characters>
  <Application>Microsoft Office Word</Application>
  <DocSecurity>0</DocSecurity>
  <Lines>227</Lines>
  <Paragraphs>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 Fang</dc:creator>
  <cp:keywords/>
  <dc:description/>
  <cp:lastModifiedBy>Mike Watkinson</cp:lastModifiedBy>
  <cp:revision>3</cp:revision>
  <dcterms:created xsi:type="dcterms:W3CDTF">2019-10-22T13:25:00Z</dcterms:created>
  <dcterms:modified xsi:type="dcterms:W3CDTF">2019-10-22T13:27:00Z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http://www.zotero.org/styles/chemical-communications</vt:lpwstr>
  </property>
  <property fmtid="{D5CDD505-2E9C-101B-9397-08002B2CF9AE}" pid="11" name="Mendeley Recent Style Name 4_1">
    <vt:lpwstr>Chemical Communications</vt:lpwstr>
  </property>
  <property fmtid="{D5CDD505-2E9C-101B-9397-08002B2CF9AE}" pid="12" name="Mendeley Recent Style Id 5_1">
    <vt:lpwstr>http://www.zotero.org/styles/chemical-science</vt:lpwstr>
  </property>
  <property fmtid="{D5CDD505-2E9C-101B-9397-08002B2CF9AE}" pid="13" name="Mendeley Recent Style Name 5_1">
    <vt:lpwstr>Chemical Science</vt:lpwstr>
  </property>
  <property fmtid="{D5CDD505-2E9C-101B-9397-08002B2CF9AE}" pid="14" name="Mendeley Recent Style Id 6_1">
    <vt:lpwstr>http://www.zotero.org/styles/chicago-author-date</vt:lpwstr>
  </property>
  <property fmtid="{D5CDD505-2E9C-101B-9397-08002B2CF9AE}" pid="15" name="Mendeley Recent Style Name 6_1">
    <vt:lpwstr>Chicago Manual of Style 17th edition (author-date)</vt:lpwstr>
  </property>
  <property fmtid="{D5CDD505-2E9C-101B-9397-08002B2CF9AE}" pid="16" name="Mendeley Recent Style Id 7_1">
    <vt:lpwstr>http://www.zotero.org/styles/ieee</vt:lpwstr>
  </property>
  <property fmtid="{D5CDD505-2E9C-101B-9397-08002B2CF9AE}" pid="17" name="Mendeley Recent Style Name 7_1">
    <vt:lpwstr>IEEE</vt:lpwstr>
  </property>
  <property fmtid="{D5CDD505-2E9C-101B-9397-08002B2CF9AE}" pid="18" name="Mendeley Recent Style Id 8_1">
    <vt:lpwstr>http://www.zotero.org/styles/journal-of-the-american-chemical-society</vt:lpwstr>
  </property>
  <property fmtid="{D5CDD505-2E9C-101B-9397-08002B2CF9AE}" pid="19" name="Mendeley Recent Style Name 8_1">
    <vt:lpwstr>Journal of the American Chemical Society</vt:lpwstr>
  </property>
  <property fmtid="{D5CDD505-2E9C-101B-9397-08002B2CF9AE}" pid="20" name="Mendeley Recent Style Id 9_1">
    <vt:lpwstr>http://www.zotero.org/styles/organic-and-biomolecular-chemistry</vt:lpwstr>
  </property>
  <property fmtid="{D5CDD505-2E9C-101B-9397-08002B2CF9AE}" pid="21" name="Mendeley Recent Style Name 9_1">
    <vt:lpwstr>Organic &amp; Biomolecular Chemistry</vt:lpwstr>
  </property>
  <property fmtid="{D5CDD505-2E9C-101B-9397-08002B2CF9AE}" pid="22" name="Mendeley Document_1">
    <vt:lpwstr>True</vt:lpwstr>
  </property>
  <property fmtid="{D5CDD505-2E9C-101B-9397-08002B2CF9AE}" pid="23" name="Mendeley Unique User Id_1">
    <vt:lpwstr>Self UUID Temp</vt:lpwstr>
  </property>
  <property fmtid="{D5CDD505-2E9C-101B-9397-08002B2CF9AE}" pid="24" name="Mendeley Citation Style_1">
    <vt:lpwstr>http://www.zotero.org/styles/chemical-science</vt:lpwstr>
  </property>
</Properties>
</file>