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CBB75" w14:textId="77777777" w:rsidR="00C33170" w:rsidRDefault="00C33170" w:rsidP="00C33170">
      <w:pPr>
        <w:jc w:val="both"/>
        <w:rPr>
          <w:b/>
          <w:sz w:val="24"/>
          <w:szCs w:val="24"/>
        </w:rPr>
      </w:pPr>
      <w:r w:rsidRPr="00235A7C">
        <w:rPr>
          <w:b/>
          <w:bCs/>
          <w:color w:val="000000"/>
          <w:sz w:val="24"/>
          <w:szCs w:val="24"/>
          <w:shd w:val="clear" w:color="auto" w:fill="FFFFFF"/>
        </w:rPr>
        <w:t xml:space="preserve">Factors associated with healing outcomes in primary care patients with diabetic foot ulcers: a retrospective study in a </w:t>
      </w:r>
      <w:r w:rsidRPr="00235A7C">
        <w:rPr>
          <w:b/>
          <w:sz w:val="24"/>
          <w:szCs w:val="24"/>
        </w:rPr>
        <w:t>multi-ethnic sample</w:t>
      </w:r>
    </w:p>
    <w:p w14:paraId="1E30680C" w14:textId="77777777" w:rsidR="00C33170" w:rsidRPr="00235A7C" w:rsidRDefault="00C33170" w:rsidP="00C33170">
      <w:pPr>
        <w:jc w:val="both"/>
        <w:rPr>
          <w:b/>
          <w:bCs/>
          <w:color w:val="000000"/>
          <w:sz w:val="24"/>
          <w:szCs w:val="24"/>
          <w:shd w:val="clear" w:color="auto" w:fill="FFFFFF"/>
        </w:rPr>
      </w:pPr>
    </w:p>
    <w:p w14:paraId="4214679B" w14:textId="77777777" w:rsidR="00C33170" w:rsidRDefault="00C33170" w:rsidP="00C33170">
      <w:pPr>
        <w:spacing w:line="240" w:lineRule="auto"/>
        <w:jc w:val="both"/>
      </w:pPr>
      <w:proofErr w:type="spellStart"/>
      <w:r w:rsidRPr="00253128">
        <w:t>Xiaoli</w:t>
      </w:r>
      <w:proofErr w:type="spellEnd"/>
      <w:r w:rsidRPr="00253128">
        <w:t xml:space="preserve"> Zhu</w:t>
      </w:r>
      <w:r w:rsidRPr="00253128">
        <w:rPr>
          <w:vertAlign w:val="superscript"/>
        </w:rPr>
        <w:t>1</w:t>
      </w:r>
      <w:r w:rsidRPr="00253128">
        <w:t xml:space="preserve"> RN, MN; Maja Olsson</w:t>
      </w:r>
      <w:r w:rsidRPr="00253128">
        <w:rPr>
          <w:vertAlign w:val="superscript"/>
        </w:rPr>
        <w:t>2</w:t>
      </w:r>
      <w:r w:rsidRPr="00253128">
        <w:t>, BSN, RN, MMSPH, PhD Candidate; Ram Bajpai</w:t>
      </w:r>
      <w:r w:rsidRPr="00253128">
        <w:rPr>
          <w:vertAlign w:val="superscript"/>
        </w:rPr>
        <w:t>3</w:t>
      </w:r>
      <w:r w:rsidRPr="00253128">
        <w:t>, PhD; Lim VH</w:t>
      </w:r>
      <w:r w:rsidRPr="00253128">
        <w:rPr>
          <w:vertAlign w:val="superscript"/>
        </w:rPr>
        <w:t>1</w:t>
      </w:r>
      <w:r w:rsidRPr="00253128">
        <w:t>, RN, MN; Goh</w:t>
      </w:r>
      <w:r w:rsidRPr="00235A7C">
        <w:t xml:space="preserve"> LJ</w:t>
      </w:r>
      <w:r w:rsidRPr="00235A7C">
        <w:rPr>
          <w:vertAlign w:val="superscript"/>
        </w:rPr>
        <w:t>1</w:t>
      </w:r>
      <w:r w:rsidRPr="00235A7C">
        <w:t xml:space="preserve"> RN </w:t>
      </w:r>
      <w:proofErr w:type="spellStart"/>
      <w:r w:rsidRPr="00235A7C">
        <w:t>MClinRes</w:t>
      </w:r>
      <w:proofErr w:type="spellEnd"/>
      <w:r w:rsidRPr="00235A7C">
        <w:t xml:space="preserve">, </w:t>
      </w:r>
    </w:p>
    <w:p w14:paraId="23D77795" w14:textId="77777777" w:rsidR="00C33170" w:rsidRPr="00235A7C" w:rsidRDefault="00C33170" w:rsidP="00C33170">
      <w:pPr>
        <w:spacing w:line="240" w:lineRule="auto"/>
        <w:jc w:val="both"/>
      </w:pPr>
    </w:p>
    <w:p w14:paraId="1C13538A" w14:textId="77777777" w:rsidR="00C33170" w:rsidRPr="00235A7C" w:rsidRDefault="00C33170" w:rsidP="00C33170">
      <w:pPr>
        <w:widowControl w:val="0"/>
        <w:autoSpaceDE w:val="0"/>
        <w:autoSpaceDN w:val="0"/>
        <w:adjustRightInd w:val="0"/>
        <w:spacing w:line="240" w:lineRule="auto"/>
        <w:jc w:val="both"/>
      </w:pPr>
      <w:r w:rsidRPr="00235A7C">
        <w:rPr>
          <w:vertAlign w:val="superscript"/>
        </w:rPr>
        <w:t>1</w:t>
      </w:r>
      <w:r w:rsidRPr="00235A7C">
        <w:t xml:space="preserve">Nursing Services, National Healthcare Group Polyclinics, </w:t>
      </w:r>
      <w:proofErr w:type="gramStart"/>
      <w:r w:rsidRPr="00235A7C">
        <w:t>Singapore;</w:t>
      </w:r>
      <w:proofErr w:type="gramEnd"/>
      <w:r w:rsidRPr="00235A7C">
        <w:t xml:space="preserve"> </w:t>
      </w:r>
    </w:p>
    <w:p w14:paraId="2C78A8C1" w14:textId="77777777" w:rsidR="00C33170" w:rsidRPr="00235A7C" w:rsidRDefault="00C33170" w:rsidP="00C33170">
      <w:pPr>
        <w:widowControl w:val="0"/>
        <w:autoSpaceDE w:val="0"/>
        <w:autoSpaceDN w:val="0"/>
        <w:adjustRightInd w:val="0"/>
        <w:spacing w:line="240" w:lineRule="auto"/>
        <w:jc w:val="both"/>
      </w:pPr>
      <w:r w:rsidRPr="00235A7C">
        <w:rPr>
          <w:vertAlign w:val="superscript"/>
        </w:rPr>
        <w:t>2</w:t>
      </w:r>
      <w:r w:rsidRPr="00235A7C">
        <w:t>Centre for Healthcare Transformation, School of Nursing, Queensland University of Technology, Brisbane, Queensland, Australia</w:t>
      </w:r>
    </w:p>
    <w:p w14:paraId="2BEEC2DD" w14:textId="77777777" w:rsidR="00C33170" w:rsidRPr="00235A7C" w:rsidRDefault="00C33170" w:rsidP="00C33170">
      <w:pPr>
        <w:widowControl w:val="0"/>
        <w:autoSpaceDE w:val="0"/>
        <w:autoSpaceDN w:val="0"/>
        <w:adjustRightInd w:val="0"/>
        <w:spacing w:line="240" w:lineRule="auto"/>
        <w:jc w:val="both"/>
        <w:rPr>
          <w:color w:val="222222"/>
          <w:shd w:val="clear" w:color="auto" w:fill="FFFFFF"/>
        </w:rPr>
      </w:pPr>
      <w:r w:rsidRPr="00235A7C">
        <w:rPr>
          <w:color w:val="222222"/>
          <w:shd w:val="clear" w:color="auto" w:fill="FFFFFF"/>
          <w:vertAlign w:val="superscript"/>
        </w:rPr>
        <w:t>3</w:t>
      </w:r>
      <w:r w:rsidRPr="00235A7C">
        <w:rPr>
          <w:color w:val="222222"/>
          <w:shd w:val="clear" w:color="auto" w:fill="FFFFFF"/>
        </w:rPr>
        <w:t xml:space="preserve">School of Medicine, </w:t>
      </w:r>
      <w:proofErr w:type="spellStart"/>
      <w:r w:rsidRPr="00235A7C">
        <w:rPr>
          <w:color w:val="222222"/>
          <w:shd w:val="clear" w:color="auto" w:fill="FFFFFF"/>
        </w:rPr>
        <w:t>Keele</w:t>
      </w:r>
      <w:proofErr w:type="spellEnd"/>
      <w:r w:rsidRPr="00235A7C">
        <w:rPr>
          <w:color w:val="222222"/>
          <w:shd w:val="clear" w:color="auto" w:fill="FFFFFF"/>
        </w:rPr>
        <w:t xml:space="preserve"> University, Staffordshire ST5 5BG UK</w:t>
      </w:r>
    </w:p>
    <w:p w14:paraId="01B66E75" w14:textId="77777777" w:rsidR="00C33170" w:rsidRPr="00235A7C" w:rsidRDefault="00C33170" w:rsidP="00C33170">
      <w:pPr>
        <w:jc w:val="both"/>
        <w:rPr>
          <w:b/>
        </w:rPr>
      </w:pPr>
    </w:p>
    <w:p w14:paraId="4EB82DA2" w14:textId="77777777" w:rsidR="00C33170" w:rsidRPr="00F3718C" w:rsidRDefault="00C33170" w:rsidP="00C33170">
      <w:pPr>
        <w:jc w:val="both"/>
        <w:rPr>
          <w:b/>
        </w:rPr>
      </w:pPr>
      <w:r w:rsidRPr="00F3718C">
        <w:rPr>
          <w:b/>
        </w:rPr>
        <w:t>Correspondence</w:t>
      </w:r>
    </w:p>
    <w:p w14:paraId="0ABB835D" w14:textId="77777777" w:rsidR="00C33170" w:rsidRPr="00F3718C" w:rsidRDefault="00C33170" w:rsidP="00C33170">
      <w:pPr>
        <w:jc w:val="both"/>
      </w:pPr>
      <w:r w:rsidRPr="00F3718C">
        <w:t xml:space="preserve">Zhu </w:t>
      </w:r>
      <w:proofErr w:type="spellStart"/>
      <w:r w:rsidRPr="00F3718C">
        <w:t>Xiaoli</w:t>
      </w:r>
      <w:proofErr w:type="spellEnd"/>
      <w:r w:rsidRPr="00F3718C">
        <w:t xml:space="preserve">, Nursing Services, National Healthcare Group Polyclinics Singapore, 3 </w:t>
      </w:r>
      <w:proofErr w:type="spellStart"/>
      <w:r w:rsidRPr="00F3718C">
        <w:t>Fusionopolis</w:t>
      </w:r>
      <w:proofErr w:type="spellEnd"/>
      <w:r w:rsidRPr="00F3718C">
        <w:t xml:space="preserve"> Link, </w:t>
      </w:r>
      <w:proofErr w:type="spellStart"/>
      <w:r w:rsidRPr="00F3718C">
        <w:t>Nexus@one-north</w:t>
      </w:r>
      <w:proofErr w:type="spellEnd"/>
      <w:r w:rsidRPr="00F3718C">
        <w:t xml:space="preserve"> (South Lobby), #05-10, Singapore, 138543, Email: </w:t>
      </w:r>
      <w:hyperlink r:id="rId8" w:history="1">
        <w:r w:rsidRPr="00F3718C">
          <w:rPr>
            <w:rStyle w:val="Hyperlink"/>
          </w:rPr>
          <w:t>Julia_zhu@nhgp.com.sg</w:t>
        </w:r>
      </w:hyperlink>
      <w:r w:rsidRPr="00F3718C">
        <w:t xml:space="preserve">  </w:t>
      </w:r>
    </w:p>
    <w:p w14:paraId="56AB334B" w14:textId="77777777" w:rsidR="00C33170" w:rsidRDefault="00C33170" w:rsidP="00C33170">
      <w:pPr>
        <w:spacing w:line="240" w:lineRule="auto"/>
        <w:jc w:val="both"/>
        <w:rPr>
          <w:b/>
        </w:rPr>
      </w:pPr>
    </w:p>
    <w:p w14:paraId="00DB9A0B" w14:textId="77777777" w:rsidR="00C33170" w:rsidRDefault="00C33170" w:rsidP="00C33170">
      <w:pPr>
        <w:spacing w:line="240" w:lineRule="auto"/>
        <w:jc w:val="both"/>
        <w:rPr>
          <w:b/>
        </w:rPr>
      </w:pPr>
    </w:p>
    <w:p w14:paraId="03B14AA7" w14:textId="77777777" w:rsidR="00C33170" w:rsidRDefault="00C33170" w:rsidP="00C33170">
      <w:pPr>
        <w:spacing w:line="240" w:lineRule="auto"/>
        <w:jc w:val="both"/>
        <w:rPr>
          <w:b/>
        </w:rPr>
      </w:pPr>
      <w:r w:rsidRPr="00235A7C">
        <w:rPr>
          <w:b/>
        </w:rPr>
        <w:t>Funding information</w:t>
      </w:r>
    </w:p>
    <w:p w14:paraId="4389940E" w14:textId="77777777" w:rsidR="00C33170" w:rsidRPr="00235A7C" w:rsidRDefault="00C33170" w:rsidP="00C33170">
      <w:pPr>
        <w:spacing w:line="240" w:lineRule="auto"/>
        <w:jc w:val="both"/>
        <w:rPr>
          <w:b/>
        </w:rPr>
      </w:pPr>
    </w:p>
    <w:p w14:paraId="1001A295" w14:textId="77777777" w:rsidR="00C33170" w:rsidRDefault="00C33170" w:rsidP="00C33170">
      <w:pPr>
        <w:spacing w:line="240" w:lineRule="auto"/>
        <w:jc w:val="both"/>
      </w:pPr>
      <w:r w:rsidRPr="00636C55">
        <w:t>This research did not receive any specific grant from funding agencies in the public, commercial, or not-for-profit sectors.</w:t>
      </w:r>
    </w:p>
    <w:p w14:paraId="29C6D8EA" w14:textId="77777777" w:rsidR="00C33170" w:rsidRPr="00636C55" w:rsidRDefault="00C33170" w:rsidP="00C33170">
      <w:pPr>
        <w:spacing w:line="240" w:lineRule="auto"/>
        <w:jc w:val="both"/>
      </w:pPr>
    </w:p>
    <w:p w14:paraId="4C7C57FB" w14:textId="77777777" w:rsidR="00C33170" w:rsidRPr="00235A7C" w:rsidRDefault="00C33170" w:rsidP="00C33170">
      <w:pPr>
        <w:spacing w:line="240" w:lineRule="auto"/>
        <w:jc w:val="both"/>
        <w:rPr>
          <w:b/>
        </w:rPr>
      </w:pPr>
    </w:p>
    <w:p w14:paraId="59482341" w14:textId="77777777" w:rsidR="00C33170" w:rsidRPr="00235A7C" w:rsidRDefault="00C33170" w:rsidP="00C33170">
      <w:pPr>
        <w:jc w:val="both"/>
        <w:rPr>
          <w:b/>
          <w:color w:val="000000" w:themeColor="text1"/>
        </w:rPr>
      </w:pPr>
    </w:p>
    <w:p w14:paraId="3F7D641B" w14:textId="77777777" w:rsidR="00C33170" w:rsidRDefault="00C33170" w:rsidP="00C33170">
      <w:pPr>
        <w:jc w:val="both"/>
        <w:rPr>
          <w:b/>
          <w:color w:val="000000" w:themeColor="text1"/>
        </w:rPr>
      </w:pPr>
      <w:r w:rsidRPr="00235A7C">
        <w:rPr>
          <w:b/>
          <w:color w:val="000000" w:themeColor="text1"/>
        </w:rPr>
        <w:t xml:space="preserve">Conflict of interest </w:t>
      </w:r>
    </w:p>
    <w:p w14:paraId="48764470" w14:textId="77777777" w:rsidR="00C33170" w:rsidRPr="00235A7C" w:rsidRDefault="00C33170" w:rsidP="00C33170">
      <w:pPr>
        <w:jc w:val="both"/>
        <w:rPr>
          <w:rStyle w:val="current-selection"/>
          <w:shd w:val="clear" w:color="auto" w:fill="FFFFFF"/>
        </w:rPr>
      </w:pPr>
      <w:r w:rsidRPr="00235A7C">
        <w:rPr>
          <w:rStyle w:val="current-selection"/>
          <w:shd w:val="clear" w:color="auto" w:fill="FFFFFF"/>
        </w:rPr>
        <w:t>The authors declare that there is no conflict of interest.</w:t>
      </w:r>
    </w:p>
    <w:p w14:paraId="7C2C545A" w14:textId="77777777" w:rsidR="00C33170" w:rsidRPr="00235A7C" w:rsidRDefault="00C33170" w:rsidP="00C33170">
      <w:pPr>
        <w:jc w:val="both"/>
        <w:rPr>
          <w:b/>
          <w:color w:val="000000" w:themeColor="text1"/>
        </w:rPr>
      </w:pPr>
    </w:p>
    <w:p w14:paraId="4BACEE77" w14:textId="77777777" w:rsidR="00C33170" w:rsidRPr="00235A7C" w:rsidRDefault="00C33170" w:rsidP="00C33170">
      <w:pPr>
        <w:jc w:val="both"/>
        <w:rPr>
          <w:color w:val="000000" w:themeColor="text1"/>
        </w:rPr>
      </w:pPr>
      <w:r w:rsidRPr="00235A7C">
        <w:rPr>
          <w:b/>
          <w:color w:val="000000" w:themeColor="text1"/>
        </w:rPr>
        <w:t xml:space="preserve">ORCID </w:t>
      </w:r>
    </w:p>
    <w:p w14:paraId="093612D2" w14:textId="4445291E" w:rsidR="00C33170" w:rsidRDefault="00C33170" w:rsidP="00C33170">
      <w:pPr>
        <w:rPr>
          <w:b/>
        </w:rPr>
      </w:pPr>
      <w:proofErr w:type="spellStart"/>
      <w:r w:rsidRPr="00235A7C">
        <w:rPr>
          <w:color w:val="000000" w:themeColor="text1"/>
        </w:rPr>
        <w:t>Xiaoli</w:t>
      </w:r>
      <w:proofErr w:type="spellEnd"/>
      <w:r w:rsidRPr="00235A7C">
        <w:rPr>
          <w:color w:val="000000" w:themeColor="text1"/>
        </w:rPr>
        <w:t xml:space="preserve"> Julia Zhu </w:t>
      </w:r>
      <w:hyperlink r:id="rId9" w:history="1">
        <w:r w:rsidRPr="00235A7C">
          <w:rPr>
            <w:rStyle w:val="Hyperlink"/>
          </w:rPr>
          <w:t>https://orcid.org/0000-0003-3406-6203</w:t>
        </w:r>
      </w:hyperlink>
      <w:r w:rsidRPr="00235A7C">
        <w:rPr>
          <w:color w:val="000000" w:themeColor="text1"/>
        </w:rPr>
        <w:t xml:space="preserve"> </w:t>
      </w:r>
      <w:r>
        <w:rPr>
          <w:b/>
        </w:rPr>
        <w:br w:type="page"/>
      </w:r>
    </w:p>
    <w:p w14:paraId="26B071DA" w14:textId="0EAC75F6" w:rsidR="0054488C" w:rsidRPr="00F05FA2" w:rsidRDefault="0054488C" w:rsidP="0054488C">
      <w:pPr>
        <w:jc w:val="both"/>
        <w:rPr>
          <w:b/>
        </w:rPr>
      </w:pPr>
      <w:r w:rsidRPr="00F05FA2">
        <w:rPr>
          <w:b/>
        </w:rPr>
        <w:lastRenderedPageBreak/>
        <w:t xml:space="preserve">Abstract </w:t>
      </w:r>
    </w:p>
    <w:p w14:paraId="5A0C8C57" w14:textId="77777777" w:rsidR="0054488C" w:rsidRPr="00B9407B" w:rsidRDefault="0054488C" w:rsidP="0054488C">
      <w:pPr>
        <w:jc w:val="both"/>
      </w:pPr>
    </w:p>
    <w:p w14:paraId="2E70BEC6" w14:textId="77777777" w:rsidR="0054488C" w:rsidRPr="00F05FA2" w:rsidRDefault="0054488C" w:rsidP="0054488C">
      <w:pPr>
        <w:jc w:val="both"/>
        <w:rPr>
          <w:b/>
        </w:rPr>
      </w:pPr>
      <w:r w:rsidRPr="00F05FA2">
        <w:rPr>
          <w:b/>
        </w:rPr>
        <w:t>Objective</w:t>
      </w:r>
    </w:p>
    <w:p w14:paraId="36536B40" w14:textId="5267ACC5" w:rsidR="0054488C" w:rsidRPr="00B9407B" w:rsidRDefault="007B37DB" w:rsidP="0054488C">
      <w:pPr>
        <w:jc w:val="both"/>
      </w:pPr>
      <w:r>
        <w:t>To identify and determine</w:t>
      </w:r>
      <w:r w:rsidR="0054488C" w:rsidRPr="00B9407B">
        <w:t xml:space="preserve"> patient</w:t>
      </w:r>
      <w:r>
        <w:t>-</w:t>
      </w:r>
      <w:r w:rsidR="0054488C" w:rsidRPr="00B9407B">
        <w:t xml:space="preserve"> and ulcer</w:t>
      </w:r>
      <w:r>
        <w:t>-</w:t>
      </w:r>
      <w:r w:rsidR="0054488C" w:rsidRPr="00B9407B">
        <w:t xml:space="preserve"> related factors associated with healing outcomes within 3 months for patients with diabetic foot ulcer (DFU) in a multi-ethnic primary care sample. </w:t>
      </w:r>
    </w:p>
    <w:p w14:paraId="39464E5E" w14:textId="77777777" w:rsidR="0054488C" w:rsidRPr="00F05FA2" w:rsidRDefault="0054488C" w:rsidP="0054488C">
      <w:pPr>
        <w:jc w:val="both"/>
        <w:rPr>
          <w:b/>
        </w:rPr>
      </w:pPr>
    </w:p>
    <w:p w14:paraId="59393700" w14:textId="77777777" w:rsidR="0054488C" w:rsidRPr="00F05FA2" w:rsidRDefault="0054488C" w:rsidP="0054488C">
      <w:pPr>
        <w:jc w:val="both"/>
        <w:rPr>
          <w:b/>
        </w:rPr>
      </w:pPr>
      <w:r w:rsidRPr="00F05FA2">
        <w:rPr>
          <w:b/>
        </w:rPr>
        <w:t>Methods</w:t>
      </w:r>
    </w:p>
    <w:p w14:paraId="02FFE674" w14:textId="77777777" w:rsidR="0054488C" w:rsidRPr="00B9407B" w:rsidRDefault="0054488C" w:rsidP="0054488C">
      <w:pPr>
        <w:jc w:val="both"/>
      </w:pPr>
      <w:r w:rsidRPr="00B9407B">
        <w:t xml:space="preserve">Retrospective data were collected over 3 months from 520 primary care patients with a DFU between 1st April 2016 and 31st March 2017 in a multi-ethnic sample. Multivariable prevalence ratios (PR) were calculated using Poisson regression to find associations between patient and ulcer related factors and ulcer healing outcomes.   </w:t>
      </w:r>
    </w:p>
    <w:p w14:paraId="2E388F63" w14:textId="77777777" w:rsidR="0054488C" w:rsidRPr="00F05FA2" w:rsidRDefault="0054488C" w:rsidP="0054488C">
      <w:pPr>
        <w:jc w:val="both"/>
        <w:rPr>
          <w:b/>
        </w:rPr>
      </w:pPr>
    </w:p>
    <w:p w14:paraId="4AE198FE" w14:textId="77777777" w:rsidR="0054488C" w:rsidRPr="00F05FA2" w:rsidRDefault="0054488C" w:rsidP="0054488C">
      <w:pPr>
        <w:jc w:val="both"/>
        <w:rPr>
          <w:b/>
        </w:rPr>
      </w:pPr>
      <w:r w:rsidRPr="00F05FA2">
        <w:rPr>
          <w:b/>
        </w:rPr>
        <w:t>Results</w:t>
      </w:r>
    </w:p>
    <w:p w14:paraId="4BB71274" w14:textId="77777777" w:rsidR="0054488C" w:rsidRPr="00B9407B" w:rsidRDefault="0054488C" w:rsidP="0054488C">
      <w:pPr>
        <w:jc w:val="both"/>
      </w:pPr>
      <w:proofErr w:type="gramStart"/>
      <w:r w:rsidRPr="00B9407B">
        <w:t>The majority of</w:t>
      </w:r>
      <w:proofErr w:type="gramEnd"/>
      <w:r w:rsidRPr="00B9407B">
        <w:t xml:space="preserve"> patients were male (66%), of Chinese ethnicity (49.8%) and had a diabetes mellitus duration &gt;5 years (81.8%). Toe ulcers (64%) were most common. Healing occurred for 33.9%, 19.1%(minor) and 1.5% (major) underwent amputation respectively. Wound sizes between 1-10cm2 (PR: 0.61, 95% confidence interval (CI): 0.46-0.76, P&lt;.001) and &gt;10cm2 (PR: 0.55, 95% CI: 0.33-0.76, P=.003), ulcer duration ≥6 months (PR: 0.36, 95% CI: 0.19-0.53, P&lt;.001), ischemic (PR: 0.54, 95% CI: 0.22-0.86, P=.044), and </w:t>
      </w:r>
      <w:proofErr w:type="spellStart"/>
      <w:r w:rsidRPr="00B9407B">
        <w:t>neuroischaemic</w:t>
      </w:r>
      <w:proofErr w:type="spellEnd"/>
      <w:r w:rsidRPr="00B9407B">
        <w:t xml:space="preserve"> ulcers (PR: 0.73, 95% CI: 0.53-0.93, P=.027) were negatively associated with healing outcomes. Female patients had a favored ulcer healing (PR: 1.18, 95% CI: 0.91-1.45, P=.157).  </w:t>
      </w:r>
    </w:p>
    <w:p w14:paraId="494BBF3C" w14:textId="77777777" w:rsidR="0054488C" w:rsidRPr="00B9407B" w:rsidRDefault="0054488C" w:rsidP="0054488C">
      <w:pPr>
        <w:jc w:val="both"/>
      </w:pPr>
    </w:p>
    <w:p w14:paraId="79F44B7E" w14:textId="77777777" w:rsidR="0054488C" w:rsidRPr="00F05FA2" w:rsidRDefault="0054488C" w:rsidP="0054488C">
      <w:pPr>
        <w:jc w:val="both"/>
        <w:rPr>
          <w:b/>
        </w:rPr>
      </w:pPr>
      <w:r w:rsidRPr="00F05FA2">
        <w:rPr>
          <w:b/>
        </w:rPr>
        <w:t xml:space="preserve">Conclusions </w:t>
      </w:r>
    </w:p>
    <w:p w14:paraId="64301646" w14:textId="2C6B452B" w:rsidR="0054488C" w:rsidRDefault="0054488C" w:rsidP="0054488C">
      <w:pPr>
        <w:jc w:val="both"/>
      </w:pPr>
      <w:r w:rsidRPr="00B9407B">
        <w:t xml:space="preserve">DFU Healing was associated with gender and affected by larger wound size, longer wound duration and ischemic </w:t>
      </w:r>
      <w:proofErr w:type="spellStart"/>
      <w:r w:rsidRPr="00B9407B">
        <w:t>aetiology</w:t>
      </w:r>
      <w:proofErr w:type="spellEnd"/>
      <w:r w:rsidRPr="00B9407B">
        <w:t xml:space="preserve">, regardless of ethnicity. </w:t>
      </w:r>
      <w:r w:rsidR="003A1E6C" w:rsidRPr="00C37879">
        <w:t xml:space="preserve">Prompt attention to these risk factors may </w:t>
      </w:r>
      <w:r w:rsidR="003A1E6C">
        <w:t xml:space="preserve">reduce healing time. </w:t>
      </w:r>
      <w:r w:rsidRPr="00B9407B">
        <w:t xml:space="preserve">Further studies are warranted to elucidate the mechanism underlying gender differences in association with DFU healing. </w:t>
      </w:r>
    </w:p>
    <w:p w14:paraId="2FAA89B9" w14:textId="4526FAEC" w:rsidR="00A6036B" w:rsidRPr="00F05FA2" w:rsidRDefault="00A6036B" w:rsidP="0054488C">
      <w:pPr>
        <w:jc w:val="both"/>
        <w:rPr>
          <w:b/>
        </w:rPr>
      </w:pPr>
    </w:p>
    <w:p w14:paraId="23D376B0" w14:textId="77777777" w:rsidR="0054488C" w:rsidRPr="00F05FA2" w:rsidRDefault="0054488C" w:rsidP="0054488C">
      <w:pPr>
        <w:jc w:val="both"/>
        <w:rPr>
          <w:b/>
        </w:rPr>
      </w:pPr>
      <w:r w:rsidRPr="00F05FA2">
        <w:rPr>
          <w:b/>
        </w:rPr>
        <w:t>Key words</w:t>
      </w:r>
    </w:p>
    <w:p w14:paraId="70540629" w14:textId="027D1010" w:rsidR="00C3698B" w:rsidRPr="00B9407B" w:rsidRDefault="0054488C" w:rsidP="0054488C">
      <w:pPr>
        <w:jc w:val="both"/>
      </w:pPr>
      <w:r w:rsidRPr="00B9407B">
        <w:t>Diabetes, diabetic foot ulcer, healing outcomes, primary care, Singapore</w:t>
      </w:r>
    </w:p>
    <w:p w14:paraId="7A506477" w14:textId="0F1D01B7" w:rsidR="00C3698B" w:rsidRDefault="00C3698B" w:rsidP="001E2C4E">
      <w:pPr>
        <w:jc w:val="both"/>
      </w:pPr>
    </w:p>
    <w:p w14:paraId="66D77995" w14:textId="57C9B528" w:rsidR="0054488C" w:rsidRDefault="0054488C" w:rsidP="001E2C4E">
      <w:pPr>
        <w:jc w:val="both"/>
      </w:pPr>
    </w:p>
    <w:p w14:paraId="7037A32F" w14:textId="144E4520" w:rsidR="0054488C" w:rsidRDefault="0054488C" w:rsidP="001E2C4E">
      <w:pPr>
        <w:jc w:val="both"/>
      </w:pPr>
    </w:p>
    <w:p w14:paraId="19BE902E" w14:textId="13551E01" w:rsidR="0054488C" w:rsidRDefault="0054488C" w:rsidP="001E2C4E">
      <w:pPr>
        <w:jc w:val="both"/>
      </w:pPr>
    </w:p>
    <w:p w14:paraId="436CC768" w14:textId="7DACBB55" w:rsidR="0054488C" w:rsidRDefault="0054488C" w:rsidP="001E2C4E">
      <w:pPr>
        <w:jc w:val="both"/>
      </w:pPr>
    </w:p>
    <w:p w14:paraId="669BB392" w14:textId="4E402F15" w:rsidR="0054488C" w:rsidRDefault="0054488C" w:rsidP="001E2C4E">
      <w:pPr>
        <w:jc w:val="both"/>
      </w:pPr>
    </w:p>
    <w:p w14:paraId="0F5B0BE1" w14:textId="25794D7B" w:rsidR="0054488C" w:rsidRDefault="0054488C" w:rsidP="001E2C4E">
      <w:pPr>
        <w:jc w:val="both"/>
      </w:pPr>
    </w:p>
    <w:p w14:paraId="399E292C" w14:textId="0257FFC0" w:rsidR="00B9407B" w:rsidRDefault="00B9407B" w:rsidP="001E2C4E">
      <w:pPr>
        <w:jc w:val="both"/>
      </w:pPr>
    </w:p>
    <w:p w14:paraId="04FB2CCA" w14:textId="77777777" w:rsidR="00B9407B" w:rsidRDefault="00B9407B" w:rsidP="001E2C4E">
      <w:pPr>
        <w:jc w:val="both"/>
      </w:pPr>
    </w:p>
    <w:p w14:paraId="40405D92" w14:textId="3294CAEC" w:rsidR="0054488C" w:rsidRDefault="0054488C" w:rsidP="001E2C4E">
      <w:pPr>
        <w:jc w:val="both"/>
      </w:pPr>
    </w:p>
    <w:p w14:paraId="11399CA6" w14:textId="77777777" w:rsidR="0054488C" w:rsidRDefault="0054488C" w:rsidP="001E2C4E">
      <w:pPr>
        <w:jc w:val="both"/>
      </w:pPr>
    </w:p>
    <w:p w14:paraId="7B9C5B8F" w14:textId="14A63D17" w:rsidR="00BF7B3C" w:rsidRDefault="00BF7B3C" w:rsidP="001E2C4E">
      <w:pPr>
        <w:jc w:val="both"/>
      </w:pPr>
    </w:p>
    <w:p w14:paraId="488250EE" w14:textId="77777777" w:rsidR="00BF7B3C" w:rsidRDefault="00BF7B3C" w:rsidP="001E2C4E">
      <w:pPr>
        <w:jc w:val="both"/>
      </w:pPr>
    </w:p>
    <w:p w14:paraId="4F42D2F1" w14:textId="77777777" w:rsidR="00AA05B1" w:rsidRPr="001E2C4E" w:rsidRDefault="00AA05B1" w:rsidP="001E2C4E">
      <w:pPr>
        <w:jc w:val="both"/>
      </w:pPr>
    </w:p>
    <w:p w14:paraId="0B084861" w14:textId="7AB052FC" w:rsidR="00B82331" w:rsidRDefault="00C42990" w:rsidP="00297423">
      <w:pPr>
        <w:jc w:val="both"/>
        <w:rPr>
          <w:b/>
        </w:rPr>
      </w:pPr>
      <w:r w:rsidRPr="00297423">
        <w:rPr>
          <w:b/>
        </w:rPr>
        <w:lastRenderedPageBreak/>
        <w:t>Introduction</w:t>
      </w:r>
    </w:p>
    <w:p w14:paraId="596C916B" w14:textId="77777777" w:rsidR="00297423" w:rsidRPr="00297423" w:rsidRDefault="00297423" w:rsidP="00297423">
      <w:pPr>
        <w:jc w:val="both"/>
        <w:rPr>
          <w:b/>
        </w:rPr>
      </w:pPr>
    </w:p>
    <w:p w14:paraId="7CEA9D29" w14:textId="77936DE4" w:rsidR="00372E4F" w:rsidRDefault="004208C2" w:rsidP="00313961">
      <w:pPr>
        <w:autoSpaceDE w:val="0"/>
        <w:autoSpaceDN w:val="0"/>
        <w:adjustRightInd w:val="0"/>
        <w:jc w:val="both"/>
        <w:rPr>
          <w:noProof/>
          <w:color w:val="000000" w:themeColor="text1"/>
          <w:lang w:val="en-SG"/>
        </w:rPr>
      </w:pPr>
      <w:r>
        <w:rPr>
          <w:color w:val="000000" w:themeColor="text1"/>
        </w:rPr>
        <w:t xml:space="preserve">Diabetic foot ulcer </w:t>
      </w:r>
      <w:r w:rsidR="00065EB1">
        <w:rPr>
          <w:color w:val="000000" w:themeColor="text1"/>
        </w:rPr>
        <w:t>i</w:t>
      </w:r>
      <w:r w:rsidR="001D0413">
        <w:rPr>
          <w:color w:val="000000" w:themeColor="text1"/>
        </w:rPr>
        <w:t>s a severe</w:t>
      </w:r>
      <w:r w:rsidR="00BE436E" w:rsidRPr="001114C2">
        <w:rPr>
          <w:color w:val="000000" w:themeColor="text1"/>
        </w:rPr>
        <w:t xml:space="preserve"> complication of diabetes mellitus, </w:t>
      </w:r>
      <w:r w:rsidR="00065EB1">
        <w:rPr>
          <w:color w:val="000000" w:themeColor="text1"/>
        </w:rPr>
        <w:t xml:space="preserve">that </w:t>
      </w:r>
      <w:r w:rsidR="009D4892" w:rsidRPr="001114C2">
        <w:rPr>
          <w:color w:val="000000" w:themeColor="text1"/>
        </w:rPr>
        <w:t>affect</w:t>
      </w:r>
      <w:r w:rsidR="00065EB1">
        <w:rPr>
          <w:color w:val="000000" w:themeColor="text1"/>
        </w:rPr>
        <w:t>s</w:t>
      </w:r>
      <w:r w:rsidR="00676FD8" w:rsidRPr="001114C2">
        <w:rPr>
          <w:color w:val="000000" w:themeColor="text1"/>
        </w:rPr>
        <w:t xml:space="preserve"> between</w:t>
      </w:r>
      <w:r w:rsidR="009D4892" w:rsidRPr="001114C2">
        <w:rPr>
          <w:color w:val="000000" w:themeColor="text1"/>
        </w:rPr>
        <w:t xml:space="preserve"> 40 </w:t>
      </w:r>
      <w:r w:rsidR="00676FD8" w:rsidRPr="001114C2">
        <w:rPr>
          <w:color w:val="000000" w:themeColor="text1"/>
        </w:rPr>
        <w:t xml:space="preserve">and </w:t>
      </w:r>
      <w:r w:rsidR="009D4892" w:rsidRPr="001114C2">
        <w:rPr>
          <w:color w:val="000000" w:themeColor="text1"/>
        </w:rPr>
        <w:t xml:space="preserve"> 60 million people </w:t>
      </w:r>
      <w:r w:rsidR="00065EB1">
        <w:rPr>
          <w:color w:val="000000" w:themeColor="text1"/>
        </w:rPr>
        <w:t>globally</w:t>
      </w:r>
      <w:r w:rsidR="00065EB1" w:rsidRPr="001114C2">
        <w:rPr>
          <w:color w:val="000000" w:themeColor="text1"/>
        </w:rPr>
        <w:fldChar w:fldCharType="begin" w:fldLock="1"/>
      </w:r>
      <w:r w:rsidR="004E28CE">
        <w:rPr>
          <w:color w:val="000000" w:themeColor="text1"/>
        </w:rPr>
        <w:instrText>ADDIN CSL_CITATION {"citationItems":[{"id":"ITEM-1","itemData":{"ISBN":"978-2-930229-87-4","edition":"9th editio","editor":[{"dropping-particle":"","family":"Karuranga","given":"Suvi","non-dropping-particle":"","parse-names":false,"suffix":""},{"dropping-particle":"","family":"Malanda","given":"Belma","non-dropping-particle":"","parse-names":false,"suffix":""},{"dropping-particle":"","family":"Saeedi","given":"Pouya","non-dropping-particle":"","parse-names":false,"suffix":""},{"dropping-particle":"","family":"Salpea","given":"Paraskevi","non-dropping-particle":"","parse-names":false,"suffix":""}],"id":"ITEM-1","issued":{"date-parts":[["2019"]]},"title":"International Diabetes Federation Diabetes Atlas 2019","type":"book"},"uris":["http://www.mendeley.com/documents/?uuid=ecabb691-f531-391c-a47f-baa83145d67d"]}],"mendeley":{"formattedCitation":"&lt;sup&gt;1&lt;/sup&gt;","plainTextFormattedCitation":"1","previouslyFormattedCitation":"&lt;sup&gt;1&lt;/sup&gt;"},"properties":{"noteIndex":0},"schema":"https://github.com/citation-style-language/schema/raw/master/csl-citation.json"}</w:instrText>
      </w:r>
      <w:r w:rsidR="00065EB1" w:rsidRPr="001114C2">
        <w:rPr>
          <w:color w:val="000000" w:themeColor="text1"/>
        </w:rPr>
        <w:fldChar w:fldCharType="separate"/>
      </w:r>
      <w:r w:rsidR="002E2FD7" w:rsidRPr="002E2FD7">
        <w:rPr>
          <w:noProof/>
          <w:color w:val="000000" w:themeColor="text1"/>
          <w:vertAlign w:val="superscript"/>
        </w:rPr>
        <w:t>1</w:t>
      </w:r>
      <w:r w:rsidR="00065EB1" w:rsidRPr="001114C2">
        <w:rPr>
          <w:color w:val="000000" w:themeColor="text1"/>
        </w:rPr>
        <w:fldChar w:fldCharType="end"/>
      </w:r>
      <w:r w:rsidR="00065EB1">
        <w:rPr>
          <w:color w:val="000000" w:themeColor="text1"/>
        </w:rPr>
        <w:t xml:space="preserve">. </w:t>
      </w:r>
      <w:r w:rsidR="00EF17AC" w:rsidRPr="001114C2">
        <w:t xml:space="preserve">The </w:t>
      </w:r>
      <w:r w:rsidR="00EF17AC" w:rsidRPr="002A0643">
        <w:t xml:space="preserve">global prevalence and annual incidence of </w:t>
      </w:r>
      <w:r w:rsidR="006847B3" w:rsidRPr="002A0643">
        <w:t>diabetic foot ulcer</w:t>
      </w:r>
      <w:r w:rsidR="00EF17AC" w:rsidRPr="002A0643">
        <w:t xml:space="preserve"> </w:t>
      </w:r>
      <w:r w:rsidR="00C92639" w:rsidRPr="002A0643">
        <w:t>has been estimated at</w:t>
      </w:r>
      <w:r w:rsidR="00EF17AC" w:rsidRPr="002A0643">
        <w:t xml:space="preserve"> 1.7% and 6.3% respectively in </w:t>
      </w:r>
      <w:r w:rsidR="00D84C59" w:rsidRPr="002A0643">
        <w:t xml:space="preserve">the </w:t>
      </w:r>
      <w:r w:rsidR="00EF17AC" w:rsidRPr="002A0643">
        <w:t xml:space="preserve">diabetes population </w:t>
      </w:r>
      <w:r w:rsidR="00EF17AC" w:rsidRPr="002A0643">
        <w:fldChar w:fldCharType="begin" w:fldLock="1"/>
      </w:r>
      <w:r w:rsidR="002E2FD7">
        <w:instrText>ADDIN CSL_CITATION {"citationItems":[{"id":"ITEM-1","itemData":{"DOI":"10.1056/NEJMra1615439","abstract":"C omplications of diabetes that affect the lower extremities are common, complex, and costly. Foot ulceration is the most frequently recognized complication. In a community-based study in the northwestern United Kingdom, the prevalence of active foot ulcers identified at screening among persons with diabetes was 1.7%, and the annual incidence was 2.2%. 1 Higher annual incidence rates have been reported in specific populations: 6.0% among Medicare beneficiaries with diabetes, 5.0% among U.S. veterans with diabetes, and 6.3% in the global population of persons with diabetes. 2-4 On the basis of 2015 prevalence data from the International Diabetes Federation, 5 it is estimated that, annually, foot ulcers develop in 9.1 million to 26.1 million people with diabetes worldwide. The proportion of persons with diabetes and a history of foot ulcer-ation is understandably higher than the proportion with an active ulcer; 3.1 to 11.8% of persons with diabetes, or 12.9 million to 49.0 million persons worldwide and 1.0 million to 3.5 million in the United States alone, have a history of foot ulceration. 1,5-7 The lifetime incidence of foot ulcers has previously been estimated to be 15 to 25% among persons with diabetes, 8 but when additional data are considered , between 19% and 34% of persons with diabetes are likely to be affected (for the calculation, see the Supplementary Appendix, available with the full text of this article at NEJM.org). Nat ur a l His t or y of Di a be tic Foo t Ul cer s The natural history of a diabetes-related foot ulcer is sobering. The risk of death at 5 years for a patient with a diabetic foot ulcer is 2.5 times as high as the risk for a patient with diabetes who does not have a foot ulcer. 9 More than half of diabetic ulcers become infected. 10 Approximately 20% of moderate or severe diabetic foot infections lead to some level of amputation. 11,12 Peripheral artery disease independently increases the risk of nonhealing ulcers, infection, and amputation. 13,14 Mortality after diabetes-related amputation exceeds 70% at 5 years for all patients with diabetes and 74% at 2 years for those receiving renal-replacement therapy. 15 Whether such a high mortality is due to a combination of coexisting conditions (including the risk from an amputation procedure), lack of activity, and decondition-ing or to other factors is not clear. The risk of death at 10 years for a patient with diabetes who has had a foot ulcer is twice as high as the risk for a p…","author":[{"dropping-particle":"","family":"Armstrong","given":"David G","non-dropping-particle":"","parse-names":false,"suffix":""},{"dropping-particle":"","family":"Boulton","given":"Andrew J M","non-dropping-particle":"","parse-names":false,"suffix":""},{"dropping-particle":"","family":"Bus","given":"Sicco A","non-dropping-particle":"","parse-names":false,"suffix":""}],"container-title":"N Engl J Med","id":"ITEM-1","issued":{"date-parts":[["2017"]]},"page":"2367-75","title":"Diabetic Foot Ulcers and Their Recurrence","type":"article-journal","volume":"376"},"uris":["http://www.mendeley.com/documents/?uuid=28756576-7d96-3ab8-b752-993bdf9156f5"]}],"mendeley":{"formattedCitation":"&lt;sup&gt;2&lt;/sup&gt;","plainTextFormattedCitation":"2","previouslyFormattedCitation":"&lt;sup&gt;2&lt;/sup&gt;"},"properties":{"noteIndex":0},"schema":"https://github.com/citation-style-language/schema/raw/master/csl-citation.json"}</w:instrText>
      </w:r>
      <w:r w:rsidR="00EF17AC" w:rsidRPr="002A0643">
        <w:fldChar w:fldCharType="separate"/>
      </w:r>
      <w:r w:rsidR="002E2FD7" w:rsidRPr="002E2FD7">
        <w:rPr>
          <w:noProof/>
          <w:vertAlign w:val="superscript"/>
        </w:rPr>
        <w:t>2</w:t>
      </w:r>
      <w:r w:rsidR="00EF17AC" w:rsidRPr="002A0643">
        <w:fldChar w:fldCharType="end"/>
      </w:r>
      <w:r w:rsidR="00B75854">
        <w:t>. I</w:t>
      </w:r>
      <w:r w:rsidR="00065EB1" w:rsidRPr="002A0643">
        <w:t>t has been</w:t>
      </w:r>
      <w:r w:rsidR="00D84C59" w:rsidRPr="002A0643">
        <w:rPr>
          <w:color w:val="000000" w:themeColor="text1"/>
        </w:rPr>
        <w:t xml:space="preserve"> </w:t>
      </w:r>
      <w:r w:rsidR="00C92639" w:rsidRPr="002A0643">
        <w:rPr>
          <w:color w:val="000000" w:themeColor="text1"/>
        </w:rPr>
        <w:t xml:space="preserve">predicted </w:t>
      </w:r>
      <w:r w:rsidR="00D84C59" w:rsidRPr="002A0643">
        <w:rPr>
          <w:color w:val="000000" w:themeColor="text1"/>
        </w:rPr>
        <w:t xml:space="preserve">that </w:t>
      </w:r>
      <w:r w:rsidR="00C92639" w:rsidRPr="002A0643">
        <w:rPr>
          <w:color w:val="000000" w:themeColor="text1"/>
        </w:rPr>
        <w:t xml:space="preserve">as much as </w:t>
      </w:r>
      <w:r w:rsidR="00D84C59" w:rsidRPr="002A0643">
        <w:rPr>
          <w:color w:val="000000" w:themeColor="text1"/>
        </w:rPr>
        <w:t xml:space="preserve">15% to 25% of patients with </w:t>
      </w:r>
      <w:r w:rsidRPr="002A0643">
        <w:rPr>
          <w:color w:val="000000" w:themeColor="text1"/>
        </w:rPr>
        <w:t>diabetes</w:t>
      </w:r>
      <w:r w:rsidR="00D84C59" w:rsidRPr="002A0643">
        <w:rPr>
          <w:color w:val="000000" w:themeColor="text1"/>
        </w:rPr>
        <w:t xml:space="preserve"> </w:t>
      </w:r>
      <w:r w:rsidR="00065EB1" w:rsidRPr="002A0643">
        <w:rPr>
          <w:color w:val="000000" w:themeColor="text1"/>
        </w:rPr>
        <w:t xml:space="preserve">may </w:t>
      </w:r>
      <w:r w:rsidR="00D84C59" w:rsidRPr="002A0643">
        <w:rPr>
          <w:color w:val="000000" w:themeColor="text1"/>
        </w:rPr>
        <w:t xml:space="preserve">develop a </w:t>
      </w:r>
      <w:r w:rsidRPr="002A0643">
        <w:rPr>
          <w:color w:val="000000" w:themeColor="text1"/>
        </w:rPr>
        <w:t>diabetic foot ulcer</w:t>
      </w:r>
      <w:r w:rsidR="00D84C59" w:rsidRPr="002A0643">
        <w:rPr>
          <w:color w:val="000000" w:themeColor="text1"/>
        </w:rPr>
        <w:t xml:space="preserve"> during their lifetime</w:t>
      </w:r>
      <w:r w:rsidR="00A4367C" w:rsidRPr="002A0643">
        <w:rPr>
          <w:color w:val="000000" w:themeColor="text1"/>
        </w:rPr>
        <w:t xml:space="preserve"> </w:t>
      </w:r>
      <w:r w:rsidR="00D84C59" w:rsidRPr="002A0643">
        <w:rPr>
          <w:color w:val="000000" w:themeColor="text1"/>
        </w:rPr>
        <w:fldChar w:fldCharType="begin" w:fldLock="1"/>
      </w:r>
      <w:r w:rsidR="002E2FD7">
        <w:rPr>
          <w:color w:val="000000" w:themeColor="text1"/>
        </w:rPr>
        <w:instrText>ADDIN CSL_CITATION {"citationItems":[{"id":"ITEM-1","itemData":{"DOI":"10.4239/wjd.v7.i7.153","ISSN":"1948-9358","PMID":"27076876","abstract":"The burden of diabetic foot disease (DFD) is expected to increase in the future. The incidence of DFD is still rising due to the high prevalence of DFD predisposing factors. DFD is multifactorial in nature; however most of the diabetic foot amputations are preceded by foot ulceration. Diabetic peripheral neuropathy (DPN) is a major risk factor for foot ulceration. DPN leads to loss of protective sensation resulting in continuous unconscious traumas. Patient education and detection of high risk foot are essential for the prevention of foot ulceration and amputation. Proper assessment of the diabetic foot ulceration and appropriate management ensure better prognosis. Management is based on revascularization procedures, wound debridement, treatment of infection and ulcer offloading. Management and type of dressing applied are tailored according to the type of wound and the foot condition. The scope of this review paper is to describe the diabetic foot syndrome starting from the evaluation of the foot at risk for ulceration, up to the new treatment modalities.","author":[{"dropping-particle":"","family":"Amin","given":"Noha","non-dropping-particle":"","parse-names":false,"suffix":""},{"dropping-particle":"","family":"Doupis","given":"John","non-dropping-particle":"","parse-names":false,"suffix":""}],"container-title":"World journal of diabetes","id":"ITEM-1","issue":"7","issued":{"date-parts":[["2016","4","10"]]},"page":"153-64","publisher":"Baishideng Publishing Group Inc","title":"Diabetic foot disease: From the evaluation of the &amp;quot;foot at risk&amp;quot; to the novel diabetic ulcer treatment modalities.","type":"article-journal","volume":"7"},"uris":["http://www.mendeley.com/documents/?uuid=f710146a-20ef-3342-b736-c000c7b136bd"]}],"mendeley":{"formattedCitation":"&lt;sup&gt;3&lt;/sup&gt;","plainTextFormattedCitation":"3","previouslyFormattedCitation":"&lt;sup&gt;3&lt;/sup&gt;"},"properties":{"noteIndex":0},"schema":"https://github.com/citation-style-language/schema/raw/master/csl-citation.json"}</w:instrText>
      </w:r>
      <w:r w:rsidR="00D84C59" w:rsidRPr="002A0643">
        <w:rPr>
          <w:color w:val="000000" w:themeColor="text1"/>
        </w:rPr>
        <w:fldChar w:fldCharType="separate"/>
      </w:r>
      <w:r w:rsidR="002E2FD7" w:rsidRPr="002E2FD7">
        <w:rPr>
          <w:noProof/>
          <w:color w:val="000000" w:themeColor="text1"/>
          <w:vertAlign w:val="superscript"/>
        </w:rPr>
        <w:t>3</w:t>
      </w:r>
      <w:r w:rsidR="00D84C59" w:rsidRPr="002A0643">
        <w:rPr>
          <w:color w:val="000000" w:themeColor="text1"/>
        </w:rPr>
        <w:fldChar w:fldCharType="end"/>
      </w:r>
      <w:r w:rsidR="00D84C59" w:rsidRPr="002A0643">
        <w:rPr>
          <w:color w:val="000000" w:themeColor="text1"/>
        </w:rPr>
        <w:t xml:space="preserve">. </w:t>
      </w:r>
      <w:r w:rsidR="00D84C59" w:rsidRPr="002A0643">
        <w:t xml:space="preserve">Once a patient develops a </w:t>
      </w:r>
      <w:r w:rsidRPr="002A0643">
        <w:t>diabetic foot ulcer</w:t>
      </w:r>
      <w:r w:rsidR="00EF17AC" w:rsidRPr="002A0643">
        <w:t xml:space="preserve"> </w:t>
      </w:r>
      <w:r w:rsidR="00D84C59" w:rsidRPr="002A0643">
        <w:t xml:space="preserve">the </w:t>
      </w:r>
      <w:r w:rsidR="00EF17AC" w:rsidRPr="002A0643">
        <w:t xml:space="preserve">recurrence rate is </w:t>
      </w:r>
      <w:r w:rsidR="00A35942" w:rsidRPr="002A0643">
        <w:t>up to</w:t>
      </w:r>
      <w:r w:rsidR="00EF17AC" w:rsidRPr="002A0643">
        <w:t xml:space="preserve"> 40% </w:t>
      </w:r>
      <w:r w:rsidR="00B75854">
        <w:t xml:space="preserve">that </w:t>
      </w:r>
      <w:r w:rsidR="00065EB1" w:rsidRPr="002A0643">
        <w:t>t</w:t>
      </w:r>
      <w:r w:rsidRPr="002A0643">
        <w:t>h</w:t>
      </w:r>
      <w:r w:rsidR="00B75854">
        <w:t xml:space="preserve">ey </w:t>
      </w:r>
      <w:r w:rsidRPr="002A0643">
        <w:t xml:space="preserve">may develop a new </w:t>
      </w:r>
      <w:r w:rsidR="00B75854">
        <w:t xml:space="preserve">one </w:t>
      </w:r>
      <w:r w:rsidR="00EF17AC" w:rsidRPr="002A0643">
        <w:t xml:space="preserve">within 1 year </w:t>
      </w:r>
      <w:r w:rsidR="00EF17AC" w:rsidRPr="002A0643">
        <w:fldChar w:fldCharType="begin" w:fldLock="1"/>
      </w:r>
      <w:r w:rsidR="002E2FD7">
        <w:instrText>ADDIN CSL_CITATION {"citationItems":[{"id":"ITEM-1","itemData":{"DOI":"10.1056/NEJMra1615439","abstract":"C omplications of diabetes that affect the lower extremities are common, complex, and costly. Foot ulceration is the most frequently recognized complication. In a community-based study in the northwestern United Kingdom, the prevalence of active foot ulcers identified at screening among persons with diabetes was 1.7%, and the annual incidence was 2.2%. 1 Higher annual incidence rates have been reported in specific populations: 6.0% among Medicare beneficiaries with diabetes, 5.0% among U.S. veterans with diabetes, and 6.3% in the global population of persons with diabetes. 2-4 On the basis of 2015 prevalence data from the International Diabetes Federation, 5 it is estimated that, annually, foot ulcers develop in 9.1 million to 26.1 million people with diabetes worldwide. The proportion of persons with diabetes and a history of foot ulcer-ation is understandably higher than the proportion with an active ulcer; 3.1 to 11.8% of persons with diabetes, or 12.9 million to 49.0 million persons worldwide and 1.0 million to 3.5 million in the United States alone, have a history of foot ulceration. 1,5-7 The lifetime incidence of foot ulcers has previously been estimated to be 15 to 25% among persons with diabetes, 8 but when additional data are considered , between 19% and 34% of persons with diabetes are likely to be affected (for the calculation, see the Supplementary Appendix, available with the full text of this article at NEJM.org). Nat ur a l His t or y of Di a be tic Foo t Ul cer s The natural history of a diabetes-related foot ulcer is sobering. The risk of death at 5 years for a patient with a diabetic foot ulcer is 2.5 times as high as the risk for a patient with diabetes who does not have a foot ulcer. 9 More than half of diabetic ulcers become infected. 10 Approximately 20% of moderate or severe diabetic foot infections lead to some level of amputation. 11,12 Peripheral artery disease independently increases the risk of nonhealing ulcers, infection, and amputation. 13,14 Mortality after diabetes-related amputation exceeds 70% at 5 years for all patients with diabetes and 74% at 2 years for those receiving renal-replacement therapy. 15 Whether such a high mortality is due to a combination of coexisting conditions (including the risk from an amputation procedure), lack of activity, and decondition-ing or to other factors is not clear. The risk of death at 10 years for a patient with diabetes who has had a foot ulcer is twice as high as the risk for a p…","author":[{"dropping-particle":"","family":"Armstrong","given":"David G","non-dropping-particle":"","parse-names":false,"suffix":""},{"dropping-particle":"","family":"Boulton","given":"Andrew J M","non-dropping-particle":"","parse-names":false,"suffix":""},{"dropping-particle":"","family":"Bus","given":"Sicco A","non-dropping-particle":"","parse-names":false,"suffix":""}],"container-title":"N Engl J Med","id":"ITEM-1","issued":{"date-parts":[["2017"]]},"page":"2367-75","title":"Diabetic Foot Ulcers and Their Recurrence","type":"article-journal","volume":"376"},"uris":["http://www.mendeley.com/documents/?uuid=28756576-7d96-3ab8-b752-993bdf9156f5"]}],"mendeley":{"formattedCitation":"&lt;sup&gt;2&lt;/sup&gt;","plainTextFormattedCitation":"2","previouslyFormattedCitation":"&lt;sup&gt;2&lt;/sup&gt;"},"properties":{"noteIndex":0},"schema":"https://github.com/citation-style-language/schema/raw/master/csl-citation.json"}</w:instrText>
      </w:r>
      <w:r w:rsidR="00EF17AC" w:rsidRPr="002A0643">
        <w:fldChar w:fldCharType="separate"/>
      </w:r>
      <w:r w:rsidR="002E2FD7" w:rsidRPr="002E2FD7">
        <w:rPr>
          <w:noProof/>
          <w:vertAlign w:val="superscript"/>
        </w:rPr>
        <w:t>2</w:t>
      </w:r>
      <w:r w:rsidR="00EF17AC" w:rsidRPr="002A0643">
        <w:fldChar w:fldCharType="end"/>
      </w:r>
      <w:r w:rsidR="00EF17AC" w:rsidRPr="002A0643">
        <w:t xml:space="preserve">. </w:t>
      </w:r>
      <w:r w:rsidR="00065EB1" w:rsidRPr="002A0643">
        <w:rPr>
          <w:noProof/>
          <w:color w:val="000000" w:themeColor="text1"/>
          <w:lang w:val="en-SG"/>
        </w:rPr>
        <w:t xml:space="preserve">Diabetic foot ulcers </w:t>
      </w:r>
      <w:r w:rsidR="00BE436E" w:rsidRPr="002A0643">
        <w:rPr>
          <w:noProof/>
          <w:color w:val="000000" w:themeColor="text1"/>
          <w:lang w:val="en-SG"/>
        </w:rPr>
        <w:t xml:space="preserve"> </w:t>
      </w:r>
      <w:r w:rsidR="005B5C54" w:rsidRPr="002A0643">
        <w:rPr>
          <w:noProof/>
          <w:color w:val="000000" w:themeColor="text1"/>
          <w:lang w:val="en-SG"/>
        </w:rPr>
        <w:t xml:space="preserve">are </w:t>
      </w:r>
      <w:r w:rsidR="004546E5" w:rsidRPr="002A0643">
        <w:rPr>
          <w:noProof/>
          <w:color w:val="000000" w:themeColor="text1"/>
          <w:lang w:val="en-SG"/>
        </w:rPr>
        <w:t>also common precursor</w:t>
      </w:r>
      <w:r w:rsidR="005B5C54" w:rsidRPr="002A0643">
        <w:rPr>
          <w:noProof/>
          <w:color w:val="000000" w:themeColor="text1"/>
          <w:lang w:val="en-SG"/>
        </w:rPr>
        <w:t>s</w:t>
      </w:r>
      <w:r w:rsidR="004546E5" w:rsidRPr="002A0643">
        <w:rPr>
          <w:noProof/>
          <w:color w:val="000000" w:themeColor="text1"/>
          <w:lang w:val="en-SG"/>
        </w:rPr>
        <w:t xml:space="preserve"> to lower extremity</w:t>
      </w:r>
      <w:r w:rsidR="00BE436E" w:rsidRPr="002A0643">
        <w:rPr>
          <w:noProof/>
          <w:color w:val="000000" w:themeColor="text1"/>
          <w:lang w:val="en-SG"/>
        </w:rPr>
        <w:t xml:space="preserve"> amputation</w:t>
      </w:r>
      <w:r w:rsidR="004546E5" w:rsidRPr="002A0643">
        <w:rPr>
          <w:noProof/>
          <w:color w:val="000000" w:themeColor="text1"/>
          <w:lang w:val="en-SG"/>
        </w:rPr>
        <w:t>, with lower limb amputation</w:t>
      </w:r>
      <w:r w:rsidR="005B5C54" w:rsidRPr="002A0643">
        <w:rPr>
          <w:noProof/>
          <w:color w:val="000000" w:themeColor="text1"/>
          <w:lang w:val="en-SG"/>
        </w:rPr>
        <w:t>s</w:t>
      </w:r>
      <w:r w:rsidR="004546E5" w:rsidRPr="002A0643">
        <w:rPr>
          <w:noProof/>
          <w:color w:val="000000" w:themeColor="text1"/>
          <w:lang w:val="en-SG"/>
        </w:rPr>
        <w:t xml:space="preserve"> </w:t>
      </w:r>
      <w:r w:rsidR="005B5C54" w:rsidRPr="002A0643">
        <w:rPr>
          <w:noProof/>
          <w:color w:val="000000" w:themeColor="text1"/>
          <w:lang w:val="en-SG"/>
        </w:rPr>
        <w:t>affecting between</w:t>
      </w:r>
      <w:r w:rsidR="004546E5" w:rsidRPr="002A0643">
        <w:rPr>
          <w:noProof/>
          <w:color w:val="000000" w:themeColor="text1"/>
          <w:lang w:val="en-SG"/>
        </w:rPr>
        <w:t xml:space="preserve"> 25% to </w:t>
      </w:r>
      <w:r w:rsidR="00BE436E" w:rsidRPr="002A0643">
        <w:rPr>
          <w:noProof/>
          <w:color w:val="000000" w:themeColor="text1"/>
          <w:lang w:val="en-SG"/>
        </w:rPr>
        <w:t>28%</w:t>
      </w:r>
      <w:r w:rsidR="005B5C54" w:rsidRPr="002A0643">
        <w:rPr>
          <w:noProof/>
          <w:color w:val="000000" w:themeColor="text1"/>
          <w:lang w:val="en-SG"/>
        </w:rPr>
        <w:t xml:space="preserve"> of patients with </w:t>
      </w:r>
      <w:r w:rsidRPr="002A0643">
        <w:rPr>
          <w:noProof/>
          <w:color w:val="000000" w:themeColor="text1"/>
          <w:lang w:val="en-SG"/>
        </w:rPr>
        <w:t xml:space="preserve">diabetic foot ulcer </w:t>
      </w:r>
      <w:r w:rsidR="004546E5" w:rsidRPr="002A0643">
        <w:rPr>
          <w:noProof/>
          <w:color w:val="000000" w:themeColor="text1"/>
          <w:lang w:val="en-SG"/>
        </w:rPr>
        <w:fldChar w:fldCharType="begin" w:fldLock="1"/>
      </w:r>
      <w:r w:rsidR="002E2FD7">
        <w:rPr>
          <w:noProof/>
          <w:color w:val="000000" w:themeColor="text1"/>
          <w:lang w:val="en-SG"/>
        </w:rPr>
        <w:instrText>ADDIN CSL_CITATION {"citationItems":[{"id":"ITEM-1","itemData":{"DOI":"10.1016/j.foot.2011.09.003","ISSN":"09582592","PMID":"22079404","abstract":"Objective: Aim of this study was to evaluate the incidence and risk factors for amputation among patients with diabetic foot ulcer (DFU). Research design and methods: We performed a prospective study of 162 DFU in patients treated in a multidisciplinary based diabetes and endocrinology centre of Jawaharlal Nehru Medical College of Aligarh Muslim University, Aligarh, India during the period of December 2008-March 2011. Detailed history and physical examination was carried out for every subject. Risk factors for amputation were determined by univariate analysis with 95% of CI. Results: The overall amputation rate was 28.4%. On univariate analysis, male sex [OR 2.8, RR 1.28], hypertension [OR 2.83, RR 1.31], neuropathy [OR 3.01, RR 1.35], nephropathy [OR 2.24, RR 1.26], LDL-C (&gt;100. mg/dl) [OR 2.53, RR 1.28], total cholesterol (&gt;150. mg/dl) [OR 3.74, RR 1.52],HDLC(&lt;40. mg/dl) [OR 1.19, RR 1.18], triglycerides (&gt;200. mg/dl) [OR 5.44, RR1.76], previous antibiotic use [OR 9.12, RR 1.92], osteomyelitis [OR 6.97, RR 2.43] and biofilm infection [OR 4.52, RR 1.41] were significant risk factors. Conclusion: The risk factors for amputation were presence of PVD, leukocytosis, neuropathy, nephropathy, hypertension, dyslipidemia, over use of antibiotics, osteomyelitis, biofilm production and higher grade of ulcer. © 2011 Elsevier Ltd.","author":[{"dropping-particle":"","family":"Zubair","given":"Mohammad","non-dropping-particle":"","parse-names":false,"suffix":""},{"dropping-particle":"","family":"Malik","given":"Abida","non-dropping-particle":"","parse-names":false,"suffix":""},{"dropping-particle":"","family":"Ahmad","given":"Jamal","non-dropping-particle":"","parse-names":false,"suffix":""}],"container-title":"Foot","id":"ITEM-1","issue":"1","issued":{"date-parts":[["2012","3"]]},"page":"24-30","publisher":"Foot (Edinb)","title":"Incidence, risk factors for amputation among patients with diabetic foot ulcer in a North Indian tertiary care hospital","type":"article-journal","volume":"22"},"uris":["http://www.mendeley.com/documents/?uuid=29fd3dec-733d-3f93-aa57-9fdabdcb5575"]},{"id":"ITEM-2","itemData":{"DOI":"10.1053/j.jfas.2011.10.032","ISSN":"10672516","PMID":"22078157","abstract":"Heel ulceration, on average, costs 1.5 times more than metatarsal ulceration. The aim of this study was to analyze the determinant factors of healing in diabetic patients with heel ulcers and the late outcomes at Jabir Abu Eliz Diabetic Centre Khartoum, Khartoum, Sudan. Data were collected prospectively for 96 of 100diabetic patients presenting with heel ulcers at the Jabir Abu Eliz Diabetic Centre Khartoum from May 2003 to January 2005. Late outcome was assessed 3 years later (February 2008). Heeling was achieved in one half of the patients (n = 48). In the remaining 48 patients, 22 ended with major lower extremity amputation and 22 were still receiving wound care. A total of 8 patients died, 4 in each group, the healed and unhealed. The most significant determinants of healing using a logistic multivariate regression model, 95% confidence intervals, and odds ratios included a shorter duration of diabetes (p&lt;.009), adequate lower limb perfusion (p&lt;.043), and a superficial foot ulcer (p&lt;.012). Three years later, of the 88 patients who could be traced, 78were alive and 59 had healed ulcers (7 had died of unrelated causes and 3 of diabetic-related complications), and no additional lower extremity amputation was recorded. Mortality in the series was 18 patients, of whom 14 had undergone a previous lower extremity amputation. Superficial heel ulcers in diabetic patients with a short history of diabetes and with good limb circulation are more likely to heal within an average duration of 25 weeks. At 3 years of follow-up, 75% showed a favorable outcome for ulcer healing, and 22 patients underwent lower extremity amputation (25%), of whom 14 were dead within 3 years. © 2012 American College of Foot and Ankle Surgeons.","author":[{"dropping-particle":"","family":"Bakheit","given":"Haseeb E.","non-dropping-particle":"","parse-names":false,"suffix":""},{"dropping-particle":"","family":"Mohamed","given":"Mohamed F.","non-dropping-particle":"","parse-names":false,"suffix":""},{"dropping-particle":"","family":"Mahadi","given":"Seif El Din I.","non-dropping-particle":"","parse-names":false,"suffix":""},{"dropping-particle":"","family":"Widatalla","given":"Abu Bakr H.","non-dropping-particle":"","parse-names":false,"suffix":""},{"dropping-particle":"","family":"Shawer","given":"Mohamed A.","non-dropping-particle":"","parse-names":false,"suffix":""},{"dropping-particle":"","family":"Khamis","given":"Amar H.","non-dropping-particle":"","parse-names":false,"suffix":""},{"dropping-particle":"","family":"Ahmed","given":"Mohamed E.","non-dropping-particle":"","parse-names":false,"suffix":""}],"container-title":"Journal of Foot and Ankle Surgery","id":"ITEM-2","issue":"2","issued":{"date-parts":[["2012","3"]]},"page":"152-155","title":"Diabetic Heel Ulcer in the Sudan: Determinants of Outcome","type":"article-journal","volume":"51"},"uris":["http://www.mendeley.com/documents/?uuid=609162a9-d507-3881-893b-131fb4609966"]}],"mendeley":{"formattedCitation":"&lt;sup&gt;4,5&lt;/sup&gt;","plainTextFormattedCitation":"4,5","previouslyFormattedCitation":"&lt;sup&gt;4,5&lt;/sup&gt;"},"properties":{"noteIndex":0},"schema":"https://github.com/citation-style-language/schema/raw/master/csl-citation.json"}</w:instrText>
      </w:r>
      <w:r w:rsidR="004546E5" w:rsidRPr="002A0643">
        <w:rPr>
          <w:noProof/>
          <w:color w:val="000000" w:themeColor="text1"/>
          <w:lang w:val="en-SG"/>
        </w:rPr>
        <w:fldChar w:fldCharType="separate"/>
      </w:r>
      <w:r w:rsidR="002E2FD7" w:rsidRPr="002E2FD7">
        <w:rPr>
          <w:noProof/>
          <w:color w:val="000000" w:themeColor="text1"/>
          <w:vertAlign w:val="superscript"/>
          <w:lang w:val="en-SG"/>
        </w:rPr>
        <w:t>4,5</w:t>
      </w:r>
      <w:r w:rsidR="004546E5" w:rsidRPr="002A0643">
        <w:rPr>
          <w:noProof/>
          <w:color w:val="000000" w:themeColor="text1"/>
          <w:lang w:val="en-SG"/>
        </w:rPr>
        <w:fldChar w:fldCharType="end"/>
      </w:r>
      <w:r w:rsidR="005B5C54" w:rsidRPr="002A0643">
        <w:rPr>
          <w:noProof/>
          <w:color w:val="000000" w:themeColor="text1"/>
          <w:lang w:val="en-SG"/>
        </w:rPr>
        <w:t>. S</w:t>
      </w:r>
      <w:r w:rsidR="00676FD8" w:rsidRPr="002A0643">
        <w:rPr>
          <w:color w:val="000000" w:themeColor="text1"/>
        </w:rPr>
        <w:t>low or d</w:t>
      </w:r>
      <w:r w:rsidR="006C6400" w:rsidRPr="002A0643">
        <w:rPr>
          <w:color w:val="000000" w:themeColor="text1"/>
        </w:rPr>
        <w:t>elayed</w:t>
      </w:r>
      <w:r w:rsidR="003C1B2E" w:rsidRPr="002A0643">
        <w:rPr>
          <w:color w:val="000000" w:themeColor="text1"/>
        </w:rPr>
        <w:t xml:space="preserve"> </w:t>
      </w:r>
      <w:r w:rsidR="0017246F" w:rsidRPr="002A0643">
        <w:rPr>
          <w:color w:val="000000" w:themeColor="text1"/>
        </w:rPr>
        <w:t xml:space="preserve">healing </w:t>
      </w:r>
      <w:r w:rsidR="00BE436E" w:rsidRPr="002A0643">
        <w:rPr>
          <w:color w:val="000000" w:themeColor="text1"/>
        </w:rPr>
        <w:t xml:space="preserve">of </w:t>
      </w:r>
      <w:r w:rsidRPr="002A0643">
        <w:rPr>
          <w:color w:val="000000" w:themeColor="text1"/>
        </w:rPr>
        <w:t xml:space="preserve">diabetic foot ulcers </w:t>
      </w:r>
      <w:r w:rsidR="00BE436E" w:rsidRPr="002A0643">
        <w:rPr>
          <w:color w:val="000000" w:themeColor="text1"/>
        </w:rPr>
        <w:t>are</w:t>
      </w:r>
      <w:r w:rsidR="00C92639" w:rsidRPr="002A0643">
        <w:rPr>
          <w:color w:val="000000" w:themeColor="text1"/>
        </w:rPr>
        <w:t xml:space="preserve"> </w:t>
      </w:r>
      <w:r w:rsidR="005B5C54" w:rsidRPr="002A0643">
        <w:rPr>
          <w:color w:val="000000" w:themeColor="text1"/>
        </w:rPr>
        <w:t>associated with a</w:t>
      </w:r>
      <w:r w:rsidR="00465D83" w:rsidRPr="002A0643">
        <w:rPr>
          <w:color w:val="000000" w:themeColor="text1"/>
        </w:rPr>
        <w:t xml:space="preserve"> </w:t>
      </w:r>
      <w:r w:rsidR="005B5C54" w:rsidRPr="002A0643">
        <w:rPr>
          <w:color w:val="000000" w:themeColor="text1"/>
        </w:rPr>
        <w:t>greater</w:t>
      </w:r>
      <w:r w:rsidR="00465D83" w:rsidRPr="002A0643">
        <w:rPr>
          <w:color w:val="000000" w:themeColor="text1"/>
        </w:rPr>
        <w:t xml:space="preserve"> risk of </w:t>
      </w:r>
      <w:r w:rsidR="00700FD2" w:rsidRPr="002A0643">
        <w:rPr>
          <w:color w:val="000000" w:themeColor="text1"/>
        </w:rPr>
        <w:t>diabetic lower limb amputation</w:t>
      </w:r>
      <w:r w:rsidR="00465D83" w:rsidRPr="002A0643">
        <w:rPr>
          <w:color w:val="000000" w:themeColor="text1"/>
        </w:rPr>
        <w:t xml:space="preserve"> </w:t>
      </w:r>
      <w:r w:rsidR="0017246F" w:rsidRPr="002A0643">
        <w:rPr>
          <w:color w:val="000000" w:themeColor="text1"/>
        </w:rPr>
        <w:fldChar w:fldCharType="begin" w:fldLock="1"/>
      </w:r>
      <w:r w:rsidR="002E2FD7">
        <w:rPr>
          <w:color w:val="000000" w:themeColor="text1"/>
        </w:rPr>
        <w:instrText>ADDIN CSL_CITATION {"citationItems":[{"id":"ITEM-1","itemData":{"DOI":"10.1002/dmrr.2400","ISSN":"15207552","PMID":"23390115","abstract":"BACKGROUND Healing of heel ulcers in patients with diabetes is considered to be poor, but there is relatively little information on the influence of ulcer location on ulcer healing. METHODS The influence of ulcer location on time to healing of diabetic foot ulcers was analysed by multivariate Cox regression analysis for 1000 patients included in the Eurodiale study, a prospective cohort study of patients with diabetic foot disease. RESULTS Median time to healing was 147 days for toe ulcers [(95% confidence interval (CI) 135-159 days)], 188 days for midfoot ulcers (95% CI 158-218 days) and 237 days for heel ulcers (95% CI 205-269 days) (p &lt; 0.01). The median time to healing for plantar ulcers was 172 days (95% CI 157-187 days) and 155 days (95% CI 138-172 days) for nonplantar ulcers (p = 0.71). In multivariate Cox regression analysis, the hazard ratio for ulcer healing for midfoot and heel ulcers compared with toe ulcers was 0.77 (95% CI 0.64-0.92) and 0.62 (95% CI 0.47-0.83), respectively; the hazard ratio for ulcer healing for plantar versus nonplantar ulcers was 1 (95% CI 0.84-1.19). Other factors significantly influencing time to healing were the duration of diabetes, ulcer duration, the presence of heart failure and the presence of peripheral arterial disease. CONCLUSIONS Time to ulcer healing increased progressively from toe to midfoot to heel, but did not differ between plantar and nonplantar ulcers. Our data also indicate that risk factors for longer time to healing differ from factors that affect the ultimate number of ulcers that heal (healing rate).","author":[{"dropping-particle":"","family":"Pickwell","given":"Kristy M.","non-dropping-particle":"","parse-names":false,"suffix":""},{"dropping-particle":"","family":"Siersma","given":"Volkert D.","non-dropping-particle":"","parse-names":false,"suffix":""},{"dropping-particle":"","family":"Kars","given":"Marleen","non-dropping-particle":"","parse-names":false,"suffix":""},{"dropping-particle":"","family":"Holstein","given":"Per E.","non-dropping-particle":"","parse-names":false,"suffix":""},{"dropping-particle":"","family":"Schaper","given":"Nicolaas C.","non-dropping-particle":"","parse-names":false,"suffix":""},{"dropping-particle":"","family":"Eurodiale consortium","given":"","non-dropping-particle":"","parse-names":false,"suffix":""}],"container-title":"Diabetes/Metabolism Research and Reviews","id":"ITEM-1","issue":"5","issued":{"date-parts":[["2013","7"]]},"page":"377-383","title":"Diabetic foot disease: impact of ulcer location on ulcer healing","type":"article-journal","volume":"29"},"uris":["http://www.mendeley.com/documents/?uuid=9edd05a9-1ddf-3a66-aaae-8ef5d735acb5"]},{"id":"ITEM-2","itemData":{"DOI":"10.2337/dc17-1836","ISSN":"1935-5548","PMID":"29559450","abstract":"Diabetic foot ulcers remain a major health care problem. They are common, result in considerable suffering, frequently recur, and are associated with high mortality, as well as considerable health care costs. While national and international guidance exists, the evidence base for much of routine clinical care is thin. It follows that many aspects of the structure and delivery of care are susceptible to the beliefs and opinion of individuals. It is probable that this contributes to the geographic variation in outcome that has been documented in a number of countries. This article considers these issues in depth and emphasizes the urgent need to improve the design and conduct of clinical trials in this field, as well as to undertake systematic comparison of the results of routine care in different health economies. There is strong suggestive evidence to indicate that appropriate changes in the relevant care pathways can result in a prompt improvement in clinical outcomes.","author":[{"dropping-particle":"","family":"Jeffcoate","given":"William J","non-dropping-particle":"","parse-names":false,"suffix":""},{"dropping-particle":"","family":"Vileikyte","given":"Loretta","non-dropping-particle":"","parse-names":false,"suffix":""},{"dropping-particle":"","family":"Boyko","given":"Edward J","non-dropping-particle":"","parse-names":false,"suffix":""},{"dropping-particle":"","family":"Armstrong","given":"David G","non-dropping-particle":"","parse-names":false,"suffix":""},{"dropping-particle":"","family":"Boulton","given":"Andrew J M","non-dropping-particle":"","parse-names":false,"suffix":""}],"container-title":"Diabetes care","id":"ITEM-2","issue":"4","issued":{"date-parts":[["2018","4","1"]]},"page":"645-652","publisher":"American Diabetes Association","title":"Current Challenges and Opportunities in the Prevention and Management of Diabetic Foot Ulcers.","type":"article-journal","volume":"41"},"uris":["http://www.mendeley.com/documents/?uuid=9d7ec549-49d7-31ad-b4ea-0f577e4302a6"]},{"id":"ITEM-3","itemData":{"DOI":"10.1007/s00125-008-0940-0","ISSN":"0012-186X","PMID":"18297261","abstract":"AIMS/HYPOTHESIS Outcome data on individuals with diabetic foot ulcers are scarce, especially in those with peripheral arterial disease (PAD). We therefore examined the clinical characteristics that best predict poor outcome in a large population of diabetic foot ulcer patients and examined whether such predictors differ between patients with and without PAD. METHODS Analyses were conducted within the EURODIALE Study, a prospective cohort study of 1,088 diabetic foot ulcer patients across 14 centres in Europe. Multiple logistic regression modelling was used to identify independent predictors of outcome (i.e. non-healing of the foot ulcer). RESULTS After 1 year of follow-up, 23% of the patients had not healed. Independent baseline predictors of non-healing in the whole study population were older age, male sex, heart failure, the inability to stand or walk without help, end-stage renal disease, larger ulcer size, peripheral neuropathy and PAD. When analyses were performed according to PAD status, infection emerged as a specific predictor of non-healing in PAD patients only. CONCLUSIONS/INTERPRETATION Predictors of healing differ between patients with and without PAD, suggesting that diabetic foot ulcers with or without concomitant PAD should be defined as two separate disease states. The observed negative impact of infection on healing that was confined to patients with PAD needs further investigation.","author":[{"dropping-particle":"","family":"Prompers","given":"L","non-dropping-particle":"","parse-names":false,"suffix":""},{"dropping-particle":"","family":"Schaper","given":"N","non-dropping-particle":"","parse-names":false,"suffix":""},{"dropping-particle":"","family":"Apelqvist","given":"J","non-dropping-particle":"","parse-names":false,"suffix":""},{"dropping-particle":"","family":"Edmonds","given":"M","non-dropping-particle":"","parse-names":false,"suffix":""},{"dropping-particle":"","family":"Jude","given":"E","non-dropping-particle":"","parse-names":false,"suffix":""},{"dropping-particle":"","family":"Mauricio","given":"D","non-dropping-particle":"","parse-names":false,"suffix":""},{"dropping-particle":"","family":"Uccioli","given":"L","non-dropping-particle":"","parse-names":false,"suffix":""},{"dropping-particle":"","family":"Urbancic","given":"V","non-dropping-particle":"","parse-names":false,"suffix":""},{"dropping-particle":"","family":"Bakker","given":"K","non-dropping-particle":"","parse-names":false,"suffix":""},{"dropping-particle":"","family":"Holstein","given":"P","non-dropping-particle":"","parse-names":false,"suffix":""},{"dropping-particle":"","family":"Jirkovska","given":"A","non-dropping-particle":"","parse-names":false,"suffix":""},{"dropping-particle":"","family":"Piaggesi","given":"A","non-dropping-particle":"","parse-names":false,"suffix":""},{"dropping-particle":"","family":"Ragnarson-Tennvall","given":"G","non-dropping-particle":"","parse-names":false,"suffix":""},{"dropping-particle":"","family":"Reike","given":"H","non-dropping-particle":"","parse-names":false,"suffix":""},{"dropping-particle":"","family":"Spraul","given":"M","non-dropping-particle":"","parse-names":false,"suffix":""},{"dropping-particle":"","family":"Acker","given":"K","non-dropping-particle":"Van","parse-names":false,"suffix":""},{"dropping-particle":"","family":"Baal","given":"J","non-dropping-particle":"Van","parse-names":false,"suffix":""},{"dropping-particle":"","family":"Merode","given":"F","non-dropping-particle":"Van","parse-names":false,"suffix":""},{"dropping-particle":"","family":"Ferreira","given":"I","non-dropping-particle":"","parse-names":false,"suffix":""},{"dropping-particle":"","family":"Huijberts","given":"M","non-dropping-particle":"","parse-names":false,"suffix":""}],"container-title":"Diabetologia","id":"ITEM-3","issue":"5","issued":{"date-parts":[["2008","5"]]},"page":"747-55","publisher":"Springer","title":"Prediction of outcome in individuals with diabetic foot ulcers: focus on the differences between individuals with and without peripheral arterial disease. The EURODIALE Study.","type":"article-journal","volume":"51"},"uris":["http://www.mendeley.com/documents/?uuid=ff51226d-f9e3-30ed-b649-c128a112777c"]}],"mendeley":{"formattedCitation":"&lt;sup&gt;6–8&lt;/sup&gt;","plainTextFormattedCitation":"6–8","previouslyFormattedCitation":"&lt;sup&gt;6–8&lt;/sup&gt;"},"properties":{"noteIndex":0},"schema":"https://github.com/citation-style-language/schema/raw/master/csl-citation.json"}</w:instrText>
      </w:r>
      <w:r w:rsidR="0017246F" w:rsidRPr="002A0643">
        <w:rPr>
          <w:color w:val="000000" w:themeColor="text1"/>
        </w:rPr>
        <w:fldChar w:fldCharType="separate"/>
      </w:r>
      <w:r w:rsidR="002E2FD7" w:rsidRPr="002E2FD7">
        <w:rPr>
          <w:noProof/>
          <w:color w:val="000000" w:themeColor="text1"/>
          <w:vertAlign w:val="superscript"/>
        </w:rPr>
        <w:t>6–8</w:t>
      </w:r>
      <w:r w:rsidR="0017246F" w:rsidRPr="002A0643">
        <w:rPr>
          <w:color w:val="000000" w:themeColor="text1"/>
        </w:rPr>
        <w:fldChar w:fldCharType="end"/>
      </w:r>
      <w:r w:rsidR="009A7AB0" w:rsidRPr="002A0643">
        <w:rPr>
          <w:color w:val="000000" w:themeColor="text1"/>
        </w:rPr>
        <w:t xml:space="preserve"> which </w:t>
      </w:r>
      <w:r w:rsidR="009A7AB0" w:rsidRPr="002A0643">
        <w:rPr>
          <w:color w:val="000000" w:themeColor="text1"/>
          <w:lang w:val="en-SG"/>
        </w:rPr>
        <w:t xml:space="preserve">can be </w:t>
      </w:r>
      <w:r w:rsidR="00A4367C" w:rsidRPr="002A0643">
        <w:rPr>
          <w:color w:val="000000" w:themeColor="text1"/>
          <w:lang w:val="en-SG"/>
        </w:rPr>
        <w:t>either</w:t>
      </w:r>
      <w:r w:rsidR="009A7AB0" w:rsidRPr="002A0643">
        <w:rPr>
          <w:color w:val="000000" w:themeColor="text1"/>
          <w:lang w:val="en-SG"/>
        </w:rPr>
        <w:t xml:space="preserve"> minor (foot and toes)</w:t>
      </w:r>
      <w:r w:rsidR="00A4367C" w:rsidRPr="002A0643">
        <w:rPr>
          <w:color w:val="000000" w:themeColor="text1"/>
          <w:lang w:val="en-SG"/>
        </w:rPr>
        <w:t xml:space="preserve"> or major (above ankle)</w:t>
      </w:r>
      <w:r w:rsidR="00851130">
        <w:rPr>
          <w:color w:val="000000" w:themeColor="text1"/>
          <w:lang w:val="en-SG"/>
        </w:rPr>
        <w:t xml:space="preserve"> </w:t>
      </w:r>
      <w:r w:rsidR="009A7AB0" w:rsidRPr="002A0643">
        <w:rPr>
          <w:color w:val="000000" w:themeColor="text1"/>
          <w:lang w:val="en-SG"/>
        </w:rPr>
        <w:fldChar w:fldCharType="begin" w:fldLock="1"/>
      </w:r>
      <w:r w:rsidR="002E2FD7">
        <w:rPr>
          <w:color w:val="000000" w:themeColor="text1"/>
          <w:lang w:val="en-SG"/>
        </w:rPr>
        <w:instrText>ADDIN CSL_CITATION {"citationItems":[{"id":"ITEM-1","itemData":{"DOI":"10.1177/1708538118797544","ISSN":"1708-5381","author":[{"dropping-particle":"","family":"Chan","given":"Amy S","non-dropping-particle":"","parse-names":false,"suffix":""},{"dropping-particle":"","family":"Montbriand","given":"Janice","non-dropping-particle":"","parse-names":false,"suffix":""},{"dropping-particle":"","family":"Eisenberg","given":"Naomi","non-dropping-particle":"","parse-names":false,"suffix":""},{"dropping-particle":"","family":"Roche-Nagle","given":"Graham","non-dropping-particle":"","parse-names":false,"suffix":""}],"container-title":"Vascular","id":"ITEM-1","issue":"1","issued":{"date-parts":[["2019","2"]]},"page":"8-18","title":"Outcomes of minor amputations in patients with peripheral vascular disease over a 10-year period at a tertiary care institution","type":"article-journal","volume":"27"},"uris":["http://www.mendeley.com/documents/?uuid=5bb12129-9bcc-35bc-b50d-a54dcd857277"]}],"mendeley":{"formattedCitation":"&lt;sup&gt;9&lt;/sup&gt;","plainTextFormattedCitation":"9","previouslyFormattedCitation":"&lt;sup&gt;9&lt;/sup&gt;"},"properties":{"noteIndex":0},"schema":"https://github.com/citation-style-language/schema/raw/master/csl-citation.json"}</w:instrText>
      </w:r>
      <w:r w:rsidR="009A7AB0" w:rsidRPr="002A0643">
        <w:rPr>
          <w:color w:val="000000" w:themeColor="text1"/>
          <w:lang w:val="en-SG"/>
        </w:rPr>
        <w:fldChar w:fldCharType="separate"/>
      </w:r>
      <w:r w:rsidR="002E2FD7" w:rsidRPr="002E2FD7">
        <w:rPr>
          <w:noProof/>
          <w:color w:val="000000" w:themeColor="text1"/>
          <w:vertAlign w:val="superscript"/>
          <w:lang w:val="en-SG"/>
        </w:rPr>
        <w:t>9</w:t>
      </w:r>
      <w:r w:rsidR="009A7AB0" w:rsidRPr="002A0643">
        <w:rPr>
          <w:color w:val="000000" w:themeColor="text1"/>
          <w:lang w:val="en-SG"/>
        </w:rPr>
        <w:fldChar w:fldCharType="end"/>
      </w:r>
      <w:r w:rsidR="00DA017E">
        <w:rPr>
          <w:noProof/>
          <w:color w:val="000000" w:themeColor="text1"/>
          <w:lang w:val="en-SG"/>
        </w:rPr>
        <w:t xml:space="preserve">. </w:t>
      </w:r>
    </w:p>
    <w:p w14:paraId="40DFCFDD" w14:textId="77777777" w:rsidR="0009365A" w:rsidRPr="002A0643" w:rsidRDefault="0009365A" w:rsidP="00313961">
      <w:pPr>
        <w:autoSpaceDE w:val="0"/>
        <w:autoSpaceDN w:val="0"/>
        <w:adjustRightInd w:val="0"/>
        <w:jc w:val="both"/>
        <w:rPr>
          <w:noProof/>
          <w:color w:val="000000" w:themeColor="text1"/>
          <w:lang w:val="en-SG"/>
        </w:rPr>
      </w:pPr>
    </w:p>
    <w:p w14:paraId="4E8F8B5A" w14:textId="4478CDE7" w:rsidR="0009365A" w:rsidRPr="002A0643" w:rsidRDefault="0009365A" w:rsidP="0009365A">
      <w:pPr>
        <w:autoSpaceDE w:val="0"/>
        <w:autoSpaceDN w:val="0"/>
        <w:adjustRightInd w:val="0"/>
        <w:jc w:val="both"/>
      </w:pPr>
      <w:r w:rsidRPr="002A0643">
        <w:rPr>
          <w:noProof/>
          <w:color w:val="000000" w:themeColor="text1"/>
          <w:lang w:val="en-SG"/>
        </w:rPr>
        <w:t>In Singapore, diabetes is a huge challenge for the healthcare system as the prevenlence has</w:t>
      </w:r>
      <w:r w:rsidRPr="002A0643">
        <w:t xml:space="preserve"> </w:t>
      </w:r>
      <w:r w:rsidRPr="002A0643">
        <w:rPr>
          <w:noProof/>
          <w:color w:val="000000" w:themeColor="text1"/>
          <w:lang w:val="en-SG"/>
        </w:rPr>
        <w:t>increased rapidly in the past two decades</w:t>
      </w:r>
      <w:r>
        <w:rPr>
          <w:noProof/>
          <w:color w:val="000000" w:themeColor="text1"/>
          <w:lang w:val="en-SG"/>
        </w:rPr>
        <w:t>,</w:t>
      </w:r>
      <w:r w:rsidRPr="002A0643">
        <w:rPr>
          <w:noProof/>
          <w:color w:val="000000" w:themeColor="text1"/>
          <w:lang w:val="en-SG"/>
        </w:rPr>
        <w:t xml:space="preserve"> and </w:t>
      </w:r>
      <w:r>
        <w:rPr>
          <w:noProof/>
          <w:color w:val="000000" w:themeColor="text1"/>
          <w:lang w:val="en-SG"/>
        </w:rPr>
        <w:t xml:space="preserve">is </w:t>
      </w:r>
      <w:r w:rsidRPr="002A0643">
        <w:rPr>
          <w:noProof/>
          <w:color w:val="000000" w:themeColor="text1"/>
          <w:lang w:val="en-SG"/>
        </w:rPr>
        <w:t>likely</w:t>
      </w:r>
      <w:r w:rsidRPr="002A0643">
        <w:t xml:space="preserve"> </w:t>
      </w:r>
      <w:r w:rsidRPr="002A0643">
        <w:rPr>
          <w:noProof/>
          <w:color w:val="000000" w:themeColor="text1"/>
          <w:lang w:val="en-SG"/>
        </w:rPr>
        <w:t xml:space="preserve">to increase to 15% in year 2050 </w:t>
      </w:r>
      <w:r w:rsidRPr="002A0643">
        <w:rPr>
          <w:noProof/>
          <w:color w:val="000000" w:themeColor="text1"/>
          <w:lang w:val="en-SG"/>
        </w:rPr>
        <w:fldChar w:fldCharType="begin" w:fldLock="1"/>
      </w:r>
      <w:r>
        <w:rPr>
          <w:noProof/>
          <w:color w:val="000000" w:themeColor="text1"/>
          <w:lang w:val="en-SG"/>
        </w:rPr>
        <w:instrText>ADDIN CSL_CITATION {"citationItems":[{"id":"ITEM-1","itemData":{"DOI":"10.1136/bmjdrc-2013","abstract":"Objective: Singapore is a microcosm of Asia as a whole, and its rapidly ageing, increasingly sedentary population heralds the chronic health problems other Asian countries are starting to face and will likely face in the decades ahead. Forecasting the changing burden of chronic diseases such as type 2 diabetes in Singapore is vital to plan the resources needed and motivate preventive efforts. Methods: This paper describes an individual-level simulation model that uses evidence synthesis from multiple data streams-national statistics, national health surveys, and four cohort studies, and known risk factors-aging, obesity, ethnicity, and genetics-to forecast the prevalence of type 2 diabetes in Singapore. This comprises submodels for mortality, fertility, migration, body mass index trajectories, genetics, and workforce participation, parameterized using Markov chain Monte Carlo methods, and permits forecasts by ethnicity and employment status.","author":[{"dropping-particle":"","family":"Phan","given":"Thao P","non-dropping-particle":"","parse-names":false,"suffix":""},{"dropping-particle":"","family":"Alkema","given":"Leontine","non-dropping-particle":"","parse-names":false,"suffix":""},{"dropping-particle":"","family":"Tai","given":"Shyong","non-dropping-particle":"","parse-names":false,"suffix":""},{"dropping-particle":"","family":"Tan","given":"Kristin H X","non-dropping-particle":"","parse-names":false,"suffix":""},{"dropping-particle":"","family":"Yang","given":"Qian","non-dropping-particle":"","parse-names":false,"suffix":""},{"dropping-particle":"","family":"Lim","given":"Wei-Yen","non-dropping-particle":"","parse-names":false,"suffix":""},{"dropping-particle":"","family":"Teo","given":"Yik Ying","non-dropping-particle":"","parse-names":false,"suffix":""},{"dropping-particle":"","family":"Cheng","given":"Ching-Yu","non-dropping-particle":"","parse-names":false,"suffix":""},{"dropping-particle":"","family":"Wang","given":"Xu","non-dropping-particle":"","parse-names":false,"suffix":""},{"dropping-particle":"","family":"Wong","given":"Tien Yin","non-dropping-particle":"","parse-names":false,"suffix":""},{"dropping-particle":"","family":"Chia","given":"Kee Seng","non-dropping-particle":"","parse-names":false,"suffix":""},{"dropping-particle":"","family":"Cook","given":"Alex R","non-dropping-particle":"","parse-names":false,"suffix":""}],"container-title":"Care","id":"ITEM-1","issued":{"date-parts":[["2014"]]},"page":"12","title":"Forecasting the burden of type 2 diabetes in Singapore using a demographic epidemiological model of Singapore","type":"article-journal","volume":"2"},"uris":["http://www.mendeley.com/documents/?uuid=bccbc538-23bb-3f64-b05b-fbaa8f89cb90"]}],"mendeley":{"formattedCitation":"&lt;sup&gt;10&lt;/sup&gt;","plainTextFormattedCitation":"10","previouslyFormattedCitation":"&lt;sup&gt;10&lt;/sup&gt;"},"properties":{"noteIndex":0},"schema":"https://github.com/citation-style-language/schema/raw/master/csl-citation.json"}</w:instrText>
      </w:r>
      <w:r w:rsidRPr="002A0643">
        <w:rPr>
          <w:noProof/>
          <w:color w:val="000000" w:themeColor="text1"/>
          <w:lang w:val="en-SG"/>
        </w:rPr>
        <w:fldChar w:fldCharType="separate"/>
      </w:r>
      <w:r w:rsidRPr="002E2FD7">
        <w:rPr>
          <w:noProof/>
          <w:color w:val="000000" w:themeColor="text1"/>
          <w:vertAlign w:val="superscript"/>
          <w:lang w:val="en-SG"/>
        </w:rPr>
        <w:t>10</w:t>
      </w:r>
      <w:r w:rsidRPr="002A0643">
        <w:rPr>
          <w:noProof/>
          <w:color w:val="000000" w:themeColor="text1"/>
          <w:lang w:val="en-SG"/>
        </w:rPr>
        <w:fldChar w:fldCharType="end"/>
      </w:r>
      <w:r w:rsidRPr="002A0643">
        <w:rPr>
          <w:noProof/>
          <w:color w:val="000000" w:themeColor="text1"/>
          <w:lang w:val="en-SG"/>
        </w:rPr>
        <w:t xml:space="preserve">. </w:t>
      </w:r>
      <w:r w:rsidRPr="002A0643">
        <w:t>Due to the high prevalence of diabetes in Singapore</w:t>
      </w:r>
      <w:r w:rsidRPr="002A0643">
        <w:rPr>
          <w:noProof/>
          <w:color w:val="000000" w:themeColor="text1"/>
          <w:lang w:val="en-SG"/>
        </w:rPr>
        <w:t>, diabetes-related lower extremity amputations</w:t>
      </w:r>
      <w:r>
        <w:rPr>
          <w:noProof/>
          <w:color w:val="000000" w:themeColor="text1"/>
          <w:lang w:val="en-SG"/>
        </w:rPr>
        <w:t xml:space="preserve"> have </w:t>
      </w:r>
      <w:r w:rsidRPr="002A0643">
        <w:rPr>
          <w:noProof/>
          <w:color w:val="000000" w:themeColor="text1"/>
          <w:lang w:val="en-SG"/>
        </w:rPr>
        <w:t>increased from 11.0 per 100,000 population to 13.3 per 100,000 population between year 2008 and 2013</w:t>
      </w:r>
      <w:r>
        <w:rPr>
          <w:noProof/>
          <w:color w:val="000000" w:themeColor="text1"/>
          <w:lang w:val="en-SG"/>
        </w:rPr>
        <w:t xml:space="preserve"> </w:t>
      </w:r>
      <w:r w:rsidRPr="002A0643">
        <w:rPr>
          <w:noProof/>
          <w:color w:val="000000" w:themeColor="text1"/>
          <w:lang w:val="en-SG"/>
        </w:rPr>
        <w:fldChar w:fldCharType="begin" w:fldLock="1"/>
      </w:r>
      <w:r>
        <w:rPr>
          <w:noProof/>
          <w:color w:val="000000" w:themeColor="text1"/>
          <w:lang w:val="en-SG"/>
        </w:rPr>
        <w:instrText>ADDIN CSL_CITATION {"citationItems":[{"id":"ITEM-1","itemData":{"DOI":"10.1177/2010105816663521","ISSN":"20592329","abstract":"Background: Lower extremity amputation (LEA) is defined as the complete loss in the transverse anatomical plane of any part of the lower limb. The objective of this study is to look at the trend and mortality trend of LEA performed in diabetes patients from 2008 to 2013. Methods: All patients age 15 and above with diabetes mellitus who had undergone LEAs (both major and minor) in Tan Tock Seng Hospital, Singapore from 1 January 2008 to 31 December 2013 were included. The outcomes of interest were deaths from all causes within 30 days and within 1 year. Results: Major LEA rate has increased from 11.0 per 100,000 population in 2008 to 13.3 per 100,000 population in 2013. The 30-day mortality rate ranges from 6.0% to 11.1% and the 1-year mortality rate ranges from 24.3% to 30.6%. Minor LEA rate has increased from 10.8 per 100,000 population in 2008 to 13.9 per 100,000 population in 2013. The 30-day mortality rate ranges from 1.5% to 3.7% and the 1-year mortality rate ranges from 9.7% to 18.3%. Conclusions: The trends in major and minor LEA are increasing. The 30-day and 1-year mortality for both major and minor LEA are comparable to figures reported worldwide. There is a need to re-look at preventive strategies to reduce LEA in diabetes patients in Singapore.","author":[{"dropping-particle":"","family":"Ang","given":"Yee","non-dropping-particle":"","parse-names":false,"suffix":""},{"dropping-particle":"","family":"Yap","given":"Chun Wei","non-dropping-particle":"","parse-names":false,"suffix":""},{"dropping-particle":"","family":"Saxena","given":"Nakul","non-dropping-particle":"","parse-names":false,"suffix":""},{"dropping-particle":"","family":"Lin","given":"Lee Kai","non-dropping-particle":"","parse-names":false,"suffix":""},{"dropping-particle":"","family":"Heng","given":"Bee Hoon","non-dropping-particle":"","parse-names":false,"suffix":""}],"container-title":"Proceedings of Singapore Healthcare","id":"ITEM-1","issue":"2","issued":{"date-parts":[["2017"]]},"page":"76-80","publisher":"SAGE Publications Inc.","title":"Diabetes-related lower extremity amputations in Singapore","type":"article-journal","volume":"26"},"uris":["http://www.mendeley.com/documents/?uuid=2166cb3c-29db-384f-b756-1a9e6702d233"]}],"mendeley":{"formattedCitation":"&lt;sup&gt;11&lt;/sup&gt;","plainTextFormattedCitation":"11","previouslyFormattedCitation":"&lt;sup&gt;11&lt;/sup&gt;"},"properties":{"noteIndex":0},"schema":"https://github.com/citation-style-language/schema/raw/master/csl-citation.json"}</w:instrText>
      </w:r>
      <w:r w:rsidRPr="002A0643">
        <w:rPr>
          <w:noProof/>
          <w:color w:val="000000" w:themeColor="text1"/>
          <w:lang w:val="en-SG"/>
        </w:rPr>
        <w:fldChar w:fldCharType="separate"/>
      </w:r>
      <w:r w:rsidRPr="002E2FD7">
        <w:rPr>
          <w:noProof/>
          <w:color w:val="000000" w:themeColor="text1"/>
          <w:vertAlign w:val="superscript"/>
          <w:lang w:val="en-SG"/>
        </w:rPr>
        <w:t>11</w:t>
      </w:r>
      <w:r w:rsidRPr="002A0643">
        <w:rPr>
          <w:noProof/>
          <w:color w:val="000000" w:themeColor="text1"/>
          <w:lang w:val="en-SG"/>
        </w:rPr>
        <w:fldChar w:fldCharType="end"/>
      </w:r>
      <w:r w:rsidRPr="002A0643">
        <w:rPr>
          <w:noProof/>
          <w:color w:val="000000" w:themeColor="text1"/>
          <w:lang w:val="en-SG"/>
        </w:rPr>
        <w:t xml:space="preserve">. </w:t>
      </w:r>
      <w:r w:rsidRPr="002A0643">
        <w:t xml:space="preserve">Compared to other chronic wound patients in Singapore, patients with </w:t>
      </w:r>
      <w:r w:rsidRPr="002A0643">
        <w:rPr>
          <w:color w:val="000000" w:themeColor="text1"/>
        </w:rPr>
        <w:t xml:space="preserve">diabetic foot ulcer </w:t>
      </w:r>
      <w:r w:rsidRPr="002A0643">
        <w:t xml:space="preserve">are considered to be the frailest and they also often have  more comorbidities </w:t>
      </w:r>
      <w:r w:rsidRPr="002A0643">
        <w:fldChar w:fldCharType="begin" w:fldLock="1"/>
      </w:r>
      <w:r>
        <w:instrText>ADDIN CSL_CITATION {"citationItems":[{"id":"ITEM-1","itemData":{"DOI":"10.1111/iwj.13333","ISSN":"1742481X","PMID":"32149471","abstract":"The aim of this study is to evaluate the clinical and economic burden of wound care in the Tropics via a 5-year institutional population health review. Within our data analysis, wounds are broadly classified into neuro-ischaemic ulcers (NIUs), venous leg ulcers (VLUs), pressure injuries (PIs), and surgical site infections (SSIs). Between 2013 and 2017, there were a total of 56 583 wound-related inpatient admissions for 41 461 patients, with a 95.1% increase in wound episodes per 1000 inpatient admissions over this period (142 and 277 wound episodes per 1000 inpatient admissions in 2013 and 2017, respectively). In 2017, the average length of stay for each wound episode was 17.7 days, which was 2.4 times that of an average acute admission at our institution. The average gross charge per wound episode was USD $12 967. Among the 12 218 patients with 16 674 wound episodes in 2017, 71.5% were more than 65 years of age with an average Charlson Comorbidity Index (CCI) of 7.2. Half (51.9%) were moderately or severely frail, while 41.3% had two or more wound-related admission episodes. In 2017, within our healthcare cluster, the gross healthcare costs for all inpatient wound episodes stand at USD $216 million within hospital care and USD $596 000 within primary care. Most NIU patients (97.2%) had diabetes and they had the most comorbidities (average CCI 8.4) and were the frailest group of patients (44.9% severely frail). The majority of the VLU disease burden was at the specialist outpatient setting, with the average 1-year VLU recurrence rate at 52.5% and median time between healing and recurrence at 9.5 months. PI patients were the oldest (86.5% more than 65 years-old), constituted the largest cohort of patients with 3874 patients at an incidence of 64.6 per 1000 admissions in 2017, and have a 1-year all-cause mortality rate of 14.3%. For SSI patients, there was a 125% increase of 14.2 SSI wound episodes per 1000 inpatient admissions in 2013 to 32.0 in 2017, and a 413% increase in wound-related 30-day re-admissions, from 40 in 2013 (4.1% of all surgeries) to 205 (8.3% of all surgeries) in 2017. The estimated gross healthcare cost per patient ranges from USD $15789–17 761 across the wound categories. Similar to global data, there is a significant and rising trend in the clinical and economic burden of wound care in Tropics.","author":[{"dropping-particle":"","family":"Lo","given":"Zhiwen J.","non-dropping-particle":"","parse-names":false,"suffix":""},{"dropping-particle":"","family":"Lim","given":"Xuxin","non-dropping-particle":"","parse-names":false,"suffix":""},{"dropping-particle":"","family":"Eng","given":"Diane","non-dropping-particle":"","parse-names":false,"suffix":""},{"dropping-particle":"","family":"Car","given":"Josip","non-dropping-particle":"","parse-names":false,"suffix":""},{"dropping-particle":"","family":"Hong","given":"Qiantai","non-dropping-particle":"","parse-names":false,"suffix":""},{"dropping-particle":"","family":"Yong","given":"Enming","non-dropping-particle":"","parse-names":false,"suffix":""},{"dropping-particle":"","family":"Zhang","given":"Li","non-dropping-particle":"","parse-names":false,"suffix":""},{"dropping-particle":"","family":"Chandrasekar","given":"Sadhana","non-dropping-particle":"","parse-names":false,"suffix":""},{"dropping-particle":"","family":"Tan","given":"Glenn W.L.","non-dropping-particle":"","parse-names":false,"suffix":""},{"dropping-particle":"","family":"Chan","given":"Yam M.","non-dropping-particle":"","parse-names":false,"suffix":""},{"dropping-particle":"","family":"Sim","given":"Seow C.","non-dropping-particle":"","parse-names":false,"suffix":""},{"dropping-particle":"","family":"Oei","given":"Chien W.","non-dropping-particle":"","parse-names":false,"suffix":""},{"dropping-particle":"","family":"Zhang","given":"Xiaojin","non-dropping-particle":"","parse-names":false,"suffix":""},{"dropping-particle":"","family":"Dharmawan","given":"Ayliana","non-dropping-particle":"","parse-names":false,"suffix":""},{"dropping-particle":"","family":"Ng","given":"Yi Z.","non-dropping-particle":"","parse-names":false,"suffix":""},{"dropping-particle":"","family":"Harding","given":"Keith","non-dropping-particle":"","parse-names":false,"suffix":""},{"dropping-particle":"","family":"Upton","given":"Zee","non-dropping-particle":"","parse-names":false,"suffix":""},{"dropping-particle":"","family":"Yap","given":"Chun W.","non-dropping-particle":"","parse-names":false,"suffix":""},{"dropping-particle":"","family":"Heng","given":"Bee H.","non-dropping-particle":"","parse-names":false,"suffix":""}],"container-title":"International Wound Journal","id":"ITEM-1","issue":"3","issued":{"date-parts":[["2020","6","1"]]},"page":"790-803","publisher":"Blackwell Publishing Ltd","title":"Clinical and economic burden of wound care in the tropics: a 5-year institutional population health review","type":"article-journal","volume":"17"},"uris":["http://www.mendeley.com/documents/?uuid=ce2e5620-493f-3bd8-8d2d-e3a4213d7ddb"]}],"mendeley":{"formattedCitation":"&lt;sup&gt;12&lt;/sup&gt;","plainTextFormattedCitation":"12","previouslyFormattedCitation":"&lt;sup&gt;12&lt;/sup&gt;"},"properties":{"noteIndex":0},"schema":"https://github.com/citation-style-language/schema/raw/master/csl-citation.json"}</w:instrText>
      </w:r>
      <w:r w:rsidRPr="002A0643">
        <w:fldChar w:fldCharType="separate"/>
      </w:r>
      <w:r w:rsidRPr="002E2FD7">
        <w:rPr>
          <w:noProof/>
          <w:vertAlign w:val="superscript"/>
        </w:rPr>
        <w:t>12</w:t>
      </w:r>
      <w:r w:rsidRPr="002A0643">
        <w:fldChar w:fldCharType="end"/>
      </w:r>
      <w:r w:rsidRPr="002A0643">
        <w:t xml:space="preserve">. </w:t>
      </w:r>
      <w:r w:rsidRPr="002A0643">
        <w:rPr>
          <w:color w:val="000000" w:themeColor="text1"/>
        </w:rPr>
        <w:t xml:space="preserve">Diabetes is also associated with a lower quality of life and an increased risk of early death for affected patients </w:t>
      </w:r>
      <w:r w:rsidRPr="002A0643">
        <w:rPr>
          <w:color w:val="000000" w:themeColor="text1"/>
        </w:rPr>
        <w:fldChar w:fldCharType="begin" w:fldLock="1"/>
      </w:r>
      <w:r w:rsidR="004E28CE">
        <w:rPr>
          <w:color w:val="000000" w:themeColor="text1"/>
        </w:rPr>
        <w:instrText>ADDIN CSL_CITATION {"citationItems":[{"id":"ITEM-1","itemData":{"ISBN":"978-2-930229-87-4","edition":"9th editio","editor":[{"dropping-particle":"","family":"Karuranga","given":"Suvi","non-dropping-particle":"","parse-names":false,"suffix":""},{"dropping-particle":"","family":"Malanda","given":"Belma","non-dropping-particle":"","parse-names":false,"suffix":""},{"dropping-particle":"","family":"Saeedi","given":"Pouya","non-dropping-particle":"","parse-names":false,"suffix":""},{"dropping-particle":"","family":"Salpea","given":"Paraskevi","non-dropping-particle":"","parse-names":false,"suffix":""}],"id":"ITEM-1","issued":{"date-parts":[["2019"]]},"title":"International Diabetes Federation Diabetes Atlas 2019","type":"book"},"uris":["http://www.mendeley.com/documents/?uuid=ecabb691-f531-391c-a47f-baa83145d67d"]}],"mendeley":{"formattedCitation":"&lt;sup&gt;1&lt;/sup&gt;","plainTextFormattedCitation":"1","previouslyFormattedCitation":"&lt;sup&gt;1&lt;/sup&gt;"},"properties":{"noteIndex":0},"schema":"https://github.com/citation-style-language/schema/raw/master/csl-citation.json"}</w:instrText>
      </w:r>
      <w:r w:rsidRPr="002A0643">
        <w:rPr>
          <w:color w:val="000000" w:themeColor="text1"/>
        </w:rPr>
        <w:fldChar w:fldCharType="separate"/>
      </w:r>
      <w:r w:rsidRPr="002E2FD7">
        <w:rPr>
          <w:noProof/>
          <w:color w:val="000000" w:themeColor="text1"/>
          <w:vertAlign w:val="superscript"/>
        </w:rPr>
        <w:t>1</w:t>
      </w:r>
      <w:r w:rsidRPr="002A0643">
        <w:rPr>
          <w:color w:val="000000" w:themeColor="text1"/>
        </w:rPr>
        <w:fldChar w:fldCharType="end"/>
      </w:r>
      <w:r w:rsidRPr="002A0643">
        <w:rPr>
          <w:color w:val="000000" w:themeColor="text1"/>
        </w:rPr>
        <w:t xml:space="preserve">. </w:t>
      </w:r>
      <w:r w:rsidRPr="002A0643">
        <w:t>Patients with diabet</w:t>
      </w:r>
      <w:r>
        <w:t>es</w:t>
      </w:r>
      <w:r w:rsidRPr="002A0643">
        <w:t xml:space="preserve"> </w:t>
      </w:r>
      <w:r>
        <w:t>related</w:t>
      </w:r>
      <w:r w:rsidRPr="002A0643">
        <w:t xml:space="preserve"> amputation have also reported to experience physical, psychosocial and financial distress</w:t>
      </w:r>
      <w:r w:rsidRPr="002A0643">
        <w:fldChar w:fldCharType="begin" w:fldLock="1"/>
      </w:r>
      <w:r w:rsidR="004E28CE">
        <w:instrText>ADDIN CSL_CITATION {"citationItems":[{"id":"ITEM-1","itemData":{"DOI":"10.1017/S146342362000064X","ISSN":"1463-4236","abstract":"Aim:\n      To explore the experiences of patients living with diabetic lower extremity amputation (DLEA) and its post-amputation wound in primary care. Background:\n      DLEA, including both minor and major amputation, is a life-altering condition that brings numerous challenges to an individual’s life. Post-amputation physical wound healing is complicated and challenging because of wound dehiscence and prolonged healing times. Understanding patients’ experiences after DLEA with a post-amputation wound will enable healthcare professionals to develop interventions to assist patients in physical healing and psychosocial recovery. Methods:\n      This study employs a qualitative design using interpretative phenomenological analysis (IPA). A purposive maximum variation sample of nine patients who had had lower extremity amputations and post-amputation wound attributed to diabetes in the previous 12 months was recruited from a primary care setting in Singapore. Semi-structured audio recorded one-to-one interviews with a duration of 45–60 min each were conducted between September 2018 and January 2019. The interviews were transcribed verbatim and analysed using IPA. Findings:\n      The essential meaning of the phenomenon ‘the lived experiences for patients with DLEA and post-amputated wound’ can be interpreted as ‘struggling for “normality”’ which encompasses four domains of sense making: physical loss disrupted normality, emotional impact aggravated the disrupted normality, social challenges further provoked the disrupted normality, and attempt to regain normality. The study highlights the complex physical and psychosocial transition facing patients after DLEA before post-amputation wound closure. In primary care, an amputation, whether minor or major, is a life-altering experience that requires physical healing, emotional recovery, and social adaptation to regain normality. Patients living with DLEA and a post-amputation wound may benefit from an interdisciplinary team care model to assist them with physical and psychosocial adjustment and resume normality.","author":[{"dropping-particle":"","family":"Zhu","given":"Xiaoli","non-dropping-particle":"","parse-names":false,"suffix":""},{"dropping-particle":"","family":"Goh","given":"Ling Jia","non-dropping-particle":"","parse-names":false,"suffix":""},{"dropping-particle":"","family":"Chew","given":"Evelyn","non-dropping-particle":"","parse-names":false,"suffix":""},{"dropping-particle":"","family":"Lee","given":"Mary","non-dropping-particle":"","parse-names":false,"suffix":""},{"dropping-particle":"","family":"Bartlam","given":"Bernadette","non-dropping-particle":"","parse-names":false,"suffix":""},{"dropping-particle":"","family":"Dong","given":"Lijuan","non-dropping-particle":"","parse-names":false,"suffix":""}],"container-title":"Primary Health Care Research &amp; Development","id":"ITEM-1","issued":{"date-parts":[["2020","12","16"]]},"page":"e63","publisher":"Cambridge University Press","title":"Struggling for normality: experiences of patients with diabetic lower extremity amputations and post-amputation wounds in primary care","type":"article-journal","volume":"21"},"uris":["http://www.mendeley.com/documents/?uuid=f4408a45-4f48-388c-a6d8-788c1539998a"]}],"mendeley":{"formattedCitation":"&lt;sup&gt;13&lt;/sup&gt;","plainTextFormattedCitation":"13","previouslyFormattedCitation":"&lt;sup&gt;13&lt;/sup&gt;"},"properties":{"noteIndex":0},"schema":"https://github.com/citation-style-language/schema/raw/master/csl-citation.json"}</w:instrText>
      </w:r>
      <w:r w:rsidRPr="002A0643">
        <w:fldChar w:fldCharType="separate"/>
      </w:r>
      <w:r w:rsidRPr="002E2FD7">
        <w:rPr>
          <w:noProof/>
          <w:vertAlign w:val="superscript"/>
        </w:rPr>
        <w:t>13</w:t>
      </w:r>
      <w:r w:rsidRPr="002A0643">
        <w:fldChar w:fldCharType="end"/>
      </w:r>
      <w:r w:rsidRPr="002A0643">
        <w:t xml:space="preserve">.  </w:t>
      </w:r>
    </w:p>
    <w:p w14:paraId="7591CBFC" w14:textId="77777777" w:rsidR="006C2C7E" w:rsidRPr="002A0643" w:rsidRDefault="006C2C7E" w:rsidP="00A2257A">
      <w:pPr>
        <w:autoSpaceDE w:val="0"/>
        <w:autoSpaceDN w:val="0"/>
        <w:adjustRightInd w:val="0"/>
        <w:jc w:val="both"/>
      </w:pPr>
    </w:p>
    <w:p w14:paraId="7D525463" w14:textId="77777777" w:rsidR="00565BB7" w:rsidRDefault="00031926" w:rsidP="00A2257A">
      <w:pPr>
        <w:autoSpaceDE w:val="0"/>
        <w:autoSpaceDN w:val="0"/>
        <w:adjustRightInd w:val="0"/>
        <w:jc w:val="both"/>
        <w:rPr>
          <w:color w:val="000000" w:themeColor="text1"/>
        </w:rPr>
      </w:pPr>
      <w:r w:rsidRPr="002A0643">
        <w:t xml:space="preserve">Given the </w:t>
      </w:r>
      <w:r w:rsidR="0091405C" w:rsidRPr="002A0643">
        <w:t xml:space="preserve">detrimental impact </w:t>
      </w:r>
      <w:r w:rsidRPr="002A0643">
        <w:t xml:space="preserve">of </w:t>
      </w:r>
      <w:r w:rsidR="006847B3" w:rsidRPr="002A0643">
        <w:t>diabetic foot ulcer</w:t>
      </w:r>
      <w:r w:rsidRPr="002A0643">
        <w:t>s</w:t>
      </w:r>
      <w:r w:rsidR="0091405C" w:rsidRPr="002A0643">
        <w:t xml:space="preserve"> </w:t>
      </w:r>
      <w:r w:rsidR="00B75854">
        <w:t>on</w:t>
      </w:r>
      <w:r w:rsidR="00B75854" w:rsidRPr="002A0643">
        <w:t xml:space="preserve"> </w:t>
      </w:r>
      <w:r w:rsidR="0091405C" w:rsidRPr="002A0643">
        <w:t xml:space="preserve">individuals, healthcare </w:t>
      </w:r>
      <w:r w:rsidR="00B75854">
        <w:t xml:space="preserve">systems </w:t>
      </w:r>
      <w:r w:rsidR="0091405C" w:rsidRPr="002A0643">
        <w:t>and society</w:t>
      </w:r>
      <w:r w:rsidR="00970CD5" w:rsidRPr="002A0643">
        <w:t>,</w:t>
      </w:r>
      <w:r w:rsidRPr="002A0643">
        <w:t xml:space="preserve"> </w:t>
      </w:r>
      <w:r w:rsidR="00B76578" w:rsidRPr="002A0643">
        <w:t xml:space="preserve">it is crucial to identify </w:t>
      </w:r>
      <w:r w:rsidR="0027641A" w:rsidRPr="002A0643">
        <w:t>factors associated with</w:t>
      </w:r>
      <w:r w:rsidR="006847B3" w:rsidRPr="002A0643">
        <w:t xml:space="preserve"> ulcer</w:t>
      </w:r>
      <w:r w:rsidRPr="002A0643">
        <w:t xml:space="preserve"> heal</w:t>
      </w:r>
      <w:r w:rsidR="0027641A" w:rsidRPr="002A0643">
        <w:t xml:space="preserve">ing </w:t>
      </w:r>
      <w:r w:rsidR="00B76578" w:rsidRPr="002A0643">
        <w:t xml:space="preserve">to </w:t>
      </w:r>
      <w:r w:rsidR="0027641A" w:rsidRPr="002A0643">
        <w:t>improv</w:t>
      </w:r>
      <w:r w:rsidR="00B76578" w:rsidRPr="002A0643">
        <w:t>e</w:t>
      </w:r>
      <w:r w:rsidR="0027641A" w:rsidRPr="002A0643">
        <w:t xml:space="preserve"> </w:t>
      </w:r>
      <w:r w:rsidRPr="002A0643">
        <w:t>healing outcomes</w:t>
      </w:r>
      <w:r w:rsidR="00923161" w:rsidRPr="002A0643">
        <w:t xml:space="preserve"> and </w:t>
      </w:r>
      <w:r w:rsidR="004208C2" w:rsidRPr="002A0643">
        <w:t>enable predictions</w:t>
      </w:r>
      <w:r w:rsidR="00A766BB" w:rsidRPr="002A0643">
        <w:t xml:space="preserve"> </w:t>
      </w:r>
      <w:r w:rsidR="004208C2" w:rsidRPr="002A0643">
        <w:t>of clinical</w:t>
      </w:r>
      <w:r w:rsidR="00AB499E">
        <w:t xml:space="preserve"> outcome </w:t>
      </w:r>
      <w:r w:rsidR="00923161" w:rsidRPr="002A0643">
        <w:fldChar w:fldCharType="begin" w:fldLock="1"/>
      </w:r>
      <w:r w:rsidR="002E2FD7">
        <w:instrText>ADDIN CSL_CITATION {"citationItems":[{"id":"ITEM-1","itemData":{"DOI":"10.1002/dmrr.3272","ISSN":"1520-7552","abstract":"Classification and scoring systems can help both clinical management and audit outcomes of routine care. The aim of this study was to assess published systems of diabetic foot ulcers (DFUs) to determine which should be recommended for a given clinical purpose. Published classifications had to have been validated in populations of &gt; 75% people with diabetes and a foot ulcer. Each study was assessed for internal and external validity and reliability. Eight key factors associated with failure to heal were identified from large clinical series and each classification was scored on the number of these key factors included. Classifications were then arranged according to their proposed purpose into one or more of four groups: (a) aid communication between health professionals, (b) predict clinical outcome of individual ulcers, (c) aid clinical management decision making for an individual case, and (d) audit to compare outcome in different populations. Thirty-seven classification systems were identified of which 18 were excluded for not being validated in a population of &gt;75% DFUs. The included 19 classifications had different purposes and were derived from different populations. Only six were developed in multicentre studies, just 13 were externally validated, and very few had evaluated reliability.Classifications varied in the number (4 - 30), and definition of individual items and the diagnostic tools required. Clinical outcomes were not standardized but included ulcer-free survival, ulcer healing, hospitalization, limb amputation, mortality, and cost. Despite the limitations, there was sufficient evidence to make recommendations on the use of particular classifications for the indications listed above.","author":[{"dropping-particle":"","family":"Monteiro</w:instrText>
      </w:r>
      <w:r w:rsidR="002E2FD7">
        <w:rPr>
          <w:rFonts w:ascii="Cambria Math" w:hAnsi="Cambria Math" w:cs="Cambria Math"/>
        </w:rPr>
        <w:instrText>‐</w:instrText>
      </w:r>
      <w:r w:rsidR="002E2FD7">
        <w:instrText>Soares","given":"Matilde","non-dropping-particle":"","parse-names":false,"suffix":""},{"dropping-particle":"","family":"Boyko","given":"Edward J.","non-dropping-particle":"","parse-names":false,"suffix":""},{"dropping-particle":"","family":"Jeffcoate","given":"William","non-dropping-particle":"","parse-names":false,"suffix":""},{"dropping-particle":"","family":"Mills","given":"Joseph L.","non-dropping-particle":"","parse-names":false,"suffix":""},{"dropping-particle":"","family":"Russell","given":"David","non-dropping-particle":"","parse-names":false,"suffix":""},{"dropping-particle":"","family":"Morbach","given":"Stephan","non-dropping-particle":"","parse-names":false,"suffix":""},{"dropping-particle":"","family":"Game","given":"Fran","non-dropping-particle":"","parse-names":false,"suffix":""}],"container-title":"Diabetes/Metabolism Research and Reviews","id":"ITEM-1","issue":"S1","issued":{"date-parts":[["2020","3","16"]]},"publisher":"John Wiley and Sons Ltd","title":"Diabetic foot ulcer classifications: A critical review","type":"article-journal","volume":"36"},"uris":["http://www.mendeley.com/documents/?uuid=5078c4b5-26c6-3271-ba5b-8ec51827ed94"]}],"mendeley":{"formattedCitation":"&lt;sup&gt;14&lt;/sup&gt;","plainTextFormattedCitation":"14","previouslyFormattedCitation":"&lt;sup&gt;14&lt;/sup&gt;"},"properties":{"noteIndex":0},"schema":"https://github.com/citation-style-language/schema/raw/master/csl-citation.json"}</w:instrText>
      </w:r>
      <w:r w:rsidR="00923161" w:rsidRPr="002A0643">
        <w:fldChar w:fldCharType="separate"/>
      </w:r>
      <w:r w:rsidR="002E2FD7" w:rsidRPr="002E2FD7">
        <w:rPr>
          <w:noProof/>
          <w:vertAlign w:val="superscript"/>
        </w:rPr>
        <w:t>14</w:t>
      </w:r>
      <w:r w:rsidR="00923161" w:rsidRPr="002A0643">
        <w:fldChar w:fldCharType="end"/>
      </w:r>
      <w:r w:rsidR="00AB499E">
        <w:t xml:space="preserve">. </w:t>
      </w:r>
      <w:r w:rsidR="00B76578" w:rsidRPr="002A0643">
        <w:t xml:space="preserve">This information could be used </w:t>
      </w:r>
      <w:r w:rsidR="00AC18A1" w:rsidRPr="002A0643">
        <w:t xml:space="preserve">when </w:t>
      </w:r>
      <w:r w:rsidR="00B76578" w:rsidRPr="002A0643">
        <w:t xml:space="preserve">developing prophylactic strategies </w:t>
      </w:r>
      <w:r w:rsidR="003B4B14" w:rsidRPr="002A0643">
        <w:t>to reduce</w:t>
      </w:r>
      <w:r w:rsidR="001D77AA" w:rsidRPr="002A0643">
        <w:t xml:space="preserve"> complications </w:t>
      </w:r>
      <w:r w:rsidRPr="002A0643">
        <w:t xml:space="preserve">and </w:t>
      </w:r>
      <w:r w:rsidR="00B76578" w:rsidRPr="002A0643">
        <w:t xml:space="preserve">offer </w:t>
      </w:r>
      <w:r w:rsidRPr="002A0643">
        <w:t>appropriate treatment</w:t>
      </w:r>
      <w:r w:rsidR="00B76578" w:rsidRPr="002A0643">
        <w:t>s</w:t>
      </w:r>
      <w:r w:rsidR="00AB499E">
        <w:t xml:space="preserve"> for optimal timely healing of DFU. </w:t>
      </w:r>
      <w:r w:rsidR="00B76578" w:rsidRPr="002A0643">
        <w:t xml:space="preserve">Factors affecting healing </w:t>
      </w:r>
      <w:r w:rsidR="006847B3" w:rsidRPr="002A0643">
        <w:t xml:space="preserve">of </w:t>
      </w:r>
      <w:r w:rsidR="006847B3" w:rsidRPr="002A0643">
        <w:rPr>
          <w:color w:val="000000" w:themeColor="text1"/>
        </w:rPr>
        <w:t xml:space="preserve">diabetic foot ulcer </w:t>
      </w:r>
      <w:r w:rsidR="00700FD2" w:rsidRPr="002A0643">
        <w:t xml:space="preserve">and progression from </w:t>
      </w:r>
      <w:r w:rsidR="006847B3" w:rsidRPr="002A0643">
        <w:rPr>
          <w:color w:val="000000" w:themeColor="text1"/>
        </w:rPr>
        <w:t>diabetic foot ulcer</w:t>
      </w:r>
      <w:r w:rsidR="00700FD2" w:rsidRPr="002A0643">
        <w:t xml:space="preserve"> to diabetic lower limb amputation</w:t>
      </w:r>
      <w:r w:rsidR="00B76578" w:rsidRPr="002A0643">
        <w:t xml:space="preserve"> are often as</w:t>
      </w:r>
      <w:r w:rsidR="00923161" w:rsidRPr="002A0643">
        <w:t xml:space="preserve">sociated with multiple </w:t>
      </w:r>
      <w:r w:rsidR="00AC18A1" w:rsidRPr="002A0643">
        <w:t>individual aspects, such as disease (</w:t>
      </w:r>
      <w:r w:rsidR="00AC18A1" w:rsidRPr="002A0643">
        <w:rPr>
          <w:color w:val="000000" w:themeColor="text1"/>
        </w:rPr>
        <w:t xml:space="preserve">presence of end-stage renal failure, increasing age, heart failure, presence of peripheral arterial disease, </w:t>
      </w:r>
      <w:r w:rsidR="006C2C7E" w:rsidRPr="002A0643">
        <w:rPr>
          <w:color w:val="000000" w:themeColor="text1"/>
        </w:rPr>
        <w:t>loss of protective sensation</w:t>
      </w:r>
      <w:r w:rsidR="00AC18A1" w:rsidRPr="002A0643">
        <w:rPr>
          <w:color w:val="000000" w:themeColor="text1"/>
        </w:rPr>
        <w:t xml:space="preserve"> </w:t>
      </w:r>
      <w:r w:rsidR="00AC18A1" w:rsidRPr="002A0643">
        <w:t>and characteristics</w:t>
      </w:r>
      <w:r w:rsidR="006847B3" w:rsidRPr="002A0643">
        <w:t xml:space="preserve"> of </w:t>
      </w:r>
      <w:r w:rsidR="006847B3" w:rsidRPr="002A0643">
        <w:rPr>
          <w:color w:val="000000" w:themeColor="text1"/>
        </w:rPr>
        <w:t>diabetic foot ulcer</w:t>
      </w:r>
      <w:r w:rsidR="00AC18A1" w:rsidRPr="002A0643">
        <w:t xml:space="preserve"> (</w:t>
      </w:r>
      <w:r w:rsidR="00A766BB" w:rsidRPr="002A0643">
        <w:t xml:space="preserve">e.g. </w:t>
      </w:r>
      <w:r w:rsidR="00AC18A1" w:rsidRPr="002A0643">
        <w:rPr>
          <w:color w:val="000000" w:themeColor="text1"/>
        </w:rPr>
        <w:t xml:space="preserve">prior minor amputation, wound size, location and presence of infection) </w:t>
      </w:r>
      <w:r w:rsidR="00AC18A1" w:rsidRPr="002A0643">
        <w:rPr>
          <w:color w:val="000000" w:themeColor="text1"/>
        </w:rPr>
        <w:fldChar w:fldCharType="begin" w:fldLock="1"/>
      </w:r>
      <w:r w:rsidR="002E2FD7">
        <w:rPr>
          <w:color w:val="000000" w:themeColor="text1"/>
        </w:rPr>
        <w:instrText>ADDIN CSL_CITATION {"citationItems":[{"id":"ITEM-1","itemData":{"DOI":"10.1016/S2213-8587(16)30012-2","ISSN":"22138595","PMID":"27177729","abstract":"The evidence base for many aspects of the management of foot ulcers in people with diabetes is weak, and good-quality research, especially relating to studies of direct relevance to routine clinical care, is needed. In this paper, we summarise the core details required in the planning and reporting of intervention studies in the prevention and management of diabetic foot ulcers, including studies that focus on off-loading, stimulation of wound healing, peripheral artery disease, and infection. We highlight aspects of trial design, conduct, and reporting that should be taken into account to minimise bias and improve quality. We also provide a 21-point checklist for researchers and for readers who assess the quality of published work.","author":[{"dropping-particle":"","family":"Jeffcoate","given":"William J.","non-dropping-particle":"","parse-names":false,"suffix":""},{"dropping-particle":"","family":"Bus","given":"Sicco A.","non-dropping-particle":"","parse-names":false,"suffix":""},{"dropping-particle":"","family":"Game","given":"Frances L.","non-dropping-particle":"","parse-names":false,"suffix":""},{"dropping-particle":"","family":"Hinchliffe","given":"Robert J.","non-dropping-particle":"","parse-names":false,"suffix":""},{"dropping-particle":"","family":"Price","given":"Patricia E.","non-dropping-particle":"","parse-names":false,"suffix":""},{"dropping-particle":"","family":"Schaper","given":"Nicolaas C.","non-dropping-particle":"","parse-names":false,"suffix":""}],"container-title":"The Lancet Diabetes and Endocrinology","id":"ITEM-1","issue":"9","issued":{"date-parts":[["2016","9","1"]]},"page":"781-788","publisher":"Lancet Publishing Group","title":"Reporting standards of studies and papers on the prevention and management of foot ulcers in diabetes: required details and markers of good quality","type":"article","volume":"4"},"uris":["http://www.mendeley.com/documents/?uuid=489d3f6a-f907-3407-a856-a3d9940edc90"]}],"mendeley":{"formattedCitation":"&lt;sup&gt;15&lt;/sup&gt;","plainTextFormattedCitation":"15","previouslyFormattedCitation":"&lt;sup&gt;15&lt;/sup&gt;"},"properties":{"noteIndex":0},"schema":"https://github.com/citation-style-language/schema/raw/master/csl-citation.json"}</w:instrText>
      </w:r>
      <w:r w:rsidR="00AC18A1" w:rsidRPr="002A0643">
        <w:rPr>
          <w:color w:val="000000" w:themeColor="text1"/>
        </w:rPr>
        <w:fldChar w:fldCharType="separate"/>
      </w:r>
      <w:r w:rsidR="002E2FD7" w:rsidRPr="002E2FD7">
        <w:rPr>
          <w:noProof/>
          <w:color w:val="000000" w:themeColor="text1"/>
          <w:vertAlign w:val="superscript"/>
        </w:rPr>
        <w:t>15</w:t>
      </w:r>
      <w:r w:rsidR="00AC18A1" w:rsidRPr="002A0643">
        <w:rPr>
          <w:color w:val="000000" w:themeColor="text1"/>
        </w:rPr>
        <w:fldChar w:fldCharType="end"/>
      </w:r>
      <w:r w:rsidR="00AC18A1" w:rsidRPr="002A0643">
        <w:rPr>
          <w:color w:val="000000" w:themeColor="text1"/>
        </w:rPr>
        <w:t>.</w:t>
      </w:r>
      <w:r w:rsidR="00923161" w:rsidRPr="002A0643">
        <w:rPr>
          <w:color w:val="000000" w:themeColor="text1"/>
        </w:rPr>
        <w:t xml:space="preserve"> </w:t>
      </w:r>
    </w:p>
    <w:p w14:paraId="478B467B" w14:textId="77777777" w:rsidR="00565BB7" w:rsidRDefault="00565BB7" w:rsidP="00A2257A">
      <w:pPr>
        <w:autoSpaceDE w:val="0"/>
        <w:autoSpaceDN w:val="0"/>
        <w:adjustRightInd w:val="0"/>
        <w:jc w:val="both"/>
        <w:rPr>
          <w:color w:val="000000" w:themeColor="text1"/>
        </w:rPr>
      </w:pPr>
    </w:p>
    <w:p w14:paraId="5EF827EF" w14:textId="730FAD80" w:rsidR="00DA017E" w:rsidRDefault="00B76578" w:rsidP="00A2257A">
      <w:pPr>
        <w:autoSpaceDE w:val="0"/>
        <w:autoSpaceDN w:val="0"/>
        <w:adjustRightInd w:val="0"/>
        <w:jc w:val="both"/>
      </w:pPr>
      <w:r w:rsidRPr="002A0643">
        <w:rPr>
          <w:color w:val="000000" w:themeColor="text1"/>
        </w:rPr>
        <w:t>Having a deeper understanding</w:t>
      </w:r>
      <w:r w:rsidR="00AC18A1" w:rsidRPr="002A0643">
        <w:rPr>
          <w:color w:val="000000" w:themeColor="text1"/>
        </w:rPr>
        <w:t xml:space="preserve"> about h</w:t>
      </w:r>
      <w:r w:rsidR="002F7CA4" w:rsidRPr="002A0643">
        <w:rPr>
          <w:color w:val="000000" w:themeColor="text1"/>
        </w:rPr>
        <w:t>o</w:t>
      </w:r>
      <w:r w:rsidR="00AC18A1" w:rsidRPr="002A0643">
        <w:rPr>
          <w:color w:val="000000" w:themeColor="text1"/>
        </w:rPr>
        <w:t>w</w:t>
      </w:r>
      <w:r w:rsidRPr="002A0643">
        <w:rPr>
          <w:color w:val="000000" w:themeColor="text1"/>
        </w:rPr>
        <w:t xml:space="preserve"> </w:t>
      </w:r>
      <w:r w:rsidR="00C14976" w:rsidRPr="002A0643">
        <w:rPr>
          <w:color w:val="000000" w:themeColor="text1"/>
        </w:rPr>
        <w:t xml:space="preserve">those factors </w:t>
      </w:r>
      <w:r w:rsidR="00AC18A1" w:rsidRPr="002A0643">
        <w:rPr>
          <w:color w:val="000000" w:themeColor="text1"/>
        </w:rPr>
        <w:t xml:space="preserve">may impact healing </w:t>
      </w:r>
      <w:r w:rsidR="00A766BB" w:rsidRPr="002A0643">
        <w:rPr>
          <w:color w:val="000000" w:themeColor="text1"/>
        </w:rPr>
        <w:t xml:space="preserve">outcomes </w:t>
      </w:r>
      <w:r w:rsidR="00AC18A1" w:rsidRPr="002A0643">
        <w:rPr>
          <w:color w:val="000000" w:themeColor="text1"/>
        </w:rPr>
        <w:t>is</w:t>
      </w:r>
      <w:r w:rsidRPr="002A0643">
        <w:rPr>
          <w:color w:val="000000" w:themeColor="text1"/>
        </w:rPr>
        <w:t xml:space="preserve"> </w:t>
      </w:r>
      <w:r w:rsidR="00A766BB" w:rsidRPr="002A0643">
        <w:rPr>
          <w:color w:val="000000" w:themeColor="text1"/>
        </w:rPr>
        <w:t xml:space="preserve"> pertinent</w:t>
      </w:r>
      <w:r w:rsidR="00C14976" w:rsidRPr="002A0643">
        <w:rPr>
          <w:color w:val="000000" w:themeColor="text1"/>
        </w:rPr>
        <w:t xml:space="preserve"> for efficient decision making </w:t>
      </w:r>
      <w:r w:rsidR="00A766BB" w:rsidRPr="002A0643">
        <w:rPr>
          <w:color w:val="000000" w:themeColor="text1"/>
        </w:rPr>
        <w:t xml:space="preserve">about care </w:t>
      </w:r>
      <w:r w:rsidR="00AF6F2E">
        <w:rPr>
          <w:color w:val="000000" w:themeColor="text1"/>
        </w:rPr>
        <w:t xml:space="preserve">to </w:t>
      </w:r>
      <w:r w:rsidR="002F7CA4" w:rsidRPr="002A0643">
        <w:rPr>
          <w:color w:val="000000" w:themeColor="text1"/>
        </w:rPr>
        <w:t>optimize</w:t>
      </w:r>
      <w:r w:rsidR="00AF6F2E">
        <w:rPr>
          <w:color w:val="000000" w:themeColor="text1"/>
        </w:rPr>
        <w:t xml:space="preserve"> treatment</w:t>
      </w:r>
      <w:r w:rsidRPr="002A0643">
        <w:rPr>
          <w:color w:val="000000" w:themeColor="text1"/>
        </w:rPr>
        <w:t xml:space="preserve"> </w:t>
      </w:r>
      <w:r w:rsidRPr="002A0643">
        <w:rPr>
          <w:color w:val="000000" w:themeColor="text1"/>
        </w:rPr>
        <w:fldChar w:fldCharType="begin" w:fldLock="1"/>
      </w:r>
      <w:r w:rsidR="002E2FD7">
        <w:rPr>
          <w:color w:val="000000" w:themeColor="text1"/>
        </w:rPr>
        <w:instrText>ADDIN CSL_CITATION {"citationItems":[{"id":"ITEM-1","itemData":{"DOI":"10.1002/dmrr.834","ISSN":"15207552","PMID":"18384111","abstract":"The diabetic foot constitutes a tremendous challenge for patients, caregivers and the health care system. The International Consensus Document of 1999 was a milestone in the recognition of the importance and consequences of the diabetic foot. Since then, many original papers have been published in this area. Large cohort studies have given us a deeper understanding regarding factors related to the outcome of diabetic foot ulcers: according to these studies, the severity of diabetic foot ulcers is greater than previously reported. More than 50% of individuals' foot ulcers have signs of infection at admission, and one-third have signs of both peripheral artery disease (PAD) and infection. The co-morbidities increase significantly with increasing severity of the foot disease. However, the trend in all these studies is a successive improvement in healing rate (50-60% at 20 weeks follow-up, &gt; 75% at 1 year). It is important to differentiate between neuropathic and neuro-ischaemic ulcers with regard to factors related to outcome and co-morbidities.Recent research has emphasized the importance of psychological factors in the development and outcome of diabetic foot ulcers. Studies have shown that perceptions of the individual's own risks based on symptoms, and their own beliefs in the efficacy of self-care, can affect foot-care practice.The importance and influence of the health care organization and reimbursement should not be underestimated, both in the prevention and management of diabetic foot lesions. The diabetic foot should be considered a lifelong condition, as having had one ulcer dramatically increases the risk of developing a new ulcer. In an individual with diabetes and a foot ulcer, the ulcer should be considered as a sign of multi-organ disease, and a holistic approach to both management and prevention is recommended.","author":[{"dropping-particle":"","family":"Apelqvist","given":"Jan","non-dropping-particle":"","parse-names":false,"suffix":""}],"container-title":"Diabetes/Metabolism Research and Reviews","id":"ITEM-1","issue":"S1","issued":{"date-parts":[["2008","5"]]},"page":"S110-S115","title":"The foot in perspective","type":"article-journal","volume":"24"},"uris":["http://www.mendeley.com/documents/?uuid=5f948d10-aca0-3ac9-bbc4-710403070df2"]},{"id":"ITEM-2","itemData":{"DOI":"10.1177/1932296820942307","ISSN":"1932-2968","abstract":"Background: Evidence-based learning systems built on prediction models can support wound care community nurses (WCCNs) during diabetic foot ulcer care sessions. Several prediction models in the area of diabetic foot ulcer healing have been developed, most built on cardiovascular measurement data. Two other data types are patient information (i.e. sex and hemoglobin A1c) and wound characteristics (i.e. wound area and wound duration); these data relate to the status of the diabetic foot ulcer and are easily accessible for WCCNs. The aim of the study was to assess simple bedside wound characteristics for a prediction model for diabetic foot ulcer outcomes. Method: Twenty predictor variables were tested. A pattern prediction model was used to forecast whether a given diabetic foot ulcer would (i) increase in size (or not) or (ii) decrease in size. Sensitivity, specificity, and area under the curve (AUC) in a receiver-operating characteristics curve were calculated. Results: A total of 162 diabetic foot ulcers were included. In combination, the predictor variables necrosis, wound size, granulation, fibrin, dry skin, and age were most informative, in total an AUC of 0.77. Conclusions: Wound characteristics have potential to predict wound outcome. Future research should investigate implementation of the prediction model in an evidence-based learning system.","author":[{"dropping-particle":"","family":"Bender","given":"Clara","non-dropping-particle":"","parse-names":false,"suffix":""},{"dropping-particle":"","family":"Cichosz","given":"Simon Lebech","non-dropping-particle":"","parse-names":false,"suffix":""},{"dropping-particle":"","family":"Pape-Haugaard","given":"Louise","non-dropping-particle":"","parse-names":false,"suffix":""},{"dropping-particle":"","family":"Hartun Jensen","given":"Merete","non-dropping-particle":"","parse-names":false,"suffix":""},{"dropping-particle":"","family":"Bermark","given":"Susan","non-dropping-particle":"","parse-names":false,"suffix":""},{"dropping-particle":"","family":"Laursen","given":"Anders Christian","non-dropping-particle":"","parse-names":false,"suffix":""},{"dropping-particle":"","family":"Hejlesen","given":"Ole","non-dropping-particle":"","parse-names":false,"suffix":""}],"container-title":"Journal of Diabetes Science and Technology","id":"ITEM-2","issued":{"date-parts":[["2020","7","22"]]},"page":"193229682094230","publisher":"SAGE Publications Inc.","title":"Assessment of Simple Bedside Wound Characteristics for a Prediction Model for Diabetic Foot Ulcer Outcomes","type":"article-journal"},"uris":["http://www.mendeley.com/documents/?uuid=1ccb413d-d957-3489-a50c-218a8e411111"]}],"mendeley":{"formattedCitation":"&lt;sup&gt;16,17&lt;/sup&gt;","plainTextFormattedCitation":"16,17","previouslyFormattedCitation":"&lt;sup&gt;16,17&lt;/sup&gt;"},"properties":{"noteIndex":0},"schema":"https://github.com/citation-style-language/schema/raw/master/csl-citation.json"}</w:instrText>
      </w:r>
      <w:r w:rsidRPr="002A0643">
        <w:rPr>
          <w:color w:val="000000" w:themeColor="text1"/>
        </w:rPr>
        <w:fldChar w:fldCharType="separate"/>
      </w:r>
      <w:r w:rsidR="002E2FD7" w:rsidRPr="002E2FD7">
        <w:rPr>
          <w:noProof/>
          <w:color w:val="000000" w:themeColor="text1"/>
          <w:vertAlign w:val="superscript"/>
        </w:rPr>
        <w:t>16,17</w:t>
      </w:r>
      <w:r w:rsidRPr="002A0643">
        <w:rPr>
          <w:color w:val="000000" w:themeColor="text1"/>
        </w:rPr>
        <w:fldChar w:fldCharType="end"/>
      </w:r>
      <w:r w:rsidRPr="002A0643">
        <w:rPr>
          <w:color w:val="000000" w:themeColor="text1"/>
        </w:rPr>
        <w:t xml:space="preserve">. Healing times </w:t>
      </w:r>
      <w:r w:rsidR="00DA5CF6" w:rsidRPr="002A0643">
        <w:t xml:space="preserve">for diabetic foot ulcer </w:t>
      </w:r>
      <w:r w:rsidRPr="002A0643">
        <w:t xml:space="preserve">that exceeds 3 months is commonly used as the end point for delayed healing and has been extensively used as a benchmark by various studies to assess healing outcomes </w:t>
      </w:r>
      <w:r w:rsidRPr="002A0643">
        <w:fldChar w:fldCharType="begin" w:fldLock="1"/>
      </w:r>
      <w:r w:rsidR="002E2FD7">
        <w:instrText>ADDIN CSL_CITATION {"citationItems":[{"id":"ITEM-1","itemData":{"DOI":"10.1016/J.JDIACOMP.2015.02.009","ISSN":"1056-8727","abstract":"AIMS This retrospective study aimed to investigate both established and less well-explored factors as potential predictive variables for failed and delayed ulcer healing. METHODS Patients with type 1 or 2 diabetes with foot ulceration presenting consecutively to, and then subsequently managed at, a multidisciplinary, high-risk foot clinic were followed until ulcer healing, amputation or death. Data comprised prospective standardised documentation at each visit and retrospective collection from hospital records, and included patient demographics, comorbidities, laboratory variables, and ulcer infection, depth and area at each presentation. Multiple regression analysis was used to determine independent predictors of failure to heal and delayed healing. RESULTS Of the 107 consecutive patients studied, 95 (89%) healed overall, 50 (47%) had healed in 12 weeks and the mean healing rate was a 10% decrease in ulcer area per week. Amongst all variables examined, comorbid congestive heart failure (CHF) was the only factor independently predictive of all measured outcomes of failure to heal overall, delayed healing at 12 weeks, and reduced healing rate. Ulcer infection at presentation, longer duration of antibiotic use, and liver enzyme abnormalities of raised ALT and AST:ALT&lt;1 (each suggestive of non-alcoholic fatty liver disease), were also predictive of poor ulcer outcomes. CONCLUSIONS Comorbid congestive cardiac failure is predictive of delayed foot ulcer healing rate as well as a lower probability of healing overall. Liver enzyme abnormalities also predicted delayed ulcer healing outcomes. The mechanisms underlying these associations with foot ulcer outcomes in diabetes are unclear. Further studies are needed to determine the role of systematic routine documentation of heart failure and its severity, and then targeting of heart failure to potentially aid the management of foot ulcers in diabetes.","author":[{"dropping-particle":"","family":"Rhou","given":"Yoon Ji Jina","non-dropping-particle":"","parse-names":false,"suffix":""},{"dropping-particle":"","family":"Henshaw","given":"F.R.","non-dropping-particle":"","parse-names":false,"suffix":""},{"dropping-particle":"","family":"McGill","given":"M.J.","non-dropping-particle":"","parse-names":false,"suffix":""},{"dropping-particle":"","family":"Twigg","given":"S.M.","non-dropping-particle":"","parse-names":false,"suffix":""}],"container-title":"Journal of Diabetes and its Complications","id":"ITEM-1","issue":"4","issued":{"date-parts":[["2015","5","1"]]},"page":"556-562","publisher":"Elsevier","title":"Congestive heart failure presence predicts delayed healing of foot ulcers in diabetes: An audit from a multidisciplinary high-risk foot clinic","type":"article-journal","volume":"29"},"uris":["http://www.mendeley.com/documents/?uuid=9d608536-50d0-3270-9531-30d2555b302c"]},{"id":"ITEM-2","itemData":{"DOI":"10.1089/wound.2017.0743","abstract":"Significance: We compare real-world data from the U.S. Wound Registry (USWR) with randomized controlled trials and publicly reported wound outcomes and develop criteria for honest reporting of wound outcomes, a requirement of the new Quality Payment Program (QPP). Recent Advances: Because no method has existed by which wounds could be stratified according to their likelihood of healing among real-world patients, practitioners have reported fantastically high healing rates. The USWR has developed several risk-stratified wound healing quality measures for diabetic foot ulcers (DFUs) and venous leg ulcers (VLUs) as part of its Qualified Clinical Data Registry (QCDR). This allows practitioners to report DFU and VLU healing rates in comparison to the likelihood of whether the wound would have healed. Critical Issues: Under the new QPP, practitioners must report at least one practice-relevant outcome measure, and it must be risk adjusted so that clin-icians caring for the sickest patients do not appear to have worse outcomes than their peers. The Wound Healing Index is a validated risk-stratification method that can predict whether a DFU or VLU will heal, leveling the playing field for outcome reporting and removing the need to artificially inflate healing rates. Wound care practitioners can report the USWR DFU and VLU risk-stratified outcome measure to satisfy the quality reporting requirements of the QPP. Future Directions: Per the requirements of the QPP, the USWR will begin publicly reporting of risk-stratified healing rates once quality measure data have met the reporting standards of the Centers for Medicare and Medicaid Services. Some basic rules for data censoring are proposed for public reporting of healing rates, and others are needed, which should be decided by consensus among the wound care community. Keywords: wound healing rates, Merit-Based Incentive Payment, quality measures , real world data, qualified clinical data registry, randomized controlled trials SCOPE AND SIGNIFICANCE We compare real-world healing rates from the U.S. Wound Registry (USWR), a Qualified Clinical Data Registry (QCDR), with randomized controlled trials (RCTs) and publicly reported data and develop criteria for honest reporting of wound outcomes. RCT and USWR data provide convincing evidence that most wounds do not heal, whereas healing rates posted online by provider entities are so high","author":[{"dropping-particle":"","family":"Fife","given":"Caroline E","non-dropping-particle":"","parse-names":false,"suffix":""},{"dropping-particle":"","family":"Eckert","given":"Kristen A","non-dropping-particle":"","parse-names":false,"suffix":""},{"dropping-particle":"","family":"Carter","given":"Marissa J","non-dropping-particle":"","parse-names":false,"suffix":""}],"container-title":"ADVANCES IN WOUND CARE","id":"ITEM-2","issue":"3","issued":{"date-parts":[["2017"]]},"page":"77-94","publisher":"Mary Ann Liebert, Inc","title":"COMPREHENSIVE INVITED REVIEW Publicly Reported Wound Healing Rates: The Fantasy and the Reality","type":"article-journal","volume":"7"},"uris":["http://www.mendeley.com/documents/?uuid=fb4e74db-1f67-310f-b5ba-0262c679ca62"]},{"id":"ITEM-3","itemData":{"DOI":"10.2337/dc06-2043","abstract":"OBJECTIVE — To examine the outcome of neuropathic foot ulcers and to seek associations between healing and features of the ulcers at baseline. RESEARCH DESIGN AND METHODS — Data were collected prospectively during the course of routine management. All patients were selected who presented to a single unit between 1 January 2000 and 31 December 2004 with neuropathic foot ulcers and without evidence of either peripheral arterial disease or infection. Associations were sought between ulcer charac-teristics at baseline and clinical outcome. RESULTS — A total of 154 patients (66.9% male) presented with 410 ulcers. Age was 57.4 Ϯ 12.0 years (means Ϯ SD). A total of 178 (43.4%) ulcers were on the plantar aspect of the foot; 73.7% of ulcers had a cross-sectional area of Ͻ1 cm 2 . Median ulcer duration at referral was 15 days (range 1–1,046). Healing without amputation was observed in 91.7%. The percentage of ulcers healed at 12, 20, and 52 weeks were 59.3, 70.5, and 86.6%, respectively. Significant associations were observed between area at referral and outcome type (␹ 2 P Ͻ 0.0001), prior ulcer duration (Kruskal-Wallis P ϭ 0.006), and time to healing (Kruskal-Wallis P ϭ 0.014), as well as between ulcer duration and time to healing (Spearman ␳, r ϭ 0.104, P ϭ 0.047). There was no difference between plantar and nonplantar ulcers. CONCLUSIONS — The rate of healing in this cohort provides a benchmark for comparison with other centers. While further work is needed to determine how outcomes can be improved in unselected series such as these, the confirmation of close relationships between ulcer duration at referral, ulcer area, and outcome emphasizes the importance of early expert assessment of newly occurring neuropathic ulcers.","author":[{"dropping-particle":"","family":"Ince","given":"Paul","non-dropping-particle":"","parse-names":false,"suffix":""},{"dropping-particle":"","family":"Game","given":"Fran L","non-dropping-particle":"","parse-names":false,"suffix":""},{"dropping-particle":"","family":"Jeffcoate","given":"William J","non-dropping-particle":"","parse-names":false,"suffix":""}],"container-title":"Diabetes Care","id":"ITEM-3","issued":{"date-parts":[["2007"]]},"page":"660-663","title":"Rate of Healing of Neuropathic Ulcers of the Foot in Diabetes and Its Relationship to Ulcer Duration and Ulcer Area","type":"article-journal","volume":"30"},"uris":["http://www.mendeley.com/documents/?uuid=0515fc8f-4dce-33dc-b6c9-5fc423ede8de"]}],"mendeley":{"formattedCitation":"&lt;sup&gt;18–20&lt;/sup&gt;","plainTextFormattedCitation":"18–20","previouslyFormattedCitation":"&lt;sup&gt;18–20&lt;/sup&gt;"},"properties":{"noteIndex":0},"schema":"https://github.com/citation-style-language/schema/raw/master/csl-citation.json"}</w:instrText>
      </w:r>
      <w:r w:rsidRPr="002A0643">
        <w:fldChar w:fldCharType="separate"/>
      </w:r>
      <w:r w:rsidR="002E2FD7" w:rsidRPr="002E2FD7">
        <w:rPr>
          <w:noProof/>
          <w:vertAlign w:val="superscript"/>
        </w:rPr>
        <w:t>18–20</w:t>
      </w:r>
      <w:r w:rsidRPr="002A0643">
        <w:fldChar w:fldCharType="end"/>
      </w:r>
      <w:r w:rsidRPr="002A0643">
        <w:t xml:space="preserve">. </w:t>
      </w:r>
      <w:r w:rsidR="0034660D" w:rsidRPr="002A0643">
        <w:t>Although there is</w:t>
      </w:r>
      <w:r w:rsidR="0027641A" w:rsidRPr="002A0643">
        <w:t xml:space="preserve"> a growing body of </w:t>
      </w:r>
      <w:r w:rsidR="00A766BB" w:rsidRPr="002A0643">
        <w:t xml:space="preserve">research </w:t>
      </w:r>
      <w:r w:rsidR="0027641A" w:rsidRPr="002A0643">
        <w:t>in th</w:t>
      </w:r>
      <w:r w:rsidR="00AD4589" w:rsidRPr="002A0643">
        <w:t xml:space="preserve">e </w:t>
      </w:r>
      <w:r w:rsidR="00A766BB" w:rsidRPr="002A0643">
        <w:t xml:space="preserve">area of </w:t>
      </w:r>
      <w:r w:rsidR="006847B3" w:rsidRPr="002A0643">
        <w:t>diabetic foot ulcer</w:t>
      </w:r>
      <w:r w:rsidR="00A766BB" w:rsidRPr="002A0643">
        <w:t>s</w:t>
      </w:r>
      <w:r w:rsidR="003B4B14" w:rsidRPr="002A0643">
        <w:t xml:space="preserve"> </w:t>
      </w:r>
      <w:r w:rsidR="006847B3" w:rsidRPr="002A0643">
        <w:t>f</w:t>
      </w:r>
      <w:r w:rsidR="00A766BB" w:rsidRPr="002A0643">
        <w:t xml:space="preserve">rom </w:t>
      </w:r>
      <w:r w:rsidR="004208C2" w:rsidRPr="002A0643">
        <w:t>an international</w:t>
      </w:r>
      <w:r w:rsidR="006847B3" w:rsidRPr="002A0643">
        <w:t xml:space="preserve"> perspective</w:t>
      </w:r>
      <w:r w:rsidR="0034660D" w:rsidRPr="002A0643">
        <w:t>,</w:t>
      </w:r>
      <w:r w:rsidRPr="002A0643">
        <w:t xml:space="preserve"> there is</w:t>
      </w:r>
      <w:r w:rsidR="0034660D" w:rsidRPr="002A0643">
        <w:t xml:space="preserve"> no evidence </w:t>
      </w:r>
      <w:r w:rsidRPr="002A0643">
        <w:t>from the</w:t>
      </w:r>
      <w:r w:rsidR="0034660D" w:rsidRPr="002A0643">
        <w:t xml:space="preserve"> primary care</w:t>
      </w:r>
      <w:r w:rsidRPr="002A0643">
        <w:t xml:space="preserve"> setting</w:t>
      </w:r>
      <w:r w:rsidR="0034660D" w:rsidRPr="002A0643">
        <w:t xml:space="preserve"> in Singapore</w:t>
      </w:r>
      <w:r w:rsidR="00A766BB" w:rsidRPr="002A0643">
        <w:t>,</w:t>
      </w:r>
      <w:r w:rsidRPr="002A0643">
        <w:t xml:space="preserve"> where most of th</w:t>
      </w:r>
      <w:r w:rsidR="00AD4589" w:rsidRPr="002A0643">
        <w:t>ose wounds are treated</w:t>
      </w:r>
      <w:r w:rsidR="003B4B14" w:rsidRPr="002A0643">
        <w:t xml:space="preserve">. </w:t>
      </w:r>
      <w:r w:rsidR="00A60FD8" w:rsidRPr="002A0643">
        <w:t xml:space="preserve">Therefore, </w:t>
      </w:r>
      <w:r w:rsidR="005800F8" w:rsidRPr="002A0643">
        <w:t>t</w:t>
      </w:r>
      <w:r w:rsidR="004019FC" w:rsidRPr="002A0643">
        <w:t>he aim o</w:t>
      </w:r>
      <w:r w:rsidR="001E7468" w:rsidRPr="002A0643">
        <w:t xml:space="preserve">f this study was to </w:t>
      </w:r>
      <w:r w:rsidR="00A92640" w:rsidRPr="002A0643">
        <w:t xml:space="preserve">identify </w:t>
      </w:r>
      <w:r w:rsidR="00AF6F2E">
        <w:t xml:space="preserve">and describe </w:t>
      </w:r>
      <w:r w:rsidR="004019FC" w:rsidRPr="002A0643">
        <w:t>factors pertaining to patien</w:t>
      </w:r>
      <w:r w:rsidR="001F6835" w:rsidRPr="002A0643">
        <w:t>t</w:t>
      </w:r>
      <w:r w:rsidR="004019FC" w:rsidRPr="002A0643">
        <w:t xml:space="preserve"> and </w:t>
      </w:r>
      <w:r w:rsidR="006847B3" w:rsidRPr="002A0643">
        <w:t>ulcer</w:t>
      </w:r>
      <w:r w:rsidR="004019FC" w:rsidRPr="002A0643">
        <w:t xml:space="preserve"> characteristics </w:t>
      </w:r>
      <w:r w:rsidR="002F7CA4" w:rsidRPr="002A0643">
        <w:t xml:space="preserve">that may </w:t>
      </w:r>
      <w:r w:rsidR="004019FC" w:rsidRPr="002A0643">
        <w:t>affect healing within 3 months</w:t>
      </w:r>
      <w:r w:rsidR="005800F8" w:rsidRPr="002A0643">
        <w:t xml:space="preserve"> in </w:t>
      </w:r>
      <w:r w:rsidR="00A766BB" w:rsidRPr="002A0643">
        <w:t xml:space="preserve">the </w:t>
      </w:r>
      <w:r w:rsidR="005800F8" w:rsidRPr="002A0643">
        <w:t>primary health care</w:t>
      </w:r>
      <w:r w:rsidR="00A766BB" w:rsidRPr="002A0643">
        <w:t xml:space="preserve"> setting</w:t>
      </w:r>
      <w:r w:rsidR="004019FC" w:rsidRPr="002A0643">
        <w:t>.</w:t>
      </w:r>
      <w:r w:rsidR="00B80E56" w:rsidRPr="002A0643">
        <w:t xml:space="preserve"> </w:t>
      </w:r>
    </w:p>
    <w:p w14:paraId="3B7FFC50" w14:textId="77777777" w:rsidR="00565BB7" w:rsidRDefault="00565BB7" w:rsidP="00A2257A">
      <w:pPr>
        <w:autoSpaceDE w:val="0"/>
        <w:autoSpaceDN w:val="0"/>
        <w:adjustRightInd w:val="0"/>
        <w:jc w:val="both"/>
      </w:pPr>
    </w:p>
    <w:p w14:paraId="4C8E8047" w14:textId="77777777" w:rsidR="00BC574A" w:rsidRPr="002A0643" w:rsidRDefault="00BC574A" w:rsidP="0034660D">
      <w:pPr>
        <w:autoSpaceDE w:val="0"/>
        <w:autoSpaceDN w:val="0"/>
        <w:adjustRightInd w:val="0"/>
        <w:spacing w:line="240" w:lineRule="auto"/>
        <w:jc w:val="both"/>
        <w:rPr>
          <w:lang w:val="en-SG"/>
        </w:rPr>
      </w:pPr>
    </w:p>
    <w:p w14:paraId="2508C934" w14:textId="77777777" w:rsidR="00297423" w:rsidRDefault="00065D7F" w:rsidP="0016103B">
      <w:pPr>
        <w:jc w:val="both"/>
        <w:rPr>
          <w:b/>
        </w:rPr>
      </w:pPr>
      <w:r w:rsidRPr="00297423">
        <w:rPr>
          <w:b/>
          <w:lang w:val="en-SG"/>
        </w:rPr>
        <w:lastRenderedPageBreak/>
        <w:t>M</w:t>
      </w:r>
      <w:r w:rsidR="00942894" w:rsidRPr="00297423">
        <w:rPr>
          <w:b/>
          <w:lang w:val="en-SG"/>
        </w:rPr>
        <w:t>ethods</w:t>
      </w:r>
      <w:r w:rsidR="00942894" w:rsidRPr="00297423">
        <w:rPr>
          <w:b/>
        </w:rPr>
        <w:t xml:space="preserve"> </w:t>
      </w:r>
    </w:p>
    <w:p w14:paraId="3CD44478" w14:textId="73086B49" w:rsidR="0016103B" w:rsidRPr="00297423" w:rsidRDefault="0055046B" w:rsidP="0016103B">
      <w:pPr>
        <w:jc w:val="both"/>
        <w:rPr>
          <w:b/>
        </w:rPr>
      </w:pPr>
      <w:r w:rsidRPr="00297423">
        <w:rPr>
          <w:b/>
          <w:i/>
        </w:rPr>
        <w:t>S</w:t>
      </w:r>
      <w:r w:rsidR="00942894" w:rsidRPr="00297423">
        <w:rPr>
          <w:b/>
          <w:i/>
        </w:rPr>
        <w:t xml:space="preserve">tudy </w:t>
      </w:r>
      <w:r w:rsidR="00A72ED2" w:rsidRPr="00297423">
        <w:rPr>
          <w:b/>
          <w:i/>
        </w:rPr>
        <w:t>design and s</w:t>
      </w:r>
      <w:r w:rsidR="00942894" w:rsidRPr="00297423">
        <w:rPr>
          <w:b/>
          <w:i/>
        </w:rPr>
        <w:t xml:space="preserve">ubjects </w:t>
      </w:r>
    </w:p>
    <w:p w14:paraId="5194CD1D" w14:textId="77777777" w:rsidR="008501EB" w:rsidRPr="002A0643" w:rsidRDefault="008501EB" w:rsidP="002A4F7E">
      <w:pPr>
        <w:jc w:val="both"/>
        <w:rPr>
          <w:lang w:val="en-US"/>
        </w:rPr>
      </w:pPr>
    </w:p>
    <w:p w14:paraId="0FC2A9CE" w14:textId="6E599C92" w:rsidR="000A6030" w:rsidRPr="002A0643" w:rsidRDefault="004959BD" w:rsidP="0016103B">
      <w:pPr>
        <w:jc w:val="both"/>
        <w:rPr>
          <w:lang w:val="en-US"/>
        </w:rPr>
      </w:pPr>
      <w:r>
        <w:rPr>
          <w:lang w:val="en-US"/>
        </w:rPr>
        <w:t>The researchers</w:t>
      </w:r>
      <w:r w:rsidR="000A6030" w:rsidRPr="002A0643">
        <w:rPr>
          <w:lang w:val="en-US"/>
        </w:rPr>
        <w:t xml:space="preserve"> performed a retrospective review of</w:t>
      </w:r>
      <w:r w:rsidR="00005912" w:rsidRPr="002A0643">
        <w:rPr>
          <w:lang w:val="en-US"/>
        </w:rPr>
        <w:t xml:space="preserve"> electronic medical record of </w:t>
      </w:r>
      <w:r w:rsidR="000A6030" w:rsidRPr="002A0643">
        <w:rPr>
          <w:lang w:val="en-US"/>
        </w:rPr>
        <w:t xml:space="preserve">all patients with </w:t>
      </w:r>
      <w:r w:rsidR="006847B3" w:rsidRPr="002A0643">
        <w:rPr>
          <w:lang w:val="en-US"/>
        </w:rPr>
        <w:t>diabetic foot ulcer</w:t>
      </w:r>
      <w:r w:rsidR="000A6030" w:rsidRPr="002A0643">
        <w:rPr>
          <w:lang w:val="en-US"/>
        </w:rPr>
        <w:t xml:space="preserve"> who </w:t>
      </w:r>
      <w:r w:rsidR="00005912" w:rsidRPr="002A0643">
        <w:rPr>
          <w:lang w:val="en-US"/>
        </w:rPr>
        <w:t>received wound care</w:t>
      </w:r>
      <w:r w:rsidR="000A6030" w:rsidRPr="002A0643">
        <w:rPr>
          <w:lang w:val="en-US"/>
        </w:rPr>
        <w:t xml:space="preserve"> </w:t>
      </w:r>
      <w:r w:rsidR="00005912" w:rsidRPr="002A0643">
        <w:rPr>
          <w:lang w:val="en-US"/>
        </w:rPr>
        <w:t xml:space="preserve">between </w:t>
      </w:r>
      <w:r w:rsidR="00834571" w:rsidRPr="002A0643">
        <w:rPr>
          <w:lang w:val="en-US"/>
        </w:rPr>
        <w:t>1</w:t>
      </w:r>
      <w:r w:rsidR="00834571" w:rsidRPr="002A0643">
        <w:rPr>
          <w:vertAlign w:val="superscript"/>
          <w:lang w:val="en-US"/>
        </w:rPr>
        <w:t>st</w:t>
      </w:r>
      <w:r w:rsidR="00834571" w:rsidRPr="002A0643">
        <w:rPr>
          <w:lang w:val="en-US"/>
        </w:rPr>
        <w:t xml:space="preserve"> </w:t>
      </w:r>
      <w:r w:rsidR="00005912" w:rsidRPr="002A0643">
        <w:rPr>
          <w:lang w:val="en-US"/>
        </w:rPr>
        <w:t xml:space="preserve">April 2016 </w:t>
      </w:r>
      <w:r w:rsidR="00524FD4" w:rsidRPr="002A0643">
        <w:rPr>
          <w:lang w:val="en-US"/>
        </w:rPr>
        <w:t xml:space="preserve">and </w:t>
      </w:r>
      <w:r w:rsidR="00834571" w:rsidRPr="002A0643">
        <w:rPr>
          <w:lang w:val="en-US"/>
        </w:rPr>
        <w:t>31</w:t>
      </w:r>
      <w:r w:rsidR="00834571" w:rsidRPr="002A0643">
        <w:rPr>
          <w:vertAlign w:val="superscript"/>
          <w:lang w:val="en-US"/>
        </w:rPr>
        <w:t>st</w:t>
      </w:r>
      <w:r w:rsidR="00834571" w:rsidRPr="002A0643">
        <w:rPr>
          <w:lang w:val="en-US"/>
        </w:rPr>
        <w:t xml:space="preserve"> </w:t>
      </w:r>
      <w:r w:rsidR="00524FD4" w:rsidRPr="002A0643">
        <w:rPr>
          <w:lang w:val="en-US"/>
        </w:rPr>
        <w:t>March</w:t>
      </w:r>
      <w:r w:rsidR="00005912" w:rsidRPr="002A0643">
        <w:rPr>
          <w:lang w:val="en-US"/>
        </w:rPr>
        <w:t xml:space="preserve"> 2017 </w:t>
      </w:r>
      <w:r w:rsidR="000A6030" w:rsidRPr="002A0643">
        <w:rPr>
          <w:lang w:val="en-US"/>
        </w:rPr>
        <w:t xml:space="preserve">at </w:t>
      </w:r>
      <w:r w:rsidR="00005912" w:rsidRPr="002A0643">
        <w:t xml:space="preserve">nine </w:t>
      </w:r>
      <w:r w:rsidR="00AD4589" w:rsidRPr="002A0643">
        <w:t xml:space="preserve">different primary care </w:t>
      </w:r>
      <w:r w:rsidR="00AD4589" w:rsidRPr="002A0643">
        <w:rPr>
          <w:lang w:val="en-US"/>
        </w:rPr>
        <w:t xml:space="preserve">settings operated by the </w:t>
      </w:r>
      <w:r w:rsidR="00005912" w:rsidRPr="002A0643">
        <w:t xml:space="preserve">National Healthcare Group Polyclinics </w:t>
      </w:r>
      <w:r w:rsidR="00005912" w:rsidRPr="002A0643">
        <w:rPr>
          <w:lang w:val="en-US"/>
        </w:rPr>
        <w:t xml:space="preserve">in </w:t>
      </w:r>
      <w:r w:rsidR="00005912" w:rsidRPr="002A0643">
        <w:t>Singapore</w:t>
      </w:r>
      <w:r w:rsidR="00005912" w:rsidRPr="002A0643">
        <w:rPr>
          <w:lang w:val="en-US"/>
        </w:rPr>
        <w:t>.</w:t>
      </w:r>
      <w:r w:rsidR="00005912" w:rsidRPr="002A0643">
        <w:rPr>
          <w:lang w:val="en-SG"/>
        </w:rPr>
        <w:t xml:space="preserve"> </w:t>
      </w:r>
      <w:r w:rsidR="00AD4589" w:rsidRPr="002A0643">
        <w:t xml:space="preserve">National Healthcare Group Polyclinics </w:t>
      </w:r>
      <w:r w:rsidR="00005912" w:rsidRPr="002A0643">
        <w:rPr>
          <w:lang w:val="en-SG"/>
        </w:rPr>
        <w:t xml:space="preserve">serves a substantial  proportion of the population in the central and northern parts of Singapore and provides a comprehensive range of primary healthcare services including wound care </w:t>
      </w:r>
      <w:r w:rsidR="00005912" w:rsidRPr="002A0643">
        <w:rPr>
          <w:lang w:val="en-SG"/>
        </w:rPr>
        <w:fldChar w:fldCharType="begin" w:fldLock="1"/>
      </w:r>
      <w:r w:rsidR="002E2FD7">
        <w:rPr>
          <w:lang w:val="en-SG"/>
        </w:rPr>
        <w:instrText>ADDIN CSL_CITATION {"citationItems":[{"id":"ITEM-1","itemData":{"URL":"https://www.nhgp.com.sg/About_Us/","accessed":{"date-parts":[["2020","4","30"]]},"id":"ITEM-1","issued":{"date-parts":[["0"]]},"title":"National Healthcare Group Polyclinics","type":"webpage"},"uris":["http://www.mendeley.com/documents/?uuid=32df0ad6-72fc-30df-a3be-41dd2a0bbc90"]}],"mendeley":{"formattedCitation":"&lt;sup&gt;21&lt;/sup&gt;","plainTextFormattedCitation":"21","previouslyFormattedCitation":"&lt;sup&gt;21&lt;/sup&gt;"},"properties":{"noteIndex":0},"schema":"https://github.com/citation-style-language/schema/raw/master/csl-citation.json"}</w:instrText>
      </w:r>
      <w:r w:rsidR="00005912" w:rsidRPr="002A0643">
        <w:rPr>
          <w:lang w:val="en-SG"/>
        </w:rPr>
        <w:fldChar w:fldCharType="separate"/>
      </w:r>
      <w:r w:rsidR="002E2FD7" w:rsidRPr="002E2FD7">
        <w:rPr>
          <w:noProof/>
          <w:vertAlign w:val="superscript"/>
          <w:lang w:val="en-SG"/>
        </w:rPr>
        <w:t>21</w:t>
      </w:r>
      <w:r w:rsidR="00005912" w:rsidRPr="002A0643">
        <w:rPr>
          <w:lang w:val="en-SG"/>
        </w:rPr>
        <w:fldChar w:fldCharType="end"/>
      </w:r>
      <w:r w:rsidR="00005912" w:rsidRPr="002A0643">
        <w:rPr>
          <w:lang w:val="en-SG"/>
        </w:rPr>
        <w:t xml:space="preserve">. </w:t>
      </w:r>
    </w:p>
    <w:p w14:paraId="3A7C569F" w14:textId="5C82A0C7" w:rsidR="00C84A6E" w:rsidRPr="002A0643" w:rsidRDefault="00C84A6E" w:rsidP="0016103B">
      <w:pPr>
        <w:jc w:val="both"/>
        <w:rPr>
          <w:color w:val="212121"/>
          <w:shd w:val="clear" w:color="auto" w:fill="FFFFFF"/>
        </w:rPr>
      </w:pPr>
    </w:p>
    <w:p w14:paraId="4F932E7D" w14:textId="2CFACFFA" w:rsidR="0016103B" w:rsidRPr="001114C2" w:rsidRDefault="00A946E7" w:rsidP="0016103B">
      <w:pPr>
        <w:jc w:val="both"/>
      </w:pPr>
      <w:r w:rsidRPr="002A0643">
        <w:t xml:space="preserve">The study population </w:t>
      </w:r>
      <w:r w:rsidR="002F7CA4" w:rsidRPr="002A0643">
        <w:t xml:space="preserve">were </w:t>
      </w:r>
      <w:r w:rsidR="00FF506D" w:rsidRPr="002A0643">
        <w:t xml:space="preserve">all </w:t>
      </w:r>
      <w:r w:rsidRPr="002A0643">
        <w:t xml:space="preserve">patients with </w:t>
      </w:r>
      <w:r w:rsidR="006847B3" w:rsidRPr="002A0643">
        <w:t>diabetic foot ulcer</w:t>
      </w:r>
      <w:r w:rsidRPr="002A0643">
        <w:t xml:space="preserve"> and</w:t>
      </w:r>
      <w:r w:rsidR="002F7CA4" w:rsidRPr="002A0643">
        <w:t>/or</w:t>
      </w:r>
      <w:r w:rsidRPr="002A0643">
        <w:t xml:space="preserve"> post-amputation </w:t>
      </w:r>
      <w:r w:rsidR="006847B3" w:rsidRPr="002A0643">
        <w:t>ulcers</w:t>
      </w:r>
      <w:r w:rsidR="002F7CA4" w:rsidRPr="002A0643">
        <w:t xml:space="preserve"> </w:t>
      </w:r>
      <w:r w:rsidR="00AD4589" w:rsidRPr="002A0643">
        <w:t xml:space="preserve">that </w:t>
      </w:r>
      <w:r w:rsidRPr="002A0643">
        <w:t xml:space="preserve">attended the study sites consecutively within the study period. </w:t>
      </w:r>
      <w:r w:rsidR="005E6F5A" w:rsidRPr="002A0643">
        <w:t>The patients</w:t>
      </w:r>
      <w:r w:rsidR="00AD4589" w:rsidRPr="002A0643">
        <w:t xml:space="preserve"> </w:t>
      </w:r>
      <w:r w:rsidR="005E6F5A" w:rsidRPr="002A0643">
        <w:t>were followed</w:t>
      </w:r>
      <w:r w:rsidR="00AD4589" w:rsidRPr="002A0643">
        <w:t xml:space="preserve"> over</w:t>
      </w:r>
      <w:r w:rsidR="00FF506D" w:rsidRPr="002A0643">
        <w:t xml:space="preserve"> </w:t>
      </w:r>
      <w:r w:rsidR="00AD4589" w:rsidRPr="002A0643">
        <w:t>3</w:t>
      </w:r>
      <w:r w:rsidR="005E6F5A" w:rsidRPr="002A0643">
        <w:t xml:space="preserve"> months </w:t>
      </w:r>
      <w:r w:rsidR="00AD4589" w:rsidRPr="002A0643">
        <w:t xml:space="preserve">and the </w:t>
      </w:r>
      <w:r w:rsidR="004208C2" w:rsidRPr="002A0643">
        <w:rPr>
          <w:lang w:val="en-US"/>
        </w:rPr>
        <w:t xml:space="preserve">electronic medical record </w:t>
      </w:r>
      <w:r w:rsidR="00AD4589" w:rsidRPr="002A0643">
        <w:t xml:space="preserve">data extraction started with their </w:t>
      </w:r>
      <w:r w:rsidR="005E6F5A" w:rsidRPr="002A0643">
        <w:t xml:space="preserve">first contact with </w:t>
      </w:r>
      <w:r w:rsidR="004208C2" w:rsidRPr="002A0643">
        <w:rPr>
          <w:lang w:val="en-US"/>
        </w:rPr>
        <w:t xml:space="preserve">the </w:t>
      </w:r>
      <w:r w:rsidR="00EE432B" w:rsidRPr="002A0643">
        <w:t>polyclinic</w:t>
      </w:r>
      <w:r w:rsidR="005E6F5A" w:rsidRPr="002A0643">
        <w:t xml:space="preserve">. </w:t>
      </w:r>
      <w:r w:rsidR="00AF196C" w:rsidRPr="002A0643">
        <w:t>The data extraction followed a</w:t>
      </w:r>
      <w:r w:rsidR="006D3740" w:rsidRPr="002A0643">
        <w:t xml:space="preserve"> standardized extraction form</w:t>
      </w:r>
      <w:r w:rsidR="006D3740" w:rsidRPr="001114C2">
        <w:t xml:space="preserve"> </w:t>
      </w:r>
      <w:r w:rsidR="00AD4589" w:rsidRPr="001114C2">
        <w:t>developed by</w:t>
      </w:r>
      <w:r w:rsidR="00AF196C" w:rsidRPr="001114C2">
        <w:t xml:space="preserve"> the research team and</w:t>
      </w:r>
      <w:r w:rsidR="00AD4589" w:rsidRPr="001114C2">
        <w:t xml:space="preserve"> wound care specialist</w:t>
      </w:r>
      <w:r w:rsidR="00AF196C" w:rsidRPr="001114C2">
        <w:t xml:space="preserve">s. This form was </w:t>
      </w:r>
      <w:r w:rsidR="006D3740" w:rsidRPr="001114C2">
        <w:t>based on research literature, clinical</w:t>
      </w:r>
      <w:r w:rsidR="00FF506D" w:rsidRPr="001114C2">
        <w:t xml:space="preserve"> guidelines and expert opinions</w:t>
      </w:r>
      <w:r w:rsidR="006D3740" w:rsidRPr="001114C2">
        <w:t xml:space="preserve">. Four nurses specialized in wound care extracted </w:t>
      </w:r>
      <w:r w:rsidR="00AF196C" w:rsidRPr="001114C2">
        <w:t xml:space="preserve">the </w:t>
      </w:r>
      <w:r w:rsidR="006D3740" w:rsidRPr="001114C2">
        <w:t xml:space="preserve">data from </w:t>
      </w:r>
      <w:r w:rsidR="00AF196C" w:rsidRPr="001114C2">
        <w:t xml:space="preserve">the </w:t>
      </w:r>
      <w:r w:rsidR="004208C2" w:rsidRPr="001114C2">
        <w:rPr>
          <w:lang w:val="en-US"/>
        </w:rPr>
        <w:t>electronic medical record</w:t>
      </w:r>
      <w:r w:rsidR="00FF506D" w:rsidRPr="001114C2">
        <w:t xml:space="preserve"> a</w:t>
      </w:r>
      <w:r w:rsidR="00AF196C" w:rsidRPr="001114C2">
        <w:t>fter receiving</w:t>
      </w:r>
      <w:r w:rsidR="006D3740" w:rsidRPr="001114C2">
        <w:t xml:space="preserve"> training to ensure the standard quality control of </w:t>
      </w:r>
      <w:r w:rsidR="00AF196C" w:rsidRPr="001114C2">
        <w:t xml:space="preserve">the </w:t>
      </w:r>
      <w:r w:rsidR="006D3740" w:rsidRPr="001114C2">
        <w:t xml:space="preserve">data collection. </w:t>
      </w:r>
      <w:r w:rsidR="002F7CA4">
        <w:t>Q</w:t>
      </w:r>
      <w:r w:rsidR="006D3740" w:rsidRPr="001114C2">
        <w:t>ueries</w:t>
      </w:r>
      <w:r w:rsidR="002F7CA4">
        <w:t xml:space="preserve"> related to the data collection</w:t>
      </w:r>
      <w:r w:rsidR="006D3740" w:rsidRPr="001114C2">
        <w:t xml:space="preserve"> </w:t>
      </w:r>
      <w:r w:rsidR="00E418C8" w:rsidRPr="001114C2">
        <w:t>were</w:t>
      </w:r>
      <w:r w:rsidR="006D3740" w:rsidRPr="001114C2">
        <w:t xml:space="preserve"> </w:t>
      </w:r>
      <w:r w:rsidR="002F7CA4" w:rsidRPr="001114C2">
        <w:t>so</w:t>
      </w:r>
      <w:r w:rsidR="002F7CA4">
        <w:t>lved</w:t>
      </w:r>
      <w:r w:rsidR="002F7CA4" w:rsidRPr="001114C2">
        <w:t xml:space="preserve"> </w:t>
      </w:r>
      <w:r w:rsidR="006D3740" w:rsidRPr="001114C2">
        <w:t xml:space="preserve">by </w:t>
      </w:r>
      <w:r w:rsidR="002F7CA4">
        <w:t xml:space="preserve">discussions with the </w:t>
      </w:r>
      <w:r w:rsidR="006D3740" w:rsidRPr="001114C2">
        <w:t>wound nurse specialist</w:t>
      </w:r>
      <w:r w:rsidR="002F7CA4">
        <w:t xml:space="preserve"> that developed the </w:t>
      </w:r>
      <w:r w:rsidR="006D3740" w:rsidRPr="001114C2">
        <w:t>study protocol.</w:t>
      </w:r>
      <w:r w:rsidR="00643BC6" w:rsidRPr="001114C2">
        <w:t xml:space="preserve"> </w:t>
      </w:r>
      <w:r w:rsidR="00B42ECF" w:rsidRPr="001114C2">
        <w:rPr>
          <w:color w:val="212121"/>
          <w:shd w:val="clear" w:color="auto" w:fill="FFFFFF"/>
        </w:rPr>
        <w:t>E</w:t>
      </w:r>
      <w:r w:rsidR="00B42ECF" w:rsidRPr="001114C2">
        <w:t xml:space="preserve">thical approval was granted from the local institute review board </w:t>
      </w:r>
      <w:r w:rsidR="001E7CF5">
        <w:t>at National Healthcare Group</w:t>
      </w:r>
      <w:r w:rsidR="002F7CA4">
        <w:t xml:space="preserve"> </w:t>
      </w:r>
      <w:r w:rsidR="00847F99">
        <w:t>(</w:t>
      </w:r>
      <w:r w:rsidR="006B6990">
        <w:t>DSRB R</w:t>
      </w:r>
      <w:r w:rsidR="00B42ECF" w:rsidRPr="001114C2">
        <w:t>efer No. 2017/00588)</w:t>
      </w:r>
      <w:r w:rsidR="00557615" w:rsidRPr="001114C2">
        <w:t xml:space="preserve"> </w:t>
      </w:r>
      <w:r w:rsidR="00B42ECF" w:rsidRPr="001114C2">
        <w:t>prior to data extraction.</w:t>
      </w:r>
    </w:p>
    <w:p w14:paraId="6E662390" w14:textId="77777777" w:rsidR="006A638A" w:rsidRPr="001114C2" w:rsidRDefault="006A638A" w:rsidP="0016103B">
      <w:pPr>
        <w:jc w:val="both"/>
        <w:rPr>
          <w:lang w:val="en-SG"/>
        </w:rPr>
      </w:pPr>
    </w:p>
    <w:p w14:paraId="5FEC5298" w14:textId="69F5CA24" w:rsidR="0016103B" w:rsidRPr="00297423" w:rsidRDefault="00224149" w:rsidP="00024479">
      <w:pPr>
        <w:jc w:val="both"/>
        <w:rPr>
          <w:b/>
          <w:i/>
        </w:rPr>
      </w:pPr>
      <w:r w:rsidRPr="00297423">
        <w:rPr>
          <w:b/>
          <w:i/>
        </w:rPr>
        <w:t xml:space="preserve">Variables </w:t>
      </w:r>
    </w:p>
    <w:p w14:paraId="0117D9B1" w14:textId="77777777" w:rsidR="000E615B" w:rsidRPr="001114C2" w:rsidRDefault="000E615B" w:rsidP="00024479">
      <w:pPr>
        <w:jc w:val="both"/>
        <w:rPr>
          <w:b/>
          <w:i/>
        </w:rPr>
      </w:pPr>
    </w:p>
    <w:p w14:paraId="0D6422B1" w14:textId="7475D7D4" w:rsidR="0061374B" w:rsidRPr="001114C2" w:rsidRDefault="002F7CA4" w:rsidP="00792A39">
      <w:pPr>
        <w:jc w:val="both"/>
      </w:pPr>
      <w:r w:rsidRPr="001114C2">
        <w:t>D</w:t>
      </w:r>
      <w:r>
        <w:t>iabetic foot ulcers</w:t>
      </w:r>
      <w:r w:rsidRPr="001114C2">
        <w:t xml:space="preserve"> </w:t>
      </w:r>
      <w:r w:rsidR="00643BC6" w:rsidRPr="001114C2">
        <w:t>w</w:t>
      </w:r>
      <w:r>
        <w:t>ere</w:t>
      </w:r>
      <w:r w:rsidR="00643BC6" w:rsidRPr="001114C2">
        <w:t xml:space="preserve"> defined as a full-thickness wound</w:t>
      </w:r>
      <w:r>
        <w:t>s</w:t>
      </w:r>
      <w:r w:rsidR="00643BC6" w:rsidRPr="001114C2">
        <w:t xml:space="preserve"> located distal to the ankle (level of malleoli) </w:t>
      </w:r>
      <w:r w:rsidR="00643BC6" w:rsidRPr="001114C2">
        <w:fldChar w:fldCharType="begin" w:fldLock="1"/>
      </w:r>
      <w:r w:rsidR="002E2FD7">
        <w:instrText>ADDIN CSL_CITATION {"citationItems":[{"id":"ITEM-1","itemData":{"DOI":"10.1007/s00125-008-0940-0","ISSN":"0012-186X","PMID":"18297261","abstract":"AIMS/HYPOTHESIS Outcome data on individuals with diabetic foot ulcers are scarce, especially in those with peripheral arterial disease (PAD). We therefore examined the clinical characteristics that best predict poor outcome in a large population of diabetic foot ulcer patients and examined whether such predictors differ between patients with and without PAD. METHODS Analyses were conducted within the EURODIALE Study, a prospective cohort study of 1,088 diabetic foot ulcer patients across 14 centres in Europe. Multiple logistic regression modelling was used to identify independent predictors of outcome (i.e. non-healing of the foot ulcer). RESULTS After 1 year of follow-up, 23% of the patients had not healed. Independent baseline predictors of non-healing in the whole study population were older age, male sex, heart failure, the inability to stand or walk without help, end-stage renal disease, larger ulcer size, peripheral neuropathy and PAD. When analyses were performed according to PAD status, infection emerged as a specific predictor of non-healing in PAD patients only. CONCLUSIONS/INTERPRETATION Predictors of healing differ between patients with and without PAD, suggesting that diabetic foot ulcers with or without concomitant PAD should be defined as two separate disease states. The observed negative impact of infection on healing that was confined to patients with PAD needs further investigation.","author":[{"dropping-particle":"","family":"Prompers","given":"L","non-dropping-particle":"","parse-names":false,"suffix":""},{"dropping-particle":"","family":"Schaper","given":"N","non-dropping-particle":"","parse-names":false,"suffix":""},{"dropping-particle":"","family":"Apelqvist","given":"J","non-dropping-particle":"","parse-names":false,"suffix":""},{"dropping-particle":"","family":"Edmonds","given":"M","non-dropping-particle":"","parse-names":false,"suffix":""},{"dropping-particle":"","family":"Jude","given":"E","non-dropping-particle":"","parse-names":false,"suffix":""},{"dropping-particle":"","family":"Mauricio","given":"D","non-dropping-particle":"","parse-names":false,"suffix":""},{"dropping-particle":"","family":"Uccioli","given":"L","non-dropping-particle":"","parse-names":false,"suffix":""},{"dropping-particle":"","family":"Urbancic","given":"V","non-dropping-particle":"","parse-names":false,"suffix":""},{"dropping-particle":"","family":"Bakker","given":"K","non-dropping-particle":"","parse-names":false,"suffix":""},{"dropping-particle":"","family":"Holstein","given":"P","non-dropping-particle":"","parse-names":false,"suffix":""},{"dropping-particle":"","family":"Jirkovska","given":"A","non-dropping-particle":"","parse-names":false,"suffix":""},{"dropping-particle":"","family":"Piaggesi","given":"A","non-dropping-particle":"","parse-names":false,"suffix":""},{"dropping-particle":"","family":"Ragnarson-Tennvall","given":"G","non-dropping-particle":"","parse-names":false,"suffix":""},{"dropping-particle":"","family":"Reike","given":"H","non-dropping-particle":"","parse-names":false,"suffix":""},{"dropping-particle":"","family":"Spraul","given":"M","non-dropping-particle":"","parse-names":false,"suffix":""},{"dropping-particle":"","family":"Acker","given":"K","non-dropping-particle":"Van","parse-names":false,"suffix":""},{"dropping-particle":"","family":"Baal","given":"J","non-dropping-particle":"Van","parse-names":false,"suffix":""},{"dropping-particle":"","family":"Merode","given":"F","non-dropping-particle":"Van","parse-names":false,"suffix":""},{"dropping-particle":"","family":"Ferreira","given":"I","non-dropping-particle":"","parse-names":false,"suffix":""},{"dropping-particle":"","family":"Huijberts","given":"M","non-dropping-particle":"","parse-names":false,"suffix":""}],"container-title":"Diabetologia","id":"ITEM-1","issue":"5","issued":{"date-parts":[["2008","5"]]},"page":"747-55","publisher":"Springer","title":"Prediction of outcome in individuals with diabetic foot ulcers: focus on the differences between individuals with and without peripheral arterial disease. The EURODIALE Study.","type":"article-journal","volume":"51"},"uris":["http://www.mendeley.com/documents/?uuid=ff51226d-f9e3-30ed-b649-c128a112777c"]}],"mendeley":{"formattedCitation":"&lt;sup&gt;8&lt;/sup&gt;","plainTextFormattedCitation":"8","previouslyFormattedCitation":"&lt;sup&gt;8&lt;/sup&gt;"},"properties":{"noteIndex":0},"schema":"https://github.com/citation-style-language/schema/raw/master/csl-citation.json"}</w:instrText>
      </w:r>
      <w:r w:rsidR="00643BC6" w:rsidRPr="001114C2">
        <w:fldChar w:fldCharType="separate"/>
      </w:r>
      <w:r w:rsidR="002E2FD7" w:rsidRPr="002E2FD7">
        <w:rPr>
          <w:noProof/>
          <w:vertAlign w:val="superscript"/>
        </w:rPr>
        <w:t>8</w:t>
      </w:r>
      <w:r w:rsidR="00643BC6" w:rsidRPr="001114C2">
        <w:fldChar w:fldCharType="end"/>
      </w:r>
      <w:r w:rsidR="00643BC6" w:rsidRPr="001114C2">
        <w:t xml:space="preserve">. Post-amputation </w:t>
      </w:r>
      <w:r w:rsidR="006847B3">
        <w:t>ulcers</w:t>
      </w:r>
      <w:r w:rsidR="00643BC6" w:rsidRPr="001114C2">
        <w:t xml:space="preserve"> </w:t>
      </w:r>
      <w:r w:rsidR="00A766BB">
        <w:t>were defined as</w:t>
      </w:r>
      <w:r w:rsidR="00643BC6" w:rsidRPr="001114C2">
        <w:t xml:space="preserve"> wound</w:t>
      </w:r>
      <w:r>
        <w:t>s</w:t>
      </w:r>
      <w:r w:rsidR="00643BC6" w:rsidRPr="001114C2">
        <w:t xml:space="preserve"> located on any part of the foot after a recent minor amputation procedure </w:t>
      </w:r>
      <w:r w:rsidR="00643BC6" w:rsidRPr="001114C2">
        <w:fldChar w:fldCharType="begin" w:fldLock="1"/>
      </w:r>
      <w:r w:rsidR="002E2FD7">
        <w:instrText>ADDIN CSL_CITATION {"citationItems":[{"id":"ITEM-1","itemData":{"DOI":"10.1371/journal.pone.0177916","ISSN":"1932-6203","PMID":"28545120","abstract":"OBJECTIVE There is a paucity of research on patients presenting with uninfected diabetic foot ulcers (DFU) that go on to develop infection. We aimed to investigate the incidence and risk factors for developing infection in a large regional cohort of patients presenting with uninfected DFUs. METHODS We performed a secondary analysis of data collected from a validated prospective state-wide clinical diabetic foot database in Queensland (Australia). Patients presenting for their first visit with an uninfected DFU to a Diabetic Foot Service in one of thirteen Queensland regions between January 2012 and December 2013 were included. Socio-demographic, medical history, foot disease history, DFU characteristics and treatment variables were captured at the first visit. Patients were followed until their DFU healed, or if their DFU did not heal for 12-months, to determine if they developed a foot infection in that period. RESULTS Overall, 853 patients were included; mean(standard deviation) age 62.9(12.8) years, 68.0% male, 90.9% type 2 diabetes, 13.6% indigenous Australians. Foot infection developed in 342 patients for an overall incidence of 40.1%; 32.4% incidence in DFUs healed &lt;3 months, 55.9% in DFUs healed between 3-12 months (p&lt;0.05). Independent risk factors (Odds Ratio (95% confidence interval)) for developing infection were: DFUs healed between 3-12 months (2.3 (1.6-3.3)), deep DFUs (2.2 (1.2-3.9)), peripheral neuropathy (1.8 (1.1-2.9)), previous DFU history (1.7 (1.2-2.4)), foot deformity (1.4 (1.0-2.0)), female gender (1.5 (1.1-2.1)) and years of age (0.98 (0.97-0.99)) (all p&lt;0.05). CONCLUSIONS A considerable proportion of patients presenting with an uninfected DFU will develop an infection prior to healing. To prevent infection clinicians treating patients with uninfected DFUs should be particularly vigilant with those presenting with deep DFUs, previous DFU history, peripheral neuropathy, foot deformity, younger age, female gender and DFUs that have not healed by 3 months after presentation.","author":[{"dropping-particle":"","family":"Jia","given":"Limin","non-dropping-particle":"","parse-names":false,"suffix":""},{"dropping-particle":"","family":"Parker","given":"Christina N","non-dropping-particle":"","parse-names":false,"suffix":""},{"dropping-particle":"","family":"Parker","given":"Tony J","non-dropping-particle":"","parse-names":false,"suffix":""},{"dropping-particle":"","family":"Kinnear","given":"Ewan M","non-dropping-particle":"","parse-names":false,"suffix":""},{"dropping-particle":"","family":"Derhy","given":"Patrick H","non-dropping-particle":"","parse-names":false,"suffix":""},{"dropping-particle":"","family":"Alvarado","given":"Ann M","non-dropping-particle":"","parse-names":false,"suffix":""},{"dropping-particle":"","family":"Huygens","given":"Flavia","non-dropping-particle":"","parse-names":false,"suffix":""},{"dropping-particle":"","family":"Lazzarini","given":"Peter A","non-dropping-particle":"","parse-names":false,"suffix":""},{"dropping-particle":"","family":"Diabetic Foot Working Group, Queensland Statewide Diabetes Clinical Network (Australia)","given":"on behalf of the Diabetic Foot Working","non-dropping-particle":"","parse-names":false,"suffix":""},{"dropping-particle":"","family":"(Australia)","given":"Queensland Statewide Diabetes Clinical Network","non-dropping-particle":"","parse-names":false,"suffix":""}],"container-title":"PloS one","id":"ITEM-1","issue":"5","issued":{"date-parts":[["2017"]]},"page":"e0177916","publisher":"Public Library of Science","title":"Incidence and risk factors for developing infection in patients presenting with uninfected diabetic foot ulcers.","type":"article-journal","volume":"12"},"uris":["http://www.mendeley.com/documents/?uuid=8e59b1b9-8f90-3b54-853b-6d8838406773"]}],"mendeley":{"formattedCitation":"&lt;sup&gt;22&lt;/sup&gt;","plainTextFormattedCitation":"22","previouslyFormattedCitation":"&lt;sup&gt;22&lt;/sup&gt;"},"properties":{"noteIndex":0},"schema":"https://github.com/citation-style-language/schema/raw/master/csl-citation.json"}</w:instrText>
      </w:r>
      <w:r w:rsidR="00643BC6" w:rsidRPr="001114C2">
        <w:fldChar w:fldCharType="separate"/>
      </w:r>
      <w:r w:rsidR="002E2FD7" w:rsidRPr="002E2FD7">
        <w:rPr>
          <w:noProof/>
          <w:vertAlign w:val="superscript"/>
        </w:rPr>
        <w:t>22</w:t>
      </w:r>
      <w:r w:rsidR="00643BC6" w:rsidRPr="001114C2">
        <w:fldChar w:fldCharType="end"/>
      </w:r>
      <w:r w:rsidR="00643BC6" w:rsidRPr="001114C2">
        <w:t xml:space="preserve"> but </w:t>
      </w:r>
      <w:r w:rsidRPr="001114C2">
        <w:t>exclud</w:t>
      </w:r>
      <w:r>
        <w:t>e</w:t>
      </w:r>
      <w:r w:rsidR="00AF6F2E">
        <w:t>d</w:t>
      </w:r>
      <w:r w:rsidRPr="001114C2">
        <w:t xml:space="preserve"> </w:t>
      </w:r>
      <w:r w:rsidR="006847B3">
        <w:t>ulcers</w:t>
      </w:r>
      <w:r>
        <w:t xml:space="preserve"> that </w:t>
      </w:r>
      <w:r w:rsidR="00DC23A9" w:rsidRPr="001114C2">
        <w:t>heal</w:t>
      </w:r>
      <w:r w:rsidR="00DC23A9">
        <w:t>ed</w:t>
      </w:r>
      <w:r w:rsidR="00DC23A9" w:rsidRPr="001114C2">
        <w:t xml:space="preserve"> </w:t>
      </w:r>
      <w:r w:rsidR="00643BC6" w:rsidRPr="001114C2">
        <w:t xml:space="preserve">by primary intention. </w:t>
      </w:r>
      <w:r w:rsidR="006D3740" w:rsidRPr="001114C2">
        <w:t>The e</w:t>
      </w:r>
      <w:r w:rsidR="007A29D2" w:rsidRPr="001114C2">
        <w:t xml:space="preserve">xtracted </w:t>
      </w:r>
      <w:r w:rsidR="00EE20A5" w:rsidRPr="001114C2">
        <w:t xml:space="preserve">data from </w:t>
      </w:r>
      <w:r w:rsidR="004208C2" w:rsidRPr="001114C2">
        <w:rPr>
          <w:lang w:val="en-US"/>
        </w:rPr>
        <w:t>electronic medical record</w:t>
      </w:r>
      <w:r w:rsidR="00EE20A5" w:rsidRPr="001114C2">
        <w:t xml:space="preserve"> </w:t>
      </w:r>
      <w:r w:rsidR="00633FC7" w:rsidRPr="001114C2">
        <w:t xml:space="preserve">comprised </w:t>
      </w:r>
      <w:r w:rsidR="0061374B" w:rsidRPr="001114C2">
        <w:t xml:space="preserve">the </w:t>
      </w:r>
      <w:r>
        <w:t>following</w:t>
      </w:r>
      <w:r w:rsidR="002D50CC" w:rsidRPr="001114C2">
        <w:t>:</w:t>
      </w:r>
    </w:p>
    <w:p w14:paraId="7E4173C7" w14:textId="77777777" w:rsidR="00F203CF" w:rsidRPr="001114C2" w:rsidRDefault="00F203CF" w:rsidP="00792A39">
      <w:pPr>
        <w:jc w:val="both"/>
      </w:pPr>
    </w:p>
    <w:p w14:paraId="72348D9B" w14:textId="27CBD12F" w:rsidR="00951C16" w:rsidRPr="001114C2" w:rsidRDefault="00EE20A5" w:rsidP="00B8631D">
      <w:pPr>
        <w:pStyle w:val="ListParagraph"/>
        <w:numPr>
          <w:ilvl w:val="0"/>
          <w:numId w:val="6"/>
        </w:numPr>
        <w:jc w:val="both"/>
        <w:rPr>
          <w:rFonts w:ascii="Arial" w:hAnsi="Arial" w:cs="Arial"/>
        </w:rPr>
      </w:pPr>
      <w:r w:rsidRPr="001114C2">
        <w:rPr>
          <w:rFonts w:ascii="Arial" w:hAnsi="Arial" w:cs="Arial"/>
        </w:rPr>
        <w:t>P</w:t>
      </w:r>
      <w:r w:rsidR="00025CFB" w:rsidRPr="001114C2">
        <w:rPr>
          <w:rFonts w:ascii="Arial" w:hAnsi="Arial" w:cs="Arial"/>
        </w:rPr>
        <w:t>a</w:t>
      </w:r>
      <w:r w:rsidR="00F203CF" w:rsidRPr="001114C2">
        <w:rPr>
          <w:rFonts w:ascii="Arial" w:hAnsi="Arial" w:cs="Arial"/>
        </w:rPr>
        <w:t>tient-related variables</w:t>
      </w:r>
      <w:r w:rsidR="002F7CA4">
        <w:rPr>
          <w:rFonts w:ascii="Arial" w:hAnsi="Arial" w:cs="Arial"/>
        </w:rPr>
        <w:t>:</w:t>
      </w:r>
      <w:r w:rsidR="00834571">
        <w:rPr>
          <w:rFonts w:ascii="Arial" w:hAnsi="Arial" w:cs="Arial"/>
        </w:rPr>
        <w:t xml:space="preserve"> </w:t>
      </w:r>
      <w:r w:rsidR="009432F6" w:rsidRPr="001114C2">
        <w:rPr>
          <w:rFonts w:ascii="Arial" w:hAnsi="Arial" w:cs="Arial"/>
        </w:rPr>
        <w:t>demographics (</w:t>
      </w:r>
      <w:r w:rsidR="00025CFB" w:rsidRPr="001114C2">
        <w:rPr>
          <w:rFonts w:ascii="Arial" w:hAnsi="Arial" w:cs="Arial"/>
        </w:rPr>
        <w:t>age, gender,</w:t>
      </w:r>
      <w:r w:rsidR="004208C2">
        <w:rPr>
          <w:rFonts w:ascii="Arial" w:hAnsi="Arial" w:cs="Arial"/>
        </w:rPr>
        <w:t xml:space="preserve"> body mass index</w:t>
      </w:r>
      <w:r w:rsidR="00025CFB" w:rsidRPr="001114C2">
        <w:rPr>
          <w:rFonts w:ascii="Arial" w:hAnsi="Arial" w:cs="Arial"/>
        </w:rPr>
        <w:t>, ethnicity</w:t>
      </w:r>
      <w:r w:rsidR="00E418C8" w:rsidRPr="001114C2">
        <w:rPr>
          <w:rFonts w:ascii="Arial" w:hAnsi="Arial" w:cs="Arial"/>
        </w:rPr>
        <w:t>)</w:t>
      </w:r>
      <w:r w:rsidR="002F7CA4">
        <w:rPr>
          <w:rFonts w:ascii="Arial" w:hAnsi="Arial" w:cs="Arial"/>
        </w:rPr>
        <w:t>,</w:t>
      </w:r>
      <w:r w:rsidR="009432F6" w:rsidRPr="001114C2">
        <w:rPr>
          <w:rFonts w:ascii="Arial" w:hAnsi="Arial" w:cs="Arial"/>
        </w:rPr>
        <w:t xml:space="preserve"> </w:t>
      </w:r>
      <w:r w:rsidR="009E2271">
        <w:rPr>
          <w:rFonts w:ascii="Arial" w:hAnsi="Arial" w:cs="Arial"/>
        </w:rPr>
        <w:t xml:space="preserve">diabetes </w:t>
      </w:r>
      <w:r w:rsidR="00792A39" w:rsidRPr="001114C2">
        <w:rPr>
          <w:rFonts w:ascii="Arial" w:hAnsi="Arial" w:cs="Arial"/>
        </w:rPr>
        <w:t xml:space="preserve">status </w:t>
      </w:r>
      <w:r w:rsidR="009432F6" w:rsidRPr="001114C2">
        <w:rPr>
          <w:rFonts w:ascii="Arial" w:hAnsi="Arial" w:cs="Arial"/>
        </w:rPr>
        <w:t xml:space="preserve">(duration </w:t>
      </w:r>
      <w:r w:rsidR="009432F6" w:rsidRPr="004208C2">
        <w:rPr>
          <w:rFonts w:ascii="Arial" w:hAnsi="Arial" w:cs="Arial"/>
        </w:rPr>
        <w:t xml:space="preserve">of </w:t>
      </w:r>
      <w:r w:rsidR="004208C2" w:rsidRPr="004208C2">
        <w:rPr>
          <w:rFonts w:ascii="Arial" w:hAnsi="Arial" w:cs="Arial"/>
        </w:rPr>
        <w:t>diabetes</w:t>
      </w:r>
      <w:r w:rsidR="009432F6" w:rsidRPr="001114C2">
        <w:rPr>
          <w:rFonts w:ascii="Arial" w:hAnsi="Arial" w:cs="Arial"/>
        </w:rPr>
        <w:t xml:space="preserve">, </w:t>
      </w:r>
      <w:r w:rsidR="009B1CC7" w:rsidRPr="001114C2">
        <w:rPr>
          <w:rFonts w:ascii="Arial" w:hAnsi="Arial" w:cs="Arial"/>
        </w:rPr>
        <w:t xml:space="preserve">latest </w:t>
      </w:r>
      <w:r w:rsidR="005C68B1" w:rsidRPr="001114C2">
        <w:rPr>
          <w:rFonts w:ascii="Arial" w:hAnsi="Arial" w:cs="Arial"/>
        </w:rPr>
        <w:t>HbA1c</w:t>
      </w:r>
      <w:r w:rsidR="009432F6" w:rsidRPr="001114C2">
        <w:rPr>
          <w:rFonts w:ascii="Arial" w:hAnsi="Arial" w:cs="Arial"/>
        </w:rPr>
        <w:t xml:space="preserve"> </w:t>
      </w:r>
      <w:r w:rsidR="006E6C2D" w:rsidRPr="001114C2">
        <w:rPr>
          <w:rFonts w:ascii="Arial" w:hAnsi="Arial" w:cs="Arial"/>
        </w:rPr>
        <w:t xml:space="preserve">value </w:t>
      </w:r>
      <w:r w:rsidR="009432F6" w:rsidRPr="001114C2">
        <w:rPr>
          <w:rFonts w:ascii="Arial" w:hAnsi="Arial" w:cs="Arial"/>
        </w:rPr>
        <w:t>in the past one month</w:t>
      </w:r>
      <w:r w:rsidR="00AB7362" w:rsidRPr="001114C2">
        <w:rPr>
          <w:rFonts w:ascii="Arial" w:hAnsi="Arial" w:cs="Arial"/>
        </w:rPr>
        <w:t xml:space="preserve">, </w:t>
      </w:r>
      <w:r w:rsidRPr="001114C2">
        <w:rPr>
          <w:rFonts w:ascii="Arial" w:hAnsi="Arial" w:cs="Arial"/>
        </w:rPr>
        <w:t xml:space="preserve">healthcare </w:t>
      </w:r>
      <w:r w:rsidR="009E2271">
        <w:rPr>
          <w:rFonts w:ascii="Arial" w:hAnsi="Arial" w:cs="Arial"/>
        </w:rPr>
        <w:t>institutions</w:t>
      </w:r>
      <w:r w:rsidRPr="001114C2">
        <w:rPr>
          <w:rFonts w:ascii="Arial" w:hAnsi="Arial" w:cs="Arial"/>
        </w:rPr>
        <w:t xml:space="preserve"> </w:t>
      </w:r>
      <w:r w:rsidR="00AB7362" w:rsidRPr="001114C2">
        <w:rPr>
          <w:rFonts w:ascii="Arial" w:hAnsi="Arial" w:cs="Arial"/>
        </w:rPr>
        <w:t xml:space="preserve">for </w:t>
      </w:r>
      <w:r w:rsidR="009E2271">
        <w:rPr>
          <w:rFonts w:ascii="Arial" w:hAnsi="Arial" w:cs="Arial"/>
        </w:rPr>
        <w:t>diabetes</w:t>
      </w:r>
      <w:r w:rsidR="00AB7362" w:rsidRPr="001114C2">
        <w:rPr>
          <w:rFonts w:ascii="Arial" w:hAnsi="Arial" w:cs="Arial"/>
        </w:rPr>
        <w:t xml:space="preserve"> treatment</w:t>
      </w:r>
      <w:r w:rsidR="009432F6" w:rsidRPr="001114C2">
        <w:rPr>
          <w:rFonts w:ascii="Arial" w:hAnsi="Arial" w:cs="Arial"/>
        </w:rPr>
        <w:t>)</w:t>
      </w:r>
      <w:r w:rsidR="002F7CA4">
        <w:rPr>
          <w:rFonts w:ascii="Arial" w:hAnsi="Arial" w:cs="Arial"/>
        </w:rPr>
        <w:t xml:space="preserve">, which </w:t>
      </w:r>
      <w:r w:rsidR="00F203CF" w:rsidRPr="001114C2">
        <w:rPr>
          <w:rFonts w:ascii="Arial" w:hAnsi="Arial" w:cs="Arial"/>
        </w:rPr>
        <w:t xml:space="preserve">were collected </w:t>
      </w:r>
      <w:r w:rsidR="002F7CA4">
        <w:rPr>
          <w:rFonts w:ascii="Arial" w:hAnsi="Arial" w:cs="Arial"/>
        </w:rPr>
        <w:t>at</w:t>
      </w:r>
      <w:r w:rsidR="002F7CA4" w:rsidRPr="001114C2">
        <w:rPr>
          <w:rFonts w:ascii="Arial" w:hAnsi="Arial" w:cs="Arial"/>
        </w:rPr>
        <w:t xml:space="preserve"> </w:t>
      </w:r>
      <w:r w:rsidR="0001495A" w:rsidRPr="001114C2">
        <w:rPr>
          <w:rFonts w:ascii="Arial" w:hAnsi="Arial" w:cs="Arial"/>
        </w:rPr>
        <w:t>the</w:t>
      </w:r>
      <w:r w:rsidR="002D50CC" w:rsidRPr="001114C2">
        <w:rPr>
          <w:rFonts w:ascii="Arial" w:hAnsi="Arial" w:cs="Arial"/>
        </w:rPr>
        <w:t xml:space="preserve"> first clinical visit</w:t>
      </w:r>
      <w:r w:rsidR="0001495A" w:rsidRPr="001114C2">
        <w:rPr>
          <w:rFonts w:ascii="Arial" w:hAnsi="Arial" w:cs="Arial"/>
        </w:rPr>
        <w:t xml:space="preserve"> for </w:t>
      </w:r>
      <w:r w:rsidR="001447B5">
        <w:rPr>
          <w:rFonts w:ascii="Arial" w:hAnsi="Arial" w:cs="Arial"/>
        </w:rPr>
        <w:t xml:space="preserve">foot ulcer </w:t>
      </w:r>
      <w:r w:rsidR="0001495A" w:rsidRPr="001114C2">
        <w:rPr>
          <w:rFonts w:ascii="Arial" w:hAnsi="Arial" w:cs="Arial"/>
        </w:rPr>
        <w:t>treatment</w:t>
      </w:r>
      <w:r w:rsidR="00834571">
        <w:rPr>
          <w:rFonts w:ascii="Arial" w:hAnsi="Arial" w:cs="Arial"/>
        </w:rPr>
        <w:t xml:space="preserve">. </w:t>
      </w:r>
      <w:r w:rsidR="00B8631D" w:rsidRPr="001114C2">
        <w:rPr>
          <w:rFonts w:ascii="Arial" w:hAnsi="Arial" w:cs="Arial"/>
        </w:rPr>
        <w:t xml:space="preserve">The first clinical visit was the first date the patient attended the polyclinics for </w:t>
      </w:r>
      <w:r w:rsidR="001447B5">
        <w:rPr>
          <w:rFonts w:ascii="Arial" w:hAnsi="Arial" w:cs="Arial"/>
        </w:rPr>
        <w:t>foot ulcer</w:t>
      </w:r>
      <w:r w:rsidR="00E34A2A" w:rsidRPr="001114C2">
        <w:rPr>
          <w:rFonts w:ascii="Arial" w:hAnsi="Arial" w:cs="Arial"/>
        </w:rPr>
        <w:t xml:space="preserve"> </w:t>
      </w:r>
      <w:r w:rsidR="00B8631D" w:rsidRPr="001114C2">
        <w:rPr>
          <w:rFonts w:ascii="Arial" w:hAnsi="Arial" w:cs="Arial"/>
        </w:rPr>
        <w:t>care between 1</w:t>
      </w:r>
      <w:r w:rsidR="00B8631D" w:rsidRPr="004208C2">
        <w:rPr>
          <w:rFonts w:ascii="Arial" w:hAnsi="Arial" w:cs="Arial"/>
          <w:vertAlign w:val="superscript"/>
        </w:rPr>
        <w:t>st</w:t>
      </w:r>
      <w:r w:rsidR="00B8631D" w:rsidRPr="001114C2">
        <w:rPr>
          <w:rFonts w:ascii="Arial" w:hAnsi="Arial" w:cs="Arial"/>
        </w:rPr>
        <w:t xml:space="preserve"> April 2016 and 31</w:t>
      </w:r>
      <w:r w:rsidR="00834571" w:rsidRPr="00834571">
        <w:rPr>
          <w:rFonts w:ascii="Arial" w:hAnsi="Arial" w:cs="Arial"/>
          <w:vertAlign w:val="superscript"/>
        </w:rPr>
        <w:t>st</w:t>
      </w:r>
      <w:r w:rsidR="00B8631D" w:rsidRPr="001114C2">
        <w:rPr>
          <w:rFonts w:ascii="Arial" w:hAnsi="Arial" w:cs="Arial"/>
        </w:rPr>
        <w:t xml:space="preserve"> March 2017.</w:t>
      </w:r>
    </w:p>
    <w:p w14:paraId="00F3C958" w14:textId="05A6DDF4" w:rsidR="00951C16" w:rsidRPr="001114C2" w:rsidRDefault="00E34A2A" w:rsidP="00951C16">
      <w:pPr>
        <w:pStyle w:val="ListParagraph"/>
        <w:numPr>
          <w:ilvl w:val="0"/>
          <w:numId w:val="6"/>
        </w:numPr>
        <w:jc w:val="both"/>
        <w:rPr>
          <w:rFonts w:ascii="Arial" w:hAnsi="Arial" w:cs="Arial"/>
        </w:rPr>
      </w:pPr>
      <w:r>
        <w:rPr>
          <w:rFonts w:ascii="Arial" w:hAnsi="Arial" w:cs="Arial"/>
        </w:rPr>
        <w:t>Diabetic foot ulcer</w:t>
      </w:r>
      <w:r w:rsidR="00025CFB" w:rsidRPr="001114C2">
        <w:rPr>
          <w:rFonts w:ascii="Arial" w:hAnsi="Arial" w:cs="Arial"/>
        </w:rPr>
        <w:t xml:space="preserve"> variables </w:t>
      </w:r>
      <w:r w:rsidR="002D50CC" w:rsidRPr="001114C2">
        <w:rPr>
          <w:rFonts w:ascii="Arial" w:hAnsi="Arial" w:cs="Arial"/>
        </w:rPr>
        <w:t xml:space="preserve">were collected on </w:t>
      </w:r>
      <w:r w:rsidR="00EE20A5" w:rsidRPr="001114C2">
        <w:rPr>
          <w:rFonts w:ascii="Arial" w:hAnsi="Arial" w:cs="Arial"/>
        </w:rPr>
        <w:t xml:space="preserve">the </w:t>
      </w:r>
      <w:r w:rsidR="002D50CC" w:rsidRPr="001114C2">
        <w:rPr>
          <w:rFonts w:ascii="Arial" w:hAnsi="Arial" w:cs="Arial"/>
        </w:rPr>
        <w:t xml:space="preserve">first clinical visit </w:t>
      </w:r>
      <w:r w:rsidR="00EE20A5" w:rsidRPr="001114C2">
        <w:rPr>
          <w:rFonts w:ascii="Arial" w:hAnsi="Arial" w:cs="Arial"/>
        </w:rPr>
        <w:t xml:space="preserve">and included </w:t>
      </w:r>
      <w:r w:rsidR="00025CFB" w:rsidRPr="001114C2">
        <w:rPr>
          <w:rFonts w:ascii="Arial" w:hAnsi="Arial" w:cs="Arial"/>
        </w:rPr>
        <w:t xml:space="preserve">wound </w:t>
      </w:r>
      <w:r w:rsidR="00834571">
        <w:rPr>
          <w:rFonts w:ascii="Arial" w:hAnsi="Arial" w:cs="Arial"/>
        </w:rPr>
        <w:t>sizes (</w:t>
      </w:r>
      <w:r w:rsidR="008D1640" w:rsidRPr="001114C2">
        <w:rPr>
          <w:rFonts w:ascii="Arial" w:hAnsi="Arial" w:cs="Arial"/>
        </w:rPr>
        <w:t>areas</w:t>
      </w:r>
      <w:r w:rsidR="00834571">
        <w:rPr>
          <w:rFonts w:ascii="Arial" w:hAnsi="Arial" w:cs="Arial"/>
        </w:rPr>
        <w:t>)</w:t>
      </w:r>
      <w:r w:rsidR="001A511B" w:rsidRPr="001114C2">
        <w:rPr>
          <w:rFonts w:ascii="Arial" w:hAnsi="Arial" w:cs="Arial"/>
        </w:rPr>
        <w:t xml:space="preserve"> (cm</w:t>
      </w:r>
      <w:r w:rsidR="001A511B" w:rsidRPr="001114C2">
        <w:rPr>
          <w:rFonts w:ascii="Arial" w:hAnsi="Arial" w:cs="Arial"/>
          <w:vertAlign w:val="superscript"/>
        </w:rPr>
        <w:t>2</w:t>
      </w:r>
      <w:r w:rsidR="001A511B" w:rsidRPr="001114C2">
        <w:rPr>
          <w:rFonts w:ascii="Arial" w:hAnsi="Arial" w:cs="Arial"/>
        </w:rPr>
        <w:t>)</w:t>
      </w:r>
      <w:r w:rsidR="00025CFB" w:rsidRPr="001114C2">
        <w:rPr>
          <w:rFonts w:ascii="Arial" w:hAnsi="Arial" w:cs="Arial"/>
        </w:rPr>
        <w:t xml:space="preserve">, </w:t>
      </w:r>
      <w:r w:rsidR="00C42CAF" w:rsidRPr="001114C2">
        <w:rPr>
          <w:rFonts w:ascii="Arial" w:hAnsi="Arial" w:cs="Arial"/>
        </w:rPr>
        <w:t xml:space="preserve">duration, locations, </w:t>
      </w:r>
      <w:r w:rsidR="00025CFB" w:rsidRPr="001114C2">
        <w:rPr>
          <w:rFonts w:ascii="Arial" w:hAnsi="Arial" w:cs="Arial"/>
        </w:rPr>
        <w:t>type</w:t>
      </w:r>
      <w:r w:rsidR="00542B47" w:rsidRPr="001114C2">
        <w:rPr>
          <w:rFonts w:ascii="Arial" w:hAnsi="Arial" w:cs="Arial"/>
        </w:rPr>
        <w:t xml:space="preserve"> </w:t>
      </w:r>
      <w:r w:rsidR="00C42CAF" w:rsidRPr="001114C2">
        <w:rPr>
          <w:rFonts w:ascii="Arial" w:hAnsi="Arial" w:cs="Arial"/>
        </w:rPr>
        <w:t xml:space="preserve">of ulcer </w:t>
      </w:r>
      <w:r w:rsidR="001A511B" w:rsidRPr="001114C2">
        <w:rPr>
          <w:rFonts w:ascii="Arial" w:hAnsi="Arial" w:cs="Arial"/>
        </w:rPr>
        <w:t xml:space="preserve">(neuropathic, ischemic and </w:t>
      </w:r>
      <w:proofErr w:type="spellStart"/>
      <w:r w:rsidR="001A511B" w:rsidRPr="001114C2">
        <w:rPr>
          <w:rFonts w:ascii="Arial" w:hAnsi="Arial" w:cs="Arial"/>
        </w:rPr>
        <w:t>neuroischemic</w:t>
      </w:r>
      <w:proofErr w:type="spellEnd"/>
      <w:r w:rsidR="001A511B" w:rsidRPr="001114C2">
        <w:rPr>
          <w:rFonts w:ascii="Arial" w:hAnsi="Arial" w:cs="Arial"/>
        </w:rPr>
        <w:t xml:space="preserve"> ulcer)</w:t>
      </w:r>
      <w:r w:rsidR="00C0253C" w:rsidRPr="001114C2">
        <w:rPr>
          <w:rFonts w:ascii="Arial" w:hAnsi="Arial" w:cs="Arial"/>
        </w:rPr>
        <w:t xml:space="preserve"> based on </w:t>
      </w:r>
      <w:r w:rsidR="00C7527D" w:rsidRPr="001114C2">
        <w:rPr>
          <w:rFonts w:ascii="Arial" w:hAnsi="Arial" w:cs="Arial"/>
        </w:rPr>
        <w:t xml:space="preserve">definition of wound </w:t>
      </w:r>
      <w:r w:rsidR="00C0253C" w:rsidRPr="001114C2">
        <w:rPr>
          <w:rFonts w:ascii="Arial" w:hAnsi="Arial" w:cs="Arial"/>
        </w:rPr>
        <w:t xml:space="preserve">etiology </w:t>
      </w:r>
      <w:r w:rsidR="008C56F4" w:rsidRPr="001114C2">
        <w:rPr>
          <w:rFonts w:ascii="Arial" w:hAnsi="Arial" w:cs="Arial"/>
        </w:rPr>
        <w:fldChar w:fldCharType="begin" w:fldLock="1"/>
      </w:r>
      <w:r w:rsidR="002E2FD7">
        <w:rPr>
          <w:rFonts w:ascii="Arial" w:hAnsi="Arial" w:cs="Arial"/>
        </w:rPr>
        <w:instrText>ADDIN CSL_CITATION {"citationItems":[{"id":"ITEM-1","itemData":{"author":[{"dropping-particle":"","family":"Bus","given":"S A","non-dropping-particle":"","parse-names":false,"suffix":""},{"dropping-particle":"","family":"Netten","given":"J J","non-dropping-particle":"Van","parse-names":false,"suffix":""},{"dropping-particle":"","family":"Lavery","given":"L A","non-dropping-particle":"","parse-names":false,"suffix":""},{"dropping-particle":"","family":"Monteiro-Soares","given":"; M","non-dropping-particle":"","parse-names":false,"suffix":""},{"dropping-particle":"","family":"Rasmussen","given":"; A","non-dropping-particle":"","parse-names":false,"suffix":""},{"dropping-particle":"","family":"Jubiz","given":"Y","non-dropping-particle":"","parse-names":false,"suffix":""},{"dropping-particle":"","family":"Price","given":"P E","non-dropping-particle":"","parse-names":false,"suffix":""}],"container-title":"International Working Group on the Diabetic Foot","id":"ITEM-1","issued":{"date-parts":[["2015"]]},"title":"IWGDF Guidance on the prevention of foot ulcers in at-risk patients with diabetes on the Diabetic Foot","type":"article-journal"},"uris":["http://www.mendeley.com/documents/?uuid=ed16899f-b79a-3afc-aec8-1461ac12d5a6"]}],"mendeley":{"formattedCitation":"&lt;sup&gt;23&lt;/sup&gt;","plainTextFormattedCitation":"23","previouslyFormattedCitation":"&lt;sup&gt;23&lt;/sup&gt;"},"properties":{"noteIndex":0},"schema":"https://github.com/citation-style-language/schema/raw/master/csl-citation.json"}</w:instrText>
      </w:r>
      <w:r w:rsidR="008C56F4" w:rsidRPr="001114C2">
        <w:rPr>
          <w:rFonts w:ascii="Arial" w:hAnsi="Arial" w:cs="Arial"/>
        </w:rPr>
        <w:fldChar w:fldCharType="separate"/>
      </w:r>
      <w:r w:rsidR="002E2FD7" w:rsidRPr="002E2FD7">
        <w:rPr>
          <w:rFonts w:ascii="Arial" w:hAnsi="Arial" w:cs="Arial"/>
          <w:noProof/>
          <w:vertAlign w:val="superscript"/>
        </w:rPr>
        <w:t>23</w:t>
      </w:r>
      <w:r w:rsidR="008C56F4" w:rsidRPr="001114C2">
        <w:rPr>
          <w:rFonts w:ascii="Arial" w:hAnsi="Arial" w:cs="Arial"/>
        </w:rPr>
        <w:fldChar w:fldCharType="end"/>
      </w:r>
      <w:r w:rsidR="00C42CAF" w:rsidRPr="001114C2">
        <w:rPr>
          <w:rFonts w:ascii="Arial" w:hAnsi="Arial" w:cs="Arial"/>
        </w:rPr>
        <w:t xml:space="preserve">. </w:t>
      </w:r>
      <w:r w:rsidR="00231E2D" w:rsidRPr="001114C2">
        <w:rPr>
          <w:rFonts w:ascii="Arial" w:hAnsi="Arial" w:cs="Arial"/>
        </w:rPr>
        <w:t xml:space="preserve">Wound </w:t>
      </w:r>
      <w:r w:rsidR="006329B0" w:rsidRPr="001114C2">
        <w:rPr>
          <w:rFonts w:ascii="Arial" w:hAnsi="Arial" w:cs="Arial"/>
        </w:rPr>
        <w:t xml:space="preserve">sizes </w:t>
      </w:r>
      <w:r w:rsidR="00231E2D" w:rsidRPr="001114C2">
        <w:rPr>
          <w:rFonts w:ascii="Arial" w:hAnsi="Arial" w:cs="Arial"/>
        </w:rPr>
        <w:t xml:space="preserve">were </w:t>
      </w:r>
      <w:r>
        <w:rPr>
          <w:rFonts w:ascii="Arial" w:hAnsi="Arial" w:cs="Arial"/>
        </w:rPr>
        <w:t>calculated</w:t>
      </w:r>
      <w:r w:rsidRPr="001114C2">
        <w:rPr>
          <w:rFonts w:ascii="Arial" w:hAnsi="Arial" w:cs="Arial"/>
        </w:rPr>
        <w:t xml:space="preserve"> </w:t>
      </w:r>
      <w:r w:rsidR="006329B0" w:rsidRPr="001114C2">
        <w:rPr>
          <w:rFonts w:ascii="Arial" w:hAnsi="Arial" w:cs="Arial"/>
        </w:rPr>
        <w:t xml:space="preserve">by </w:t>
      </w:r>
      <w:r w:rsidR="00231E2D" w:rsidRPr="001114C2">
        <w:rPr>
          <w:rFonts w:ascii="Arial" w:hAnsi="Arial" w:cs="Arial"/>
        </w:rPr>
        <w:t>multiply</w:t>
      </w:r>
      <w:r w:rsidR="006329B0" w:rsidRPr="001114C2">
        <w:rPr>
          <w:rFonts w:ascii="Arial" w:hAnsi="Arial" w:cs="Arial"/>
        </w:rPr>
        <w:t>ing the longest</w:t>
      </w:r>
      <w:r w:rsidR="00231E2D" w:rsidRPr="001114C2">
        <w:rPr>
          <w:rFonts w:ascii="Arial" w:hAnsi="Arial" w:cs="Arial"/>
        </w:rPr>
        <w:t xml:space="preserve"> </w:t>
      </w:r>
      <w:r w:rsidR="006329B0" w:rsidRPr="001114C2">
        <w:rPr>
          <w:rFonts w:ascii="Arial" w:hAnsi="Arial" w:cs="Arial"/>
        </w:rPr>
        <w:t xml:space="preserve">and </w:t>
      </w:r>
      <w:r w:rsidR="00231E2D" w:rsidRPr="001114C2">
        <w:rPr>
          <w:rFonts w:ascii="Arial" w:hAnsi="Arial" w:cs="Arial"/>
        </w:rPr>
        <w:t>widest perpendicular</w:t>
      </w:r>
      <w:r w:rsidR="006329B0" w:rsidRPr="001114C2">
        <w:rPr>
          <w:rFonts w:ascii="Arial" w:hAnsi="Arial" w:cs="Arial"/>
        </w:rPr>
        <w:t xml:space="preserve"> areas</w:t>
      </w:r>
      <w:r w:rsidR="00231E2D" w:rsidRPr="001114C2">
        <w:rPr>
          <w:rFonts w:ascii="Arial" w:hAnsi="Arial" w:cs="Arial"/>
        </w:rPr>
        <w:t xml:space="preserve"> </w:t>
      </w:r>
      <w:r w:rsidR="004208C2">
        <w:rPr>
          <w:rFonts w:ascii="Arial" w:hAnsi="Arial" w:cs="Arial"/>
        </w:rPr>
        <w:t>since</w:t>
      </w:r>
      <w:r w:rsidR="00C7527D" w:rsidRPr="001114C2">
        <w:rPr>
          <w:rFonts w:ascii="Arial" w:hAnsi="Arial" w:cs="Arial"/>
        </w:rPr>
        <w:t xml:space="preserve"> </w:t>
      </w:r>
      <w:r w:rsidR="00231E2D" w:rsidRPr="001114C2">
        <w:rPr>
          <w:rFonts w:ascii="Arial" w:hAnsi="Arial" w:cs="Arial"/>
        </w:rPr>
        <w:t xml:space="preserve">this method </w:t>
      </w:r>
      <w:r w:rsidR="007A29D2" w:rsidRPr="001114C2">
        <w:rPr>
          <w:rFonts w:ascii="Arial" w:hAnsi="Arial" w:cs="Arial"/>
        </w:rPr>
        <w:t>is most commonly used and</w:t>
      </w:r>
      <w:r w:rsidR="00231E2D" w:rsidRPr="001114C2">
        <w:rPr>
          <w:rFonts w:ascii="Arial" w:hAnsi="Arial" w:cs="Arial"/>
        </w:rPr>
        <w:t xml:space="preserve"> described as most reliable</w:t>
      </w:r>
      <w:r w:rsidR="006329B0" w:rsidRPr="001114C2">
        <w:rPr>
          <w:rFonts w:ascii="Arial" w:hAnsi="Arial" w:cs="Arial"/>
        </w:rPr>
        <w:t xml:space="preserve"> in the literature</w:t>
      </w:r>
      <w:r w:rsidR="00EE20A5" w:rsidRPr="001114C2">
        <w:rPr>
          <w:rFonts w:ascii="Arial" w:hAnsi="Arial" w:cs="Arial"/>
        </w:rPr>
        <w:t xml:space="preserve"> </w:t>
      </w:r>
      <w:r w:rsidR="00231E2D" w:rsidRPr="001114C2">
        <w:rPr>
          <w:rFonts w:ascii="Arial" w:hAnsi="Arial" w:cs="Arial"/>
        </w:rPr>
        <w:fldChar w:fldCharType="begin" w:fldLock="1"/>
      </w:r>
      <w:r w:rsidR="002E2FD7">
        <w:rPr>
          <w:rFonts w:ascii="Arial" w:hAnsi="Arial" w:cs="Arial"/>
        </w:rPr>
        <w:instrText>ADDIN CSL_CITATION {"citationItems":[{"id":"ITEM-1","itemData":{"ISBN":"0781774446","abstract":"Designed for health care professionals in multiple disciplines and clinical settings, this comprehensive, evidence-based wound care text provides basic and advanced information on wound healing and therapies and emphasizes clinical decision-making. The text integrates the latest scientific findings with principles of good wound care and provides a complete set of current, evidence-based practices. This edition features a new chapter on wound pain management and a chapter showing how to use negative pressure therapy on many types of hard-to-heal wounds. Technological advances covered include ultrasound for wound debridement, laser treatments, and a single-patient-use disposable device for delivering pulsed radio frequency.","author":[{"dropping-particle":"","family":"Sussman","given":"Carrie","non-dropping-particle":"","parse-names":false,"suffix":""},{"dropping-particle":"","family":"Bates-Jensen","given":"Barbara M","non-dropping-particle":"","parse-names":false,"suffix":""}],"edition":"Third Edit","id":"ITEM-1","issued":{"date-parts":[["2007"]]},"number-of-pages":"720","publisher":"Lippincott Williams &amp; Wilkins, Philadelphia","title":"Wound Care: A Collaborative Practice Manual","type":"book"},"uris":["http://www.mendeley.com/documents/?uuid=e56d59b4-be92-3965-a24b-ceaff44b1069"]}],"mendeley":{"formattedCitation":"&lt;sup&gt;24&lt;/sup&gt;","plainTextFormattedCitation":"24","previouslyFormattedCitation":"&lt;sup&gt;24&lt;/sup&gt;"},"properties":{"noteIndex":0},"schema":"https://github.com/citation-style-language/schema/raw/master/csl-citation.json"}</w:instrText>
      </w:r>
      <w:r w:rsidR="00231E2D" w:rsidRPr="001114C2">
        <w:rPr>
          <w:rFonts w:ascii="Arial" w:hAnsi="Arial" w:cs="Arial"/>
        </w:rPr>
        <w:fldChar w:fldCharType="separate"/>
      </w:r>
      <w:r w:rsidR="002E2FD7" w:rsidRPr="002E2FD7">
        <w:rPr>
          <w:rFonts w:ascii="Arial" w:hAnsi="Arial" w:cs="Arial"/>
          <w:noProof/>
          <w:vertAlign w:val="superscript"/>
        </w:rPr>
        <w:t>24</w:t>
      </w:r>
      <w:r w:rsidR="00231E2D" w:rsidRPr="001114C2">
        <w:rPr>
          <w:rFonts w:ascii="Arial" w:hAnsi="Arial" w:cs="Arial"/>
        </w:rPr>
        <w:fldChar w:fldCharType="end"/>
      </w:r>
      <w:r w:rsidR="00231E2D" w:rsidRPr="001114C2">
        <w:rPr>
          <w:rFonts w:ascii="Arial" w:hAnsi="Arial" w:cs="Arial"/>
        </w:rPr>
        <w:t xml:space="preserve">. </w:t>
      </w:r>
      <w:r w:rsidR="00C42CAF" w:rsidRPr="001114C2">
        <w:rPr>
          <w:rFonts w:ascii="Arial" w:hAnsi="Arial" w:cs="Arial"/>
        </w:rPr>
        <w:t xml:space="preserve">Ischemic </w:t>
      </w:r>
      <w:r w:rsidR="001447B5">
        <w:rPr>
          <w:rFonts w:ascii="Arial" w:hAnsi="Arial" w:cs="Arial"/>
        </w:rPr>
        <w:t>ulcer</w:t>
      </w:r>
      <w:r>
        <w:rPr>
          <w:rFonts w:ascii="Arial" w:hAnsi="Arial" w:cs="Arial"/>
        </w:rPr>
        <w:t>s</w:t>
      </w:r>
      <w:r w:rsidR="007501F0" w:rsidRPr="001114C2">
        <w:rPr>
          <w:rFonts w:ascii="Arial" w:hAnsi="Arial" w:cs="Arial"/>
        </w:rPr>
        <w:t xml:space="preserve"> </w:t>
      </w:r>
      <w:r w:rsidRPr="001114C2">
        <w:rPr>
          <w:rFonts w:ascii="Arial" w:hAnsi="Arial" w:cs="Arial"/>
        </w:rPr>
        <w:t>w</w:t>
      </w:r>
      <w:r>
        <w:rPr>
          <w:rFonts w:ascii="Arial" w:hAnsi="Arial" w:cs="Arial"/>
        </w:rPr>
        <w:t>ere</w:t>
      </w:r>
      <w:r w:rsidRPr="001114C2">
        <w:rPr>
          <w:rFonts w:ascii="Arial" w:hAnsi="Arial" w:cs="Arial"/>
        </w:rPr>
        <w:t xml:space="preserve"> </w:t>
      </w:r>
      <w:r w:rsidR="00C42CAF" w:rsidRPr="001114C2">
        <w:rPr>
          <w:rFonts w:ascii="Arial" w:hAnsi="Arial" w:cs="Arial"/>
        </w:rPr>
        <w:t xml:space="preserve">recorded if peripheral artery disease was evident </w:t>
      </w:r>
      <w:r w:rsidR="007501F0" w:rsidRPr="001114C2">
        <w:rPr>
          <w:rFonts w:ascii="Arial" w:hAnsi="Arial" w:cs="Arial"/>
        </w:rPr>
        <w:t>based on</w:t>
      </w:r>
      <w:r w:rsidR="00C42CAF" w:rsidRPr="001114C2">
        <w:rPr>
          <w:rFonts w:ascii="Arial" w:hAnsi="Arial" w:cs="Arial"/>
        </w:rPr>
        <w:t xml:space="preserve"> the diagnosis in the patient record or as either toe blood pressure &lt; 50mmHg, ankle pressure &lt; 90mmHg, ankle</w:t>
      </w:r>
      <w:r w:rsidR="00C42CAF" w:rsidRPr="001114C2">
        <w:rPr>
          <w:rFonts w:ascii="Cambria Math" w:hAnsi="Cambria Math" w:cs="Cambria Math"/>
        </w:rPr>
        <w:t>‐</w:t>
      </w:r>
      <w:r w:rsidR="007501F0" w:rsidRPr="001114C2">
        <w:rPr>
          <w:rFonts w:ascii="Arial" w:hAnsi="Arial" w:cs="Arial"/>
        </w:rPr>
        <w:t>brachial index &lt;0.</w:t>
      </w:r>
      <w:r w:rsidR="00C42CAF" w:rsidRPr="001114C2">
        <w:rPr>
          <w:rFonts w:ascii="Arial" w:hAnsi="Arial" w:cs="Arial"/>
        </w:rPr>
        <w:t>9</w:t>
      </w:r>
      <w:r w:rsidR="007501F0" w:rsidRPr="001114C2">
        <w:rPr>
          <w:rFonts w:ascii="Arial" w:hAnsi="Arial" w:cs="Arial"/>
        </w:rPr>
        <w:t>0</w:t>
      </w:r>
      <w:r w:rsidR="00C42CAF" w:rsidRPr="001114C2">
        <w:rPr>
          <w:rFonts w:ascii="Arial" w:hAnsi="Arial" w:cs="Arial"/>
        </w:rPr>
        <w:t>, toe-brachial index &lt;0.70, an</w:t>
      </w:r>
      <w:r w:rsidR="00EE432B">
        <w:rPr>
          <w:rFonts w:ascii="Arial" w:hAnsi="Arial" w:cs="Arial"/>
        </w:rPr>
        <w:t xml:space="preserve">d/or absence of </w:t>
      </w:r>
      <w:proofErr w:type="gramStart"/>
      <w:r w:rsidR="00EE432B">
        <w:rPr>
          <w:rFonts w:ascii="Arial" w:hAnsi="Arial" w:cs="Arial"/>
        </w:rPr>
        <w:t>two foot</w:t>
      </w:r>
      <w:proofErr w:type="gramEnd"/>
      <w:r w:rsidR="00EE432B">
        <w:rPr>
          <w:rFonts w:ascii="Arial" w:hAnsi="Arial" w:cs="Arial"/>
        </w:rPr>
        <w:t xml:space="preserve"> pulses</w:t>
      </w:r>
      <w:r w:rsidR="00C42CAF" w:rsidRPr="001114C2">
        <w:rPr>
          <w:rFonts w:ascii="Arial" w:hAnsi="Arial" w:cs="Arial"/>
        </w:rPr>
        <w:t>.</w:t>
      </w:r>
      <w:r w:rsidR="00F834B2" w:rsidRPr="001114C2">
        <w:rPr>
          <w:rFonts w:ascii="Arial" w:hAnsi="Arial" w:cs="Arial"/>
        </w:rPr>
        <w:t xml:space="preserve"> </w:t>
      </w:r>
    </w:p>
    <w:p w14:paraId="5A578500" w14:textId="5C39850D" w:rsidR="00871578" w:rsidRPr="001114C2" w:rsidRDefault="006329B0" w:rsidP="00871578">
      <w:pPr>
        <w:pStyle w:val="ListParagraph"/>
        <w:numPr>
          <w:ilvl w:val="0"/>
          <w:numId w:val="6"/>
        </w:numPr>
        <w:jc w:val="both"/>
        <w:rPr>
          <w:rFonts w:ascii="Arial" w:hAnsi="Arial" w:cs="Arial"/>
        </w:rPr>
      </w:pPr>
      <w:r w:rsidRPr="001114C2">
        <w:rPr>
          <w:rFonts w:ascii="Arial" w:hAnsi="Arial" w:cs="Arial"/>
        </w:rPr>
        <w:t>O</w:t>
      </w:r>
      <w:r w:rsidR="00025CFB" w:rsidRPr="001114C2">
        <w:rPr>
          <w:rFonts w:ascii="Arial" w:hAnsi="Arial" w:cs="Arial"/>
        </w:rPr>
        <w:t>th</w:t>
      </w:r>
      <w:r w:rsidR="009432F6" w:rsidRPr="001114C2">
        <w:rPr>
          <w:rFonts w:ascii="Arial" w:hAnsi="Arial" w:cs="Arial"/>
        </w:rPr>
        <w:t>er healing-related variables</w:t>
      </w:r>
      <w:r w:rsidR="00542B47" w:rsidRPr="001114C2">
        <w:rPr>
          <w:rFonts w:ascii="Arial" w:hAnsi="Arial" w:cs="Arial"/>
        </w:rPr>
        <w:t xml:space="preserve"> </w:t>
      </w:r>
      <w:r w:rsidR="002D50CC" w:rsidRPr="001114C2">
        <w:rPr>
          <w:rFonts w:ascii="Arial" w:hAnsi="Arial" w:cs="Arial"/>
        </w:rPr>
        <w:t xml:space="preserve">were also collected on </w:t>
      </w:r>
      <w:r w:rsidRPr="001114C2">
        <w:rPr>
          <w:rFonts w:ascii="Arial" w:hAnsi="Arial" w:cs="Arial"/>
        </w:rPr>
        <w:t xml:space="preserve">the </w:t>
      </w:r>
      <w:r w:rsidR="002D50CC" w:rsidRPr="001114C2">
        <w:rPr>
          <w:rFonts w:ascii="Arial" w:hAnsi="Arial" w:cs="Arial"/>
        </w:rPr>
        <w:t xml:space="preserve">first clinical visit </w:t>
      </w:r>
      <w:r w:rsidRPr="001114C2">
        <w:rPr>
          <w:rFonts w:ascii="Arial" w:hAnsi="Arial" w:cs="Arial"/>
        </w:rPr>
        <w:t xml:space="preserve">and </w:t>
      </w:r>
      <w:r w:rsidR="00AF6F2E">
        <w:rPr>
          <w:rFonts w:ascii="Arial" w:hAnsi="Arial" w:cs="Arial"/>
        </w:rPr>
        <w:t>included</w:t>
      </w:r>
      <w:r w:rsidR="00AF6F2E" w:rsidRPr="001114C2">
        <w:rPr>
          <w:rFonts w:ascii="Arial" w:hAnsi="Arial" w:cs="Arial"/>
        </w:rPr>
        <w:t xml:space="preserve"> </w:t>
      </w:r>
      <w:r w:rsidR="0062407C" w:rsidRPr="001114C2">
        <w:rPr>
          <w:rFonts w:ascii="Arial" w:hAnsi="Arial" w:cs="Arial"/>
        </w:rPr>
        <w:t>history</w:t>
      </w:r>
      <w:r w:rsidR="00025CFB" w:rsidRPr="001114C2">
        <w:rPr>
          <w:rFonts w:ascii="Arial" w:hAnsi="Arial" w:cs="Arial"/>
        </w:rPr>
        <w:t xml:space="preserve"> of </w:t>
      </w:r>
      <w:r w:rsidR="000C6D52" w:rsidRPr="001114C2">
        <w:rPr>
          <w:rFonts w:ascii="Arial" w:hAnsi="Arial" w:cs="Arial"/>
        </w:rPr>
        <w:t xml:space="preserve">previous </w:t>
      </w:r>
      <w:r w:rsidR="001447B5">
        <w:rPr>
          <w:rFonts w:ascii="Arial" w:hAnsi="Arial" w:cs="Arial"/>
        </w:rPr>
        <w:t>diabetic foot ulcer</w:t>
      </w:r>
      <w:r w:rsidR="00E34A2A">
        <w:rPr>
          <w:rFonts w:ascii="Arial" w:hAnsi="Arial" w:cs="Arial"/>
        </w:rPr>
        <w:t>s</w:t>
      </w:r>
      <w:r w:rsidR="00025CFB" w:rsidRPr="001114C2">
        <w:rPr>
          <w:rFonts w:ascii="Arial" w:hAnsi="Arial" w:cs="Arial"/>
        </w:rPr>
        <w:t xml:space="preserve">, </w:t>
      </w:r>
      <w:r w:rsidR="000C6D52" w:rsidRPr="001114C2">
        <w:rPr>
          <w:rFonts w:ascii="Arial" w:hAnsi="Arial" w:cs="Arial"/>
        </w:rPr>
        <w:t xml:space="preserve">previous </w:t>
      </w:r>
      <w:r w:rsidR="00025CFB" w:rsidRPr="001114C2">
        <w:rPr>
          <w:rFonts w:ascii="Arial" w:hAnsi="Arial" w:cs="Arial"/>
        </w:rPr>
        <w:t xml:space="preserve">amputation, end stage renal </w:t>
      </w:r>
      <w:r w:rsidR="001F5EF0">
        <w:rPr>
          <w:rFonts w:ascii="Arial" w:hAnsi="Arial" w:cs="Arial"/>
        </w:rPr>
        <w:t>failure</w:t>
      </w:r>
      <w:r w:rsidR="00025CFB" w:rsidRPr="001114C2">
        <w:rPr>
          <w:rFonts w:ascii="Arial" w:hAnsi="Arial" w:cs="Arial"/>
        </w:rPr>
        <w:t xml:space="preserve">, </w:t>
      </w:r>
      <w:r w:rsidR="00731A65" w:rsidRPr="001114C2">
        <w:rPr>
          <w:rFonts w:ascii="Arial" w:hAnsi="Arial" w:cs="Arial"/>
        </w:rPr>
        <w:t>frequency of</w:t>
      </w:r>
      <w:r w:rsidR="000C6D52" w:rsidRPr="001114C2">
        <w:rPr>
          <w:rFonts w:ascii="Arial" w:hAnsi="Arial" w:cs="Arial"/>
        </w:rPr>
        <w:t xml:space="preserve"> </w:t>
      </w:r>
      <w:r w:rsidR="00025CFB" w:rsidRPr="001114C2">
        <w:rPr>
          <w:rFonts w:ascii="Arial" w:hAnsi="Arial" w:cs="Arial"/>
        </w:rPr>
        <w:t>diabetic foot screening</w:t>
      </w:r>
      <w:r w:rsidR="00450B13" w:rsidRPr="001114C2">
        <w:rPr>
          <w:rFonts w:ascii="Arial" w:hAnsi="Arial" w:cs="Arial"/>
        </w:rPr>
        <w:t xml:space="preserve"> and</w:t>
      </w:r>
      <w:r w:rsidR="00EC62CD" w:rsidRPr="001114C2">
        <w:rPr>
          <w:rFonts w:ascii="Arial" w:hAnsi="Arial" w:cs="Arial"/>
        </w:rPr>
        <w:t xml:space="preserve"> </w:t>
      </w:r>
      <w:r w:rsidR="00450B13" w:rsidRPr="001114C2">
        <w:rPr>
          <w:rFonts w:ascii="Arial" w:hAnsi="Arial" w:cs="Arial"/>
        </w:rPr>
        <w:t>referral to emergency department</w:t>
      </w:r>
      <w:r w:rsidR="0062407C" w:rsidRPr="001114C2">
        <w:rPr>
          <w:rFonts w:ascii="Arial" w:hAnsi="Arial" w:cs="Arial"/>
        </w:rPr>
        <w:t xml:space="preserve">. “Referral to </w:t>
      </w:r>
      <w:r w:rsidR="001F5EF0" w:rsidRPr="001114C2">
        <w:rPr>
          <w:rFonts w:ascii="Arial" w:hAnsi="Arial" w:cs="Arial"/>
        </w:rPr>
        <w:lastRenderedPageBreak/>
        <w:t>emergency department</w:t>
      </w:r>
      <w:r w:rsidR="00F834B2" w:rsidRPr="001114C2">
        <w:rPr>
          <w:rFonts w:ascii="Arial" w:hAnsi="Arial" w:cs="Arial"/>
        </w:rPr>
        <w:t>” was recorded if a</w:t>
      </w:r>
      <w:r w:rsidR="00EC62CD" w:rsidRPr="001114C2">
        <w:rPr>
          <w:rFonts w:ascii="Arial" w:hAnsi="Arial" w:cs="Arial"/>
        </w:rPr>
        <w:t xml:space="preserve"> patient with </w:t>
      </w:r>
      <w:r w:rsidR="001447B5">
        <w:rPr>
          <w:rFonts w:ascii="Arial" w:hAnsi="Arial" w:cs="Arial"/>
        </w:rPr>
        <w:t>diabetic foot ulcer</w:t>
      </w:r>
      <w:r w:rsidR="00EC62CD" w:rsidRPr="001114C2">
        <w:rPr>
          <w:rFonts w:ascii="Arial" w:hAnsi="Arial" w:cs="Arial"/>
        </w:rPr>
        <w:t xml:space="preserve"> was re</w:t>
      </w:r>
      <w:r w:rsidR="008F5118" w:rsidRPr="001114C2">
        <w:rPr>
          <w:rFonts w:ascii="Arial" w:hAnsi="Arial" w:cs="Arial"/>
        </w:rPr>
        <w:t xml:space="preserve">ferred to </w:t>
      </w:r>
      <w:r w:rsidR="001F5EF0" w:rsidRPr="001114C2">
        <w:rPr>
          <w:rFonts w:ascii="Arial" w:hAnsi="Arial" w:cs="Arial"/>
        </w:rPr>
        <w:t>emergency department</w:t>
      </w:r>
      <w:r w:rsidR="008F5118" w:rsidRPr="001114C2">
        <w:rPr>
          <w:rFonts w:ascii="Arial" w:hAnsi="Arial" w:cs="Arial"/>
        </w:rPr>
        <w:t xml:space="preserve"> on the first clinical visit because the </w:t>
      </w:r>
      <w:r w:rsidR="001447B5">
        <w:rPr>
          <w:rFonts w:ascii="Arial" w:hAnsi="Arial" w:cs="Arial"/>
        </w:rPr>
        <w:t>foot ulcer</w:t>
      </w:r>
      <w:r w:rsidR="008F5118" w:rsidRPr="001114C2">
        <w:rPr>
          <w:rFonts w:ascii="Arial" w:hAnsi="Arial" w:cs="Arial"/>
        </w:rPr>
        <w:t xml:space="preserve"> </w:t>
      </w:r>
      <w:r w:rsidR="00EC62CD" w:rsidRPr="001114C2">
        <w:rPr>
          <w:rFonts w:ascii="Arial" w:hAnsi="Arial" w:cs="Arial"/>
        </w:rPr>
        <w:t>was severely inf</w:t>
      </w:r>
      <w:r w:rsidR="00F834B2" w:rsidRPr="001114C2">
        <w:rPr>
          <w:rFonts w:ascii="Arial" w:hAnsi="Arial" w:cs="Arial"/>
        </w:rPr>
        <w:t xml:space="preserve">ected or critically ischemic. </w:t>
      </w:r>
    </w:p>
    <w:p w14:paraId="3BF0C299" w14:textId="5965D23B" w:rsidR="0016103B" w:rsidRPr="000738D9" w:rsidRDefault="00E34A2A" w:rsidP="001133C1">
      <w:pPr>
        <w:pStyle w:val="ListParagraph"/>
        <w:numPr>
          <w:ilvl w:val="0"/>
          <w:numId w:val="6"/>
        </w:numPr>
        <w:jc w:val="both"/>
        <w:rPr>
          <w:rFonts w:ascii="Arial" w:hAnsi="Arial" w:cs="Arial"/>
        </w:rPr>
      </w:pPr>
      <w:r w:rsidRPr="000738D9">
        <w:rPr>
          <w:rFonts w:ascii="Arial" w:hAnsi="Arial" w:cs="Arial"/>
        </w:rPr>
        <w:t xml:space="preserve">Diabetic foot ulcer </w:t>
      </w:r>
      <w:r w:rsidR="009B2853" w:rsidRPr="000738D9">
        <w:rPr>
          <w:rFonts w:ascii="Arial" w:hAnsi="Arial" w:cs="Arial"/>
        </w:rPr>
        <w:t>healing</w:t>
      </w:r>
      <w:r w:rsidR="0080636E" w:rsidRPr="000738D9">
        <w:rPr>
          <w:rFonts w:ascii="Arial" w:hAnsi="Arial" w:cs="Arial"/>
        </w:rPr>
        <w:t xml:space="preserve"> </w:t>
      </w:r>
      <w:r w:rsidR="001369C7" w:rsidRPr="000738D9">
        <w:rPr>
          <w:rFonts w:ascii="Arial" w:hAnsi="Arial" w:cs="Arial"/>
        </w:rPr>
        <w:t>outcomes</w:t>
      </w:r>
      <w:r w:rsidR="00EC62CD" w:rsidRPr="000738D9">
        <w:rPr>
          <w:rFonts w:ascii="Arial" w:hAnsi="Arial" w:cs="Arial"/>
        </w:rPr>
        <w:t xml:space="preserve"> </w:t>
      </w:r>
      <w:r w:rsidR="000738D9">
        <w:rPr>
          <w:rFonts w:ascii="Arial" w:hAnsi="Arial" w:cs="Arial"/>
        </w:rPr>
        <w:t>were</w:t>
      </w:r>
      <w:r w:rsidR="001369C7" w:rsidRPr="000738D9">
        <w:rPr>
          <w:rFonts w:ascii="Arial" w:hAnsi="Arial" w:cs="Arial"/>
        </w:rPr>
        <w:t xml:space="preserve"> collected between the firs</w:t>
      </w:r>
      <w:r w:rsidR="008140A5">
        <w:rPr>
          <w:rFonts w:ascii="Arial" w:hAnsi="Arial" w:cs="Arial"/>
        </w:rPr>
        <w:t>t clinical visit until their foot ulcer</w:t>
      </w:r>
      <w:r w:rsidR="001369C7" w:rsidRPr="000738D9">
        <w:rPr>
          <w:rFonts w:ascii="Arial" w:hAnsi="Arial" w:cs="Arial"/>
        </w:rPr>
        <w:t xml:space="preserve"> healed or not at the </w:t>
      </w:r>
      <w:r w:rsidR="006B6990" w:rsidRPr="000738D9">
        <w:rPr>
          <w:rFonts w:ascii="Arial" w:hAnsi="Arial" w:cs="Arial"/>
        </w:rPr>
        <w:t>3</w:t>
      </w:r>
      <w:r w:rsidR="006B6990">
        <w:rPr>
          <w:rFonts w:ascii="Arial" w:hAnsi="Arial" w:cs="Arial"/>
        </w:rPr>
        <w:t xml:space="preserve"> month</w:t>
      </w:r>
      <w:r w:rsidR="00894CA4">
        <w:rPr>
          <w:rFonts w:ascii="Arial" w:hAnsi="Arial" w:cs="Arial"/>
        </w:rPr>
        <w:t>s</w:t>
      </w:r>
      <w:r w:rsidR="001369C7" w:rsidRPr="000738D9">
        <w:rPr>
          <w:rFonts w:ascii="Arial" w:hAnsi="Arial" w:cs="Arial"/>
        </w:rPr>
        <w:t xml:space="preserve"> study period</w:t>
      </w:r>
      <w:r w:rsidR="000738D9">
        <w:rPr>
          <w:rFonts w:ascii="Arial" w:hAnsi="Arial" w:cs="Arial"/>
        </w:rPr>
        <w:t xml:space="preserve">, and </w:t>
      </w:r>
      <w:r w:rsidR="00DC23A9">
        <w:rPr>
          <w:rFonts w:ascii="Arial" w:hAnsi="Arial" w:cs="Arial"/>
        </w:rPr>
        <w:t xml:space="preserve">was </w:t>
      </w:r>
      <w:r w:rsidR="000738D9">
        <w:rPr>
          <w:rFonts w:ascii="Arial" w:hAnsi="Arial" w:cs="Arial"/>
        </w:rPr>
        <w:t xml:space="preserve">recorded as: </w:t>
      </w:r>
      <w:r w:rsidR="00EC62CD" w:rsidRPr="000738D9">
        <w:rPr>
          <w:rFonts w:ascii="Arial" w:hAnsi="Arial" w:cs="Arial"/>
        </w:rPr>
        <w:t>1</w:t>
      </w:r>
      <w:r w:rsidR="00C57A15" w:rsidRPr="000738D9">
        <w:rPr>
          <w:rFonts w:ascii="Arial" w:hAnsi="Arial" w:cs="Arial"/>
        </w:rPr>
        <w:t xml:space="preserve">) </w:t>
      </w:r>
      <w:r w:rsidR="0080636E" w:rsidRPr="000738D9">
        <w:rPr>
          <w:rFonts w:ascii="Arial" w:hAnsi="Arial" w:cs="Arial"/>
        </w:rPr>
        <w:t xml:space="preserve">healed, </w:t>
      </w:r>
      <w:r w:rsidR="00EC62CD" w:rsidRPr="000738D9">
        <w:rPr>
          <w:rFonts w:ascii="Arial" w:hAnsi="Arial" w:cs="Arial"/>
        </w:rPr>
        <w:t>2</w:t>
      </w:r>
      <w:r w:rsidR="00C57A15" w:rsidRPr="000738D9">
        <w:rPr>
          <w:rFonts w:ascii="Arial" w:hAnsi="Arial" w:cs="Arial"/>
        </w:rPr>
        <w:t xml:space="preserve">) </w:t>
      </w:r>
      <w:r w:rsidR="0080636E" w:rsidRPr="000738D9">
        <w:rPr>
          <w:rFonts w:ascii="Arial" w:hAnsi="Arial" w:cs="Arial"/>
        </w:rPr>
        <w:t xml:space="preserve">healing in progress, </w:t>
      </w:r>
      <w:r w:rsidR="00EC62CD" w:rsidRPr="000738D9">
        <w:rPr>
          <w:rFonts w:ascii="Arial" w:hAnsi="Arial" w:cs="Arial"/>
        </w:rPr>
        <w:t>3</w:t>
      </w:r>
      <w:r w:rsidR="00C57A15" w:rsidRPr="000738D9">
        <w:rPr>
          <w:rFonts w:ascii="Arial" w:hAnsi="Arial" w:cs="Arial"/>
        </w:rPr>
        <w:t xml:space="preserve">) </w:t>
      </w:r>
      <w:r w:rsidR="0080636E" w:rsidRPr="000738D9">
        <w:rPr>
          <w:rFonts w:ascii="Arial" w:hAnsi="Arial" w:cs="Arial"/>
        </w:rPr>
        <w:t xml:space="preserve">minor amputation, </w:t>
      </w:r>
      <w:r w:rsidR="00EC62CD" w:rsidRPr="000738D9">
        <w:rPr>
          <w:rFonts w:ascii="Arial" w:hAnsi="Arial" w:cs="Arial"/>
        </w:rPr>
        <w:t>4</w:t>
      </w:r>
      <w:r w:rsidR="00C57A15" w:rsidRPr="000738D9">
        <w:rPr>
          <w:rFonts w:ascii="Arial" w:hAnsi="Arial" w:cs="Arial"/>
        </w:rPr>
        <w:t xml:space="preserve">) </w:t>
      </w:r>
      <w:r w:rsidR="0080636E" w:rsidRPr="000738D9">
        <w:rPr>
          <w:rFonts w:ascii="Arial" w:hAnsi="Arial" w:cs="Arial"/>
        </w:rPr>
        <w:t>major amputation</w:t>
      </w:r>
      <w:r w:rsidR="00EC62CD" w:rsidRPr="000738D9">
        <w:rPr>
          <w:rFonts w:ascii="Arial" w:hAnsi="Arial" w:cs="Arial"/>
        </w:rPr>
        <w:t>, and 5</w:t>
      </w:r>
      <w:r w:rsidR="00C57A15" w:rsidRPr="000738D9">
        <w:rPr>
          <w:rFonts w:ascii="Arial" w:hAnsi="Arial" w:cs="Arial"/>
        </w:rPr>
        <w:t xml:space="preserve">) </w:t>
      </w:r>
      <w:r w:rsidR="0080636E" w:rsidRPr="000738D9">
        <w:rPr>
          <w:rFonts w:ascii="Arial" w:hAnsi="Arial" w:cs="Arial"/>
        </w:rPr>
        <w:t>death</w:t>
      </w:r>
      <w:r w:rsidR="00DC23A9">
        <w:rPr>
          <w:rFonts w:ascii="Arial" w:hAnsi="Arial" w:cs="Arial"/>
        </w:rPr>
        <w:t>/</w:t>
      </w:r>
      <w:r w:rsidR="00C57A15" w:rsidRPr="000738D9">
        <w:rPr>
          <w:rFonts w:ascii="Arial" w:hAnsi="Arial" w:cs="Arial"/>
        </w:rPr>
        <w:t>unhealed</w:t>
      </w:r>
      <w:r w:rsidR="00EC62CD" w:rsidRPr="000738D9">
        <w:rPr>
          <w:rFonts w:ascii="Arial" w:hAnsi="Arial" w:cs="Arial"/>
        </w:rPr>
        <w:t xml:space="preserve">. </w:t>
      </w:r>
      <w:r w:rsidR="006069D8" w:rsidRPr="000738D9">
        <w:rPr>
          <w:rFonts w:ascii="Arial" w:hAnsi="Arial" w:cs="Arial"/>
        </w:rPr>
        <w:t>A wound was considered healed if the skin was intact on the whole foot</w:t>
      </w:r>
      <w:r w:rsidR="00093AFF" w:rsidRPr="000738D9">
        <w:rPr>
          <w:rFonts w:ascii="Arial" w:hAnsi="Arial" w:cs="Arial"/>
        </w:rPr>
        <w:t xml:space="preserve"> </w:t>
      </w:r>
      <w:r w:rsidR="00093AFF" w:rsidRPr="000738D9">
        <w:rPr>
          <w:rFonts w:ascii="Arial" w:hAnsi="Arial" w:cs="Arial"/>
        </w:rPr>
        <w:fldChar w:fldCharType="begin" w:fldLock="1"/>
      </w:r>
      <w:r w:rsidR="002E2FD7">
        <w:rPr>
          <w:rFonts w:ascii="Arial" w:hAnsi="Arial" w:cs="Arial"/>
        </w:rPr>
        <w:instrText>ADDIN CSL_CITATION {"citationItems":[{"id":"ITEM-1","itemData":{"DOI":"10.1007/s00125-008-0940-0","ISSN":"0012-186X","PMID":"18297261","abstract":"AIMS/HYPOTHESIS Outcome data on individuals with diabetic foot ulcers are scarce, especially in those with peripheral arterial disease (PAD). We therefore examined the clinical characteristics that best predict poor outcome in a large population of diabetic foot ulcer patients and examined whether such predictors differ between patients with and without PAD. METHODS Analyses were conducted within the EURODIALE Study, a prospective cohort study of 1,088 diabetic foot ulcer patients across 14 centres in Europe. Multiple logistic regression modelling was used to identify independent predictors of outcome (i.e. non-healing of the foot ulcer). RESULTS After 1 year of follow-up, 23% of the patients had not healed. Independent baseline predictors of non-healing in the whole study population were older age, male sex, heart failure, the inability to stand or walk without help, end-stage renal disease, larger ulcer size, peripheral neuropathy and PAD. When analyses were performed according to PAD status, infection emerged as a specific predictor of non-healing in PAD patients only. CONCLUSIONS/INTERPRETATION Predictors of healing differ between patients with and without PAD, suggesting that diabetic foot ulcers with or without concomitant PAD should be defined as two separate disease states. The observed negative impact of infection on healing that was confined to patients with PAD needs further investigation.","author":[{"dropping-particle":"","family":"Prompers","given":"L","non-dropping-particle":"","parse-names":false,"suffix":""},{"dropping-particle":"","family":"Schaper","given":"N","non-dropping-particle":"","parse-names":false,"suffix":""},{"dropping-particle":"","family":"Apelqvist","given":"J","non-dropping-particle":"","parse-names":false,"suffix":""},{"dropping-particle":"","family":"Edmonds","given":"M","non-dropping-particle":"","parse-names":false,"suffix":""},{"dropping-particle":"","family":"Jude","given":"E","non-dropping-particle":"","parse-names":false,"suffix":""},{"dropping-particle":"","family":"Mauricio","given":"D","non-dropping-particle":"","parse-names":false,"suffix":""},{"dropping-particle":"","family":"Uccioli","given":"L","non-dropping-particle":"","parse-names":false,"suffix":""},{"dropping-particle":"","family":"Urbancic","given":"V","non-dropping-particle":"","parse-names":false,"suffix":""},{"dropping-particle":"","family":"Bakker","given":"K","non-dropping-particle":"","parse-names":false,"suffix":""},{"dropping-particle":"","family":"Holstein","given":"P","non-dropping-particle":"","parse-names":false,"suffix":""},{"dropping-particle":"","family":"Jirkovska","given":"A","non-dropping-particle":"","parse-names":false,"suffix":""},{"dropping-particle":"","family":"Piaggesi","given":"A","non-dropping-particle":"","parse-names":false,"suffix":""},{"dropping-particle":"","family":"Ragnarson-Tennvall","given":"G","non-dropping-particle":"","parse-names":false,"suffix":""},{"dropping-particle":"","family":"Reike","given":"H","non-dropping-particle":"","parse-names":false,"suffix":""},{"dropping-particle":"","family":"Spraul","given":"M","non-dropping-particle":"","parse-names":false,"suffix":""},{"dropping-particle":"","family":"Acker","given":"K","non-dropping-particle":"Van","parse-names":false,"suffix":""},{"dropping-particle":"","family":"Baal","given":"J","non-dropping-particle":"Van","parse-names":false,"suffix":""},{"dropping-particle":"","family":"Merode","given":"F","non-dropping-particle":"Van","parse-names":false,"suffix":""},{"dropping-particle":"","family":"Ferreira","given":"I","non-dropping-particle":"","parse-names":false,"suffix":""},{"dropping-particle":"","family":"Huijberts","given":"M","non-dropping-particle":"","parse-names":false,"suffix":""}],"container-title":"Diabetologia","id":"ITEM-1","issue":"5","issued":{"date-parts":[["2008","5"]]},"page":"747-55","publisher":"Springer","title":"Prediction of outcome in individuals with diabetic foot ulcers: focus on the differences between individuals with and without peripheral arterial disease. The EURODIALE Study.","type":"article-journal","volume":"51"},"uris":["http://www.mendeley.com/documents/?uuid=ff51226d-f9e3-30ed-b649-c128a112777c"]}],"mendeley":{"formattedCitation":"&lt;sup&gt;8&lt;/sup&gt;","plainTextFormattedCitation":"8","previouslyFormattedCitation":"&lt;sup&gt;8&lt;/sup&gt;"},"properties":{"noteIndex":0},"schema":"https://github.com/citation-style-language/schema/raw/master/csl-citation.json"}</w:instrText>
      </w:r>
      <w:r w:rsidR="00093AFF" w:rsidRPr="000738D9">
        <w:rPr>
          <w:rFonts w:ascii="Arial" w:hAnsi="Arial" w:cs="Arial"/>
        </w:rPr>
        <w:fldChar w:fldCharType="separate"/>
      </w:r>
      <w:r w:rsidR="002E2FD7" w:rsidRPr="002E2FD7">
        <w:rPr>
          <w:rFonts w:ascii="Arial" w:hAnsi="Arial" w:cs="Arial"/>
          <w:noProof/>
          <w:vertAlign w:val="superscript"/>
        </w:rPr>
        <w:t>8</w:t>
      </w:r>
      <w:r w:rsidR="00093AFF" w:rsidRPr="000738D9">
        <w:rPr>
          <w:rFonts w:ascii="Arial" w:hAnsi="Arial" w:cs="Arial"/>
        </w:rPr>
        <w:fldChar w:fldCharType="end"/>
      </w:r>
      <w:r w:rsidR="006069D8" w:rsidRPr="000738D9">
        <w:rPr>
          <w:rFonts w:ascii="Arial" w:hAnsi="Arial" w:cs="Arial"/>
        </w:rPr>
        <w:t xml:space="preserve">. </w:t>
      </w:r>
      <w:r w:rsidR="00924361" w:rsidRPr="000738D9">
        <w:rPr>
          <w:rFonts w:ascii="Arial" w:hAnsi="Arial" w:cs="Arial"/>
        </w:rPr>
        <w:t>Death</w:t>
      </w:r>
      <w:r w:rsidR="00DC23A9">
        <w:rPr>
          <w:rFonts w:ascii="Arial" w:hAnsi="Arial" w:cs="Arial"/>
        </w:rPr>
        <w:t>/</w:t>
      </w:r>
      <w:r w:rsidR="00924361" w:rsidRPr="000738D9">
        <w:rPr>
          <w:rFonts w:ascii="Arial" w:hAnsi="Arial" w:cs="Arial"/>
        </w:rPr>
        <w:t>unhealed was defined as death without healing</w:t>
      </w:r>
      <w:r w:rsidR="0050357F" w:rsidRPr="000738D9">
        <w:rPr>
          <w:rFonts w:ascii="Arial" w:hAnsi="Arial" w:cs="Arial"/>
        </w:rPr>
        <w:t xml:space="preserve"> within 3 months from the first </w:t>
      </w:r>
      <w:r w:rsidR="00B17C53" w:rsidRPr="000738D9">
        <w:rPr>
          <w:rFonts w:ascii="Arial" w:hAnsi="Arial" w:cs="Arial"/>
        </w:rPr>
        <w:t>clinical</w:t>
      </w:r>
      <w:r w:rsidR="00557615" w:rsidRPr="000738D9">
        <w:rPr>
          <w:rFonts w:ascii="Arial" w:hAnsi="Arial" w:cs="Arial"/>
        </w:rPr>
        <w:t xml:space="preserve"> visit</w:t>
      </w:r>
      <w:r w:rsidR="00B17C53" w:rsidRPr="000738D9">
        <w:rPr>
          <w:rFonts w:ascii="Arial" w:hAnsi="Arial" w:cs="Arial"/>
        </w:rPr>
        <w:t xml:space="preserve"> </w:t>
      </w:r>
      <w:r w:rsidR="00924361" w:rsidRPr="000738D9">
        <w:rPr>
          <w:rFonts w:ascii="Arial" w:hAnsi="Arial" w:cs="Arial"/>
        </w:rPr>
        <w:fldChar w:fldCharType="begin" w:fldLock="1"/>
      </w:r>
      <w:r w:rsidR="002E2FD7">
        <w:rPr>
          <w:rFonts w:ascii="Arial" w:hAnsi="Arial" w:cs="Arial"/>
        </w:rPr>
        <w:instrText>ADDIN CSL_CITATION {"citationItems":[{"id":"ITEM-1","itemData":{"DOI":"10.1016/j.jvs.2011.02.006","ISSN":"10976809","abstract":"Objectives: Peripheral vascular disease (PVD) is an important limiting factor for healing in neuroischemic or ischemic diabetic foot ulcer. The purpose of this study was to identify factors related to healing in patients with diabetes with foot ulcers and severe PVD. Methods: Patients with diabetes with a foot ulcer, consecutively presenting at a multidisciplinary foot center with a systolic toe pressure &lt;45 mm Hg or an ankle pressure &lt;80 mm Hg were prospectively included, followed according to a preset program, and with the exception of specified exclusions, subjected to angiography offered vascular intervention when applicable. All patients had continuous follow-up until healing or death irrespective of the type of vascular intervention. Results: One thousand one hundred fifty-one patients were included. Eighty-two percent had a toe pressure &lt;45 mm Hg and 49% had an ankle pressure &lt;80 mm Hg. Eight hundred one patients (70%) underwent an angiography. Out of these, 63% had vascular intervention, either percutaneous transluminal angioplasty (PTA; 39%) or reconstructive surgery (24%). Nine percent of the patients had one or more complications after angiography. PTA was multisegmental in 46% and to the crural arteries in 46%. Reconstructive surgery was distal in 51%. Age (P &lt; .001), renal function impairment (P = .005), congestive heart failure (P = .01), number and type of ulcer (P &lt; .001), and severity of PVD (P = .003) affected the outcome of ulcers. PTA and reconstructive vascular surgery increased the probability of healing without amputation (odds ratio [OR], 1.77 and 2.05, respectively). Conclusion: Probability of ulcer healing is strongly related to comorbidity, extent of tissue involvement, and severity of PVD in patients with diabetes with severe PVD. © 2011 Society for Vascular Surgery.","author":[{"dropping-particle":"","family":"Apelqvist","given":"Jan","non-dropping-particle":"","parse-names":false,"suffix":""},{"dropping-particle":"","family":"Elgzyri","given":"Targ","non-dropping-particle":"","parse-names":false,"suffix":""},{"dropping-particle":"","family":"Larsson","given":"Jan","non-dropping-particle":"","parse-names":false,"suffix":""},{"dropping-particle":"","family":"Lndahl","given":"Magnus","non-dropping-particle":"","parse-names":false,"suffix":""},{"dropping-particle":"","family":"Nyberg","given":"Per","non-dropping-particle":"","parse-names":false,"suffix":""},{"dropping-particle":"","family":"Thrne","given":"Johan","non-dropping-particle":"","parse-names":false,"suffix":""}],"container-title":"Journal of Vascular Surgery","id":"ITEM-1","issue":"6","issued":{"date-parts":[["2011"]]},"publisher":"Mosby Inc.","title":"Factors related to outcome of neuroischemic/ischemic foot ulcer in diabetic patients","type":"article-journal","volume":"53"},"uris":["http://www.mendeley.com/documents/?uuid=f040d4bf-d169-38f4-b427-b1bcdb57fe4f"]}],"mendeley":{"formattedCitation":"&lt;sup&gt;25&lt;/sup&gt;","plainTextFormattedCitation":"25","previouslyFormattedCitation":"&lt;sup&gt;25&lt;/sup&gt;"},"properties":{"noteIndex":0},"schema":"https://github.com/citation-style-language/schema/raw/master/csl-citation.json"}</w:instrText>
      </w:r>
      <w:r w:rsidR="00924361" w:rsidRPr="000738D9">
        <w:rPr>
          <w:rFonts w:ascii="Arial" w:hAnsi="Arial" w:cs="Arial"/>
        </w:rPr>
        <w:fldChar w:fldCharType="separate"/>
      </w:r>
      <w:r w:rsidR="002E2FD7" w:rsidRPr="002E2FD7">
        <w:rPr>
          <w:rFonts w:ascii="Arial" w:hAnsi="Arial" w:cs="Arial"/>
          <w:noProof/>
          <w:vertAlign w:val="superscript"/>
        </w:rPr>
        <w:t>25</w:t>
      </w:r>
      <w:r w:rsidR="00924361" w:rsidRPr="000738D9">
        <w:rPr>
          <w:rFonts w:ascii="Arial" w:hAnsi="Arial" w:cs="Arial"/>
        </w:rPr>
        <w:fldChar w:fldCharType="end"/>
      </w:r>
      <w:r w:rsidR="006069D8" w:rsidRPr="000738D9">
        <w:rPr>
          <w:rFonts w:ascii="Arial" w:hAnsi="Arial" w:cs="Arial"/>
        </w:rPr>
        <w:t xml:space="preserve">. </w:t>
      </w:r>
    </w:p>
    <w:p w14:paraId="60261F43" w14:textId="77777777" w:rsidR="00EE6D9D" w:rsidRPr="00B00ABE" w:rsidRDefault="00EE6D9D" w:rsidP="0016103B">
      <w:pPr>
        <w:jc w:val="both"/>
        <w:rPr>
          <w:i/>
        </w:rPr>
      </w:pPr>
    </w:p>
    <w:p w14:paraId="762114F5" w14:textId="4AB8260E" w:rsidR="0016103B" w:rsidRPr="00297423" w:rsidRDefault="00810CE2" w:rsidP="0016103B">
      <w:pPr>
        <w:jc w:val="both"/>
        <w:rPr>
          <w:b/>
          <w:i/>
        </w:rPr>
      </w:pPr>
      <w:r w:rsidRPr="00297423">
        <w:rPr>
          <w:b/>
          <w:i/>
        </w:rPr>
        <w:t xml:space="preserve">Statistical </w:t>
      </w:r>
      <w:r w:rsidR="0016103B" w:rsidRPr="00297423">
        <w:rPr>
          <w:b/>
          <w:i/>
        </w:rPr>
        <w:t>analysis</w:t>
      </w:r>
    </w:p>
    <w:p w14:paraId="61684D4D" w14:textId="77777777" w:rsidR="00926E8F" w:rsidRPr="001114C2" w:rsidRDefault="00926E8F" w:rsidP="00EE35C7">
      <w:pPr>
        <w:spacing w:line="240" w:lineRule="auto"/>
        <w:jc w:val="both"/>
        <w:rPr>
          <w:b/>
          <w:bCs/>
          <w:lang w:val="en-SG"/>
        </w:rPr>
      </w:pPr>
    </w:p>
    <w:p w14:paraId="31EA4EB4" w14:textId="58B8B7F1" w:rsidR="004560B2" w:rsidRPr="001114C2" w:rsidRDefault="004560B2" w:rsidP="00EE35C7">
      <w:pPr>
        <w:jc w:val="both"/>
        <w:rPr>
          <w:lang w:val="en-SG"/>
        </w:rPr>
      </w:pPr>
      <w:r w:rsidRPr="001114C2">
        <w:rPr>
          <w:lang w:val="en-SG"/>
        </w:rPr>
        <w:t>Descriptive statistics was used to describe the overall baseline characteristics of patients. Continuous variables were reported as mean and standard deviation (SD), and categorical variables were reported as frequencies and percentages. The proportion (or prevalence) of healing within</w:t>
      </w:r>
      <w:r w:rsidR="00E418C8" w:rsidRPr="001114C2">
        <w:rPr>
          <w:lang w:val="en-SG"/>
        </w:rPr>
        <w:t xml:space="preserve"> 3</w:t>
      </w:r>
      <w:r w:rsidRPr="001114C2">
        <w:rPr>
          <w:lang w:val="en-SG"/>
        </w:rPr>
        <w:t xml:space="preserve"> months was calculated for each included factor. The numerator for prevalence was the number of individuals healed within </w:t>
      </w:r>
      <w:r w:rsidR="00E418C8" w:rsidRPr="001114C2">
        <w:rPr>
          <w:lang w:val="en-SG"/>
        </w:rPr>
        <w:t>3</w:t>
      </w:r>
      <w:r w:rsidRPr="001114C2">
        <w:rPr>
          <w:lang w:val="en-SG"/>
        </w:rPr>
        <w:t xml:space="preserve"> months’ time-period.</w:t>
      </w:r>
    </w:p>
    <w:p w14:paraId="04DA2FC1" w14:textId="77777777" w:rsidR="004560B2" w:rsidRPr="001114C2" w:rsidRDefault="004560B2" w:rsidP="004560B2">
      <w:pPr>
        <w:spacing w:line="360" w:lineRule="auto"/>
        <w:jc w:val="both"/>
        <w:rPr>
          <w:lang w:val="en-SG"/>
        </w:rPr>
      </w:pPr>
    </w:p>
    <w:p w14:paraId="4166A2DB" w14:textId="22F6212A" w:rsidR="004560B2" w:rsidRPr="001114C2" w:rsidRDefault="004959BD" w:rsidP="00EE35C7">
      <w:pPr>
        <w:jc w:val="both"/>
        <w:rPr>
          <w:lang w:val="en-SG"/>
        </w:rPr>
      </w:pPr>
      <w:r>
        <w:rPr>
          <w:lang w:val="en-SG"/>
        </w:rPr>
        <w:t>The researchers</w:t>
      </w:r>
      <w:r w:rsidR="004560B2" w:rsidRPr="001114C2">
        <w:rPr>
          <w:lang w:val="en-SG"/>
        </w:rPr>
        <w:t xml:space="preserve"> calculated prevalence ratios rather than odds ratios to prevent overestimation in measuring strength of association</w:t>
      </w:r>
      <w:r w:rsidR="003858C5">
        <w:rPr>
          <w:lang w:val="en-SG"/>
        </w:rPr>
        <w:t xml:space="preserve"> </w:t>
      </w:r>
      <w:r w:rsidR="00C7527D" w:rsidRPr="001114C2">
        <w:rPr>
          <w:lang w:val="en-SG"/>
        </w:rPr>
        <w:fldChar w:fldCharType="begin" w:fldLock="1"/>
      </w:r>
      <w:r w:rsidR="002E2FD7">
        <w:rPr>
          <w:lang w:val="en-SG"/>
        </w:rPr>
        <w:instrText>ADDIN CSL_CITATION {"citationItems":[{"id":"ITEM-1","itemData":{"DOI":"10.1002/sim.7059","ISSN":"10970258","PMID":"27460748","abstract":"Odds ratio, risk ratio, and prevalence ratio are some of the measures of association which are often reported in research studies quantifying the relationship between an independent variable and the outcome of interest. There has been much debate on the issue of which measure is appropriate to report depending on the study design. However, the literature on selecting a particular category of the outcome to be modeled and/or change in reference group for categorical independent variables and the effect on statistical significance, although known, is scantly discussed nor published with examples. In this article, we provide an example of a cross-sectional study wherein prevalence ratio was chosen over (Prevalence) odds ratio and demonstrate the analytic implications of the choice of category to be modeled and choice of reference level for independent variables. Copyright © 2016 John Wiley &amp; Sons, Ltd.","author":[{"dropping-particle":"","family":"Tamhane","given":"Ashutosh R.","non-dropping-particle":"","parse-names":false,"suffix":""},{"dropping-particle":"","family":"Westfall","given":"Andrew O.","non-dropping-particle":"","parse-names":false,"suffix":""},{"dropping-particle":"","family":"Burkholder","given":"Greer A.","non-dropping-particle":"","parse-names":false,"suffix":""},{"dropping-particle":"","family":"Cutter","given":"Gary R.","non-dropping-particle":"","parse-names":false,"suffix":""}],"container-title":"Statistics in Medicine","id":"ITEM-1","issue":"30","issued":{"date-parts":[["2016","12","30"]]},"page":"5730-5735","publisher":"John Wiley and Sons Ltd","title":"Prevalence odds ratio versus prevalence ratio: choice comes with consequences","type":"article-journal","volume":"35"},"uris":["http://www.mendeley.com/documents/?uuid=b05ab6d0-9362-3b93-bf92-49ee3fa37c3e"]}],"mendeley":{"formattedCitation":"&lt;sup&gt;26&lt;/sup&gt;","plainTextFormattedCitation":"26","previouslyFormattedCitation":"&lt;sup&gt;26&lt;/sup&gt;"},"properties":{"noteIndex":0},"schema":"https://github.com/citation-style-language/schema/raw/master/csl-citation.json"}</w:instrText>
      </w:r>
      <w:r w:rsidR="00C7527D" w:rsidRPr="001114C2">
        <w:rPr>
          <w:lang w:val="en-SG"/>
        </w:rPr>
        <w:fldChar w:fldCharType="separate"/>
      </w:r>
      <w:r w:rsidR="002E2FD7" w:rsidRPr="002E2FD7">
        <w:rPr>
          <w:noProof/>
          <w:vertAlign w:val="superscript"/>
          <w:lang w:val="en-SG"/>
        </w:rPr>
        <w:t>26</w:t>
      </w:r>
      <w:r w:rsidR="00C7527D" w:rsidRPr="001114C2">
        <w:rPr>
          <w:lang w:val="en-SG"/>
        </w:rPr>
        <w:fldChar w:fldCharType="end"/>
      </w:r>
      <w:r w:rsidR="00C7527D" w:rsidRPr="001114C2">
        <w:rPr>
          <w:lang w:val="en-SG"/>
        </w:rPr>
        <w:t>.</w:t>
      </w:r>
      <w:r w:rsidR="004560B2" w:rsidRPr="001114C2">
        <w:rPr>
          <w:lang w:val="en-SG"/>
        </w:rPr>
        <w:t xml:space="preserve"> Prevalence ratio indicates how large is the prevalence of an event/outcome in one group of individuals with characteristics relative to the group without the characteristics. </w:t>
      </w:r>
      <w:r w:rsidR="006A638A" w:rsidRPr="001114C2">
        <w:rPr>
          <w:lang w:val="en-SG"/>
        </w:rPr>
        <w:t xml:space="preserve">A </w:t>
      </w:r>
      <w:r w:rsidR="004560B2" w:rsidRPr="001114C2">
        <w:rPr>
          <w:lang w:val="en-SG"/>
        </w:rPr>
        <w:t>Poisson regression with robust variance based on Huber’s sandwich estimat</w:t>
      </w:r>
      <w:r w:rsidR="004405C2" w:rsidRPr="001114C2">
        <w:rPr>
          <w:lang w:val="en-SG"/>
        </w:rPr>
        <w:t xml:space="preserve">or </w:t>
      </w:r>
      <w:r w:rsidR="004405C2" w:rsidRPr="001114C2">
        <w:rPr>
          <w:lang w:val="en-SG"/>
        </w:rPr>
        <w:fldChar w:fldCharType="begin" w:fldLock="1"/>
      </w:r>
      <w:r w:rsidR="002E2FD7">
        <w:rPr>
          <w:lang w:val="en-SG"/>
        </w:rPr>
        <w:instrText>ADDIN CSL_CITATION {"citationItems":[{"id":"ITEM-1","itemData":{"DOI":"10.1016/S0731-9053(03)17003-X","ISBN":"0762310758","ISSN":"07319053","abstract":"This article examines the history, development, and application of the sandwich estimate of variance. In describing this estimator, we pay attention to applications that have appeared in the literature and examine the nature of the problems for which this estimator is used. We describe various adjustments to the estimate for use with small samples, and illustrate the estimator's construction for a variety of models. Finally, we discuss interpretation of results. © 2003 Elsevier Ltd. All rights reserved.","author":[{"dropping-particle":"","family":"Hardin","given":"James W.","non-dropping-particle":"","parse-names":false,"suffix":""}],"container-title":"Advances in Econometrics","id":"ITEM-1","issued":{"date-parts":[["2003"]]},"page":"45-73","publisher":"Emerald Group Publishing Limited","title":"THE SANDWICH ESTIMATE OF VARIANCE","type":"article","volume":"17"},"uris":["http://www.mendeley.com/documents/?uuid=ed197c65-93c8-3a46-99c3-735855c275ee"]}],"mendeley":{"formattedCitation":"&lt;sup&gt;27&lt;/sup&gt;","plainTextFormattedCitation":"27","previouslyFormattedCitation":"&lt;sup&gt;27&lt;/sup&gt;"},"properties":{"noteIndex":0},"schema":"https://github.com/citation-style-language/schema/raw/master/csl-citation.json"}</w:instrText>
      </w:r>
      <w:r w:rsidR="004405C2" w:rsidRPr="001114C2">
        <w:rPr>
          <w:lang w:val="en-SG"/>
        </w:rPr>
        <w:fldChar w:fldCharType="separate"/>
      </w:r>
      <w:r w:rsidR="002E2FD7" w:rsidRPr="002E2FD7">
        <w:rPr>
          <w:noProof/>
          <w:vertAlign w:val="superscript"/>
          <w:lang w:val="en-SG"/>
        </w:rPr>
        <w:t>27</w:t>
      </w:r>
      <w:r w:rsidR="004405C2" w:rsidRPr="001114C2">
        <w:rPr>
          <w:lang w:val="en-SG"/>
        </w:rPr>
        <w:fldChar w:fldCharType="end"/>
      </w:r>
      <w:r w:rsidR="004405C2" w:rsidRPr="001114C2">
        <w:rPr>
          <w:lang w:val="en-SG"/>
        </w:rPr>
        <w:t xml:space="preserve"> </w:t>
      </w:r>
      <w:r w:rsidR="004560B2" w:rsidRPr="001114C2">
        <w:rPr>
          <w:lang w:val="en-SG"/>
        </w:rPr>
        <w:t>was performed to examine the association between healing with</w:t>
      </w:r>
      <w:r w:rsidR="00B71FE3" w:rsidRPr="001114C2">
        <w:rPr>
          <w:lang w:val="en-SG"/>
        </w:rPr>
        <w:t>in</w:t>
      </w:r>
      <w:r w:rsidR="004560B2" w:rsidRPr="001114C2">
        <w:rPr>
          <w:lang w:val="en-SG"/>
        </w:rPr>
        <w:t xml:space="preserve"> </w:t>
      </w:r>
      <w:r w:rsidR="00E418C8" w:rsidRPr="001114C2">
        <w:rPr>
          <w:lang w:val="en-SG"/>
        </w:rPr>
        <w:t>3</w:t>
      </w:r>
      <w:r w:rsidR="004560B2" w:rsidRPr="001114C2">
        <w:rPr>
          <w:lang w:val="en-SG"/>
        </w:rPr>
        <w:t xml:space="preserve"> months and </w:t>
      </w:r>
      <w:r w:rsidR="006A638A" w:rsidRPr="001114C2">
        <w:rPr>
          <w:lang w:val="en-SG"/>
        </w:rPr>
        <w:t xml:space="preserve">patient </w:t>
      </w:r>
      <w:r w:rsidR="008140A5">
        <w:rPr>
          <w:lang w:val="en-SG"/>
        </w:rPr>
        <w:t>demographic, ulcer status</w:t>
      </w:r>
      <w:r w:rsidR="004560B2" w:rsidRPr="001114C2">
        <w:rPr>
          <w:lang w:val="en-SG"/>
        </w:rPr>
        <w:t xml:space="preserve">, and other clinical factors. The results of </w:t>
      </w:r>
      <w:r w:rsidR="006A638A" w:rsidRPr="001114C2">
        <w:rPr>
          <w:lang w:val="en-SG"/>
        </w:rPr>
        <w:t xml:space="preserve">the </w:t>
      </w:r>
      <w:r w:rsidR="004560B2" w:rsidRPr="001114C2">
        <w:rPr>
          <w:lang w:val="en-SG"/>
        </w:rPr>
        <w:t>Poisson regression are presented as prevalence ratios (PRs), 95% confidence intervals (CIs). Univariable and multivariable regression models were fitted to explore the strength of association. To en</w:t>
      </w:r>
      <w:r>
        <w:rPr>
          <w:lang w:val="en-SG"/>
        </w:rPr>
        <w:t>sure validity of the results, the researchers</w:t>
      </w:r>
      <w:r w:rsidR="004560B2" w:rsidRPr="001114C2">
        <w:rPr>
          <w:lang w:val="en-SG"/>
        </w:rPr>
        <w:t xml:space="preserve"> checked collinearity (where variance inflation factor &gt;10) bet</w:t>
      </w:r>
      <w:r>
        <w:rPr>
          <w:lang w:val="en-SG"/>
        </w:rPr>
        <w:t>ween covariates in the model. The researchers</w:t>
      </w:r>
      <w:r w:rsidR="004560B2" w:rsidRPr="001114C2">
        <w:rPr>
          <w:lang w:val="en-SG"/>
        </w:rPr>
        <w:t xml:space="preserve"> also checked the clinically meaningful interactions by including cross-product terms and were considered significant if p &lt; 0.1. </w:t>
      </w:r>
      <w:proofErr w:type="gramStart"/>
      <w:r w:rsidR="004560B2" w:rsidRPr="001114C2">
        <w:rPr>
          <w:lang w:val="en-SG"/>
        </w:rPr>
        <w:t>Variables</w:t>
      </w:r>
      <w:proofErr w:type="gramEnd"/>
      <w:r w:rsidR="004560B2" w:rsidRPr="001114C2">
        <w:rPr>
          <w:lang w:val="en-SG"/>
        </w:rPr>
        <w:t xml:space="preserve"> selection was done via stepwise backward selection in hierarchical fashion. A conservative probability less than 0.2 (instead of 0.157 as suggested in literature) was used to include a variable in the final model </w:t>
      </w:r>
      <w:r w:rsidR="00C7527D" w:rsidRPr="001114C2">
        <w:rPr>
          <w:lang w:val="en-SG"/>
        </w:rPr>
        <w:fldChar w:fldCharType="begin" w:fldLock="1"/>
      </w:r>
      <w:r w:rsidR="002E2FD7">
        <w:rPr>
          <w:lang w:val="en-SG"/>
        </w:rPr>
        <w:instrText>ADDIN CSL_CITATION {"citationItems":[{"id":"ITEM-1","itemData":{"DOI":"10.1002/bimj.201700067","ISSN":"15214036","PMID":"29292533","abstract":"Statistical models support medical research by facilitating individualized outcome prognostication conditional on independent variables or by estimating effects of risk factors adjusted for covariates. Theory of statistical models is well-established if the set of independent variables to consider is fixed and small. Hence, we can assume that effect estimates are unbiased and the usual methods for confidence interval estimation are valid. In routine work, however, it is not known a priori which covariates should be included in a model, and often we are confronted with the number of candidate variables in the range 10–30. This number is often too large to be considered in a statistical model. We provide an overview of various available variable selection methods that are based on significance or information criteria, penalized likelihood, the change-in-estimate criterion, background knowledge, or combinations thereof. These methods were usually developed in the context of a linear regression model and then transferred to more generalized linear models or models for censored survival data. Variable selection, in particular if used in explanatory modeling where effect estimates are of central interest, can compromise stability of a final model, unbiasedness of regression coefficients, and validity of p-values or confidence intervals. Therefore, we give pragmatic recommendations for the practicing statistician on application of variable selection methods in general (low-dimensional) modeling problems and on performing stability investigations and inference. We also propose some quantities based on resampling the entire variable selection process to be routinely reported by software packages offering automated variable selection algorithms.","author":[{"dropping-particle":"","family":"Heinze","given":"Georg","non-dropping-particle":"","parse-names":false,"suffix":""},{"dropping-particle":"","family":"Wallisch","given":"Christine","non-dropping-particle":"","parse-names":false,"suffix":""},{"dropping-particle":"","family":"Dunkler","given":"Daniela","non-dropping-particle":"","parse-names":false,"suffix":""}],"container-title":"Biometrical Journal","id":"ITEM-1","issue":"3","issued":{"date-parts":[["2018","5","1"]]},"page":"431-449","publisher":"Wiley-VCH Verlag","title":"Variable selection – A review and recommendations for the practicing statistician","type":"article","volume":"60"},"uris":["http://www.mendeley.com/documents/?uuid=d092b84a-3124-3ff7-8e9f-a06f65640bd5"]}],"mendeley":{"formattedCitation":"&lt;sup&gt;28&lt;/sup&gt;","plainTextFormattedCitation":"28","previouslyFormattedCitation":"&lt;sup&gt;28&lt;/sup&gt;"},"properties":{"noteIndex":0},"schema":"https://github.com/citation-style-language/schema/raw/master/csl-citation.json"}</w:instrText>
      </w:r>
      <w:r w:rsidR="00C7527D" w:rsidRPr="001114C2">
        <w:rPr>
          <w:lang w:val="en-SG"/>
        </w:rPr>
        <w:fldChar w:fldCharType="separate"/>
      </w:r>
      <w:r w:rsidR="002E2FD7" w:rsidRPr="002E2FD7">
        <w:rPr>
          <w:noProof/>
          <w:vertAlign w:val="superscript"/>
          <w:lang w:val="en-SG"/>
        </w:rPr>
        <w:t>28</w:t>
      </w:r>
      <w:r w:rsidR="00C7527D" w:rsidRPr="001114C2">
        <w:rPr>
          <w:lang w:val="en-SG"/>
        </w:rPr>
        <w:fldChar w:fldCharType="end"/>
      </w:r>
      <w:r w:rsidR="00C7527D" w:rsidRPr="001114C2">
        <w:rPr>
          <w:lang w:val="en-SG"/>
        </w:rPr>
        <w:t xml:space="preserve">. </w:t>
      </w:r>
      <w:r w:rsidR="004560B2" w:rsidRPr="001114C2">
        <w:rPr>
          <w:lang w:val="en-SG"/>
        </w:rPr>
        <w:t>Additionally, full model was also fitted by including all predictors. To check overfitting between stepwise and full model, Akaike information criterion and Bayesian information criterion (BIC) were calculated to compare both models</w:t>
      </w:r>
      <w:r w:rsidR="007D4926" w:rsidRPr="001114C2">
        <w:rPr>
          <w:lang w:val="en-SG"/>
        </w:rPr>
        <w:fldChar w:fldCharType="begin" w:fldLock="1"/>
      </w:r>
      <w:r w:rsidR="002E2FD7">
        <w:rPr>
          <w:lang w:val="en-SG"/>
        </w:rPr>
        <w:instrText>ADDIN CSL_CITATION {"citationItems":[{"id":"ITEM-1","itemData":{"author":[{"dropping-particle":"","family":"Akaike","given":"H.","non-dropping-particle":"","parse-names":false,"suffix":""}],"editor":[{"dropping-particle":"","family":"B. N. Petrov and F. Csaki","given":"","non-dropping-particle":"","parse-names":false,"suffix":""}],"id":"ITEM-1","issued":{"date-parts":[["1973"]]},"number-of-pages":"267-281","publisher":"Budapest: Akailseoniai–Kiudo","title":"Information theory and an extension of the maximum likelihood principle. In Second International Symposium on Information Theory","type":"book"},"uris":["http://www.mendeley.com/documents/?uuid=51c51d3c-3b17-46f2-913b-887ab004fab7"]},{"id":"ITEM-2","itemData":{"DOI":"10.2307/271063","ISSN":"00811750","abstract":"It is argued that P-values and the tests based upon them give unsatisfactory results, especially in large samples. It is shown that, in regression, when there are many candidate independent variables, standard variable selection procedures can give very misleading results. Also, by selecting a single model, they ignore model uncertainty and so underestimate the uncertainty about quantities of interest. The Bayesian approach to hypothesis testing, model selection, and accounting for model uncertainty is presented. Implementing this is straightforward through the use of the simple and accurate BIC approximation, and it can be done using the output from standard software. Specific results are presented for most of the types of model commonly used in sociology. It is shown that this approach overcomes the difficulties with P-values and standard model selection procedures based on them. It also allows easy comparison of nonnested models, and permits the quantification of the evidence for a null hypothesis of interest, such as a convergence theory or a hypothesis about societal norms.","author":[{"dropping-particle":"","family":"Raftery","given":"Adrian E.","non-dropping-particle":"","parse-names":false,"suffix":""}],"container-title":"Sociological Methodology","id":"ITEM-2","issued":{"date-parts":[["1995"]]},"page":"111","publisher":"JSTOR","title":"Bayesian Model Selection in Social Research","type":"article-journal","volume":"25"},"uris":["http://www.mendeley.com/documents/?uuid=54f5b481-6d15-30cc-a5ed-38ae166a7643"]}],"mendeley":{"formattedCitation":"&lt;sup&gt;29,30&lt;/sup&gt;","plainTextFormattedCitation":"29,30","previouslyFormattedCitation":"&lt;sup&gt;29,30&lt;/sup&gt;"},"properties":{"noteIndex":0},"schema":"https://github.com/citation-style-language/schema/raw/master/csl-citation.json"}</w:instrText>
      </w:r>
      <w:r w:rsidR="007D4926" w:rsidRPr="001114C2">
        <w:rPr>
          <w:lang w:val="en-SG"/>
        </w:rPr>
        <w:fldChar w:fldCharType="separate"/>
      </w:r>
      <w:r w:rsidR="002E2FD7" w:rsidRPr="002E2FD7">
        <w:rPr>
          <w:noProof/>
          <w:vertAlign w:val="superscript"/>
          <w:lang w:val="en-SG"/>
        </w:rPr>
        <w:t>29,30</w:t>
      </w:r>
      <w:r w:rsidR="007D4926" w:rsidRPr="001114C2">
        <w:rPr>
          <w:lang w:val="en-SG"/>
        </w:rPr>
        <w:fldChar w:fldCharType="end"/>
      </w:r>
      <w:r w:rsidR="004560B2" w:rsidRPr="001114C2">
        <w:rPr>
          <w:lang w:val="en-SG"/>
        </w:rPr>
        <w:t>. A model with lower AIC and BIC was selected as final model (i.e., stepwise backward selection model). A two-sided p-value of &lt;0.05 was considered statistically significant. Statistical analysis was carried out using Stata software version 16.1 (</w:t>
      </w:r>
      <w:proofErr w:type="spellStart"/>
      <w:r w:rsidR="004560B2" w:rsidRPr="001114C2">
        <w:rPr>
          <w:lang w:val="en-SG"/>
        </w:rPr>
        <w:t>StataCorp</w:t>
      </w:r>
      <w:proofErr w:type="spellEnd"/>
      <w:r w:rsidR="004560B2" w:rsidRPr="001114C2">
        <w:rPr>
          <w:lang w:val="en-SG"/>
        </w:rPr>
        <w:t>, College Station, TX, USA).</w:t>
      </w:r>
    </w:p>
    <w:p w14:paraId="51C68B99" w14:textId="77777777" w:rsidR="00297423" w:rsidRDefault="00297423" w:rsidP="00297423">
      <w:pPr>
        <w:jc w:val="both"/>
        <w:rPr>
          <w:b/>
        </w:rPr>
      </w:pPr>
    </w:p>
    <w:p w14:paraId="60625980" w14:textId="3D3C6A4B" w:rsidR="00C7527D" w:rsidRPr="00297423" w:rsidRDefault="00C42990" w:rsidP="00297423">
      <w:pPr>
        <w:jc w:val="both"/>
        <w:rPr>
          <w:b/>
        </w:rPr>
      </w:pPr>
      <w:r w:rsidRPr="00297423">
        <w:rPr>
          <w:b/>
        </w:rPr>
        <w:t>Results</w:t>
      </w:r>
    </w:p>
    <w:p w14:paraId="49907D8B" w14:textId="3E3F4C5D" w:rsidR="00926E8F" w:rsidRPr="00297423" w:rsidRDefault="00926E8F" w:rsidP="00926E8F">
      <w:pPr>
        <w:rPr>
          <w:b/>
          <w:i/>
          <w:lang w:val="en-US"/>
        </w:rPr>
      </w:pPr>
      <w:r w:rsidRPr="00297423">
        <w:rPr>
          <w:b/>
          <w:i/>
          <w:lang w:val="en-US"/>
        </w:rPr>
        <w:t>Background demographic and</w:t>
      </w:r>
      <w:r w:rsidR="008140A5" w:rsidRPr="00297423">
        <w:rPr>
          <w:b/>
          <w:i/>
          <w:lang w:val="en-US"/>
        </w:rPr>
        <w:t xml:space="preserve"> characteristics of patients</w:t>
      </w:r>
      <w:r w:rsidRPr="00297423">
        <w:rPr>
          <w:b/>
          <w:i/>
          <w:lang w:val="en-US"/>
        </w:rPr>
        <w:t xml:space="preserve"> and </w:t>
      </w:r>
      <w:r w:rsidR="008140A5" w:rsidRPr="00297423">
        <w:rPr>
          <w:b/>
          <w:i/>
          <w:lang w:val="en-US"/>
        </w:rPr>
        <w:t>diabetic foot ulcer</w:t>
      </w:r>
      <w:r w:rsidR="00E81044" w:rsidRPr="00297423">
        <w:rPr>
          <w:b/>
          <w:i/>
          <w:lang w:val="en-US"/>
        </w:rPr>
        <w:t>s</w:t>
      </w:r>
    </w:p>
    <w:p w14:paraId="472D0F9E" w14:textId="77777777" w:rsidR="00926E8F" w:rsidRPr="001114C2" w:rsidRDefault="00926E8F" w:rsidP="00926E8F">
      <w:pPr>
        <w:rPr>
          <w:b/>
          <w:lang w:val="en-US"/>
        </w:rPr>
      </w:pPr>
    </w:p>
    <w:p w14:paraId="322F0C16" w14:textId="77F31672" w:rsidR="00D1654B" w:rsidRPr="001114C2" w:rsidRDefault="004959BD" w:rsidP="00D1654B">
      <w:pPr>
        <w:jc w:val="both"/>
        <w:rPr>
          <w:lang w:val="en-US"/>
        </w:rPr>
      </w:pPr>
      <w:r>
        <w:rPr>
          <w:lang w:val="en-US"/>
        </w:rPr>
        <w:t>The researchers</w:t>
      </w:r>
      <w:r w:rsidR="00D1654B" w:rsidRPr="001114C2">
        <w:rPr>
          <w:lang w:val="en-US"/>
        </w:rPr>
        <w:t xml:space="preserve"> reviewed </w:t>
      </w:r>
      <w:r w:rsidR="008140A5">
        <w:rPr>
          <w:lang w:val="en-US"/>
        </w:rPr>
        <w:t>the electronic medical record</w:t>
      </w:r>
      <w:r w:rsidR="0038121F" w:rsidRPr="001114C2">
        <w:rPr>
          <w:lang w:val="en-US"/>
        </w:rPr>
        <w:t xml:space="preserve">s of </w:t>
      </w:r>
      <w:r w:rsidR="00D1654B" w:rsidRPr="001114C2">
        <w:rPr>
          <w:lang w:val="en-US"/>
        </w:rPr>
        <w:t xml:space="preserve">520 eligible </w:t>
      </w:r>
      <w:r w:rsidR="00DC23A9" w:rsidRPr="001114C2">
        <w:rPr>
          <w:lang w:val="en-US"/>
        </w:rPr>
        <w:t>patients</w:t>
      </w:r>
      <w:r w:rsidR="00D1654B" w:rsidRPr="001114C2">
        <w:rPr>
          <w:lang w:val="en-US"/>
        </w:rPr>
        <w:t>. The</w:t>
      </w:r>
      <w:r w:rsidR="006A638A" w:rsidRPr="001114C2">
        <w:rPr>
          <w:lang w:val="en-US"/>
        </w:rPr>
        <w:t xml:space="preserve"> </w:t>
      </w:r>
      <w:r w:rsidR="00D1654B" w:rsidRPr="001114C2">
        <w:rPr>
          <w:lang w:val="en-US"/>
        </w:rPr>
        <w:t xml:space="preserve">background </w:t>
      </w:r>
      <w:r w:rsidR="00DC23A9">
        <w:rPr>
          <w:lang w:val="en-US"/>
        </w:rPr>
        <w:t xml:space="preserve">and </w:t>
      </w:r>
      <w:r w:rsidR="00D1654B" w:rsidRPr="001114C2">
        <w:rPr>
          <w:lang w:val="en-US"/>
        </w:rPr>
        <w:t xml:space="preserve">demographic of </w:t>
      </w:r>
      <w:r w:rsidR="00DC23A9">
        <w:rPr>
          <w:lang w:val="en-US"/>
        </w:rPr>
        <w:t>patients</w:t>
      </w:r>
      <w:r w:rsidR="00DC23A9" w:rsidRPr="001114C2">
        <w:rPr>
          <w:lang w:val="en-US"/>
        </w:rPr>
        <w:t xml:space="preserve"> </w:t>
      </w:r>
      <w:r w:rsidR="00D1654B" w:rsidRPr="001114C2">
        <w:rPr>
          <w:lang w:val="en-US"/>
        </w:rPr>
        <w:t xml:space="preserve">and </w:t>
      </w:r>
      <w:r w:rsidR="00AF6F2E">
        <w:rPr>
          <w:lang w:val="en-US"/>
        </w:rPr>
        <w:t xml:space="preserve">the clinical characteristics of </w:t>
      </w:r>
      <w:r w:rsidR="00DC23A9">
        <w:rPr>
          <w:lang w:val="en-US"/>
        </w:rPr>
        <w:t xml:space="preserve">their diabetes foot </w:t>
      </w:r>
      <w:r w:rsidR="00D1654B" w:rsidRPr="001114C2">
        <w:rPr>
          <w:lang w:val="en-US"/>
        </w:rPr>
        <w:t xml:space="preserve">ulcerations are reported in Table 1. Most of participants were male (66%), </w:t>
      </w:r>
      <w:r w:rsidR="003858C5">
        <w:rPr>
          <w:lang w:val="en-US"/>
        </w:rPr>
        <w:t xml:space="preserve">the majority were </w:t>
      </w:r>
      <w:r w:rsidR="00D1654B" w:rsidRPr="001114C2">
        <w:rPr>
          <w:lang w:val="en-US"/>
        </w:rPr>
        <w:t xml:space="preserve">of Chinese ethnicity </w:t>
      </w:r>
      <w:r w:rsidR="00D1654B" w:rsidRPr="001114C2">
        <w:rPr>
          <w:lang w:val="en-US"/>
        </w:rPr>
        <w:lastRenderedPageBreak/>
        <w:t>(49.8%),</w:t>
      </w:r>
      <w:r w:rsidR="003858C5">
        <w:rPr>
          <w:lang w:val="en-US"/>
        </w:rPr>
        <w:t xml:space="preserve"> and </w:t>
      </w:r>
      <w:r w:rsidR="003858C5" w:rsidRPr="001114C2">
        <w:rPr>
          <w:lang w:val="en-US"/>
        </w:rPr>
        <w:t>81.8%</w:t>
      </w:r>
      <w:r w:rsidR="003858C5">
        <w:rPr>
          <w:lang w:val="en-US"/>
        </w:rPr>
        <w:t xml:space="preserve"> of the sample </w:t>
      </w:r>
      <w:r w:rsidR="001F5EF0">
        <w:rPr>
          <w:lang w:val="en-US"/>
        </w:rPr>
        <w:t xml:space="preserve">had a diabetes </w:t>
      </w:r>
      <w:r w:rsidR="006A638A" w:rsidRPr="001114C2">
        <w:rPr>
          <w:lang w:val="en-US"/>
        </w:rPr>
        <w:t xml:space="preserve">duration </w:t>
      </w:r>
      <w:r w:rsidR="00AF6F2E">
        <w:rPr>
          <w:lang w:val="en-US"/>
        </w:rPr>
        <w:t>&gt;</w:t>
      </w:r>
      <w:r w:rsidR="00F21D1C" w:rsidRPr="001114C2">
        <w:rPr>
          <w:lang w:val="en-US"/>
        </w:rPr>
        <w:t xml:space="preserve"> 5 years (81.8%). </w:t>
      </w:r>
      <w:r w:rsidR="003858C5">
        <w:rPr>
          <w:lang w:val="en-US"/>
        </w:rPr>
        <w:t xml:space="preserve">In the sample, </w:t>
      </w:r>
      <w:r w:rsidR="00F21D1C" w:rsidRPr="001114C2">
        <w:rPr>
          <w:lang w:val="en-US"/>
        </w:rPr>
        <w:t>16.2</w:t>
      </w:r>
      <w:r w:rsidR="006E32C2" w:rsidRPr="001114C2">
        <w:rPr>
          <w:lang w:val="en-US"/>
        </w:rPr>
        <w:t>% of</w:t>
      </w:r>
      <w:r w:rsidR="003858C5">
        <w:rPr>
          <w:lang w:val="en-US"/>
        </w:rPr>
        <w:t xml:space="preserve"> the</w:t>
      </w:r>
      <w:r w:rsidR="006E32C2" w:rsidRPr="001114C2">
        <w:rPr>
          <w:lang w:val="en-US"/>
        </w:rPr>
        <w:t xml:space="preserve"> patients </w:t>
      </w:r>
      <w:r w:rsidR="003858C5">
        <w:rPr>
          <w:lang w:val="en-US"/>
        </w:rPr>
        <w:t>had been</w:t>
      </w:r>
      <w:r w:rsidR="003858C5" w:rsidRPr="001114C2">
        <w:rPr>
          <w:lang w:val="en-US"/>
        </w:rPr>
        <w:t xml:space="preserve"> </w:t>
      </w:r>
      <w:r w:rsidR="006E32C2" w:rsidRPr="001114C2">
        <w:rPr>
          <w:lang w:val="en-US"/>
        </w:rPr>
        <w:t>referred to</w:t>
      </w:r>
      <w:r w:rsidR="003858C5">
        <w:rPr>
          <w:lang w:val="en-US"/>
        </w:rPr>
        <w:t xml:space="preserve"> hospital</w:t>
      </w:r>
      <w:r w:rsidR="006E32C2" w:rsidRPr="001114C2">
        <w:rPr>
          <w:lang w:val="en-US"/>
        </w:rPr>
        <w:t xml:space="preserve"> </w:t>
      </w:r>
      <w:r w:rsidR="001F5EF0" w:rsidRPr="001F5EF0">
        <w:rPr>
          <w:lang w:val="en-US"/>
        </w:rPr>
        <w:t>emergency department</w:t>
      </w:r>
      <w:r w:rsidR="00D1654B" w:rsidRPr="001F5EF0">
        <w:rPr>
          <w:lang w:val="en-US"/>
        </w:rPr>
        <w:t xml:space="preserve"> on</w:t>
      </w:r>
      <w:r w:rsidR="00D1654B" w:rsidRPr="001114C2">
        <w:rPr>
          <w:lang w:val="en-US"/>
        </w:rPr>
        <w:t xml:space="preserve"> their first </w:t>
      </w:r>
      <w:r w:rsidR="008140A5">
        <w:rPr>
          <w:lang w:val="en-US"/>
        </w:rPr>
        <w:t xml:space="preserve">ulcer </w:t>
      </w:r>
      <w:r w:rsidR="00D1654B" w:rsidRPr="001114C2">
        <w:rPr>
          <w:lang w:val="en-US"/>
        </w:rPr>
        <w:t xml:space="preserve">presentation </w:t>
      </w:r>
      <w:r w:rsidR="00AF6F2E">
        <w:rPr>
          <w:lang w:val="en-US"/>
        </w:rPr>
        <w:t>at</w:t>
      </w:r>
      <w:r w:rsidR="00AF6F2E" w:rsidRPr="001114C2">
        <w:rPr>
          <w:lang w:val="en-US"/>
        </w:rPr>
        <w:t xml:space="preserve"> </w:t>
      </w:r>
      <w:r w:rsidR="00DC23A9">
        <w:rPr>
          <w:lang w:val="en-US"/>
        </w:rPr>
        <w:t xml:space="preserve">the </w:t>
      </w:r>
      <w:r w:rsidR="00D1654B" w:rsidRPr="001114C2">
        <w:rPr>
          <w:lang w:val="en-US"/>
        </w:rPr>
        <w:t xml:space="preserve">primary </w:t>
      </w:r>
      <w:r w:rsidR="00DC23A9">
        <w:rPr>
          <w:lang w:val="en-US"/>
        </w:rPr>
        <w:t xml:space="preserve">care </w:t>
      </w:r>
      <w:r w:rsidR="00D1654B" w:rsidRPr="001114C2">
        <w:rPr>
          <w:lang w:val="en-US"/>
        </w:rPr>
        <w:t xml:space="preserve">clinic. Approximately 80% of </w:t>
      </w:r>
      <w:r w:rsidR="008140A5">
        <w:rPr>
          <w:lang w:val="en-US"/>
        </w:rPr>
        <w:t>foot ulcers</w:t>
      </w:r>
      <w:r w:rsidR="00E16D14" w:rsidRPr="001114C2">
        <w:rPr>
          <w:lang w:val="en-US"/>
        </w:rPr>
        <w:t xml:space="preserve"> </w:t>
      </w:r>
      <w:r w:rsidR="003858C5">
        <w:rPr>
          <w:lang w:val="en-US"/>
        </w:rPr>
        <w:t>had a duration</w:t>
      </w:r>
      <w:r w:rsidR="00D1654B" w:rsidRPr="001114C2">
        <w:rPr>
          <w:lang w:val="en-US"/>
        </w:rPr>
        <w:t xml:space="preserve"> </w:t>
      </w:r>
      <w:r w:rsidR="00AF6F2E">
        <w:rPr>
          <w:lang w:val="en-US"/>
        </w:rPr>
        <w:t>&lt;</w:t>
      </w:r>
      <w:r w:rsidR="00D1654B" w:rsidRPr="001114C2">
        <w:rPr>
          <w:lang w:val="en-US"/>
        </w:rPr>
        <w:t xml:space="preserve"> 6</w:t>
      </w:r>
      <w:r w:rsidR="003858C5">
        <w:rPr>
          <w:lang w:val="en-US"/>
        </w:rPr>
        <w:t xml:space="preserve"> </w:t>
      </w:r>
      <w:r w:rsidR="00D1654B" w:rsidRPr="001114C2">
        <w:rPr>
          <w:lang w:val="en-US"/>
        </w:rPr>
        <w:t>month</w:t>
      </w:r>
      <w:r w:rsidR="003858C5">
        <w:rPr>
          <w:lang w:val="en-US"/>
        </w:rPr>
        <w:t>s</w:t>
      </w:r>
      <w:r w:rsidR="00D1654B" w:rsidRPr="001114C2">
        <w:rPr>
          <w:lang w:val="en-US"/>
        </w:rPr>
        <w:t xml:space="preserve">. </w:t>
      </w:r>
      <w:r w:rsidR="00E16D14" w:rsidRPr="001114C2">
        <w:rPr>
          <w:lang w:val="en-US"/>
        </w:rPr>
        <w:t xml:space="preserve">Toe ulcers were </w:t>
      </w:r>
      <w:r w:rsidR="00DC23A9">
        <w:rPr>
          <w:lang w:val="en-US"/>
        </w:rPr>
        <w:t xml:space="preserve">the </w:t>
      </w:r>
      <w:r w:rsidR="008140A5">
        <w:rPr>
          <w:lang w:val="en-US"/>
        </w:rPr>
        <w:t>most common diabetic foot ulcer</w:t>
      </w:r>
      <w:r w:rsidR="00E16D14" w:rsidRPr="001114C2">
        <w:rPr>
          <w:lang w:val="en-US"/>
        </w:rPr>
        <w:t xml:space="preserve"> and made up more </w:t>
      </w:r>
      <w:r w:rsidR="00D1654B" w:rsidRPr="001114C2">
        <w:rPr>
          <w:lang w:val="en-US"/>
        </w:rPr>
        <w:t xml:space="preserve">than half of study population (64%). </w:t>
      </w:r>
      <w:r w:rsidR="00E16D14" w:rsidRPr="001114C2">
        <w:rPr>
          <w:lang w:val="en-US"/>
        </w:rPr>
        <w:t>Ap</w:t>
      </w:r>
      <w:r w:rsidR="008140A5">
        <w:rPr>
          <w:lang w:val="en-US"/>
        </w:rPr>
        <w:t>proximately one third of the ulcer</w:t>
      </w:r>
      <w:r w:rsidR="00E16D14" w:rsidRPr="001114C2">
        <w:rPr>
          <w:lang w:val="en-US"/>
        </w:rPr>
        <w:t>s (</w:t>
      </w:r>
      <w:r w:rsidR="00D1654B" w:rsidRPr="001114C2">
        <w:rPr>
          <w:lang w:val="en-US"/>
        </w:rPr>
        <w:t>33.9%</w:t>
      </w:r>
      <w:r w:rsidR="00E16D14" w:rsidRPr="001114C2">
        <w:rPr>
          <w:lang w:val="en-US"/>
        </w:rPr>
        <w:t>)</w:t>
      </w:r>
      <w:r w:rsidR="00D1654B" w:rsidRPr="001114C2">
        <w:rPr>
          <w:lang w:val="en-US"/>
        </w:rPr>
        <w:t xml:space="preserve"> healed within 3 months, 19.1% required </w:t>
      </w:r>
      <w:r w:rsidR="00E16D14" w:rsidRPr="001114C2">
        <w:rPr>
          <w:lang w:val="en-US"/>
        </w:rPr>
        <w:t xml:space="preserve">a </w:t>
      </w:r>
      <w:r w:rsidR="00D1654B" w:rsidRPr="001114C2">
        <w:rPr>
          <w:lang w:val="en-US"/>
        </w:rPr>
        <w:t>minor amputation</w:t>
      </w:r>
      <w:r w:rsidR="00DC23A9">
        <w:rPr>
          <w:lang w:val="en-US"/>
        </w:rPr>
        <w:t>,</w:t>
      </w:r>
      <w:r w:rsidR="00D1654B" w:rsidRPr="001114C2">
        <w:rPr>
          <w:lang w:val="en-US"/>
        </w:rPr>
        <w:t xml:space="preserve"> and 1.5% </w:t>
      </w:r>
      <w:r w:rsidR="003858C5">
        <w:rPr>
          <w:lang w:val="en-US"/>
        </w:rPr>
        <w:t xml:space="preserve">of the study sample </w:t>
      </w:r>
      <w:r w:rsidR="00D1654B" w:rsidRPr="001114C2">
        <w:rPr>
          <w:lang w:val="en-US"/>
        </w:rPr>
        <w:t xml:space="preserve">underwent major amputation. More neuropathic </w:t>
      </w:r>
      <w:r w:rsidR="008140A5">
        <w:rPr>
          <w:lang w:val="en-US"/>
        </w:rPr>
        <w:t>ulcer</w:t>
      </w:r>
      <w:r w:rsidR="00D1654B" w:rsidRPr="001114C2">
        <w:rPr>
          <w:lang w:val="en-US"/>
        </w:rPr>
        <w:t xml:space="preserve">s (41.1%) healed compared to </w:t>
      </w:r>
      <w:proofErr w:type="spellStart"/>
      <w:r w:rsidR="00D1654B" w:rsidRPr="001114C2">
        <w:rPr>
          <w:lang w:val="en-US"/>
        </w:rPr>
        <w:t>neuroishaemic</w:t>
      </w:r>
      <w:proofErr w:type="spellEnd"/>
      <w:r w:rsidR="00D1654B" w:rsidRPr="001114C2">
        <w:rPr>
          <w:lang w:val="en-US"/>
        </w:rPr>
        <w:t xml:space="preserve"> (26.7%) and ischemic (18.7%) </w:t>
      </w:r>
      <w:r w:rsidR="00E16D14" w:rsidRPr="001114C2">
        <w:rPr>
          <w:lang w:val="en-US"/>
        </w:rPr>
        <w:t xml:space="preserve">ulcers </w:t>
      </w:r>
      <w:r w:rsidR="00D1654B" w:rsidRPr="001114C2">
        <w:rPr>
          <w:lang w:val="en-US"/>
        </w:rPr>
        <w:t xml:space="preserve">within </w:t>
      </w:r>
      <w:r w:rsidR="006E32C2" w:rsidRPr="001114C2">
        <w:rPr>
          <w:lang w:val="en-US"/>
        </w:rPr>
        <w:t xml:space="preserve">3 </w:t>
      </w:r>
      <w:r w:rsidR="00D1654B" w:rsidRPr="001114C2">
        <w:rPr>
          <w:lang w:val="en-US"/>
        </w:rPr>
        <w:t xml:space="preserve">months.  Proportion of unhealed and healed ulcers within </w:t>
      </w:r>
      <w:r w:rsidR="00DC23A9">
        <w:rPr>
          <w:lang w:val="en-US"/>
        </w:rPr>
        <w:t>3</w:t>
      </w:r>
      <w:r w:rsidR="00DC23A9" w:rsidRPr="001114C2">
        <w:rPr>
          <w:lang w:val="en-US"/>
        </w:rPr>
        <w:t xml:space="preserve"> </w:t>
      </w:r>
      <w:r w:rsidR="00D1654B" w:rsidRPr="001114C2">
        <w:rPr>
          <w:lang w:val="en-US"/>
        </w:rPr>
        <w:t xml:space="preserve">months by type of </w:t>
      </w:r>
      <w:r w:rsidR="001F5EF0">
        <w:rPr>
          <w:lang w:val="en-US"/>
        </w:rPr>
        <w:t xml:space="preserve">diabetic foot ulcer </w:t>
      </w:r>
      <w:r w:rsidR="00D1654B" w:rsidRPr="001114C2">
        <w:rPr>
          <w:lang w:val="en-US"/>
        </w:rPr>
        <w:t xml:space="preserve">is shown in Figure 1. </w:t>
      </w:r>
    </w:p>
    <w:p w14:paraId="6BF5DFA7" w14:textId="5F90BA7A" w:rsidR="00C93A4A" w:rsidRPr="001114C2" w:rsidRDefault="00C93A4A" w:rsidP="00D1654B">
      <w:pPr>
        <w:jc w:val="both"/>
        <w:rPr>
          <w:lang w:val="en-US"/>
        </w:rPr>
      </w:pPr>
    </w:p>
    <w:p w14:paraId="1FDAE5E5" w14:textId="167F48FE" w:rsidR="00C93A4A" w:rsidRPr="00297423" w:rsidRDefault="00C93A4A" w:rsidP="00C93A4A">
      <w:pPr>
        <w:rPr>
          <w:b/>
          <w:i/>
        </w:rPr>
      </w:pPr>
      <w:r w:rsidRPr="00297423">
        <w:rPr>
          <w:b/>
          <w:i/>
        </w:rPr>
        <w:t xml:space="preserve">Univariate prevalence ratios for factors associated with healing within </w:t>
      </w:r>
      <w:r w:rsidR="006E32C2" w:rsidRPr="00297423">
        <w:rPr>
          <w:b/>
          <w:i/>
        </w:rPr>
        <w:t xml:space="preserve">3 </w:t>
      </w:r>
      <w:r w:rsidRPr="00297423">
        <w:rPr>
          <w:b/>
          <w:i/>
        </w:rPr>
        <w:t>months</w:t>
      </w:r>
    </w:p>
    <w:p w14:paraId="2BB236B8" w14:textId="77777777" w:rsidR="00C93A4A" w:rsidRPr="001114C2" w:rsidRDefault="00C93A4A" w:rsidP="00C93A4A">
      <w:pPr>
        <w:rPr>
          <w:b/>
        </w:rPr>
      </w:pPr>
    </w:p>
    <w:p w14:paraId="6EE9F0FB" w14:textId="39B5DBD8" w:rsidR="00C93A4A" w:rsidRPr="001114C2" w:rsidRDefault="00C93A4A" w:rsidP="00194905">
      <w:pPr>
        <w:spacing w:line="240" w:lineRule="auto"/>
        <w:jc w:val="both"/>
        <w:rPr>
          <w:lang w:val="en-US"/>
        </w:rPr>
      </w:pPr>
      <w:r w:rsidRPr="001114C2">
        <w:rPr>
          <w:lang w:val="en-US"/>
        </w:rPr>
        <w:t xml:space="preserve">Proportion of healed </w:t>
      </w:r>
      <w:r w:rsidR="008140A5">
        <w:rPr>
          <w:lang w:val="en-US"/>
        </w:rPr>
        <w:t>ulcer</w:t>
      </w:r>
      <w:r w:rsidR="00E16D14" w:rsidRPr="001114C2">
        <w:rPr>
          <w:lang w:val="en-US"/>
        </w:rPr>
        <w:t xml:space="preserve">s </w:t>
      </w:r>
      <w:r w:rsidRPr="001114C2">
        <w:rPr>
          <w:lang w:val="en-US"/>
        </w:rPr>
        <w:t xml:space="preserve">within </w:t>
      </w:r>
      <w:r w:rsidR="006E32C2" w:rsidRPr="001114C2">
        <w:rPr>
          <w:lang w:val="en-US"/>
        </w:rPr>
        <w:t>3</w:t>
      </w:r>
      <w:r w:rsidRPr="001114C2">
        <w:rPr>
          <w:lang w:val="en-US"/>
        </w:rPr>
        <w:t xml:space="preserve"> months </w:t>
      </w:r>
      <w:r w:rsidRPr="00B113D7">
        <w:rPr>
          <w:lang w:val="en-US"/>
        </w:rPr>
        <w:t>and univariate association</w:t>
      </w:r>
      <w:r w:rsidR="00DC23A9" w:rsidRPr="00B113D7">
        <w:rPr>
          <w:lang w:val="en-US"/>
        </w:rPr>
        <w:t>s</w:t>
      </w:r>
      <w:r w:rsidRPr="00B113D7">
        <w:rPr>
          <w:lang w:val="en-US"/>
        </w:rPr>
        <w:t xml:space="preserve"> between background factors and healing </w:t>
      </w:r>
      <w:r w:rsidR="00E16D14" w:rsidRPr="00B113D7">
        <w:rPr>
          <w:lang w:val="en-US"/>
        </w:rPr>
        <w:t xml:space="preserve">are </w:t>
      </w:r>
      <w:r w:rsidRPr="00B113D7">
        <w:rPr>
          <w:lang w:val="en-US"/>
        </w:rPr>
        <w:t xml:space="preserve">presented in Table 2. </w:t>
      </w:r>
      <w:r w:rsidR="00E16D14" w:rsidRPr="00B113D7">
        <w:rPr>
          <w:lang w:val="en-US"/>
        </w:rPr>
        <w:t xml:space="preserve">The </w:t>
      </w:r>
      <w:r w:rsidR="00804F42" w:rsidRPr="00B113D7">
        <w:rPr>
          <w:lang w:val="en-US"/>
        </w:rPr>
        <w:t>percentage</w:t>
      </w:r>
      <w:r w:rsidRPr="00B113D7">
        <w:rPr>
          <w:lang w:val="en-US"/>
        </w:rPr>
        <w:t xml:space="preserve"> of healing varied from 13.5% </w:t>
      </w:r>
      <w:r w:rsidR="000738D9" w:rsidRPr="00B113D7">
        <w:rPr>
          <w:lang w:val="en-US"/>
        </w:rPr>
        <w:t>(</w:t>
      </w:r>
      <w:r w:rsidR="00360921" w:rsidRPr="00B113D7">
        <w:rPr>
          <w:lang w:val="en-US"/>
        </w:rPr>
        <w:t xml:space="preserve">ulcer </w:t>
      </w:r>
      <w:r w:rsidR="000738D9" w:rsidRPr="00B113D7">
        <w:rPr>
          <w:lang w:val="en-US"/>
        </w:rPr>
        <w:t xml:space="preserve">duration) </w:t>
      </w:r>
      <w:r w:rsidR="001C6537" w:rsidRPr="00B113D7">
        <w:rPr>
          <w:lang w:val="en-US"/>
        </w:rPr>
        <w:t xml:space="preserve">up </w:t>
      </w:r>
      <w:r w:rsidRPr="00B113D7">
        <w:rPr>
          <w:lang w:val="en-US"/>
        </w:rPr>
        <w:t xml:space="preserve">to 50.9% </w:t>
      </w:r>
      <w:r w:rsidR="00360921" w:rsidRPr="00B113D7">
        <w:rPr>
          <w:lang w:val="en-US"/>
        </w:rPr>
        <w:t xml:space="preserve">(ulcer </w:t>
      </w:r>
      <w:r w:rsidR="000738D9" w:rsidRPr="00B113D7">
        <w:rPr>
          <w:lang w:val="en-US"/>
        </w:rPr>
        <w:t>size &lt;1cm</w:t>
      </w:r>
      <w:r w:rsidR="000738D9" w:rsidRPr="00B113D7">
        <w:rPr>
          <w:vertAlign w:val="superscript"/>
          <w:lang w:val="en-US"/>
        </w:rPr>
        <w:t>2</w:t>
      </w:r>
      <w:r w:rsidR="000738D9" w:rsidRPr="00B113D7">
        <w:rPr>
          <w:lang w:val="en-US"/>
        </w:rPr>
        <w:t>)</w:t>
      </w:r>
      <w:r w:rsidRPr="00B113D7">
        <w:rPr>
          <w:lang w:val="en-US"/>
        </w:rPr>
        <w:t xml:space="preserve">. </w:t>
      </w:r>
      <w:r w:rsidR="00962C9E">
        <w:rPr>
          <w:lang w:val="en-US"/>
        </w:rPr>
        <w:t>The</w:t>
      </w:r>
      <w:r w:rsidRPr="001114C2">
        <w:rPr>
          <w:lang w:val="en-US"/>
        </w:rPr>
        <w:t xml:space="preserve"> Poisson regression</w:t>
      </w:r>
      <w:r w:rsidR="00E16D14" w:rsidRPr="001114C2">
        <w:rPr>
          <w:lang w:val="en-US"/>
        </w:rPr>
        <w:t xml:space="preserve"> revealed </w:t>
      </w:r>
      <w:r w:rsidRPr="001114C2">
        <w:rPr>
          <w:lang w:val="en-US"/>
        </w:rPr>
        <w:t xml:space="preserve">the following factors </w:t>
      </w:r>
      <w:r w:rsidR="00AD1231">
        <w:rPr>
          <w:lang w:val="en-US"/>
        </w:rPr>
        <w:t xml:space="preserve">as </w:t>
      </w:r>
      <w:r w:rsidR="004C1D96">
        <w:rPr>
          <w:lang w:val="en-US"/>
        </w:rPr>
        <w:t>related to ulcer</w:t>
      </w:r>
      <w:r w:rsidR="00804F42">
        <w:rPr>
          <w:lang w:val="en-US"/>
        </w:rPr>
        <w:t xml:space="preserve"> healing within </w:t>
      </w:r>
      <w:r w:rsidR="006E32C2" w:rsidRPr="001114C2">
        <w:rPr>
          <w:lang w:val="en-US"/>
        </w:rPr>
        <w:t xml:space="preserve">3 </w:t>
      </w:r>
      <w:r w:rsidRPr="001114C2">
        <w:rPr>
          <w:lang w:val="en-US"/>
        </w:rPr>
        <w:t xml:space="preserve">months in </w:t>
      </w:r>
      <w:r w:rsidR="00AF6F2E">
        <w:rPr>
          <w:lang w:val="en-US"/>
        </w:rPr>
        <w:t>th</w:t>
      </w:r>
      <w:r w:rsidR="00AD1231">
        <w:rPr>
          <w:lang w:val="en-US"/>
        </w:rPr>
        <w:t>e</w:t>
      </w:r>
      <w:r w:rsidR="00AF6F2E">
        <w:rPr>
          <w:lang w:val="en-US"/>
        </w:rPr>
        <w:t xml:space="preserve"> </w:t>
      </w:r>
      <w:r w:rsidRPr="001114C2">
        <w:rPr>
          <w:lang w:val="en-US"/>
        </w:rPr>
        <w:t xml:space="preserve">univariate analysis: </w:t>
      </w:r>
      <w:r w:rsidR="00E16D14" w:rsidRPr="001114C2">
        <w:rPr>
          <w:lang w:val="en-US"/>
        </w:rPr>
        <w:t xml:space="preserve">being </w:t>
      </w:r>
      <w:r w:rsidRPr="001114C2">
        <w:rPr>
          <w:lang w:val="en-US"/>
        </w:rPr>
        <w:t>female (PR: 1.25, 95% CI: 0.98-1.59, P=.072),</w:t>
      </w:r>
      <w:r w:rsidR="00E16D14" w:rsidRPr="001114C2">
        <w:rPr>
          <w:lang w:val="en-US"/>
        </w:rPr>
        <w:t xml:space="preserve"> having a</w:t>
      </w:r>
      <w:r w:rsidR="00804F42">
        <w:rPr>
          <w:lang w:val="en-US"/>
        </w:rPr>
        <w:t xml:space="preserve"> </w:t>
      </w:r>
      <w:r w:rsidRPr="001114C2">
        <w:rPr>
          <w:lang w:val="en-US"/>
        </w:rPr>
        <w:t>wound size</w:t>
      </w:r>
      <w:r w:rsidR="00E16D14" w:rsidRPr="001114C2">
        <w:rPr>
          <w:lang w:val="en-US"/>
        </w:rPr>
        <w:t xml:space="preserve"> between</w:t>
      </w:r>
      <w:r w:rsidRPr="001114C2">
        <w:rPr>
          <w:lang w:val="en-US"/>
        </w:rPr>
        <w:t xml:space="preserve"> 1-10cm</w:t>
      </w:r>
      <w:r w:rsidRPr="001114C2">
        <w:rPr>
          <w:vertAlign w:val="superscript"/>
          <w:lang w:val="en-US"/>
        </w:rPr>
        <w:t>2</w:t>
      </w:r>
      <w:r w:rsidRPr="001114C2">
        <w:rPr>
          <w:lang w:val="en-US"/>
        </w:rPr>
        <w:t xml:space="preserve"> (PR: 0.60, 95% CI: 0.47-0.77, P&lt;.001) and &gt;10cm</w:t>
      </w:r>
      <w:r w:rsidRPr="001114C2">
        <w:rPr>
          <w:vertAlign w:val="superscript"/>
          <w:lang w:val="en-US"/>
        </w:rPr>
        <w:t>2</w:t>
      </w:r>
      <w:r w:rsidRPr="001114C2">
        <w:rPr>
          <w:lang w:val="en-US"/>
        </w:rPr>
        <w:t xml:space="preserve">(PR: 0.49, 95% CI: 0.33-0.73, P&lt;.001), </w:t>
      </w:r>
      <w:r w:rsidR="006E72D2">
        <w:rPr>
          <w:lang w:val="en-US"/>
        </w:rPr>
        <w:t xml:space="preserve">diabetic foot ulcer </w:t>
      </w:r>
      <w:r w:rsidRPr="001114C2">
        <w:rPr>
          <w:lang w:val="en-US"/>
        </w:rPr>
        <w:t>duration ≥6 months (PR: 0.34, 95% CI:</w:t>
      </w:r>
      <w:r w:rsidR="008140A5">
        <w:rPr>
          <w:lang w:val="en-US"/>
        </w:rPr>
        <w:t xml:space="preserve"> 0.21-0.56, P&lt;.001), type of ulcer</w:t>
      </w:r>
      <w:r w:rsidR="00E81044" w:rsidRPr="001114C2">
        <w:rPr>
          <w:lang w:val="en-US"/>
        </w:rPr>
        <w:t>,</w:t>
      </w:r>
      <w:r w:rsidR="006E32C2" w:rsidRPr="001114C2">
        <w:rPr>
          <w:lang w:val="en-US"/>
        </w:rPr>
        <w:t xml:space="preserve"> </w:t>
      </w:r>
      <w:r w:rsidRPr="001114C2">
        <w:rPr>
          <w:lang w:val="en-US"/>
        </w:rPr>
        <w:t xml:space="preserve">ischemic (PR: 0.46, 95% CI: 0.25-0.84, P=.011) and </w:t>
      </w:r>
      <w:proofErr w:type="spellStart"/>
      <w:r w:rsidRPr="001114C2">
        <w:rPr>
          <w:lang w:val="en-US"/>
        </w:rPr>
        <w:t>neuroischaemic</w:t>
      </w:r>
      <w:proofErr w:type="spellEnd"/>
      <w:r w:rsidRPr="001114C2">
        <w:rPr>
          <w:lang w:val="en-US"/>
        </w:rPr>
        <w:t xml:space="preserve"> (PR: 0.65, 95% CI: 0.50-0.86, P=.002), </w:t>
      </w:r>
      <w:r w:rsidR="00E81044" w:rsidRPr="001114C2">
        <w:rPr>
          <w:lang w:val="en-US"/>
        </w:rPr>
        <w:t xml:space="preserve">if the </w:t>
      </w:r>
      <w:r w:rsidRPr="001114C2">
        <w:rPr>
          <w:lang w:val="en-US"/>
        </w:rPr>
        <w:t xml:space="preserve">wound </w:t>
      </w:r>
      <w:r w:rsidRPr="006E72D2">
        <w:rPr>
          <w:lang w:val="en-US"/>
        </w:rPr>
        <w:t xml:space="preserve">required </w:t>
      </w:r>
      <w:r w:rsidR="006E72D2" w:rsidRPr="006E72D2">
        <w:rPr>
          <w:lang w:val="en-US"/>
        </w:rPr>
        <w:t xml:space="preserve">emergency department </w:t>
      </w:r>
      <w:r w:rsidRPr="006E72D2">
        <w:rPr>
          <w:lang w:val="en-US"/>
        </w:rPr>
        <w:t xml:space="preserve">referral (PR: 0.67, 95% CI: 0.31-0.40, P&lt;.001), </w:t>
      </w:r>
      <w:r w:rsidR="00E81044" w:rsidRPr="006E72D2">
        <w:rPr>
          <w:lang w:val="en-US"/>
        </w:rPr>
        <w:t xml:space="preserve">a </w:t>
      </w:r>
      <w:r w:rsidR="008140A5">
        <w:rPr>
          <w:lang w:val="en-US"/>
        </w:rPr>
        <w:t>diabetic foot screening</w:t>
      </w:r>
      <w:r w:rsidRPr="006E72D2">
        <w:rPr>
          <w:lang w:val="en-US"/>
        </w:rPr>
        <w:t xml:space="preserve"> more than one year ago</w:t>
      </w:r>
      <w:r w:rsidR="00E81044" w:rsidRPr="006E72D2">
        <w:rPr>
          <w:lang w:val="en-US"/>
        </w:rPr>
        <w:t xml:space="preserve"> </w:t>
      </w:r>
      <w:r w:rsidRPr="006E72D2">
        <w:rPr>
          <w:lang w:val="en-US"/>
        </w:rPr>
        <w:t>(PR: 0.67, 95% CI: 0.53-0</w:t>
      </w:r>
      <w:r w:rsidRPr="001114C2">
        <w:rPr>
          <w:lang w:val="en-US"/>
        </w:rPr>
        <w:t xml:space="preserve">.99, P=.040) and </w:t>
      </w:r>
      <w:r w:rsidR="00E81044" w:rsidRPr="001114C2">
        <w:rPr>
          <w:lang w:val="en-US"/>
        </w:rPr>
        <w:t xml:space="preserve">if there were </w:t>
      </w:r>
      <w:r w:rsidRPr="001114C2">
        <w:rPr>
          <w:lang w:val="en-US"/>
        </w:rPr>
        <w:t>never/no records</w:t>
      </w:r>
      <w:r w:rsidR="00AD1231">
        <w:rPr>
          <w:lang w:val="en-US"/>
        </w:rPr>
        <w:t xml:space="preserve"> of</w:t>
      </w:r>
      <w:r w:rsidR="006B6990">
        <w:rPr>
          <w:lang w:val="en-US"/>
        </w:rPr>
        <w:t xml:space="preserve"> diabetic foot screening </w:t>
      </w:r>
      <w:r w:rsidRPr="001114C2">
        <w:rPr>
          <w:lang w:val="en-US"/>
        </w:rPr>
        <w:t>PR: 0.72, 95% CI:</w:t>
      </w:r>
      <w:r w:rsidR="00581D92" w:rsidRPr="001114C2">
        <w:rPr>
          <w:lang w:val="en-US"/>
        </w:rPr>
        <w:t xml:space="preserve"> </w:t>
      </w:r>
      <w:r w:rsidRPr="001114C2">
        <w:rPr>
          <w:lang w:val="en-US"/>
        </w:rPr>
        <w:t xml:space="preserve">0.53 - 0.99, P=.040), </w:t>
      </w:r>
      <w:r w:rsidR="00E81044" w:rsidRPr="001114C2">
        <w:rPr>
          <w:lang w:val="en-US"/>
        </w:rPr>
        <w:t xml:space="preserve">and a </w:t>
      </w:r>
      <w:r w:rsidRPr="001114C2">
        <w:rPr>
          <w:lang w:val="en-US"/>
        </w:rPr>
        <w:t xml:space="preserve">history of previous amputation (PR: 0.68, 95% CI: 0.49-0.95, P=.024).  Unrelated </w:t>
      </w:r>
      <w:r w:rsidR="006E32C2" w:rsidRPr="001114C2">
        <w:rPr>
          <w:lang w:val="en-US"/>
        </w:rPr>
        <w:t>factors for</w:t>
      </w:r>
      <w:r w:rsidR="00E81044" w:rsidRPr="001114C2">
        <w:rPr>
          <w:lang w:val="en-US"/>
        </w:rPr>
        <w:t xml:space="preserve"> </w:t>
      </w:r>
      <w:r w:rsidR="006E72D2">
        <w:rPr>
          <w:lang w:val="en-US"/>
        </w:rPr>
        <w:t xml:space="preserve">diabetic foot ulcer </w:t>
      </w:r>
      <w:r w:rsidRPr="001114C2">
        <w:rPr>
          <w:lang w:val="en-US"/>
        </w:rPr>
        <w:t xml:space="preserve">healing within </w:t>
      </w:r>
      <w:r w:rsidR="001C6537">
        <w:rPr>
          <w:lang w:val="en-US"/>
        </w:rPr>
        <w:t>3</w:t>
      </w:r>
      <w:r w:rsidR="001C6537" w:rsidRPr="001114C2">
        <w:rPr>
          <w:lang w:val="en-US"/>
        </w:rPr>
        <w:t xml:space="preserve"> </w:t>
      </w:r>
      <w:r w:rsidRPr="001114C2">
        <w:rPr>
          <w:lang w:val="en-US"/>
        </w:rPr>
        <w:t xml:space="preserve">months in univariate analysis were: age, race, </w:t>
      </w:r>
      <w:r w:rsidR="006E72D2">
        <w:rPr>
          <w:lang w:val="en-US"/>
        </w:rPr>
        <w:t>body mass index</w:t>
      </w:r>
      <w:r w:rsidRPr="001114C2">
        <w:rPr>
          <w:lang w:val="en-US"/>
        </w:rPr>
        <w:t xml:space="preserve">, wound depth, ulcer location, wound infection, </w:t>
      </w:r>
      <w:r w:rsidRPr="006E72D2">
        <w:rPr>
          <w:lang w:val="en-US"/>
        </w:rPr>
        <w:t xml:space="preserve">duration of </w:t>
      </w:r>
      <w:r w:rsidR="006E72D2" w:rsidRPr="006E72D2">
        <w:rPr>
          <w:lang w:val="en-US"/>
        </w:rPr>
        <w:t>diabetes</w:t>
      </w:r>
      <w:r w:rsidRPr="006E72D2">
        <w:rPr>
          <w:lang w:val="en-US"/>
        </w:rPr>
        <w:t xml:space="preserve">, </w:t>
      </w:r>
      <w:r w:rsidR="006E72D2" w:rsidRPr="006E72D2">
        <w:rPr>
          <w:lang w:val="en-US"/>
        </w:rPr>
        <w:t>institutions</w:t>
      </w:r>
      <w:r w:rsidR="006E72D2">
        <w:rPr>
          <w:lang w:val="en-US"/>
        </w:rPr>
        <w:t xml:space="preserve"> for treatment of diabetes, </w:t>
      </w:r>
      <w:r w:rsidRPr="001114C2">
        <w:rPr>
          <w:lang w:val="en-US"/>
        </w:rPr>
        <w:t>Hb</w:t>
      </w:r>
      <w:r w:rsidR="00936500">
        <w:rPr>
          <w:lang w:val="en-US"/>
        </w:rPr>
        <w:t xml:space="preserve">A1c </w:t>
      </w:r>
      <w:r w:rsidRPr="001114C2">
        <w:rPr>
          <w:lang w:val="en-US"/>
        </w:rPr>
        <w:t xml:space="preserve">value, history of previous </w:t>
      </w:r>
      <w:r w:rsidR="008140A5">
        <w:rPr>
          <w:lang w:val="en-US"/>
        </w:rPr>
        <w:t>diabetic foot ulcer</w:t>
      </w:r>
      <w:r w:rsidR="000738D9">
        <w:rPr>
          <w:lang w:val="en-US"/>
        </w:rPr>
        <w:t>s,</w:t>
      </w:r>
      <w:r w:rsidR="00AD1231">
        <w:rPr>
          <w:lang w:val="en-US"/>
        </w:rPr>
        <w:t xml:space="preserve"> and</w:t>
      </w:r>
      <w:r w:rsidRPr="001114C2">
        <w:rPr>
          <w:lang w:val="en-US"/>
        </w:rPr>
        <w:t xml:space="preserve"> history of </w:t>
      </w:r>
      <w:r w:rsidR="006E72D2">
        <w:rPr>
          <w:lang w:val="en-US"/>
        </w:rPr>
        <w:t xml:space="preserve">end stage of renal failure. </w:t>
      </w:r>
      <w:r w:rsidRPr="001114C2">
        <w:rPr>
          <w:lang w:val="en-US"/>
        </w:rPr>
        <w:t xml:space="preserve"> </w:t>
      </w:r>
    </w:p>
    <w:p w14:paraId="700B68E7" w14:textId="77777777" w:rsidR="00297423" w:rsidRDefault="00297423" w:rsidP="00C93A4A">
      <w:pPr>
        <w:rPr>
          <w:lang w:val="en-US"/>
        </w:rPr>
      </w:pPr>
    </w:p>
    <w:p w14:paraId="70189356" w14:textId="4EF38A3F" w:rsidR="00C93A4A" w:rsidRPr="00297423" w:rsidRDefault="00C93A4A" w:rsidP="00C93A4A">
      <w:pPr>
        <w:rPr>
          <w:b/>
          <w:i/>
        </w:rPr>
      </w:pPr>
      <w:r w:rsidRPr="00297423">
        <w:rPr>
          <w:b/>
          <w:i/>
        </w:rPr>
        <w:t xml:space="preserve">Multivariable regression analysis </w:t>
      </w:r>
      <w:r w:rsidR="00E81044" w:rsidRPr="00297423">
        <w:rPr>
          <w:b/>
          <w:i/>
        </w:rPr>
        <w:t xml:space="preserve">and </w:t>
      </w:r>
      <w:r w:rsidRPr="00297423">
        <w:rPr>
          <w:b/>
          <w:i/>
        </w:rPr>
        <w:t xml:space="preserve">factors </w:t>
      </w:r>
      <w:r w:rsidR="00E81044" w:rsidRPr="00297423">
        <w:rPr>
          <w:b/>
          <w:i/>
        </w:rPr>
        <w:t xml:space="preserve">associated with </w:t>
      </w:r>
      <w:r w:rsidRPr="00297423">
        <w:rPr>
          <w:b/>
          <w:i/>
        </w:rPr>
        <w:t xml:space="preserve">healing within </w:t>
      </w:r>
      <w:r w:rsidR="006E32C2" w:rsidRPr="00297423">
        <w:rPr>
          <w:b/>
          <w:i/>
        </w:rPr>
        <w:t xml:space="preserve">3 </w:t>
      </w:r>
      <w:r w:rsidRPr="00297423">
        <w:rPr>
          <w:b/>
          <w:i/>
        </w:rPr>
        <w:t>months</w:t>
      </w:r>
    </w:p>
    <w:p w14:paraId="79D94AE4" w14:textId="77777777" w:rsidR="00C93A4A" w:rsidRPr="001114C2" w:rsidRDefault="00C93A4A" w:rsidP="00C93A4A">
      <w:pPr>
        <w:rPr>
          <w:b/>
        </w:rPr>
      </w:pPr>
    </w:p>
    <w:p w14:paraId="7B5E4554" w14:textId="26DE63CD" w:rsidR="00C93A4A" w:rsidRPr="001114C2" w:rsidRDefault="00C93A4A" w:rsidP="00194905">
      <w:pPr>
        <w:spacing w:line="240" w:lineRule="auto"/>
        <w:jc w:val="both"/>
        <w:rPr>
          <w:lang w:val="en-US"/>
        </w:rPr>
      </w:pPr>
      <w:r w:rsidRPr="001114C2">
        <w:rPr>
          <w:lang w:val="en-US"/>
        </w:rPr>
        <w:t xml:space="preserve">In </w:t>
      </w:r>
      <w:r w:rsidR="00E81044" w:rsidRPr="00B47215">
        <w:rPr>
          <w:lang w:val="en-US"/>
        </w:rPr>
        <w:t xml:space="preserve">the </w:t>
      </w:r>
      <w:r w:rsidRPr="00B47215">
        <w:rPr>
          <w:lang w:val="en-US"/>
        </w:rPr>
        <w:t>multivariable regression, i</w:t>
      </w:r>
      <w:r w:rsidR="00B47215" w:rsidRPr="00B47215">
        <w:rPr>
          <w:lang w:val="en-US"/>
        </w:rPr>
        <w:t>schemic ulcers</w:t>
      </w:r>
      <w:r w:rsidRPr="00B47215">
        <w:rPr>
          <w:lang w:val="en-US"/>
        </w:rPr>
        <w:t xml:space="preserve"> (PR: 0.54, 95% CI: 0.22-0.86, P=.044), </w:t>
      </w:r>
      <w:proofErr w:type="spellStart"/>
      <w:r w:rsidRPr="00B47215">
        <w:rPr>
          <w:lang w:val="en-US"/>
        </w:rPr>
        <w:t>neuroischemic</w:t>
      </w:r>
      <w:proofErr w:type="spellEnd"/>
      <w:r w:rsidRPr="00B47215">
        <w:rPr>
          <w:lang w:val="en-US"/>
        </w:rPr>
        <w:t xml:space="preserve"> </w:t>
      </w:r>
      <w:r w:rsidR="00B47215" w:rsidRPr="00B47215">
        <w:rPr>
          <w:lang w:val="en-US"/>
        </w:rPr>
        <w:t xml:space="preserve">ulcers </w:t>
      </w:r>
      <w:r w:rsidRPr="00B47215">
        <w:rPr>
          <w:lang w:val="en-US"/>
        </w:rPr>
        <w:t xml:space="preserve">(PR: 0.73, 95% CI: 0.53-0.93, P=.027), </w:t>
      </w:r>
      <w:r w:rsidR="004C1D96">
        <w:rPr>
          <w:lang w:val="en-US"/>
        </w:rPr>
        <w:t>ulcer</w:t>
      </w:r>
      <w:r w:rsidRPr="00B47215">
        <w:rPr>
          <w:lang w:val="en-US"/>
        </w:rPr>
        <w:t xml:space="preserve"> duration ≥6 months (PR: 0.36, 95% CI: 0.19-0.53, P&lt;.001), wound size 1-10cm2(PR: 0.61, 95% CI: 0.46-0.76, P&lt;.001) and &gt;10cm2(PR: 0.55, 95% CI: 0.33-0.76, P=.003) all remained independently inversely associated with </w:t>
      </w:r>
      <w:r w:rsidR="00AD1231">
        <w:rPr>
          <w:lang w:val="en-US"/>
        </w:rPr>
        <w:t xml:space="preserve">healing within </w:t>
      </w:r>
      <w:r w:rsidR="00804F42" w:rsidRPr="00B47215">
        <w:rPr>
          <w:lang w:val="en-US"/>
        </w:rPr>
        <w:t>3</w:t>
      </w:r>
      <w:r w:rsidR="00AD1231">
        <w:rPr>
          <w:lang w:val="en-US"/>
        </w:rPr>
        <w:t xml:space="preserve"> </w:t>
      </w:r>
      <w:r w:rsidR="00804F42" w:rsidRPr="00B47215">
        <w:rPr>
          <w:lang w:val="en-US"/>
        </w:rPr>
        <w:t>month</w:t>
      </w:r>
      <w:r w:rsidR="00AD1231">
        <w:rPr>
          <w:lang w:val="en-US"/>
        </w:rPr>
        <w:t>s</w:t>
      </w:r>
      <w:r w:rsidRPr="00B47215">
        <w:rPr>
          <w:lang w:val="en-US"/>
        </w:rPr>
        <w:t>. The step</w:t>
      </w:r>
      <w:r w:rsidRPr="001114C2">
        <w:rPr>
          <w:lang w:val="en-US"/>
        </w:rPr>
        <w:t xml:space="preserve">wise backward selection model showed that </w:t>
      </w:r>
      <w:r w:rsidR="002D6FA0">
        <w:rPr>
          <w:lang w:val="en-US"/>
        </w:rPr>
        <w:t xml:space="preserve">being </w:t>
      </w:r>
      <w:r w:rsidRPr="001114C2">
        <w:rPr>
          <w:lang w:val="en-US"/>
        </w:rPr>
        <w:t xml:space="preserve">female (PR: 1.18, 95% CI: 0.91-1.45, P=.157) </w:t>
      </w:r>
      <w:r w:rsidR="00E81044" w:rsidRPr="001114C2">
        <w:rPr>
          <w:lang w:val="en-US"/>
        </w:rPr>
        <w:t xml:space="preserve">was </w:t>
      </w:r>
      <w:r w:rsidRPr="001114C2">
        <w:rPr>
          <w:lang w:val="en-US"/>
        </w:rPr>
        <w:t xml:space="preserve">the only factor that </w:t>
      </w:r>
      <w:r w:rsidR="00E81044" w:rsidRPr="001114C2">
        <w:rPr>
          <w:lang w:val="en-US"/>
        </w:rPr>
        <w:t xml:space="preserve">strongly </w:t>
      </w:r>
      <w:r w:rsidRPr="001114C2">
        <w:rPr>
          <w:lang w:val="en-US"/>
        </w:rPr>
        <w:t xml:space="preserve">favored </w:t>
      </w:r>
      <w:r w:rsidR="002D6FA0">
        <w:rPr>
          <w:lang w:val="en-US"/>
        </w:rPr>
        <w:t xml:space="preserve">diabetic foot ulcer </w:t>
      </w:r>
      <w:r w:rsidRPr="001114C2">
        <w:rPr>
          <w:lang w:val="en-US"/>
        </w:rPr>
        <w:t xml:space="preserve">healing within </w:t>
      </w:r>
      <w:r w:rsidR="006E32C2" w:rsidRPr="001114C2">
        <w:rPr>
          <w:lang w:val="en-US"/>
        </w:rPr>
        <w:t xml:space="preserve">3 </w:t>
      </w:r>
      <w:r w:rsidRPr="001114C2">
        <w:rPr>
          <w:lang w:val="en-US"/>
        </w:rPr>
        <w:t xml:space="preserve">months while type of </w:t>
      </w:r>
      <w:r w:rsidR="002D6FA0">
        <w:rPr>
          <w:lang w:val="en-US"/>
        </w:rPr>
        <w:t>ulcer</w:t>
      </w:r>
      <w:r w:rsidRPr="001114C2">
        <w:rPr>
          <w:lang w:val="en-US"/>
        </w:rPr>
        <w:t xml:space="preserve">, </w:t>
      </w:r>
      <w:r w:rsidR="00E81044" w:rsidRPr="001114C2">
        <w:rPr>
          <w:lang w:val="en-US"/>
        </w:rPr>
        <w:t xml:space="preserve">ulcer </w:t>
      </w:r>
      <w:r w:rsidRPr="001114C2">
        <w:rPr>
          <w:lang w:val="en-US"/>
        </w:rPr>
        <w:t>duration and size</w:t>
      </w:r>
      <w:r w:rsidR="00E81044" w:rsidRPr="001114C2">
        <w:rPr>
          <w:lang w:val="en-US"/>
        </w:rPr>
        <w:t xml:space="preserve"> of the ulcer</w:t>
      </w:r>
      <w:r w:rsidRPr="001114C2">
        <w:rPr>
          <w:lang w:val="en-US"/>
        </w:rPr>
        <w:t xml:space="preserve"> were weakly favored </w:t>
      </w:r>
      <w:proofErr w:type="gramStart"/>
      <w:r w:rsidR="00E81044" w:rsidRPr="001114C2">
        <w:rPr>
          <w:lang w:val="en-US"/>
        </w:rPr>
        <w:t>in regards to</w:t>
      </w:r>
      <w:proofErr w:type="gramEnd"/>
      <w:r w:rsidR="00E81044" w:rsidRPr="001114C2">
        <w:rPr>
          <w:lang w:val="en-US"/>
        </w:rPr>
        <w:t xml:space="preserve"> </w:t>
      </w:r>
      <w:r w:rsidR="00B47215">
        <w:rPr>
          <w:lang w:val="en-US"/>
        </w:rPr>
        <w:t xml:space="preserve">ulcer </w:t>
      </w:r>
      <w:r w:rsidRPr="001114C2">
        <w:rPr>
          <w:lang w:val="en-US"/>
        </w:rPr>
        <w:t xml:space="preserve">healing within 3 months. The final multivariable model </w:t>
      </w:r>
      <w:r w:rsidR="00E81044" w:rsidRPr="001114C2">
        <w:rPr>
          <w:lang w:val="en-US"/>
        </w:rPr>
        <w:t>can be seen</w:t>
      </w:r>
      <w:r w:rsidRPr="001114C2">
        <w:rPr>
          <w:lang w:val="en-US"/>
        </w:rPr>
        <w:t xml:space="preserve"> in Figure 2.</w:t>
      </w:r>
    </w:p>
    <w:p w14:paraId="0BC33E4A" w14:textId="77777777" w:rsidR="00BC574A" w:rsidRPr="00297423" w:rsidRDefault="00BC574A" w:rsidP="00D1654B">
      <w:pPr>
        <w:jc w:val="both"/>
        <w:rPr>
          <w:b/>
          <w:lang w:val="en-US"/>
        </w:rPr>
      </w:pPr>
    </w:p>
    <w:p w14:paraId="771CD127" w14:textId="55F4910F" w:rsidR="00194905" w:rsidRPr="00297423" w:rsidRDefault="00194905" w:rsidP="00194905">
      <w:pPr>
        <w:shd w:val="clear" w:color="auto" w:fill="FFFFFF"/>
        <w:rPr>
          <w:rFonts w:eastAsia="Times New Roman"/>
          <w:b/>
          <w:i/>
          <w:color w:val="000000"/>
          <w:lang w:val="en-SG"/>
        </w:rPr>
      </w:pPr>
      <w:r w:rsidRPr="00297423">
        <w:rPr>
          <w:rFonts w:eastAsia="Times New Roman"/>
          <w:b/>
          <w:i/>
          <w:color w:val="000000"/>
          <w:lang w:val="en-SG"/>
        </w:rPr>
        <w:t>Sensitivity analysis</w:t>
      </w:r>
    </w:p>
    <w:p w14:paraId="49D0D2B2" w14:textId="77777777" w:rsidR="00B00ABE" w:rsidRPr="00B00ABE" w:rsidRDefault="00B00ABE" w:rsidP="00194905">
      <w:pPr>
        <w:shd w:val="clear" w:color="auto" w:fill="FFFFFF"/>
        <w:rPr>
          <w:rFonts w:eastAsia="Times New Roman"/>
          <w:i/>
          <w:color w:val="212121"/>
          <w:lang w:val="en-SG"/>
        </w:rPr>
      </w:pPr>
    </w:p>
    <w:p w14:paraId="2790BDA8" w14:textId="4C7A294D" w:rsidR="00194905" w:rsidRPr="001114C2" w:rsidRDefault="004F1875" w:rsidP="00194905">
      <w:pPr>
        <w:shd w:val="clear" w:color="auto" w:fill="FFFFFF"/>
        <w:spacing w:line="240" w:lineRule="auto"/>
        <w:jc w:val="both"/>
        <w:rPr>
          <w:rFonts w:eastAsia="Times New Roman"/>
          <w:color w:val="212121"/>
          <w:lang w:val="en-SG"/>
        </w:rPr>
      </w:pPr>
      <w:r w:rsidRPr="001114C2">
        <w:rPr>
          <w:rFonts w:eastAsia="Times New Roman"/>
          <w:color w:val="000000"/>
          <w:lang w:val="en-SG"/>
        </w:rPr>
        <w:t>In addition to the</w:t>
      </w:r>
      <w:r w:rsidR="004959BD">
        <w:rPr>
          <w:rFonts w:eastAsia="Times New Roman"/>
          <w:color w:val="000000"/>
          <w:lang w:val="en-SG"/>
        </w:rPr>
        <w:t xml:space="preserve"> stepwise backward model, the researchers</w:t>
      </w:r>
      <w:r w:rsidR="00194905" w:rsidRPr="001114C2">
        <w:rPr>
          <w:rFonts w:eastAsia="Times New Roman"/>
          <w:color w:val="000000"/>
          <w:lang w:val="en-SG"/>
        </w:rPr>
        <w:t xml:space="preserve"> also fitted full model to check the model overfitting and direction of effect estimates. AIC and BIC values were higher in the full model indicating </w:t>
      </w:r>
      <w:r w:rsidR="00962C9E">
        <w:rPr>
          <w:rFonts w:eastAsia="Times New Roman"/>
          <w:color w:val="000000"/>
          <w:lang w:val="en-SG"/>
        </w:rPr>
        <w:t xml:space="preserve">the </w:t>
      </w:r>
      <w:r w:rsidR="00194905" w:rsidRPr="001114C2">
        <w:rPr>
          <w:rFonts w:eastAsia="Times New Roman"/>
          <w:color w:val="000000"/>
          <w:lang w:val="en-SG"/>
        </w:rPr>
        <w:t>main </w:t>
      </w:r>
      <w:r w:rsidR="00194905" w:rsidRPr="001114C2">
        <w:rPr>
          <w:rFonts w:eastAsia="Times New Roman"/>
          <w:color w:val="000000"/>
          <w:shd w:val="clear" w:color="auto" w:fill="FFFFFF"/>
          <w:lang w:val="en-SG"/>
        </w:rPr>
        <w:t xml:space="preserve">stepwise backward model was better fit and not overestimating effect estimates. </w:t>
      </w:r>
      <w:r w:rsidRPr="001114C2">
        <w:rPr>
          <w:rFonts w:eastAsia="Times New Roman"/>
          <w:color w:val="000000"/>
          <w:shd w:val="clear" w:color="auto" w:fill="FFFFFF"/>
          <w:lang w:val="en-SG"/>
        </w:rPr>
        <w:t>Furthermore</w:t>
      </w:r>
      <w:r w:rsidR="00194905" w:rsidRPr="001114C2">
        <w:rPr>
          <w:rFonts w:eastAsia="Times New Roman"/>
          <w:color w:val="000000"/>
          <w:shd w:val="clear" w:color="auto" w:fill="FFFFFF"/>
          <w:lang w:val="en-SG"/>
        </w:rPr>
        <w:t xml:space="preserve">, the direction of </w:t>
      </w:r>
      <w:r w:rsidRPr="001114C2">
        <w:rPr>
          <w:rFonts w:eastAsia="Times New Roman"/>
          <w:color w:val="000000"/>
          <w:shd w:val="clear" w:color="auto" w:fill="FFFFFF"/>
          <w:lang w:val="en-SG"/>
        </w:rPr>
        <w:t xml:space="preserve">the </w:t>
      </w:r>
      <w:r w:rsidR="00194905" w:rsidRPr="001114C2">
        <w:rPr>
          <w:rFonts w:eastAsia="Times New Roman"/>
          <w:color w:val="000000"/>
          <w:shd w:val="clear" w:color="auto" w:fill="FFFFFF"/>
          <w:lang w:val="en-SG"/>
        </w:rPr>
        <w:t xml:space="preserve">effect estimates </w:t>
      </w:r>
      <w:r w:rsidRPr="001114C2">
        <w:rPr>
          <w:rFonts w:eastAsia="Times New Roman"/>
          <w:color w:val="000000"/>
          <w:shd w:val="clear" w:color="auto" w:fill="FFFFFF"/>
          <w:lang w:val="en-SG"/>
        </w:rPr>
        <w:t xml:space="preserve">was </w:t>
      </w:r>
      <w:r w:rsidR="00194905" w:rsidRPr="001114C2">
        <w:rPr>
          <w:rFonts w:eastAsia="Times New Roman"/>
          <w:color w:val="000000"/>
          <w:shd w:val="clear" w:color="auto" w:fill="FFFFFF"/>
          <w:lang w:val="en-SG"/>
        </w:rPr>
        <w:t>similar in both full and stepwise backward model</w:t>
      </w:r>
      <w:r w:rsidRPr="001114C2">
        <w:rPr>
          <w:rFonts w:eastAsia="Times New Roman"/>
          <w:color w:val="000000"/>
          <w:shd w:val="clear" w:color="auto" w:fill="FFFFFF"/>
          <w:lang w:val="en-SG"/>
        </w:rPr>
        <w:t>)</w:t>
      </w:r>
      <w:r w:rsidR="00194905" w:rsidRPr="001114C2">
        <w:rPr>
          <w:rFonts w:eastAsia="Times New Roman"/>
          <w:color w:val="000000"/>
          <w:shd w:val="clear" w:color="auto" w:fill="FFFFFF"/>
          <w:lang w:val="en-SG"/>
        </w:rPr>
        <w:t>. Results of full model are attached as supplementary materials (see supplementary Table S1).</w:t>
      </w:r>
    </w:p>
    <w:p w14:paraId="69C53180" w14:textId="6B81A865" w:rsidR="00194905" w:rsidRPr="001114C2" w:rsidRDefault="00194905" w:rsidP="00194905">
      <w:pPr>
        <w:jc w:val="both"/>
        <w:rPr>
          <w:lang w:val="en-US"/>
        </w:rPr>
      </w:pPr>
    </w:p>
    <w:p w14:paraId="78B1F26F" w14:textId="1E062E4C" w:rsidR="00D1654B" w:rsidRPr="001114C2" w:rsidRDefault="00D1654B" w:rsidP="00D1654B">
      <w:pPr>
        <w:rPr>
          <w:sz w:val="20"/>
          <w:szCs w:val="20"/>
          <w:lang w:val="en-SG"/>
        </w:rPr>
      </w:pPr>
      <w:r w:rsidRPr="001114C2">
        <w:rPr>
          <w:sz w:val="20"/>
          <w:szCs w:val="20"/>
          <w:lang w:val="en-SG"/>
        </w:rPr>
        <w:t>Table 1: Background demographic and characteristics of participants and ulcerations</w:t>
      </w:r>
    </w:p>
    <w:tbl>
      <w:tblPr>
        <w:tblW w:w="9360" w:type="dxa"/>
        <w:tblLook w:val="04A0" w:firstRow="1" w:lastRow="0" w:firstColumn="1" w:lastColumn="0" w:noHBand="0" w:noVBand="1"/>
      </w:tblPr>
      <w:tblGrid>
        <w:gridCol w:w="4253"/>
        <w:gridCol w:w="1271"/>
        <w:gridCol w:w="2848"/>
        <w:gridCol w:w="988"/>
      </w:tblGrid>
      <w:tr w:rsidR="00D1654B" w:rsidRPr="001114C2" w14:paraId="708CCF39" w14:textId="77777777" w:rsidTr="00D1654B">
        <w:trPr>
          <w:trHeight w:val="255"/>
        </w:trPr>
        <w:tc>
          <w:tcPr>
            <w:tcW w:w="4253" w:type="dxa"/>
            <w:tcBorders>
              <w:top w:val="single" w:sz="4" w:space="0" w:color="auto"/>
              <w:left w:val="nil"/>
              <w:bottom w:val="single" w:sz="4" w:space="0" w:color="auto"/>
              <w:right w:val="nil"/>
            </w:tcBorders>
            <w:shd w:val="clear" w:color="auto" w:fill="auto"/>
            <w:noWrap/>
            <w:vAlign w:val="center"/>
            <w:hideMark/>
          </w:tcPr>
          <w:p w14:paraId="5DAE8B07"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Background characteristics</w:t>
            </w:r>
          </w:p>
          <w:p w14:paraId="0C186B61"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(N=520)</w:t>
            </w:r>
          </w:p>
        </w:tc>
        <w:tc>
          <w:tcPr>
            <w:tcW w:w="1271" w:type="dxa"/>
            <w:tcBorders>
              <w:top w:val="single" w:sz="4" w:space="0" w:color="auto"/>
              <w:left w:val="nil"/>
              <w:bottom w:val="single" w:sz="4" w:space="0" w:color="auto"/>
              <w:right w:val="nil"/>
            </w:tcBorders>
            <w:shd w:val="clear" w:color="auto" w:fill="auto"/>
            <w:noWrap/>
            <w:vAlign w:val="center"/>
            <w:hideMark/>
          </w:tcPr>
          <w:p w14:paraId="1FDC27EE"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N (%)/ mean (SD)</w:t>
            </w:r>
          </w:p>
        </w:tc>
        <w:tc>
          <w:tcPr>
            <w:tcW w:w="2848" w:type="dxa"/>
            <w:tcBorders>
              <w:top w:val="single" w:sz="4" w:space="0" w:color="auto"/>
              <w:left w:val="nil"/>
              <w:bottom w:val="single" w:sz="4" w:space="0" w:color="auto"/>
              <w:right w:val="nil"/>
            </w:tcBorders>
            <w:shd w:val="clear" w:color="auto" w:fill="auto"/>
            <w:noWrap/>
            <w:vAlign w:val="center"/>
            <w:hideMark/>
          </w:tcPr>
          <w:p w14:paraId="5BF49812"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Background characteristics (N=520)</w:t>
            </w:r>
          </w:p>
        </w:tc>
        <w:tc>
          <w:tcPr>
            <w:tcW w:w="988" w:type="dxa"/>
            <w:tcBorders>
              <w:top w:val="single" w:sz="4" w:space="0" w:color="auto"/>
              <w:left w:val="nil"/>
              <w:bottom w:val="single" w:sz="4" w:space="0" w:color="auto"/>
              <w:right w:val="nil"/>
            </w:tcBorders>
            <w:shd w:val="clear" w:color="auto" w:fill="auto"/>
            <w:noWrap/>
            <w:vAlign w:val="center"/>
            <w:hideMark/>
          </w:tcPr>
          <w:p w14:paraId="517AD6BC"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N (%)</w:t>
            </w:r>
          </w:p>
        </w:tc>
      </w:tr>
      <w:tr w:rsidR="00D1654B" w:rsidRPr="001114C2" w14:paraId="04388BF8" w14:textId="77777777" w:rsidTr="00D1654B">
        <w:trPr>
          <w:trHeight w:val="255"/>
        </w:trPr>
        <w:tc>
          <w:tcPr>
            <w:tcW w:w="4253" w:type="dxa"/>
            <w:tcBorders>
              <w:top w:val="nil"/>
              <w:left w:val="nil"/>
              <w:bottom w:val="nil"/>
              <w:right w:val="nil"/>
            </w:tcBorders>
            <w:shd w:val="clear" w:color="auto" w:fill="auto"/>
            <w:noWrap/>
            <w:vAlign w:val="center"/>
            <w:hideMark/>
          </w:tcPr>
          <w:p w14:paraId="64F6B13F" w14:textId="77777777" w:rsidR="00D1654B" w:rsidRPr="001114C2" w:rsidRDefault="00D1654B" w:rsidP="00D1654B">
            <w:pPr>
              <w:rPr>
                <w:rFonts w:eastAsia="Times New Roman"/>
                <w:b/>
                <w:bCs/>
                <w:i/>
                <w:iCs/>
                <w:color w:val="000000"/>
                <w:sz w:val="16"/>
                <w:szCs w:val="16"/>
                <w:lang w:eastAsia="en-GB"/>
              </w:rPr>
            </w:pPr>
            <w:r w:rsidRPr="001114C2">
              <w:rPr>
                <w:rFonts w:eastAsia="Times New Roman"/>
                <w:b/>
                <w:bCs/>
                <w:i/>
                <w:iCs/>
                <w:color w:val="000000"/>
                <w:sz w:val="16"/>
                <w:szCs w:val="16"/>
                <w:lang w:eastAsia="en-GB"/>
              </w:rPr>
              <w:t>Demographic variables</w:t>
            </w:r>
          </w:p>
        </w:tc>
        <w:tc>
          <w:tcPr>
            <w:tcW w:w="1271" w:type="dxa"/>
            <w:tcBorders>
              <w:top w:val="nil"/>
              <w:left w:val="nil"/>
              <w:bottom w:val="nil"/>
              <w:right w:val="nil"/>
            </w:tcBorders>
            <w:shd w:val="clear" w:color="auto" w:fill="auto"/>
            <w:noWrap/>
            <w:vAlign w:val="center"/>
            <w:hideMark/>
          </w:tcPr>
          <w:p w14:paraId="66FA9B52" w14:textId="77777777" w:rsidR="00D1654B" w:rsidRPr="001114C2" w:rsidRDefault="00D1654B" w:rsidP="00D1654B">
            <w:pPr>
              <w:rPr>
                <w:rFonts w:eastAsia="Times New Roman"/>
                <w:b/>
                <w:bCs/>
                <w:i/>
                <w:iCs/>
                <w:color w:val="000000"/>
                <w:sz w:val="16"/>
                <w:szCs w:val="16"/>
                <w:lang w:eastAsia="en-GB"/>
              </w:rPr>
            </w:pPr>
          </w:p>
        </w:tc>
        <w:tc>
          <w:tcPr>
            <w:tcW w:w="2848" w:type="dxa"/>
            <w:tcBorders>
              <w:top w:val="nil"/>
              <w:left w:val="nil"/>
              <w:bottom w:val="nil"/>
              <w:right w:val="nil"/>
            </w:tcBorders>
            <w:shd w:val="clear" w:color="auto" w:fill="auto"/>
            <w:noWrap/>
            <w:vAlign w:val="center"/>
            <w:hideMark/>
          </w:tcPr>
          <w:p w14:paraId="37258609" w14:textId="77777777" w:rsidR="00D1654B" w:rsidRPr="001114C2" w:rsidRDefault="00D1654B" w:rsidP="00D1654B">
            <w:pPr>
              <w:rPr>
                <w:rFonts w:eastAsia="Times New Roman"/>
                <w:b/>
                <w:bCs/>
                <w:i/>
                <w:iCs/>
                <w:color w:val="000000"/>
                <w:sz w:val="16"/>
                <w:szCs w:val="16"/>
                <w:lang w:eastAsia="en-GB"/>
              </w:rPr>
            </w:pPr>
            <w:r w:rsidRPr="001114C2">
              <w:rPr>
                <w:rFonts w:eastAsia="Times New Roman"/>
                <w:b/>
                <w:bCs/>
                <w:i/>
                <w:iCs/>
                <w:color w:val="000000"/>
                <w:sz w:val="16"/>
                <w:szCs w:val="16"/>
                <w:lang w:eastAsia="en-GB"/>
              </w:rPr>
              <w:t>Other clinical variables</w:t>
            </w:r>
          </w:p>
        </w:tc>
        <w:tc>
          <w:tcPr>
            <w:tcW w:w="988" w:type="dxa"/>
            <w:tcBorders>
              <w:top w:val="nil"/>
              <w:left w:val="nil"/>
              <w:bottom w:val="nil"/>
              <w:right w:val="nil"/>
            </w:tcBorders>
            <w:shd w:val="clear" w:color="auto" w:fill="auto"/>
            <w:noWrap/>
            <w:vAlign w:val="center"/>
            <w:hideMark/>
          </w:tcPr>
          <w:p w14:paraId="3593DAAA" w14:textId="77777777" w:rsidR="00D1654B" w:rsidRPr="001114C2" w:rsidRDefault="00D1654B" w:rsidP="00D1654B">
            <w:pPr>
              <w:rPr>
                <w:rFonts w:eastAsia="Times New Roman"/>
                <w:b/>
                <w:bCs/>
                <w:i/>
                <w:iCs/>
                <w:color w:val="000000"/>
                <w:sz w:val="16"/>
                <w:szCs w:val="16"/>
                <w:lang w:eastAsia="en-GB"/>
              </w:rPr>
            </w:pPr>
          </w:p>
        </w:tc>
      </w:tr>
      <w:tr w:rsidR="00D1654B" w:rsidRPr="001114C2" w14:paraId="78BE36B2" w14:textId="77777777" w:rsidTr="00D1654B">
        <w:trPr>
          <w:trHeight w:val="255"/>
        </w:trPr>
        <w:tc>
          <w:tcPr>
            <w:tcW w:w="4253" w:type="dxa"/>
            <w:tcBorders>
              <w:top w:val="nil"/>
              <w:left w:val="nil"/>
              <w:bottom w:val="nil"/>
              <w:right w:val="nil"/>
            </w:tcBorders>
            <w:shd w:val="clear" w:color="auto" w:fill="auto"/>
            <w:noWrap/>
            <w:vAlign w:val="center"/>
            <w:hideMark/>
          </w:tcPr>
          <w:p w14:paraId="085E6544"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Age (years) (mean (SD))</w:t>
            </w:r>
          </w:p>
        </w:tc>
        <w:tc>
          <w:tcPr>
            <w:tcW w:w="1271" w:type="dxa"/>
            <w:tcBorders>
              <w:top w:val="nil"/>
              <w:left w:val="nil"/>
              <w:bottom w:val="nil"/>
              <w:right w:val="nil"/>
            </w:tcBorders>
            <w:shd w:val="clear" w:color="auto" w:fill="auto"/>
            <w:noWrap/>
            <w:vAlign w:val="center"/>
            <w:hideMark/>
          </w:tcPr>
          <w:p w14:paraId="285F8FB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66.3 (11.3)</w:t>
            </w:r>
          </w:p>
        </w:tc>
        <w:tc>
          <w:tcPr>
            <w:tcW w:w="2848" w:type="dxa"/>
            <w:tcBorders>
              <w:top w:val="nil"/>
              <w:left w:val="nil"/>
              <w:bottom w:val="nil"/>
              <w:right w:val="nil"/>
            </w:tcBorders>
            <w:shd w:val="clear" w:color="auto" w:fill="auto"/>
            <w:noWrap/>
            <w:vAlign w:val="center"/>
            <w:hideMark/>
          </w:tcPr>
          <w:p w14:paraId="751900D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Duration of DM</w:t>
            </w:r>
          </w:p>
        </w:tc>
        <w:tc>
          <w:tcPr>
            <w:tcW w:w="988" w:type="dxa"/>
            <w:tcBorders>
              <w:top w:val="nil"/>
              <w:left w:val="nil"/>
              <w:bottom w:val="nil"/>
              <w:right w:val="nil"/>
            </w:tcBorders>
            <w:shd w:val="clear" w:color="auto" w:fill="auto"/>
            <w:noWrap/>
            <w:vAlign w:val="center"/>
            <w:hideMark/>
          </w:tcPr>
          <w:p w14:paraId="5B4171F9" w14:textId="77777777" w:rsidR="00D1654B" w:rsidRPr="001114C2" w:rsidRDefault="00D1654B" w:rsidP="00D1654B">
            <w:pPr>
              <w:rPr>
                <w:rFonts w:eastAsia="Times New Roman"/>
                <w:color w:val="000000"/>
                <w:sz w:val="16"/>
                <w:szCs w:val="16"/>
                <w:lang w:eastAsia="en-GB"/>
              </w:rPr>
            </w:pPr>
          </w:p>
        </w:tc>
      </w:tr>
      <w:tr w:rsidR="00D1654B" w:rsidRPr="001114C2" w14:paraId="7B1F7F84" w14:textId="77777777" w:rsidTr="00D1654B">
        <w:trPr>
          <w:trHeight w:val="255"/>
        </w:trPr>
        <w:tc>
          <w:tcPr>
            <w:tcW w:w="4253" w:type="dxa"/>
            <w:tcBorders>
              <w:top w:val="nil"/>
              <w:left w:val="nil"/>
              <w:bottom w:val="nil"/>
              <w:right w:val="nil"/>
            </w:tcBorders>
            <w:shd w:val="clear" w:color="auto" w:fill="auto"/>
            <w:noWrap/>
            <w:vAlign w:val="center"/>
            <w:hideMark/>
          </w:tcPr>
          <w:p w14:paraId="3445315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BMI (kg/m</w:t>
            </w:r>
            <w:r w:rsidRPr="001114C2">
              <w:rPr>
                <w:rFonts w:eastAsia="Times New Roman"/>
                <w:color w:val="000000"/>
                <w:sz w:val="16"/>
                <w:szCs w:val="16"/>
                <w:vertAlign w:val="superscript"/>
                <w:lang w:eastAsia="en-GB"/>
              </w:rPr>
              <w:t>2</w:t>
            </w:r>
            <w:r w:rsidRPr="001114C2">
              <w:rPr>
                <w:rFonts w:eastAsia="Times New Roman"/>
                <w:color w:val="000000"/>
                <w:sz w:val="16"/>
                <w:szCs w:val="16"/>
                <w:lang w:eastAsia="en-GB"/>
              </w:rPr>
              <w:t>) (mean (SD))</w:t>
            </w:r>
          </w:p>
        </w:tc>
        <w:tc>
          <w:tcPr>
            <w:tcW w:w="1271" w:type="dxa"/>
            <w:tcBorders>
              <w:top w:val="nil"/>
              <w:left w:val="nil"/>
              <w:bottom w:val="nil"/>
              <w:right w:val="nil"/>
            </w:tcBorders>
            <w:shd w:val="clear" w:color="auto" w:fill="auto"/>
            <w:noWrap/>
            <w:vAlign w:val="center"/>
            <w:hideMark/>
          </w:tcPr>
          <w:p w14:paraId="5D81C49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26.7 (5.8)</w:t>
            </w:r>
          </w:p>
        </w:tc>
        <w:tc>
          <w:tcPr>
            <w:tcW w:w="2848" w:type="dxa"/>
            <w:tcBorders>
              <w:top w:val="nil"/>
              <w:left w:val="nil"/>
              <w:bottom w:val="nil"/>
              <w:right w:val="nil"/>
            </w:tcBorders>
            <w:shd w:val="clear" w:color="auto" w:fill="auto"/>
            <w:noWrap/>
            <w:vAlign w:val="center"/>
            <w:hideMark/>
          </w:tcPr>
          <w:p w14:paraId="565EEE34"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&lt;5 years</w:t>
            </w:r>
          </w:p>
        </w:tc>
        <w:tc>
          <w:tcPr>
            <w:tcW w:w="988" w:type="dxa"/>
            <w:tcBorders>
              <w:top w:val="nil"/>
              <w:left w:val="nil"/>
              <w:bottom w:val="nil"/>
              <w:right w:val="nil"/>
            </w:tcBorders>
            <w:shd w:val="clear" w:color="auto" w:fill="auto"/>
            <w:noWrap/>
            <w:vAlign w:val="center"/>
            <w:hideMark/>
          </w:tcPr>
          <w:p w14:paraId="12E52094"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95 (18.2)</w:t>
            </w:r>
          </w:p>
        </w:tc>
      </w:tr>
      <w:tr w:rsidR="00D1654B" w:rsidRPr="001114C2" w14:paraId="1825C901" w14:textId="77777777" w:rsidTr="00D1654B">
        <w:trPr>
          <w:trHeight w:val="255"/>
        </w:trPr>
        <w:tc>
          <w:tcPr>
            <w:tcW w:w="4253" w:type="dxa"/>
            <w:tcBorders>
              <w:top w:val="nil"/>
              <w:left w:val="nil"/>
              <w:bottom w:val="nil"/>
              <w:right w:val="nil"/>
            </w:tcBorders>
            <w:shd w:val="clear" w:color="auto" w:fill="auto"/>
            <w:noWrap/>
            <w:vAlign w:val="center"/>
            <w:hideMark/>
          </w:tcPr>
          <w:p w14:paraId="026BDC2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Gender</w:t>
            </w:r>
          </w:p>
        </w:tc>
        <w:tc>
          <w:tcPr>
            <w:tcW w:w="1271" w:type="dxa"/>
            <w:tcBorders>
              <w:top w:val="nil"/>
              <w:left w:val="nil"/>
              <w:bottom w:val="nil"/>
              <w:right w:val="nil"/>
            </w:tcBorders>
            <w:shd w:val="clear" w:color="auto" w:fill="auto"/>
            <w:noWrap/>
            <w:vAlign w:val="center"/>
            <w:hideMark/>
          </w:tcPr>
          <w:p w14:paraId="7EEA4924" w14:textId="77777777" w:rsidR="00D1654B" w:rsidRPr="001114C2" w:rsidRDefault="00D1654B" w:rsidP="00D1654B">
            <w:pPr>
              <w:rPr>
                <w:rFonts w:eastAsia="Times New Roman"/>
                <w:color w:val="000000"/>
                <w:sz w:val="16"/>
                <w:szCs w:val="16"/>
                <w:lang w:eastAsia="en-GB"/>
              </w:rPr>
            </w:pPr>
          </w:p>
        </w:tc>
        <w:tc>
          <w:tcPr>
            <w:tcW w:w="2848" w:type="dxa"/>
            <w:tcBorders>
              <w:top w:val="nil"/>
              <w:left w:val="nil"/>
              <w:bottom w:val="nil"/>
              <w:right w:val="nil"/>
            </w:tcBorders>
            <w:shd w:val="clear" w:color="auto" w:fill="auto"/>
            <w:noWrap/>
            <w:vAlign w:val="center"/>
            <w:hideMark/>
          </w:tcPr>
          <w:p w14:paraId="7D04DD04" w14:textId="77777777" w:rsidR="00D1654B" w:rsidRPr="001114C2" w:rsidRDefault="00D1654B" w:rsidP="00D1654B">
            <w:pPr>
              <w:ind w:firstLineChars="100" w:firstLine="160"/>
              <w:rPr>
                <w:rFonts w:eastAsia="Times New Roman"/>
                <w:color w:val="000000"/>
                <w:sz w:val="16"/>
                <w:szCs w:val="16"/>
                <w:lang w:eastAsia="en-GB"/>
              </w:rPr>
            </w:pPr>
            <w:r w:rsidRPr="001114C2">
              <w:rPr>
                <w:rFonts w:ascii="Calibri" w:eastAsia="Times New Roman" w:hAnsi="Calibri" w:cs="Calibri"/>
                <w:color w:val="000000"/>
                <w:sz w:val="16"/>
                <w:szCs w:val="16"/>
                <w:lang w:eastAsia="en-GB"/>
              </w:rPr>
              <w:t>≥</w:t>
            </w:r>
            <w:r w:rsidRPr="001114C2">
              <w:rPr>
                <w:rFonts w:eastAsia="Times New Roman"/>
                <w:color w:val="000000"/>
                <w:sz w:val="16"/>
                <w:szCs w:val="16"/>
                <w:lang w:eastAsia="en-GB"/>
              </w:rPr>
              <w:t>5 years</w:t>
            </w:r>
          </w:p>
        </w:tc>
        <w:tc>
          <w:tcPr>
            <w:tcW w:w="988" w:type="dxa"/>
            <w:tcBorders>
              <w:top w:val="nil"/>
              <w:left w:val="nil"/>
              <w:bottom w:val="nil"/>
              <w:right w:val="nil"/>
            </w:tcBorders>
            <w:shd w:val="clear" w:color="auto" w:fill="auto"/>
            <w:noWrap/>
            <w:vAlign w:val="center"/>
            <w:hideMark/>
          </w:tcPr>
          <w:p w14:paraId="3E9FEBC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425 (81.8)</w:t>
            </w:r>
          </w:p>
        </w:tc>
      </w:tr>
      <w:tr w:rsidR="00D1654B" w:rsidRPr="001114C2" w14:paraId="3170EA4B" w14:textId="77777777" w:rsidTr="00D1654B">
        <w:trPr>
          <w:trHeight w:val="255"/>
        </w:trPr>
        <w:tc>
          <w:tcPr>
            <w:tcW w:w="4253" w:type="dxa"/>
            <w:tcBorders>
              <w:top w:val="nil"/>
              <w:left w:val="nil"/>
              <w:bottom w:val="nil"/>
              <w:right w:val="nil"/>
            </w:tcBorders>
            <w:shd w:val="clear" w:color="auto" w:fill="auto"/>
            <w:noWrap/>
            <w:vAlign w:val="center"/>
            <w:hideMark/>
          </w:tcPr>
          <w:p w14:paraId="7C9CE14F"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Male</w:t>
            </w:r>
          </w:p>
        </w:tc>
        <w:tc>
          <w:tcPr>
            <w:tcW w:w="1271" w:type="dxa"/>
            <w:tcBorders>
              <w:top w:val="nil"/>
              <w:left w:val="nil"/>
              <w:bottom w:val="nil"/>
              <w:right w:val="nil"/>
            </w:tcBorders>
            <w:shd w:val="clear" w:color="auto" w:fill="auto"/>
            <w:noWrap/>
            <w:vAlign w:val="center"/>
            <w:hideMark/>
          </w:tcPr>
          <w:p w14:paraId="297C8B8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343 (66.0)</w:t>
            </w:r>
          </w:p>
        </w:tc>
        <w:tc>
          <w:tcPr>
            <w:tcW w:w="2848" w:type="dxa"/>
            <w:tcBorders>
              <w:top w:val="nil"/>
              <w:left w:val="nil"/>
              <w:bottom w:val="nil"/>
              <w:right w:val="nil"/>
            </w:tcBorders>
            <w:shd w:val="clear" w:color="auto" w:fill="auto"/>
            <w:noWrap/>
            <w:vAlign w:val="center"/>
            <w:hideMark/>
          </w:tcPr>
          <w:p w14:paraId="2A00E52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Treatment of DM</w:t>
            </w:r>
          </w:p>
        </w:tc>
        <w:tc>
          <w:tcPr>
            <w:tcW w:w="988" w:type="dxa"/>
            <w:tcBorders>
              <w:top w:val="nil"/>
              <w:left w:val="nil"/>
              <w:bottom w:val="nil"/>
              <w:right w:val="nil"/>
            </w:tcBorders>
            <w:shd w:val="clear" w:color="auto" w:fill="auto"/>
            <w:noWrap/>
            <w:vAlign w:val="center"/>
            <w:hideMark/>
          </w:tcPr>
          <w:p w14:paraId="7F63C45C" w14:textId="77777777" w:rsidR="00D1654B" w:rsidRPr="001114C2" w:rsidRDefault="00D1654B" w:rsidP="00D1654B">
            <w:pPr>
              <w:rPr>
                <w:rFonts w:eastAsia="Times New Roman"/>
                <w:color w:val="000000"/>
                <w:sz w:val="16"/>
                <w:szCs w:val="16"/>
                <w:lang w:eastAsia="en-GB"/>
              </w:rPr>
            </w:pPr>
          </w:p>
        </w:tc>
      </w:tr>
      <w:tr w:rsidR="00D1654B" w:rsidRPr="001114C2" w14:paraId="2F89ABA3" w14:textId="77777777" w:rsidTr="00D1654B">
        <w:trPr>
          <w:trHeight w:val="255"/>
        </w:trPr>
        <w:tc>
          <w:tcPr>
            <w:tcW w:w="4253" w:type="dxa"/>
            <w:tcBorders>
              <w:top w:val="nil"/>
              <w:left w:val="nil"/>
              <w:bottom w:val="nil"/>
              <w:right w:val="nil"/>
            </w:tcBorders>
            <w:shd w:val="clear" w:color="auto" w:fill="auto"/>
            <w:noWrap/>
            <w:vAlign w:val="center"/>
            <w:hideMark/>
          </w:tcPr>
          <w:p w14:paraId="53D9163D"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Female</w:t>
            </w:r>
          </w:p>
        </w:tc>
        <w:tc>
          <w:tcPr>
            <w:tcW w:w="1271" w:type="dxa"/>
            <w:tcBorders>
              <w:top w:val="nil"/>
              <w:left w:val="nil"/>
              <w:bottom w:val="nil"/>
              <w:right w:val="nil"/>
            </w:tcBorders>
            <w:shd w:val="clear" w:color="auto" w:fill="auto"/>
            <w:noWrap/>
            <w:vAlign w:val="center"/>
            <w:hideMark/>
          </w:tcPr>
          <w:p w14:paraId="4A36F794"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177 (34.0)</w:t>
            </w:r>
          </w:p>
        </w:tc>
        <w:tc>
          <w:tcPr>
            <w:tcW w:w="2848" w:type="dxa"/>
            <w:tcBorders>
              <w:top w:val="nil"/>
              <w:left w:val="nil"/>
              <w:bottom w:val="nil"/>
              <w:right w:val="nil"/>
            </w:tcBorders>
            <w:shd w:val="clear" w:color="auto" w:fill="auto"/>
            <w:noWrap/>
            <w:vAlign w:val="center"/>
            <w:hideMark/>
          </w:tcPr>
          <w:p w14:paraId="39C4C54E"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Polyclinic</w:t>
            </w:r>
          </w:p>
        </w:tc>
        <w:tc>
          <w:tcPr>
            <w:tcW w:w="988" w:type="dxa"/>
            <w:tcBorders>
              <w:top w:val="nil"/>
              <w:left w:val="nil"/>
              <w:bottom w:val="nil"/>
              <w:right w:val="nil"/>
            </w:tcBorders>
            <w:shd w:val="clear" w:color="auto" w:fill="auto"/>
            <w:noWrap/>
            <w:vAlign w:val="center"/>
            <w:hideMark/>
          </w:tcPr>
          <w:p w14:paraId="4CD2015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229 (44.0)</w:t>
            </w:r>
          </w:p>
        </w:tc>
      </w:tr>
      <w:tr w:rsidR="00D1654B" w:rsidRPr="001114C2" w14:paraId="7DD64A59" w14:textId="77777777" w:rsidTr="00D1654B">
        <w:trPr>
          <w:trHeight w:val="255"/>
        </w:trPr>
        <w:tc>
          <w:tcPr>
            <w:tcW w:w="4253" w:type="dxa"/>
            <w:tcBorders>
              <w:top w:val="nil"/>
              <w:left w:val="nil"/>
              <w:bottom w:val="nil"/>
              <w:right w:val="nil"/>
            </w:tcBorders>
            <w:shd w:val="clear" w:color="auto" w:fill="auto"/>
            <w:noWrap/>
            <w:vAlign w:val="center"/>
            <w:hideMark/>
          </w:tcPr>
          <w:p w14:paraId="4F8A67E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Race</w:t>
            </w:r>
          </w:p>
        </w:tc>
        <w:tc>
          <w:tcPr>
            <w:tcW w:w="1271" w:type="dxa"/>
            <w:tcBorders>
              <w:top w:val="nil"/>
              <w:left w:val="nil"/>
              <w:bottom w:val="nil"/>
              <w:right w:val="nil"/>
            </w:tcBorders>
            <w:shd w:val="clear" w:color="auto" w:fill="auto"/>
            <w:noWrap/>
            <w:vAlign w:val="center"/>
            <w:hideMark/>
          </w:tcPr>
          <w:p w14:paraId="0BC1D587" w14:textId="77777777" w:rsidR="00D1654B" w:rsidRPr="001114C2" w:rsidRDefault="00D1654B" w:rsidP="00D1654B">
            <w:pPr>
              <w:rPr>
                <w:rFonts w:eastAsia="Times New Roman"/>
                <w:color w:val="000000"/>
                <w:sz w:val="16"/>
                <w:szCs w:val="16"/>
                <w:lang w:eastAsia="en-GB"/>
              </w:rPr>
            </w:pPr>
          </w:p>
        </w:tc>
        <w:tc>
          <w:tcPr>
            <w:tcW w:w="2848" w:type="dxa"/>
            <w:tcBorders>
              <w:top w:val="nil"/>
              <w:left w:val="nil"/>
              <w:bottom w:val="nil"/>
              <w:right w:val="nil"/>
            </w:tcBorders>
            <w:shd w:val="clear" w:color="auto" w:fill="auto"/>
            <w:noWrap/>
            <w:vAlign w:val="center"/>
            <w:hideMark/>
          </w:tcPr>
          <w:p w14:paraId="26295B22"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Hospital</w:t>
            </w:r>
          </w:p>
        </w:tc>
        <w:tc>
          <w:tcPr>
            <w:tcW w:w="988" w:type="dxa"/>
            <w:tcBorders>
              <w:top w:val="nil"/>
              <w:left w:val="nil"/>
              <w:bottom w:val="nil"/>
              <w:right w:val="nil"/>
            </w:tcBorders>
            <w:shd w:val="clear" w:color="auto" w:fill="auto"/>
            <w:noWrap/>
            <w:vAlign w:val="center"/>
            <w:hideMark/>
          </w:tcPr>
          <w:p w14:paraId="1B99FEF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238 (45.8)</w:t>
            </w:r>
          </w:p>
        </w:tc>
      </w:tr>
      <w:tr w:rsidR="00D1654B" w:rsidRPr="001114C2" w14:paraId="4027C19A" w14:textId="77777777" w:rsidTr="00D1654B">
        <w:trPr>
          <w:trHeight w:val="255"/>
        </w:trPr>
        <w:tc>
          <w:tcPr>
            <w:tcW w:w="4253" w:type="dxa"/>
            <w:tcBorders>
              <w:top w:val="nil"/>
              <w:left w:val="nil"/>
              <w:bottom w:val="nil"/>
              <w:right w:val="nil"/>
            </w:tcBorders>
            <w:shd w:val="clear" w:color="auto" w:fill="auto"/>
            <w:noWrap/>
            <w:vAlign w:val="center"/>
            <w:hideMark/>
          </w:tcPr>
          <w:p w14:paraId="20EF40A1"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Chinese</w:t>
            </w:r>
          </w:p>
        </w:tc>
        <w:tc>
          <w:tcPr>
            <w:tcW w:w="1271" w:type="dxa"/>
            <w:tcBorders>
              <w:top w:val="nil"/>
              <w:left w:val="nil"/>
              <w:bottom w:val="nil"/>
              <w:right w:val="nil"/>
            </w:tcBorders>
            <w:shd w:val="clear" w:color="auto" w:fill="auto"/>
            <w:noWrap/>
            <w:vAlign w:val="center"/>
            <w:hideMark/>
          </w:tcPr>
          <w:p w14:paraId="158F238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259 (49.8)</w:t>
            </w:r>
          </w:p>
        </w:tc>
        <w:tc>
          <w:tcPr>
            <w:tcW w:w="2848" w:type="dxa"/>
            <w:tcBorders>
              <w:top w:val="nil"/>
              <w:left w:val="nil"/>
              <w:bottom w:val="nil"/>
              <w:right w:val="nil"/>
            </w:tcBorders>
            <w:shd w:val="clear" w:color="auto" w:fill="auto"/>
            <w:noWrap/>
            <w:vAlign w:val="center"/>
            <w:hideMark/>
          </w:tcPr>
          <w:p w14:paraId="2F53A181"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GP or self-manage</w:t>
            </w:r>
          </w:p>
        </w:tc>
        <w:tc>
          <w:tcPr>
            <w:tcW w:w="988" w:type="dxa"/>
            <w:tcBorders>
              <w:top w:val="nil"/>
              <w:left w:val="nil"/>
              <w:bottom w:val="nil"/>
              <w:right w:val="nil"/>
            </w:tcBorders>
            <w:shd w:val="clear" w:color="auto" w:fill="auto"/>
            <w:noWrap/>
            <w:vAlign w:val="center"/>
            <w:hideMark/>
          </w:tcPr>
          <w:p w14:paraId="36679E1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53 (10.2)</w:t>
            </w:r>
          </w:p>
        </w:tc>
      </w:tr>
      <w:tr w:rsidR="00D1654B" w:rsidRPr="001114C2" w14:paraId="5B387C2D" w14:textId="77777777" w:rsidTr="00D1654B">
        <w:trPr>
          <w:trHeight w:val="255"/>
        </w:trPr>
        <w:tc>
          <w:tcPr>
            <w:tcW w:w="4253" w:type="dxa"/>
            <w:tcBorders>
              <w:top w:val="nil"/>
              <w:left w:val="nil"/>
              <w:bottom w:val="nil"/>
              <w:right w:val="nil"/>
            </w:tcBorders>
            <w:shd w:val="clear" w:color="auto" w:fill="auto"/>
            <w:noWrap/>
            <w:vAlign w:val="center"/>
            <w:hideMark/>
          </w:tcPr>
          <w:p w14:paraId="503AF91A"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Malay</w:t>
            </w:r>
          </w:p>
        </w:tc>
        <w:tc>
          <w:tcPr>
            <w:tcW w:w="1271" w:type="dxa"/>
            <w:tcBorders>
              <w:top w:val="nil"/>
              <w:left w:val="nil"/>
              <w:bottom w:val="nil"/>
              <w:right w:val="nil"/>
            </w:tcBorders>
            <w:shd w:val="clear" w:color="auto" w:fill="auto"/>
            <w:noWrap/>
            <w:vAlign w:val="center"/>
            <w:hideMark/>
          </w:tcPr>
          <w:p w14:paraId="0173313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154 (29.6)</w:t>
            </w:r>
          </w:p>
        </w:tc>
        <w:tc>
          <w:tcPr>
            <w:tcW w:w="2848" w:type="dxa"/>
            <w:tcBorders>
              <w:top w:val="nil"/>
              <w:left w:val="nil"/>
              <w:bottom w:val="nil"/>
              <w:right w:val="nil"/>
            </w:tcBorders>
            <w:shd w:val="clear" w:color="auto" w:fill="auto"/>
            <w:noWrap/>
            <w:vAlign w:val="center"/>
            <w:hideMark/>
          </w:tcPr>
          <w:p w14:paraId="3B33CB7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Management of DM</w:t>
            </w:r>
          </w:p>
        </w:tc>
        <w:tc>
          <w:tcPr>
            <w:tcW w:w="988" w:type="dxa"/>
            <w:tcBorders>
              <w:top w:val="nil"/>
              <w:left w:val="nil"/>
              <w:bottom w:val="nil"/>
              <w:right w:val="nil"/>
            </w:tcBorders>
            <w:shd w:val="clear" w:color="auto" w:fill="auto"/>
            <w:noWrap/>
            <w:vAlign w:val="center"/>
            <w:hideMark/>
          </w:tcPr>
          <w:p w14:paraId="4D1289AC" w14:textId="77777777" w:rsidR="00D1654B" w:rsidRPr="001114C2" w:rsidRDefault="00D1654B" w:rsidP="00D1654B">
            <w:pPr>
              <w:rPr>
                <w:rFonts w:eastAsia="Times New Roman"/>
                <w:color w:val="000000"/>
                <w:sz w:val="16"/>
                <w:szCs w:val="16"/>
                <w:lang w:eastAsia="en-GB"/>
              </w:rPr>
            </w:pPr>
          </w:p>
        </w:tc>
      </w:tr>
      <w:tr w:rsidR="00D1654B" w:rsidRPr="001114C2" w14:paraId="6E3A6D4F" w14:textId="77777777" w:rsidTr="00D1654B">
        <w:trPr>
          <w:trHeight w:val="255"/>
        </w:trPr>
        <w:tc>
          <w:tcPr>
            <w:tcW w:w="4253" w:type="dxa"/>
            <w:tcBorders>
              <w:top w:val="nil"/>
              <w:left w:val="nil"/>
              <w:bottom w:val="nil"/>
              <w:right w:val="nil"/>
            </w:tcBorders>
            <w:shd w:val="clear" w:color="auto" w:fill="auto"/>
            <w:noWrap/>
            <w:vAlign w:val="center"/>
            <w:hideMark/>
          </w:tcPr>
          <w:p w14:paraId="2100AB62"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Indian</w:t>
            </w:r>
          </w:p>
        </w:tc>
        <w:tc>
          <w:tcPr>
            <w:tcW w:w="1271" w:type="dxa"/>
            <w:tcBorders>
              <w:top w:val="nil"/>
              <w:left w:val="nil"/>
              <w:bottom w:val="nil"/>
              <w:right w:val="nil"/>
            </w:tcBorders>
            <w:shd w:val="clear" w:color="auto" w:fill="auto"/>
            <w:noWrap/>
            <w:vAlign w:val="center"/>
            <w:hideMark/>
          </w:tcPr>
          <w:p w14:paraId="31BB8AB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97 (18.7)</w:t>
            </w:r>
          </w:p>
        </w:tc>
        <w:tc>
          <w:tcPr>
            <w:tcW w:w="2848" w:type="dxa"/>
            <w:tcBorders>
              <w:top w:val="nil"/>
              <w:left w:val="nil"/>
              <w:bottom w:val="nil"/>
              <w:right w:val="nil"/>
            </w:tcBorders>
            <w:shd w:val="clear" w:color="auto" w:fill="auto"/>
            <w:noWrap/>
            <w:vAlign w:val="center"/>
            <w:hideMark/>
          </w:tcPr>
          <w:p w14:paraId="02C49C12"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Diet control</w:t>
            </w:r>
          </w:p>
        </w:tc>
        <w:tc>
          <w:tcPr>
            <w:tcW w:w="988" w:type="dxa"/>
            <w:tcBorders>
              <w:top w:val="nil"/>
              <w:left w:val="nil"/>
              <w:bottom w:val="nil"/>
              <w:right w:val="nil"/>
            </w:tcBorders>
            <w:shd w:val="clear" w:color="auto" w:fill="auto"/>
            <w:noWrap/>
            <w:vAlign w:val="center"/>
            <w:hideMark/>
          </w:tcPr>
          <w:p w14:paraId="4BA4040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36 (6.9)</w:t>
            </w:r>
          </w:p>
        </w:tc>
      </w:tr>
      <w:tr w:rsidR="00D1654B" w:rsidRPr="001114C2" w14:paraId="7796444F" w14:textId="77777777" w:rsidTr="00D1654B">
        <w:trPr>
          <w:trHeight w:val="255"/>
        </w:trPr>
        <w:tc>
          <w:tcPr>
            <w:tcW w:w="4253" w:type="dxa"/>
            <w:tcBorders>
              <w:top w:val="nil"/>
              <w:left w:val="nil"/>
              <w:bottom w:val="nil"/>
              <w:right w:val="nil"/>
            </w:tcBorders>
            <w:shd w:val="clear" w:color="auto" w:fill="auto"/>
            <w:noWrap/>
            <w:vAlign w:val="center"/>
            <w:hideMark/>
          </w:tcPr>
          <w:p w14:paraId="52806376"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Others</w:t>
            </w:r>
          </w:p>
        </w:tc>
        <w:tc>
          <w:tcPr>
            <w:tcW w:w="1271" w:type="dxa"/>
            <w:tcBorders>
              <w:top w:val="nil"/>
              <w:left w:val="nil"/>
              <w:bottom w:val="nil"/>
              <w:right w:val="nil"/>
            </w:tcBorders>
            <w:shd w:val="clear" w:color="auto" w:fill="auto"/>
            <w:noWrap/>
            <w:vAlign w:val="center"/>
            <w:hideMark/>
          </w:tcPr>
          <w:p w14:paraId="2274982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 (1.9)</w:t>
            </w:r>
          </w:p>
        </w:tc>
        <w:tc>
          <w:tcPr>
            <w:tcW w:w="2848" w:type="dxa"/>
            <w:tcBorders>
              <w:top w:val="nil"/>
              <w:left w:val="nil"/>
              <w:bottom w:val="nil"/>
              <w:right w:val="nil"/>
            </w:tcBorders>
            <w:shd w:val="clear" w:color="auto" w:fill="auto"/>
            <w:noWrap/>
            <w:vAlign w:val="center"/>
            <w:hideMark/>
          </w:tcPr>
          <w:p w14:paraId="6DFD2A43"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Oral hypoglycemic agents</w:t>
            </w:r>
          </w:p>
        </w:tc>
        <w:tc>
          <w:tcPr>
            <w:tcW w:w="988" w:type="dxa"/>
            <w:tcBorders>
              <w:top w:val="nil"/>
              <w:left w:val="nil"/>
              <w:bottom w:val="nil"/>
              <w:right w:val="nil"/>
            </w:tcBorders>
            <w:shd w:val="clear" w:color="auto" w:fill="auto"/>
            <w:noWrap/>
            <w:vAlign w:val="center"/>
            <w:hideMark/>
          </w:tcPr>
          <w:p w14:paraId="244B4B5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228 (43.9)</w:t>
            </w:r>
          </w:p>
        </w:tc>
      </w:tr>
      <w:tr w:rsidR="00D1654B" w:rsidRPr="001114C2" w14:paraId="0B4852AA" w14:textId="77777777" w:rsidTr="00D1654B">
        <w:trPr>
          <w:trHeight w:val="255"/>
        </w:trPr>
        <w:tc>
          <w:tcPr>
            <w:tcW w:w="4253" w:type="dxa"/>
            <w:tcBorders>
              <w:top w:val="nil"/>
              <w:left w:val="nil"/>
              <w:bottom w:val="nil"/>
              <w:right w:val="nil"/>
            </w:tcBorders>
            <w:shd w:val="clear" w:color="auto" w:fill="auto"/>
            <w:noWrap/>
            <w:vAlign w:val="center"/>
            <w:hideMark/>
          </w:tcPr>
          <w:p w14:paraId="5AC786A1" w14:textId="77777777" w:rsidR="00D1654B" w:rsidRPr="001114C2" w:rsidRDefault="00D1654B" w:rsidP="00D1654B">
            <w:pPr>
              <w:rPr>
                <w:rFonts w:eastAsia="Times New Roman"/>
                <w:b/>
                <w:bCs/>
                <w:i/>
                <w:iCs/>
                <w:color w:val="000000"/>
                <w:sz w:val="16"/>
                <w:szCs w:val="16"/>
                <w:lang w:eastAsia="en-GB"/>
              </w:rPr>
            </w:pPr>
            <w:r w:rsidRPr="001114C2">
              <w:rPr>
                <w:rFonts w:eastAsia="Times New Roman"/>
                <w:b/>
                <w:bCs/>
                <w:i/>
                <w:iCs/>
                <w:color w:val="000000"/>
                <w:sz w:val="16"/>
                <w:szCs w:val="16"/>
                <w:lang w:eastAsia="en-GB"/>
              </w:rPr>
              <w:t>DFU related variables</w:t>
            </w:r>
          </w:p>
        </w:tc>
        <w:tc>
          <w:tcPr>
            <w:tcW w:w="1271" w:type="dxa"/>
            <w:tcBorders>
              <w:top w:val="nil"/>
              <w:left w:val="nil"/>
              <w:bottom w:val="nil"/>
              <w:right w:val="nil"/>
            </w:tcBorders>
            <w:shd w:val="clear" w:color="auto" w:fill="auto"/>
            <w:noWrap/>
            <w:vAlign w:val="center"/>
            <w:hideMark/>
          </w:tcPr>
          <w:p w14:paraId="3384B91D" w14:textId="77777777" w:rsidR="00D1654B" w:rsidRPr="001114C2" w:rsidRDefault="00D1654B" w:rsidP="00D1654B">
            <w:pPr>
              <w:rPr>
                <w:rFonts w:eastAsia="Times New Roman"/>
                <w:b/>
                <w:bCs/>
                <w:i/>
                <w:iCs/>
                <w:color w:val="000000"/>
                <w:sz w:val="16"/>
                <w:szCs w:val="16"/>
                <w:lang w:eastAsia="en-GB"/>
              </w:rPr>
            </w:pPr>
          </w:p>
        </w:tc>
        <w:tc>
          <w:tcPr>
            <w:tcW w:w="2848" w:type="dxa"/>
            <w:tcBorders>
              <w:top w:val="nil"/>
              <w:left w:val="nil"/>
              <w:bottom w:val="nil"/>
              <w:right w:val="nil"/>
            </w:tcBorders>
            <w:shd w:val="clear" w:color="auto" w:fill="auto"/>
            <w:noWrap/>
            <w:vAlign w:val="center"/>
            <w:hideMark/>
          </w:tcPr>
          <w:p w14:paraId="05BE5339"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Insulin</w:t>
            </w:r>
          </w:p>
        </w:tc>
        <w:tc>
          <w:tcPr>
            <w:tcW w:w="988" w:type="dxa"/>
            <w:tcBorders>
              <w:top w:val="nil"/>
              <w:left w:val="nil"/>
              <w:bottom w:val="nil"/>
              <w:right w:val="nil"/>
            </w:tcBorders>
            <w:shd w:val="clear" w:color="auto" w:fill="auto"/>
            <w:noWrap/>
            <w:vAlign w:val="center"/>
            <w:hideMark/>
          </w:tcPr>
          <w:p w14:paraId="718B625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76 (14.6)</w:t>
            </w:r>
          </w:p>
        </w:tc>
      </w:tr>
      <w:tr w:rsidR="00D1654B" w:rsidRPr="001114C2" w14:paraId="218967C0" w14:textId="77777777" w:rsidTr="00D1654B">
        <w:trPr>
          <w:trHeight w:val="255"/>
        </w:trPr>
        <w:tc>
          <w:tcPr>
            <w:tcW w:w="4253" w:type="dxa"/>
            <w:tcBorders>
              <w:top w:val="nil"/>
              <w:left w:val="nil"/>
              <w:bottom w:val="nil"/>
              <w:right w:val="nil"/>
            </w:tcBorders>
            <w:shd w:val="clear" w:color="auto" w:fill="auto"/>
            <w:noWrap/>
            <w:vAlign w:val="center"/>
            <w:hideMark/>
          </w:tcPr>
          <w:p w14:paraId="7097F9E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Wound size (cm</w:t>
            </w:r>
            <w:r w:rsidRPr="001114C2">
              <w:rPr>
                <w:rFonts w:eastAsia="Times New Roman"/>
                <w:color w:val="000000"/>
                <w:sz w:val="16"/>
                <w:szCs w:val="16"/>
                <w:vertAlign w:val="superscript"/>
                <w:lang w:eastAsia="en-GB"/>
              </w:rPr>
              <w:t>2</w:t>
            </w:r>
            <w:r w:rsidRPr="001114C2">
              <w:rPr>
                <w:rFonts w:eastAsia="Times New Roman"/>
                <w:color w:val="000000"/>
                <w:sz w:val="16"/>
                <w:szCs w:val="16"/>
                <w:lang w:eastAsia="en-GB"/>
              </w:rPr>
              <w:t>) (mean (SD))</w:t>
            </w:r>
          </w:p>
        </w:tc>
        <w:tc>
          <w:tcPr>
            <w:tcW w:w="1271" w:type="dxa"/>
            <w:tcBorders>
              <w:top w:val="nil"/>
              <w:left w:val="nil"/>
              <w:bottom w:val="nil"/>
              <w:right w:val="nil"/>
            </w:tcBorders>
            <w:shd w:val="clear" w:color="auto" w:fill="auto"/>
            <w:noWrap/>
            <w:vAlign w:val="center"/>
            <w:hideMark/>
          </w:tcPr>
          <w:p w14:paraId="115C05D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7.0 (12.5)</w:t>
            </w:r>
          </w:p>
        </w:tc>
        <w:tc>
          <w:tcPr>
            <w:tcW w:w="2848" w:type="dxa"/>
            <w:tcBorders>
              <w:top w:val="nil"/>
              <w:left w:val="nil"/>
              <w:bottom w:val="nil"/>
              <w:right w:val="nil"/>
            </w:tcBorders>
            <w:shd w:val="clear" w:color="auto" w:fill="auto"/>
            <w:noWrap/>
            <w:vAlign w:val="center"/>
            <w:hideMark/>
          </w:tcPr>
          <w:p w14:paraId="1257DB33"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Oral and insulin</w:t>
            </w:r>
          </w:p>
        </w:tc>
        <w:tc>
          <w:tcPr>
            <w:tcW w:w="988" w:type="dxa"/>
            <w:tcBorders>
              <w:top w:val="nil"/>
              <w:left w:val="nil"/>
              <w:bottom w:val="nil"/>
              <w:right w:val="nil"/>
            </w:tcBorders>
            <w:shd w:val="clear" w:color="auto" w:fill="auto"/>
            <w:noWrap/>
            <w:vAlign w:val="center"/>
            <w:hideMark/>
          </w:tcPr>
          <w:p w14:paraId="4F80F6D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156 (30.0)</w:t>
            </w:r>
          </w:p>
        </w:tc>
      </w:tr>
      <w:tr w:rsidR="00D1654B" w:rsidRPr="001114C2" w14:paraId="6CB9C7EE" w14:textId="77777777" w:rsidTr="00D1654B">
        <w:trPr>
          <w:trHeight w:val="255"/>
        </w:trPr>
        <w:tc>
          <w:tcPr>
            <w:tcW w:w="4253" w:type="dxa"/>
            <w:tcBorders>
              <w:top w:val="nil"/>
              <w:left w:val="nil"/>
              <w:bottom w:val="nil"/>
              <w:right w:val="nil"/>
            </w:tcBorders>
            <w:shd w:val="clear" w:color="auto" w:fill="auto"/>
            <w:noWrap/>
            <w:vAlign w:val="center"/>
            <w:hideMark/>
          </w:tcPr>
          <w:p w14:paraId="2F5DF09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Wound depth (cm)</w:t>
            </w:r>
          </w:p>
        </w:tc>
        <w:tc>
          <w:tcPr>
            <w:tcW w:w="1271" w:type="dxa"/>
            <w:tcBorders>
              <w:top w:val="nil"/>
              <w:left w:val="nil"/>
              <w:bottom w:val="nil"/>
              <w:right w:val="nil"/>
            </w:tcBorders>
            <w:shd w:val="clear" w:color="auto" w:fill="auto"/>
            <w:noWrap/>
            <w:vAlign w:val="center"/>
            <w:hideMark/>
          </w:tcPr>
          <w:p w14:paraId="41E3A16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0.5 (0.9)</w:t>
            </w:r>
          </w:p>
        </w:tc>
        <w:tc>
          <w:tcPr>
            <w:tcW w:w="2848" w:type="dxa"/>
            <w:tcBorders>
              <w:top w:val="nil"/>
              <w:left w:val="nil"/>
              <w:bottom w:val="nil"/>
              <w:right w:val="nil"/>
            </w:tcBorders>
            <w:shd w:val="clear" w:color="auto" w:fill="auto"/>
            <w:noWrap/>
            <w:vAlign w:val="center"/>
            <w:hideMark/>
          </w:tcPr>
          <w:p w14:paraId="54B3D05F"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No record</w:t>
            </w:r>
          </w:p>
        </w:tc>
        <w:tc>
          <w:tcPr>
            <w:tcW w:w="988" w:type="dxa"/>
            <w:tcBorders>
              <w:top w:val="nil"/>
              <w:left w:val="nil"/>
              <w:bottom w:val="nil"/>
              <w:right w:val="nil"/>
            </w:tcBorders>
            <w:shd w:val="clear" w:color="auto" w:fill="auto"/>
            <w:noWrap/>
            <w:vAlign w:val="center"/>
            <w:hideMark/>
          </w:tcPr>
          <w:p w14:paraId="114DB23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24 (4.6)</w:t>
            </w:r>
          </w:p>
        </w:tc>
      </w:tr>
      <w:tr w:rsidR="00D1654B" w:rsidRPr="001114C2" w14:paraId="126E4FB8" w14:textId="77777777" w:rsidTr="00D1654B">
        <w:trPr>
          <w:trHeight w:val="255"/>
        </w:trPr>
        <w:tc>
          <w:tcPr>
            <w:tcW w:w="4253" w:type="dxa"/>
            <w:tcBorders>
              <w:top w:val="nil"/>
              <w:left w:val="nil"/>
              <w:bottom w:val="nil"/>
              <w:right w:val="nil"/>
            </w:tcBorders>
            <w:shd w:val="clear" w:color="auto" w:fill="auto"/>
            <w:noWrap/>
            <w:vAlign w:val="center"/>
            <w:hideMark/>
          </w:tcPr>
          <w:p w14:paraId="2E37F644"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Duration of DFU</w:t>
            </w:r>
          </w:p>
        </w:tc>
        <w:tc>
          <w:tcPr>
            <w:tcW w:w="1271" w:type="dxa"/>
            <w:tcBorders>
              <w:top w:val="nil"/>
              <w:left w:val="nil"/>
              <w:bottom w:val="nil"/>
              <w:right w:val="nil"/>
            </w:tcBorders>
            <w:shd w:val="clear" w:color="auto" w:fill="auto"/>
            <w:noWrap/>
            <w:vAlign w:val="center"/>
            <w:hideMark/>
          </w:tcPr>
          <w:p w14:paraId="33EF4B79" w14:textId="77777777" w:rsidR="00D1654B" w:rsidRPr="001114C2" w:rsidRDefault="00D1654B" w:rsidP="00D1654B">
            <w:pPr>
              <w:rPr>
                <w:rFonts w:eastAsia="Times New Roman"/>
                <w:color w:val="000000"/>
                <w:sz w:val="16"/>
                <w:szCs w:val="16"/>
                <w:lang w:eastAsia="en-GB"/>
              </w:rPr>
            </w:pPr>
          </w:p>
        </w:tc>
        <w:tc>
          <w:tcPr>
            <w:tcW w:w="2848" w:type="dxa"/>
            <w:tcBorders>
              <w:top w:val="nil"/>
              <w:left w:val="nil"/>
              <w:bottom w:val="nil"/>
              <w:right w:val="nil"/>
            </w:tcBorders>
            <w:shd w:val="clear" w:color="auto" w:fill="auto"/>
            <w:noWrap/>
            <w:vAlign w:val="center"/>
            <w:hideMark/>
          </w:tcPr>
          <w:p w14:paraId="7E2F205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HbA1c</w:t>
            </w:r>
          </w:p>
        </w:tc>
        <w:tc>
          <w:tcPr>
            <w:tcW w:w="988" w:type="dxa"/>
            <w:tcBorders>
              <w:top w:val="nil"/>
              <w:left w:val="nil"/>
              <w:bottom w:val="nil"/>
              <w:right w:val="nil"/>
            </w:tcBorders>
            <w:shd w:val="clear" w:color="auto" w:fill="auto"/>
            <w:noWrap/>
            <w:vAlign w:val="center"/>
            <w:hideMark/>
          </w:tcPr>
          <w:p w14:paraId="70F8C36E" w14:textId="77777777" w:rsidR="00D1654B" w:rsidRPr="001114C2" w:rsidRDefault="00D1654B" w:rsidP="00D1654B">
            <w:pPr>
              <w:rPr>
                <w:rFonts w:eastAsia="Times New Roman"/>
                <w:color w:val="000000"/>
                <w:sz w:val="16"/>
                <w:szCs w:val="16"/>
                <w:lang w:eastAsia="en-GB"/>
              </w:rPr>
            </w:pPr>
          </w:p>
        </w:tc>
      </w:tr>
      <w:tr w:rsidR="00D1654B" w:rsidRPr="001114C2" w14:paraId="275E9C90" w14:textId="77777777" w:rsidTr="00D1654B">
        <w:trPr>
          <w:trHeight w:val="255"/>
        </w:trPr>
        <w:tc>
          <w:tcPr>
            <w:tcW w:w="4253" w:type="dxa"/>
            <w:tcBorders>
              <w:top w:val="nil"/>
              <w:left w:val="nil"/>
              <w:bottom w:val="nil"/>
              <w:right w:val="nil"/>
            </w:tcBorders>
            <w:shd w:val="clear" w:color="auto" w:fill="auto"/>
            <w:noWrap/>
            <w:vAlign w:val="center"/>
            <w:hideMark/>
          </w:tcPr>
          <w:p w14:paraId="2CF509F4"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&lt;6 months</w:t>
            </w:r>
          </w:p>
        </w:tc>
        <w:tc>
          <w:tcPr>
            <w:tcW w:w="1271" w:type="dxa"/>
            <w:tcBorders>
              <w:top w:val="nil"/>
              <w:left w:val="nil"/>
              <w:bottom w:val="nil"/>
              <w:right w:val="nil"/>
            </w:tcBorders>
            <w:shd w:val="clear" w:color="auto" w:fill="auto"/>
            <w:noWrap/>
            <w:vAlign w:val="center"/>
            <w:hideMark/>
          </w:tcPr>
          <w:p w14:paraId="4F8BB3C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409 (78.6)</w:t>
            </w:r>
          </w:p>
        </w:tc>
        <w:tc>
          <w:tcPr>
            <w:tcW w:w="2848" w:type="dxa"/>
            <w:tcBorders>
              <w:top w:val="nil"/>
              <w:left w:val="nil"/>
              <w:bottom w:val="nil"/>
              <w:right w:val="nil"/>
            </w:tcBorders>
            <w:shd w:val="clear" w:color="auto" w:fill="auto"/>
            <w:noWrap/>
            <w:vAlign w:val="center"/>
            <w:hideMark/>
          </w:tcPr>
          <w:p w14:paraId="3D7BABFC"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&lt;7%</w:t>
            </w:r>
          </w:p>
        </w:tc>
        <w:tc>
          <w:tcPr>
            <w:tcW w:w="988" w:type="dxa"/>
            <w:tcBorders>
              <w:top w:val="nil"/>
              <w:left w:val="nil"/>
              <w:bottom w:val="nil"/>
              <w:right w:val="nil"/>
            </w:tcBorders>
            <w:shd w:val="clear" w:color="auto" w:fill="auto"/>
            <w:noWrap/>
            <w:vAlign w:val="center"/>
            <w:hideMark/>
          </w:tcPr>
          <w:p w14:paraId="4C81B73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99 (19.0)</w:t>
            </w:r>
          </w:p>
        </w:tc>
      </w:tr>
      <w:tr w:rsidR="00D1654B" w:rsidRPr="001114C2" w14:paraId="12AC7D26" w14:textId="77777777" w:rsidTr="00D1654B">
        <w:trPr>
          <w:trHeight w:val="255"/>
        </w:trPr>
        <w:tc>
          <w:tcPr>
            <w:tcW w:w="4253" w:type="dxa"/>
            <w:tcBorders>
              <w:top w:val="nil"/>
              <w:left w:val="nil"/>
              <w:bottom w:val="nil"/>
              <w:right w:val="nil"/>
            </w:tcBorders>
            <w:shd w:val="clear" w:color="auto" w:fill="auto"/>
            <w:noWrap/>
            <w:vAlign w:val="center"/>
            <w:hideMark/>
          </w:tcPr>
          <w:p w14:paraId="73A90325" w14:textId="77777777" w:rsidR="00D1654B" w:rsidRPr="001114C2" w:rsidRDefault="00D1654B" w:rsidP="00D1654B">
            <w:pPr>
              <w:ind w:firstLineChars="100" w:firstLine="160"/>
              <w:rPr>
                <w:rFonts w:eastAsia="Times New Roman"/>
                <w:color w:val="000000"/>
                <w:sz w:val="16"/>
                <w:szCs w:val="16"/>
                <w:lang w:eastAsia="en-GB"/>
              </w:rPr>
            </w:pPr>
            <w:r w:rsidRPr="001114C2">
              <w:rPr>
                <w:rFonts w:ascii="Calibri" w:eastAsia="Times New Roman" w:hAnsi="Calibri" w:cs="Calibri"/>
                <w:color w:val="000000"/>
                <w:sz w:val="16"/>
                <w:szCs w:val="16"/>
                <w:lang w:eastAsia="en-GB"/>
              </w:rPr>
              <w:t>≥</w:t>
            </w:r>
            <w:r w:rsidRPr="001114C2">
              <w:rPr>
                <w:rFonts w:eastAsia="Times New Roman"/>
                <w:color w:val="000000"/>
                <w:sz w:val="16"/>
                <w:szCs w:val="16"/>
                <w:lang w:eastAsia="en-GB"/>
              </w:rPr>
              <w:t>6 months</w:t>
            </w:r>
          </w:p>
        </w:tc>
        <w:tc>
          <w:tcPr>
            <w:tcW w:w="1271" w:type="dxa"/>
            <w:tcBorders>
              <w:top w:val="nil"/>
              <w:left w:val="nil"/>
              <w:bottom w:val="nil"/>
              <w:right w:val="nil"/>
            </w:tcBorders>
            <w:shd w:val="clear" w:color="auto" w:fill="auto"/>
            <w:noWrap/>
            <w:vAlign w:val="center"/>
            <w:hideMark/>
          </w:tcPr>
          <w:p w14:paraId="35EAA38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111 (21.4)</w:t>
            </w:r>
          </w:p>
        </w:tc>
        <w:tc>
          <w:tcPr>
            <w:tcW w:w="2848" w:type="dxa"/>
            <w:tcBorders>
              <w:top w:val="nil"/>
              <w:left w:val="nil"/>
              <w:bottom w:val="nil"/>
              <w:right w:val="nil"/>
            </w:tcBorders>
            <w:shd w:val="clear" w:color="auto" w:fill="auto"/>
            <w:noWrap/>
            <w:vAlign w:val="center"/>
            <w:hideMark/>
          </w:tcPr>
          <w:p w14:paraId="0590E424" w14:textId="77777777" w:rsidR="00D1654B" w:rsidRPr="001114C2" w:rsidRDefault="00D1654B" w:rsidP="00D1654B">
            <w:pPr>
              <w:ind w:firstLineChars="100" w:firstLine="160"/>
              <w:rPr>
                <w:rFonts w:ascii="Calibri" w:eastAsia="Times New Roman" w:hAnsi="Calibri" w:cs="Calibri"/>
                <w:color w:val="000000"/>
                <w:sz w:val="16"/>
                <w:szCs w:val="16"/>
                <w:lang w:eastAsia="en-GB"/>
              </w:rPr>
            </w:pPr>
            <w:r w:rsidRPr="001114C2">
              <w:rPr>
                <w:rFonts w:ascii="Calibri" w:eastAsia="Times New Roman" w:hAnsi="Calibri" w:cs="Calibri"/>
                <w:color w:val="000000"/>
                <w:sz w:val="16"/>
                <w:szCs w:val="16"/>
                <w:lang w:eastAsia="en-GB"/>
              </w:rPr>
              <w:t>≥7%</w:t>
            </w:r>
          </w:p>
        </w:tc>
        <w:tc>
          <w:tcPr>
            <w:tcW w:w="988" w:type="dxa"/>
            <w:tcBorders>
              <w:top w:val="nil"/>
              <w:left w:val="nil"/>
              <w:bottom w:val="nil"/>
              <w:right w:val="nil"/>
            </w:tcBorders>
            <w:shd w:val="clear" w:color="auto" w:fill="auto"/>
            <w:noWrap/>
            <w:vAlign w:val="center"/>
            <w:hideMark/>
          </w:tcPr>
          <w:p w14:paraId="228CE7F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340 (65.4)</w:t>
            </w:r>
          </w:p>
        </w:tc>
      </w:tr>
      <w:tr w:rsidR="00D1654B" w:rsidRPr="001114C2" w14:paraId="33E70274" w14:textId="77777777" w:rsidTr="00D1654B">
        <w:trPr>
          <w:trHeight w:val="255"/>
        </w:trPr>
        <w:tc>
          <w:tcPr>
            <w:tcW w:w="4253" w:type="dxa"/>
            <w:tcBorders>
              <w:top w:val="nil"/>
              <w:left w:val="nil"/>
              <w:bottom w:val="nil"/>
              <w:right w:val="nil"/>
            </w:tcBorders>
            <w:shd w:val="clear" w:color="auto" w:fill="auto"/>
            <w:noWrap/>
            <w:vAlign w:val="center"/>
            <w:hideMark/>
          </w:tcPr>
          <w:p w14:paraId="7E49E30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DFU management before polyclinic</w:t>
            </w:r>
          </w:p>
        </w:tc>
        <w:tc>
          <w:tcPr>
            <w:tcW w:w="1271" w:type="dxa"/>
            <w:tcBorders>
              <w:top w:val="nil"/>
              <w:left w:val="nil"/>
              <w:bottom w:val="nil"/>
              <w:right w:val="nil"/>
            </w:tcBorders>
            <w:shd w:val="clear" w:color="auto" w:fill="auto"/>
            <w:noWrap/>
            <w:vAlign w:val="center"/>
            <w:hideMark/>
          </w:tcPr>
          <w:p w14:paraId="7397AE01" w14:textId="77777777" w:rsidR="00D1654B" w:rsidRPr="001114C2" w:rsidRDefault="00D1654B" w:rsidP="00D1654B">
            <w:pPr>
              <w:rPr>
                <w:rFonts w:eastAsia="Times New Roman"/>
                <w:color w:val="000000"/>
                <w:sz w:val="16"/>
                <w:szCs w:val="16"/>
                <w:lang w:eastAsia="en-GB"/>
              </w:rPr>
            </w:pPr>
          </w:p>
        </w:tc>
        <w:tc>
          <w:tcPr>
            <w:tcW w:w="2848" w:type="dxa"/>
            <w:tcBorders>
              <w:top w:val="nil"/>
              <w:left w:val="nil"/>
              <w:bottom w:val="nil"/>
              <w:right w:val="nil"/>
            </w:tcBorders>
            <w:shd w:val="clear" w:color="auto" w:fill="auto"/>
            <w:noWrap/>
            <w:vAlign w:val="center"/>
            <w:hideMark/>
          </w:tcPr>
          <w:p w14:paraId="1CFB3F32"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Not done or recorded</w:t>
            </w:r>
          </w:p>
        </w:tc>
        <w:tc>
          <w:tcPr>
            <w:tcW w:w="988" w:type="dxa"/>
            <w:tcBorders>
              <w:top w:val="nil"/>
              <w:left w:val="nil"/>
              <w:bottom w:val="nil"/>
              <w:right w:val="nil"/>
            </w:tcBorders>
            <w:shd w:val="clear" w:color="auto" w:fill="auto"/>
            <w:noWrap/>
            <w:vAlign w:val="center"/>
            <w:hideMark/>
          </w:tcPr>
          <w:p w14:paraId="6DB42B1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81 (15.6)</w:t>
            </w:r>
          </w:p>
        </w:tc>
      </w:tr>
      <w:tr w:rsidR="00D1654B" w:rsidRPr="001114C2" w14:paraId="65F52956" w14:textId="77777777" w:rsidTr="00D1654B">
        <w:trPr>
          <w:trHeight w:val="255"/>
        </w:trPr>
        <w:tc>
          <w:tcPr>
            <w:tcW w:w="4253" w:type="dxa"/>
            <w:tcBorders>
              <w:top w:val="nil"/>
              <w:left w:val="nil"/>
              <w:bottom w:val="nil"/>
              <w:right w:val="nil"/>
            </w:tcBorders>
            <w:shd w:val="clear" w:color="auto" w:fill="auto"/>
            <w:noWrap/>
            <w:vAlign w:val="center"/>
            <w:hideMark/>
          </w:tcPr>
          <w:p w14:paraId="4055ECFD"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Self-referral after ulcer debut</w:t>
            </w:r>
          </w:p>
        </w:tc>
        <w:tc>
          <w:tcPr>
            <w:tcW w:w="1271" w:type="dxa"/>
            <w:tcBorders>
              <w:top w:val="nil"/>
              <w:left w:val="nil"/>
              <w:bottom w:val="nil"/>
              <w:right w:val="nil"/>
            </w:tcBorders>
            <w:shd w:val="clear" w:color="auto" w:fill="auto"/>
            <w:noWrap/>
            <w:vAlign w:val="center"/>
            <w:hideMark/>
          </w:tcPr>
          <w:p w14:paraId="3B717F6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244 (46.9)</w:t>
            </w:r>
          </w:p>
        </w:tc>
        <w:tc>
          <w:tcPr>
            <w:tcW w:w="2848" w:type="dxa"/>
            <w:tcBorders>
              <w:top w:val="nil"/>
              <w:left w:val="nil"/>
              <w:bottom w:val="nil"/>
              <w:right w:val="nil"/>
            </w:tcBorders>
            <w:shd w:val="clear" w:color="auto" w:fill="auto"/>
            <w:noWrap/>
            <w:vAlign w:val="center"/>
            <w:hideMark/>
          </w:tcPr>
          <w:p w14:paraId="0C305B1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Diabetic foot screening</w:t>
            </w:r>
          </w:p>
        </w:tc>
        <w:tc>
          <w:tcPr>
            <w:tcW w:w="988" w:type="dxa"/>
            <w:tcBorders>
              <w:top w:val="nil"/>
              <w:left w:val="nil"/>
              <w:bottom w:val="nil"/>
              <w:right w:val="nil"/>
            </w:tcBorders>
            <w:shd w:val="clear" w:color="auto" w:fill="auto"/>
            <w:noWrap/>
            <w:vAlign w:val="center"/>
            <w:hideMark/>
          </w:tcPr>
          <w:p w14:paraId="3622892C" w14:textId="77777777" w:rsidR="00D1654B" w:rsidRPr="001114C2" w:rsidRDefault="00D1654B" w:rsidP="00D1654B">
            <w:pPr>
              <w:rPr>
                <w:rFonts w:eastAsia="Times New Roman"/>
                <w:color w:val="000000"/>
                <w:sz w:val="16"/>
                <w:szCs w:val="16"/>
                <w:lang w:eastAsia="en-GB"/>
              </w:rPr>
            </w:pPr>
          </w:p>
        </w:tc>
      </w:tr>
      <w:tr w:rsidR="00D1654B" w:rsidRPr="001114C2" w14:paraId="44259F2F" w14:textId="77777777" w:rsidTr="00D1654B">
        <w:trPr>
          <w:trHeight w:val="255"/>
        </w:trPr>
        <w:tc>
          <w:tcPr>
            <w:tcW w:w="4253" w:type="dxa"/>
            <w:tcBorders>
              <w:top w:val="nil"/>
              <w:left w:val="nil"/>
              <w:bottom w:val="nil"/>
              <w:right w:val="nil"/>
            </w:tcBorders>
            <w:shd w:val="clear" w:color="auto" w:fill="auto"/>
            <w:noWrap/>
            <w:vAlign w:val="center"/>
            <w:hideMark/>
          </w:tcPr>
          <w:p w14:paraId="093FA59B"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Referred from hospitals</w:t>
            </w:r>
          </w:p>
        </w:tc>
        <w:tc>
          <w:tcPr>
            <w:tcW w:w="1271" w:type="dxa"/>
            <w:tcBorders>
              <w:top w:val="nil"/>
              <w:left w:val="nil"/>
              <w:bottom w:val="nil"/>
              <w:right w:val="nil"/>
            </w:tcBorders>
            <w:shd w:val="clear" w:color="auto" w:fill="auto"/>
            <w:noWrap/>
            <w:vAlign w:val="center"/>
            <w:hideMark/>
          </w:tcPr>
          <w:p w14:paraId="69C0EB3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198 (38.1)</w:t>
            </w:r>
          </w:p>
        </w:tc>
        <w:tc>
          <w:tcPr>
            <w:tcW w:w="2848" w:type="dxa"/>
            <w:tcBorders>
              <w:top w:val="nil"/>
              <w:left w:val="nil"/>
              <w:bottom w:val="nil"/>
              <w:right w:val="nil"/>
            </w:tcBorders>
            <w:shd w:val="clear" w:color="auto" w:fill="auto"/>
            <w:noWrap/>
            <w:vAlign w:val="center"/>
            <w:hideMark/>
          </w:tcPr>
          <w:p w14:paraId="290CC13A"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Within one year</w:t>
            </w:r>
          </w:p>
        </w:tc>
        <w:tc>
          <w:tcPr>
            <w:tcW w:w="988" w:type="dxa"/>
            <w:tcBorders>
              <w:top w:val="nil"/>
              <w:left w:val="nil"/>
              <w:bottom w:val="nil"/>
              <w:right w:val="nil"/>
            </w:tcBorders>
            <w:shd w:val="clear" w:color="auto" w:fill="auto"/>
            <w:noWrap/>
            <w:vAlign w:val="center"/>
            <w:hideMark/>
          </w:tcPr>
          <w:p w14:paraId="695D878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83 (16.0)</w:t>
            </w:r>
          </w:p>
        </w:tc>
      </w:tr>
      <w:tr w:rsidR="00D1654B" w:rsidRPr="001114C2" w14:paraId="436E7B6D" w14:textId="77777777" w:rsidTr="00D1654B">
        <w:trPr>
          <w:trHeight w:val="255"/>
        </w:trPr>
        <w:tc>
          <w:tcPr>
            <w:tcW w:w="4253" w:type="dxa"/>
            <w:tcBorders>
              <w:top w:val="nil"/>
              <w:left w:val="nil"/>
              <w:bottom w:val="nil"/>
              <w:right w:val="nil"/>
            </w:tcBorders>
            <w:shd w:val="clear" w:color="auto" w:fill="auto"/>
            <w:noWrap/>
            <w:vAlign w:val="center"/>
            <w:hideMark/>
          </w:tcPr>
          <w:p w14:paraId="7258B70C"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Referred from GPs</w:t>
            </w:r>
          </w:p>
        </w:tc>
        <w:tc>
          <w:tcPr>
            <w:tcW w:w="1271" w:type="dxa"/>
            <w:tcBorders>
              <w:top w:val="nil"/>
              <w:left w:val="nil"/>
              <w:bottom w:val="nil"/>
              <w:right w:val="nil"/>
            </w:tcBorders>
            <w:shd w:val="clear" w:color="auto" w:fill="auto"/>
            <w:noWrap/>
            <w:vAlign w:val="center"/>
            <w:hideMark/>
          </w:tcPr>
          <w:p w14:paraId="5073338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22 (4.2)</w:t>
            </w:r>
          </w:p>
        </w:tc>
        <w:tc>
          <w:tcPr>
            <w:tcW w:w="2848" w:type="dxa"/>
            <w:tcBorders>
              <w:top w:val="nil"/>
              <w:left w:val="nil"/>
              <w:bottom w:val="nil"/>
              <w:right w:val="nil"/>
            </w:tcBorders>
            <w:shd w:val="clear" w:color="auto" w:fill="auto"/>
            <w:noWrap/>
            <w:vAlign w:val="center"/>
            <w:hideMark/>
          </w:tcPr>
          <w:p w14:paraId="6E8DB383"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More than one year ago</w:t>
            </w:r>
          </w:p>
        </w:tc>
        <w:tc>
          <w:tcPr>
            <w:tcW w:w="988" w:type="dxa"/>
            <w:tcBorders>
              <w:top w:val="nil"/>
              <w:left w:val="nil"/>
              <w:bottom w:val="nil"/>
              <w:right w:val="nil"/>
            </w:tcBorders>
            <w:shd w:val="clear" w:color="auto" w:fill="auto"/>
            <w:noWrap/>
            <w:vAlign w:val="center"/>
            <w:hideMark/>
          </w:tcPr>
          <w:p w14:paraId="4D2C9C2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258 (49.6)</w:t>
            </w:r>
          </w:p>
        </w:tc>
      </w:tr>
      <w:tr w:rsidR="00D1654B" w:rsidRPr="001114C2" w14:paraId="459E5BF7" w14:textId="77777777" w:rsidTr="00D1654B">
        <w:trPr>
          <w:trHeight w:val="255"/>
        </w:trPr>
        <w:tc>
          <w:tcPr>
            <w:tcW w:w="4253" w:type="dxa"/>
            <w:tcBorders>
              <w:top w:val="nil"/>
              <w:left w:val="nil"/>
              <w:bottom w:val="nil"/>
              <w:right w:val="nil"/>
            </w:tcBorders>
            <w:shd w:val="clear" w:color="auto" w:fill="auto"/>
            <w:noWrap/>
            <w:vAlign w:val="center"/>
            <w:hideMark/>
          </w:tcPr>
          <w:p w14:paraId="0081CB7C"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Self-referral after failed wound self-care</w:t>
            </w:r>
          </w:p>
        </w:tc>
        <w:tc>
          <w:tcPr>
            <w:tcW w:w="1271" w:type="dxa"/>
            <w:tcBorders>
              <w:top w:val="nil"/>
              <w:left w:val="nil"/>
              <w:bottom w:val="nil"/>
              <w:right w:val="nil"/>
            </w:tcBorders>
            <w:shd w:val="clear" w:color="auto" w:fill="auto"/>
            <w:noWrap/>
            <w:vAlign w:val="center"/>
            <w:hideMark/>
          </w:tcPr>
          <w:p w14:paraId="0E68011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56 (10.8)</w:t>
            </w:r>
          </w:p>
        </w:tc>
        <w:tc>
          <w:tcPr>
            <w:tcW w:w="2848" w:type="dxa"/>
            <w:tcBorders>
              <w:top w:val="nil"/>
              <w:left w:val="nil"/>
              <w:bottom w:val="nil"/>
              <w:right w:val="nil"/>
            </w:tcBorders>
            <w:shd w:val="clear" w:color="auto" w:fill="auto"/>
            <w:noWrap/>
            <w:vAlign w:val="center"/>
            <w:hideMark/>
          </w:tcPr>
          <w:p w14:paraId="46FE3C7A"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Never/no record</w:t>
            </w:r>
          </w:p>
        </w:tc>
        <w:tc>
          <w:tcPr>
            <w:tcW w:w="988" w:type="dxa"/>
            <w:tcBorders>
              <w:top w:val="nil"/>
              <w:left w:val="nil"/>
              <w:bottom w:val="nil"/>
              <w:right w:val="nil"/>
            </w:tcBorders>
            <w:shd w:val="clear" w:color="auto" w:fill="auto"/>
            <w:noWrap/>
            <w:vAlign w:val="center"/>
            <w:hideMark/>
          </w:tcPr>
          <w:p w14:paraId="2262DBF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179 (34.4)</w:t>
            </w:r>
          </w:p>
        </w:tc>
      </w:tr>
      <w:tr w:rsidR="00D1654B" w:rsidRPr="001114C2" w14:paraId="5D55B63F" w14:textId="77777777" w:rsidTr="00D1654B">
        <w:trPr>
          <w:trHeight w:val="255"/>
        </w:trPr>
        <w:tc>
          <w:tcPr>
            <w:tcW w:w="4253" w:type="dxa"/>
            <w:tcBorders>
              <w:top w:val="nil"/>
              <w:left w:val="nil"/>
              <w:bottom w:val="nil"/>
              <w:right w:val="nil"/>
            </w:tcBorders>
            <w:shd w:val="clear" w:color="auto" w:fill="auto"/>
            <w:noWrap/>
            <w:vAlign w:val="center"/>
            <w:hideMark/>
          </w:tcPr>
          <w:p w14:paraId="673AF18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Ulcer on toe only</w:t>
            </w:r>
          </w:p>
        </w:tc>
        <w:tc>
          <w:tcPr>
            <w:tcW w:w="1271" w:type="dxa"/>
            <w:tcBorders>
              <w:top w:val="nil"/>
              <w:left w:val="nil"/>
              <w:bottom w:val="nil"/>
              <w:right w:val="nil"/>
            </w:tcBorders>
            <w:shd w:val="clear" w:color="auto" w:fill="auto"/>
            <w:noWrap/>
            <w:vAlign w:val="center"/>
            <w:hideMark/>
          </w:tcPr>
          <w:p w14:paraId="5B50262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333 (64.0)</w:t>
            </w:r>
          </w:p>
        </w:tc>
        <w:tc>
          <w:tcPr>
            <w:tcW w:w="2848" w:type="dxa"/>
            <w:tcBorders>
              <w:top w:val="nil"/>
              <w:left w:val="nil"/>
              <w:bottom w:val="nil"/>
              <w:right w:val="nil"/>
            </w:tcBorders>
            <w:shd w:val="clear" w:color="auto" w:fill="auto"/>
            <w:noWrap/>
            <w:vAlign w:val="center"/>
            <w:hideMark/>
          </w:tcPr>
          <w:p w14:paraId="2CD5624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History of previous ulcer</w:t>
            </w:r>
          </w:p>
        </w:tc>
        <w:tc>
          <w:tcPr>
            <w:tcW w:w="988" w:type="dxa"/>
            <w:tcBorders>
              <w:top w:val="nil"/>
              <w:left w:val="nil"/>
              <w:bottom w:val="nil"/>
              <w:right w:val="nil"/>
            </w:tcBorders>
            <w:shd w:val="clear" w:color="auto" w:fill="auto"/>
            <w:noWrap/>
            <w:vAlign w:val="center"/>
            <w:hideMark/>
          </w:tcPr>
          <w:p w14:paraId="112897D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232 (44.6)</w:t>
            </w:r>
          </w:p>
        </w:tc>
      </w:tr>
      <w:tr w:rsidR="00D1654B" w:rsidRPr="001114C2" w14:paraId="6ACB3F57" w14:textId="77777777" w:rsidTr="00D1654B">
        <w:trPr>
          <w:trHeight w:val="255"/>
        </w:trPr>
        <w:tc>
          <w:tcPr>
            <w:tcW w:w="4253" w:type="dxa"/>
            <w:tcBorders>
              <w:top w:val="nil"/>
              <w:left w:val="nil"/>
              <w:bottom w:val="nil"/>
              <w:right w:val="nil"/>
            </w:tcBorders>
            <w:shd w:val="clear" w:color="auto" w:fill="auto"/>
            <w:noWrap/>
            <w:vAlign w:val="center"/>
            <w:hideMark/>
          </w:tcPr>
          <w:p w14:paraId="3C3D6FF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Ulcer on toe and others (plantar/heel/dorsum)</w:t>
            </w:r>
          </w:p>
        </w:tc>
        <w:tc>
          <w:tcPr>
            <w:tcW w:w="1271" w:type="dxa"/>
            <w:tcBorders>
              <w:top w:val="nil"/>
              <w:left w:val="nil"/>
              <w:bottom w:val="nil"/>
              <w:right w:val="nil"/>
            </w:tcBorders>
            <w:shd w:val="clear" w:color="auto" w:fill="auto"/>
            <w:noWrap/>
            <w:vAlign w:val="center"/>
            <w:hideMark/>
          </w:tcPr>
          <w:p w14:paraId="1BFE4CB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26 (5.0)</w:t>
            </w:r>
          </w:p>
        </w:tc>
        <w:tc>
          <w:tcPr>
            <w:tcW w:w="2848" w:type="dxa"/>
            <w:tcBorders>
              <w:top w:val="nil"/>
              <w:left w:val="nil"/>
              <w:bottom w:val="nil"/>
              <w:right w:val="nil"/>
            </w:tcBorders>
            <w:shd w:val="clear" w:color="auto" w:fill="auto"/>
            <w:noWrap/>
            <w:vAlign w:val="center"/>
            <w:hideMark/>
          </w:tcPr>
          <w:p w14:paraId="05D1385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History of previous amputation</w:t>
            </w:r>
          </w:p>
        </w:tc>
        <w:tc>
          <w:tcPr>
            <w:tcW w:w="988" w:type="dxa"/>
            <w:tcBorders>
              <w:top w:val="nil"/>
              <w:left w:val="nil"/>
              <w:bottom w:val="nil"/>
              <w:right w:val="nil"/>
            </w:tcBorders>
            <w:shd w:val="clear" w:color="auto" w:fill="auto"/>
            <w:noWrap/>
            <w:vAlign w:val="center"/>
            <w:hideMark/>
          </w:tcPr>
          <w:p w14:paraId="4669FAE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124 (23.9)</w:t>
            </w:r>
          </w:p>
        </w:tc>
      </w:tr>
      <w:tr w:rsidR="00D1654B" w:rsidRPr="001114C2" w14:paraId="1D5BB1D1" w14:textId="77777777" w:rsidTr="00D1654B">
        <w:trPr>
          <w:trHeight w:val="255"/>
        </w:trPr>
        <w:tc>
          <w:tcPr>
            <w:tcW w:w="4253" w:type="dxa"/>
            <w:tcBorders>
              <w:top w:val="nil"/>
              <w:left w:val="nil"/>
              <w:bottom w:val="nil"/>
              <w:right w:val="nil"/>
            </w:tcBorders>
            <w:shd w:val="clear" w:color="auto" w:fill="auto"/>
            <w:noWrap/>
            <w:vAlign w:val="center"/>
            <w:hideMark/>
          </w:tcPr>
          <w:p w14:paraId="1249DB2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Ulcer on plantar only</w:t>
            </w:r>
          </w:p>
        </w:tc>
        <w:tc>
          <w:tcPr>
            <w:tcW w:w="1271" w:type="dxa"/>
            <w:tcBorders>
              <w:top w:val="nil"/>
              <w:left w:val="nil"/>
              <w:bottom w:val="nil"/>
              <w:right w:val="nil"/>
            </w:tcBorders>
            <w:shd w:val="clear" w:color="auto" w:fill="auto"/>
            <w:noWrap/>
            <w:vAlign w:val="center"/>
            <w:hideMark/>
          </w:tcPr>
          <w:p w14:paraId="3668317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123 (23.7)</w:t>
            </w:r>
          </w:p>
        </w:tc>
        <w:tc>
          <w:tcPr>
            <w:tcW w:w="2848" w:type="dxa"/>
            <w:tcBorders>
              <w:top w:val="nil"/>
              <w:left w:val="nil"/>
              <w:bottom w:val="nil"/>
              <w:right w:val="nil"/>
            </w:tcBorders>
            <w:shd w:val="clear" w:color="auto" w:fill="auto"/>
            <w:noWrap/>
            <w:vAlign w:val="center"/>
            <w:hideMark/>
          </w:tcPr>
          <w:p w14:paraId="563E901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History of ESRF</w:t>
            </w:r>
          </w:p>
        </w:tc>
        <w:tc>
          <w:tcPr>
            <w:tcW w:w="988" w:type="dxa"/>
            <w:tcBorders>
              <w:top w:val="nil"/>
              <w:left w:val="nil"/>
              <w:bottom w:val="nil"/>
              <w:right w:val="nil"/>
            </w:tcBorders>
            <w:shd w:val="clear" w:color="auto" w:fill="auto"/>
            <w:noWrap/>
            <w:vAlign w:val="center"/>
            <w:hideMark/>
          </w:tcPr>
          <w:p w14:paraId="392A0DA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71 (13.7)</w:t>
            </w:r>
          </w:p>
        </w:tc>
      </w:tr>
      <w:tr w:rsidR="00D1654B" w:rsidRPr="001114C2" w14:paraId="69B3435A" w14:textId="77777777" w:rsidTr="00D1654B">
        <w:trPr>
          <w:trHeight w:val="255"/>
        </w:trPr>
        <w:tc>
          <w:tcPr>
            <w:tcW w:w="4253" w:type="dxa"/>
            <w:tcBorders>
              <w:top w:val="nil"/>
              <w:left w:val="nil"/>
              <w:bottom w:val="nil"/>
              <w:right w:val="nil"/>
            </w:tcBorders>
            <w:shd w:val="clear" w:color="auto" w:fill="auto"/>
            <w:noWrap/>
            <w:vAlign w:val="center"/>
            <w:hideMark/>
          </w:tcPr>
          <w:p w14:paraId="61C15E1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Ulcer on heel only/ dorsum only/ more than two locations other than toe</w:t>
            </w:r>
          </w:p>
        </w:tc>
        <w:tc>
          <w:tcPr>
            <w:tcW w:w="1271" w:type="dxa"/>
            <w:tcBorders>
              <w:top w:val="nil"/>
              <w:left w:val="nil"/>
              <w:bottom w:val="nil"/>
              <w:right w:val="nil"/>
            </w:tcBorders>
            <w:shd w:val="clear" w:color="auto" w:fill="auto"/>
            <w:noWrap/>
            <w:vAlign w:val="center"/>
            <w:hideMark/>
          </w:tcPr>
          <w:p w14:paraId="524376E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93 (17.9)</w:t>
            </w:r>
          </w:p>
        </w:tc>
        <w:tc>
          <w:tcPr>
            <w:tcW w:w="2848" w:type="dxa"/>
            <w:tcBorders>
              <w:top w:val="nil"/>
              <w:left w:val="nil"/>
              <w:bottom w:val="nil"/>
              <w:right w:val="nil"/>
            </w:tcBorders>
            <w:shd w:val="clear" w:color="auto" w:fill="auto"/>
            <w:noWrap/>
            <w:vAlign w:val="center"/>
            <w:hideMark/>
          </w:tcPr>
          <w:p w14:paraId="0135D1B1"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08BA2F3F"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0AD94E2D" w14:textId="77777777" w:rsidTr="00D1654B">
        <w:trPr>
          <w:trHeight w:val="255"/>
        </w:trPr>
        <w:tc>
          <w:tcPr>
            <w:tcW w:w="4253" w:type="dxa"/>
            <w:tcBorders>
              <w:top w:val="nil"/>
              <w:left w:val="nil"/>
              <w:bottom w:val="nil"/>
              <w:right w:val="nil"/>
            </w:tcBorders>
            <w:shd w:val="clear" w:color="auto" w:fill="auto"/>
            <w:noWrap/>
            <w:vAlign w:val="center"/>
            <w:hideMark/>
          </w:tcPr>
          <w:p w14:paraId="1D2BB34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Type of DFU</w:t>
            </w:r>
          </w:p>
        </w:tc>
        <w:tc>
          <w:tcPr>
            <w:tcW w:w="1271" w:type="dxa"/>
            <w:tcBorders>
              <w:top w:val="nil"/>
              <w:left w:val="nil"/>
              <w:bottom w:val="nil"/>
              <w:right w:val="nil"/>
            </w:tcBorders>
            <w:shd w:val="clear" w:color="auto" w:fill="auto"/>
            <w:noWrap/>
            <w:vAlign w:val="center"/>
            <w:hideMark/>
          </w:tcPr>
          <w:p w14:paraId="30891883" w14:textId="77777777" w:rsidR="00D1654B" w:rsidRPr="001114C2" w:rsidRDefault="00D1654B" w:rsidP="00D1654B">
            <w:pPr>
              <w:rPr>
                <w:rFonts w:eastAsia="Times New Roman"/>
                <w:color w:val="000000"/>
                <w:sz w:val="16"/>
                <w:szCs w:val="16"/>
                <w:lang w:eastAsia="en-GB"/>
              </w:rPr>
            </w:pPr>
          </w:p>
        </w:tc>
        <w:tc>
          <w:tcPr>
            <w:tcW w:w="2848" w:type="dxa"/>
            <w:tcBorders>
              <w:top w:val="nil"/>
              <w:left w:val="nil"/>
              <w:bottom w:val="nil"/>
              <w:right w:val="nil"/>
            </w:tcBorders>
            <w:shd w:val="clear" w:color="auto" w:fill="auto"/>
            <w:noWrap/>
            <w:vAlign w:val="center"/>
            <w:hideMark/>
          </w:tcPr>
          <w:p w14:paraId="167E2725" w14:textId="77777777" w:rsidR="00D1654B" w:rsidRPr="001114C2" w:rsidRDefault="00D1654B" w:rsidP="00D1654B">
            <w:pPr>
              <w:rPr>
                <w:rFonts w:ascii="Times New Roman" w:eastAsia="Times New Roman" w:hAnsi="Times New Roman"/>
                <w:sz w:val="20"/>
                <w:szCs w:val="20"/>
                <w:lang w:eastAsia="en-GB"/>
              </w:rPr>
            </w:pPr>
          </w:p>
        </w:tc>
        <w:tc>
          <w:tcPr>
            <w:tcW w:w="988" w:type="dxa"/>
            <w:tcBorders>
              <w:top w:val="nil"/>
              <w:left w:val="nil"/>
              <w:bottom w:val="nil"/>
              <w:right w:val="nil"/>
            </w:tcBorders>
            <w:shd w:val="clear" w:color="auto" w:fill="auto"/>
            <w:noWrap/>
            <w:vAlign w:val="center"/>
            <w:hideMark/>
          </w:tcPr>
          <w:p w14:paraId="00B069D9"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54899BDA" w14:textId="77777777" w:rsidTr="00D1654B">
        <w:trPr>
          <w:trHeight w:val="255"/>
        </w:trPr>
        <w:tc>
          <w:tcPr>
            <w:tcW w:w="4253" w:type="dxa"/>
            <w:tcBorders>
              <w:top w:val="nil"/>
              <w:left w:val="nil"/>
              <w:bottom w:val="nil"/>
              <w:right w:val="nil"/>
            </w:tcBorders>
            <w:shd w:val="clear" w:color="auto" w:fill="auto"/>
            <w:noWrap/>
            <w:vAlign w:val="center"/>
            <w:hideMark/>
          </w:tcPr>
          <w:p w14:paraId="4D98CB7F"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Neuropathic</w:t>
            </w:r>
          </w:p>
        </w:tc>
        <w:tc>
          <w:tcPr>
            <w:tcW w:w="1271" w:type="dxa"/>
            <w:tcBorders>
              <w:top w:val="nil"/>
              <w:left w:val="nil"/>
              <w:bottom w:val="nil"/>
              <w:right w:val="nil"/>
            </w:tcBorders>
            <w:shd w:val="clear" w:color="auto" w:fill="auto"/>
            <w:noWrap/>
            <w:vAlign w:val="center"/>
            <w:hideMark/>
          </w:tcPr>
          <w:p w14:paraId="79C3A07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285 (54.8)</w:t>
            </w:r>
          </w:p>
        </w:tc>
        <w:tc>
          <w:tcPr>
            <w:tcW w:w="2848" w:type="dxa"/>
            <w:tcBorders>
              <w:top w:val="nil"/>
              <w:left w:val="nil"/>
              <w:bottom w:val="nil"/>
              <w:right w:val="nil"/>
            </w:tcBorders>
            <w:shd w:val="clear" w:color="auto" w:fill="auto"/>
            <w:noWrap/>
            <w:vAlign w:val="center"/>
            <w:hideMark/>
          </w:tcPr>
          <w:p w14:paraId="60F0B95E"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0E0442F6"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0C2572E4" w14:textId="77777777" w:rsidTr="00D1654B">
        <w:trPr>
          <w:trHeight w:val="255"/>
        </w:trPr>
        <w:tc>
          <w:tcPr>
            <w:tcW w:w="4253" w:type="dxa"/>
            <w:tcBorders>
              <w:top w:val="nil"/>
              <w:left w:val="nil"/>
              <w:bottom w:val="nil"/>
              <w:right w:val="nil"/>
            </w:tcBorders>
            <w:shd w:val="clear" w:color="auto" w:fill="auto"/>
            <w:noWrap/>
            <w:vAlign w:val="center"/>
            <w:hideMark/>
          </w:tcPr>
          <w:p w14:paraId="3E2CD4C9" w14:textId="77777777" w:rsidR="00D1654B" w:rsidRPr="001114C2" w:rsidRDefault="00D1654B" w:rsidP="00D1654B">
            <w:pPr>
              <w:ind w:firstLineChars="100" w:firstLine="160"/>
              <w:rPr>
                <w:rFonts w:eastAsia="Times New Roman"/>
                <w:color w:val="000000"/>
                <w:sz w:val="16"/>
                <w:szCs w:val="16"/>
                <w:lang w:eastAsia="en-GB"/>
              </w:rPr>
            </w:pPr>
            <w:proofErr w:type="spellStart"/>
            <w:r w:rsidRPr="001114C2">
              <w:rPr>
                <w:rFonts w:eastAsia="Times New Roman"/>
                <w:color w:val="000000"/>
                <w:sz w:val="16"/>
                <w:szCs w:val="16"/>
                <w:lang w:eastAsia="en-GB"/>
              </w:rPr>
              <w:t>Ischaemic</w:t>
            </w:r>
            <w:proofErr w:type="spellEnd"/>
          </w:p>
        </w:tc>
        <w:tc>
          <w:tcPr>
            <w:tcW w:w="1271" w:type="dxa"/>
            <w:tcBorders>
              <w:top w:val="nil"/>
              <w:left w:val="nil"/>
              <w:bottom w:val="nil"/>
              <w:right w:val="nil"/>
            </w:tcBorders>
            <w:shd w:val="clear" w:color="auto" w:fill="auto"/>
            <w:noWrap/>
            <w:vAlign w:val="center"/>
            <w:hideMark/>
          </w:tcPr>
          <w:p w14:paraId="58EBEDA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48 (9.2)</w:t>
            </w:r>
          </w:p>
        </w:tc>
        <w:tc>
          <w:tcPr>
            <w:tcW w:w="2848" w:type="dxa"/>
            <w:tcBorders>
              <w:top w:val="nil"/>
              <w:left w:val="nil"/>
              <w:bottom w:val="nil"/>
              <w:right w:val="nil"/>
            </w:tcBorders>
            <w:shd w:val="clear" w:color="auto" w:fill="auto"/>
            <w:noWrap/>
            <w:vAlign w:val="center"/>
            <w:hideMark/>
          </w:tcPr>
          <w:p w14:paraId="6E08CFD8"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631A89CD"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436CB7A3" w14:textId="77777777" w:rsidTr="00D1654B">
        <w:trPr>
          <w:trHeight w:val="255"/>
        </w:trPr>
        <w:tc>
          <w:tcPr>
            <w:tcW w:w="4253" w:type="dxa"/>
            <w:tcBorders>
              <w:top w:val="nil"/>
              <w:left w:val="nil"/>
              <w:bottom w:val="nil"/>
              <w:right w:val="nil"/>
            </w:tcBorders>
            <w:shd w:val="clear" w:color="auto" w:fill="auto"/>
            <w:noWrap/>
            <w:vAlign w:val="center"/>
            <w:hideMark/>
          </w:tcPr>
          <w:p w14:paraId="13B53A25" w14:textId="77777777" w:rsidR="00D1654B" w:rsidRPr="001114C2" w:rsidRDefault="00D1654B" w:rsidP="00D1654B">
            <w:pPr>
              <w:ind w:firstLineChars="100" w:firstLine="160"/>
              <w:rPr>
                <w:rFonts w:eastAsia="Times New Roman"/>
                <w:color w:val="000000"/>
                <w:sz w:val="16"/>
                <w:szCs w:val="16"/>
                <w:lang w:eastAsia="en-GB"/>
              </w:rPr>
            </w:pPr>
            <w:proofErr w:type="spellStart"/>
            <w:r w:rsidRPr="001114C2">
              <w:rPr>
                <w:rFonts w:eastAsia="Times New Roman"/>
                <w:color w:val="000000"/>
                <w:sz w:val="16"/>
                <w:szCs w:val="16"/>
                <w:lang w:eastAsia="en-GB"/>
              </w:rPr>
              <w:t>Neuroischaemic</w:t>
            </w:r>
            <w:proofErr w:type="spellEnd"/>
          </w:p>
        </w:tc>
        <w:tc>
          <w:tcPr>
            <w:tcW w:w="1271" w:type="dxa"/>
            <w:tcBorders>
              <w:top w:val="nil"/>
              <w:left w:val="nil"/>
              <w:bottom w:val="nil"/>
              <w:right w:val="nil"/>
            </w:tcBorders>
            <w:shd w:val="clear" w:color="auto" w:fill="auto"/>
            <w:noWrap/>
            <w:vAlign w:val="center"/>
            <w:hideMark/>
          </w:tcPr>
          <w:p w14:paraId="2A846274"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187 (36.0)</w:t>
            </w:r>
          </w:p>
        </w:tc>
        <w:tc>
          <w:tcPr>
            <w:tcW w:w="2848" w:type="dxa"/>
            <w:tcBorders>
              <w:top w:val="nil"/>
              <w:left w:val="nil"/>
              <w:bottom w:val="nil"/>
              <w:right w:val="nil"/>
            </w:tcBorders>
            <w:shd w:val="clear" w:color="auto" w:fill="auto"/>
            <w:noWrap/>
            <w:vAlign w:val="center"/>
            <w:hideMark/>
          </w:tcPr>
          <w:p w14:paraId="33C1BAC8"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2A275ECD"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2B24FCE9" w14:textId="77777777" w:rsidTr="00D1654B">
        <w:trPr>
          <w:trHeight w:val="255"/>
        </w:trPr>
        <w:tc>
          <w:tcPr>
            <w:tcW w:w="4253" w:type="dxa"/>
            <w:tcBorders>
              <w:top w:val="nil"/>
              <w:left w:val="nil"/>
              <w:bottom w:val="nil"/>
              <w:right w:val="nil"/>
            </w:tcBorders>
            <w:shd w:val="clear" w:color="auto" w:fill="auto"/>
            <w:noWrap/>
            <w:vAlign w:val="center"/>
            <w:hideMark/>
          </w:tcPr>
          <w:p w14:paraId="3CCDC7E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Wound infected (on oral antibiotics)</w:t>
            </w:r>
          </w:p>
        </w:tc>
        <w:tc>
          <w:tcPr>
            <w:tcW w:w="1271" w:type="dxa"/>
            <w:tcBorders>
              <w:top w:val="nil"/>
              <w:left w:val="nil"/>
              <w:bottom w:val="nil"/>
              <w:right w:val="nil"/>
            </w:tcBorders>
            <w:shd w:val="clear" w:color="auto" w:fill="auto"/>
            <w:noWrap/>
            <w:vAlign w:val="center"/>
            <w:hideMark/>
          </w:tcPr>
          <w:p w14:paraId="3D7A9AA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297 (57.1)</w:t>
            </w:r>
          </w:p>
        </w:tc>
        <w:tc>
          <w:tcPr>
            <w:tcW w:w="2848" w:type="dxa"/>
            <w:tcBorders>
              <w:top w:val="nil"/>
              <w:left w:val="nil"/>
              <w:bottom w:val="nil"/>
              <w:right w:val="nil"/>
            </w:tcBorders>
            <w:shd w:val="clear" w:color="auto" w:fill="auto"/>
            <w:noWrap/>
            <w:vAlign w:val="center"/>
            <w:hideMark/>
          </w:tcPr>
          <w:p w14:paraId="238C8357"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609765B0"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75E0B2AA" w14:textId="77777777" w:rsidTr="00D1654B">
        <w:trPr>
          <w:trHeight w:val="255"/>
        </w:trPr>
        <w:tc>
          <w:tcPr>
            <w:tcW w:w="4253" w:type="dxa"/>
            <w:tcBorders>
              <w:top w:val="nil"/>
              <w:left w:val="nil"/>
              <w:bottom w:val="nil"/>
              <w:right w:val="nil"/>
            </w:tcBorders>
            <w:shd w:val="clear" w:color="auto" w:fill="auto"/>
            <w:noWrap/>
            <w:vAlign w:val="center"/>
            <w:hideMark/>
          </w:tcPr>
          <w:p w14:paraId="450746A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Emergency referral</w:t>
            </w:r>
          </w:p>
        </w:tc>
        <w:tc>
          <w:tcPr>
            <w:tcW w:w="1271" w:type="dxa"/>
            <w:tcBorders>
              <w:top w:val="nil"/>
              <w:left w:val="nil"/>
              <w:bottom w:val="nil"/>
              <w:right w:val="nil"/>
            </w:tcBorders>
            <w:shd w:val="clear" w:color="auto" w:fill="auto"/>
            <w:noWrap/>
            <w:vAlign w:val="center"/>
            <w:hideMark/>
          </w:tcPr>
          <w:p w14:paraId="432EE7A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84 (16.2)</w:t>
            </w:r>
          </w:p>
        </w:tc>
        <w:tc>
          <w:tcPr>
            <w:tcW w:w="2848" w:type="dxa"/>
            <w:tcBorders>
              <w:top w:val="nil"/>
              <w:left w:val="nil"/>
              <w:bottom w:val="nil"/>
              <w:right w:val="nil"/>
            </w:tcBorders>
            <w:shd w:val="clear" w:color="auto" w:fill="auto"/>
            <w:noWrap/>
            <w:vAlign w:val="center"/>
            <w:hideMark/>
          </w:tcPr>
          <w:p w14:paraId="797A1A8E"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5C59A375"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17C0A1AB" w14:textId="77777777" w:rsidTr="00D1654B">
        <w:trPr>
          <w:trHeight w:val="255"/>
        </w:trPr>
        <w:tc>
          <w:tcPr>
            <w:tcW w:w="4253" w:type="dxa"/>
            <w:tcBorders>
              <w:top w:val="nil"/>
              <w:left w:val="nil"/>
              <w:bottom w:val="nil"/>
              <w:right w:val="nil"/>
            </w:tcBorders>
            <w:shd w:val="clear" w:color="auto" w:fill="auto"/>
            <w:noWrap/>
            <w:vAlign w:val="center"/>
            <w:hideMark/>
          </w:tcPr>
          <w:p w14:paraId="48332AE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Healing outcomes</w:t>
            </w:r>
          </w:p>
        </w:tc>
        <w:tc>
          <w:tcPr>
            <w:tcW w:w="1271" w:type="dxa"/>
            <w:tcBorders>
              <w:top w:val="nil"/>
              <w:left w:val="nil"/>
              <w:bottom w:val="nil"/>
              <w:right w:val="nil"/>
            </w:tcBorders>
            <w:shd w:val="clear" w:color="auto" w:fill="auto"/>
            <w:noWrap/>
            <w:vAlign w:val="center"/>
            <w:hideMark/>
          </w:tcPr>
          <w:p w14:paraId="6E02BA02" w14:textId="77777777" w:rsidR="00D1654B" w:rsidRPr="001114C2" w:rsidRDefault="00D1654B" w:rsidP="00D1654B">
            <w:pPr>
              <w:rPr>
                <w:rFonts w:eastAsia="Times New Roman"/>
                <w:color w:val="000000"/>
                <w:sz w:val="16"/>
                <w:szCs w:val="16"/>
                <w:lang w:eastAsia="en-GB"/>
              </w:rPr>
            </w:pPr>
          </w:p>
        </w:tc>
        <w:tc>
          <w:tcPr>
            <w:tcW w:w="2848" w:type="dxa"/>
            <w:tcBorders>
              <w:top w:val="nil"/>
              <w:left w:val="nil"/>
              <w:bottom w:val="nil"/>
              <w:right w:val="nil"/>
            </w:tcBorders>
            <w:shd w:val="clear" w:color="auto" w:fill="auto"/>
            <w:noWrap/>
            <w:vAlign w:val="center"/>
            <w:hideMark/>
          </w:tcPr>
          <w:p w14:paraId="79A6DEDA" w14:textId="77777777" w:rsidR="00D1654B" w:rsidRPr="001114C2" w:rsidRDefault="00D1654B" w:rsidP="00D1654B">
            <w:pPr>
              <w:rPr>
                <w:rFonts w:ascii="Times New Roman" w:eastAsia="Times New Roman" w:hAnsi="Times New Roman"/>
                <w:sz w:val="20"/>
                <w:szCs w:val="20"/>
                <w:lang w:eastAsia="en-GB"/>
              </w:rPr>
            </w:pPr>
          </w:p>
        </w:tc>
        <w:tc>
          <w:tcPr>
            <w:tcW w:w="988" w:type="dxa"/>
            <w:tcBorders>
              <w:top w:val="nil"/>
              <w:left w:val="nil"/>
              <w:bottom w:val="nil"/>
              <w:right w:val="nil"/>
            </w:tcBorders>
            <w:shd w:val="clear" w:color="auto" w:fill="auto"/>
            <w:noWrap/>
            <w:vAlign w:val="center"/>
            <w:hideMark/>
          </w:tcPr>
          <w:p w14:paraId="11C0426A"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5BEBFF38" w14:textId="77777777" w:rsidTr="00D1654B">
        <w:trPr>
          <w:trHeight w:val="255"/>
        </w:trPr>
        <w:tc>
          <w:tcPr>
            <w:tcW w:w="4253" w:type="dxa"/>
            <w:tcBorders>
              <w:top w:val="nil"/>
              <w:left w:val="nil"/>
              <w:bottom w:val="nil"/>
              <w:right w:val="nil"/>
            </w:tcBorders>
            <w:shd w:val="clear" w:color="auto" w:fill="auto"/>
            <w:noWrap/>
            <w:vAlign w:val="center"/>
            <w:hideMark/>
          </w:tcPr>
          <w:p w14:paraId="5406E9B2"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Healed within 3 months</w:t>
            </w:r>
          </w:p>
        </w:tc>
        <w:tc>
          <w:tcPr>
            <w:tcW w:w="1271" w:type="dxa"/>
            <w:tcBorders>
              <w:top w:val="nil"/>
              <w:left w:val="nil"/>
              <w:bottom w:val="nil"/>
              <w:right w:val="nil"/>
            </w:tcBorders>
            <w:shd w:val="clear" w:color="auto" w:fill="auto"/>
            <w:noWrap/>
            <w:vAlign w:val="center"/>
            <w:hideMark/>
          </w:tcPr>
          <w:p w14:paraId="284043E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176 (33.9)</w:t>
            </w:r>
          </w:p>
        </w:tc>
        <w:tc>
          <w:tcPr>
            <w:tcW w:w="2848" w:type="dxa"/>
            <w:tcBorders>
              <w:top w:val="nil"/>
              <w:left w:val="nil"/>
              <w:bottom w:val="nil"/>
              <w:right w:val="nil"/>
            </w:tcBorders>
            <w:shd w:val="clear" w:color="auto" w:fill="auto"/>
            <w:noWrap/>
            <w:vAlign w:val="center"/>
            <w:hideMark/>
          </w:tcPr>
          <w:p w14:paraId="447ADB60"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383ECA84"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28409AA6" w14:textId="77777777" w:rsidTr="00D1654B">
        <w:trPr>
          <w:trHeight w:val="255"/>
        </w:trPr>
        <w:tc>
          <w:tcPr>
            <w:tcW w:w="4253" w:type="dxa"/>
            <w:tcBorders>
              <w:top w:val="nil"/>
              <w:left w:val="nil"/>
              <w:bottom w:val="nil"/>
              <w:right w:val="nil"/>
            </w:tcBorders>
            <w:shd w:val="clear" w:color="auto" w:fill="auto"/>
            <w:noWrap/>
            <w:vAlign w:val="center"/>
            <w:hideMark/>
          </w:tcPr>
          <w:p w14:paraId="07AAFC50"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Require more than 3 months (healing in progress)</w:t>
            </w:r>
          </w:p>
        </w:tc>
        <w:tc>
          <w:tcPr>
            <w:tcW w:w="1271" w:type="dxa"/>
            <w:tcBorders>
              <w:top w:val="nil"/>
              <w:left w:val="nil"/>
              <w:bottom w:val="nil"/>
              <w:right w:val="nil"/>
            </w:tcBorders>
            <w:shd w:val="clear" w:color="auto" w:fill="auto"/>
            <w:noWrap/>
            <w:vAlign w:val="center"/>
            <w:hideMark/>
          </w:tcPr>
          <w:p w14:paraId="459E2AE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181 (34.8)</w:t>
            </w:r>
          </w:p>
        </w:tc>
        <w:tc>
          <w:tcPr>
            <w:tcW w:w="2848" w:type="dxa"/>
            <w:tcBorders>
              <w:top w:val="nil"/>
              <w:left w:val="nil"/>
              <w:bottom w:val="nil"/>
              <w:right w:val="nil"/>
            </w:tcBorders>
            <w:shd w:val="clear" w:color="auto" w:fill="auto"/>
            <w:noWrap/>
            <w:vAlign w:val="center"/>
            <w:hideMark/>
          </w:tcPr>
          <w:p w14:paraId="5FE1CA32"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7416C2EB"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24F72C18" w14:textId="77777777" w:rsidTr="00D1654B">
        <w:trPr>
          <w:trHeight w:val="255"/>
        </w:trPr>
        <w:tc>
          <w:tcPr>
            <w:tcW w:w="4253" w:type="dxa"/>
            <w:tcBorders>
              <w:top w:val="nil"/>
              <w:left w:val="nil"/>
              <w:bottom w:val="nil"/>
              <w:right w:val="nil"/>
            </w:tcBorders>
            <w:shd w:val="clear" w:color="auto" w:fill="auto"/>
            <w:noWrap/>
            <w:vAlign w:val="center"/>
            <w:hideMark/>
          </w:tcPr>
          <w:p w14:paraId="51798DB9"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Require minor amputation (below ankle)</w:t>
            </w:r>
          </w:p>
        </w:tc>
        <w:tc>
          <w:tcPr>
            <w:tcW w:w="1271" w:type="dxa"/>
            <w:tcBorders>
              <w:top w:val="nil"/>
              <w:left w:val="nil"/>
              <w:bottom w:val="nil"/>
              <w:right w:val="nil"/>
            </w:tcBorders>
            <w:shd w:val="clear" w:color="auto" w:fill="auto"/>
            <w:noWrap/>
            <w:vAlign w:val="center"/>
            <w:hideMark/>
          </w:tcPr>
          <w:p w14:paraId="3F3ECD9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99 (19.1)</w:t>
            </w:r>
          </w:p>
        </w:tc>
        <w:tc>
          <w:tcPr>
            <w:tcW w:w="2848" w:type="dxa"/>
            <w:tcBorders>
              <w:top w:val="nil"/>
              <w:left w:val="nil"/>
              <w:bottom w:val="nil"/>
              <w:right w:val="nil"/>
            </w:tcBorders>
            <w:shd w:val="clear" w:color="auto" w:fill="auto"/>
            <w:noWrap/>
            <w:vAlign w:val="center"/>
            <w:hideMark/>
          </w:tcPr>
          <w:p w14:paraId="67631750"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5F824DFF"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147E11BB" w14:textId="77777777" w:rsidTr="00D1654B">
        <w:trPr>
          <w:trHeight w:val="255"/>
        </w:trPr>
        <w:tc>
          <w:tcPr>
            <w:tcW w:w="4253" w:type="dxa"/>
            <w:tcBorders>
              <w:top w:val="nil"/>
              <w:left w:val="nil"/>
              <w:bottom w:val="nil"/>
              <w:right w:val="nil"/>
            </w:tcBorders>
            <w:shd w:val="clear" w:color="auto" w:fill="auto"/>
            <w:noWrap/>
            <w:vAlign w:val="center"/>
            <w:hideMark/>
          </w:tcPr>
          <w:p w14:paraId="3963633F"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Require major amputation (above ankle)</w:t>
            </w:r>
          </w:p>
        </w:tc>
        <w:tc>
          <w:tcPr>
            <w:tcW w:w="1271" w:type="dxa"/>
            <w:tcBorders>
              <w:top w:val="nil"/>
              <w:left w:val="nil"/>
              <w:bottom w:val="nil"/>
              <w:right w:val="nil"/>
            </w:tcBorders>
            <w:shd w:val="clear" w:color="auto" w:fill="auto"/>
            <w:noWrap/>
            <w:vAlign w:val="center"/>
            <w:hideMark/>
          </w:tcPr>
          <w:p w14:paraId="34E3292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8 (1.5)</w:t>
            </w:r>
          </w:p>
        </w:tc>
        <w:tc>
          <w:tcPr>
            <w:tcW w:w="2848" w:type="dxa"/>
            <w:tcBorders>
              <w:top w:val="nil"/>
              <w:left w:val="nil"/>
              <w:bottom w:val="nil"/>
              <w:right w:val="nil"/>
            </w:tcBorders>
            <w:shd w:val="clear" w:color="auto" w:fill="auto"/>
            <w:noWrap/>
            <w:vAlign w:val="center"/>
            <w:hideMark/>
          </w:tcPr>
          <w:p w14:paraId="09AE78AA"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0557CDC7"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190F9CB7" w14:textId="77777777" w:rsidTr="00D1654B">
        <w:trPr>
          <w:trHeight w:val="255"/>
        </w:trPr>
        <w:tc>
          <w:tcPr>
            <w:tcW w:w="4253" w:type="dxa"/>
            <w:tcBorders>
              <w:top w:val="nil"/>
              <w:left w:val="nil"/>
              <w:bottom w:val="nil"/>
              <w:right w:val="nil"/>
            </w:tcBorders>
            <w:shd w:val="clear" w:color="auto" w:fill="auto"/>
            <w:noWrap/>
            <w:vAlign w:val="center"/>
            <w:hideMark/>
          </w:tcPr>
          <w:p w14:paraId="437ADC85"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Lost to follow up</w:t>
            </w:r>
          </w:p>
        </w:tc>
        <w:tc>
          <w:tcPr>
            <w:tcW w:w="1271" w:type="dxa"/>
            <w:tcBorders>
              <w:top w:val="nil"/>
              <w:left w:val="nil"/>
              <w:bottom w:val="nil"/>
              <w:right w:val="nil"/>
            </w:tcBorders>
            <w:shd w:val="clear" w:color="auto" w:fill="auto"/>
            <w:noWrap/>
            <w:vAlign w:val="center"/>
            <w:hideMark/>
          </w:tcPr>
          <w:p w14:paraId="5B6AACE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49 (9.4)</w:t>
            </w:r>
          </w:p>
        </w:tc>
        <w:tc>
          <w:tcPr>
            <w:tcW w:w="2848" w:type="dxa"/>
            <w:tcBorders>
              <w:top w:val="nil"/>
              <w:left w:val="nil"/>
              <w:bottom w:val="nil"/>
              <w:right w:val="nil"/>
            </w:tcBorders>
            <w:shd w:val="clear" w:color="auto" w:fill="auto"/>
            <w:noWrap/>
            <w:vAlign w:val="center"/>
            <w:hideMark/>
          </w:tcPr>
          <w:p w14:paraId="267760C0" w14:textId="77777777" w:rsidR="00D1654B" w:rsidRPr="001114C2" w:rsidRDefault="00D1654B" w:rsidP="00D1654B">
            <w:pPr>
              <w:rPr>
                <w:rFonts w:eastAsia="Times New Roman"/>
                <w:color w:val="000000"/>
                <w:sz w:val="16"/>
                <w:szCs w:val="16"/>
                <w:lang w:eastAsia="en-GB"/>
              </w:rPr>
            </w:pPr>
          </w:p>
        </w:tc>
        <w:tc>
          <w:tcPr>
            <w:tcW w:w="988" w:type="dxa"/>
            <w:tcBorders>
              <w:top w:val="nil"/>
              <w:left w:val="nil"/>
              <w:bottom w:val="nil"/>
              <w:right w:val="nil"/>
            </w:tcBorders>
            <w:shd w:val="clear" w:color="auto" w:fill="auto"/>
            <w:noWrap/>
            <w:vAlign w:val="center"/>
            <w:hideMark/>
          </w:tcPr>
          <w:p w14:paraId="4CC768E3" w14:textId="77777777" w:rsidR="00D1654B" w:rsidRPr="001114C2" w:rsidRDefault="00D1654B" w:rsidP="00D1654B">
            <w:pPr>
              <w:rPr>
                <w:rFonts w:ascii="Times New Roman" w:eastAsia="Times New Roman" w:hAnsi="Times New Roman"/>
                <w:sz w:val="20"/>
                <w:szCs w:val="20"/>
                <w:lang w:eastAsia="en-GB"/>
              </w:rPr>
            </w:pPr>
          </w:p>
        </w:tc>
      </w:tr>
      <w:tr w:rsidR="00D1654B" w:rsidRPr="001114C2" w14:paraId="32DCBF31" w14:textId="77777777" w:rsidTr="00D1654B">
        <w:trPr>
          <w:trHeight w:val="255"/>
        </w:trPr>
        <w:tc>
          <w:tcPr>
            <w:tcW w:w="4253" w:type="dxa"/>
            <w:tcBorders>
              <w:top w:val="nil"/>
              <w:left w:val="nil"/>
              <w:bottom w:val="single" w:sz="4" w:space="0" w:color="auto"/>
              <w:right w:val="nil"/>
            </w:tcBorders>
            <w:shd w:val="clear" w:color="auto" w:fill="auto"/>
            <w:noWrap/>
            <w:vAlign w:val="center"/>
            <w:hideMark/>
          </w:tcPr>
          <w:p w14:paraId="06FBE091"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Died</w:t>
            </w:r>
          </w:p>
        </w:tc>
        <w:tc>
          <w:tcPr>
            <w:tcW w:w="1271" w:type="dxa"/>
            <w:tcBorders>
              <w:top w:val="nil"/>
              <w:left w:val="nil"/>
              <w:bottom w:val="single" w:sz="4" w:space="0" w:color="auto"/>
              <w:right w:val="nil"/>
            </w:tcBorders>
            <w:shd w:val="clear" w:color="auto" w:fill="auto"/>
            <w:noWrap/>
            <w:vAlign w:val="center"/>
            <w:hideMark/>
          </w:tcPr>
          <w:p w14:paraId="07E2C41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7 (1.3)</w:t>
            </w:r>
          </w:p>
        </w:tc>
        <w:tc>
          <w:tcPr>
            <w:tcW w:w="2848" w:type="dxa"/>
            <w:tcBorders>
              <w:top w:val="nil"/>
              <w:left w:val="nil"/>
              <w:bottom w:val="single" w:sz="4" w:space="0" w:color="auto"/>
              <w:right w:val="nil"/>
            </w:tcBorders>
            <w:shd w:val="clear" w:color="auto" w:fill="auto"/>
            <w:noWrap/>
            <w:vAlign w:val="center"/>
            <w:hideMark/>
          </w:tcPr>
          <w:p w14:paraId="218A512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 </w:t>
            </w:r>
          </w:p>
        </w:tc>
        <w:tc>
          <w:tcPr>
            <w:tcW w:w="988" w:type="dxa"/>
            <w:tcBorders>
              <w:top w:val="nil"/>
              <w:left w:val="nil"/>
              <w:bottom w:val="single" w:sz="4" w:space="0" w:color="auto"/>
              <w:right w:val="nil"/>
            </w:tcBorders>
            <w:shd w:val="clear" w:color="auto" w:fill="auto"/>
            <w:noWrap/>
            <w:vAlign w:val="center"/>
            <w:hideMark/>
          </w:tcPr>
          <w:p w14:paraId="5258C72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 </w:t>
            </w:r>
          </w:p>
        </w:tc>
      </w:tr>
    </w:tbl>
    <w:p w14:paraId="65F972EB" w14:textId="77777777" w:rsidR="001C1CC9" w:rsidRDefault="00D1654B" w:rsidP="00D1654B">
      <w:pPr>
        <w:spacing w:line="240" w:lineRule="auto"/>
        <w:rPr>
          <w:sz w:val="13"/>
          <w:szCs w:val="13"/>
          <w:lang w:val="en-SG"/>
        </w:rPr>
      </w:pPr>
      <w:r w:rsidRPr="001114C2">
        <w:rPr>
          <w:sz w:val="13"/>
          <w:szCs w:val="13"/>
          <w:lang w:val="en-SG"/>
        </w:rPr>
        <w:t>DFU: diabetes foot ulcer; DM: diabetes mellitus; GP: general practitioner</w:t>
      </w:r>
      <w:r w:rsidR="00194905" w:rsidRPr="001114C2">
        <w:rPr>
          <w:sz w:val="13"/>
          <w:szCs w:val="13"/>
          <w:lang w:val="en-SG"/>
        </w:rPr>
        <w:t>; ESRF: end stage renal failure</w:t>
      </w:r>
    </w:p>
    <w:p w14:paraId="2D9E5DCF" w14:textId="77777777" w:rsidR="001C1CC9" w:rsidRDefault="001C1CC9" w:rsidP="00D1654B">
      <w:pPr>
        <w:spacing w:line="240" w:lineRule="auto"/>
        <w:rPr>
          <w:sz w:val="20"/>
          <w:szCs w:val="20"/>
          <w:lang w:val="en-SG"/>
        </w:rPr>
      </w:pPr>
    </w:p>
    <w:p w14:paraId="27D9CEE4" w14:textId="6AEA397C" w:rsidR="00BC574A" w:rsidRDefault="00BC574A" w:rsidP="00D1654B">
      <w:pPr>
        <w:spacing w:line="240" w:lineRule="auto"/>
        <w:rPr>
          <w:sz w:val="20"/>
          <w:szCs w:val="20"/>
          <w:lang w:val="en-SG"/>
        </w:rPr>
      </w:pPr>
    </w:p>
    <w:p w14:paraId="36AC4AC6" w14:textId="77777777" w:rsidR="00BC574A" w:rsidRDefault="00BC574A" w:rsidP="00D1654B">
      <w:pPr>
        <w:spacing w:line="240" w:lineRule="auto"/>
        <w:rPr>
          <w:sz w:val="20"/>
          <w:szCs w:val="20"/>
          <w:lang w:val="en-SG"/>
        </w:rPr>
      </w:pPr>
    </w:p>
    <w:p w14:paraId="546E735C" w14:textId="77777777" w:rsidR="00BC574A" w:rsidRDefault="00BC574A" w:rsidP="00D1654B">
      <w:pPr>
        <w:spacing w:line="240" w:lineRule="auto"/>
        <w:rPr>
          <w:sz w:val="20"/>
          <w:szCs w:val="20"/>
          <w:lang w:val="en-SG"/>
        </w:rPr>
      </w:pPr>
    </w:p>
    <w:p w14:paraId="492E16D4" w14:textId="549432D2" w:rsidR="00D1654B" w:rsidRDefault="00D1654B" w:rsidP="00D1654B">
      <w:pPr>
        <w:spacing w:line="240" w:lineRule="auto"/>
        <w:rPr>
          <w:sz w:val="20"/>
          <w:szCs w:val="20"/>
          <w:lang w:val="en-SG"/>
        </w:rPr>
      </w:pPr>
      <w:r w:rsidRPr="001114C2">
        <w:rPr>
          <w:sz w:val="20"/>
          <w:szCs w:val="20"/>
          <w:lang w:val="en-SG"/>
        </w:rPr>
        <w:t>Table 2: Univariate prevalence ratios with 95% confidence intervals for factors associated with healing within three months</w:t>
      </w:r>
    </w:p>
    <w:p w14:paraId="52E253EB" w14:textId="7388948F" w:rsidR="001C1CC9" w:rsidRDefault="001C1CC9" w:rsidP="00D1654B">
      <w:pPr>
        <w:spacing w:line="240" w:lineRule="auto"/>
        <w:rPr>
          <w:sz w:val="20"/>
          <w:szCs w:val="20"/>
          <w:lang w:val="en-SG"/>
        </w:rPr>
      </w:pPr>
    </w:p>
    <w:tbl>
      <w:tblPr>
        <w:tblW w:w="9357" w:type="dxa"/>
        <w:tblLook w:val="04A0" w:firstRow="1" w:lastRow="0" w:firstColumn="1" w:lastColumn="0" w:noHBand="0" w:noVBand="1"/>
      </w:tblPr>
      <w:tblGrid>
        <w:gridCol w:w="4253"/>
        <w:gridCol w:w="992"/>
        <w:gridCol w:w="1418"/>
        <w:gridCol w:w="850"/>
        <w:gridCol w:w="1134"/>
        <w:gridCol w:w="710"/>
      </w:tblGrid>
      <w:tr w:rsidR="00D1654B" w:rsidRPr="001114C2" w14:paraId="0A2DDAC7" w14:textId="77777777" w:rsidTr="001C1CC9">
        <w:trPr>
          <w:trHeight w:val="156"/>
        </w:trPr>
        <w:tc>
          <w:tcPr>
            <w:tcW w:w="4253" w:type="dxa"/>
            <w:tcBorders>
              <w:top w:val="single" w:sz="4" w:space="0" w:color="auto"/>
              <w:left w:val="nil"/>
              <w:bottom w:val="single" w:sz="4" w:space="0" w:color="auto"/>
              <w:right w:val="nil"/>
            </w:tcBorders>
            <w:shd w:val="clear" w:color="auto" w:fill="auto"/>
            <w:noWrap/>
            <w:vAlign w:val="center"/>
            <w:hideMark/>
          </w:tcPr>
          <w:p w14:paraId="262D610C"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lastRenderedPageBreak/>
              <w:t>Background factors</w:t>
            </w:r>
          </w:p>
        </w:tc>
        <w:tc>
          <w:tcPr>
            <w:tcW w:w="992" w:type="dxa"/>
            <w:tcBorders>
              <w:top w:val="single" w:sz="4" w:space="0" w:color="auto"/>
              <w:left w:val="nil"/>
              <w:bottom w:val="single" w:sz="4" w:space="0" w:color="auto"/>
              <w:right w:val="nil"/>
            </w:tcBorders>
            <w:shd w:val="clear" w:color="auto" w:fill="auto"/>
            <w:noWrap/>
            <w:vAlign w:val="center"/>
            <w:hideMark/>
          </w:tcPr>
          <w:p w14:paraId="35F0D4D0"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Total</w:t>
            </w:r>
          </w:p>
        </w:tc>
        <w:tc>
          <w:tcPr>
            <w:tcW w:w="1418" w:type="dxa"/>
            <w:tcBorders>
              <w:top w:val="single" w:sz="4" w:space="0" w:color="auto"/>
              <w:left w:val="nil"/>
              <w:bottom w:val="single" w:sz="4" w:space="0" w:color="auto"/>
              <w:right w:val="nil"/>
            </w:tcBorders>
            <w:shd w:val="clear" w:color="auto" w:fill="auto"/>
            <w:noWrap/>
            <w:vAlign w:val="center"/>
            <w:hideMark/>
          </w:tcPr>
          <w:p w14:paraId="73210607"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 healed within</w:t>
            </w:r>
          </w:p>
          <w:p w14:paraId="54F12BE9"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three months</w:t>
            </w:r>
          </w:p>
        </w:tc>
        <w:tc>
          <w:tcPr>
            <w:tcW w:w="850" w:type="dxa"/>
            <w:tcBorders>
              <w:top w:val="single" w:sz="4" w:space="0" w:color="auto"/>
              <w:left w:val="nil"/>
              <w:bottom w:val="single" w:sz="4" w:space="0" w:color="auto"/>
              <w:right w:val="nil"/>
            </w:tcBorders>
            <w:shd w:val="clear" w:color="auto" w:fill="auto"/>
            <w:noWrap/>
            <w:vAlign w:val="center"/>
            <w:hideMark/>
          </w:tcPr>
          <w:p w14:paraId="432E5CBD"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PR</w:t>
            </w:r>
          </w:p>
        </w:tc>
        <w:tc>
          <w:tcPr>
            <w:tcW w:w="1134" w:type="dxa"/>
            <w:tcBorders>
              <w:top w:val="single" w:sz="4" w:space="0" w:color="auto"/>
              <w:left w:val="nil"/>
              <w:bottom w:val="single" w:sz="4" w:space="0" w:color="auto"/>
              <w:right w:val="nil"/>
            </w:tcBorders>
            <w:shd w:val="clear" w:color="auto" w:fill="auto"/>
            <w:noWrap/>
            <w:vAlign w:val="center"/>
            <w:hideMark/>
          </w:tcPr>
          <w:p w14:paraId="64A8A95B"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9%%CI</w:t>
            </w:r>
          </w:p>
        </w:tc>
        <w:tc>
          <w:tcPr>
            <w:tcW w:w="710" w:type="dxa"/>
            <w:tcBorders>
              <w:top w:val="single" w:sz="4" w:space="0" w:color="auto"/>
              <w:left w:val="nil"/>
              <w:bottom w:val="single" w:sz="4" w:space="0" w:color="auto"/>
              <w:right w:val="nil"/>
            </w:tcBorders>
            <w:shd w:val="clear" w:color="auto" w:fill="auto"/>
            <w:noWrap/>
            <w:vAlign w:val="center"/>
            <w:hideMark/>
          </w:tcPr>
          <w:p w14:paraId="3575FB13" w14:textId="77777777" w:rsidR="00D1654B" w:rsidRPr="001114C2" w:rsidRDefault="00D1654B" w:rsidP="00D1654B">
            <w:pPr>
              <w:rPr>
                <w:rFonts w:eastAsia="Times New Roman"/>
                <w:b/>
                <w:bCs/>
                <w:color w:val="000000"/>
                <w:sz w:val="16"/>
                <w:szCs w:val="16"/>
                <w:lang w:eastAsia="en-GB"/>
              </w:rPr>
            </w:pPr>
            <w:r w:rsidRPr="001114C2">
              <w:rPr>
                <w:rFonts w:eastAsia="Times New Roman"/>
                <w:b/>
                <w:bCs/>
                <w:color w:val="000000"/>
                <w:sz w:val="16"/>
                <w:szCs w:val="16"/>
                <w:lang w:eastAsia="en-GB"/>
              </w:rPr>
              <w:t>P-value</w:t>
            </w:r>
          </w:p>
        </w:tc>
      </w:tr>
      <w:tr w:rsidR="00D1654B" w:rsidRPr="001114C2" w14:paraId="60AB8224" w14:textId="77777777" w:rsidTr="001C1CC9">
        <w:trPr>
          <w:trHeight w:val="60"/>
        </w:trPr>
        <w:tc>
          <w:tcPr>
            <w:tcW w:w="4253" w:type="dxa"/>
            <w:tcBorders>
              <w:top w:val="nil"/>
              <w:left w:val="nil"/>
              <w:bottom w:val="nil"/>
              <w:right w:val="nil"/>
            </w:tcBorders>
            <w:shd w:val="clear" w:color="auto" w:fill="auto"/>
            <w:noWrap/>
            <w:vAlign w:val="center"/>
            <w:hideMark/>
          </w:tcPr>
          <w:p w14:paraId="1C2EB3BA" w14:textId="77777777" w:rsidR="00D1654B" w:rsidRPr="001114C2" w:rsidRDefault="00D1654B" w:rsidP="00D1654B">
            <w:pPr>
              <w:rPr>
                <w:rFonts w:eastAsia="Times New Roman"/>
                <w:b/>
                <w:bCs/>
                <w:i/>
                <w:iCs/>
                <w:color w:val="000000"/>
                <w:sz w:val="16"/>
                <w:szCs w:val="16"/>
                <w:lang w:eastAsia="en-GB"/>
              </w:rPr>
            </w:pPr>
            <w:r w:rsidRPr="001114C2">
              <w:rPr>
                <w:rFonts w:eastAsia="Times New Roman"/>
                <w:b/>
                <w:bCs/>
                <w:i/>
                <w:iCs/>
                <w:color w:val="000000"/>
                <w:sz w:val="16"/>
                <w:szCs w:val="16"/>
                <w:lang w:eastAsia="en-GB"/>
              </w:rPr>
              <w:t>Demographic variables</w:t>
            </w:r>
          </w:p>
        </w:tc>
        <w:tc>
          <w:tcPr>
            <w:tcW w:w="992" w:type="dxa"/>
            <w:tcBorders>
              <w:top w:val="nil"/>
              <w:left w:val="nil"/>
              <w:bottom w:val="nil"/>
              <w:right w:val="nil"/>
            </w:tcBorders>
            <w:shd w:val="clear" w:color="auto" w:fill="auto"/>
            <w:noWrap/>
            <w:vAlign w:val="center"/>
            <w:hideMark/>
          </w:tcPr>
          <w:p w14:paraId="46B19939" w14:textId="77777777" w:rsidR="00D1654B" w:rsidRPr="001114C2" w:rsidRDefault="00D1654B" w:rsidP="00D1654B">
            <w:pPr>
              <w:rPr>
                <w:rFonts w:eastAsia="Times New Roman"/>
                <w:b/>
                <w:bCs/>
                <w:i/>
                <w:iCs/>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264FF175"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63EECF7F"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5B9B2B9A"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6AE4A56F"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11ECDA59" w14:textId="77777777" w:rsidTr="001C1CC9">
        <w:trPr>
          <w:trHeight w:val="70"/>
        </w:trPr>
        <w:tc>
          <w:tcPr>
            <w:tcW w:w="4253" w:type="dxa"/>
            <w:tcBorders>
              <w:top w:val="nil"/>
              <w:left w:val="nil"/>
              <w:bottom w:val="nil"/>
              <w:right w:val="nil"/>
            </w:tcBorders>
            <w:shd w:val="clear" w:color="auto" w:fill="auto"/>
            <w:noWrap/>
            <w:vAlign w:val="center"/>
            <w:hideMark/>
          </w:tcPr>
          <w:p w14:paraId="2EAC91C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Age group</w:t>
            </w:r>
          </w:p>
        </w:tc>
        <w:tc>
          <w:tcPr>
            <w:tcW w:w="992" w:type="dxa"/>
            <w:tcBorders>
              <w:top w:val="nil"/>
              <w:left w:val="nil"/>
              <w:bottom w:val="nil"/>
              <w:right w:val="nil"/>
            </w:tcBorders>
            <w:shd w:val="clear" w:color="auto" w:fill="auto"/>
            <w:noWrap/>
            <w:vAlign w:val="center"/>
            <w:hideMark/>
          </w:tcPr>
          <w:p w14:paraId="2D61F61C"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222B5016"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72AC3381"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5340E20F"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7B2D3F93"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65252D44" w14:textId="77777777" w:rsidTr="001C1CC9">
        <w:trPr>
          <w:trHeight w:val="70"/>
        </w:trPr>
        <w:tc>
          <w:tcPr>
            <w:tcW w:w="4253" w:type="dxa"/>
            <w:tcBorders>
              <w:top w:val="nil"/>
              <w:left w:val="nil"/>
              <w:bottom w:val="nil"/>
              <w:right w:val="nil"/>
            </w:tcBorders>
            <w:shd w:val="clear" w:color="auto" w:fill="auto"/>
            <w:noWrap/>
            <w:vAlign w:val="center"/>
            <w:hideMark/>
          </w:tcPr>
          <w:p w14:paraId="46814A32"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&lt;60 years</w:t>
            </w:r>
          </w:p>
        </w:tc>
        <w:tc>
          <w:tcPr>
            <w:tcW w:w="992" w:type="dxa"/>
            <w:tcBorders>
              <w:top w:val="nil"/>
              <w:left w:val="nil"/>
              <w:bottom w:val="nil"/>
              <w:right w:val="nil"/>
            </w:tcBorders>
            <w:shd w:val="clear" w:color="auto" w:fill="auto"/>
            <w:noWrap/>
            <w:vAlign w:val="center"/>
            <w:hideMark/>
          </w:tcPr>
          <w:p w14:paraId="69082D0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140</w:t>
            </w:r>
          </w:p>
        </w:tc>
        <w:tc>
          <w:tcPr>
            <w:tcW w:w="1418" w:type="dxa"/>
            <w:tcBorders>
              <w:top w:val="nil"/>
              <w:left w:val="nil"/>
              <w:bottom w:val="nil"/>
              <w:right w:val="nil"/>
            </w:tcBorders>
            <w:shd w:val="clear" w:color="auto" w:fill="auto"/>
            <w:noWrap/>
            <w:vAlign w:val="center"/>
            <w:hideMark/>
          </w:tcPr>
          <w:p w14:paraId="79B4C06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34.3</w:t>
            </w:r>
          </w:p>
        </w:tc>
        <w:tc>
          <w:tcPr>
            <w:tcW w:w="850" w:type="dxa"/>
            <w:tcBorders>
              <w:top w:val="nil"/>
              <w:left w:val="nil"/>
              <w:bottom w:val="nil"/>
              <w:right w:val="nil"/>
            </w:tcBorders>
            <w:shd w:val="clear" w:color="auto" w:fill="auto"/>
            <w:noWrap/>
            <w:vAlign w:val="center"/>
            <w:hideMark/>
          </w:tcPr>
          <w:p w14:paraId="2646459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70E7F28A"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0D5085AE"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11ECF8C6" w14:textId="77777777" w:rsidTr="001C1CC9">
        <w:trPr>
          <w:trHeight w:val="70"/>
        </w:trPr>
        <w:tc>
          <w:tcPr>
            <w:tcW w:w="4253" w:type="dxa"/>
            <w:tcBorders>
              <w:top w:val="nil"/>
              <w:left w:val="nil"/>
              <w:bottom w:val="nil"/>
              <w:right w:val="nil"/>
            </w:tcBorders>
            <w:shd w:val="clear" w:color="auto" w:fill="auto"/>
            <w:noWrap/>
            <w:vAlign w:val="center"/>
            <w:hideMark/>
          </w:tcPr>
          <w:p w14:paraId="5E46675D"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60-74 years</w:t>
            </w:r>
          </w:p>
        </w:tc>
        <w:tc>
          <w:tcPr>
            <w:tcW w:w="992" w:type="dxa"/>
            <w:tcBorders>
              <w:top w:val="nil"/>
              <w:left w:val="nil"/>
              <w:bottom w:val="nil"/>
              <w:right w:val="nil"/>
            </w:tcBorders>
            <w:shd w:val="clear" w:color="auto" w:fill="auto"/>
            <w:noWrap/>
            <w:vAlign w:val="center"/>
            <w:hideMark/>
          </w:tcPr>
          <w:p w14:paraId="4DF8369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262</w:t>
            </w:r>
          </w:p>
        </w:tc>
        <w:tc>
          <w:tcPr>
            <w:tcW w:w="1418" w:type="dxa"/>
            <w:tcBorders>
              <w:top w:val="nil"/>
              <w:left w:val="nil"/>
              <w:bottom w:val="nil"/>
              <w:right w:val="nil"/>
            </w:tcBorders>
            <w:shd w:val="clear" w:color="auto" w:fill="auto"/>
            <w:noWrap/>
            <w:vAlign w:val="center"/>
            <w:hideMark/>
          </w:tcPr>
          <w:p w14:paraId="46526C6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35.9</w:t>
            </w:r>
          </w:p>
        </w:tc>
        <w:tc>
          <w:tcPr>
            <w:tcW w:w="850" w:type="dxa"/>
            <w:tcBorders>
              <w:top w:val="nil"/>
              <w:left w:val="nil"/>
              <w:bottom w:val="nil"/>
              <w:right w:val="nil"/>
            </w:tcBorders>
            <w:shd w:val="clear" w:color="auto" w:fill="auto"/>
            <w:noWrap/>
            <w:vAlign w:val="center"/>
            <w:hideMark/>
          </w:tcPr>
          <w:p w14:paraId="6316BFA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1.05</w:t>
            </w:r>
          </w:p>
        </w:tc>
        <w:tc>
          <w:tcPr>
            <w:tcW w:w="1134" w:type="dxa"/>
            <w:tcBorders>
              <w:top w:val="nil"/>
              <w:left w:val="nil"/>
              <w:bottom w:val="nil"/>
              <w:right w:val="nil"/>
            </w:tcBorders>
            <w:shd w:val="clear" w:color="auto" w:fill="auto"/>
            <w:noWrap/>
            <w:vAlign w:val="center"/>
            <w:hideMark/>
          </w:tcPr>
          <w:p w14:paraId="7AC367F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0.79 - 1.39</w:t>
            </w:r>
          </w:p>
        </w:tc>
        <w:tc>
          <w:tcPr>
            <w:tcW w:w="710" w:type="dxa"/>
            <w:tcBorders>
              <w:top w:val="nil"/>
              <w:left w:val="nil"/>
              <w:bottom w:val="nil"/>
              <w:right w:val="nil"/>
            </w:tcBorders>
            <w:shd w:val="clear" w:color="auto" w:fill="auto"/>
            <w:noWrap/>
            <w:vAlign w:val="center"/>
            <w:hideMark/>
          </w:tcPr>
          <w:p w14:paraId="357984E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0.752</w:t>
            </w:r>
          </w:p>
        </w:tc>
      </w:tr>
      <w:tr w:rsidR="00D1654B" w:rsidRPr="001114C2" w14:paraId="0BD3239B" w14:textId="77777777" w:rsidTr="001C1CC9">
        <w:trPr>
          <w:trHeight w:val="70"/>
        </w:trPr>
        <w:tc>
          <w:tcPr>
            <w:tcW w:w="4253" w:type="dxa"/>
            <w:tcBorders>
              <w:top w:val="nil"/>
              <w:left w:val="nil"/>
              <w:bottom w:val="nil"/>
              <w:right w:val="nil"/>
            </w:tcBorders>
            <w:shd w:val="clear" w:color="auto" w:fill="auto"/>
            <w:noWrap/>
            <w:vAlign w:val="center"/>
            <w:hideMark/>
          </w:tcPr>
          <w:p w14:paraId="4B108FC2" w14:textId="77777777" w:rsidR="00D1654B" w:rsidRPr="001114C2" w:rsidRDefault="00D1654B" w:rsidP="00D1654B">
            <w:pPr>
              <w:ind w:firstLineChars="100" w:firstLine="160"/>
              <w:rPr>
                <w:rFonts w:eastAsia="Times New Roman"/>
                <w:color w:val="000000"/>
                <w:sz w:val="16"/>
                <w:szCs w:val="16"/>
                <w:lang w:eastAsia="en-GB"/>
              </w:rPr>
            </w:pPr>
            <w:r w:rsidRPr="001114C2">
              <w:rPr>
                <w:rFonts w:ascii="Calibri" w:eastAsia="Times New Roman" w:hAnsi="Calibri" w:cs="Calibri"/>
                <w:color w:val="000000"/>
                <w:sz w:val="16"/>
                <w:szCs w:val="16"/>
                <w:lang w:eastAsia="en-GB"/>
              </w:rPr>
              <w:t>≥</w:t>
            </w:r>
            <w:r w:rsidRPr="001114C2">
              <w:rPr>
                <w:rFonts w:eastAsia="Times New Roman"/>
                <w:color w:val="000000"/>
                <w:sz w:val="16"/>
                <w:szCs w:val="16"/>
                <w:lang w:eastAsia="en-GB"/>
              </w:rPr>
              <w:t>75 years</w:t>
            </w:r>
          </w:p>
        </w:tc>
        <w:tc>
          <w:tcPr>
            <w:tcW w:w="992" w:type="dxa"/>
            <w:tcBorders>
              <w:top w:val="nil"/>
              <w:left w:val="nil"/>
              <w:bottom w:val="nil"/>
              <w:right w:val="nil"/>
            </w:tcBorders>
            <w:shd w:val="clear" w:color="auto" w:fill="auto"/>
            <w:noWrap/>
            <w:vAlign w:val="center"/>
            <w:hideMark/>
          </w:tcPr>
          <w:p w14:paraId="5567D86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118</w:t>
            </w:r>
          </w:p>
        </w:tc>
        <w:tc>
          <w:tcPr>
            <w:tcW w:w="1418" w:type="dxa"/>
            <w:tcBorders>
              <w:top w:val="nil"/>
              <w:left w:val="nil"/>
              <w:bottom w:val="nil"/>
              <w:right w:val="nil"/>
            </w:tcBorders>
            <w:shd w:val="clear" w:color="auto" w:fill="auto"/>
            <w:noWrap/>
            <w:vAlign w:val="center"/>
            <w:hideMark/>
          </w:tcPr>
          <w:p w14:paraId="0BE6840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28.8</w:t>
            </w:r>
          </w:p>
        </w:tc>
        <w:tc>
          <w:tcPr>
            <w:tcW w:w="850" w:type="dxa"/>
            <w:tcBorders>
              <w:top w:val="nil"/>
              <w:left w:val="nil"/>
              <w:bottom w:val="nil"/>
              <w:right w:val="nil"/>
            </w:tcBorders>
            <w:shd w:val="clear" w:color="auto" w:fill="auto"/>
            <w:noWrap/>
            <w:vAlign w:val="center"/>
            <w:hideMark/>
          </w:tcPr>
          <w:p w14:paraId="2562A28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0.84</w:t>
            </w:r>
          </w:p>
        </w:tc>
        <w:tc>
          <w:tcPr>
            <w:tcW w:w="1134" w:type="dxa"/>
            <w:tcBorders>
              <w:top w:val="nil"/>
              <w:left w:val="nil"/>
              <w:bottom w:val="nil"/>
              <w:right w:val="nil"/>
            </w:tcBorders>
            <w:shd w:val="clear" w:color="auto" w:fill="auto"/>
            <w:noWrap/>
            <w:vAlign w:val="center"/>
            <w:hideMark/>
          </w:tcPr>
          <w:p w14:paraId="54020D8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0.58 - 1.21</w:t>
            </w:r>
          </w:p>
        </w:tc>
        <w:tc>
          <w:tcPr>
            <w:tcW w:w="710" w:type="dxa"/>
            <w:tcBorders>
              <w:top w:val="nil"/>
              <w:left w:val="nil"/>
              <w:bottom w:val="nil"/>
              <w:right w:val="nil"/>
            </w:tcBorders>
            <w:shd w:val="clear" w:color="auto" w:fill="auto"/>
            <w:noWrap/>
            <w:vAlign w:val="center"/>
            <w:hideMark/>
          </w:tcPr>
          <w:p w14:paraId="6DCDD0E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0.351</w:t>
            </w:r>
          </w:p>
        </w:tc>
      </w:tr>
      <w:tr w:rsidR="00D1654B" w:rsidRPr="001114C2" w14:paraId="586F57EE" w14:textId="77777777" w:rsidTr="001C1CC9">
        <w:trPr>
          <w:trHeight w:val="70"/>
        </w:trPr>
        <w:tc>
          <w:tcPr>
            <w:tcW w:w="4253" w:type="dxa"/>
            <w:tcBorders>
              <w:top w:val="nil"/>
              <w:left w:val="nil"/>
              <w:bottom w:val="nil"/>
              <w:right w:val="nil"/>
            </w:tcBorders>
            <w:shd w:val="clear" w:color="auto" w:fill="auto"/>
            <w:noWrap/>
            <w:vAlign w:val="center"/>
            <w:hideMark/>
          </w:tcPr>
          <w:p w14:paraId="3E09991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Gender</w:t>
            </w:r>
          </w:p>
        </w:tc>
        <w:tc>
          <w:tcPr>
            <w:tcW w:w="992" w:type="dxa"/>
            <w:tcBorders>
              <w:top w:val="nil"/>
              <w:left w:val="nil"/>
              <w:bottom w:val="nil"/>
              <w:right w:val="nil"/>
            </w:tcBorders>
            <w:shd w:val="clear" w:color="auto" w:fill="auto"/>
            <w:noWrap/>
            <w:vAlign w:val="center"/>
            <w:hideMark/>
          </w:tcPr>
          <w:p w14:paraId="114318DF"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561DCCBF"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50449BE5"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731D783B"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4C9A59AE"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29D3D905" w14:textId="77777777" w:rsidTr="001C1CC9">
        <w:trPr>
          <w:trHeight w:val="70"/>
        </w:trPr>
        <w:tc>
          <w:tcPr>
            <w:tcW w:w="4253" w:type="dxa"/>
            <w:tcBorders>
              <w:top w:val="nil"/>
              <w:left w:val="nil"/>
              <w:bottom w:val="nil"/>
              <w:right w:val="nil"/>
            </w:tcBorders>
            <w:shd w:val="clear" w:color="auto" w:fill="auto"/>
            <w:noWrap/>
            <w:vAlign w:val="center"/>
            <w:hideMark/>
          </w:tcPr>
          <w:p w14:paraId="428D18A2"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Male</w:t>
            </w:r>
          </w:p>
        </w:tc>
        <w:tc>
          <w:tcPr>
            <w:tcW w:w="992" w:type="dxa"/>
            <w:tcBorders>
              <w:top w:val="nil"/>
              <w:left w:val="nil"/>
              <w:bottom w:val="nil"/>
              <w:right w:val="nil"/>
            </w:tcBorders>
            <w:shd w:val="clear" w:color="auto" w:fill="auto"/>
            <w:noWrap/>
            <w:vAlign w:val="center"/>
            <w:hideMark/>
          </w:tcPr>
          <w:p w14:paraId="39F6CA2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343</w:t>
            </w:r>
          </w:p>
        </w:tc>
        <w:tc>
          <w:tcPr>
            <w:tcW w:w="1418" w:type="dxa"/>
            <w:tcBorders>
              <w:top w:val="nil"/>
              <w:left w:val="nil"/>
              <w:bottom w:val="nil"/>
              <w:right w:val="nil"/>
            </w:tcBorders>
            <w:shd w:val="clear" w:color="auto" w:fill="auto"/>
            <w:noWrap/>
            <w:vAlign w:val="center"/>
            <w:hideMark/>
          </w:tcPr>
          <w:p w14:paraId="4BB6291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31.2</w:t>
            </w:r>
          </w:p>
        </w:tc>
        <w:tc>
          <w:tcPr>
            <w:tcW w:w="850" w:type="dxa"/>
            <w:tcBorders>
              <w:top w:val="nil"/>
              <w:left w:val="nil"/>
              <w:bottom w:val="nil"/>
              <w:right w:val="nil"/>
            </w:tcBorders>
            <w:shd w:val="clear" w:color="auto" w:fill="auto"/>
            <w:noWrap/>
            <w:vAlign w:val="center"/>
            <w:hideMark/>
          </w:tcPr>
          <w:p w14:paraId="26521E0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3757F7B9"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44C7389E"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37A03FF1" w14:textId="77777777" w:rsidTr="001C1CC9">
        <w:trPr>
          <w:trHeight w:val="70"/>
        </w:trPr>
        <w:tc>
          <w:tcPr>
            <w:tcW w:w="4253" w:type="dxa"/>
            <w:tcBorders>
              <w:top w:val="nil"/>
              <w:left w:val="nil"/>
              <w:bottom w:val="nil"/>
              <w:right w:val="nil"/>
            </w:tcBorders>
            <w:shd w:val="clear" w:color="auto" w:fill="auto"/>
            <w:noWrap/>
            <w:vAlign w:val="center"/>
            <w:hideMark/>
          </w:tcPr>
          <w:p w14:paraId="3F396391"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Female</w:t>
            </w:r>
          </w:p>
        </w:tc>
        <w:tc>
          <w:tcPr>
            <w:tcW w:w="992" w:type="dxa"/>
            <w:tcBorders>
              <w:top w:val="nil"/>
              <w:left w:val="nil"/>
              <w:bottom w:val="nil"/>
              <w:right w:val="nil"/>
            </w:tcBorders>
            <w:shd w:val="clear" w:color="auto" w:fill="auto"/>
            <w:noWrap/>
            <w:vAlign w:val="center"/>
            <w:hideMark/>
          </w:tcPr>
          <w:p w14:paraId="17AD87D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177</w:t>
            </w:r>
          </w:p>
        </w:tc>
        <w:tc>
          <w:tcPr>
            <w:tcW w:w="1418" w:type="dxa"/>
            <w:tcBorders>
              <w:top w:val="nil"/>
              <w:left w:val="nil"/>
              <w:bottom w:val="nil"/>
              <w:right w:val="nil"/>
            </w:tcBorders>
            <w:shd w:val="clear" w:color="auto" w:fill="auto"/>
            <w:noWrap/>
            <w:vAlign w:val="center"/>
            <w:hideMark/>
          </w:tcPr>
          <w:p w14:paraId="77413EF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39.0</w:t>
            </w:r>
          </w:p>
        </w:tc>
        <w:tc>
          <w:tcPr>
            <w:tcW w:w="850" w:type="dxa"/>
            <w:tcBorders>
              <w:top w:val="nil"/>
              <w:left w:val="nil"/>
              <w:bottom w:val="nil"/>
              <w:right w:val="nil"/>
            </w:tcBorders>
            <w:shd w:val="clear" w:color="auto" w:fill="auto"/>
            <w:noWrap/>
            <w:vAlign w:val="center"/>
            <w:hideMark/>
          </w:tcPr>
          <w:p w14:paraId="1D1946E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1.25</w:t>
            </w:r>
          </w:p>
        </w:tc>
        <w:tc>
          <w:tcPr>
            <w:tcW w:w="1134" w:type="dxa"/>
            <w:tcBorders>
              <w:top w:val="nil"/>
              <w:left w:val="nil"/>
              <w:bottom w:val="nil"/>
              <w:right w:val="nil"/>
            </w:tcBorders>
            <w:shd w:val="clear" w:color="auto" w:fill="auto"/>
            <w:noWrap/>
            <w:vAlign w:val="center"/>
            <w:hideMark/>
          </w:tcPr>
          <w:p w14:paraId="6DC0BB3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0.98 - 1.59</w:t>
            </w:r>
          </w:p>
        </w:tc>
        <w:tc>
          <w:tcPr>
            <w:tcW w:w="710" w:type="dxa"/>
            <w:tcBorders>
              <w:top w:val="nil"/>
              <w:left w:val="nil"/>
              <w:bottom w:val="nil"/>
              <w:right w:val="nil"/>
            </w:tcBorders>
            <w:shd w:val="clear" w:color="auto" w:fill="auto"/>
            <w:noWrap/>
            <w:vAlign w:val="center"/>
            <w:hideMark/>
          </w:tcPr>
          <w:p w14:paraId="15DC186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0.072</w:t>
            </w:r>
          </w:p>
        </w:tc>
      </w:tr>
      <w:tr w:rsidR="00D1654B" w:rsidRPr="001114C2" w14:paraId="5293A7F4" w14:textId="77777777" w:rsidTr="001C1CC9">
        <w:trPr>
          <w:trHeight w:val="70"/>
        </w:trPr>
        <w:tc>
          <w:tcPr>
            <w:tcW w:w="4253" w:type="dxa"/>
            <w:tcBorders>
              <w:top w:val="nil"/>
              <w:left w:val="nil"/>
              <w:bottom w:val="nil"/>
              <w:right w:val="nil"/>
            </w:tcBorders>
            <w:shd w:val="clear" w:color="auto" w:fill="auto"/>
            <w:noWrap/>
            <w:vAlign w:val="center"/>
            <w:hideMark/>
          </w:tcPr>
          <w:p w14:paraId="19C1E05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Race</w:t>
            </w:r>
          </w:p>
        </w:tc>
        <w:tc>
          <w:tcPr>
            <w:tcW w:w="992" w:type="dxa"/>
            <w:tcBorders>
              <w:top w:val="nil"/>
              <w:left w:val="nil"/>
              <w:bottom w:val="nil"/>
              <w:right w:val="nil"/>
            </w:tcBorders>
            <w:shd w:val="clear" w:color="auto" w:fill="auto"/>
            <w:noWrap/>
            <w:vAlign w:val="center"/>
            <w:hideMark/>
          </w:tcPr>
          <w:p w14:paraId="3DC715C9"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199B86C1"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7E8D5F91"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10984C7E"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3DBB3958"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3550839F" w14:textId="77777777" w:rsidTr="001C1CC9">
        <w:trPr>
          <w:trHeight w:val="70"/>
        </w:trPr>
        <w:tc>
          <w:tcPr>
            <w:tcW w:w="4253" w:type="dxa"/>
            <w:tcBorders>
              <w:top w:val="nil"/>
              <w:left w:val="nil"/>
              <w:bottom w:val="nil"/>
              <w:right w:val="nil"/>
            </w:tcBorders>
            <w:shd w:val="clear" w:color="auto" w:fill="auto"/>
            <w:noWrap/>
            <w:vAlign w:val="center"/>
            <w:hideMark/>
          </w:tcPr>
          <w:p w14:paraId="059F2452"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Chinese</w:t>
            </w:r>
          </w:p>
        </w:tc>
        <w:tc>
          <w:tcPr>
            <w:tcW w:w="992" w:type="dxa"/>
            <w:tcBorders>
              <w:top w:val="nil"/>
              <w:left w:val="nil"/>
              <w:bottom w:val="nil"/>
              <w:right w:val="nil"/>
            </w:tcBorders>
            <w:shd w:val="clear" w:color="auto" w:fill="auto"/>
            <w:noWrap/>
            <w:vAlign w:val="center"/>
            <w:hideMark/>
          </w:tcPr>
          <w:p w14:paraId="454107C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259</w:t>
            </w:r>
          </w:p>
        </w:tc>
        <w:tc>
          <w:tcPr>
            <w:tcW w:w="1418" w:type="dxa"/>
            <w:tcBorders>
              <w:top w:val="nil"/>
              <w:left w:val="nil"/>
              <w:bottom w:val="nil"/>
              <w:right w:val="nil"/>
            </w:tcBorders>
            <w:shd w:val="clear" w:color="auto" w:fill="auto"/>
            <w:noWrap/>
            <w:vAlign w:val="center"/>
            <w:hideMark/>
          </w:tcPr>
          <w:p w14:paraId="6AD31FC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32.8</w:t>
            </w:r>
          </w:p>
        </w:tc>
        <w:tc>
          <w:tcPr>
            <w:tcW w:w="850" w:type="dxa"/>
            <w:tcBorders>
              <w:top w:val="nil"/>
              <w:left w:val="nil"/>
              <w:bottom w:val="nil"/>
              <w:right w:val="nil"/>
            </w:tcBorders>
            <w:shd w:val="clear" w:color="auto" w:fill="auto"/>
            <w:noWrap/>
            <w:vAlign w:val="center"/>
            <w:hideMark/>
          </w:tcPr>
          <w:p w14:paraId="4077C72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4E1FE854"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3920AB18"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4580C316" w14:textId="77777777" w:rsidTr="001C1CC9">
        <w:trPr>
          <w:trHeight w:val="70"/>
        </w:trPr>
        <w:tc>
          <w:tcPr>
            <w:tcW w:w="4253" w:type="dxa"/>
            <w:tcBorders>
              <w:top w:val="nil"/>
              <w:left w:val="nil"/>
              <w:bottom w:val="nil"/>
              <w:right w:val="nil"/>
            </w:tcBorders>
            <w:shd w:val="clear" w:color="auto" w:fill="auto"/>
            <w:noWrap/>
            <w:vAlign w:val="center"/>
            <w:hideMark/>
          </w:tcPr>
          <w:p w14:paraId="6CD644AC"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Malay</w:t>
            </w:r>
          </w:p>
        </w:tc>
        <w:tc>
          <w:tcPr>
            <w:tcW w:w="992" w:type="dxa"/>
            <w:tcBorders>
              <w:top w:val="nil"/>
              <w:left w:val="nil"/>
              <w:bottom w:val="nil"/>
              <w:right w:val="nil"/>
            </w:tcBorders>
            <w:shd w:val="clear" w:color="auto" w:fill="auto"/>
            <w:noWrap/>
            <w:vAlign w:val="center"/>
            <w:hideMark/>
          </w:tcPr>
          <w:p w14:paraId="7315797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154</w:t>
            </w:r>
          </w:p>
        </w:tc>
        <w:tc>
          <w:tcPr>
            <w:tcW w:w="1418" w:type="dxa"/>
            <w:tcBorders>
              <w:top w:val="nil"/>
              <w:left w:val="nil"/>
              <w:bottom w:val="nil"/>
              <w:right w:val="nil"/>
            </w:tcBorders>
            <w:shd w:val="clear" w:color="auto" w:fill="auto"/>
            <w:noWrap/>
            <w:vAlign w:val="center"/>
            <w:hideMark/>
          </w:tcPr>
          <w:p w14:paraId="19E285C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35.7</w:t>
            </w:r>
          </w:p>
        </w:tc>
        <w:tc>
          <w:tcPr>
            <w:tcW w:w="850" w:type="dxa"/>
            <w:tcBorders>
              <w:top w:val="nil"/>
              <w:left w:val="nil"/>
              <w:bottom w:val="nil"/>
              <w:right w:val="nil"/>
            </w:tcBorders>
            <w:shd w:val="clear" w:color="auto" w:fill="auto"/>
            <w:noWrap/>
            <w:vAlign w:val="center"/>
            <w:hideMark/>
          </w:tcPr>
          <w:p w14:paraId="223212C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1.09</w:t>
            </w:r>
          </w:p>
        </w:tc>
        <w:tc>
          <w:tcPr>
            <w:tcW w:w="1134" w:type="dxa"/>
            <w:tcBorders>
              <w:top w:val="nil"/>
              <w:left w:val="nil"/>
              <w:bottom w:val="nil"/>
              <w:right w:val="nil"/>
            </w:tcBorders>
            <w:shd w:val="clear" w:color="auto" w:fill="auto"/>
            <w:noWrap/>
            <w:vAlign w:val="center"/>
            <w:hideMark/>
          </w:tcPr>
          <w:p w14:paraId="7606678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0.83 - 1.43</w:t>
            </w:r>
          </w:p>
        </w:tc>
        <w:tc>
          <w:tcPr>
            <w:tcW w:w="710" w:type="dxa"/>
            <w:tcBorders>
              <w:top w:val="nil"/>
              <w:left w:val="nil"/>
              <w:bottom w:val="nil"/>
              <w:right w:val="nil"/>
            </w:tcBorders>
            <w:shd w:val="clear" w:color="auto" w:fill="auto"/>
            <w:noWrap/>
            <w:vAlign w:val="center"/>
            <w:hideMark/>
          </w:tcPr>
          <w:p w14:paraId="6EBF8C9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0.546</w:t>
            </w:r>
          </w:p>
        </w:tc>
      </w:tr>
      <w:tr w:rsidR="00D1654B" w:rsidRPr="001114C2" w14:paraId="320D95DA" w14:textId="77777777" w:rsidTr="001C1CC9">
        <w:trPr>
          <w:trHeight w:val="70"/>
        </w:trPr>
        <w:tc>
          <w:tcPr>
            <w:tcW w:w="4253" w:type="dxa"/>
            <w:tcBorders>
              <w:top w:val="nil"/>
              <w:left w:val="nil"/>
              <w:bottom w:val="nil"/>
              <w:right w:val="nil"/>
            </w:tcBorders>
            <w:shd w:val="clear" w:color="auto" w:fill="auto"/>
            <w:noWrap/>
            <w:vAlign w:val="center"/>
            <w:hideMark/>
          </w:tcPr>
          <w:p w14:paraId="77C8FB2E"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Indian and others</w:t>
            </w:r>
          </w:p>
        </w:tc>
        <w:tc>
          <w:tcPr>
            <w:tcW w:w="992" w:type="dxa"/>
            <w:tcBorders>
              <w:top w:val="nil"/>
              <w:left w:val="nil"/>
              <w:bottom w:val="nil"/>
              <w:right w:val="nil"/>
            </w:tcBorders>
            <w:shd w:val="clear" w:color="auto" w:fill="auto"/>
            <w:noWrap/>
            <w:vAlign w:val="center"/>
            <w:hideMark/>
          </w:tcPr>
          <w:p w14:paraId="74590BE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107</w:t>
            </w:r>
          </w:p>
        </w:tc>
        <w:tc>
          <w:tcPr>
            <w:tcW w:w="1418" w:type="dxa"/>
            <w:tcBorders>
              <w:top w:val="nil"/>
              <w:left w:val="nil"/>
              <w:bottom w:val="nil"/>
              <w:right w:val="nil"/>
            </w:tcBorders>
            <w:shd w:val="clear" w:color="auto" w:fill="auto"/>
            <w:noWrap/>
            <w:vAlign w:val="center"/>
            <w:hideMark/>
          </w:tcPr>
          <w:p w14:paraId="172A378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33.6</w:t>
            </w:r>
          </w:p>
        </w:tc>
        <w:tc>
          <w:tcPr>
            <w:tcW w:w="850" w:type="dxa"/>
            <w:tcBorders>
              <w:top w:val="nil"/>
              <w:left w:val="nil"/>
              <w:bottom w:val="nil"/>
              <w:right w:val="nil"/>
            </w:tcBorders>
            <w:shd w:val="clear" w:color="auto" w:fill="auto"/>
            <w:noWrap/>
            <w:vAlign w:val="center"/>
            <w:hideMark/>
          </w:tcPr>
          <w:p w14:paraId="49A0AF6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1.03</w:t>
            </w:r>
          </w:p>
        </w:tc>
        <w:tc>
          <w:tcPr>
            <w:tcW w:w="1134" w:type="dxa"/>
            <w:tcBorders>
              <w:top w:val="nil"/>
              <w:left w:val="nil"/>
              <w:bottom w:val="nil"/>
              <w:right w:val="nil"/>
            </w:tcBorders>
            <w:shd w:val="clear" w:color="auto" w:fill="auto"/>
            <w:noWrap/>
            <w:vAlign w:val="center"/>
            <w:hideMark/>
          </w:tcPr>
          <w:p w14:paraId="3474C95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0.75 - 1.41</w:t>
            </w:r>
          </w:p>
        </w:tc>
        <w:tc>
          <w:tcPr>
            <w:tcW w:w="710" w:type="dxa"/>
            <w:tcBorders>
              <w:top w:val="nil"/>
              <w:left w:val="nil"/>
              <w:bottom w:val="nil"/>
              <w:right w:val="nil"/>
            </w:tcBorders>
            <w:shd w:val="clear" w:color="auto" w:fill="auto"/>
            <w:noWrap/>
            <w:vAlign w:val="center"/>
            <w:hideMark/>
          </w:tcPr>
          <w:p w14:paraId="7F5D1C24"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0.878</w:t>
            </w:r>
          </w:p>
        </w:tc>
      </w:tr>
      <w:tr w:rsidR="00D1654B" w:rsidRPr="001114C2" w14:paraId="339E84C6" w14:textId="77777777" w:rsidTr="001C1CC9">
        <w:trPr>
          <w:trHeight w:val="70"/>
        </w:trPr>
        <w:tc>
          <w:tcPr>
            <w:tcW w:w="4253" w:type="dxa"/>
            <w:tcBorders>
              <w:top w:val="nil"/>
              <w:left w:val="nil"/>
              <w:bottom w:val="nil"/>
              <w:right w:val="nil"/>
            </w:tcBorders>
            <w:shd w:val="clear" w:color="auto" w:fill="auto"/>
            <w:noWrap/>
            <w:vAlign w:val="center"/>
            <w:hideMark/>
          </w:tcPr>
          <w:p w14:paraId="4E3AA0F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BMI</w:t>
            </w:r>
          </w:p>
        </w:tc>
        <w:tc>
          <w:tcPr>
            <w:tcW w:w="992" w:type="dxa"/>
            <w:tcBorders>
              <w:top w:val="nil"/>
              <w:left w:val="nil"/>
              <w:bottom w:val="nil"/>
              <w:right w:val="nil"/>
            </w:tcBorders>
            <w:shd w:val="clear" w:color="auto" w:fill="auto"/>
            <w:noWrap/>
            <w:vAlign w:val="center"/>
            <w:hideMark/>
          </w:tcPr>
          <w:p w14:paraId="3A3D01BC"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51786E60"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142F33FE"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71EA45F3"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438A81B3"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0F530FED" w14:textId="77777777" w:rsidTr="001C1CC9">
        <w:trPr>
          <w:trHeight w:val="70"/>
        </w:trPr>
        <w:tc>
          <w:tcPr>
            <w:tcW w:w="4253" w:type="dxa"/>
            <w:tcBorders>
              <w:top w:val="nil"/>
              <w:left w:val="nil"/>
              <w:bottom w:val="nil"/>
              <w:right w:val="nil"/>
            </w:tcBorders>
            <w:shd w:val="clear" w:color="auto" w:fill="auto"/>
            <w:noWrap/>
            <w:vAlign w:val="center"/>
            <w:hideMark/>
          </w:tcPr>
          <w:p w14:paraId="6358641D"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Normal</w:t>
            </w:r>
          </w:p>
        </w:tc>
        <w:tc>
          <w:tcPr>
            <w:tcW w:w="992" w:type="dxa"/>
            <w:tcBorders>
              <w:top w:val="nil"/>
              <w:left w:val="nil"/>
              <w:bottom w:val="nil"/>
              <w:right w:val="nil"/>
            </w:tcBorders>
            <w:shd w:val="clear" w:color="auto" w:fill="auto"/>
            <w:noWrap/>
            <w:vAlign w:val="center"/>
            <w:hideMark/>
          </w:tcPr>
          <w:p w14:paraId="5105919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212</w:t>
            </w:r>
          </w:p>
        </w:tc>
        <w:tc>
          <w:tcPr>
            <w:tcW w:w="1418" w:type="dxa"/>
            <w:tcBorders>
              <w:top w:val="nil"/>
              <w:left w:val="nil"/>
              <w:bottom w:val="nil"/>
              <w:right w:val="nil"/>
            </w:tcBorders>
            <w:shd w:val="clear" w:color="auto" w:fill="auto"/>
            <w:noWrap/>
            <w:vAlign w:val="center"/>
            <w:hideMark/>
          </w:tcPr>
          <w:p w14:paraId="5DB00F2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33.0</w:t>
            </w:r>
          </w:p>
        </w:tc>
        <w:tc>
          <w:tcPr>
            <w:tcW w:w="850" w:type="dxa"/>
            <w:tcBorders>
              <w:top w:val="nil"/>
              <w:left w:val="nil"/>
              <w:bottom w:val="nil"/>
              <w:right w:val="nil"/>
            </w:tcBorders>
            <w:shd w:val="clear" w:color="auto" w:fill="auto"/>
            <w:noWrap/>
            <w:vAlign w:val="center"/>
            <w:hideMark/>
          </w:tcPr>
          <w:p w14:paraId="4641F9D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6C1AD9E3"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5D25D46C"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2FE04F1B" w14:textId="77777777" w:rsidTr="001C1CC9">
        <w:trPr>
          <w:trHeight w:val="70"/>
        </w:trPr>
        <w:tc>
          <w:tcPr>
            <w:tcW w:w="4253" w:type="dxa"/>
            <w:tcBorders>
              <w:top w:val="nil"/>
              <w:left w:val="nil"/>
              <w:bottom w:val="nil"/>
              <w:right w:val="nil"/>
            </w:tcBorders>
            <w:shd w:val="clear" w:color="auto" w:fill="auto"/>
            <w:noWrap/>
            <w:vAlign w:val="center"/>
            <w:hideMark/>
          </w:tcPr>
          <w:p w14:paraId="00969EAA"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Overweight</w:t>
            </w:r>
          </w:p>
        </w:tc>
        <w:tc>
          <w:tcPr>
            <w:tcW w:w="992" w:type="dxa"/>
            <w:tcBorders>
              <w:top w:val="nil"/>
              <w:left w:val="nil"/>
              <w:bottom w:val="nil"/>
              <w:right w:val="nil"/>
            </w:tcBorders>
            <w:shd w:val="clear" w:color="auto" w:fill="auto"/>
            <w:noWrap/>
            <w:vAlign w:val="center"/>
            <w:hideMark/>
          </w:tcPr>
          <w:p w14:paraId="2D518FA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198</w:t>
            </w:r>
          </w:p>
        </w:tc>
        <w:tc>
          <w:tcPr>
            <w:tcW w:w="1418" w:type="dxa"/>
            <w:tcBorders>
              <w:top w:val="nil"/>
              <w:left w:val="nil"/>
              <w:bottom w:val="nil"/>
              <w:right w:val="nil"/>
            </w:tcBorders>
            <w:shd w:val="clear" w:color="auto" w:fill="auto"/>
            <w:noWrap/>
            <w:vAlign w:val="center"/>
            <w:hideMark/>
          </w:tcPr>
          <w:p w14:paraId="2D003CA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31.3</w:t>
            </w:r>
          </w:p>
        </w:tc>
        <w:tc>
          <w:tcPr>
            <w:tcW w:w="850" w:type="dxa"/>
            <w:tcBorders>
              <w:top w:val="nil"/>
              <w:left w:val="nil"/>
              <w:bottom w:val="nil"/>
              <w:right w:val="nil"/>
            </w:tcBorders>
            <w:shd w:val="clear" w:color="auto" w:fill="auto"/>
            <w:noWrap/>
            <w:vAlign w:val="center"/>
            <w:hideMark/>
          </w:tcPr>
          <w:p w14:paraId="7D24A3B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0.95</w:t>
            </w:r>
          </w:p>
        </w:tc>
        <w:tc>
          <w:tcPr>
            <w:tcW w:w="1134" w:type="dxa"/>
            <w:tcBorders>
              <w:top w:val="nil"/>
              <w:left w:val="nil"/>
              <w:bottom w:val="nil"/>
              <w:right w:val="nil"/>
            </w:tcBorders>
            <w:shd w:val="clear" w:color="auto" w:fill="auto"/>
            <w:noWrap/>
            <w:vAlign w:val="center"/>
            <w:hideMark/>
          </w:tcPr>
          <w:p w14:paraId="01AA2E3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0.72 - 1.26</w:t>
            </w:r>
          </w:p>
        </w:tc>
        <w:tc>
          <w:tcPr>
            <w:tcW w:w="710" w:type="dxa"/>
            <w:tcBorders>
              <w:top w:val="nil"/>
              <w:left w:val="nil"/>
              <w:bottom w:val="nil"/>
              <w:right w:val="nil"/>
            </w:tcBorders>
            <w:shd w:val="clear" w:color="auto" w:fill="auto"/>
            <w:noWrap/>
            <w:vAlign w:val="center"/>
            <w:hideMark/>
          </w:tcPr>
          <w:p w14:paraId="78BAC33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0.712</w:t>
            </w:r>
          </w:p>
        </w:tc>
      </w:tr>
      <w:tr w:rsidR="00D1654B" w:rsidRPr="001114C2" w14:paraId="3D2C289B" w14:textId="77777777" w:rsidTr="001C1CC9">
        <w:trPr>
          <w:trHeight w:val="70"/>
        </w:trPr>
        <w:tc>
          <w:tcPr>
            <w:tcW w:w="4253" w:type="dxa"/>
            <w:tcBorders>
              <w:top w:val="nil"/>
              <w:left w:val="nil"/>
              <w:bottom w:val="nil"/>
              <w:right w:val="nil"/>
            </w:tcBorders>
            <w:shd w:val="clear" w:color="auto" w:fill="auto"/>
            <w:noWrap/>
            <w:vAlign w:val="center"/>
            <w:hideMark/>
          </w:tcPr>
          <w:p w14:paraId="4B478551"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Obese</w:t>
            </w:r>
          </w:p>
        </w:tc>
        <w:tc>
          <w:tcPr>
            <w:tcW w:w="992" w:type="dxa"/>
            <w:tcBorders>
              <w:top w:val="nil"/>
              <w:left w:val="nil"/>
              <w:bottom w:val="nil"/>
              <w:right w:val="nil"/>
            </w:tcBorders>
            <w:shd w:val="clear" w:color="auto" w:fill="auto"/>
            <w:noWrap/>
            <w:vAlign w:val="center"/>
            <w:hideMark/>
          </w:tcPr>
          <w:p w14:paraId="11D24B5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110</w:t>
            </w:r>
          </w:p>
        </w:tc>
        <w:tc>
          <w:tcPr>
            <w:tcW w:w="1418" w:type="dxa"/>
            <w:tcBorders>
              <w:top w:val="nil"/>
              <w:left w:val="nil"/>
              <w:bottom w:val="nil"/>
              <w:right w:val="nil"/>
            </w:tcBorders>
            <w:shd w:val="clear" w:color="auto" w:fill="auto"/>
            <w:noWrap/>
            <w:vAlign w:val="center"/>
            <w:hideMark/>
          </w:tcPr>
          <w:p w14:paraId="4BA13D6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40.0</w:t>
            </w:r>
          </w:p>
        </w:tc>
        <w:tc>
          <w:tcPr>
            <w:tcW w:w="850" w:type="dxa"/>
            <w:tcBorders>
              <w:top w:val="nil"/>
              <w:left w:val="nil"/>
              <w:bottom w:val="nil"/>
              <w:right w:val="nil"/>
            </w:tcBorders>
            <w:shd w:val="clear" w:color="auto" w:fill="auto"/>
            <w:noWrap/>
            <w:vAlign w:val="center"/>
            <w:hideMark/>
          </w:tcPr>
          <w:p w14:paraId="03BE128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1.21</w:t>
            </w:r>
          </w:p>
        </w:tc>
        <w:tc>
          <w:tcPr>
            <w:tcW w:w="1134" w:type="dxa"/>
            <w:tcBorders>
              <w:top w:val="nil"/>
              <w:left w:val="nil"/>
              <w:bottom w:val="nil"/>
              <w:right w:val="nil"/>
            </w:tcBorders>
            <w:shd w:val="clear" w:color="auto" w:fill="auto"/>
            <w:noWrap/>
            <w:vAlign w:val="center"/>
            <w:hideMark/>
          </w:tcPr>
          <w:p w14:paraId="2DD9AB0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0.90 - 1.63</w:t>
            </w:r>
          </w:p>
        </w:tc>
        <w:tc>
          <w:tcPr>
            <w:tcW w:w="710" w:type="dxa"/>
            <w:tcBorders>
              <w:top w:val="nil"/>
              <w:left w:val="nil"/>
              <w:bottom w:val="nil"/>
              <w:right w:val="nil"/>
            </w:tcBorders>
            <w:shd w:val="clear" w:color="auto" w:fill="auto"/>
            <w:noWrap/>
            <w:vAlign w:val="center"/>
            <w:hideMark/>
          </w:tcPr>
          <w:p w14:paraId="1282C0D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0.208</w:t>
            </w:r>
          </w:p>
        </w:tc>
      </w:tr>
      <w:tr w:rsidR="00D1654B" w:rsidRPr="001114C2" w14:paraId="480A3DC9" w14:textId="77777777" w:rsidTr="001C1CC9">
        <w:trPr>
          <w:trHeight w:val="70"/>
        </w:trPr>
        <w:tc>
          <w:tcPr>
            <w:tcW w:w="4253" w:type="dxa"/>
            <w:tcBorders>
              <w:top w:val="nil"/>
              <w:left w:val="nil"/>
              <w:bottom w:val="nil"/>
              <w:right w:val="nil"/>
            </w:tcBorders>
            <w:shd w:val="clear" w:color="auto" w:fill="auto"/>
            <w:noWrap/>
            <w:vAlign w:val="center"/>
            <w:hideMark/>
          </w:tcPr>
          <w:p w14:paraId="621EA6DC" w14:textId="77777777" w:rsidR="00D1654B" w:rsidRPr="001114C2" w:rsidRDefault="00D1654B" w:rsidP="00D1654B">
            <w:pPr>
              <w:rPr>
                <w:rFonts w:eastAsia="Times New Roman"/>
                <w:b/>
                <w:bCs/>
                <w:i/>
                <w:iCs/>
                <w:color w:val="000000"/>
                <w:sz w:val="16"/>
                <w:szCs w:val="16"/>
                <w:lang w:eastAsia="en-GB"/>
              </w:rPr>
            </w:pPr>
            <w:r w:rsidRPr="001114C2">
              <w:rPr>
                <w:rFonts w:eastAsia="Times New Roman"/>
                <w:b/>
                <w:bCs/>
                <w:i/>
                <w:iCs/>
                <w:color w:val="000000"/>
                <w:sz w:val="16"/>
                <w:szCs w:val="16"/>
                <w:lang w:eastAsia="en-GB"/>
              </w:rPr>
              <w:t>DFU variables</w:t>
            </w:r>
          </w:p>
        </w:tc>
        <w:tc>
          <w:tcPr>
            <w:tcW w:w="992" w:type="dxa"/>
            <w:tcBorders>
              <w:top w:val="nil"/>
              <w:left w:val="nil"/>
              <w:bottom w:val="nil"/>
              <w:right w:val="nil"/>
            </w:tcBorders>
            <w:shd w:val="clear" w:color="auto" w:fill="auto"/>
            <w:noWrap/>
            <w:vAlign w:val="center"/>
            <w:hideMark/>
          </w:tcPr>
          <w:p w14:paraId="4CF43CFC" w14:textId="77777777" w:rsidR="00D1654B" w:rsidRPr="001114C2" w:rsidRDefault="00D1654B" w:rsidP="00D1654B">
            <w:pPr>
              <w:rPr>
                <w:rFonts w:eastAsia="Times New Roman"/>
                <w:b/>
                <w:bCs/>
                <w:i/>
                <w:iCs/>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50D45B13"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7DB6C556"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67BD617C"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6751CBF4"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4EF6F35C" w14:textId="77777777" w:rsidTr="001C1CC9">
        <w:trPr>
          <w:trHeight w:val="70"/>
        </w:trPr>
        <w:tc>
          <w:tcPr>
            <w:tcW w:w="4253" w:type="dxa"/>
            <w:tcBorders>
              <w:top w:val="nil"/>
              <w:left w:val="nil"/>
              <w:bottom w:val="nil"/>
              <w:right w:val="nil"/>
            </w:tcBorders>
            <w:shd w:val="clear" w:color="auto" w:fill="auto"/>
            <w:noWrap/>
            <w:vAlign w:val="center"/>
            <w:hideMark/>
          </w:tcPr>
          <w:p w14:paraId="4BF1224F" w14:textId="77777777" w:rsidR="00D1654B" w:rsidRPr="001114C2" w:rsidRDefault="00D1654B" w:rsidP="00D1654B">
            <w:pPr>
              <w:rPr>
                <w:rFonts w:eastAsia="Times New Roman"/>
                <w:color w:val="000000"/>
                <w:sz w:val="16"/>
                <w:szCs w:val="16"/>
                <w:lang w:eastAsia="en-GB"/>
              </w:rPr>
            </w:pPr>
            <w:proofErr w:type="spellStart"/>
            <w:r w:rsidRPr="001114C2">
              <w:rPr>
                <w:rFonts w:eastAsia="Times New Roman"/>
                <w:color w:val="000000"/>
                <w:sz w:val="16"/>
                <w:szCs w:val="16"/>
                <w:lang w:eastAsia="en-GB"/>
              </w:rPr>
              <w:t>Woud</w:t>
            </w:r>
            <w:proofErr w:type="spellEnd"/>
            <w:r w:rsidRPr="001114C2">
              <w:rPr>
                <w:rFonts w:eastAsia="Times New Roman"/>
                <w:color w:val="000000"/>
                <w:sz w:val="16"/>
                <w:szCs w:val="16"/>
                <w:lang w:eastAsia="en-GB"/>
              </w:rPr>
              <w:t xml:space="preserve"> size</w:t>
            </w:r>
          </w:p>
        </w:tc>
        <w:tc>
          <w:tcPr>
            <w:tcW w:w="992" w:type="dxa"/>
            <w:tcBorders>
              <w:top w:val="nil"/>
              <w:left w:val="nil"/>
              <w:bottom w:val="nil"/>
              <w:right w:val="nil"/>
            </w:tcBorders>
            <w:shd w:val="clear" w:color="auto" w:fill="auto"/>
            <w:noWrap/>
            <w:vAlign w:val="center"/>
            <w:hideMark/>
          </w:tcPr>
          <w:p w14:paraId="7CBE05D0"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20F209F4"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0074A631"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16186365"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40A9D902"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7B368F82" w14:textId="77777777" w:rsidTr="001C1CC9">
        <w:trPr>
          <w:trHeight w:val="70"/>
        </w:trPr>
        <w:tc>
          <w:tcPr>
            <w:tcW w:w="4253" w:type="dxa"/>
            <w:tcBorders>
              <w:top w:val="nil"/>
              <w:left w:val="nil"/>
              <w:bottom w:val="nil"/>
              <w:right w:val="nil"/>
            </w:tcBorders>
            <w:shd w:val="clear" w:color="auto" w:fill="auto"/>
            <w:noWrap/>
            <w:vAlign w:val="center"/>
            <w:hideMark/>
          </w:tcPr>
          <w:p w14:paraId="72E2F978"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&lt; 1 (cm2)</w:t>
            </w:r>
          </w:p>
        </w:tc>
        <w:tc>
          <w:tcPr>
            <w:tcW w:w="992" w:type="dxa"/>
            <w:tcBorders>
              <w:top w:val="nil"/>
              <w:left w:val="nil"/>
              <w:bottom w:val="nil"/>
              <w:right w:val="nil"/>
            </w:tcBorders>
            <w:shd w:val="clear" w:color="auto" w:fill="auto"/>
            <w:noWrap/>
            <w:vAlign w:val="center"/>
            <w:hideMark/>
          </w:tcPr>
          <w:p w14:paraId="088963C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108</w:t>
            </w:r>
          </w:p>
        </w:tc>
        <w:tc>
          <w:tcPr>
            <w:tcW w:w="1418" w:type="dxa"/>
            <w:tcBorders>
              <w:top w:val="nil"/>
              <w:left w:val="nil"/>
              <w:bottom w:val="nil"/>
              <w:right w:val="nil"/>
            </w:tcBorders>
            <w:shd w:val="clear" w:color="auto" w:fill="auto"/>
            <w:noWrap/>
            <w:vAlign w:val="center"/>
            <w:hideMark/>
          </w:tcPr>
          <w:p w14:paraId="19C4EA5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50.9</w:t>
            </w:r>
          </w:p>
        </w:tc>
        <w:tc>
          <w:tcPr>
            <w:tcW w:w="850" w:type="dxa"/>
            <w:tcBorders>
              <w:top w:val="nil"/>
              <w:left w:val="nil"/>
              <w:bottom w:val="nil"/>
              <w:right w:val="nil"/>
            </w:tcBorders>
            <w:shd w:val="clear" w:color="auto" w:fill="auto"/>
            <w:noWrap/>
            <w:vAlign w:val="center"/>
            <w:hideMark/>
          </w:tcPr>
          <w:p w14:paraId="325F9FF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1987B632"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0665673F"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7F342473" w14:textId="77777777" w:rsidTr="001C1CC9">
        <w:trPr>
          <w:trHeight w:val="70"/>
        </w:trPr>
        <w:tc>
          <w:tcPr>
            <w:tcW w:w="4253" w:type="dxa"/>
            <w:tcBorders>
              <w:top w:val="nil"/>
              <w:left w:val="nil"/>
              <w:bottom w:val="nil"/>
              <w:right w:val="nil"/>
            </w:tcBorders>
            <w:shd w:val="clear" w:color="auto" w:fill="auto"/>
            <w:noWrap/>
            <w:vAlign w:val="center"/>
            <w:hideMark/>
          </w:tcPr>
          <w:p w14:paraId="772C7432"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1-10 (cm2)</w:t>
            </w:r>
          </w:p>
        </w:tc>
        <w:tc>
          <w:tcPr>
            <w:tcW w:w="992" w:type="dxa"/>
            <w:tcBorders>
              <w:top w:val="nil"/>
              <w:left w:val="nil"/>
              <w:bottom w:val="nil"/>
              <w:right w:val="nil"/>
            </w:tcBorders>
            <w:shd w:val="clear" w:color="auto" w:fill="auto"/>
            <w:noWrap/>
            <w:vAlign w:val="center"/>
            <w:hideMark/>
          </w:tcPr>
          <w:p w14:paraId="7F7299A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316</w:t>
            </w:r>
          </w:p>
        </w:tc>
        <w:tc>
          <w:tcPr>
            <w:tcW w:w="1418" w:type="dxa"/>
            <w:tcBorders>
              <w:top w:val="nil"/>
              <w:left w:val="nil"/>
              <w:bottom w:val="nil"/>
              <w:right w:val="nil"/>
            </w:tcBorders>
            <w:shd w:val="clear" w:color="auto" w:fill="auto"/>
            <w:noWrap/>
            <w:vAlign w:val="center"/>
            <w:hideMark/>
          </w:tcPr>
          <w:p w14:paraId="6A7E50E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30.7</w:t>
            </w:r>
          </w:p>
        </w:tc>
        <w:tc>
          <w:tcPr>
            <w:tcW w:w="850" w:type="dxa"/>
            <w:tcBorders>
              <w:top w:val="nil"/>
              <w:left w:val="nil"/>
              <w:bottom w:val="nil"/>
              <w:right w:val="nil"/>
            </w:tcBorders>
            <w:shd w:val="clear" w:color="auto" w:fill="auto"/>
            <w:noWrap/>
            <w:vAlign w:val="center"/>
            <w:hideMark/>
          </w:tcPr>
          <w:p w14:paraId="0AF2535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0.60</w:t>
            </w:r>
          </w:p>
        </w:tc>
        <w:tc>
          <w:tcPr>
            <w:tcW w:w="1134" w:type="dxa"/>
            <w:tcBorders>
              <w:top w:val="nil"/>
              <w:left w:val="nil"/>
              <w:bottom w:val="nil"/>
              <w:right w:val="nil"/>
            </w:tcBorders>
            <w:shd w:val="clear" w:color="auto" w:fill="auto"/>
            <w:noWrap/>
            <w:vAlign w:val="center"/>
            <w:hideMark/>
          </w:tcPr>
          <w:p w14:paraId="0D72C9A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0.47 - 0.77</w:t>
            </w:r>
          </w:p>
        </w:tc>
        <w:tc>
          <w:tcPr>
            <w:tcW w:w="710" w:type="dxa"/>
            <w:tcBorders>
              <w:top w:val="nil"/>
              <w:left w:val="nil"/>
              <w:bottom w:val="nil"/>
              <w:right w:val="nil"/>
            </w:tcBorders>
            <w:shd w:val="clear" w:color="auto" w:fill="auto"/>
            <w:noWrap/>
            <w:vAlign w:val="center"/>
            <w:hideMark/>
          </w:tcPr>
          <w:p w14:paraId="07AFD2B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p&lt;.001</w:t>
            </w:r>
          </w:p>
        </w:tc>
      </w:tr>
      <w:tr w:rsidR="00D1654B" w:rsidRPr="001114C2" w14:paraId="72290203" w14:textId="77777777" w:rsidTr="001C1CC9">
        <w:trPr>
          <w:trHeight w:val="70"/>
        </w:trPr>
        <w:tc>
          <w:tcPr>
            <w:tcW w:w="4253" w:type="dxa"/>
            <w:tcBorders>
              <w:top w:val="nil"/>
              <w:left w:val="nil"/>
              <w:bottom w:val="nil"/>
              <w:right w:val="nil"/>
            </w:tcBorders>
            <w:shd w:val="clear" w:color="auto" w:fill="auto"/>
            <w:noWrap/>
            <w:vAlign w:val="center"/>
            <w:hideMark/>
          </w:tcPr>
          <w:p w14:paraId="0E674BC9"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&gt;10 (cm2)</w:t>
            </w:r>
          </w:p>
        </w:tc>
        <w:tc>
          <w:tcPr>
            <w:tcW w:w="992" w:type="dxa"/>
            <w:tcBorders>
              <w:top w:val="nil"/>
              <w:left w:val="nil"/>
              <w:bottom w:val="nil"/>
              <w:right w:val="nil"/>
            </w:tcBorders>
            <w:shd w:val="clear" w:color="auto" w:fill="auto"/>
            <w:noWrap/>
            <w:vAlign w:val="center"/>
            <w:hideMark/>
          </w:tcPr>
          <w:p w14:paraId="2BD3292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96</w:t>
            </w:r>
          </w:p>
        </w:tc>
        <w:tc>
          <w:tcPr>
            <w:tcW w:w="1418" w:type="dxa"/>
            <w:tcBorders>
              <w:top w:val="nil"/>
              <w:left w:val="nil"/>
              <w:bottom w:val="nil"/>
              <w:right w:val="nil"/>
            </w:tcBorders>
            <w:shd w:val="clear" w:color="auto" w:fill="auto"/>
            <w:noWrap/>
            <w:vAlign w:val="center"/>
            <w:hideMark/>
          </w:tcPr>
          <w:p w14:paraId="5EDF5DF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25.0</w:t>
            </w:r>
          </w:p>
        </w:tc>
        <w:tc>
          <w:tcPr>
            <w:tcW w:w="850" w:type="dxa"/>
            <w:tcBorders>
              <w:top w:val="nil"/>
              <w:left w:val="nil"/>
              <w:bottom w:val="nil"/>
              <w:right w:val="nil"/>
            </w:tcBorders>
            <w:shd w:val="clear" w:color="auto" w:fill="auto"/>
            <w:noWrap/>
            <w:vAlign w:val="center"/>
            <w:hideMark/>
          </w:tcPr>
          <w:p w14:paraId="3A23C20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0.49</w:t>
            </w:r>
          </w:p>
        </w:tc>
        <w:tc>
          <w:tcPr>
            <w:tcW w:w="1134" w:type="dxa"/>
            <w:tcBorders>
              <w:top w:val="nil"/>
              <w:left w:val="nil"/>
              <w:bottom w:val="nil"/>
              <w:right w:val="nil"/>
            </w:tcBorders>
            <w:shd w:val="clear" w:color="auto" w:fill="auto"/>
            <w:noWrap/>
            <w:vAlign w:val="center"/>
            <w:hideMark/>
          </w:tcPr>
          <w:p w14:paraId="08D7CB2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0.33 - 0.73</w:t>
            </w:r>
          </w:p>
        </w:tc>
        <w:tc>
          <w:tcPr>
            <w:tcW w:w="710" w:type="dxa"/>
            <w:tcBorders>
              <w:top w:val="nil"/>
              <w:left w:val="nil"/>
              <w:bottom w:val="nil"/>
              <w:right w:val="nil"/>
            </w:tcBorders>
            <w:shd w:val="clear" w:color="auto" w:fill="auto"/>
            <w:noWrap/>
            <w:vAlign w:val="center"/>
            <w:hideMark/>
          </w:tcPr>
          <w:p w14:paraId="599988F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p&lt;.001</w:t>
            </w:r>
          </w:p>
        </w:tc>
      </w:tr>
      <w:tr w:rsidR="00D1654B" w:rsidRPr="001114C2" w14:paraId="031C08E6" w14:textId="77777777" w:rsidTr="001C1CC9">
        <w:trPr>
          <w:trHeight w:val="70"/>
        </w:trPr>
        <w:tc>
          <w:tcPr>
            <w:tcW w:w="4253" w:type="dxa"/>
            <w:tcBorders>
              <w:top w:val="nil"/>
              <w:left w:val="nil"/>
              <w:bottom w:val="nil"/>
              <w:right w:val="nil"/>
            </w:tcBorders>
            <w:shd w:val="clear" w:color="auto" w:fill="auto"/>
            <w:noWrap/>
            <w:vAlign w:val="center"/>
            <w:hideMark/>
          </w:tcPr>
          <w:p w14:paraId="2A3F1E7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Wound depth</w:t>
            </w:r>
          </w:p>
        </w:tc>
        <w:tc>
          <w:tcPr>
            <w:tcW w:w="992" w:type="dxa"/>
            <w:tcBorders>
              <w:top w:val="nil"/>
              <w:left w:val="nil"/>
              <w:bottom w:val="nil"/>
              <w:right w:val="nil"/>
            </w:tcBorders>
            <w:shd w:val="clear" w:color="auto" w:fill="auto"/>
            <w:noWrap/>
            <w:vAlign w:val="center"/>
            <w:hideMark/>
          </w:tcPr>
          <w:p w14:paraId="52804199"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1D617548"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3EDD17CF"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42E73312"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3A9F0F55"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4F78595E" w14:textId="77777777" w:rsidTr="001C1CC9">
        <w:trPr>
          <w:trHeight w:val="70"/>
        </w:trPr>
        <w:tc>
          <w:tcPr>
            <w:tcW w:w="4253" w:type="dxa"/>
            <w:tcBorders>
              <w:top w:val="nil"/>
              <w:left w:val="nil"/>
              <w:bottom w:val="nil"/>
              <w:right w:val="nil"/>
            </w:tcBorders>
            <w:shd w:val="clear" w:color="auto" w:fill="auto"/>
            <w:noWrap/>
            <w:vAlign w:val="center"/>
            <w:hideMark/>
          </w:tcPr>
          <w:p w14:paraId="658E0AF0"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&lt;0.5 cm</w:t>
            </w:r>
          </w:p>
        </w:tc>
        <w:tc>
          <w:tcPr>
            <w:tcW w:w="992" w:type="dxa"/>
            <w:tcBorders>
              <w:top w:val="nil"/>
              <w:left w:val="nil"/>
              <w:bottom w:val="nil"/>
              <w:right w:val="nil"/>
            </w:tcBorders>
            <w:shd w:val="clear" w:color="auto" w:fill="auto"/>
            <w:noWrap/>
            <w:vAlign w:val="center"/>
            <w:hideMark/>
          </w:tcPr>
          <w:p w14:paraId="1546798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317</w:t>
            </w:r>
          </w:p>
        </w:tc>
        <w:tc>
          <w:tcPr>
            <w:tcW w:w="1418" w:type="dxa"/>
            <w:tcBorders>
              <w:top w:val="nil"/>
              <w:left w:val="nil"/>
              <w:bottom w:val="nil"/>
              <w:right w:val="nil"/>
            </w:tcBorders>
            <w:shd w:val="clear" w:color="auto" w:fill="auto"/>
            <w:noWrap/>
            <w:vAlign w:val="center"/>
            <w:hideMark/>
          </w:tcPr>
          <w:p w14:paraId="4BB1D0F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36.0</w:t>
            </w:r>
          </w:p>
        </w:tc>
        <w:tc>
          <w:tcPr>
            <w:tcW w:w="850" w:type="dxa"/>
            <w:tcBorders>
              <w:top w:val="nil"/>
              <w:left w:val="nil"/>
              <w:bottom w:val="nil"/>
              <w:right w:val="nil"/>
            </w:tcBorders>
            <w:shd w:val="clear" w:color="auto" w:fill="auto"/>
            <w:noWrap/>
            <w:vAlign w:val="center"/>
            <w:hideMark/>
          </w:tcPr>
          <w:p w14:paraId="7FAA7D2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4A9030D0"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18AD67EB"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533AC25F" w14:textId="77777777" w:rsidTr="001C1CC9">
        <w:trPr>
          <w:trHeight w:val="70"/>
        </w:trPr>
        <w:tc>
          <w:tcPr>
            <w:tcW w:w="4253" w:type="dxa"/>
            <w:tcBorders>
              <w:top w:val="nil"/>
              <w:left w:val="nil"/>
              <w:bottom w:val="nil"/>
              <w:right w:val="nil"/>
            </w:tcBorders>
            <w:shd w:val="clear" w:color="auto" w:fill="auto"/>
            <w:noWrap/>
            <w:vAlign w:val="center"/>
            <w:hideMark/>
          </w:tcPr>
          <w:p w14:paraId="5709516D"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≥0.5 cm</w:t>
            </w:r>
          </w:p>
        </w:tc>
        <w:tc>
          <w:tcPr>
            <w:tcW w:w="992" w:type="dxa"/>
            <w:tcBorders>
              <w:top w:val="nil"/>
              <w:left w:val="nil"/>
              <w:bottom w:val="nil"/>
              <w:right w:val="nil"/>
            </w:tcBorders>
            <w:shd w:val="clear" w:color="auto" w:fill="auto"/>
            <w:noWrap/>
            <w:vAlign w:val="center"/>
            <w:hideMark/>
          </w:tcPr>
          <w:p w14:paraId="1B859A1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203</w:t>
            </w:r>
          </w:p>
        </w:tc>
        <w:tc>
          <w:tcPr>
            <w:tcW w:w="1418" w:type="dxa"/>
            <w:tcBorders>
              <w:top w:val="nil"/>
              <w:left w:val="nil"/>
              <w:bottom w:val="nil"/>
              <w:right w:val="nil"/>
            </w:tcBorders>
            <w:shd w:val="clear" w:color="auto" w:fill="auto"/>
            <w:noWrap/>
            <w:vAlign w:val="center"/>
            <w:hideMark/>
          </w:tcPr>
          <w:p w14:paraId="6F762A5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33.9</w:t>
            </w:r>
          </w:p>
        </w:tc>
        <w:tc>
          <w:tcPr>
            <w:tcW w:w="850" w:type="dxa"/>
            <w:tcBorders>
              <w:top w:val="nil"/>
              <w:left w:val="nil"/>
              <w:bottom w:val="nil"/>
              <w:right w:val="nil"/>
            </w:tcBorders>
            <w:shd w:val="clear" w:color="auto" w:fill="auto"/>
            <w:noWrap/>
            <w:vAlign w:val="center"/>
            <w:hideMark/>
          </w:tcPr>
          <w:p w14:paraId="23443E34"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0.85</w:t>
            </w:r>
          </w:p>
        </w:tc>
        <w:tc>
          <w:tcPr>
            <w:tcW w:w="1134" w:type="dxa"/>
            <w:tcBorders>
              <w:top w:val="nil"/>
              <w:left w:val="nil"/>
              <w:bottom w:val="nil"/>
              <w:right w:val="nil"/>
            </w:tcBorders>
            <w:shd w:val="clear" w:color="auto" w:fill="auto"/>
            <w:noWrap/>
            <w:vAlign w:val="center"/>
            <w:hideMark/>
          </w:tcPr>
          <w:p w14:paraId="0C1313A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0.66 - 1.10</w:t>
            </w:r>
          </w:p>
        </w:tc>
        <w:tc>
          <w:tcPr>
            <w:tcW w:w="710" w:type="dxa"/>
            <w:tcBorders>
              <w:top w:val="nil"/>
              <w:left w:val="nil"/>
              <w:bottom w:val="nil"/>
              <w:right w:val="nil"/>
            </w:tcBorders>
            <w:shd w:val="clear" w:color="auto" w:fill="auto"/>
            <w:noWrap/>
            <w:vAlign w:val="center"/>
            <w:hideMark/>
          </w:tcPr>
          <w:p w14:paraId="52E5C17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0.208</w:t>
            </w:r>
          </w:p>
        </w:tc>
      </w:tr>
      <w:tr w:rsidR="00D1654B" w:rsidRPr="001114C2" w14:paraId="5C48D7F6" w14:textId="77777777" w:rsidTr="001C1CC9">
        <w:trPr>
          <w:trHeight w:val="70"/>
        </w:trPr>
        <w:tc>
          <w:tcPr>
            <w:tcW w:w="4253" w:type="dxa"/>
            <w:tcBorders>
              <w:top w:val="nil"/>
              <w:left w:val="nil"/>
              <w:bottom w:val="nil"/>
              <w:right w:val="nil"/>
            </w:tcBorders>
            <w:shd w:val="clear" w:color="auto" w:fill="auto"/>
            <w:noWrap/>
            <w:vAlign w:val="center"/>
            <w:hideMark/>
          </w:tcPr>
          <w:p w14:paraId="103FAAC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DFU duration</w:t>
            </w:r>
          </w:p>
        </w:tc>
        <w:tc>
          <w:tcPr>
            <w:tcW w:w="992" w:type="dxa"/>
            <w:tcBorders>
              <w:top w:val="nil"/>
              <w:left w:val="nil"/>
              <w:bottom w:val="nil"/>
              <w:right w:val="nil"/>
            </w:tcBorders>
            <w:shd w:val="clear" w:color="auto" w:fill="auto"/>
            <w:noWrap/>
            <w:vAlign w:val="center"/>
            <w:hideMark/>
          </w:tcPr>
          <w:p w14:paraId="758850B6"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098D58F2"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0E99F516"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435C172C"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3EF1C615"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47E2820F" w14:textId="77777777" w:rsidTr="001C1CC9">
        <w:trPr>
          <w:trHeight w:val="70"/>
        </w:trPr>
        <w:tc>
          <w:tcPr>
            <w:tcW w:w="4253" w:type="dxa"/>
            <w:tcBorders>
              <w:top w:val="nil"/>
              <w:left w:val="nil"/>
              <w:bottom w:val="nil"/>
              <w:right w:val="nil"/>
            </w:tcBorders>
            <w:shd w:val="clear" w:color="auto" w:fill="auto"/>
            <w:noWrap/>
            <w:vAlign w:val="center"/>
            <w:hideMark/>
          </w:tcPr>
          <w:p w14:paraId="7191EB61"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&lt;6 months</w:t>
            </w:r>
          </w:p>
        </w:tc>
        <w:tc>
          <w:tcPr>
            <w:tcW w:w="992" w:type="dxa"/>
            <w:tcBorders>
              <w:top w:val="nil"/>
              <w:left w:val="nil"/>
              <w:bottom w:val="nil"/>
              <w:right w:val="nil"/>
            </w:tcBorders>
            <w:shd w:val="clear" w:color="auto" w:fill="auto"/>
            <w:noWrap/>
            <w:vAlign w:val="center"/>
            <w:hideMark/>
          </w:tcPr>
          <w:p w14:paraId="05FFE17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409</w:t>
            </w:r>
          </w:p>
        </w:tc>
        <w:tc>
          <w:tcPr>
            <w:tcW w:w="1418" w:type="dxa"/>
            <w:tcBorders>
              <w:top w:val="nil"/>
              <w:left w:val="nil"/>
              <w:bottom w:val="nil"/>
              <w:right w:val="nil"/>
            </w:tcBorders>
            <w:shd w:val="clear" w:color="auto" w:fill="auto"/>
            <w:noWrap/>
            <w:vAlign w:val="center"/>
            <w:hideMark/>
          </w:tcPr>
          <w:p w14:paraId="4479B4E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39.4</w:t>
            </w:r>
          </w:p>
        </w:tc>
        <w:tc>
          <w:tcPr>
            <w:tcW w:w="850" w:type="dxa"/>
            <w:tcBorders>
              <w:top w:val="nil"/>
              <w:left w:val="nil"/>
              <w:bottom w:val="nil"/>
              <w:right w:val="nil"/>
            </w:tcBorders>
            <w:shd w:val="clear" w:color="auto" w:fill="auto"/>
            <w:noWrap/>
            <w:vAlign w:val="center"/>
            <w:hideMark/>
          </w:tcPr>
          <w:p w14:paraId="0C1DC28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6CBBBEBB"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7990ED0A"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3628287E" w14:textId="77777777" w:rsidTr="001C1CC9">
        <w:trPr>
          <w:trHeight w:val="70"/>
        </w:trPr>
        <w:tc>
          <w:tcPr>
            <w:tcW w:w="4253" w:type="dxa"/>
            <w:tcBorders>
              <w:top w:val="nil"/>
              <w:left w:val="nil"/>
              <w:bottom w:val="nil"/>
              <w:right w:val="nil"/>
            </w:tcBorders>
            <w:shd w:val="clear" w:color="auto" w:fill="auto"/>
            <w:noWrap/>
            <w:vAlign w:val="center"/>
            <w:hideMark/>
          </w:tcPr>
          <w:p w14:paraId="57A442CE"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≥6 months</w:t>
            </w:r>
          </w:p>
        </w:tc>
        <w:tc>
          <w:tcPr>
            <w:tcW w:w="992" w:type="dxa"/>
            <w:tcBorders>
              <w:top w:val="nil"/>
              <w:left w:val="nil"/>
              <w:bottom w:val="nil"/>
              <w:right w:val="nil"/>
            </w:tcBorders>
            <w:shd w:val="clear" w:color="auto" w:fill="auto"/>
            <w:noWrap/>
            <w:vAlign w:val="center"/>
            <w:hideMark/>
          </w:tcPr>
          <w:p w14:paraId="53A3AC0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111</w:t>
            </w:r>
          </w:p>
        </w:tc>
        <w:tc>
          <w:tcPr>
            <w:tcW w:w="1418" w:type="dxa"/>
            <w:tcBorders>
              <w:top w:val="nil"/>
              <w:left w:val="nil"/>
              <w:bottom w:val="nil"/>
              <w:right w:val="nil"/>
            </w:tcBorders>
            <w:shd w:val="clear" w:color="auto" w:fill="auto"/>
            <w:noWrap/>
            <w:vAlign w:val="center"/>
            <w:hideMark/>
          </w:tcPr>
          <w:p w14:paraId="490A940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13.5</w:t>
            </w:r>
          </w:p>
        </w:tc>
        <w:tc>
          <w:tcPr>
            <w:tcW w:w="850" w:type="dxa"/>
            <w:tcBorders>
              <w:top w:val="nil"/>
              <w:left w:val="nil"/>
              <w:bottom w:val="nil"/>
              <w:right w:val="nil"/>
            </w:tcBorders>
            <w:shd w:val="clear" w:color="auto" w:fill="auto"/>
            <w:noWrap/>
            <w:vAlign w:val="center"/>
            <w:hideMark/>
          </w:tcPr>
          <w:p w14:paraId="35DDBF7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0.34</w:t>
            </w:r>
          </w:p>
        </w:tc>
        <w:tc>
          <w:tcPr>
            <w:tcW w:w="1134" w:type="dxa"/>
            <w:tcBorders>
              <w:top w:val="nil"/>
              <w:left w:val="nil"/>
              <w:bottom w:val="nil"/>
              <w:right w:val="nil"/>
            </w:tcBorders>
            <w:shd w:val="clear" w:color="auto" w:fill="auto"/>
            <w:noWrap/>
            <w:vAlign w:val="center"/>
            <w:hideMark/>
          </w:tcPr>
          <w:p w14:paraId="1705FEF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0.21 - 0.56</w:t>
            </w:r>
          </w:p>
        </w:tc>
        <w:tc>
          <w:tcPr>
            <w:tcW w:w="710" w:type="dxa"/>
            <w:tcBorders>
              <w:top w:val="nil"/>
              <w:left w:val="nil"/>
              <w:bottom w:val="nil"/>
              <w:right w:val="nil"/>
            </w:tcBorders>
            <w:shd w:val="clear" w:color="auto" w:fill="auto"/>
            <w:noWrap/>
            <w:vAlign w:val="center"/>
            <w:hideMark/>
          </w:tcPr>
          <w:p w14:paraId="5C11E91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p&lt;.001</w:t>
            </w:r>
          </w:p>
        </w:tc>
      </w:tr>
      <w:tr w:rsidR="00D1654B" w:rsidRPr="001114C2" w14:paraId="1CD5E5C3" w14:textId="77777777" w:rsidTr="001C1CC9">
        <w:trPr>
          <w:trHeight w:val="70"/>
        </w:trPr>
        <w:tc>
          <w:tcPr>
            <w:tcW w:w="4253" w:type="dxa"/>
            <w:tcBorders>
              <w:top w:val="nil"/>
              <w:left w:val="nil"/>
              <w:bottom w:val="nil"/>
              <w:right w:val="nil"/>
            </w:tcBorders>
            <w:shd w:val="clear" w:color="auto" w:fill="auto"/>
            <w:noWrap/>
            <w:vAlign w:val="center"/>
            <w:hideMark/>
          </w:tcPr>
          <w:p w14:paraId="3DA63D6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Ulcer on toe only</w:t>
            </w:r>
          </w:p>
        </w:tc>
        <w:tc>
          <w:tcPr>
            <w:tcW w:w="992" w:type="dxa"/>
            <w:tcBorders>
              <w:top w:val="nil"/>
              <w:left w:val="nil"/>
              <w:bottom w:val="nil"/>
              <w:right w:val="nil"/>
            </w:tcBorders>
            <w:shd w:val="clear" w:color="auto" w:fill="auto"/>
            <w:noWrap/>
            <w:vAlign w:val="center"/>
            <w:hideMark/>
          </w:tcPr>
          <w:p w14:paraId="2D8E1A7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333</w:t>
            </w:r>
          </w:p>
        </w:tc>
        <w:tc>
          <w:tcPr>
            <w:tcW w:w="1418" w:type="dxa"/>
            <w:tcBorders>
              <w:top w:val="nil"/>
              <w:left w:val="nil"/>
              <w:bottom w:val="nil"/>
              <w:right w:val="nil"/>
            </w:tcBorders>
            <w:shd w:val="clear" w:color="auto" w:fill="auto"/>
            <w:noWrap/>
            <w:vAlign w:val="center"/>
            <w:hideMark/>
          </w:tcPr>
          <w:p w14:paraId="3F99373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33.6</w:t>
            </w:r>
          </w:p>
        </w:tc>
        <w:tc>
          <w:tcPr>
            <w:tcW w:w="850" w:type="dxa"/>
            <w:tcBorders>
              <w:top w:val="nil"/>
              <w:left w:val="nil"/>
              <w:bottom w:val="nil"/>
              <w:right w:val="nil"/>
            </w:tcBorders>
            <w:shd w:val="clear" w:color="auto" w:fill="auto"/>
            <w:noWrap/>
            <w:vAlign w:val="center"/>
            <w:hideMark/>
          </w:tcPr>
          <w:p w14:paraId="73E834D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0.98</w:t>
            </w:r>
          </w:p>
        </w:tc>
        <w:tc>
          <w:tcPr>
            <w:tcW w:w="1134" w:type="dxa"/>
            <w:tcBorders>
              <w:top w:val="nil"/>
              <w:left w:val="nil"/>
              <w:bottom w:val="nil"/>
              <w:right w:val="nil"/>
            </w:tcBorders>
            <w:shd w:val="clear" w:color="auto" w:fill="auto"/>
            <w:noWrap/>
            <w:vAlign w:val="center"/>
            <w:hideMark/>
          </w:tcPr>
          <w:p w14:paraId="2E3FD94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0.77 - 1.26</w:t>
            </w:r>
          </w:p>
        </w:tc>
        <w:tc>
          <w:tcPr>
            <w:tcW w:w="710" w:type="dxa"/>
            <w:tcBorders>
              <w:top w:val="nil"/>
              <w:left w:val="nil"/>
              <w:bottom w:val="nil"/>
              <w:right w:val="nil"/>
            </w:tcBorders>
            <w:shd w:val="clear" w:color="auto" w:fill="auto"/>
            <w:noWrap/>
            <w:vAlign w:val="center"/>
            <w:hideMark/>
          </w:tcPr>
          <w:p w14:paraId="627E281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0.891</w:t>
            </w:r>
          </w:p>
        </w:tc>
      </w:tr>
      <w:tr w:rsidR="00D1654B" w:rsidRPr="001114C2" w14:paraId="5CFD058A" w14:textId="77777777" w:rsidTr="001C1CC9">
        <w:trPr>
          <w:trHeight w:val="70"/>
        </w:trPr>
        <w:tc>
          <w:tcPr>
            <w:tcW w:w="4253" w:type="dxa"/>
            <w:tcBorders>
              <w:top w:val="nil"/>
              <w:left w:val="nil"/>
              <w:bottom w:val="nil"/>
              <w:right w:val="nil"/>
            </w:tcBorders>
            <w:shd w:val="clear" w:color="auto" w:fill="auto"/>
            <w:noWrap/>
            <w:vAlign w:val="center"/>
            <w:hideMark/>
          </w:tcPr>
          <w:p w14:paraId="54DC1BA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Ulcer on toe and others (plantar/heel/dorsum)</w:t>
            </w:r>
          </w:p>
        </w:tc>
        <w:tc>
          <w:tcPr>
            <w:tcW w:w="992" w:type="dxa"/>
            <w:tcBorders>
              <w:top w:val="nil"/>
              <w:left w:val="nil"/>
              <w:bottom w:val="nil"/>
              <w:right w:val="nil"/>
            </w:tcBorders>
            <w:shd w:val="clear" w:color="auto" w:fill="auto"/>
            <w:noWrap/>
            <w:vAlign w:val="center"/>
            <w:hideMark/>
          </w:tcPr>
          <w:p w14:paraId="1B1E40F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26</w:t>
            </w:r>
          </w:p>
        </w:tc>
        <w:tc>
          <w:tcPr>
            <w:tcW w:w="1418" w:type="dxa"/>
            <w:tcBorders>
              <w:top w:val="nil"/>
              <w:left w:val="nil"/>
              <w:bottom w:val="nil"/>
              <w:right w:val="nil"/>
            </w:tcBorders>
            <w:shd w:val="clear" w:color="auto" w:fill="auto"/>
            <w:noWrap/>
            <w:vAlign w:val="center"/>
            <w:hideMark/>
          </w:tcPr>
          <w:p w14:paraId="72AE44E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23.1</w:t>
            </w:r>
          </w:p>
        </w:tc>
        <w:tc>
          <w:tcPr>
            <w:tcW w:w="850" w:type="dxa"/>
            <w:tcBorders>
              <w:top w:val="nil"/>
              <w:left w:val="nil"/>
              <w:bottom w:val="nil"/>
              <w:right w:val="nil"/>
            </w:tcBorders>
            <w:shd w:val="clear" w:color="auto" w:fill="auto"/>
            <w:noWrap/>
            <w:vAlign w:val="center"/>
            <w:hideMark/>
          </w:tcPr>
          <w:p w14:paraId="229531B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0.67</w:t>
            </w:r>
          </w:p>
        </w:tc>
        <w:tc>
          <w:tcPr>
            <w:tcW w:w="1134" w:type="dxa"/>
            <w:tcBorders>
              <w:top w:val="nil"/>
              <w:left w:val="nil"/>
              <w:bottom w:val="nil"/>
              <w:right w:val="nil"/>
            </w:tcBorders>
            <w:shd w:val="clear" w:color="auto" w:fill="auto"/>
            <w:noWrap/>
            <w:vAlign w:val="center"/>
            <w:hideMark/>
          </w:tcPr>
          <w:p w14:paraId="50A152D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0.33 - 1.37</w:t>
            </w:r>
          </w:p>
        </w:tc>
        <w:tc>
          <w:tcPr>
            <w:tcW w:w="710" w:type="dxa"/>
            <w:tcBorders>
              <w:top w:val="nil"/>
              <w:left w:val="nil"/>
              <w:bottom w:val="nil"/>
              <w:right w:val="nil"/>
            </w:tcBorders>
            <w:shd w:val="clear" w:color="auto" w:fill="auto"/>
            <w:noWrap/>
            <w:vAlign w:val="center"/>
            <w:hideMark/>
          </w:tcPr>
          <w:p w14:paraId="57F494C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0.272</w:t>
            </w:r>
          </w:p>
        </w:tc>
      </w:tr>
      <w:tr w:rsidR="00D1654B" w:rsidRPr="001114C2" w14:paraId="1645F9F0" w14:textId="77777777" w:rsidTr="001C1CC9">
        <w:trPr>
          <w:trHeight w:val="70"/>
        </w:trPr>
        <w:tc>
          <w:tcPr>
            <w:tcW w:w="4253" w:type="dxa"/>
            <w:tcBorders>
              <w:top w:val="nil"/>
              <w:left w:val="nil"/>
              <w:bottom w:val="nil"/>
              <w:right w:val="nil"/>
            </w:tcBorders>
            <w:shd w:val="clear" w:color="auto" w:fill="auto"/>
            <w:noWrap/>
            <w:vAlign w:val="center"/>
            <w:hideMark/>
          </w:tcPr>
          <w:p w14:paraId="71CA582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Ulcer on plantar only</w:t>
            </w:r>
          </w:p>
        </w:tc>
        <w:tc>
          <w:tcPr>
            <w:tcW w:w="992" w:type="dxa"/>
            <w:tcBorders>
              <w:top w:val="nil"/>
              <w:left w:val="nil"/>
              <w:bottom w:val="nil"/>
              <w:right w:val="nil"/>
            </w:tcBorders>
            <w:shd w:val="clear" w:color="auto" w:fill="auto"/>
            <w:noWrap/>
            <w:vAlign w:val="center"/>
            <w:hideMark/>
          </w:tcPr>
          <w:p w14:paraId="7AA47B8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123</w:t>
            </w:r>
          </w:p>
        </w:tc>
        <w:tc>
          <w:tcPr>
            <w:tcW w:w="1418" w:type="dxa"/>
            <w:tcBorders>
              <w:top w:val="nil"/>
              <w:left w:val="nil"/>
              <w:bottom w:val="nil"/>
              <w:right w:val="nil"/>
            </w:tcBorders>
            <w:shd w:val="clear" w:color="auto" w:fill="auto"/>
            <w:noWrap/>
            <w:vAlign w:val="center"/>
            <w:hideMark/>
          </w:tcPr>
          <w:p w14:paraId="1324B0A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30.9</w:t>
            </w:r>
          </w:p>
        </w:tc>
        <w:tc>
          <w:tcPr>
            <w:tcW w:w="850" w:type="dxa"/>
            <w:tcBorders>
              <w:top w:val="nil"/>
              <w:left w:val="nil"/>
              <w:bottom w:val="nil"/>
              <w:right w:val="nil"/>
            </w:tcBorders>
            <w:shd w:val="clear" w:color="auto" w:fill="auto"/>
            <w:noWrap/>
            <w:vAlign w:val="center"/>
            <w:hideMark/>
          </w:tcPr>
          <w:p w14:paraId="0199EE2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0.89</w:t>
            </w:r>
          </w:p>
        </w:tc>
        <w:tc>
          <w:tcPr>
            <w:tcW w:w="1134" w:type="dxa"/>
            <w:tcBorders>
              <w:top w:val="nil"/>
              <w:left w:val="nil"/>
              <w:bottom w:val="nil"/>
              <w:right w:val="nil"/>
            </w:tcBorders>
            <w:shd w:val="clear" w:color="auto" w:fill="auto"/>
            <w:noWrap/>
            <w:vAlign w:val="center"/>
            <w:hideMark/>
          </w:tcPr>
          <w:p w14:paraId="095329B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0.66 - 1.20</w:t>
            </w:r>
          </w:p>
        </w:tc>
        <w:tc>
          <w:tcPr>
            <w:tcW w:w="710" w:type="dxa"/>
            <w:tcBorders>
              <w:top w:val="nil"/>
              <w:left w:val="nil"/>
              <w:bottom w:val="nil"/>
              <w:right w:val="nil"/>
            </w:tcBorders>
            <w:shd w:val="clear" w:color="auto" w:fill="auto"/>
            <w:noWrap/>
            <w:vAlign w:val="center"/>
            <w:hideMark/>
          </w:tcPr>
          <w:p w14:paraId="567309A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0.436</w:t>
            </w:r>
          </w:p>
        </w:tc>
      </w:tr>
      <w:tr w:rsidR="00D1654B" w:rsidRPr="001114C2" w14:paraId="689EB435" w14:textId="77777777" w:rsidTr="001C1CC9">
        <w:trPr>
          <w:trHeight w:val="224"/>
        </w:trPr>
        <w:tc>
          <w:tcPr>
            <w:tcW w:w="4253" w:type="dxa"/>
            <w:tcBorders>
              <w:top w:val="nil"/>
              <w:left w:val="nil"/>
              <w:bottom w:val="nil"/>
              <w:right w:val="nil"/>
            </w:tcBorders>
            <w:shd w:val="clear" w:color="auto" w:fill="auto"/>
            <w:noWrap/>
            <w:vAlign w:val="center"/>
            <w:hideMark/>
          </w:tcPr>
          <w:p w14:paraId="1592391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Ulcer on heel only/ dorsum only/ more than two locations other than toe</w:t>
            </w:r>
          </w:p>
        </w:tc>
        <w:tc>
          <w:tcPr>
            <w:tcW w:w="992" w:type="dxa"/>
            <w:tcBorders>
              <w:top w:val="nil"/>
              <w:left w:val="nil"/>
              <w:bottom w:val="nil"/>
              <w:right w:val="nil"/>
            </w:tcBorders>
            <w:shd w:val="clear" w:color="auto" w:fill="auto"/>
            <w:noWrap/>
            <w:vAlign w:val="center"/>
            <w:hideMark/>
          </w:tcPr>
          <w:p w14:paraId="25A4029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93</w:t>
            </w:r>
          </w:p>
        </w:tc>
        <w:tc>
          <w:tcPr>
            <w:tcW w:w="1418" w:type="dxa"/>
            <w:tcBorders>
              <w:top w:val="nil"/>
              <w:left w:val="nil"/>
              <w:bottom w:val="nil"/>
              <w:right w:val="nil"/>
            </w:tcBorders>
            <w:shd w:val="clear" w:color="auto" w:fill="auto"/>
            <w:noWrap/>
            <w:vAlign w:val="center"/>
            <w:hideMark/>
          </w:tcPr>
          <w:p w14:paraId="2004244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35.5</w:t>
            </w:r>
          </w:p>
        </w:tc>
        <w:tc>
          <w:tcPr>
            <w:tcW w:w="850" w:type="dxa"/>
            <w:tcBorders>
              <w:top w:val="nil"/>
              <w:left w:val="nil"/>
              <w:bottom w:val="nil"/>
              <w:right w:val="nil"/>
            </w:tcBorders>
            <w:shd w:val="clear" w:color="auto" w:fill="auto"/>
            <w:noWrap/>
            <w:vAlign w:val="center"/>
            <w:hideMark/>
          </w:tcPr>
          <w:p w14:paraId="59F0DEA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1.06</w:t>
            </w:r>
          </w:p>
        </w:tc>
        <w:tc>
          <w:tcPr>
            <w:tcW w:w="1134" w:type="dxa"/>
            <w:tcBorders>
              <w:top w:val="nil"/>
              <w:left w:val="nil"/>
              <w:bottom w:val="nil"/>
              <w:right w:val="nil"/>
            </w:tcBorders>
            <w:shd w:val="clear" w:color="auto" w:fill="auto"/>
            <w:noWrap/>
            <w:vAlign w:val="center"/>
            <w:hideMark/>
          </w:tcPr>
          <w:p w14:paraId="089AC09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0.78 - 1.44</w:t>
            </w:r>
          </w:p>
        </w:tc>
        <w:tc>
          <w:tcPr>
            <w:tcW w:w="710" w:type="dxa"/>
            <w:tcBorders>
              <w:top w:val="nil"/>
              <w:left w:val="nil"/>
              <w:bottom w:val="nil"/>
              <w:right w:val="nil"/>
            </w:tcBorders>
            <w:shd w:val="clear" w:color="auto" w:fill="auto"/>
            <w:noWrap/>
            <w:vAlign w:val="center"/>
            <w:hideMark/>
          </w:tcPr>
          <w:p w14:paraId="33DAB6A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0.710</w:t>
            </w:r>
          </w:p>
        </w:tc>
      </w:tr>
      <w:tr w:rsidR="00D1654B" w:rsidRPr="001114C2" w14:paraId="4AED3698" w14:textId="77777777" w:rsidTr="001C1CC9">
        <w:trPr>
          <w:trHeight w:val="70"/>
        </w:trPr>
        <w:tc>
          <w:tcPr>
            <w:tcW w:w="4253" w:type="dxa"/>
            <w:tcBorders>
              <w:top w:val="nil"/>
              <w:left w:val="nil"/>
              <w:bottom w:val="nil"/>
              <w:right w:val="nil"/>
            </w:tcBorders>
            <w:shd w:val="clear" w:color="auto" w:fill="auto"/>
            <w:noWrap/>
            <w:vAlign w:val="center"/>
            <w:hideMark/>
          </w:tcPr>
          <w:p w14:paraId="2B74394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Type of DFU</w:t>
            </w:r>
          </w:p>
        </w:tc>
        <w:tc>
          <w:tcPr>
            <w:tcW w:w="992" w:type="dxa"/>
            <w:tcBorders>
              <w:top w:val="nil"/>
              <w:left w:val="nil"/>
              <w:bottom w:val="nil"/>
              <w:right w:val="nil"/>
            </w:tcBorders>
            <w:shd w:val="clear" w:color="auto" w:fill="auto"/>
            <w:noWrap/>
            <w:vAlign w:val="center"/>
            <w:hideMark/>
          </w:tcPr>
          <w:p w14:paraId="24C66BCE"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6B227FD8"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258F82A6"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0D93D37A"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7B24B97F"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1812DE9C" w14:textId="77777777" w:rsidTr="001C1CC9">
        <w:trPr>
          <w:trHeight w:val="70"/>
        </w:trPr>
        <w:tc>
          <w:tcPr>
            <w:tcW w:w="4253" w:type="dxa"/>
            <w:tcBorders>
              <w:top w:val="nil"/>
              <w:left w:val="nil"/>
              <w:bottom w:val="nil"/>
              <w:right w:val="nil"/>
            </w:tcBorders>
            <w:shd w:val="clear" w:color="auto" w:fill="auto"/>
            <w:noWrap/>
            <w:vAlign w:val="center"/>
            <w:hideMark/>
          </w:tcPr>
          <w:p w14:paraId="09544FFF"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Neuropathic</w:t>
            </w:r>
          </w:p>
        </w:tc>
        <w:tc>
          <w:tcPr>
            <w:tcW w:w="992" w:type="dxa"/>
            <w:tcBorders>
              <w:top w:val="nil"/>
              <w:left w:val="nil"/>
              <w:bottom w:val="nil"/>
              <w:right w:val="nil"/>
            </w:tcBorders>
            <w:shd w:val="clear" w:color="auto" w:fill="auto"/>
            <w:noWrap/>
            <w:vAlign w:val="center"/>
            <w:hideMark/>
          </w:tcPr>
          <w:p w14:paraId="028D96E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285</w:t>
            </w:r>
          </w:p>
        </w:tc>
        <w:tc>
          <w:tcPr>
            <w:tcW w:w="1418" w:type="dxa"/>
            <w:tcBorders>
              <w:top w:val="nil"/>
              <w:left w:val="nil"/>
              <w:bottom w:val="nil"/>
              <w:right w:val="nil"/>
            </w:tcBorders>
            <w:shd w:val="clear" w:color="auto" w:fill="auto"/>
            <w:noWrap/>
            <w:vAlign w:val="center"/>
            <w:hideMark/>
          </w:tcPr>
          <w:p w14:paraId="0CE29DF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41.1</w:t>
            </w:r>
          </w:p>
        </w:tc>
        <w:tc>
          <w:tcPr>
            <w:tcW w:w="850" w:type="dxa"/>
            <w:tcBorders>
              <w:top w:val="nil"/>
              <w:left w:val="nil"/>
              <w:bottom w:val="nil"/>
              <w:right w:val="nil"/>
            </w:tcBorders>
            <w:shd w:val="clear" w:color="auto" w:fill="auto"/>
            <w:noWrap/>
            <w:vAlign w:val="center"/>
            <w:hideMark/>
          </w:tcPr>
          <w:p w14:paraId="6CD1FCB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4ED90B54"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7794872E"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5F62085D" w14:textId="77777777" w:rsidTr="001C1CC9">
        <w:trPr>
          <w:trHeight w:val="70"/>
        </w:trPr>
        <w:tc>
          <w:tcPr>
            <w:tcW w:w="4253" w:type="dxa"/>
            <w:tcBorders>
              <w:top w:val="nil"/>
              <w:left w:val="nil"/>
              <w:bottom w:val="nil"/>
              <w:right w:val="nil"/>
            </w:tcBorders>
            <w:shd w:val="clear" w:color="auto" w:fill="auto"/>
            <w:noWrap/>
            <w:vAlign w:val="center"/>
            <w:hideMark/>
          </w:tcPr>
          <w:p w14:paraId="26F2B38E" w14:textId="77777777" w:rsidR="00D1654B" w:rsidRPr="001114C2" w:rsidRDefault="00D1654B" w:rsidP="00D1654B">
            <w:pPr>
              <w:ind w:firstLineChars="100" w:firstLine="160"/>
              <w:rPr>
                <w:rFonts w:eastAsia="Times New Roman"/>
                <w:color w:val="000000"/>
                <w:sz w:val="16"/>
                <w:szCs w:val="16"/>
                <w:lang w:eastAsia="en-GB"/>
              </w:rPr>
            </w:pPr>
            <w:proofErr w:type="spellStart"/>
            <w:r w:rsidRPr="001114C2">
              <w:rPr>
                <w:rFonts w:eastAsia="Times New Roman"/>
                <w:color w:val="000000"/>
                <w:sz w:val="16"/>
                <w:szCs w:val="16"/>
                <w:lang w:eastAsia="en-GB"/>
              </w:rPr>
              <w:t>Ischaemic</w:t>
            </w:r>
            <w:proofErr w:type="spellEnd"/>
          </w:p>
        </w:tc>
        <w:tc>
          <w:tcPr>
            <w:tcW w:w="992" w:type="dxa"/>
            <w:tcBorders>
              <w:top w:val="nil"/>
              <w:left w:val="nil"/>
              <w:bottom w:val="nil"/>
              <w:right w:val="nil"/>
            </w:tcBorders>
            <w:shd w:val="clear" w:color="auto" w:fill="auto"/>
            <w:noWrap/>
            <w:vAlign w:val="center"/>
            <w:hideMark/>
          </w:tcPr>
          <w:p w14:paraId="47DF20D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48</w:t>
            </w:r>
          </w:p>
        </w:tc>
        <w:tc>
          <w:tcPr>
            <w:tcW w:w="1418" w:type="dxa"/>
            <w:tcBorders>
              <w:top w:val="nil"/>
              <w:left w:val="nil"/>
              <w:bottom w:val="nil"/>
              <w:right w:val="nil"/>
            </w:tcBorders>
            <w:shd w:val="clear" w:color="auto" w:fill="auto"/>
            <w:noWrap/>
            <w:vAlign w:val="center"/>
            <w:hideMark/>
          </w:tcPr>
          <w:p w14:paraId="55FC5C5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18.8</w:t>
            </w:r>
          </w:p>
        </w:tc>
        <w:tc>
          <w:tcPr>
            <w:tcW w:w="850" w:type="dxa"/>
            <w:tcBorders>
              <w:top w:val="nil"/>
              <w:left w:val="nil"/>
              <w:bottom w:val="nil"/>
              <w:right w:val="nil"/>
            </w:tcBorders>
            <w:shd w:val="clear" w:color="auto" w:fill="auto"/>
            <w:noWrap/>
            <w:vAlign w:val="center"/>
            <w:hideMark/>
          </w:tcPr>
          <w:p w14:paraId="4D6EFC8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0.46</w:t>
            </w:r>
          </w:p>
        </w:tc>
        <w:tc>
          <w:tcPr>
            <w:tcW w:w="1134" w:type="dxa"/>
            <w:tcBorders>
              <w:top w:val="nil"/>
              <w:left w:val="nil"/>
              <w:bottom w:val="nil"/>
              <w:right w:val="nil"/>
            </w:tcBorders>
            <w:shd w:val="clear" w:color="auto" w:fill="auto"/>
            <w:noWrap/>
            <w:vAlign w:val="center"/>
            <w:hideMark/>
          </w:tcPr>
          <w:p w14:paraId="35D9894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0.25 - 0.84</w:t>
            </w:r>
          </w:p>
        </w:tc>
        <w:tc>
          <w:tcPr>
            <w:tcW w:w="710" w:type="dxa"/>
            <w:tcBorders>
              <w:top w:val="nil"/>
              <w:left w:val="nil"/>
              <w:bottom w:val="nil"/>
              <w:right w:val="nil"/>
            </w:tcBorders>
            <w:shd w:val="clear" w:color="auto" w:fill="auto"/>
            <w:noWrap/>
            <w:vAlign w:val="center"/>
            <w:hideMark/>
          </w:tcPr>
          <w:p w14:paraId="7573326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0.011</w:t>
            </w:r>
          </w:p>
        </w:tc>
      </w:tr>
      <w:tr w:rsidR="00D1654B" w:rsidRPr="001114C2" w14:paraId="45FEA89A" w14:textId="77777777" w:rsidTr="001C1CC9">
        <w:trPr>
          <w:trHeight w:val="70"/>
        </w:trPr>
        <w:tc>
          <w:tcPr>
            <w:tcW w:w="4253" w:type="dxa"/>
            <w:tcBorders>
              <w:top w:val="nil"/>
              <w:left w:val="nil"/>
              <w:bottom w:val="nil"/>
              <w:right w:val="nil"/>
            </w:tcBorders>
            <w:shd w:val="clear" w:color="auto" w:fill="auto"/>
            <w:noWrap/>
            <w:vAlign w:val="center"/>
            <w:hideMark/>
          </w:tcPr>
          <w:p w14:paraId="4EE7BB5D" w14:textId="77777777" w:rsidR="00D1654B" w:rsidRPr="001114C2" w:rsidRDefault="00D1654B" w:rsidP="00D1654B">
            <w:pPr>
              <w:ind w:firstLineChars="100" w:firstLine="160"/>
              <w:rPr>
                <w:rFonts w:eastAsia="Times New Roman"/>
                <w:color w:val="000000"/>
                <w:sz w:val="16"/>
                <w:szCs w:val="16"/>
                <w:lang w:eastAsia="en-GB"/>
              </w:rPr>
            </w:pPr>
            <w:proofErr w:type="spellStart"/>
            <w:r w:rsidRPr="001114C2">
              <w:rPr>
                <w:rFonts w:eastAsia="Times New Roman"/>
                <w:color w:val="000000"/>
                <w:sz w:val="16"/>
                <w:szCs w:val="16"/>
                <w:lang w:eastAsia="en-GB"/>
              </w:rPr>
              <w:t>Neuroischaemic</w:t>
            </w:r>
            <w:proofErr w:type="spellEnd"/>
          </w:p>
        </w:tc>
        <w:tc>
          <w:tcPr>
            <w:tcW w:w="992" w:type="dxa"/>
            <w:tcBorders>
              <w:top w:val="nil"/>
              <w:left w:val="nil"/>
              <w:bottom w:val="nil"/>
              <w:right w:val="nil"/>
            </w:tcBorders>
            <w:shd w:val="clear" w:color="auto" w:fill="auto"/>
            <w:noWrap/>
            <w:vAlign w:val="center"/>
            <w:hideMark/>
          </w:tcPr>
          <w:p w14:paraId="2B0BC7F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187</w:t>
            </w:r>
          </w:p>
        </w:tc>
        <w:tc>
          <w:tcPr>
            <w:tcW w:w="1418" w:type="dxa"/>
            <w:tcBorders>
              <w:top w:val="nil"/>
              <w:left w:val="nil"/>
              <w:bottom w:val="nil"/>
              <w:right w:val="nil"/>
            </w:tcBorders>
            <w:shd w:val="clear" w:color="auto" w:fill="auto"/>
            <w:noWrap/>
            <w:vAlign w:val="center"/>
            <w:hideMark/>
          </w:tcPr>
          <w:p w14:paraId="7E03E94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26.7</w:t>
            </w:r>
          </w:p>
        </w:tc>
        <w:tc>
          <w:tcPr>
            <w:tcW w:w="850" w:type="dxa"/>
            <w:tcBorders>
              <w:top w:val="nil"/>
              <w:left w:val="nil"/>
              <w:bottom w:val="nil"/>
              <w:right w:val="nil"/>
            </w:tcBorders>
            <w:shd w:val="clear" w:color="auto" w:fill="auto"/>
            <w:noWrap/>
            <w:vAlign w:val="center"/>
            <w:hideMark/>
          </w:tcPr>
          <w:p w14:paraId="77196E1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0.65</w:t>
            </w:r>
          </w:p>
        </w:tc>
        <w:tc>
          <w:tcPr>
            <w:tcW w:w="1134" w:type="dxa"/>
            <w:tcBorders>
              <w:top w:val="nil"/>
              <w:left w:val="nil"/>
              <w:bottom w:val="nil"/>
              <w:right w:val="nil"/>
            </w:tcBorders>
            <w:shd w:val="clear" w:color="auto" w:fill="auto"/>
            <w:noWrap/>
            <w:vAlign w:val="center"/>
            <w:hideMark/>
          </w:tcPr>
          <w:p w14:paraId="25A1107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0.50 - 0.86</w:t>
            </w:r>
          </w:p>
        </w:tc>
        <w:tc>
          <w:tcPr>
            <w:tcW w:w="710" w:type="dxa"/>
            <w:tcBorders>
              <w:top w:val="nil"/>
              <w:left w:val="nil"/>
              <w:bottom w:val="nil"/>
              <w:right w:val="nil"/>
            </w:tcBorders>
            <w:shd w:val="clear" w:color="auto" w:fill="auto"/>
            <w:noWrap/>
            <w:vAlign w:val="center"/>
            <w:hideMark/>
          </w:tcPr>
          <w:p w14:paraId="2F009FC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0.002</w:t>
            </w:r>
          </w:p>
        </w:tc>
      </w:tr>
      <w:tr w:rsidR="00D1654B" w:rsidRPr="001114C2" w14:paraId="0311E138" w14:textId="77777777" w:rsidTr="001C1CC9">
        <w:trPr>
          <w:trHeight w:val="70"/>
        </w:trPr>
        <w:tc>
          <w:tcPr>
            <w:tcW w:w="4253" w:type="dxa"/>
            <w:tcBorders>
              <w:top w:val="nil"/>
              <w:left w:val="nil"/>
              <w:bottom w:val="nil"/>
              <w:right w:val="nil"/>
            </w:tcBorders>
            <w:shd w:val="clear" w:color="auto" w:fill="auto"/>
            <w:noWrap/>
            <w:vAlign w:val="center"/>
            <w:hideMark/>
          </w:tcPr>
          <w:p w14:paraId="5596F9D4"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Wound infected (on oral antibiotics)</w:t>
            </w:r>
          </w:p>
        </w:tc>
        <w:tc>
          <w:tcPr>
            <w:tcW w:w="992" w:type="dxa"/>
            <w:tcBorders>
              <w:top w:val="nil"/>
              <w:left w:val="nil"/>
              <w:bottom w:val="nil"/>
              <w:right w:val="nil"/>
            </w:tcBorders>
            <w:shd w:val="clear" w:color="auto" w:fill="auto"/>
            <w:noWrap/>
            <w:vAlign w:val="center"/>
            <w:hideMark/>
          </w:tcPr>
          <w:p w14:paraId="1BFB2AB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297</w:t>
            </w:r>
          </w:p>
        </w:tc>
        <w:tc>
          <w:tcPr>
            <w:tcW w:w="1418" w:type="dxa"/>
            <w:tcBorders>
              <w:top w:val="nil"/>
              <w:left w:val="nil"/>
              <w:bottom w:val="nil"/>
              <w:right w:val="nil"/>
            </w:tcBorders>
            <w:shd w:val="clear" w:color="auto" w:fill="auto"/>
            <w:noWrap/>
            <w:vAlign w:val="center"/>
            <w:hideMark/>
          </w:tcPr>
          <w:p w14:paraId="0DA242C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34.7</w:t>
            </w:r>
          </w:p>
        </w:tc>
        <w:tc>
          <w:tcPr>
            <w:tcW w:w="850" w:type="dxa"/>
            <w:tcBorders>
              <w:top w:val="nil"/>
              <w:left w:val="nil"/>
              <w:bottom w:val="nil"/>
              <w:right w:val="nil"/>
            </w:tcBorders>
            <w:shd w:val="clear" w:color="auto" w:fill="auto"/>
            <w:noWrap/>
            <w:vAlign w:val="center"/>
            <w:hideMark/>
          </w:tcPr>
          <w:p w14:paraId="24E8FB7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1.06</w:t>
            </w:r>
          </w:p>
        </w:tc>
        <w:tc>
          <w:tcPr>
            <w:tcW w:w="1134" w:type="dxa"/>
            <w:tcBorders>
              <w:top w:val="nil"/>
              <w:left w:val="nil"/>
              <w:bottom w:val="nil"/>
              <w:right w:val="nil"/>
            </w:tcBorders>
            <w:shd w:val="clear" w:color="auto" w:fill="auto"/>
            <w:noWrap/>
            <w:vAlign w:val="center"/>
            <w:hideMark/>
          </w:tcPr>
          <w:p w14:paraId="190444B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0.83 - 1.35</w:t>
            </w:r>
          </w:p>
        </w:tc>
        <w:tc>
          <w:tcPr>
            <w:tcW w:w="710" w:type="dxa"/>
            <w:tcBorders>
              <w:top w:val="nil"/>
              <w:left w:val="nil"/>
              <w:bottom w:val="nil"/>
              <w:right w:val="nil"/>
            </w:tcBorders>
            <w:shd w:val="clear" w:color="auto" w:fill="auto"/>
            <w:noWrap/>
            <w:vAlign w:val="center"/>
            <w:hideMark/>
          </w:tcPr>
          <w:p w14:paraId="53CD390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0.644</w:t>
            </w:r>
          </w:p>
        </w:tc>
      </w:tr>
      <w:tr w:rsidR="00D1654B" w:rsidRPr="001114C2" w14:paraId="2448FD10" w14:textId="77777777" w:rsidTr="001C1CC9">
        <w:trPr>
          <w:trHeight w:val="70"/>
        </w:trPr>
        <w:tc>
          <w:tcPr>
            <w:tcW w:w="4253" w:type="dxa"/>
            <w:tcBorders>
              <w:top w:val="nil"/>
              <w:left w:val="nil"/>
              <w:bottom w:val="nil"/>
              <w:right w:val="nil"/>
            </w:tcBorders>
            <w:shd w:val="clear" w:color="auto" w:fill="auto"/>
            <w:noWrap/>
            <w:vAlign w:val="center"/>
            <w:hideMark/>
          </w:tcPr>
          <w:p w14:paraId="5FF9D7B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Emergency referral</w:t>
            </w:r>
          </w:p>
        </w:tc>
        <w:tc>
          <w:tcPr>
            <w:tcW w:w="992" w:type="dxa"/>
            <w:tcBorders>
              <w:top w:val="nil"/>
              <w:left w:val="nil"/>
              <w:bottom w:val="nil"/>
              <w:right w:val="nil"/>
            </w:tcBorders>
            <w:shd w:val="clear" w:color="auto" w:fill="auto"/>
            <w:noWrap/>
            <w:vAlign w:val="center"/>
            <w:hideMark/>
          </w:tcPr>
          <w:p w14:paraId="0ED668E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84</w:t>
            </w:r>
          </w:p>
        </w:tc>
        <w:tc>
          <w:tcPr>
            <w:tcW w:w="1418" w:type="dxa"/>
            <w:tcBorders>
              <w:top w:val="nil"/>
              <w:left w:val="nil"/>
              <w:bottom w:val="nil"/>
              <w:right w:val="nil"/>
            </w:tcBorders>
            <w:shd w:val="clear" w:color="auto" w:fill="auto"/>
            <w:noWrap/>
            <w:vAlign w:val="center"/>
            <w:hideMark/>
          </w:tcPr>
          <w:p w14:paraId="5283E87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25.0</w:t>
            </w:r>
          </w:p>
        </w:tc>
        <w:tc>
          <w:tcPr>
            <w:tcW w:w="850" w:type="dxa"/>
            <w:tcBorders>
              <w:top w:val="nil"/>
              <w:left w:val="nil"/>
              <w:bottom w:val="nil"/>
              <w:right w:val="nil"/>
            </w:tcBorders>
            <w:shd w:val="clear" w:color="auto" w:fill="auto"/>
            <w:noWrap/>
            <w:vAlign w:val="center"/>
            <w:hideMark/>
          </w:tcPr>
          <w:p w14:paraId="297B23E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0.70</w:t>
            </w:r>
          </w:p>
        </w:tc>
        <w:tc>
          <w:tcPr>
            <w:tcW w:w="1134" w:type="dxa"/>
            <w:tcBorders>
              <w:top w:val="nil"/>
              <w:left w:val="nil"/>
              <w:bottom w:val="nil"/>
              <w:right w:val="nil"/>
            </w:tcBorders>
            <w:shd w:val="clear" w:color="auto" w:fill="auto"/>
            <w:noWrap/>
            <w:vAlign w:val="center"/>
            <w:hideMark/>
          </w:tcPr>
          <w:p w14:paraId="741D57F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0.31 - 0.40</w:t>
            </w:r>
          </w:p>
        </w:tc>
        <w:tc>
          <w:tcPr>
            <w:tcW w:w="710" w:type="dxa"/>
            <w:tcBorders>
              <w:top w:val="nil"/>
              <w:left w:val="nil"/>
              <w:bottom w:val="nil"/>
              <w:right w:val="nil"/>
            </w:tcBorders>
            <w:shd w:val="clear" w:color="auto" w:fill="auto"/>
            <w:noWrap/>
            <w:vAlign w:val="center"/>
            <w:hideMark/>
          </w:tcPr>
          <w:p w14:paraId="24C4930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p&lt;.001</w:t>
            </w:r>
          </w:p>
        </w:tc>
      </w:tr>
      <w:tr w:rsidR="00D1654B" w:rsidRPr="001114C2" w14:paraId="0430A6E2" w14:textId="77777777" w:rsidTr="001C1CC9">
        <w:trPr>
          <w:trHeight w:val="70"/>
        </w:trPr>
        <w:tc>
          <w:tcPr>
            <w:tcW w:w="4253" w:type="dxa"/>
            <w:tcBorders>
              <w:top w:val="nil"/>
              <w:left w:val="nil"/>
              <w:bottom w:val="nil"/>
              <w:right w:val="nil"/>
            </w:tcBorders>
            <w:shd w:val="clear" w:color="auto" w:fill="auto"/>
            <w:noWrap/>
            <w:vAlign w:val="center"/>
            <w:hideMark/>
          </w:tcPr>
          <w:p w14:paraId="1F2104EA" w14:textId="77777777" w:rsidR="00D1654B" w:rsidRPr="001114C2" w:rsidRDefault="00D1654B" w:rsidP="00D1654B">
            <w:pPr>
              <w:rPr>
                <w:rFonts w:eastAsia="Times New Roman"/>
                <w:b/>
                <w:bCs/>
                <w:i/>
                <w:iCs/>
                <w:color w:val="000000"/>
                <w:sz w:val="16"/>
                <w:szCs w:val="16"/>
                <w:lang w:eastAsia="en-GB"/>
              </w:rPr>
            </w:pPr>
            <w:r w:rsidRPr="001114C2">
              <w:rPr>
                <w:rFonts w:eastAsia="Times New Roman"/>
                <w:b/>
                <w:bCs/>
                <w:i/>
                <w:iCs/>
                <w:color w:val="000000"/>
                <w:sz w:val="16"/>
                <w:szCs w:val="16"/>
                <w:lang w:eastAsia="en-GB"/>
              </w:rPr>
              <w:t>Other clinical variables</w:t>
            </w:r>
          </w:p>
        </w:tc>
        <w:tc>
          <w:tcPr>
            <w:tcW w:w="992" w:type="dxa"/>
            <w:tcBorders>
              <w:top w:val="nil"/>
              <w:left w:val="nil"/>
              <w:bottom w:val="nil"/>
              <w:right w:val="nil"/>
            </w:tcBorders>
            <w:shd w:val="clear" w:color="auto" w:fill="auto"/>
            <w:noWrap/>
            <w:vAlign w:val="center"/>
            <w:hideMark/>
          </w:tcPr>
          <w:p w14:paraId="50C63E07" w14:textId="77777777" w:rsidR="00D1654B" w:rsidRPr="001114C2" w:rsidRDefault="00D1654B" w:rsidP="00D1654B">
            <w:pPr>
              <w:rPr>
                <w:rFonts w:eastAsia="Times New Roman"/>
                <w:b/>
                <w:bCs/>
                <w:i/>
                <w:iCs/>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60467526"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0A090E25"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18706508"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2AE0913D"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19A15DD7" w14:textId="77777777" w:rsidTr="001C1CC9">
        <w:trPr>
          <w:trHeight w:val="70"/>
        </w:trPr>
        <w:tc>
          <w:tcPr>
            <w:tcW w:w="4253" w:type="dxa"/>
            <w:tcBorders>
              <w:top w:val="nil"/>
              <w:left w:val="nil"/>
              <w:bottom w:val="nil"/>
              <w:right w:val="nil"/>
            </w:tcBorders>
            <w:shd w:val="clear" w:color="auto" w:fill="auto"/>
            <w:noWrap/>
            <w:vAlign w:val="center"/>
            <w:hideMark/>
          </w:tcPr>
          <w:p w14:paraId="597ED7C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Duration of DM</w:t>
            </w:r>
          </w:p>
        </w:tc>
        <w:tc>
          <w:tcPr>
            <w:tcW w:w="992" w:type="dxa"/>
            <w:tcBorders>
              <w:top w:val="nil"/>
              <w:left w:val="nil"/>
              <w:bottom w:val="nil"/>
              <w:right w:val="nil"/>
            </w:tcBorders>
            <w:shd w:val="clear" w:color="auto" w:fill="auto"/>
            <w:noWrap/>
            <w:vAlign w:val="center"/>
            <w:hideMark/>
          </w:tcPr>
          <w:p w14:paraId="72290FE2"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2C535773"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144EA47B"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2808C406"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7354DCA3"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5A0DC2D3" w14:textId="77777777" w:rsidTr="001C1CC9">
        <w:trPr>
          <w:trHeight w:val="70"/>
        </w:trPr>
        <w:tc>
          <w:tcPr>
            <w:tcW w:w="4253" w:type="dxa"/>
            <w:tcBorders>
              <w:top w:val="nil"/>
              <w:left w:val="nil"/>
              <w:bottom w:val="nil"/>
              <w:right w:val="nil"/>
            </w:tcBorders>
            <w:shd w:val="clear" w:color="auto" w:fill="auto"/>
            <w:noWrap/>
            <w:vAlign w:val="center"/>
            <w:hideMark/>
          </w:tcPr>
          <w:p w14:paraId="5E99C810"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&lt;5 years</w:t>
            </w:r>
          </w:p>
        </w:tc>
        <w:tc>
          <w:tcPr>
            <w:tcW w:w="992" w:type="dxa"/>
            <w:tcBorders>
              <w:top w:val="nil"/>
              <w:left w:val="nil"/>
              <w:bottom w:val="nil"/>
              <w:right w:val="nil"/>
            </w:tcBorders>
            <w:shd w:val="clear" w:color="auto" w:fill="auto"/>
            <w:noWrap/>
            <w:vAlign w:val="center"/>
            <w:hideMark/>
          </w:tcPr>
          <w:p w14:paraId="4C9CE82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95</w:t>
            </w:r>
          </w:p>
        </w:tc>
        <w:tc>
          <w:tcPr>
            <w:tcW w:w="1418" w:type="dxa"/>
            <w:tcBorders>
              <w:top w:val="nil"/>
              <w:left w:val="nil"/>
              <w:bottom w:val="nil"/>
              <w:right w:val="nil"/>
            </w:tcBorders>
            <w:shd w:val="clear" w:color="auto" w:fill="auto"/>
            <w:noWrap/>
            <w:vAlign w:val="center"/>
            <w:hideMark/>
          </w:tcPr>
          <w:p w14:paraId="3A83E26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40.0</w:t>
            </w:r>
          </w:p>
        </w:tc>
        <w:tc>
          <w:tcPr>
            <w:tcW w:w="850" w:type="dxa"/>
            <w:tcBorders>
              <w:top w:val="nil"/>
              <w:left w:val="nil"/>
              <w:bottom w:val="nil"/>
              <w:right w:val="nil"/>
            </w:tcBorders>
            <w:shd w:val="clear" w:color="auto" w:fill="auto"/>
            <w:noWrap/>
            <w:vAlign w:val="center"/>
            <w:hideMark/>
          </w:tcPr>
          <w:p w14:paraId="70929F3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43F36B48"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6C6782B1"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720837E9" w14:textId="77777777" w:rsidTr="001C1CC9">
        <w:trPr>
          <w:trHeight w:val="70"/>
        </w:trPr>
        <w:tc>
          <w:tcPr>
            <w:tcW w:w="4253" w:type="dxa"/>
            <w:tcBorders>
              <w:top w:val="nil"/>
              <w:left w:val="nil"/>
              <w:bottom w:val="nil"/>
              <w:right w:val="nil"/>
            </w:tcBorders>
            <w:shd w:val="clear" w:color="auto" w:fill="auto"/>
            <w:noWrap/>
            <w:vAlign w:val="center"/>
            <w:hideMark/>
          </w:tcPr>
          <w:p w14:paraId="5CF802AD"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≥5 years</w:t>
            </w:r>
          </w:p>
        </w:tc>
        <w:tc>
          <w:tcPr>
            <w:tcW w:w="992" w:type="dxa"/>
            <w:tcBorders>
              <w:top w:val="nil"/>
              <w:left w:val="nil"/>
              <w:bottom w:val="nil"/>
              <w:right w:val="nil"/>
            </w:tcBorders>
            <w:shd w:val="clear" w:color="auto" w:fill="auto"/>
            <w:noWrap/>
            <w:vAlign w:val="center"/>
            <w:hideMark/>
          </w:tcPr>
          <w:p w14:paraId="318B818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425</w:t>
            </w:r>
          </w:p>
        </w:tc>
        <w:tc>
          <w:tcPr>
            <w:tcW w:w="1418" w:type="dxa"/>
            <w:tcBorders>
              <w:top w:val="nil"/>
              <w:left w:val="nil"/>
              <w:bottom w:val="nil"/>
              <w:right w:val="nil"/>
            </w:tcBorders>
            <w:shd w:val="clear" w:color="auto" w:fill="auto"/>
            <w:noWrap/>
            <w:vAlign w:val="center"/>
            <w:hideMark/>
          </w:tcPr>
          <w:p w14:paraId="4FF4503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32.5</w:t>
            </w:r>
          </w:p>
        </w:tc>
        <w:tc>
          <w:tcPr>
            <w:tcW w:w="850" w:type="dxa"/>
            <w:tcBorders>
              <w:top w:val="nil"/>
              <w:left w:val="nil"/>
              <w:bottom w:val="nil"/>
              <w:right w:val="nil"/>
            </w:tcBorders>
            <w:shd w:val="clear" w:color="auto" w:fill="auto"/>
            <w:noWrap/>
            <w:vAlign w:val="center"/>
            <w:hideMark/>
          </w:tcPr>
          <w:p w14:paraId="6AB513D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0.81</w:t>
            </w:r>
          </w:p>
        </w:tc>
        <w:tc>
          <w:tcPr>
            <w:tcW w:w="1134" w:type="dxa"/>
            <w:tcBorders>
              <w:top w:val="nil"/>
              <w:left w:val="nil"/>
              <w:bottom w:val="nil"/>
              <w:right w:val="nil"/>
            </w:tcBorders>
            <w:shd w:val="clear" w:color="auto" w:fill="auto"/>
            <w:noWrap/>
            <w:vAlign w:val="center"/>
            <w:hideMark/>
          </w:tcPr>
          <w:p w14:paraId="3FC7B14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0.61 - 1.08</w:t>
            </w:r>
          </w:p>
        </w:tc>
        <w:tc>
          <w:tcPr>
            <w:tcW w:w="710" w:type="dxa"/>
            <w:tcBorders>
              <w:top w:val="nil"/>
              <w:left w:val="nil"/>
              <w:bottom w:val="nil"/>
              <w:right w:val="nil"/>
            </w:tcBorders>
            <w:shd w:val="clear" w:color="auto" w:fill="auto"/>
            <w:noWrap/>
            <w:vAlign w:val="center"/>
            <w:hideMark/>
          </w:tcPr>
          <w:p w14:paraId="6AE86F7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0.147</w:t>
            </w:r>
          </w:p>
        </w:tc>
      </w:tr>
      <w:tr w:rsidR="00D1654B" w:rsidRPr="001114C2" w14:paraId="179D3728" w14:textId="77777777" w:rsidTr="001C1CC9">
        <w:trPr>
          <w:trHeight w:val="70"/>
        </w:trPr>
        <w:tc>
          <w:tcPr>
            <w:tcW w:w="4253" w:type="dxa"/>
            <w:tcBorders>
              <w:top w:val="nil"/>
              <w:left w:val="nil"/>
              <w:bottom w:val="nil"/>
              <w:right w:val="nil"/>
            </w:tcBorders>
            <w:shd w:val="clear" w:color="auto" w:fill="auto"/>
            <w:noWrap/>
            <w:vAlign w:val="center"/>
            <w:hideMark/>
          </w:tcPr>
          <w:p w14:paraId="4055DB3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Treatment of DM</w:t>
            </w:r>
          </w:p>
        </w:tc>
        <w:tc>
          <w:tcPr>
            <w:tcW w:w="992" w:type="dxa"/>
            <w:tcBorders>
              <w:top w:val="nil"/>
              <w:left w:val="nil"/>
              <w:bottom w:val="nil"/>
              <w:right w:val="nil"/>
            </w:tcBorders>
            <w:shd w:val="clear" w:color="auto" w:fill="auto"/>
            <w:noWrap/>
            <w:vAlign w:val="center"/>
            <w:hideMark/>
          </w:tcPr>
          <w:p w14:paraId="38C759F2"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52D25CA6"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6B392DEF"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0BA41DAB"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3212D5B4"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2963D708" w14:textId="77777777" w:rsidTr="001C1CC9">
        <w:trPr>
          <w:trHeight w:val="70"/>
        </w:trPr>
        <w:tc>
          <w:tcPr>
            <w:tcW w:w="4253" w:type="dxa"/>
            <w:tcBorders>
              <w:top w:val="nil"/>
              <w:left w:val="nil"/>
              <w:bottom w:val="nil"/>
              <w:right w:val="nil"/>
            </w:tcBorders>
            <w:shd w:val="clear" w:color="auto" w:fill="auto"/>
            <w:noWrap/>
            <w:vAlign w:val="center"/>
            <w:hideMark/>
          </w:tcPr>
          <w:p w14:paraId="0559A811"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Polyclinic</w:t>
            </w:r>
          </w:p>
        </w:tc>
        <w:tc>
          <w:tcPr>
            <w:tcW w:w="992" w:type="dxa"/>
            <w:tcBorders>
              <w:top w:val="nil"/>
              <w:left w:val="nil"/>
              <w:bottom w:val="nil"/>
              <w:right w:val="nil"/>
            </w:tcBorders>
            <w:shd w:val="clear" w:color="auto" w:fill="auto"/>
            <w:noWrap/>
            <w:vAlign w:val="center"/>
            <w:hideMark/>
          </w:tcPr>
          <w:p w14:paraId="5B913FE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229</w:t>
            </w:r>
          </w:p>
        </w:tc>
        <w:tc>
          <w:tcPr>
            <w:tcW w:w="1418" w:type="dxa"/>
            <w:tcBorders>
              <w:top w:val="nil"/>
              <w:left w:val="nil"/>
              <w:bottom w:val="nil"/>
              <w:right w:val="nil"/>
            </w:tcBorders>
            <w:shd w:val="clear" w:color="auto" w:fill="auto"/>
            <w:noWrap/>
            <w:vAlign w:val="center"/>
            <w:hideMark/>
          </w:tcPr>
          <w:p w14:paraId="6E4E90A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36.7</w:t>
            </w:r>
          </w:p>
        </w:tc>
        <w:tc>
          <w:tcPr>
            <w:tcW w:w="850" w:type="dxa"/>
            <w:tcBorders>
              <w:top w:val="nil"/>
              <w:left w:val="nil"/>
              <w:bottom w:val="nil"/>
              <w:right w:val="nil"/>
            </w:tcBorders>
            <w:shd w:val="clear" w:color="auto" w:fill="auto"/>
            <w:noWrap/>
            <w:vAlign w:val="center"/>
            <w:hideMark/>
          </w:tcPr>
          <w:p w14:paraId="57107F4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1.02</w:t>
            </w:r>
          </w:p>
        </w:tc>
        <w:tc>
          <w:tcPr>
            <w:tcW w:w="1134" w:type="dxa"/>
            <w:tcBorders>
              <w:top w:val="nil"/>
              <w:left w:val="nil"/>
              <w:bottom w:val="nil"/>
              <w:right w:val="nil"/>
            </w:tcBorders>
            <w:shd w:val="clear" w:color="auto" w:fill="auto"/>
            <w:noWrap/>
            <w:vAlign w:val="center"/>
            <w:hideMark/>
          </w:tcPr>
          <w:p w14:paraId="2EEED52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0.69 - 1.52</w:t>
            </w:r>
          </w:p>
        </w:tc>
        <w:tc>
          <w:tcPr>
            <w:tcW w:w="710" w:type="dxa"/>
            <w:tcBorders>
              <w:top w:val="nil"/>
              <w:left w:val="nil"/>
              <w:bottom w:val="nil"/>
              <w:right w:val="nil"/>
            </w:tcBorders>
            <w:shd w:val="clear" w:color="auto" w:fill="auto"/>
            <w:noWrap/>
            <w:vAlign w:val="center"/>
            <w:hideMark/>
          </w:tcPr>
          <w:p w14:paraId="1B7317C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0.910</w:t>
            </w:r>
          </w:p>
        </w:tc>
      </w:tr>
      <w:tr w:rsidR="00D1654B" w:rsidRPr="001114C2" w14:paraId="463643DD" w14:textId="77777777" w:rsidTr="001C1CC9">
        <w:trPr>
          <w:trHeight w:val="70"/>
        </w:trPr>
        <w:tc>
          <w:tcPr>
            <w:tcW w:w="4253" w:type="dxa"/>
            <w:tcBorders>
              <w:top w:val="nil"/>
              <w:left w:val="nil"/>
              <w:bottom w:val="nil"/>
              <w:right w:val="nil"/>
            </w:tcBorders>
            <w:shd w:val="clear" w:color="auto" w:fill="auto"/>
            <w:noWrap/>
            <w:vAlign w:val="center"/>
            <w:hideMark/>
          </w:tcPr>
          <w:p w14:paraId="763D080C"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Hospital</w:t>
            </w:r>
          </w:p>
        </w:tc>
        <w:tc>
          <w:tcPr>
            <w:tcW w:w="992" w:type="dxa"/>
            <w:tcBorders>
              <w:top w:val="nil"/>
              <w:left w:val="nil"/>
              <w:bottom w:val="nil"/>
              <w:right w:val="nil"/>
            </w:tcBorders>
            <w:shd w:val="clear" w:color="auto" w:fill="auto"/>
            <w:noWrap/>
            <w:vAlign w:val="center"/>
            <w:hideMark/>
          </w:tcPr>
          <w:p w14:paraId="1E6AB2C4"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238</w:t>
            </w:r>
          </w:p>
        </w:tc>
        <w:tc>
          <w:tcPr>
            <w:tcW w:w="1418" w:type="dxa"/>
            <w:tcBorders>
              <w:top w:val="nil"/>
              <w:left w:val="nil"/>
              <w:bottom w:val="nil"/>
              <w:right w:val="nil"/>
            </w:tcBorders>
            <w:shd w:val="clear" w:color="auto" w:fill="auto"/>
            <w:noWrap/>
            <w:vAlign w:val="center"/>
            <w:hideMark/>
          </w:tcPr>
          <w:p w14:paraId="7E58CD2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30.7</w:t>
            </w:r>
          </w:p>
        </w:tc>
        <w:tc>
          <w:tcPr>
            <w:tcW w:w="850" w:type="dxa"/>
            <w:tcBorders>
              <w:top w:val="nil"/>
              <w:left w:val="nil"/>
              <w:bottom w:val="nil"/>
              <w:right w:val="nil"/>
            </w:tcBorders>
            <w:shd w:val="clear" w:color="auto" w:fill="auto"/>
            <w:noWrap/>
            <w:vAlign w:val="center"/>
            <w:hideMark/>
          </w:tcPr>
          <w:p w14:paraId="2FC3946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0.86</w:t>
            </w:r>
          </w:p>
        </w:tc>
        <w:tc>
          <w:tcPr>
            <w:tcW w:w="1134" w:type="dxa"/>
            <w:tcBorders>
              <w:top w:val="nil"/>
              <w:left w:val="nil"/>
              <w:bottom w:val="nil"/>
              <w:right w:val="nil"/>
            </w:tcBorders>
            <w:shd w:val="clear" w:color="auto" w:fill="auto"/>
            <w:noWrap/>
            <w:vAlign w:val="center"/>
            <w:hideMark/>
          </w:tcPr>
          <w:p w14:paraId="7D22279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0.57 - 1.29</w:t>
            </w:r>
          </w:p>
        </w:tc>
        <w:tc>
          <w:tcPr>
            <w:tcW w:w="710" w:type="dxa"/>
            <w:tcBorders>
              <w:top w:val="nil"/>
              <w:left w:val="nil"/>
              <w:bottom w:val="nil"/>
              <w:right w:val="nil"/>
            </w:tcBorders>
            <w:shd w:val="clear" w:color="auto" w:fill="auto"/>
            <w:noWrap/>
            <w:vAlign w:val="center"/>
            <w:hideMark/>
          </w:tcPr>
          <w:p w14:paraId="2255875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0.454</w:t>
            </w:r>
          </w:p>
        </w:tc>
      </w:tr>
      <w:tr w:rsidR="00D1654B" w:rsidRPr="001114C2" w14:paraId="7DBFF717" w14:textId="77777777" w:rsidTr="001C1CC9">
        <w:trPr>
          <w:trHeight w:val="70"/>
        </w:trPr>
        <w:tc>
          <w:tcPr>
            <w:tcW w:w="4253" w:type="dxa"/>
            <w:tcBorders>
              <w:top w:val="nil"/>
              <w:left w:val="nil"/>
              <w:bottom w:val="nil"/>
              <w:right w:val="nil"/>
            </w:tcBorders>
            <w:shd w:val="clear" w:color="auto" w:fill="auto"/>
            <w:noWrap/>
            <w:vAlign w:val="center"/>
            <w:hideMark/>
          </w:tcPr>
          <w:p w14:paraId="2AD649A8"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GP or self-manage</w:t>
            </w:r>
          </w:p>
        </w:tc>
        <w:tc>
          <w:tcPr>
            <w:tcW w:w="992" w:type="dxa"/>
            <w:tcBorders>
              <w:top w:val="nil"/>
              <w:left w:val="nil"/>
              <w:bottom w:val="nil"/>
              <w:right w:val="nil"/>
            </w:tcBorders>
            <w:shd w:val="clear" w:color="auto" w:fill="auto"/>
            <w:noWrap/>
            <w:vAlign w:val="center"/>
            <w:hideMark/>
          </w:tcPr>
          <w:p w14:paraId="79D479B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53</w:t>
            </w:r>
          </w:p>
        </w:tc>
        <w:tc>
          <w:tcPr>
            <w:tcW w:w="1418" w:type="dxa"/>
            <w:tcBorders>
              <w:top w:val="nil"/>
              <w:left w:val="nil"/>
              <w:bottom w:val="nil"/>
              <w:right w:val="nil"/>
            </w:tcBorders>
            <w:shd w:val="clear" w:color="auto" w:fill="auto"/>
            <w:noWrap/>
            <w:vAlign w:val="center"/>
            <w:hideMark/>
          </w:tcPr>
          <w:p w14:paraId="674F1AF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35.9</w:t>
            </w:r>
          </w:p>
        </w:tc>
        <w:tc>
          <w:tcPr>
            <w:tcW w:w="850" w:type="dxa"/>
            <w:tcBorders>
              <w:top w:val="nil"/>
              <w:left w:val="nil"/>
              <w:bottom w:val="nil"/>
              <w:right w:val="nil"/>
            </w:tcBorders>
            <w:shd w:val="clear" w:color="auto" w:fill="auto"/>
            <w:noWrap/>
            <w:vAlign w:val="center"/>
            <w:hideMark/>
          </w:tcPr>
          <w:p w14:paraId="60CAE86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63435DE2"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2A75A176"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4DB254FE" w14:textId="77777777" w:rsidTr="001C1CC9">
        <w:trPr>
          <w:trHeight w:val="70"/>
        </w:trPr>
        <w:tc>
          <w:tcPr>
            <w:tcW w:w="4253" w:type="dxa"/>
            <w:tcBorders>
              <w:top w:val="nil"/>
              <w:left w:val="nil"/>
              <w:bottom w:val="nil"/>
              <w:right w:val="nil"/>
            </w:tcBorders>
            <w:shd w:val="clear" w:color="auto" w:fill="auto"/>
            <w:noWrap/>
            <w:vAlign w:val="center"/>
            <w:hideMark/>
          </w:tcPr>
          <w:p w14:paraId="48773BA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HbA1c</w:t>
            </w:r>
          </w:p>
        </w:tc>
        <w:tc>
          <w:tcPr>
            <w:tcW w:w="992" w:type="dxa"/>
            <w:tcBorders>
              <w:top w:val="nil"/>
              <w:left w:val="nil"/>
              <w:bottom w:val="nil"/>
              <w:right w:val="nil"/>
            </w:tcBorders>
            <w:shd w:val="clear" w:color="auto" w:fill="auto"/>
            <w:noWrap/>
            <w:vAlign w:val="center"/>
            <w:hideMark/>
          </w:tcPr>
          <w:p w14:paraId="21380063"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7C738877"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77472767"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7FBF8317"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7115001D"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150595D8" w14:textId="77777777" w:rsidTr="001C1CC9">
        <w:trPr>
          <w:trHeight w:val="70"/>
        </w:trPr>
        <w:tc>
          <w:tcPr>
            <w:tcW w:w="4253" w:type="dxa"/>
            <w:tcBorders>
              <w:top w:val="nil"/>
              <w:left w:val="nil"/>
              <w:bottom w:val="nil"/>
              <w:right w:val="nil"/>
            </w:tcBorders>
            <w:shd w:val="clear" w:color="auto" w:fill="auto"/>
            <w:noWrap/>
            <w:vAlign w:val="center"/>
            <w:hideMark/>
          </w:tcPr>
          <w:p w14:paraId="4D7362DF"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&lt;7%</w:t>
            </w:r>
          </w:p>
        </w:tc>
        <w:tc>
          <w:tcPr>
            <w:tcW w:w="992" w:type="dxa"/>
            <w:tcBorders>
              <w:top w:val="nil"/>
              <w:left w:val="nil"/>
              <w:bottom w:val="nil"/>
              <w:right w:val="nil"/>
            </w:tcBorders>
            <w:shd w:val="clear" w:color="auto" w:fill="auto"/>
            <w:noWrap/>
            <w:vAlign w:val="center"/>
            <w:hideMark/>
          </w:tcPr>
          <w:p w14:paraId="5EA4F39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99</w:t>
            </w:r>
          </w:p>
        </w:tc>
        <w:tc>
          <w:tcPr>
            <w:tcW w:w="1418" w:type="dxa"/>
            <w:tcBorders>
              <w:top w:val="nil"/>
              <w:left w:val="nil"/>
              <w:bottom w:val="nil"/>
              <w:right w:val="nil"/>
            </w:tcBorders>
            <w:shd w:val="clear" w:color="auto" w:fill="auto"/>
            <w:noWrap/>
            <w:vAlign w:val="center"/>
            <w:hideMark/>
          </w:tcPr>
          <w:p w14:paraId="79225F0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34.3</w:t>
            </w:r>
          </w:p>
        </w:tc>
        <w:tc>
          <w:tcPr>
            <w:tcW w:w="850" w:type="dxa"/>
            <w:tcBorders>
              <w:top w:val="nil"/>
              <w:left w:val="nil"/>
              <w:bottom w:val="nil"/>
              <w:right w:val="nil"/>
            </w:tcBorders>
            <w:shd w:val="clear" w:color="auto" w:fill="auto"/>
            <w:noWrap/>
            <w:vAlign w:val="center"/>
            <w:hideMark/>
          </w:tcPr>
          <w:p w14:paraId="36A50BC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1.03</w:t>
            </w:r>
          </w:p>
        </w:tc>
        <w:tc>
          <w:tcPr>
            <w:tcW w:w="1134" w:type="dxa"/>
            <w:tcBorders>
              <w:top w:val="nil"/>
              <w:left w:val="nil"/>
              <w:bottom w:val="nil"/>
              <w:right w:val="nil"/>
            </w:tcBorders>
            <w:shd w:val="clear" w:color="auto" w:fill="auto"/>
            <w:noWrap/>
            <w:vAlign w:val="center"/>
            <w:hideMark/>
          </w:tcPr>
          <w:p w14:paraId="74C0AE2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0.68 - 1.56</w:t>
            </w:r>
          </w:p>
        </w:tc>
        <w:tc>
          <w:tcPr>
            <w:tcW w:w="710" w:type="dxa"/>
            <w:tcBorders>
              <w:top w:val="nil"/>
              <w:left w:val="nil"/>
              <w:bottom w:val="nil"/>
              <w:right w:val="nil"/>
            </w:tcBorders>
            <w:shd w:val="clear" w:color="auto" w:fill="auto"/>
            <w:noWrap/>
            <w:vAlign w:val="center"/>
            <w:hideMark/>
          </w:tcPr>
          <w:p w14:paraId="1EE6BDA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0.887</w:t>
            </w:r>
          </w:p>
        </w:tc>
      </w:tr>
      <w:tr w:rsidR="00D1654B" w:rsidRPr="001114C2" w14:paraId="27C7E924" w14:textId="77777777" w:rsidTr="001C1CC9">
        <w:trPr>
          <w:trHeight w:val="70"/>
        </w:trPr>
        <w:tc>
          <w:tcPr>
            <w:tcW w:w="4253" w:type="dxa"/>
            <w:tcBorders>
              <w:top w:val="nil"/>
              <w:left w:val="nil"/>
              <w:bottom w:val="nil"/>
              <w:right w:val="nil"/>
            </w:tcBorders>
            <w:shd w:val="clear" w:color="auto" w:fill="auto"/>
            <w:noWrap/>
            <w:vAlign w:val="center"/>
            <w:hideMark/>
          </w:tcPr>
          <w:p w14:paraId="12523678"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≥7%</w:t>
            </w:r>
          </w:p>
        </w:tc>
        <w:tc>
          <w:tcPr>
            <w:tcW w:w="992" w:type="dxa"/>
            <w:tcBorders>
              <w:top w:val="nil"/>
              <w:left w:val="nil"/>
              <w:bottom w:val="nil"/>
              <w:right w:val="nil"/>
            </w:tcBorders>
            <w:shd w:val="clear" w:color="auto" w:fill="auto"/>
            <w:noWrap/>
            <w:vAlign w:val="center"/>
            <w:hideMark/>
          </w:tcPr>
          <w:p w14:paraId="7700598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340</w:t>
            </w:r>
          </w:p>
        </w:tc>
        <w:tc>
          <w:tcPr>
            <w:tcW w:w="1418" w:type="dxa"/>
            <w:tcBorders>
              <w:top w:val="nil"/>
              <w:left w:val="nil"/>
              <w:bottom w:val="nil"/>
              <w:right w:val="nil"/>
            </w:tcBorders>
            <w:shd w:val="clear" w:color="auto" w:fill="auto"/>
            <w:noWrap/>
            <w:vAlign w:val="center"/>
            <w:hideMark/>
          </w:tcPr>
          <w:p w14:paraId="6376A7B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33.8</w:t>
            </w:r>
          </w:p>
        </w:tc>
        <w:tc>
          <w:tcPr>
            <w:tcW w:w="850" w:type="dxa"/>
            <w:tcBorders>
              <w:top w:val="nil"/>
              <w:left w:val="nil"/>
              <w:bottom w:val="nil"/>
              <w:right w:val="nil"/>
            </w:tcBorders>
            <w:shd w:val="clear" w:color="auto" w:fill="auto"/>
            <w:noWrap/>
            <w:vAlign w:val="center"/>
            <w:hideMark/>
          </w:tcPr>
          <w:p w14:paraId="5A0E03D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1.02</w:t>
            </w:r>
          </w:p>
        </w:tc>
        <w:tc>
          <w:tcPr>
            <w:tcW w:w="1134" w:type="dxa"/>
            <w:tcBorders>
              <w:top w:val="nil"/>
              <w:left w:val="nil"/>
              <w:bottom w:val="nil"/>
              <w:right w:val="nil"/>
            </w:tcBorders>
            <w:shd w:val="clear" w:color="auto" w:fill="auto"/>
            <w:noWrap/>
            <w:vAlign w:val="center"/>
            <w:hideMark/>
          </w:tcPr>
          <w:p w14:paraId="66B6CE9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0.72 - 1.43</w:t>
            </w:r>
          </w:p>
        </w:tc>
        <w:tc>
          <w:tcPr>
            <w:tcW w:w="710" w:type="dxa"/>
            <w:tcBorders>
              <w:top w:val="nil"/>
              <w:left w:val="nil"/>
              <w:bottom w:val="nil"/>
              <w:right w:val="nil"/>
            </w:tcBorders>
            <w:shd w:val="clear" w:color="auto" w:fill="auto"/>
            <w:noWrap/>
            <w:vAlign w:val="center"/>
            <w:hideMark/>
          </w:tcPr>
          <w:p w14:paraId="0E211FA6"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0.933</w:t>
            </w:r>
          </w:p>
        </w:tc>
      </w:tr>
      <w:tr w:rsidR="00D1654B" w:rsidRPr="001114C2" w14:paraId="0A9D01FA" w14:textId="77777777" w:rsidTr="001C1CC9">
        <w:trPr>
          <w:trHeight w:val="70"/>
        </w:trPr>
        <w:tc>
          <w:tcPr>
            <w:tcW w:w="4253" w:type="dxa"/>
            <w:tcBorders>
              <w:top w:val="nil"/>
              <w:left w:val="nil"/>
              <w:bottom w:val="nil"/>
              <w:right w:val="nil"/>
            </w:tcBorders>
            <w:shd w:val="clear" w:color="auto" w:fill="auto"/>
            <w:noWrap/>
            <w:vAlign w:val="center"/>
            <w:hideMark/>
          </w:tcPr>
          <w:p w14:paraId="3B47C8A5"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Not done or recorded</w:t>
            </w:r>
          </w:p>
        </w:tc>
        <w:tc>
          <w:tcPr>
            <w:tcW w:w="992" w:type="dxa"/>
            <w:tcBorders>
              <w:top w:val="nil"/>
              <w:left w:val="nil"/>
              <w:bottom w:val="nil"/>
              <w:right w:val="nil"/>
            </w:tcBorders>
            <w:shd w:val="clear" w:color="auto" w:fill="auto"/>
            <w:noWrap/>
            <w:vAlign w:val="center"/>
            <w:hideMark/>
          </w:tcPr>
          <w:p w14:paraId="4BE92F1E"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81</w:t>
            </w:r>
          </w:p>
        </w:tc>
        <w:tc>
          <w:tcPr>
            <w:tcW w:w="1418" w:type="dxa"/>
            <w:tcBorders>
              <w:top w:val="nil"/>
              <w:left w:val="nil"/>
              <w:bottom w:val="nil"/>
              <w:right w:val="nil"/>
            </w:tcBorders>
            <w:shd w:val="clear" w:color="auto" w:fill="auto"/>
            <w:noWrap/>
            <w:vAlign w:val="center"/>
            <w:hideMark/>
          </w:tcPr>
          <w:p w14:paraId="4BC16F2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33.3</w:t>
            </w:r>
          </w:p>
        </w:tc>
        <w:tc>
          <w:tcPr>
            <w:tcW w:w="850" w:type="dxa"/>
            <w:tcBorders>
              <w:top w:val="nil"/>
              <w:left w:val="nil"/>
              <w:bottom w:val="nil"/>
              <w:right w:val="nil"/>
            </w:tcBorders>
            <w:shd w:val="clear" w:color="auto" w:fill="auto"/>
            <w:noWrap/>
            <w:vAlign w:val="center"/>
            <w:hideMark/>
          </w:tcPr>
          <w:p w14:paraId="56D33D6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00E6B43E"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2D9D679F"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6FE628DE" w14:textId="77777777" w:rsidTr="001C1CC9">
        <w:trPr>
          <w:trHeight w:val="70"/>
        </w:trPr>
        <w:tc>
          <w:tcPr>
            <w:tcW w:w="4253" w:type="dxa"/>
            <w:tcBorders>
              <w:top w:val="nil"/>
              <w:left w:val="nil"/>
              <w:bottom w:val="nil"/>
              <w:right w:val="nil"/>
            </w:tcBorders>
            <w:shd w:val="clear" w:color="auto" w:fill="auto"/>
            <w:noWrap/>
            <w:vAlign w:val="center"/>
            <w:hideMark/>
          </w:tcPr>
          <w:p w14:paraId="4461902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Diabetic foot screening</w:t>
            </w:r>
          </w:p>
        </w:tc>
        <w:tc>
          <w:tcPr>
            <w:tcW w:w="992" w:type="dxa"/>
            <w:tcBorders>
              <w:top w:val="nil"/>
              <w:left w:val="nil"/>
              <w:bottom w:val="nil"/>
              <w:right w:val="nil"/>
            </w:tcBorders>
            <w:shd w:val="clear" w:color="auto" w:fill="auto"/>
            <w:noWrap/>
            <w:vAlign w:val="center"/>
            <w:hideMark/>
          </w:tcPr>
          <w:p w14:paraId="6DE4E0F4" w14:textId="77777777" w:rsidR="00D1654B" w:rsidRPr="001114C2" w:rsidRDefault="00D1654B" w:rsidP="00D1654B">
            <w:pPr>
              <w:rPr>
                <w:rFonts w:eastAsia="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14:paraId="0096E7A2" w14:textId="77777777" w:rsidR="00D1654B" w:rsidRPr="001114C2" w:rsidRDefault="00D1654B" w:rsidP="00D1654B">
            <w:pPr>
              <w:rPr>
                <w:rFonts w:ascii="Times New Roman" w:eastAsia="Times New Roman" w:hAnsi="Times New Roman"/>
                <w:sz w:val="16"/>
                <w:szCs w:val="20"/>
                <w:lang w:eastAsia="en-GB"/>
              </w:rPr>
            </w:pPr>
          </w:p>
        </w:tc>
        <w:tc>
          <w:tcPr>
            <w:tcW w:w="850" w:type="dxa"/>
            <w:tcBorders>
              <w:top w:val="nil"/>
              <w:left w:val="nil"/>
              <w:bottom w:val="nil"/>
              <w:right w:val="nil"/>
            </w:tcBorders>
            <w:shd w:val="clear" w:color="auto" w:fill="auto"/>
            <w:noWrap/>
            <w:vAlign w:val="center"/>
            <w:hideMark/>
          </w:tcPr>
          <w:p w14:paraId="3840D00C" w14:textId="77777777" w:rsidR="00D1654B" w:rsidRPr="001114C2" w:rsidRDefault="00D1654B" w:rsidP="00D1654B">
            <w:pPr>
              <w:rPr>
                <w:rFonts w:ascii="Times New Roman" w:eastAsia="Times New Roman" w:hAnsi="Times New Roman"/>
                <w:sz w:val="16"/>
                <w:szCs w:val="20"/>
                <w:lang w:eastAsia="en-GB"/>
              </w:rPr>
            </w:pPr>
          </w:p>
        </w:tc>
        <w:tc>
          <w:tcPr>
            <w:tcW w:w="1134" w:type="dxa"/>
            <w:tcBorders>
              <w:top w:val="nil"/>
              <w:left w:val="nil"/>
              <w:bottom w:val="nil"/>
              <w:right w:val="nil"/>
            </w:tcBorders>
            <w:shd w:val="clear" w:color="auto" w:fill="auto"/>
            <w:noWrap/>
            <w:vAlign w:val="center"/>
            <w:hideMark/>
          </w:tcPr>
          <w:p w14:paraId="297A3DEB" w14:textId="77777777" w:rsidR="00D1654B" w:rsidRPr="001114C2" w:rsidRDefault="00D1654B" w:rsidP="00D1654B">
            <w:pPr>
              <w:rPr>
                <w:rFonts w:ascii="Times New Roman" w:eastAsia="Times New Roman" w:hAnsi="Times New Roman"/>
                <w:sz w:val="16"/>
                <w:szCs w:val="20"/>
                <w:lang w:eastAsia="en-GB"/>
              </w:rPr>
            </w:pPr>
          </w:p>
        </w:tc>
        <w:tc>
          <w:tcPr>
            <w:tcW w:w="710" w:type="dxa"/>
            <w:tcBorders>
              <w:top w:val="nil"/>
              <w:left w:val="nil"/>
              <w:bottom w:val="nil"/>
              <w:right w:val="nil"/>
            </w:tcBorders>
            <w:shd w:val="clear" w:color="auto" w:fill="auto"/>
            <w:noWrap/>
            <w:vAlign w:val="center"/>
            <w:hideMark/>
          </w:tcPr>
          <w:p w14:paraId="51A63258"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5B4BD742" w14:textId="77777777" w:rsidTr="001C1CC9">
        <w:trPr>
          <w:trHeight w:val="70"/>
        </w:trPr>
        <w:tc>
          <w:tcPr>
            <w:tcW w:w="4253" w:type="dxa"/>
            <w:tcBorders>
              <w:top w:val="nil"/>
              <w:left w:val="nil"/>
              <w:bottom w:val="nil"/>
              <w:right w:val="nil"/>
            </w:tcBorders>
            <w:shd w:val="clear" w:color="auto" w:fill="auto"/>
            <w:noWrap/>
            <w:vAlign w:val="center"/>
            <w:hideMark/>
          </w:tcPr>
          <w:p w14:paraId="6BBAB0C0"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Within one year</w:t>
            </w:r>
          </w:p>
        </w:tc>
        <w:tc>
          <w:tcPr>
            <w:tcW w:w="992" w:type="dxa"/>
            <w:tcBorders>
              <w:top w:val="nil"/>
              <w:left w:val="nil"/>
              <w:bottom w:val="nil"/>
              <w:right w:val="nil"/>
            </w:tcBorders>
            <w:shd w:val="clear" w:color="auto" w:fill="auto"/>
            <w:noWrap/>
            <w:vAlign w:val="center"/>
            <w:hideMark/>
          </w:tcPr>
          <w:p w14:paraId="741BA95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83</w:t>
            </w:r>
          </w:p>
        </w:tc>
        <w:tc>
          <w:tcPr>
            <w:tcW w:w="1418" w:type="dxa"/>
            <w:tcBorders>
              <w:top w:val="nil"/>
              <w:left w:val="nil"/>
              <w:bottom w:val="nil"/>
              <w:right w:val="nil"/>
            </w:tcBorders>
            <w:shd w:val="clear" w:color="auto" w:fill="auto"/>
            <w:noWrap/>
            <w:vAlign w:val="center"/>
            <w:hideMark/>
          </w:tcPr>
          <w:p w14:paraId="643D391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45.8</w:t>
            </w:r>
          </w:p>
        </w:tc>
        <w:tc>
          <w:tcPr>
            <w:tcW w:w="850" w:type="dxa"/>
            <w:tcBorders>
              <w:top w:val="nil"/>
              <w:left w:val="nil"/>
              <w:bottom w:val="nil"/>
              <w:right w:val="nil"/>
            </w:tcBorders>
            <w:shd w:val="clear" w:color="auto" w:fill="auto"/>
            <w:noWrap/>
            <w:vAlign w:val="center"/>
            <w:hideMark/>
          </w:tcPr>
          <w:p w14:paraId="1BC4EFC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 [Ref.]</w:t>
            </w:r>
          </w:p>
        </w:tc>
        <w:tc>
          <w:tcPr>
            <w:tcW w:w="1134" w:type="dxa"/>
            <w:tcBorders>
              <w:top w:val="nil"/>
              <w:left w:val="nil"/>
              <w:bottom w:val="nil"/>
              <w:right w:val="nil"/>
            </w:tcBorders>
            <w:shd w:val="clear" w:color="auto" w:fill="auto"/>
            <w:noWrap/>
            <w:vAlign w:val="center"/>
            <w:hideMark/>
          </w:tcPr>
          <w:p w14:paraId="6D2F110F" w14:textId="77777777" w:rsidR="00D1654B" w:rsidRPr="001114C2" w:rsidRDefault="00D1654B" w:rsidP="00D1654B">
            <w:pPr>
              <w:rPr>
                <w:rFonts w:eastAsia="Times New Roman"/>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41AE6B01" w14:textId="77777777" w:rsidR="00D1654B" w:rsidRPr="001114C2" w:rsidRDefault="00D1654B" w:rsidP="00D1654B">
            <w:pPr>
              <w:rPr>
                <w:rFonts w:ascii="Times New Roman" w:eastAsia="Times New Roman" w:hAnsi="Times New Roman"/>
                <w:sz w:val="16"/>
                <w:szCs w:val="20"/>
                <w:lang w:eastAsia="en-GB"/>
              </w:rPr>
            </w:pPr>
          </w:p>
        </w:tc>
      </w:tr>
      <w:tr w:rsidR="00D1654B" w:rsidRPr="001114C2" w14:paraId="0F6BF91F" w14:textId="77777777" w:rsidTr="001C1CC9">
        <w:trPr>
          <w:trHeight w:val="70"/>
        </w:trPr>
        <w:tc>
          <w:tcPr>
            <w:tcW w:w="4253" w:type="dxa"/>
            <w:tcBorders>
              <w:top w:val="nil"/>
              <w:left w:val="nil"/>
              <w:bottom w:val="nil"/>
              <w:right w:val="nil"/>
            </w:tcBorders>
            <w:shd w:val="clear" w:color="auto" w:fill="auto"/>
            <w:noWrap/>
            <w:vAlign w:val="center"/>
            <w:hideMark/>
          </w:tcPr>
          <w:p w14:paraId="078DED46"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More than one year ago</w:t>
            </w:r>
          </w:p>
        </w:tc>
        <w:tc>
          <w:tcPr>
            <w:tcW w:w="992" w:type="dxa"/>
            <w:tcBorders>
              <w:top w:val="nil"/>
              <w:left w:val="nil"/>
              <w:bottom w:val="nil"/>
              <w:right w:val="nil"/>
            </w:tcBorders>
            <w:shd w:val="clear" w:color="auto" w:fill="auto"/>
            <w:noWrap/>
            <w:vAlign w:val="center"/>
            <w:hideMark/>
          </w:tcPr>
          <w:p w14:paraId="6AD4584A"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258</w:t>
            </w:r>
          </w:p>
        </w:tc>
        <w:tc>
          <w:tcPr>
            <w:tcW w:w="1418" w:type="dxa"/>
            <w:tcBorders>
              <w:top w:val="nil"/>
              <w:left w:val="nil"/>
              <w:bottom w:val="nil"/>
              <w:right w:val="nil"/>
            </w:tcBorders>
            <w:shd w:val="clear" w:color="auto" w:fill="auto"/>
            <w:noWrap/>
            <w:vAlign w:val="center"/>
            <w:hideMark/>
          </w:tcPr>
          <w:p w14:paraId="6F4C021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30.6</w:t>
            </w:r>
          </w:p>
        </w:tc>
        <w:tc>
          <w:tcPr>
            <w:tcW w:w="850" w:type="dxa"/>
            <w:tcBorders>
              <w:top w:val="nil"/>
              <w:left w:val="nil"/>
              <w:bottom w:val="nil"/>
              <w:right w:val="nil"/>
            </w:tcBorders>
            <w:shd w:val="clear" w:color="auto" w:fill="auto"/>
            <w:noWrap/>
            <w:vAlign w:val="center"/>
            <w:hideMark/>
          </w:tcPr>
          <w:p w14:paraId="51FA473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0.67</w:t>
            </w:r>
          </w:p>
        </w:tc>
        <w:tc>
          <w:tcPr>
            <w:tcW w:w="1134" w:type="dxa"/>
            <w:tcBorders>
              <w:top w:val="nil"/>
              <w:left w:val="nil"/>
              <w:bottom w:val="nil"/>
              <w:right w:val="nil"/>
            </w:tcBorders>
            <w:shd w:val="clear" w:color="auto" w:fill="auto"/>
            <w:noWrap/>
            <w:vAlign w:val="center"/>
            <w:hideMark/>
          </w:tcPr>
          <w:p w14:paraId="0989D3E2"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0.50 - 0.90</w:t>
            </w:r>
          </w:p>
        </w:tc>
        <w:tc>
          <w:tcPr>
            <w:tcW w:w="710" w:type="dxa"/>
            <w:tcBorders>
              <w:top w:val="nil"/>
              <w:left w:val="nil"/>
              <w:bottom w:val="nil"/>
              <w:right w:val="nil"/>
            </w:tcBorders>
            <w:shd w:val="clear" w:color="auto" w:fill="auto"/>
            <w:noWrap/>
            <w:vAlign w:val="center"/>
            <w:hideMark/>
          </w:tcPr>
          <w:p w14:paraId="0792379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0.008</w:t>
            </w:r>
          </w:p>
        </w:tc>
      </w:tr>
      <w:tr w:rsidR="00D1654B" w:rsidRPr="001114C2" w14:paraId="6B798E21" w14:textId="77777777" w:rsidTr="001C1CC9">
        <w:trPr>
          <w:trHeight w:val="70"/>
        </w:trPr>
        <w:tc>
          <w:tcPr>
            <w:tcW w:w="4253" w:type="dxa"/>
            <w:tcBorders>
              <w:top w:val="nil"/>
              <w:left w:val="nil"/>
              <w:bottom w:val="nil"/>
              <w:right w:val="nil"/>
            </w:tcBorders>
            <w:shd w:val="clear" w:color="auto" w:fill="auto"/>
            <w:noWrap/>
            <w:vAlign w:val="center"/>
            <w:hideMark/>
          </w:tcPr>
          <w:p w14:paraId="3C40DC80" w14:textId="77777777" w:rsidR="00D1654B" w:rsidRPr="001114C2" w:rsidRDefault="00D1654B" w:rsidP="00D1654B">
            <w:pPr>
              <w:ind w:firstLineChars="100" w:firstLine="160"/>
              <w:rPr>
                <w:rFonts w:eastAsia="Times New Roman"/>
                <w:color w:val="000000"/>
                <w:sz w:val="16"/>
                <w:szCs w:val="16"/>
                <w:lang w:eastAsia="en-GB"/>
              </w:rPr>
            </w:pPr>
            <w:r w:rsidRPr="001114C2">
              <w:rPr>
                <w:rFonts w:eastAsia="Times New Roman"/>
                <w:color w:val="000000"/>
                <w:sz w:val="16"/>
                <w:szCs w:val="16"/>
                <w:lang w:eastAsia="en-GB"/>
              </w:rPr>
              <w:t>Never/no record</w:t>
            </w:r>
          </w:p>
        </w:tc>
        <w:tc>
          <w:tcPr>
            <w:tcW w:w="992" w:type="dxa"/>
            <w:tcBorders>
              <w:top w:val="nil"/>
              <w:left w:val="nil"/>
              <w:bottom w:val="nil"/>
              <w:right w:val="nil"/>
            </w:tcBorders>
            <w:shd w:val="clear" w:color="auto" w:fill="auto"/>
            <w:noWrap/>
            <w:vAlign w:val="center"/>
            <w:hideMark/>
          </w:tcPr>
          <w:p w14:paraId="1F57E3D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179</w:t>
            </w:r>
          </w:p>
        </w:tc>
        <w:tc>
          <w:tcPr>
            <w:tcW w:w="1418" w:type="dxa"/>
            <w:tcBorders>
              <w:top w:val="nil"/>
              <w:left w:val="nil"/>
              <w:bottom w:val="nil"/>
              <w:right w:val="nil"/>
            </w:tcBorders>
            <w:shd w:val="clear" w:color="auto" w:fill="auto"/>
            <w:noWrap/>
            <w:vAlign w:val="center"/>
            <w:hideMark/>
          </w:tcPr>
          <w:p w14:paraId="09CD1BB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33.0</w:t>
            </w:r>
          </w:p>
        </w:tc>
        <w:tc>
          <w:tcPr>
            <w:tcW w:w="850" w:type="dxa"/>
            <w:tcBorders>
              <w:top w:val="nil"/>
              <w:left w:val="nil"/>
              <w:bottom w:val="nil"/>
              <w:right w:val="nil"/>
            </w:tcBorders>
            <w:shd w:val="clear" w:color="auto" w:fill="auto"/>
            <w:noWrap/>
            <w:vAlign w:val="center"/>
            <w:hideMark/>
          </w:tcPr>
          <w:p w14:paraId="1CADA03D"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0.72</w:t>
            </w:r>
          </w:p>
        </w:tc>
        <w:tc>
          <w:tcPr>
            <w:tcW w:w="1134" w:type="dxa"/>
            <w:tcBorders>
              <w:top w:val="nil"/>
              <w:left w:val="nil"/>
              <w:bottom w:val="nil"/>
              <w:right w:val="nil"/>
            </w:tcBorders>
            <w:shd w:val="clear" w:color="auto" w:fill="auto"/>
            <w:noWrap/>
            <w:vAlign w:val="center"/>
            <w:hideMark/>
          </w:tcPr>
          <w:p w14:paraId="4BE90CB1"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0.53 - 0.99</w:t>
            </w:r>
          </w:p>
        </w:tc>
        <w:tc>
          <w:tcPr>
            <w:tcW w:w="710" w:type="dxa"/>
            <w:tcBorders>
              <w:top w:val="nil"/>
              <w:left w:val="nil"/>
              <w:bottom w:val="nil"/>
              <w:right w:val="nil"/>
            </w:tcBorders>
            <w:shd w:val="clear" w:color="auto" w:fill="auto"/>
            <w:noWrap/>
            <w:vAlign w:val="center"/>
            <w:hideMark/>
          </w:tcPr>
          <w:p w14:paraId="4698B58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0.040</w:t>
            </w:r>
          </w:p>
        </w:tc>
      </w:tr>
      <w:tr w:rsidR="00D1654B" w:rsidRPr="001114C2" w14:paraId="5FD87B81" w14:textId="77777777" w:rsidTr="001C1CC9">
        <w:trPr>
          <w:trHeight w:val="70"/>
        </w:trPr>
        <w:tc>
          <w:tcPr>
            <w:tcW w:w="4253" w:type="dxa"/>
            <w:tcBorders>
              <w:top w:val="nil"/>
              <w:left w:val="nil"/>
              <w:bottom w:val="nil"/>
              <w:right w:val="nil"/>
            </w:tcBorders>
            <w:shd w:val="clear" w:color="auto" w:fill="auto"/>
            <w:noWrap/>
            <w:vAlign w:val="center"/>
            <w:hideMark/>
          </w:tcPr>
          <w:p w14:paraId="314E72C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History of previous ulcer</w:t>
            </w:r>
          </w:p>
        </w:tc>
        <w:tc>
          <w:tcPr>
            <w:tcW w:w="992" w:type="dxa"/>
            <w:tcBorders>
              <w:top w:val="nil"/>
              <w:left w:val="nil"/>
              <w:bottom w:val="nil"/>
              <w:right w:val="nil"/>
            </w:tcBorders>
            <w:shd w:val="clear" w:color="auto" w:fill="auto"/>
            <w:noWrap/>
            <w:vAlign w:val="center"/>
            <w:hideMark/>
          </w:tcPr>
          <w:p w14:paraId="29957689"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232</w:t>
            </w:r>
          </w:p>
        </w:tc>
        <w:tc>
          <w:tcPr>
            <w:tcW w:w="1418" w:type="dxa"/>
            <w:tcBorders>
              <w:top w:val="nil"/>
              <w:left w:val="nil"/>
              <w:bottom w:val="nil"/>
              <w:right w:val="nil"/>
            </w:tcBorders>
            <w:shd w:val="clear" w:color="auto" w:fill="auto"/>
            <w:noWrap/>
            <w:vAlign w:val="center"/>
            <w:hideMark/>
          </w:tcPr>
          <w:p w14:paraId="65F13B7C"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30.6</w:t>
            </w:r>
          </w:p>
        </w:tc>
        <w:tc>
          <w:tcPr>
            <w:tcW w:w="850" w:type="dxa"/>
            <w:tcBorders>
              <w:top w:val="nil"/>
              <w:left w:val="nil"/>
              <w:bottom w:val="nil"/>
              <w:right w:val="nil"/>
            </w:tcBorders>
            <w:shd w:val="clear" w:color="auto" w:fill="auto"/>
            <w:noWrap/>
            <w:vAlign w:val="center"/>
            <w:hideMark/>
          </w:tcPr>
          <w:p w14:paraId="7283FC74"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0.84</w:t>
            </w:r>
          </w:p>
        </w:tc>
        <w:tc>
          <w:tcPr>
            <w:tcW w:w="1134" w:type="dxa"/>
            <w:tcBorders>
              <w:top w:val="nil"/>
              <w:left w:val="nil"/>
              <w:bottom w:val="nil"/>
              <w:right w:val="nil"/>
            </w:tcBorders>
            <w:shd w:val="clear" w:color="auto" w:fill="auto"/>
            <w:noWrap/>
            <w:vAlign w:val="center"/>
            <w:hideMark/>
          </w:tcPr>
          <w:p w14:paraId="4C78EA5F"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0.66 - 1.07</w:t>
            </w:r>
          </w:p>
        </w:tc>
        <w:tc>
          <w:tcPr>
            <w:tcW w:w="710" w:type="dxa"/>
            <w:tcBorders>
              <w:top w:val="nil"/>
              <w:left w:val="nil"/>
              <w:bottom w:val="nil"/>
              <w:right w:val="nil"/>
            </w:tcBorders>
            <w:shd w:val="clear" w:color="auto" w:fill="auto"/>
            <w:noWrap/>
            <w:vAlign w:val="center"/>
            <w:hideMark/>
          </w:tcPr>
          <w:p w14:paraId="55C41EA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0.164</w:t>
            </w:r>
          </w:p>
        </w:tc>
      </w:tr>
      <w:tr w:rsidR="00D1654B" w:rsidRPr="001114C2" w14:paraId="2EB24BEA" w14:textId="77777777" w:rsidTr="001C1CC9">
        <w:trPr>
          <w:trHeight w:val="70"/>
        </w:trPr>
        <w:tc>
          <w:tcPr>
            <w:tcW w:w="4253" w:type="dxa"/>
            <w:tcBorders>
              <w:top w:val="nil"/>
              <w:left w:val="nil"/>
              <w:bottom w:val="nil"/>
              <w:right w:val="nil"/>
            </w:tcBorders>
            <w:shd w:val="clear" w:color="auto" w:fill="auto"/>
            <w:noWrap/>
            <w:vAlign w:val="center"/>
            <w:hideMark/>
          </w:tcPr>
          <w:p w14:paraId="0F06DC5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History of previous amputation</w:t>
            </w:r>
          </w:p>
        </w:tc>
        <w:tc>
          <w:tcPr>
            <w:tcW w:w="992" w:type="dxa"/>
            <w:tcBorders>
              <w:top w:val="nil"/>
              <w:left w:val="nil"/>
              <w:bottom w:val="nil"/>
              <w:right w:val="nil"/>
            </w:tcBorders>
            <w:shd w:val="clear" w:color="auto" w:fill="auto"/>
            <w:noWrap/>
            <w:vAlign w:val="center"/>
            <w:hideMark/>
          </w:tcPr>
          <w:p w14:paraId="1540566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124</w:t>
            </w:r>
          </w:p>
        </w:tc>
        <w:tc>
          <w:tcPr>
            <w:tcW w:w="1418" w:type="dxa"/>
            <w:tcBorders>
              <w:top w:val="nil"/>
              <w:left w:val="nil"/>
              <w:bottom w:val="nil"/>
              <w:right w:val="nil"/>
            </w:tcBorders>
            <w:shd w:val="clear" w:color="auto" w:fill="auto"/>
            <w:noWrap/>
            <w:vAlign w:val="center"/>
            <w:hideMark/>
          </w:tcPr>
          <w:p w14:paraId="603F112B"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25.0</w:t>
            </w:r>
          </w:p>
        </w:tc>
        <w:tc>
          <w:tcPr>
            <w:tcW w:w="850" w:type="dxa"/>
            <w:tcBorders>
              <w:top w:val="nil"/>
              <w:left w:val="nil"/>
              <w:bottom w:val="nil"/>
              <w:right w:val="nil"/>
            </w:tcBorders>
            <w:shd w:val="clear" w:color="auto" w:fill="auto"/>
            <w:noWrap/>
            <w:vAlign w:val="center"/>
            <w:hideMark/>
          </w:tcPr>
          <w:p w14:paraId="6E828C7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0.68</w:t>
            </w:r>
          </w:p>
        </w:tc>
        <w:tc>
          <w:tcPr>
            <w:tcW w:w="1134" w:type="dxa"/>
            <w:tcBorders>
              <w:top w:val="nil"/>
              <w:left w:val="nil"/>
              <w:bottom w:val="nil"/>
              <w:right w:val="nil"/>
            </w:tcBorders>
            <w:shd w:val="clear" w:color="auto" w:fill="auto"/>
            <w:noWrap/>
            <w:vAlign w:val="center"/>
            <w:hideMark/>
          </w:tcPr>
          <w:p w14:paraId="2153960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0.49 - 0.95</w:t>
            </w:r>
          </w:p>
        </w:tc>
        <w:tc>
          <w:tcPr>
            <w:tcW w:w="710" w:type="dxa"/>
            <w:tcBorders>
              <w:top w:val="nil"/>
              <w:left w:val="nil"/>
              <w:bottom w:val="nil"/>
              <w:right w:val="nil"/>
            </w:tcBorders>
            <w:shd w:val="clear" w:color="auto" w:fill="auto"/>
            <w:noWrap/>
            <w:vAlign w:val="center"/>
            <w:hideMark/>
          </w:tcPr>
          <w:p w14:paraId="1EAEB06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0.024</w:t>
            </w:r>
          </w:p>
        </w:tc>
      </w:tr>
      <w:tr w:rsidR="00D1654B" w:rsidRPr="001114C2" w14:paraId="63796FAC" w14:textId="77777777" w:rsidTr="001C1CC9">
        <w:trPr>
          <w:trHeight w:val="70"/>
        </w:trPr>
        <w:tc>
          <w:tcPr>
            <w:tcW w:w="4253" w:type="dxa"/>
            <w:tcBorders>
              <w:top w:val="nil"/>
              <w:left w:val="nil"/>
              <w:bottom w:val="single" w:sz="4" w:space="0" w:color="auto"/>
              <w:right w:val="nil"/>
            </w:tcBorders>
            <w:shd w:val="clear" w:color="auto" w:fill="auto"/>
            <w:noWrap/>
            <w:vAlign w:val="center"/>
            <w:hideMark/>
          </w:tcPr>
          <w:p w14:paraId="09172A73"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History of ESRF</w:t>
            </w:r>
          </w:p>
        </w:tc>
        <w:tc>
          <w:tcPr>
            <w:tcW w:w="992" w:type="dxa"/>
            <w:tcBorders>
              <w:top w:val="nil"/>
              <w:left w:val="nil"/>
              <w:bottom w:val="single" w:sz="4" w:space="0" w:color="auto"/>
              <w:right w:val="nil"/>
            </w:tcBorders>
            <w:shd w:val="clear" w:color="auto" w:fill="auto"/>
            <w:noWrap/>
            <w:vAlign w:val="center"/>
            <w:hideMark/>
          </w:tcPr>
          <w:p w14:paraId="58C43A78"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71</w:t>
            </w:r>
          </w:p>
        </w:tc>
        <w:tc>
          <w:tcPr>
            <w:tcW w:w="1418" w:type="dxa"/>
            <w:tcBorders>
              <w:top w:val="nil"/>
              <w:left w:val="nil"/>
              <w:bottom w:val="single" w:sz="4" w:space="0" w:color="auto"/>
              <w:right w:val="nil"/>
            </w:tcBorders>
            <w:shd w:val="clear" w:color="auto" w:fill="auto"/>
            <w:noWrap/>
            <w:vAlign w:val="center"/>
            <w:hideMark/>
          </w:tcPr>
          <w:p w14:paraId="7B03EC6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25.4</w:t>
            </w:r>
          </w:p>
        </w:tc>
        <w:tc>
          <w:tcPr>
            <w:tcW w:w="850" w:type="dxa"/>
            <w:tcBorders>
              <w:top w:val="nil"/>
              <w:left w:val="nil"/>
              <w:bottom w:val="single" w:sz="4" w:space="0" w:color="auto"/>
              <w:right w:val="nil"/>
            </w:tcBorders>
            <w:shd w:val="clear" w:color="auto" w:fill="auto"/>
            <w:noWrap/>
            <w:vAlign w:val="center"/>
            <w:hideMark/>
          </w:tcPr>
          <w:p w14:paraId="60901675"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0.72</w:t>
            </w:r>
          </w:p>
        </w:tc>
        <w:tc>
          <w:tcPr>
            <w:tcW w:w="1134" w:type="dxa"/>
            <w:tcBorders>
              <w:top w:val="nil"/>
              <w:left w:val="nil"/>
              <w:bottom w:val="single" w:sz="4" w:space="0" w:color="auto"/>
              <w:right w:val="nil"/>
            </w:tcBorders>
            <w:shd w:val="clear" w:color="auto" w:fill="auto"/>
            <w:noWrap/>
            <w:vAlign w:val="center"/>
            <w:hideMark/>
          </w:tcPr>
          <w:p w14:paraId="12BA82D0"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0.48 - 1.10</w:t>
            </w:r>
          </w:p>
        </w:tc>
        <w:tc>
          <w:tcPr>
            <w:tcW w:w="710" w:type="dxa"/>
            <w:tcBorders>
              <w:top w:val="nil"/>
              <w:left w:val="nil"/>
              <w:bottom w:val="single" w:sz="4" w:space="0" w:color="auto"/>
              <w:right w:val="nil"/>
            </w:tcBorders>
            <w:shd w:val="clear" w:color="auto" w:fill="auto"/>
            <w:noWrap/>
            <w:vAlign w:val="center"/>
            <w:hideMark/>
          </w:tcPr>
          <w:p w14:paraId="18392627" w14:textId="77777777" w:rsidR="00D1654B" w:rsidRPr="001114C2" w:rsidRDefault="00D1654B" w:rsidP="00D1654B">
            <w:pPr>
              <w:rPr>
                <w:rFonts w:eastAsia="Times New Roman"/>
                <w:color w:val="000000"/>
                <w:sz w:val="16"/>
                <w:szCs w:val="16"/>
                <w:lang w:eastAsia="en-GB"/>
              </w:rPr>
            </w:pPr>
            <w:r w:rsidRPr="001114C2">
              <w:rPr>
                <w:rFonts w:eastAsia="Times New Roman"/>
                <w:color w:val="000000"/>
                <w:sz w:val="16"/>
                <w:szCs w:val="16"/>
                <w:lang w:eastAsia="en-GB"/>
              </w:rPr>
              <w:t>0.125</w:t>
            </w:r>
          </w:p>
        </w:tc>
      </w:tr>
    </w:tbl>
    <w:p w14:paraId="72160064" w14:textId="1F3798A0" w:rsidR="00194905" w:rsidRPr="001114C2" w:rsidRDefault="00D1654B" w:rsidP="00194905">
      <w:pPr>
        <w:spacing w:line="240" w:lineRule="auto"/>
        <w:rPr>
          <w:sz w:val="13"/>
          <w:szCs w:val="13"/>
          <w:lang w:val="en-SG"/>
        </w:rPr>
      </w:pPr>
      <w:r w:rsidRPr="001114C2">
        <w:rPr>
          <w:sz w:val="13"/>
          <w:szCs w:val="13"/>
          <w:lang w:val="en-SG"/>
        </w:rPr>
        <w:t>PR: prevalence ratio; Ref.: reference category; CI: confidence interval; DFU: diabetes foot ulcer; DM: diabetes mellitus; GP: general practitioner</w:t>
      </w:r>
      <w:r w:rsidR="00194905" w:rsidRPr="001114C2">
        <w:rPr>
          <w:sz w:val="13"/>
          <w:szCs w:val="13"/>
          <w:lang w:val="en-SG"/>
        </w:rPr>
        <w:t xml:space="preserve">; </w:t>
      </w:r>
      <w:r w:rsidR="00E94DA9">
        <w:rPr>
          <w:sz w:val="13"/>
          <w:szCs w:val="13"/>
          <w:lang w:val="en-SG"/>
        </w:rPr>
        <w:t>I</w:t>
      </w:r>
      <w:r w:rsidR="00194905" w:rsidRPr="001114C2">
        <w:rPr>
          <w:sz w:val="13"/>
          <w:szCs w:val="13"/>
          <w:lang w:val="en-SG"/>
        </w:rPr>
        <w:t>: end stage renal failure</w:t>
      </w:r>
    </w:p>
    <w:p w14:paraId="626EAF24" w14:textId="63ADEF64" w:rsidR="00926E8F" w:rsidRPr="001114C2" w:rsidRDefault="00926E8F" w:rsidP="00926E8F">
      <w:pPr>
        <w:rPr>
          <w:sz w:val="20"/>
          <w:szCs w:val="20"/>
          <w:lang w:val="en-SG"/>
        </w:rPr>
      </w:pPr>
      <w:r w:rsidRPr="001114C2">
        <w:rPr>
          <w:sz w:val="20"/>
          <w:szCs w:val="20"/>
          <w:lang w:val="en-SG"/>
        </w:rPr>
        <w:lastRenderedPageBreak/>
        <w:t>Figure 1: Proportion of unhealed and healed cases within three months by type of diabetes foot ulcer</w:t>
      </w:r>
    </w:p>
    <w:p w14:paraId="4B41D4B0" w14:textId="1DE5A72D" w:rsidR="00926E8F" w:rsidRPr="001114C2" w:rsidRDefault="00AF46DD" w:rsidP="00926E8F">
      <w:pPr>
        <w:rPr>
          <w:sz w:val="20"/>
          <w:szCs w:val="20"/>
          <w:lang w:val="en-SG"/>
        </w:rPr>
      </w:pPr>
      <w:r w:rsidRPr="001114C2">
        <w:rPr>
          <w:noProof/>
          <w:sz w:val="20"/>
          <w:szCs w:val="20"/>
          <w:lang w:val="en-SG"/>
        </w:rPr>
        <w:drawing>
          <wp:inline distT="0" distB="0" distL="0" distR="0" wp14:anchorId="3415112F" wp14:editId="61E9CE95">
            <wp:extent cx="4322870" cy="3143824"/>
            <wp:effectExtent l="0" t="0" r="1905" b="0"/>
            <wp:docPr id="3" name="Picture 3" descr="C:\Users\prf49.MERCIA\Dropbox\Analysis\Dr Julia SG\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f49.MERCIA\Dropbox\Analysis\Dr Julia SG\Figur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5913" cy="3153310"/>
                    </a:xfrm>
                    <a:prstGeom prst="rect">
                      <a:avLst/>
                    </a:prstGeom>
                    <a:noFill/>
                    <a:ln>
                      <a:noFill/>
                    </a:ln>
                  </pic:spPr>
                </pic:pic>
              </a:graphicData>
            </a:graphic>
          </wp:inline>
        </w:drawing>
      </w:r>
    </w:p>
    <w:p w14:paraId="1655C0C3" w14:textId="77777777" w:rsidR="001C1CC9" w:rsidRPr="001114C2" w:rsidRDefault="001C1CC9" w:rsidP="00926E8F">
      <w:pPr>
        <w:rPr>
          <w:sz w:val="20"/>
          <w:szCs w:val="20"/>
          <w:lang w:val="en-SG"/>
        </w:rPr>
      </w:pPr>
    </w:p>
    <w:p w14:paraId="3CA55D35" w14:textId="684C2C72" w:rsidR="00926E8F" w:rsidRPr="001114C2" w:rsidRDefault="00926E8F" w:rsidP="00926E8F">
      <w:pPr>
        <w:rPr>
          <w:sz w:val="20"/>
          <w:szCs w:val="20"/>
          <w:lang w:val="en-SG"/>
        </w:rPr>
      </w:pPr>
      <w:r w:rsidRPr="001114C2">
        <w:rPr>
          <w:sz w:val="20"/>
          <w:szCs w:val="20"/>
          <w:lang w:val="en-SG"/>
        </w:rPr>
        <w:t>Figure 2: Multivariable regression analysis showing association between factors and healing within three months</w:t>
      </w:r>
      <w:r w:rsidR="002027CE" w:rsidRPr="001114C2">
        <w:rPr>
          <w:noProof/>
          <w:sz w:val="20"/>
          <w:szCs w:val="20"/>
          <w:lang w:val="en-SG"/>
        </w:rPr>
        <w:drawing>
          <wp:inline distT="0" distB="0" distL="0" distR="0" wp14:anchorId="453C0EF4" wp14:editId="30DBE0C2">
            <wp:extent cx="5943600" cy="3046820"/>
            <wp:effectExtent l="0" t="0" r="0" b="1270"/>
            <wp:docPr id="1" name="Picture 1" descr="C:\Users\Julia\Desktop\Research\DFU population based study\Manuscript\Re-analysis\From Ram_Results 280920\251020 Correct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esktop\Research\DFU population based study\Manuscript\Re-analysis\From Ram_Results 280920\251020 Correction\Figure 2.tif"/>
                    <pic:cNvPicPr>
                      <a:picLocks noChangeAspect="1" noChangeArrowheads="1"/>
                    </pic:cNvPicPr>
                  </pic:nvPicPr>
                  <pic:blipFill rotWithShape="1">
                    <a:blip r:embed="rId11">
                      <a:extLst>
                        <a:ext uri="{28A0092B-C50C-407E-A947-70E740481C1C}">
                          <a14:useLocalDpi xmlns:a14="http://schemas.microsoft.com/office/drawing/2010/main" val="0"/>
                        </a:ext>
                      </a:extLst>
                    </a:blip>
                    <a:srcRect t="13707" r="-760" b="11760"/>
                    <a:stretch/>
                  </pic:blipFill>
                  <pic:spPr bwMode="auto">
                    <a:xfrm>
                      <a:off x="0" y="0"/>
                      <a:ext cx="5943600" cy="3046820"/>
                    </a:xfrm>
                    <a:prstGeom prst="rect">
                      <a:avLst/>
                    </a:prstGeom>
                    <a:noFill/>
                    <a:ln>
                      <a:noFill/>
                    </a:ln>
                    <a:extLst>
                      <a:ext uri="{53640926-AAD7-44D8-BBD7-CCE9431645EC}">
                        <a14:shadowObscured xmlns:a14="http://schemas.microsoft.com/office/drawing/2010/main"/>
                      </a:ext>
                    </a:extLst>
                  </pic:spPr>
                </pic:pic>
              </a:graphicData>
            </a:graphic>
          </wp:inline>
        </w:drawing>
      </w:r>
    </w:p>
    <w:p w14:paraId="4A54B599" w14:textId="2DD7E950" w:rsidR="00BB7F22" w:rsidRDefault="00C42990" w:rsidP="00297423">
      <w:pPr>
        <w:shd w:val="clear" w:color="auto" w:fill="FFFFFF" w:themeFill="background1"/>
        <w:jc w:val="both"/>
        <w:rPr>
          <w:b/>
        </w:rPr>
      </w:pPr>
      <w:r w:rsidRPr="00297423">
        <w:rPr>
          <w:b/>
        </w:rPr>
        <w:t>Discussion</w:t>
      </w:r>
    </w:p>
    <w:p w14:paraId="4F1E62BA" w14:textId="77777777" w:rsidR="00297423" w:rsidRPr="001114C2" w:rsidRDefault="00297423" w:rsidP="00297423">
      <w:pPr>
        <w:shd w:val="clear" w:color="auto" w:fill="FFFFFF" w:themeFill="background1"/>
        <w:jc w:val="both"/>
      </w:pPr>
    </w:p>
    <w:p w14:paraId="1962B356" w14:textId="04368643" w:rsidR="00D92E85" w:rsidRPr="001114C2" w:rsidRDefault="00962C9E" w:rsidP="00D92E85">
      <w:pPr>
        <w:shd w:val="clear" w:color="auto" w:fill="FFFFFF" w:themeFill="background1"/>
        <w:jc w:val="both"/>
      </w:pPr>
      <w:r>
        <w:t>The present</w:t>
      </w:r>
      <w:r w:rsidR="00D92E85" w:rsidRPr="001114C2">
        <w:t xml:space="preserve"> study did not find any associations between patient characteristics such as age, ethnicity, </w:t>
      </w:r>
      <w:r w:rsidR="00B47215" w:rsidRPr="00804F42">
        <w:t>body mass index</w:t>
      </w:r>
      <w:r w:rsidR="00D92E85" w:rsidRPr="00804F42">
        <w:t>, duration</w:t>
      </w:r>
      <w:r w:rsidR="00D92E85" w:rsidRPr="001114C2">
        <w:t xml:space="preserve"> of </w:t>
      </w:r>
      <w:r w:rsidR="00B47215">
        <w:t>diabetes</w:t>
      </w:r>
      <w:r w:rsidR="00D92E85" w:rsidRPr="001114C2">
        <w:t xml:space="preserve">, healthcare </w:t>
      </w:r>
      <w:r w:rsidR="00B47215">
        <w:t>institutions</w:t>
      </w:r>
      <w:r w:rsidR="00D92E85" w:rsidRPr="001114C2">
        <w:t xml:space="preserve"> </w:t>
      </w:r>
      <w:r w:rsidR="00B47215">
        <w:t xml:space="preserve">(hospitals, polyclinics or general practitioners) </w:t>
      </w:r>
      <w:r w:rsidR="009E2271">
        <w:t>of diabetes treatment</w:t>
      </w:r>
      <w:r w:rsidR="00D92E85" w:rsidRPr="001114C2">
        <w:t xml:space="preserve"> follow-</w:t>
      </w:r>
      <w:r w:rsidR="00BC574A" w:rsidRPr="001114C2">
        <w:t>up</w:t>
      </w:r>
      <w:r w:rsidR="00BC574A">
        <w:t xml:space="preserve">, </w:t>
      </w:r>
      <w:r w:rsidR="00BC574A" w:rsidRPr="002E1928">
        <w:rPr>
          <w:color w:val="FF0000"/>
        </w:rPr>
        <w:t>HbA</w:t>
      </w:r>
      <w:r w:rsidR="00D92E85" w:rsidRPr="002E1928">
        <w:rPr>
          <w:color w:val="FF0000"/>
        </w:rPr>
        <w:t>1c level</w:t>
      </w:r>
      <w:r w:rsidR="00AD1231" w:rsidRPr="002E1928">
        <w:rPr>
          <w:color w:val="FF0000"/>
        </w:rPr>
        <w:t>,</w:t>
      </w:r>
      <w:r w:rsidR="00D92E85" w:rsidRPr="002E1928">
        <w:rPr>
          <w:color w:val="FF0000"/>
        </w:rPr>
        <w:t xml:space="preserve"> </w:t>
      </w:r>
      <w:r w:rsidR="00D92E85" w:rsidRPr="001114C2">
        <w:t xml:space="preserve">and </w:t>
      </w:r>
      <w:r w:rsidR="009E2271">
        <w:t>3</w:t>
      </w:r>
      <w:r w:rsidR="00AD1231">
        <w:t xml:space="preserve"> </w:t>
      </w:r>
      <w:r w:rsidR="009E2271">
        <w:t>month</w:t>
      </w:r>
      <w:r w:rsidR="00AD1231">
        <w:t>s</w:t>
      </w:r>
      <w:r w:rsidR="00A16662">
        <w:t xml:space="preserve"> </w:t>
      </w:r>
      <w:r w:rsidR="00750838">
        <w:t>ulcer</w:t>
      </w:r>
      <w:r w:rsidR="00D92E85" w:rsidRPr="001114C2">
        <w:t xml:space="preserve"> healing outcomes. This is consistent </w:t>
      </w:r>
      <w:r w:rsidR="00581D92" w:rsidRPr="001114C2">
        <w:t>with the</w:t>
      </w:r>
      <w:r w:rsidR="00E27DDC">
        <w:t xml:space="preserve"> findings in several other </w:t>
      </w:r>
      <w:r w:rsidR="00D92E85" w:rsidRPr="001114C2">
        <w:t>studies</w:t>
      </w:r>
      <w:r w:rsidR="002D6FA0">
        <w:t xml:space="preserve"> on diabetic foot ulcers</w:t>
      </w:r>
      <w:r w:rsidR="00D92E85" w:rsidRPr="001114C2">
        <w:t xml:space="preserve"> </w:t>
      </w:r>
      <w:r w:rsidR="00A16662">
        <w:t>that</w:t>
      </w:r>
      <w:r w:rsidR="00A16662" w:rsidRPr="001114C2">
        <w:t xml:space="preserve"> </w:t>
      </w:r>
      <w:r w:rsidR="00D92E85" w:rsidRPr="001114C2">
        <w:t xml:space="preserve">reported similar </w:t>
      </w:r>
      <w:r w:rsidR="00750838">
        <w:t xml:space="preserve">results </w:t>
      </w:r>
      <w:r w:rsidR="00750838" w:rsidRPr="00550F74">
        <w:fldChar w:fldCharType="begin" w:fldLock="1"/>
      </w:r>
      <w:r w:rsidR="002E2FD7">
        <w:instrText>ADDIN CSL_CITATION {"citationItems":[{"id":"ITEM-1","itemData":{"DOI":"10.1016/J.JDIACOMP.2015.02.009","ISSN":"1056-8727","abstract":"AIMS This retrospective study aimed to investigate both established and less well-explored factors as potential predictive variables for failed and delayed ulcer healing. METHODS Patients with type 1 or 2 diabetes with foot ulceration presenting consecutively to, and then subsequently managed at, a multidisciplinary, high-risk foot clinic were followed until ulcer healing, amputation or death. Data comprised prospective standardised documentation at each visit and retrospective collection from hospital records, and included patient demographics, comorbidities, laboratory variables, and ulcer infection, depth and area at each presentation. Multiple regression analysis was used to determine independent predictors of failure to heal and delayed healing. RESULTS Of the 107 consecutive patients studied, 95 (89%) healed overall, 50 (47%) had healed in 12 weeks and the mean healing rate was a 10% decrease in ulcer area per week. Amongst all variables examined, comorbid congestive heart failure (CHF) was the only factor independently predictive of all measured outcomes of failure to heal overall, delayed healing at 12 weeks, and reduced healing rate. Ulcer infection at presentation, longer duration of antibiotic use, and liver enzyme abnormalities of raised ALT and AST:ALT&lt;1 (each suggestive of non-alcoholic fatty liver disease), were also predictive of poor ulcer outcomes. CONCLUSIONS Comorbid congestive cardiac failure is predictive of delayed foot ulcer healing rate as well as a lower probability of healing overall. Liver enzyme abnormalities also predicted delayed ulcer healing outcomes. The mechanisms underlying these associations with foot ulcer outcomes in diabetes are unclear. Further studies are needed to determine the role of systematic routine documentation of heart failure and its severity, and then targeting of heart failure to potentially aid the management of foot ulcers in diabetes.","author":[{"dropping-particle":"","family":"Rhou","given":"Yoon Ji Jina","non-dropping-particle":"","parse-names":false,"suffix":""},{"dropping-particle":"","family":"Henshaw","given":"F.R.","non-dropping-particle":"","parse-names":false,"suffix":""},{"dropping-particle":"","family":"McGill","given":"M.J.","non-dropping-particle":"","parse-names":false,"suffix":""},{"dropping-particle":"","family":"Twigg","given":"S.M.","non-dropping-particle":"","parse-names":false,"suffix":""}],"container-title":"Journal of Diabetes and its Complications","id":"ITEM-1","issue":"4","issued":{"date-parts":[["2015","5","1"]]},"page":"556-562","publisher":"Elsevier","title":"Congestive heart failure presence predicts delayed healing of foot ulcers in diabetes: An audit from a multidisciplinary high-risk foot clinic","type":"article-journal","volume":"29"},"uris":["http://www.mendeley.com/documents/?uuid=9d608536-50d0-3270-9531-30d2555b302c"]},{"id":"ITEM-2","itemData":{"DOI":"10.1007/s11845-016-1511-x","ISSN":"18634362","abstract":"Background: Diabetes mellitus, coined the ‘Black Death of the Twenty-First Century’, is associated with complications, including foot ulceration with potential loss of limb. There is a need for development of new wound therapies through completion of robust clinical trials. Aims: To profile demographics and wound characteristics of an Irish cohort with diabetes, forecast eligibility for entry to a clinical trial of advanced wound therapeutics, and adjust criteria to optimize eligibility for enrolment. Methods: A cross-sectional study of out-patients attending a Podiatry centre over 12 weeks was conducted. Information was collected through clinical assessment, including Neuropathy Disability Score and Ankle-Brachial Pressure Index. Ulcers were characterised as ‘healing’ or ‘non-healing’; a ‘healing’ wound decreased by 30 % over the previous month, accomplished by retrospective analysis of files. Statistics, including binomial logistic regression and column analysis for eligibility assessment, were conducted. Results: Seventy-four participants were identified with a mean age of 67 (± 8.79) years. Non-healing DFU status correlated significantly with larger wound area (P = 0.013), infection (P = 0.009), and greater degrees of ischaemia (P = 0.015). The eligibility criteria were modelled after those proposed by the EU consortium project REDDSTAR. In this Irish population, these criteria limit eligibility to 1.4 %. Conclusions: This research found an eligibility criterion of wound area 2–10 cm2 for enrolment in a clinical trial of mesenchymal stromal cell therapy too restrictive. Extension of wound area to 1–10 cm2 and the inclusion of neuro-ischaemic ulcers increased eligibility for enrolment from 1.4 to 20 %.","author":[{"dropping-particle":"","family":"Mahon","given":"A. M.","non-dropping-particle":"","parse-names":false,"suffix":""},{"dropping-particle":"","family":"MacGilchrist","given":"C.","non-dropping-particle":"","parse-names":false,"suffix":""},{"dropping-particle":"","family":"McIntosh","given":"C.","non-dropping-particle":"","parse-names":false,"suffix":""},{"dropping-particle":"","family":"O’Brien","given":"T.","non-dropping-particle":"","parse-names":false,"suffix":""}],"container-title":"Irish Journal of Medical Science","id":"ITEM-2","issue":"3","issued":{"date-parts":[["2017","8","1"]]},"page":"659-669","publisher":"Springer London","title":"Characterization of patients with diabetic foot disease presenting to an Irish Podiatry Centre: profiling suitability for entry to a clinical trial of advanced wound therapeutics","type":"article-journal","volume":"186"},"uris":["http://www.mendeley.com/documents/?uuid=2c66ea4b-9688-3643-a41a-873a661acc44"]},{"id":"ITEM-3","itemData":{"ISSN":"0889-5899","PMID":"16567857","abstract":"Diabetic foot ulcer management presents a significant challenge for wound care clinicians; numerous approaches to encourage healing in these difficult wounds have been explored. To determine risk factors related to diabetic foot ulcer time to healing and closure, a secondary analysis of data from a prospective randomized study involving 245 patients treated with a bioengineered human dermal substitute (n = 130) or control treatment (n = 115) was conducted. Analyzed variables included age, race, gender, ulcer duration, initial ulcer size, initial hemoglobin (HgbA1c), average HgbA1c, change in HgbA1c, diabetes type, average hours of weight-bearing, study ulcer infection, history of smoking or alcohol use, and laboratory values. Time to healing was significantly affected by initial ulcer size (risk ratio 0.75, confidence interval 0.59-0.96), gender (risk ratio 2.01, confidence interval 1.20-3.40), and wound infection during the study (risk ratio 2.9, confidence interval 1.45-4.22). Initial ulcer size (&gt;2 cm2), male gender, and an episode of infection during the study were associated with an increased risk of nonclosure after 12 weeks of care (P &lt;0.05). In patients whose HgbA1C increased during the study (n = 101), 20.7% of all wounds and 21% of dermal substitute-managed wounds (n = 105) healed; whereas, in patients whose HgbA1C levels remained stable or decreased, 26.3% of all wounds and 47% of dermal substitute-managed wounds healed (P &lt;0.05). Female gender, small ulcer size, and the absence of infection were found to have a positive effect on healing all diabetic foot ulcers; improved glucose control had a significant effect on healing wounds managed with the dermal substitute only. This is the first diabetic foot ulcer study to find a relationship between hyperglycemia and wound healing. Further research into factors that improve healing of wounds, including diabetic foot ulcers, is warranted.","author":[{"dropping-particle":"","family":"Marston","given":"William A","non-dropping-particle":"","parse-names":false,"suffix":""},{"dropping-particle":"","family":"Dermagraft Diabetic Foot Ulcer Study Group","given":"","non-dropping-particle":"","parse-names":false,"suffix":""}],"container-title":"Ostomy/wound management","id":"ITEM-3","issue":"3","issued":{"date-parts":[["2006","3"]]},"page":"26-8, 30, 32 passim","title":"Risk factors associated with healing chronic diabetic foot ulcers: the importance of hyperglycemia.","type":"article-journal","volume":"52"},"uris":["http://www.mendeley.com/documents/?uuid=5368b122-4910-3752-b29f-e29275e87b4e"]},{"id":"ITEM-4","itemData":{"DOI":"10.2478/enr-2020-0023","ISSN":"13360329","PMID":"32857716","abstract":"Objective. The high amputation rates from diabetic foot ulcer (DFU) in Nigeria and prolonged hospitalization due to poor wound healing is a source of concern. Furthermore, factors that affect wound healing of DFUs have not yet been well studied in Nigeria, whereas knowing these factors could improve DFU outcomes. Therefore, the objective of this study was to determine the factors that are associated with the wound healing in patients hospitalized for DFU. Methods. The Multi-Center Evaluation of Diabetic Foot Ulcer in Nigeria (MEDFUN) was an observational study involving 336 diabetic patients hospitalized for DFU and managed by a multidisciplinary team until discharge or death. Demographic, clinical, and biochemical characteristics were documented. Test statistics used were chi square, t-test, univariate, and multivariate logistic regression. The study endpoints were ulcer healing, LEA, duration of hospitalization, and mortality. Here we present data on wound healing. Results. The mean ± SD age was 55.9±12.5 years. Univariate predictors of wound healing were ulcer duration more than 1 month prior to hospitalization (p&lt;0.001), peripheral arterial disease (PAD) (p&lt;0.001), foot gangrene (p&lt;0.001), Ulcer grade ≥3 (p=0.002), proteinuria (p=0.005), anemia (p=0.009), renal impairment (p=0.021), glycated hemoglobin ≥7% (0.012), and osteomyelitis (p&lt;0.001). On multivariate regression, osteomyelitis was the strongest independent predictor of wound healing after adjusting for all other variables (OR 0.035; 95% CI 0.004-0.332). This was followed by PAD (OR 0.093; 95% CI 0.028-0.311), ulcer duration &gt;1 month (OR 0.109; 95% CI 0.030-0.395), anemia (OR 0.179; 95% CI 0.056-0.571). Conclusion. Presence of osteomyelitis, duration of ulcer greater than 1 month, PAD, Wagner grade 3 or higher, proteinuria, presence of gangrene, anemia, renal impairment, and HbA1c ≥7% were the significant predictors of wound healing in patients hospitalized for DFU. Early identification and prompt attention to these factors in a diabetic foot wound might significantly improve healing and reduce adverse outcomes such as amputation and death.","author":[{"dropping-particle":"","family":"Ezeani","given":"Ignatius U.","non-dropping-particle":"","parse-names":false,"suffix":""},{"dropping-particle":"","family":"Ugwu","given":"Ejiofor T.","non-dropping-particle":"","parse-names":false,"suffix":""},{"dropping-particle":"","family":"Adeleye","given":"Funmi O.","non-dropping-particle":"","parse-names":false,"suffix":""},{"dropping-particle":"","family":"Gezawa","given":"Ibrahim D.","non-dropping-particle":"","parse-names":false,"suffix":""},{"dropping-particle":"","family":"Okpe","given":"Innocent O.","non-dropping-particle":"","parse-names":false,"suffix":""},{"dropping-particle":"","family":"Enamino","given":"Marcelina I.","non-dropping-particle":"","parse-names":false,"suffix":""}],"container-title":"Endocrine Regulations","id":"ITEM-4","issue":"3","issued":{"date-parts":[["2020","7","1"]]},"page":"207-216","publisher":"Sciendo","title":"Determinants of wound healing in patients hospitalized for diabetic foot ulcer: Results from the MEDFUN study","type":"article-journal","volume":"54"},"uris":["http://www.mendeley.com/documents/?uuid=c05dc4ae-54bb-384c-a707-950a96997829"]}],"mendeley":{"formattedCitation":"&lt;sup&gt;18,31–33&lt;/sup&gt;","plainTextFormattedCitation":"18,31–33","previouslyFormattedCitation":"&lt;sup&gt;18,31–33&lt;/sup&gt;"},"properties":{"noteIndex":0},"schema":"https://github.com/citation-style-language/schema/raw/master/csl-citation.json"}</w:instrText>
      </w:r>
      <w:r w:rsidR="00750838" w:rsidRPr="00550F74">
        <w:fldChar w:fldCharType="separate"/>
      </w:r>
      <w:r w:rsidR="002E2FD7" w:rsidRPr="002E2FD7">
        <w:rPr>
          <w:noProof/>
          <w:vertAlign w:val="superscript"/>
        </w:rPr>
        <w:t>18,31–33</w:t>
      </w:r>
      <w:r w:rsidR="00750838" w:rsidRPr="00550F74">
        <w:fldChar w:fldCharType="end"/>
      </w:r>
      <w:r w:rsidR="00750838">
        <w:t xml:space="preserve">. </w:t>
      </w:r>
      <w:r w:rsidR="002D6FA0">
        <w:t>T</w:t>
      </w:r>
      <w:r w:rsidR="00D92E85" w:rsidRPr="001114C2">
        <w:t xml:space="preserve">he present study </w:t>
      </w:r>
      <w:r w:rsidR="002D6FA0">
        <w:t xml:space="preserve">also </w:t>
      </w:r>
      <w:r w:rsidR="004C1D96">
        <w:t>found that less ischemic ulcer</w:t>
      </w:r>
      <w:r w:rsidR="00D92E85" w:rsidRPr="001114C2">
        <w:t xml:space="preserve">s (18.7%) </w:t>
      </w:r>
      <w:r w:rsidR="00D92E85" w:rsidRPr="001114C2">
        <w:lastRenderedPageBreak/>
        <w:t>healed within 3 months compared to neuropathic (41.1%</w:t>
      </w:r>
      <w:r w:rsidR="004C1D96">
        <w:t xml:space="preserve">) and </w:t>
      </w:r>
      <w:proofErr w:type="spellStart"/>
      <w:r w:rsidR="004C1D96">
        <w:t>neuroishaemic</w:t>
      </w:r>
      <w:proofErr w:type="spellEnd"/>
      <w:r w:rsidR="004C1D96">
        <w:t xml:space="preserve"> ulcers (26.7%)</w:t>
      </w:r>
      <w:r w:rsidR="00D92E85" w:rsidRPr="001114C2">
        <w:t xml:space="preserve">. </w:t>
      </w:r>
      <w:r>
        <w:t>The</w:t>
      </w:r>
      <w:r w:rsidR="00D92E85" w:rsidRPr="001114C2">
        <w:t xml:space="preserve"> univariate a</w:t>
      </w:r>
      <w:r w:rsidR="004C1D96">
        <w:t xml:space="preserve">nalysis </w:t>
      </w:r>
      <w:r>
        <w:t xml:space="preserve">in the present study </w:t>
      </w:r>
      <w:r w:rsidR="004C1D96">
        <w:t>showed that ischemic ulcer</w:t>
      </w:r>
      <w:r w:rsidR="00D92E85" w:rsidRPr="001114C2">
        <w:t>s (PR: 0.46, 95% CI: 0.25-0.8</w:t>
      </w:r>
      <w:r w:rsidR="004C1D96">
        <w:t xml:space="preserve">4, P=.011) and </w:t>
      </w:r>
      <w:proofErr w:type="spellStart"/>
      <w:r w:rsidR="004C1D96">
        <w:t>neuroischemic</w:t>
      </w:r>
      <w:proofErr w:type="spellEnd"/>
      <w:r w:rsidR="004C1D96">
        <w:t xml:space="preserve"> ulcer</w:t>
      </w:r>
      <w:r w:rsidR="00D92E85" w:rsidRPr="001114C2">
        <w:t xml:space="preserve">s (OR: 0.65, 95% CI:0.50-0.86, P=.002) were negatively associated with healing within 3 months. Similar results have reported </w:t>
      </w:r>
      <w:r w:rsidR="00A16662">
        <w:t>in</w:t>
      </w:r>
      <w:r w:rsidR="00A16662" w:rsidRPr="001114C2">
        <w:t xml:space="preserve"> </w:t>
      </w:r>
      <w:r w:rsidR="002D6FA0">
        <w:t xml:space="preserve">other </w:t>
      </w:r>
      <w:r w:rsidR="00D92E85" w:rsidRPr="001114C2">
        <w:t xml:space="preserve">previous studies </w:t>
      </w:r>
      <w:r w:rsidR="00750838" w:rsidRPr="00244F39">
        <w:fldChar w:fldCharType="begin" w:fldLock="1"/>
      </w:r>
      <w:r w:rsidR="002E2FD7">
        <w:instrText>ADDIN CSL_CITATION {"citationItems":[{"id":"ITEM-1","itemData":{"DOI":"10.3402/dfa.v6.29629","ISSN":"2000-625X","PMID":"26651032","abstract":"BACKGROUND Diabetic foot ulcers (DFU) may cause significant morbidity and lower extremity amputation (LEA) due to diabetic foot problems can occur more often compared to the general population. The purpose of the present study was to use an epidemiological design to determine and to quantify the risk factors of subsequent amputation in hospitalized DFU patients. METHODS We performed a hospital-based, case-control study of 47 DFU patients with LEA and 47 control DFU patients without LEA. The control subjects were matched to cases in respect to age (±5 years), sex, and nutritional status, with ratio of 1:1. This study was conducted in Dr. Kariadi General Hospital Semarang between January 2012 and December 2014. Patients' demographical data and all risk factors-related information were collected from clinical records using a short structural chart. Using LEA as the outcome variable, we calculated odds ratios (ORs) and 95% confidence intervals (CIs) by logistic regression. Univariate and stepwise logistic regression analyses were used to assess the independent effect of selected risk factors associated with LEA. The data were analyzed in SPSS version 21. RESULTS There were 47 case-control pairs, all of which were diagnosed with type 2 diabetes mellitus. Seven potential independent variables show a promise of influence, the latter being defined asp≤0.15 upon univariate analysis. Multivariable logistic regression identified levels of HbA1c ≥8% (OR 20.47, 95% CI 3.12-134.31;p=0.002), presence of peripheral arterial disease (PAD) (OR 12.97, 95% CI 3.44-48.88;p&lt;0.001), hypertriglyceridemia (OR 5.58, 95% CI 1.74-17.91;p=0.004), and hypertension (OR 3.67, 95% CI 1.14-11.79;p=0.028) as the independent risk factors associated with subsequent LEA in DFU. CONCLUSIONS Several risk factors for LEA were identified. We found that HbA1c ≥8%, PAD, hypertriglyceridemia, and hypertension have been recognized as the predictors of LEA in this study. Good glycemic control, active investigation against PAD, and management of comorbidities such as hypertriglyceridemia and hypertension are considered important to reduce amputation risk.","author":[{"dropping-particle":"","family":"Pemayun","given":"Tjokorda Gde Dalem","non-dropping-particle":"","parse-names":false,"suffix":""},{"dropping-particle":"","family":"Naibaho","given":"Ridho M","non-dropping-particle":"","parse-names":false,"suffix":""},{"dropping-particle":"","family":"Novitasari","given":"Diana","non-dropping-particle":"","parse-names":false,"suffix":""},{"dropping-particle":"","family":"Amin","given":"Nurmilawati","non-dropping-particle":"","parse-names":false,"suffix":""},{"dropping-particle":"","family":"Minuljo","given":"Tania Tedjo","non-dropping-particle":"","parse-names":false,"suffix":""}],"container-title":"Diabetic foot &amp; ankle","id":"ITEM-1","issued":{"date-parts":[["2015"]]},"page":"29629","publisher":"Taylor &amp; Francis","title":"Risk factors for lower extremity amputation in patients with diabetic foot ulcers: a hospital-based case-control study.","type":"article-journal","volume":"6"},"uris":["http://www.mendeley.com/documents/?uuid=d8d32cdb-e625-3b98-915c-21cd8d59047a"]},{"id":"ITEM-2","itemData":{"DOI":"10.1007/s11845-016-1511-x","ISSN":"18634362","abstract":"Background: Diabetes mellitus, coined the ‘Black Death of the Twenty-First Century’, is associated with complications, including foot ulceration with potential loss of limb. There is a need for development of new wound therapies through completion of robust clinical trials. Aims: To profile demographics and wound characteristics of an Irish cohort with diabetes, forecast eligibility for entry to a clinical trial of advanced wound therapeutics, and adjust criteria to optimize eligibility for enrolment. Methods: A cross-sectional study of out-patients attending a Podiatry centre over 12 weeks was conducted. Information was collected through clinical assessment, including Neuropathy Disability Score and Ankle-Brachial Pressure Index. Ulcers were characterised as ‘healing’ or ‘non-healing’; a ‘healing’ wound decreased by 30 % over the previous month, accomplished by retrospective analysis of files. Statistics, including binomial logistic regression and column analysis for eligibility assessment, were conducted. Results: Seventy-four participants were identified with a mean age of 67 (± 8.79) years. Non-healing DFU status correlated significantly with larger wound area (P = 0.013), infection (P = 0.009), and greater degrees of ischaemia (P = 0.015). The eligibility criteria were modelled after those proposed by the EU consortium project REDDSTAR. In this Irish population, these criteria limit eligibility to 1.4 %. Conclusions: This research found an eligibility criterion of wound area 2–10 cm2 for enrolment in a clinical trial of mesenchymal stromal cell therapy too restrictive. Extension of wound area to 1–10 cm2 and the inclusion of neuro-ischaemic ulcers increased eligibility for enrolment from 1.4 to 20 %.","author":[{"dropping-particle":"","family":"Mahon","given":"A. M.","non-dropping-particle":"","parse-names":false,"suffix":""},{"dropping-particle":"","family":"MacGilchrist","given":"C.","non-dropping-particle":"","parse-names":false,"suffix":""},{"dropping-particle":"","family":"McIntosh","given":"C.","non-dropping-particle":"","parse-names":false,"suffix":""},{"dropping-particle":"","family":"O’Brien","given":"T.","non-dropping-particle":"","parse-names":false,"suffix":""}],"container-title":"Irish Journal of Medical Science","id":"ITEM-2","issue":"3","issued":{"date-parts":[["2017","8","1"]]},"page":"659-669","publisher":"Springer London","title":"Characterization of patients with diabetic foot disease presenting to an Irish Podiatry Centre: profiling suitability for entry to a clinical trial of advanced wound therapeutics","type":"article-journal","volume":"186"},"uris":["http://www.mendeley.com/documents/?uuid=2c66ea4b-9688-3643-a41a-873a661acc44"]},{"id":"ITEM-3","itemData":{"DOI":"10.3402/dfa.v3i0.18980","abstract":"Background: The management of chronic diabetic foot ulcers (DFU) poses a great challenge to the treating\r\nphysician and surgeon. The aim of this study was to identify the risk factors, clinical presentation, and\r\noutcomes associated with chronic DFU6 months’ duration.\r\nMethods: This prospective study was performed in Jabir Abu Eliz Diabetic Centre (JADC), Khartoum,\r\nSudan. A total of 108 patients who had DFU for6 months were included. Recorded data included patient’s\r\ndemographics, DFU presentation, associated comorbidities, and outcomes. DFU description included size,\r\ndepth, protective sensation, perfusion, and presence of infection. Comorbidities assessed included eye\r\nimpairment, renal and heart disease. All patients received necessary local wound care with sharp debridement\r\nof any concomitant necrotic and infected tissues and off-loading with appropriate shoe gear and therapeutic\r\ndevices.\r\nResults: The mean age of the studied patients was 56SD 9 years with a male to female ratio of 3:3.3. The\r\nmean duration of DFU was 189SD 17 months (ranging from 6 to 84 months). Ulcer healing was\r\nsignificantly associated with off-loading, mainly the use of total contact cast (TCC) (p0.013). Non-healing\r\nulcerations were significantly associated with longer duration of the chronic DFU12 months (p0.002),\r\nsmoking (p0.000), poor glycemic control as evidenced by an elevated HbA1c (7%), large size (mean SD\r\n84 cm), increased depth (pB0.001), presence of skin callus (pB0.000), impaired limb perfusion (p0.001),\r\nimpaired protective sensation as measured by 10 g monofilament (p0.002), neuroischemia (p0.002), and\r\nCharcot neuroarthropathy (p0.017).\r\nDiscussion: Risk factors associated with chronic DFU of6 months’ duration included the presentation of an\r\nulcer with increased size and depth, with associated skin callus and neuroischemia, in a diabetic patient with a\r\nhistory of smoking and increased HbA1c7%. Off-loading mainly with the use of TCC is an effective\r\nmethod of managing long-standing DFU.","author":[{"dropping-particle":"","family":"Gubara Musa","given":"Hassan","non-dropping-particle":"","parse-names":false,"suffix":""},{"dropping-particle":"","family":"Ahmed","given":"Mohamed E","non-dropping-particle":"","parse-names":false,"suffix":""},{"dropping-particle":"","family":"Musa","given":"Gubara","non-dropping-particle":"","parse-names":false,"suffix":""},{"dropping-particle":"","family":"Ahmed","given":"Mohamed Elmakki","non-dropping-particle":"","parse-names":false,"suffix":""}],"container-title":"Diabetic Foot &amp; Ankle","id":"ITEM-3","issue":"1","issued":{"date-parts":[["2012"]]},"title":"Associated risk factors and management of chronic diabetic foot ulcers exceeding 6 months' duration Associated risk factors and management of chronic diabetic foot ulcers exceeding 6 months' duration","type":"article-journal","volume":"3"},"uris":["http://www.mendeley.com/documents/?uuid=07922230-dbbc-3d33-bb48-ea97e430be83"]}],"mendeley":{"formattedCitation":"&lt;sup&gt;31,34,35&lt;/sup&gt;","plainTextFormattedCitation":"31,34,35","previouslyFormattedCitation":"&lt;sup&gt;31,34,35&lt;/sup&gt;"},"properties":{"noteIndex":0},"schema":"https://github.com/citation-style-language/schema/raw/master/csl-citation.json"}</w:instrText>
      </w:r>
      <w:r w:rsidR="00750838" w:rsidRPr="00244F39">
        <w:fldChar w:fldCharType="separate"/>
      </w:r>
      <w:r w:rsidR="002E2FD7" w:rsidRPr="002E2FD7">
        <w:rPr>
          <w:noProof/>
          <w:vertAlign w:val="superscript"/>
        </w:rPr>
        <w:t>31,34,35</w:t>
      </w:r>
      <w:r w:rsidR="00750838" w:rsidRPr="00244F39">
        <w:fldChar w:fldCharType="end"/>
      </w:r>
      <w:r w:rsidR="00D92E85" w:rsidRPr="001114C2">
        <w:t>.</w:t>
      </w:r>
    </w:p>
    <w:p w14:paraId="5021AE12" w14:textId="77777777" w:rsidR="00D92E85" w:rsidRPr="001114C2" w:rsidRDefault="00D92E85" w:rsidP="009947EA">
      <w:pPr>
        <w:shd w:val="clear" w:color="auto" w:fill="FFFFFF" w:themeFill="background1"/>
        <w:jc w:val="both"/>
      </w:pPr>
    </w:p>
    <w:p w14:paraId="26DBF1A9" w14:textId="4C329CBA" w:rsidR="009947EA" w:rsidRPr="002E2499" w:rsidRDefault="00BB7F22" w:rsidP="009947EA">
      <w:pPr>
        <w:shd w:val="clear" w:color="auto" w:fill="FFFFFF" w:themeFill="background1"/>
        <w:jc w:val="both"/>
        <w:rPr>
          <w:color w:val="000000" w:themeColor="text1"/>
        </w:rPr>
      </w:pPr>
      <w:r w:rsidRPr="001114C2">
        <w:t xml:space="preserve">Both </w:t>
      </w:r>
      <w:r w:rsidR="00962C9E">
        <w:t xml:space="preserve">the </w:t>
      </w:r>
      <w:r w:rsidR="00B144CF" w:rsidRPr="001114C2">
        <w:t xml:space="preserve">univariate </w:t>
      </w:r>
      <w:r w:rsidRPr="001114C2">
        <w:t>and multiple regression</w:t>
      </w:r>
      <w:r w:rsidR="00B144CF" w:rsidRPr="001114C2">
        <w:t xml:space="preserve"> </w:t>
      </w:r>
      <w:r w:rsidRPr="001114C2">
        <w:t>analysis</w:t>
      </w:r>
      <w:r w:rsidR="00962C9E">
        <w:t xml:space="preserve"> in the present study</w:t>
      </w:r>
      <w:r w:rsidRPr="001114C2">
        <w:t xml:space="preserve"> </w:t>
      </w:r>
      <w:r w:rsidR="007511FB" w:rsidRPr="001114C2">
        <w:t>found positive association</w:t>
      </w:r>
      <w:r w:rsidRPr="001114C2">
        <w:t>s</w:t>
      </w:r>
      <w:r w:rsidR="007511FB" w:rsidRPr="001114C2">
        <w:t xml:space="preserve"> between</w:t>
      </w:r>
      <w:r w:rsidRPr="001114C2">
        <w:t xml:space="preserve"> </w:t>
      </w:r>
      <w:r w:rsidR="002D6FA0">
        <w:t xml:space="preserve">being </w:t>
      </w:r>
      <w:r w:rsidR="00A16662">
        <w:t xml:space="preserve">female </w:t>
      </w:r>
      <w:r w:rsidR="007511FB" w:rsidRPr="001114C2">
        <w:t xml:space="preserve">and </w:t>
      </w:r>
      <w:r w:rsidR="004C1D96">
        <w:t>ulcer</w:t>
      </w:r>
      <w:r w:rsidRPr="001114C2">
        <w:t xml:space="preserve"> </w:t>
      </w:r>
      <w:r w:rsidR="007511FB" w:rsidRPr="001114C2">
        <w:t xml:space="preserve">healing </w:t>
      </w:r>
      <w:r w:rsidRPr="001114C2">
        <w:t xml:space="preserve">within </w:t>
      </w:r>
      <w:r w:rsidR="00A16662">
        <w:t>3</w:t>
      </w:r>
      <w:r w:rsidR="00A16662" w:rsidRPr="001114C2">
        <w:t xml:space="preserve"> </w:t>
      </w:r>
      <w:r w:rsidRPr="001114C2">
        <w:t xml:space="preserve">months </w:t>
      </w:r>
      <w:r w:rsidR="007511FB" w:rsidRPr="001114C2">
        <w:t>(PR: 1.25, 95% CI: 0.98-1.59, P=.072</w:t>
      </w:r>
      <w:r w:rsidR="002D6FA0">
        <w:t>,</w:t>
      </w:r>
      <w:r w:rsidRPr="001114C2">
        <w:t xml:space="preserve"> respectively </w:t>
      </w:r>
      <w:r w:rsidRPr="001114C2">
        <w:rPr>
          <w:lang w:val="en-US"/>
        </w:rPr>
        <w:t>PR: 1.18, 95% CI: 0.91-1.45, P=.157)</w:t>
      </w:r>
      <w:r w:rsidR="007511FB" w:rsidRPr="001114C2">
        <w:t>. Th</w:t>
      </w:r>
      <w:r w:rsidR="000738D9">
        <w:t>ese</w:t>
      </w:r>
      <w:r w:rsidR="007511FB" w:rsidRPr="001114C2">
        <w:t xml:space="preserve"> finding</w:t>
      </w:r>
      <w:r w:rsidR="00C01466" w:rsidRPr="001114C2">
        <w:t>s</w:t>
      </w:r>
      <w:r w:rsidR="007511FB" w:rsidRPr="001114C2">
        <w:t xml:space="preserve"> </w:t>
      </w:r>
      <w:r w:rsidRPr="001114C2">
        <w:t>align</w:t>
      </w:r>
      <w:r w:rsidR="007511FB" w:rsidRPr="001114C2">
        <w:t xml:space="preserve"> with the results of</w:t>
      </w:r>
      <w:r w:rsidR="00A16662">
        <w:t xml:space="preserve"> </w:t>
      </w:r>
      <w:r w:rsidR="000738D9">
        <w:t>a</w:t>
      </w:r>
      <w:r w:rsidR="000738D9" w:rsidRPr="001114C2">
        <w:t xml:space="preserve"> </w:t>
      </w:r>
      <w:r w:rsidR="003E7B28">
        <w:t xml:space="preserve">previous </w:t>
      </w:r>
      <w:r w:rsidR="000738D9" w:rsidRPr="001114C2">
        <w:t>study</w:t>
      </w:r>
      <w:r w:rsidRPr="001114C2">
        <w:t xml:space="preserve"> </w:t>
      </w:r>
      <w:r w:rsidRPr="001114C2">
        <w:fldChar w:fldCharType="begin" w:fldLock="1"/>
      </w:r>
      <w:r w:rsidR="002E2FD7">
        <w:instrText>ADDIN CSL_CITATION {"citationItems":[{"id":"ITEM-1","itemData":{"ISSN":"0889-5899","PMID":"16567857","abstract":"Diabetic foot ulcer management presents a significant challenge for wound care clinicians; numerous approaches to encourage healing in these difficult wounds have been explored. To determine risk factors related to diabetic foot ulcer time to healing and closure, a secondary analysis of data from a prospective randomized study involving 245 patients treated with a bioengineered human dermal substitute (n = 130) or control treatment (n = 115) was conducted. Analyzed variables included age, race, gender, ulcer duration, initial ulcer size, initial hemoglobin (HgbA1c), average HgbA1c, change in HgbA1c, diabetes type, average hours of weight-bearing, study ulcer infection, history of smoking or alcohol use, and laboratory values. Time to healing was significantly affected by initial ulcer size (risk ratio 0.75, confidence interval 0.59-0.96), gender (risk ratio 2.01, confidence interval 1.20-3.40), and wound infection during the study (risk ratio 2.9, confidence interval 1.45-4.22). Initial ulcer size (&gt;2 cm2), male gender, and an episode of infection during the study were associated with an increased risk of nonclosure after 12 weeks of care (P &lt;0.05). In patients whose HgbA1C increased during the study (n = 101), 20.7% of all wounds and 21% of dermal substitute-managed wounds (n = 105) healed; whereas, in patients whose HgbA1C levels remained stable or decreased, 26.3% of all wounds and 47% of dermal substitute-managed wounds healed (P &lt;0.05). Female gender, small ulcer size, and the absence of infection were found to have a positive effect on healing all diabetic foot ulcers; improved glucose control had a significant effect on healing wounds managed with the dermal substitute only. This is the first diabetic foot ulcer study to find a relationship between hyperglycemia and wound healing. Further research into factors that improve healing of wounds, including diabetic foot ulcers, is warranted.","author":[{"dropping-particle":"","family":"Marston","given":"William A","non-dropping-particle":"","parse-names":false,"suffix":""},{"dropping-particle":"","family":"Dermagraft Diabetic Foot Ulcer Study Group","given":"","non-dropping-particle":"","parse-names":false,"suffix":""}],"container-title":"Ostomy/wound management","id":"ITEM-1","issue":"3","issued":{"date-parts":[["2006","3"]]},"page":"26-8, 30, 32 passim","title":"Risk factors associated with healing chronic diabetic foot ulcers: the importance of hyperglycemia.","type":"article-journal","volume":"52"},"uris":["http://www.mendeley.com/documents/?uuid=5368b122-4910-3752-b29f-e29275e87b4e"]}],"mendeley":{"formattedCitation":"&lt;sup&gt;32&lt;/sup&gt;","plainTextFormattedCitation":"32","previouslyFormattedCitation":"&lt;sup&gt;32&lt;/sup&gt;"},"properties":{"noteIndex":0},"schema":"https://github.com/citation-style-language/schema/raw/master/csl-citation.json"}</w:instrText>
      </w:r>
      <w:r w:rsidRPr="001114C2">
        <w:fldChar w:fldCharType="separate"/>
      </w:r>
      <w:r w:rsidR="002E2FD7" w:rsidRPr="002E2FD7">
        <w:rPr>
          <w:noProof/>
          <w:vertAlign w:val="superscript"/>
        </w:rPr>
        <w:t>32</w:t>
      </w:r>
      <w:r w:rsidRPr="001114C2">
        <w:fldChar w:fldCharType="end"/>
      </w:r>
      <w:r w:rsidRPr="001114C2">
        <w:t xml:space="preserve"> </w:t>
      </w:r>
      <w:r w:rsidR="006343F8" w:rsidRPr="001114C2">
        <w:t>that</w:t>
      </w:r>
      <w:r w:rsidR="004C1D96">
        <w:t xml:space="preserve"> diabetic foot ulcer</w:t>
      </w:r>
      <w:r w:rsidR="00A16662">
        <w:t>s in</w:t>
      </w:r>
      <w:r w:rsidR="006343F8" w:rsidRPr="001114C2">
        <w:t xml:space="preserve"> women were twice as likely to heal </w:t>
      </w:r>
      <w:r w:rsidR="00AD1231">
        <w:t>compared to</w:t>
      </w:r>
      <w:r w:rsidR="00AD1231" w:rsidRPr="001114C2">
        <w:t xml:space="preserve"> </w:t>
      </w:r>
      <w:r w:rsidR="00A16662">
        <w:t xml:space="preserve">those in </w:t>
      </w:r>
      <w:r w:rsidR="00E27DDC">
        <w:t>men (P</w:t>
      </w:r>
      <w:r w:rsidR="006343F8" w:rsidRPr="001114C2">
        <w:t xml:space="preserve">= 0.009). </w:t>
      </w:r>
      <w:r w:rsidRPr="001114C2">
        <w:t>In addition to this</w:t>
      </w:r>
      <w:r w:rsidR="00A16662">
        <w:t>,</w:t>
      </w:r>
      <w:r w:rsidRPr="001114C2">
        <w:t xml:space="preserve"> other</w:t>
      </w:r>
      <w:r w:rsidR="006343F8" w:rsidRPr="001114C2">
        <w:t xml:space="preserve"> </w:t>
      </w:r>
      <w:r w:rsidR="00F55B6D" w:rsidRPr="001114C2">
        <w:t>studies</w:t>
      </w:r>
      <w:r w:rsidR="006343F8" w:rsidRPr="001114C2">
        <w:t xml:space="preserve"> </w:t>
      </w:r>
      <w:r w:rsidRPr="001114C2">
        <w:t xml:space="preserve">have </w:t>
      </w:r>
      <w:r w:rsidR="006343F8" w:rsidRPr="001114C2">
        <w:t xml:space="preserve">found that </w:t>
      </w:r>
      <w:r w:rsidR="00A16662">
        <w:t xml:space="preserve">being </w:t>
      </w:r>
      <w:r w:rsidR="009221FA" w:rsidRPr="001114C2">
        <w:t xml:space="preserve">male </w:t>
      </w:r>
      <w:r w:rsidRPr="001114C2">
        <w:t>was a</w:t>
      </w:r>
      <w:r w:rsidR="00F55B6D" w:rsidRPr="001114C2">
        <w:t xml:space="preserve"> predictor</w:t>
      </w:r>
      <w:r w:rsidR="004C1D96">
        <w:t xml:space="preserve"> for non-healing ulcer</w:t>
      </w:r>
      <w:r w:rsidR="007511FB" w:rsidRPr="001114C2">
        <w:t>s (OR: 1.50, 95% CI: 1.07-1.97, P=.017)</w:t>
      </w:r>
      <w:r w:rsidR="009221FA" w:rsidRPr="001114C2">
        <w:t xml:space="preserve"> </w:t>
      </w:r>
      <w:r w:rsidR="00F55B6D" w:rsidRPr="001114C2">
        <w:fldChar w:fldCharType="begin" w:fldLock="1"/>
      </w:r>
      <w:r w:rsidR="002E2FD7">
        <w:instrText>ADDIN CSL_CITATION {"citationItems":[{"id":"ITEM-1","itemData":{"DOI":"10.1007/s00125-008-0940-0","ISSN":"0012-186X","PMID":"18297261","abstract":"AIMS/HYPOTHESIS Outcome data on individuals with diabetic foot ulcers are scarce, especially in those with peripheral arterial disease (PAD). We therefore examined the clinical characteristics that best predict poor outcome in a large population of diabetic foot ulcer patients and examined whether such predictors differ between patients with and without PAD. METHODS Analyses were conducted within the EURODIALE Study, a prospective cohort study of 1,088 diabetic foot ulcer patients across 14 centres in Europe. Multiple logistic regression modelling was used to identify independent predictors of outcome (i.e. non-healing of the foot ulcer). RESULTS After 1 year of follow-up, 23% of the patients had not healed. Independent baseline predictors of non-healing in the whole study population were older age, male sex, heart failure, the inability to stand or walk without help, end-stage renal disease, larger ulcer size, peripheral neuropathy and PAD. When analyses were performed according to PAD status, infection emerged as a specific predictor of non-healing in PAD patients only. CONCLUSIONS/INTERPRETATION Predictors of healing differ between patients with and without PAD, suggesting that diabetic foot ulcers with or without concomitant PAD should be defined as two separate disease states. The observed negative impact of infection on healing that was confined to patients with PAD needs further investigation.","author":[{"dropping-particle":"","family":"Prompers","given":"L","non-dropping-particle":"","parse-names":false,"suffix":""},{"dropping-particle":"","family":"Schaper","given":"N","non-dropping-particle":"","parse-names":false,"suffix":""},{"dropping-particle":"","family":"Apelqvist","given":"J","non-dropping-particle":"","parse-names":false,"suffix":""},{"dropping-particle":"","family":"Edmonds","given":"M","non-dropping-particle":"","parse-names":false,"suffix":""},{"dropping-particle":"","family":"Jude","given":"E","non-dropping-particle":"","parse-names":false,"suffix":""},{"dropping-particle":"","family":"Mauricio","given":"D","non-dropping-particle":"","parse-names":false,"suffix":""},{"dropping-particle":"","family":"Uccioli","given":"L","non-dropping-particle":"","parse-names":false,"suffix":""},{"dropping-particle":"","family":"Urbancic","given":"V","non-dropping-particle":"","parse-names":false,"suffix":""},{"dropping-particle":"","family":"Bakker","given":"K","non-dropping-particle":"","parse-names":false,"suffix":""},{"dropping-particle":"","family":"Holstein","given":"P","non-dropping-particle":"","parse-names":false,"suffix":""},{"dropping-particle":"","family":"Jirkovska","given":"A","non-dropping-particle":"","parse-names":false,"suffix":""},{"dropping-particle":"","family":"Piaggesi","given":"A","non-dropping-particle":"","parse-names":false,"suffix":""},{"dropping-particle":"","family":"Ragnarson-Tennvall","given":"G","non-dropping-particle":"","parse-names":false,"suffix":""},{"dropping-particle":"","family":"Reike","given":"H","non-dropping-particle":"","parse-names":false,"suffix":""},{"dropping-particle":"","family":"Spraul","given":"M","non-dropping-particle":"","parse-names":false,"suffix":""},{"dropping-particle":"","family":"Acker","given":"K","non-dropping-particle":"Van","parse-names":false,"suffix":""},{"dropping-particle":"","family":"Baal","given":"J","non-dropping-particle":"Van","parse-names":false,"suffix":""},{"dropping-particle":"","family":"Merode","given":"F","non-dropping-particle":"Van","parse-names":false,"suffix":""},{"dropping-particle":"","family":"Ferreira","given":"I","non-dropping-particle":"","parse-names":false,"suffix":""},{"dropping-particle":"","family":"Huijberts","given":"M","non-dropping-particle":"","parse-names":false,"suffix":""}],"container-title":"Diabetologia","id":"ITEM-1","issue":"5","issued":{"date-parts":[["2008","5"]]},"page":"747-55","publisher":"Springer","title":"Prediction of outcome in individuals with diabetic foot ulcers: focus on the differences between individuals with and without peripheral arterial disease. The EURODIALE Study.","type":"article-journal","volume":"51"},"uris":["http://www.mendeley.com/documents/?uuid=ff51226d-f9e3-30ed-b649-c128a112777c"]}],"mendeley":{"formattedCitation":"&lt;sup&gt;8&lt;/sup&gt;","plainTextFormattedCitation":"8","previouslyFormattedCitation":"&lt;sup&gt;8&lt;/sup&gt;"},"properties":{"noteIndex":0},"schema":"https://github.com/citation-style-language/schema/raw/master/csl-citation.json"}</w:instrText>
      </w:r>
      <w:r w:rsidR="00F55B6D" w:rsidRPr="001114C2">
        <w:fldChar w:fldCharType="separate"/>
      </w:r>
      <w:r w:rsidR="002E2FD7" w:rsidRPr="002E2FD7">
        <w:rPr>
          <w:noProof/>
          <w:vertAlign w:val="superscript"/>
        </w:rPr>
        <w:t>8</w:t>
      </w:r>
      <w:r w:rsidR="00F55B6D" w:rsidRPr="001114C2">
        <w:fldChar w:fldCharType="end"/>
      </w:r>
      <w:r w:rsidR="002D6FA0">
        <w:t>,</w:t>
      </w:r>
      <w:r w:rsidR="00F55B6D" w:rsidRPr="001114C2">
        <w:t xml:space="preserve"> </w:t>
      </w:r>
      <w:r w:rsidR="00A16662" w:rsidRPr="001114C2">
        <w:t>w</w:t>
      </w:r>
      <w:r w:rsidR="00A16662">
        <w:t xml:space="preserve">ith males having </w:t>
      </w:r>
      <w:r w:rsidR="00355960" w:rsidRPr="001114C2">
        <w:t>negatively affect</w:t>
      </w:r>
      <w:r w:rsidRPr="001114C2">
        <w:t>ed</w:t>
      </w:r>
      <w:r w:rsidR="00355960" w:rsidRPr="001114C2">
        <w:t xml:space="preserve"> time to </w:t>
      </w:r>
      <w:r w:rsidR="009221FA" w:rsidRPr="001114C2">
        <w:t>healing</w:t>
      </w:r>
      <w:r w:rsidR="00355960" w:rsidRPr="001114C2">
        <w:t xml:space="preserve"> (HR: 0.83, 95% CI: 0.72-0.96, P=.001)</w:t>
      </w:r>
      <w:r w:rsidR="00355960" w:rsidRPr="001114C2">
        <w:fldChar w:fldCharType="begin" w:fldLock="1"/>
      </w:r>
      <w:r w:rsidR="002E2FD7">
        <w:instrText>ADDIN CSL_CITATION {"citationItems":[{"id":"ITEM-1","itemData":{"DOI":"10.1002/dmrr.2400","ISSN":"15207552","PMID":"23390115","abstract":"BACKGROUND Healing of heel ulcers in patients with diabetes is considered to be poor, but there is relatively little information on the influence of ulcer location on ulcer healing. METHODS The influence of ulcer location on time to healing of diabetic foot ulcers was analysed by multivariate Cox regression analysis for 1000 patients included in the Eurodiale study, a prospective cohort study of patients with diabetic foot disease. RESULTS Median time to healing was 147 days for toe ulcers [(95% confidence interval (CI) 135-159 days)], 188 days for midfoot ulcers (95% CI 158-218 days) and 237 days for heel ulcers (95% CI 205-269 days) (p &lt; 0.01). The median time to healing for plantar ulcers was 172 days (95% CI 157-187 days) and 155 days (95% CI 138-172 days) for nonplantar ulcers (p = 0.71). In multivariate Cox regression analysis, the hazard ratio for ulcer healing for midfoot and heel ulcers compared with toe ulcers was 0.77 (95% CI 0.64-0.92) and 0.62 (95% CI 0.47-0.83), respectively; the hazard ratio for ulcer healing for plantar versus nonplantar ulcers was 1 (95% CI 0.84-1.19). Other factors significantly influencing time to healing were the duration of diabetes, ulcer duration, the presence of heart failure and the presence of peripheral arterial disease. CONCLUSIONS Time to ulcer healing increased progressively from toe to midfoot to heel, but did not differ between plantar and nonplantar ulcers. Our data also indicate that risk factors for longer time to healing differ from factors that affect the ultimate number of ulcers that heal (healing rate).","author":[{"dropping-particle":"","family":"Pickwell","given":"Kristy M.","non-dropping-particle":"","parse-names":false,"suffix":""},{"dropping-particle":"","family":"Siersma","given":"Volkert D.","non-dropping-particle":"","parse-names":false,"suffix":""},{"dropping-particle":"","family":"Kars","given":"Marleen","non-dropping-particle":"","parse-names":false,"suffix":""},{"dropping-particle":"","family":"Holstein","given":"Per E.","non-dropping-particle":"","parse-names":false,"suffix":""},{"dropping-particle":"","family":"Schaper","given":"Nicolaas C.","non-dropping-particle":"","parse-names":false,"suffix":""},{"dropping-particle":"","family":"Eurodiale consortium","given":"","non-dropping-particle":"","parse-names":false,"suffix":""}],"container-title":"Diabetes/Metabolism Research and Reviews","id":"ITEM-1","issue":"5","issued":{"date-parts":[["2013","7"]]},"page":"377-383","title":"Diabetic foot disease: impact of ulcer location on ulcer healing","type":"article-journal","volume":"29"},"uris":["http://www.mendeley.com/documents/?uuid=9edd05a9-1ddf-3a66-aaae-8ef5d735acb5"]}],"mendeley":{"formattedCitation":"&lt;sup&gt;6&lt;/sup&gt;","plainTextFormattedCitation":"6","previouslyFormattedCitation":"&lt;sup&gt;6&lt;/sup&gt;"},"properties":{"noteIndex":0},"schema":"https://github.com/citation-style-language/schema/raw/master/csl-citation.json"}</w:instrText>
      </w:r>
      <w:r w:rsidR="00355960" w:rsidRPr="001114C2">
        <w:fldChar w:fldCharType="separate"/>
      </w:r>
      <w:r w:rsidR="002E2FD7" w:rsidRPr="002E2FD7">
        <w:rPr>
          <w:noProof/>
          <w:vertAlign w:val="superscript"/>
        </w:rPr>
        <w:t>6</w:t>
      </w:r>
      <w:r w:rsidR="00355960" w:rsidRPr="001114C2">
        <w:fldChar w:fldCharType="end"/>
      </w:r>
      <w:r w:rsidR="009221FA" w:rsidRPr="001114C2">
        <w:t xml:space="preserve">. </w:t>
      </w:r>
      <w:r w:rsidR="00A16662">
        <w:t>H</w:t>
      </w:r>
      <w:r w:rsidRPr="001114C2">
        <w:t>owever</w:t>
      </w:r>
      <w:r w:rsidR="00A16662">
        <w:t xml:space="preserve">, </w:t>
      </w:r>
      <w:r w:rsidR="00AD1231">
        <w:t xml:space="preserve">some </w:t>
      </w:r>
      <w:r w:rsidR="00A16662">
        <w:t>studies report to</w:t>
      </w:r>
      <w:r w:rsidRPr="001114C2">
        <w:t xml:space="preserve"> not </w:t>
      </w:r>
      <w:r w:rsidR="00A16662">
        <w:t xml:space="preserve">have </w:t>
      </w:r>
      <w:r w:rsidRPr="001114C2">
        <w:t xml:space="preserve">found any association between male </w:t>
      </w:r>
      <w:r w:rsidR="00A16662">
        <w:t xml:space="preserve">patients </w:t>
      </w:r>
      <w:r w:rsidRPr="001114C2">
        <w:t xml:space="preserve"> and </w:t>
      </w:r>
      <w:r w:rsidR="002D6FA0">
        <w:t>effects on</w:t>
      </w:r>
      <w:r w:rsidR="002D6FA0" w:rsidRPr="001114C2">
        <w:t xml:space="preserve"> </w:t>
      </w:r>
      <w:r w:rsidR="004C1D96">
        <w:t>ulcer</w:t>
      </w:r>
      <w:r w:rsidRPr="001114C2">
        <w:t xml:space="preserve"> </w:t>
      </w:r>
      <w:r w:rsidRPr="006904C2">
        <w:t>healing</w:t>
      </w:r>
      <w:r w:rsidR="00757FB7" w:rsidRPr="006904C2">
        <w:t xml:space="preserve"> </w:t>
      </w:r>
      <w:r w:rsidR="00C01466" w:rsidRPr="006904C2">
        <w:fldChar w:fldCharType="begin" w:fldLock="1"/>
      </w:r>
      <w:r w:rsidR="002E2FD7">
        <w:instrText>ADDIN CSL_CITATION {"citationItems":[{"id":"ITEM-1","itemData":{"DOI":"10.12968/jowc.2019.28.Sup1.S4","ISSN":"0969-0700","author":[{"dropping-particle":"","family":"Kee","given":"Khaw Kher","non-dropping-particle":"","parse-names":false,"suffix":""},{"dropping-particle":"","family":"Nair","given":"Harikrishna K. R.","non-dropping-particle":"","parse-names":false,"suffix":""},{"dropping-particle":"","family":"Yuen","given":"Ng Pei","non-dropping-particle":"","parse-names":false,"suffix":""}],"container-title":"Journal of Wound Care","id":"ITEM-1","issue":"Sup1","issued":{"date-parts":[["2019","1"]]},"page":"S4-S13","title":"Risk factor analysis on the healing time and infection rate of diabetic foot ulcers in a referral wound care clinic","type":"article-journal","volume":"28"},"uris":["http://www.mendeley.com/documents/?uuid=7d5c8526-b080-38c1-99a2-3a7934f26e05"]},{"id":"ITEM-2","itemData":{"DOI":"10.3402/dfa.v3i0.18980","abstract":"Background: The management of chronic diabetic foot ulcers (DFU) poses a great challenge to the treating\r\nphysician and surgeon. The aim of this study was to identify the risk factors, clinical presentation, and\r\noutcomes associated with chronic DFU6 months’ duration.\r\nMethods: This prospective study was performed in Jabir Abu Eliz Diabetic Centre (JADC), Khartoum,\r\nSudan. A total of 108 patients who had DFU for6 months were included. Recorded data included patient’s\r\ndemographics, DFU presentation, associated comorbidities, and outcomes. DFU description included size,\r\ndepth, protective sensation, perfusion, and presence of infection. Comorbidities assessed included eye\r\nimpairment, renal and heart disease. All patients received necessary local wound care with sharp debridement\r\nof any concomitant necrotic and infected tissues and off-loading with appropriate shoe gear and therapeutic\r\ndevices.\r\nResults: The mean age of the studied patients was 56SD 9 years with a male to female ratio of 3:3.3. The\r\nmean duration of DFU was 189SD 17 months (ranging from 6 to 84 months). Ulcer healing was\r\nsignificantly associated with off-loading, mainly the use of total contact cast (TCC) (p0.013). Non-healing\r\nulcerations were significantly associated with longer duration of the chronic DFU12 months (p0.002),\r\nsmoking (p0.000), poor glycemic control as evidenced by an elevated HbA1c (7%), large size (mean SD\r\n84 cm), increased depth (pB0.001), presence of skin callus (pB0.000), impaired limb perfusion (p0.001),\r\nimpaired protective sensation as measured by 10 g monofilament (p0.002), neuroischemia (p0.002), and\r\nCharcot neuroarthropathy (p0.017).\r\nDiscussion: Risk factors associated with chronic DFU of6 months’ duration included the presentation of an\r\nulcer with increased size and depth, with associated skin callus and neuroischemia, in a diabetic patient with a\r\nhistory of smoking and increased HbA1c7%. Off-loading mainly with the use of TCC is an effective\r\nmethod of managing long-standing DFU.","author":[{"dropping-particle":"","family":"Gubara Musa","given":"Hassan","non-dropping-particle":"","parse-names":false,"suffix":""},{"dropping-particle":"","family":"Ahmed","given":"Mohamed E","non-dropping-particle":"","parse-names":false,"suffix":""},{"dropping-particle":"","family":"Musa","given":"Gubara","non-dropping-particle":"","parse-names":false,"suffix":""},{"dropping-particle":"","family":"Ahmed","given":"Mohamed Elmakki","non-dropping-particle":"","parse-names":false,"suffix":""}],"container-title":"Diabetic Foot &amp; Ankle","id":"ITEM-2","issue":"1","issued":{"date-parts":[["2012"]]},"title":"Associated risk factors and management of chronic diabetic foot ulcers exceeding 6 months' duration Associated risk factors and management of chronic diabetic foot ulcers exceeding 6 months' duration","type":"article-journal","volume":"3"},"uris":["http://www.mendeley.com/documents/?uuid=07922230-dbbc-3d33-bb48-ea97e430be83"]}],"mendeley":{"formattedCitation":"&lt;sup&gt;35,36&lt;/sup&gt;","plainTextFormattedCitation":"35,36","previouslyFormattedCitation":"&lt;sup&gt;35,36&lt;/sup&gt;"},"properties":{"noteIndex":0},"schema":"https://github.com/citation-style-language/schema/raw/master/csl-citation.json"}</w:instrText>
      </w:r>
      <w:r w:rsidR="00C01466" w:rsidRPr="006904C2">
        <w:fldChar w:fldCharType="separate"/>
      </w:r>
      <w:r w:rsidR="002E2FD7" w:rsidRPr="002E2FD7">
        <w:rPr>
          <w:noProof/>
          <w:vertAlign w:val="superscript"/>
        </w:rPr>
        <w:t>35,36</w:t>
      </w:r>
      <w:r w:rsidR="00C01466" w:rsidRPr="006904C2">
        <w:fldChar w:fldCharType="end"/>
      </w:r>
      <w:r w:rsidR="00BB45EB" w:rsidRPr="006904C2">
        <w:t>.</w:t>
      </w:r>
      <w:r w:rsidR="00280B63" w:rsidRPr="006904C2">
        <w:t xml:space="preserve"> </w:t>
      </w:r>
      <w:r w:rsidR="00AD1231">
        <w:t>However, there have been reports suggesting that</w:t>
      </w:r>
      <w:r w:rsidR="00A16662" w:rsidRPr="006904C2">
        <w:t xml:space="preserve"> </w:t>
      </w:r>
      <w:r w:rsidR="00757FB7" w:rsidRPr="006904C2">
        <w:rPr>
          <w:color w:val="000000" w:themeColor="text1"/>
        </w:rPr>
        <w:t>male</w:t>
      </w:r>
      <w:r w:rsidR="002D6FA0" w:rsidRPr="006904C2">
        <w:rPr>
          <w:color w:val="000000" w:themeColor="text1"/>
        </w:rPr>
        <w:t>s</w:t>
      </w:r>
      <w:r w:rsidR="00757FB7" w:rsidRPr="006904C2">
        <w:rPr>
          <w:color w:val="000000" w:themeColor="text1"/>
        </w:rPr>
        <w:t xml:space="preserve"> </w:t>
      </w:r>
      <w:r w:rsidR="002D6FA0" w:rsidRPr="006904C2">
        <w:rPr>
          <w:color w:val="000000" w:themeColor="text1"/>
        </w:rPr>
        <w:t xml:space="preserve">are </w:t>
      </w:r>
      <w:r w:rsidR="009221FA" w:rsidRPr="006904C2">
        <w:rPr>
          <w:color w:val="000000" w:themeColor="text1"/>
        </w:rPr>
        <w:t xml:space="preserve"> </w:t>
      </w:r>
      <w:r w:rsidR="00D00761" w:rsidRPr="006904C2">
        <w:rPr>
          <w:color w:val="000000" w:themeColor="text1"/>
        </w:rPr>
        <w:t>a</w:t>
      </w:r>
      <w:r w:rsidR="002D6FA0" w:rsidRPr="006904C2">
        <w:rPr>
          <w:color w:val="000000" w:themeColor="text1"/>
        </w:rPr>
        <w:t>t</w:t>
      </w:r>
      <w:r w:rsidR="00D00761" w:rsidRPr="006904C2">
        <w:rPr>
          <w:color w:val="000000" w:themeColor="text1"/>
        </w:rPr>
        <w:t xml:space="preserve"> </w:t>
      </w:r>
      <w:r w:rsidR="00280B63" w:rsidRPr="006904C2">
        <w:rPr>
          <w:color w:val="000000" w:themeColor="text1"/>
        </w:rPr>
        <w:t>high</w:t>
      </w:r>
      <w:r w:rsidR="00D00761" w:rsidRPr="006904C2">
        <w:rPr>
          <w:color w:val="000000" w:themeColor="text1"/>
        </w:rPr>
        <w:t>er</w:t>
      </w:r>
      <w:r w:rsidR="00280B63" w:rsidRPr="006904C2">
        <w:rPr>
          <w:color w:val="000000" w:themeColor="text1"/>
        </w:rPr>
        <w:t xml:space="preserve"> risk of </w:t>
      </w:r>
      <w:r w:rsidR="002D6FA0" w:rsidRPr="006904C2">
        <w:rPr>
          <w:color w:val="000000" w:themeColor="text1"/>
        </w:rPr>
        <w:t xml:space="preserve">having to undergo </w:t>
      </w:r>
      <w:r w:rsidR="00E27DDC" w:rsidRPr="006904C2">
        <w:rPr>
          <w:color w:val="000000" w:themeColor="text1"/>
        </w:rPr>
        <w:t>diabetic lower limb amputation</w:t>
      </w:r>
      <w:r w:rsidR="00280B63" w:rsidRPr="006904C2">
        <w:rPr>
          <w:color w:val="000000" w:themeColor="text1"/>
        </w:rPr>
        <w:t xml:space="preserve"> </w:t>
      </w:r>
      <w:r w:rsidR="00280B63" w:rsidRPr="006904C2">
        <w:rPr>
          <w:color w:val="000000" w:themeColor="text1"/>
        </w:rPr>
        <w:fldChar w:fldCharType="begin" w:fldLock="1"/>
      </w:r>
      <w:r w:rsidR="002E2FD7">
        <w:rPr>
          <w:color w:val="000000" w:themeColor="text1"/>
        </w:rPr>
        <w:instrText>ADDIN CSL_CITATION {"citationItems":[{"id":"ITEM-1","itemData":{"DOI":"10.1177/2010105816663521","ISSN":"20592329","abstract":"Background: Lower extremity amputation (LEA) is defined as the complete loss in the transverse anatomical plane of any part of the lower limb. The objective of this study is to look at the trend and mortality trend of LEA performed in diabetes patients from 2008 to 2013. Methods: All patients age 15 and above with diabetes mellitus who had undergone LEAs (both major and minor) in Tan Tock Seng Hospital, Singapore from 1 January 2008 to 31 December 2013 were included. The outcomes of interest were deaths from all causes within 30 days and within 1 year. Results: Major LEA rate has increased from 11.0 per 100,000 population in 2008 to 13.3 per 100,000 population in 2013. The 30-day mortality rate ranges from 6.0% to 11.1% and the 1-year mortality rate ranges from 24.3% to 30.6%. Minor LEA rate has increased from 10.8 per 100,000 population in 2008 to 13.9 per 100,000 population in 2013. The 30-day mortality rate ranges from 1.5% to 3.7% and the 1-year mortality rate ranges from 9.7% to 18.3%. Conclusions: The trends in major and minor LEA are increasing. The 30-day and 1-year mortality for both major and minor LEA are comparable to figures reported worldwide. There is a need to re-look at preventive strategies to reduce LEA in diabetes patients in Singapore.","author":[{"dropping-particle":"","family":"Ang","given":"Yee","non-dropping-particle":"","parse-names":false,"suffix":""},{"dropping-particle":"","family":"Yap","given":"Chun Wei","non-dropping-particle":"","parse-names":false,"suffix":""},{"dropping-particle":"","family":"Saxena","given":"Nakul","non-dropping-particle":"","parse-names":false,"suffix":""},{"dropping-particle":"","family":"Lin","given":"Lee Kai","non-dropping-particle":"","parse-names":false,"suffix":""},{"dropping-particle":"","family":"Heng","given":"Bee Hoon","non-dropping-particle":"","parse-names":false,"suffix":""}],"container-title":"Proceedings of Singapore Healthcare","id":"ITEM-1","issue":"2","issued":{"date-parts":[["2017"]]},"page":"76-80","publisher":"SAGE Publications Inc.","title":"Diabetes-related lower extremity amputations in Singapore","type":"article-journal","volume":"26"},"uris":["http://www.mendeley.com/documents/?uuid=2166cb3c-29db-384f-b756-1a9e6702d233"]},{"id":"ITEM-2","itemData":{"DOI":"10.1186/s13098-016-0126-8","ISSN":"1758-5996","PMID":"26989446","abstract":"BACKGROUND Studies on diabetic foot and its complications involving a significant and representative sample of patients in South American countries are scarce. The main objective of this study was to acquire clinical and epidemiological data on a large cohort of diabetic patients from 19 centers from Brazil and focus on factors that could be associated with the risk of ulcer and amputation. METHODS This study presents cross sectional, baseline results of the BRAZUPA Study. A total of 1455 patients were included. Parameters recorded included age, gender, ethnicity, diabetes and comorbidity-related records, previous ulcer or amputation, clinical symptomatic score, foot classification and microvascular complications. RESULTS Patients with ulcer had longer disease duration (17.2 ± 9.9 vs. 13.2 ± 9.4 years; p &lt; 0.001), and poorer glycemic control (HbA1c 9.23 ± 2.03 vs. 8.35 ± 1.99; p &lt; 0.001). Independent risk factors for ulcer were male gender (OR 1.71; 95 % CI 1.2-3.7), smoking (OR 1.78; 95 % CI 1.09-2.89), neuroischemic foot (OR 20.34; 95 % CI 9.31-44.38), region of origin (higher risk for those from developed regions, OR 2.39; 95 % CI 1.47-3.87), presence of retinopathy (OR 1.68; 95 % CI 1.08-2.62) and absence of vibratory sensation (OR 7.95; 95 % CI 4.65-13.59). Risk factors for amputation were male gender (OR 2.12; 95 % CI 1.2-3.73), type 2 diabetes (OR 3.33; 95 % CI 1.01-11.1), foot at risk classification (higher risk for ischemic foot, OR 19.63; 95 % CI 3.43-112.5), hypertension (lower risk, OR 0.3; 95 % CI 0.14-0.63), region of origin (South/Southeast, OR 2.2; 95 % CI 1.1-4.42), previous history of ulcer (OR 9.66; 95 % CI 4.67-19.98) and altered vibratory sensation (OR 3.46; 95 % CI 1.64-7.33). There was no association between either outcome and ethnicity. CONCLUSIONS Ulcer and amputation rates were high. Age at presentation was low and patients with ulcer presented a higher prevalence of neuropathy compared to ischemic foot at risk. Ischemic disease was more associated with amputations. Ethnical differences were not of great importance in a miscegenated population.","author":[{"dropping-particle":"","family":"Parisi","given":"Maria Candida R","non-dropping-particle":"","parse-names":false,"suffix":""},{"dropping-particle":"","family":"Moura Neto","given":"Arnaldo","non-dropping-particle":"","parse-names":false,"suffix":""},{"dropping-particle":"","family":"Menezes","given":"Fabio H","non-dropping-particle":"","parse-names":false,"suffix":""},{"dropping-particle":"","family":"Gomes","given":"Marilia Brito","non-dropping-particle":"","parse-names":false,"suffix":""},{"dropping-particle":"","family":"Teixeira","given":"Rodrigo Martins","non-dropping-particle":"","parse-names":false,"suffix":""},{"dropping-particle":"","family":"Oliveira","given":"José Egídio Paulo","non-dropping-particle":"de","parse-names":false,"suffix":""},{"dropping-particle":"","family":"Pereira","given":"Joana Rodrigues Dantas","non-dropping-particle":"","parse-names":false,"suffix":""},{"dropping-particle":"","family":"Fonseca","given":"Reine Marie Chaves","non-dropping-particle":"","parse-names":false,"suffix":""},{"dropping-particle":"","family":"Guedes","given":"Lorena Barreto Arruda","non-dropping-particle":"","parse-names":false,"suffix":""},{"dropping-particle":"","family":"Costa E Forti","given":"Adriana","non-dropping-particle":"","parse-names":false,"suffix":""},{"dropping-particle":"","family":"Oliveira","given":"Ana Mayra Andrade","non-dropping-particle":"de","parse-names":false,"suffix":""},{"dropping-particle":"","family":"Medeiros Nóbrega","given":"Marta Barreto","non-dropping-particle":"de","parse-names":false,"suffix":""},{"dropping-particle":"","family":"Colares","given":"Víctor Nóbrega Quintas","non-dropping-particle":"","parse-names":false,"suffix":""},{"dropping-particle":"","family":"Schmid","given":"Helena","non-dropping-particle":"","parse-names":false,"suffix":""},{"dropping-particle":"","family":"Nienov","given":"Otto Henrique","non-dropping-particle":"","parse-names":false,"suffix":""},{"dropping-particle":"","family":"Nery","given":"Marcia","non-dropping-particle":"","parse-names":false,"suffix":""},{"dropping-particle":"","family":"Fernandes","given":"Túlio Diniz","non-dropping-particle":"","parse-names":false,"suffix":""},{"dropping-particle":"","family":"Pedrosa","given":"Hermelinda C","non-dropping-particle":"","parse-names":false,"suffix":""},{"dropping-particle":"","family":"Schreiber de Oliveira","given":"Cristina da S","non-dropping-particle":"","parse-names":false,"suffix":""},{"dropping-particle":"","family":"Ronsoni","given":"Marcelo","non-dropping-particle":"","parse-names":false,"suffix":""},{"dropping-particle":"","family":"Rezende","given":"Karla Freire","non-dropping-particle":"","parse-names":false,"suffix":""},{"dropping-particle":"","family":"Quilici","given":"Maria Teresa Verrone","non-dropping-particle":"","parse-names":false,"suffix":""},{"dropping-particle":"","family":"Vieira","given":"Alexandre Eduardo Franzin","non-dropping-particle":"","parse-names":false,"suffix":""},{"dropping-particle":"","family":"Macedo","given":"Geisa Maria Campos","non-dropping-particle":"de","parse-names":false,"suffix":""},{"dropping-particle":"","family":"Stuchi-Perez","given":"Eliana Gabas","non-dropping-particle":"","parse-names":false,"suffix":""},{"dropping-particle":"","family":"Dinhane","given":"Kandir Genésio Innocenti","non-dropping-particle":"","parse-names":false,"suffix":""},{"dropping-particle":"","family":"Pace","given":"Ana Emilia","non-dropping-particle":"","parse-names":false,"suffix":""},{"dropping-particle":"","family":"Freitas","given":"Maria Cristina Foss","non-dropping-particle":"de","parse-names":false,"suffix":""},{"dropping-particle":"","family":"Calsolari","given":"Maria Regina","non-dropping-particle":"","parse-names":false,"suffix":""},{"dropping-particle":"","family":"Saad","given":"Mario José Abdalla","non-dropping-particle":"","parse-names":false,"suffix":""}],"container-title":"Diabetology &amp; metabolic syndrome","id":"ITEM-2","issued":{"date-parts":[["2016"]]},"page":"25","publisher":"BioMed Central","title":"Baseline characteristics and risk factors for ulcer, amputation and severe neuropathy in diabetic foot at risk: the BRAZUPA study.","type":"article-journal","volume":"8"},"uris":["http://www.mendeley.com/documents/?uuid=64a7b7ad-414d-336e-aa31-6c0198e363a1"]}],"mendeley":{"formattedCitation":"&lt;sup&gt;11,37&lt;/sup&gt;","plainTextFormattedCitation":"11,37","previouslyFormattedCitation":"&lt;sup&gt;11,37&lt;/sup&gt;"},"properties":{"noteIndex":0},"schema":"https://github.com/citation-style-language/schema/raw/master/csl-citation.json"}</w:instrText>
      </w:r>
      <w:r w:rsidR="00280B63" w:rsidRPr="006904C2">
        <w:rPr>
          <w:color w:val="000000" w:themeColor="text1"/>
        </w:rPr>
        <w:fldChar w:fldCharType="separate"/>
      </w:r>
      <w:r w:rsidR="002E2FD7" w:rsidRPr="002E2FD7">
        <w:rPr>
          <w:noProof/>
          <w:color w:val="000000" w:themeColor="text1"/>
          <w:vertAlign w:val="superscript"/>
        </w:rPr>
        <w:t>11,37</w:t>
      </w:r>
      <w:r w:rsidR="00280B63" w:rsidRPr="006904C2">
        <w:rPr>
          <w:color w:val="000000" w:themeColor="text1"/>
        </w:rPr>
        <w:fldChar w:fldCharType="end"/>
      </w:r>
      <w:r w:rsidR="00024373" w:rsidRPr="006904C2">
        <w:rPr>
          <w:color w:val="000000" w:themeColor="text1"/>
        </w:rPr>
        <w:t xml:space="preserve"> </w:t>
      </w:r>
      <w:r w:rsidR="002D6FA0" w:rsidRPr="006904C2">
        <w:rPr>
          <w:color w:val="000000" w:themeColor="text1"/>
        </w:rPr>
        <w:t xml:space="preserve">as well </w:t>
      </w:r>
      <w:r w:rsidR="006904C2" w:rsidRPr="006904C2">
        <w:rPr>
          <w:color w:val="000000" w:themeColor="text1"/>
        </w:rPr>
        <w:t>as a</w:t>
      </w:r>
      <w:r w:rsidR="00A16662" w:rsidRPr="006904C2">
        <w:rPr>
          <w:color w:val="000000" w:themeColor="text1"/>
        </w:rPr>
        <w:t xml:space="preserve"> higher </w:t>
      </w:r>
      <w:r w:rsidR="00F97E3B" w:rsidRPr="006904C2">
        <w:rPr>
          <w:color w:val="000000" w:themeColor="text1"/>
        </w:rPr>
        <w:t xml:space="preserve">risk </w:t>
      </w:r>
      <w:r w:rsidR="00A16662" w:rsidRPr="006904C2">
        <w:rPr>
          <w:color w:val="000000" w:themeColor="text1"/>
        </w:rPr>
        <w:t xml:space="preserve">of </w:t>
      </w:r>
      <w:r w:rsidR="002D6FA0" w:rsidRPr="006904C2">
        <w:rPr>
          <w:color w:val="000000" w:themeColor="text1"/>
        </w:rPr>
        <w:t xml:space="preserve">developing </w:t>
      </w:r>
      <w:r w:rsidR="00280B63" w:rsidRPr="006904C2">
        <w:rPr>
          <w:color w:val="000000" w:themeColor="text1"/>
        </w:rPr>
        <w:t>recurrent</w:t>
      </w:r>
      <w:r w:rsidR="00D00761" w:rsidRPr="006904C2">
        <w:rPr>
          <w:color w:val="000000" w:themeColor="text1"/>
        </w:rPr>
        <w:t xml:space="preserve"> </w:t>
      </w:r>
      <w:r w:rsidR="002D6FA0" w:rsidRPr="006904C2">
        <w:rPr>
          <w:color w:val="000000" w:themeColor="text1"/>
        </w:rPr>
        <w:t xml:space="preserve">or </w:t>
      </w:r>
      <w:r w:rsidR="004C1D96">
        <w:rPr>
          <w:color w:val="000000" w:themeColor="text1"/>
        </w:rPr>
        <w:t>new foot ulcer</w:t>
      </w:r>
      <w:r w:rsidR="00280B63" w:rsidRPr="006904C2">
        <w:rPr>
          <w:color w:val="000000" w:themeColor="text1"/>
        </w:rPr>
        <w:t>s (OR: 1.26, 95% CI: 1.01–1.56)</w:t>
      </w:r>
      <w:r w:rsidR="00280B63" w:rsidRPr="006904C2">
        <w:rPr>
          <w:color w:val="000000" w:themeColor="text1"/>
        </w:rPr>
        <w:fldChar w:fldCharType="begin" w:fldLock="1"/>
      </w:r>
      <w:r w:rsidR="002E2FD7">
        <w:rPr>
          <w:color w:val="000000" w:themeColor="text1"/>
        </w:rPr>
        <w:instrText>ADDIN CSL_CITATION {"citationItems":[{"id":"ITEM-1","itemData":{"DOI":"10.1111/dme.13964","ISSN":"0742-3071","abstract":"Aims: To estimate progression rates, evaluate risk factors for progression, and study rate ratios for progression among people with a healed diabetic foot ulcer according to whether the healed ulcer was neuropathic, neuro-ischaemic or critically ischaemic. Methods: We conducted a retrospective cohort study in all individuals with a healed diabetic foot ulcer treated at the Steno Diabetes Centre Copenhagen foot clinic in the period 2010 to 2016. The outcome of interest was recurrent/other new diabetic foot ulcers. Results: A total of 780 people had a healed diabetic foot ulcer in the study period (2010–2016). The participants were followed for 1249 person-years [median (Q1–Q3) 1.04 (0.38–2.46) person-years] in total. One-third (33.1%) developed a recurrent/other new diabetic foot ulcer per year. Male gender, people with Type 2 diabetes and smokers had a statistically significantly higher risk of progression to a recurrent/other new diabetic foot ulcer compared to participants without these risk factors. Participants with neuro-ischaemic or critically ischaemic diabetic foot ulcers had statistically significantly higher progression rates than participants with neuropathic diabetic foot ulcers. Conclusions: Focus should be on preventing future recurrent/other new diabetic foot ulcers especially in people with ischaemia.","author":[{"dropping-particle":"","family":"Engberg","given":"S.","non-dropping-particle":"","parse-names":false,"suffix":""},{"dropping-particle":"","family":"Kirketerp</w:instrText>
      </w:r>
      <w:r w:rsidR="002E2FD7">
        <w:rPr>
          <w:rFonts w:ascii="Cambria Math" w:hAnsi="Cambria Math" w:cs="Cambria Math"/>
          <w:color w:val="000000" w:themeColor="text1"/>
        </w:rPr>
        <w:instrText>‐</w:instrText>
      </w:r>
      <w:r w:rsidR="002E2FD7">
        <w:rPr>
          <w:color w:val="000000" w:themeColor="text1"/>
        </w:rPr>
        <w:instrText>Møller","given":"K.","non-dropping-particle":"","parse-names":false,"suffix":""},{"dropping-particle":"","family":"Ullits Andersen","given":"H.","non-dropping-particle":"","parse-names":false,"suffix":""},{"dropping-particle":"","family":"Rasmussen","given":"A.","non-dropping-particle":"","parse-names":false,"suffix":""}],"container-title":"Diabetic Medicine","id":"ITEM-1","issue":"11","issued":{"date-parts":[["2019","11","3"]]},"page":"1417-1423","publisher":"Blackwell Publishing Ltd","title":"Incidence and predictors of recurrent and other new diabetic foot ulcers: a retrospective cohort study","type":"article-journal","volume":"36"},"uris":["http://www.mendeley.com/documents/?uuid=8ef809e9-2280-3aa5-8057-c21d529b2dde"]}],"mendeley":{"formattedCitation":"&lt;sup&gt;38&lt;/sup&gt;","plainTextFormattedCitation":"38","previouslyFormattedCitation":"&lt;sup&gt;38&lt;/sup&gt;"},"properties":{"noteIndex":0},"schema":"https://github.com/citation-style-language/schema/raw/master/csl-citation.json"}</w:instrText>
      </w:r>
      <w:r w:rsidR="00280B63" w:rsidRPr="006904C2">
        <w:rPr>
          <w:color w:val="000000" w:themeColor="text1"/>
        </w:rPr>
        <w:fldChar w:fldCharType="separate"/>
      </w:r>
      <w:r w:rsidR="002E2FD7" w:rsidRPr="002E2FD7">
        <w:rPr>
          <w:noProof/>
          <w:color w:val="000000" w:themeColor="text1"/>
          <w:vertAlign w:val="superscript"/>
        </w:rPr>
        <w:t>38</w:t>
      </w:r>
      <w:r w:rsidR="00280B63" w:rsidRPr="006904C2">
        <w:rPr>
          <w:color w:val="000000" w:themeColor="text1"/>
        </w:rPr>
        <w:fldChar w:fldCharType="end"/>
      </w:r>
      <w:r w:rsidR="00280B63" w:rsidRPr="006904C2">
        <w:rPr>
          <w:color w:val="000000" w:themeColor="text1"/>
        </w:rPr>
        <w:t>, (OR: 1.71; 95 % CI 1.2–3.7)</w:t>
      </w:r>
      <w:r w:rsidR="00D00761" w:rsidRPr="006904C2">
        <w:rPr>
          <w:color w:val="000000" w:themeColor="text1"/>
        </w:rPr>
        <w:t xml:space="preserve"> </w:t>
      </w:r>
      <w:r w:rsidR="00280B63" w:rsidRPr="006904C2">
        <w:rPr>
          <w:color w:val="000000" w:themeColor="text1"/>
        </w:rPr>
        <w:fldChar w:fldCharType="begin" w:fldLock="1"/>
      </w:r>
      <w:r w:rsidR="002E2FD7">
        <w:rPr>
          <w:color w:val="000000" w:themeColor="text1"/>
        </w:rPr>
        <w:instrText>ADDIN CSL_CITATION {"citationItems":[{"id":"ITEM-1","itemData":{"DOI":"10.1186/s13098-016-0126-8","ISSN":"1758-5996","PMID":"26989446","abstract":"BACKGROUND Studies on diabetic foot and its complications involving a significant and representative sample of patients in South American countries are scarce. The main objective of this study was to acquire clinical and epidemiological data on a large cohort of diabetic patients from 19 centers from Brazil and focus on factors that could be associated with the risk of ulcer and amputation. METHODS This study presents cross sectional, baseline results of the BRAZUPA Study. A total of 1455 patients were included. Parameters recorded included age, gender, ethnicity, diabetes and comorbidity-related records, previous ulcer or amputation, clinical symptomatic score, foot classification and microvascular complications. RESULTS Patients with ulcer had longer disease duration (17.2 ± 9.9 vs. 13.2 ± 9.4 years; p &lt; 0.001), and poorer glycemic control (HbA1c 9.23 ± 2.03 vs. 8.35 ± 1.99; p &lt; 0.001). Independent risk factors for ulcer were male gender (OR 1.71; 95 % CI 1.2-3.7), smoking (OR 1.78; 95 % CI 1.09-2.89), neuroischemic foot (OR 20.34; 95 % CI 9.31-44.38), region of origin (higher risk for those from developed regions, OR 2.39; 95 % CI 1.47-3.87), presence of retinopathy (OR 1.68; 95 % CI 1.08-2.62) and absence of vibratory sensation (OR 7.95; 95 % CI 4.65-13.59). Risk factors for amputation were male gender (OR 2.12; 95 % CI 1.2-3.73), type 2 diabetes (OR 3.33; 95 % CI 1.01-11.1), foot at risk classification (higher risk for ischemic foot, OR 19.63; 95 % CI 3.43-112.5), hypertension (lower risk, OR 0.3; 95 % CI 0.14-0.63), region of origin (South/Southeast, OR 2.2; 95 % CI 1.1-4.42), previous history of ulcer (OR 9.66; 95 % CI 4.67-19.98) and altered vibratory sensation (OR 3.46; 95 % CI 1.64-7.33). There was no association between either outcome and ethnicity. CONCLUSIONS Ulcer and amputation rates were high. Age at presentation was low and patients with ulcer presented a higher prevalence of neuropathy compared to ischemic foot at risk. Ischemic disease was more associated with amputations. Ethnical differences were not of great importance in a miscegenated population.","author":[{"dropping-particle":"","family":"Parisi","given":"Maria Candida R","non-dropping-particle":"","parse-names":false,"suffix":""},{"dropping-particle":"","family":"Moura Neto","given":"Arnaldo","non-dropping-particle":"","parse-names":false,"suffix":""},{"dropping-particle":"","family":"Menezes","given":"Fabio H","non-dropping-particle":"","parse-names":false,"suffix":""},{"dropping-particle":"","family":"Gomes","given":"Marilia Brito","non-dropping-particle":"","parse-names":false,"suffix":""},{"dropping-particle":"","family":"Teixeira","given":"Rodrigo Martins","non-dropping-particle":"","parse-names":false,"suffix":""},{"dropping-particle":"","family":"Oliveira","given":"José Egídio Paulo","non-dropping-particle":"de","parse-names":false,"suffix":""},{"dropping-particle":"","family":"Pereira","given":"Joana Rodrigues Dantas","non-dropping-particle":"","parse-names":false,"suffix":""},{"dropping-particle":"","family":"Fonseca","given":"Reine Marie Chaves","non-dropping-particle":"","parse-names":false,"suffix":""},{"dropping-particle":"","family":"Guedes","given":"Lorena Barreto Arruda","non-dropping-particle":"","parse-names":false,"suffix":""},{"dropping-particle":"","family":"Costa E Forti","given":"Adriana","non-dropping-particle":"","parse-names":false,"suffix":""},{"dropping-particle":"","family":"Oliveira","given":"Ana Mayra Andrade","non-dropping-particle":"de","parse-names":false,"suffix":""},{"dropping-particle":"","family":"Medeiros Nóbrega","given":"Marta Barreto","non-dropping-particle":"de","parse-names":false,"suffix":""},{"dropping-particle":"","family":"Colares","given":"Víctor Nóbrega Quintas","non-dropping-particle":"","parse-names":false,"suffix":""},{"dropping-particle":"","family":"Schmid","given":"Helena","non-dropping-particle":"","parse-names":false,"suffix":""},{"dropping-particle":"","family":"Nienov","given":"Otto Henrique","non-dropping-particle":"","parse-names":false,"suffix":""},{"dropping-particle":"","family":"Nery","given":"Marcia","non-dropping-particle":"","parse-names":false,"suffix":""},{"dropping-particle":"","family":"Fernandes","given":"Túlio Diniz","non-dropping-particle":"","parse-names":false,"suffix":""},{"dropping-particle":"","family":"Pedrosa","given":"Hermelinda C","non-dropping-particle":"","parse-names":false,"suffix":""},{"dropping-particle":"","family":"Schreiber de Oliveira","given":"Cristina da S","non-dropping-particle":"","parse-names":false,"suffix":""},{"dropping-particle":"","family":"Ronsoni","given":"Marcelo","non-dropping-particle":"","parse-names":false,"suffix":""},{"dropping-particle":"","family":"Rezende","given":"Karla Freire","non-dropping-particle":"","parse-names":false,"suffix":""},{"dropping-particle":"","family":"Quilici","given":"Maria Teresa Verrone","non-dropping-particle":"","parse-names":false,"suffix":""},{"dropping-particle":"","family":"Vieira","given":"Alexandre Eduardo Franzin","non-dropping-particle":"","parse-names":false,"suffix":""},{"dropping-particle":"","family":"Macedo","given":"Geisa Maria Campos","non-dropping-particle":"de","parse-names":false,"suffix":""},{"dropping-particle":"","family":"Stuchi-Perez","given":"Eliana Gabas","non-dropping-particle":"","parse-names":false,"suffix":""},{"dropping-particle":"","family":"Dinhane","given":"Kandir Genésio Innocenti","non-dropping-particle":"","parse-names":false,"suffix":""},{"dropping-particle":"","family":"Pace","given":"Ana Emilia","non-dropping-particle":"","parse-names":false,"suffix":""},{"dropping-particle":"","family":"Freitas","given":"Maria Cristina Foss","non-dropping-particle":"de","parse-names":false,"suffix":""},{"dropping-particle":"","family":"Calsolari","given":"Maria Regina","non-dropping-particle":"","parse-names":false,"suffix":""},{"dropping-particle":"","family":"Saad","given":"Mario José Abdalla","non-dropping-particle":"","parse-names":false,"suffix":""}],"container-title":"Diabetology &amp; metabolic syndrome","id":"ITEM-1","issued":{"date-parts":[["2016"]]},"page":"25","publisher":"BioMed Central","title":"Baseline characteristics and risk factors for ulcer, amputation and severe neuropathy in diabetic foot at risk: the BRAZUPA study.","type":"article-journal","volume":"8"},"uris":["http://www.mendeley.com/documents/?uuid=64a7b7ad-414d-336e-aa31-6c0198e363a1"]}],"mendeley":{"formattedCitation":"&lt;sup&gt;37&lt;/sup&gt;","plainTextFormattedCitation":"37","previouslyFormattedCitation":"&lt;sup&gt;37&lt;/sup&gt;"},"properties":{"noteIndex":0},"schema":"https://github.com/citation-style-language/schema/raw/master/csl-citation.json"}</w:instrText>
      </w:r>
      <w:r w:rsidR="00280B63" w:rsidRPr="006904C2">
        <w:rPr>
          <w:color w:val="000000" w:themeColor="text1"/>
        </w:rPr>
        <w:fldChar w:fldCharType="separate"/>
      </w:r>
      <w:r w:rsidR="002E2FD7" w:rsidRPr="002E2FD7">
        <w:rPr>
          <w:noProof/>
          <w:color w:val="000000" w:themeColor="text1"/>
          <w:vertAlign w:val="superscript"/>
        </w:rPr>
        <w:t>37</w:t>
      </w:r>
      <w:r w:rsidR="00280B63" w:rsidRPr="006904C2">
        <w:rPr>
          <w:color w:val="000000" w:themeColor="text1"/>
        </w:rPr>
        <w:fldChar w:fldCharType="end"/>
      </w:r>
      <w:r w:rsidR="00280B63" w:rsidRPr="006904C2">
        <w:rPr>
          <w:color w:val="000000" w:themeColor="text1"/>
        </w:rPr>
        <w:t xml:space="preserve">. </w:t>
      </w:r>
      <w:r w:rsidR="009947EA" w:rsidRPr="006904C2">
        <w:rPr>
          <w:color w:val="000000" w:themeColor="text1"/>
        </w:rPr>
        <w:t xml:space="preserve">This could </w:t>
      </w:r>
      <w:r w:rsidR="006F7117" w:rsidRPr="006904C2">
        <w:rPr>
          <w:color w:val="000000" w:themeColor="text1"/>
        </w:rPr>
        <w:t xml:space="preserve">potentially </w:t>
      </w:r>
      <w:r w:rsidR="009947EA" w:rsidRPr="006904C2">
        <w:rPr>
          <w:color w:val="000000" w:themeColor="text1"/>
        </w:rPr>
        <w:t xml:space="preserve">be related to differences in </w:t>
      </w:r>
      <w:r w:rsidR="002D6FA0" w:rsidRPr="006904C2">
        <w:rPr>
          <w:color w:val="000000" w:themeColor="text1"/>
        </w:rPr>
        <w:t>male and female</w:t>
      </w:r>
      <w:r w:rsidR="00AB5B19" w:rsidRPr="006904C2">
        <w:rPr>
          <w:color w:val="000000" w:themeColor="text1"/>
        </w:rPr>
        <w:t xml:space="preserve"> </w:t>
      </w:r>
      <w:r w:rsidR="009947EA" w:rsidRPr="006904C2">
        <w:rPr>
          <w:color w:val="000000" w:themeColor="text1"/>
        </w:rPr>
        <w:t xml:space="preserve">health </w:t>
      </w:r>
      <w:r w:rsidR="00280B63" w:rsidRPr="006904C2">
        <w:rPr>
          <w:color w:val="000000" w:themeColor="text1"/>
        </w:rPr>
        <w:t>see</w:t>
      </w:r>
      <w:r w:rsidR="00A600AB" w:rsidRPr="006904C2">
        <w:rPr>
          <w:color w:val="000000" w:themeColor="text1"/>
        </w:rPr>
        <w:t>king behavior</w:t>
      </w:r>
      <w:r w:rsidR="00AD1231">
        <w:rPr>
          <w:color w:val="000000" w:themeColor="text1"/>
        </w:rPr>
        <w:t xml:space="preserve"> and</w:t>
      </w:r>
      <w:r w:rsidR="00A600AB" w:rsidRPr="006904C2">
        <w:rPr>
          <w:color w:val="000000" w:themeColor="text1"/>
        </w:rPr>
        <w:t xml:space="preserve"> </w:t>
      </w:r>
      <w:r w:rsidR="00AD1231">
        <w:rPr>
          <w:color w:val="000000" w:themeColor="text1"/>
        </w:rPr>
        <w:t xml:space="preserve">their </w:t>
      </w:r>
      <w:r w:rsidR="00280B63" w:rsidRPr="006904C2">
        <w:rPr>
          <w:color w:val="000000" w:themeColor="text1"/>
        </w:rPr>
        <w:t>self-care</w:t>
      </w:r>
      <w:r w:rsidR="009947EA" w:rsidRPr="006904C2">
        <w:rPr>
          <w:color w:val="000000" w:themeColor="text1"/>
        </w:rPr>
        <w:t xml:space="preserve"> </w:t>
      </w:r>
      <w:r w:rsidR="00A600AB" w:rsidRPr="006904C2">
        <w:rPr>
          <w:color w:val="000000" w:themeColor="text1"/>
        </w:rPr>
        <w:t>adherence</w:t>
      </w:r>
      <w:r w:rsidR="00D93567">
        <w:rPr>
          <w:color w:val="000000" w:themeColor="text1"/>
        </w:rPr>
        <w:t xml:space="preserve">. </w:t>
      </w:r>
      <w:r w:rsidR="00C7174C" w:rsidRPr="00C7174C">
        <w:rPr>
          <w:color w:val="000000" w:themeColor="text1"/>
          <w:highlight w:val="yellow"/>
        </w:rPr>
        <w:t>Another</w:t>
      </w:r>
      <w:r w:rsidR="002D0EDD">
        <w:rPr>
          <w:color w:val="000000" w:themeColor="text1"/>
          <w:highlight w:val="yellow"/>
        </w:rPr>
        <w:t xml:space="preserve"> possible explanation could be </w:t>
      </w:r>
      <w:r w:rsidR="00C7174C" w:rsidRPr="00C7174C">
        <w:rPr>
          <w:color w:val="000000" w:themeColor="text1"/>
          <w:highlight w:val="yellow"/>
        </w:rPr>
        <w:t xml:space="preserve">the </w:t>
      </w:r>
      <w:r w:rsidR="00C7174C" w:rsidRPr="000B3594">
        <w:rPr>
          <w:color w:val="000000" w:themeColor="text1"/>
          <w:highlight w:val="yellow"/>
        </w:rPr>
        <w:t xml:space="preserve">gender norms in the Singaporean society where men more often </w:t>
      </w:r>
      <w:r w:rsidR="00C7174C">
        <w:rPr>
          <w:color w:val="000000" w:themeColor="text1"/>
          <w:highlight w:val="yellow"/>
        </w:rPr>
        <w:t>have passive health-related behavior to DFU</w:t>
      </w:r>
      <w:r w:rsidR="00C7174C" w:rsidRPr="000B3594">
        <w:rPr>
          <w:color w:val="000000" w:themeColor="text1"/>
          <w:highlight w:val="yellow"/>
        </w:rPr>
        <w:t xml:space="preserve"> as compared to women</w:t>
      </w:r>
      <w:r w:rsidR="00C7174C">
        <w:rPr>
          <w:color w:val="000000" w:themeColor="text1"/>
        </w:rPr>
        <w:t xml:space="preserve">. </w:t>
      </w:r>
      <w:r w:rsidR="00A43717">
        <w:rPr>
          <w:color w:val="000000" w:themeColor="text1"/>
        </w:rPr>
        <w:t xml:space="preserve">Previous studies have </w:t>
      </w:r>
      <w:r w:rsidR="00A43717" w:rsidRPr="006904C2">
        <w:rPr>
          <w:color w:val="000000" w:themeColor="text1"/>
        </w:rPr>
        <w:t>show</w:t>
      </w:r>
      <w:r w:rsidR="00A43717">
        <w:rPr>
          <w:color w:val="000000" w:themeColor="text1"/>
        </w:rPr>
        <w:t>n</w:t>
      </w:r>
      <w:r w:rsidR="00A43717" w:rsidRPr="006904C2">
        <w:rPr>
          <w:color w:val="000000" w:themeColor="text1"/>
        </w:rPr>
        <w:t xml:space="preserve"> </w:t>
      </w:r>
      <w:r w:rsidR="00A16662" w:rsidRPr="006904C2">
        <w:rPr>
          <w:color w:val="000000" w:themeColor="text1"/>
        </w:rPr>
        <w:t xml:space="preserve">that </w:t>
      </w:r>
      <w:r w:rsidR="00E06E27" w:rsidRPr="006904C2">
        <w:rPr>
          <w:color w:val="000000" w:themeColor="text1"/>
        </w:rPr>
        <w:t xml:space="preserve">male patients presented </w:t>
      </w:r>
      <w:r w:rsidR="00A600AB" w:rsidRPr="006904C2">
        <w:rPr>
          <w:color w:val="000000" w:themeColor="text1"/>
        </w:rPr>
        <w:t>poor</w:t>
      </w:r>
      <w:r w:rsidR="00E06E27" w:rsidRPr="006904C2">
        <w:rPr>
          <w:color w:val="000000" w:themeColor="text1"/>
        </w:rPr>
        <w:t>er</w:t>
      </w:r>
      <w:r w:rsidR="00A600AB" w:rsidRPr="006904C2">
        <w:rPr>
          <w:color w:val="000000" w:themeColor="text1"/>
        </w:rPr>
        <w:t xml:space="preserve"> self-care behaviors</w:t>
      </w:r>
      <w:r w:rsidR="00E06E27" w:rsidRPr="006904C2">
        <w:rPr>
          <w:color w:val="000000" w:themeColor="text1"/>
        </w:rPr>
        <w:t xml:space="preserve"> and lower treatment adherence </w:t>
      </w:r>
      <w:r w:rsidR="00AB5B19" w:rsidRPr="006904C2">
        <w:rPr>
          <w:color w:val="000000" w:themeColor="text1"/>
        </w:rPr>
        <w:t xml:space="preserve">to </w:t>
      </w:r>
      <w:r w:rsidR="006904C2" w:rsidRPr="006904C2">
        <w:rPr>
          <w:color w:val="000000" w:themeColor="text1"/>
        </w:rPr>
        <w:t>diabetes</w:t>
      </w:r>
      <w:r w:rsidR="00E06E27" w:rsidRPr="006904C2">
        <w:rPr>
          <w:color w:val="000000" w:themeColor="text1"/>
        </w:rPr>
        <w:t xml:space="preserve"> and diabetic foot </w:t>
      </w:r>
      <w:r w:rsidR="00AB5B19" w:rsidRPr="006904C2">
        <w:rPr>
          <w:color w:val="000000" w:themeColor="text1"/>
        </w:rPr>
        <w:t>care</w:t>
      </w:r>
      <w:r w:rsidR="00E06E27" w:rsidRPr="006904C2">
        <w:rPr>
          <w:color w:val="000000" w:themeColor="text1"/>
        </w:rPr>
        <w:t xml:space="preserve"> co</w:t>
      </w:r>
      <w:r w:rsidR="00E06E27" w:rsidRPr="002E2499">
        <w:rPr>
          <w:color w:val="000000" w:themeColor="text1"/>
        </w:rPr>
        <w:t xml:space="preserve">mpared </w:t>
      </w:r>
      <w:r w:rsidR="00AB5B19">
        <w:rPr>
          <w:color w:val="000000" w:themeColor="text1"/>
        </w:rPr>
        <w:t>to</w:t>
      </w:r>
      <w:r w:rsidR="00E06E27" w:rsidRPr="002E2499">
        <w:rPr>
          <w:color w:val="000000" w:themeColor="text1"/>
        </w:rPr>
        <w:t xml:space="preserve"> female patients</w:t>
      </w:r>
      <w:r w:rsidR="00AB5B19">
        <w:rPr>
          <w:color w:val="000000" w:themeColor="text1"/>
        </w:rPr>
        <w:t xml:space="preserve"> </w:t>
      </w:r>
      <w:r w:rsidR="007131A6" w:rsidRPr="002E2499">
        <w:rPr>
          <w:color w:val="000000" w:themeColor="text1"/>
        </w:rPr>
        <w:fldChar w:fldCharType="begin" w:fldLock="1"/>
      </w:r>
      <w:r w:rsidR="002E2FD7">
        <w:rPr>
          <w:color w:val="000000" w:themeColor="text1"/>
        </w:rPr>
        <w:instrText>ADDIN CSL_CITATION {"citationItems":[{"id":"ITEM-1","itemData":{"DOI":"10.1590/1518-8345.1203.2761","ISSN":"15188345","PMID":"27533270","abstract":"Objective: to investigate differences with regard to foot self-care and lifestyle between men and women with diabetes mellitus. Method: cross-sectional study conducted in a sample of 1,515 individuals with diabetes mellitus aged 40 years old or older. Poisson regression models were used to identity differences in foot self-care deficit and lifestyle between sexes, adjusting for socioeconomic and clinical characteristics, smoking and alcohol consumption. Results: foot self-care deficit, characterized by not regularly drying between toes; not regularly checking feet; walking barefoot; poor hygiene and inappropriately trimmed nails, was significantly higher among men, though men presented a lower prevalence of feet scaling and use of inappropriate shoes when compared to women. With regard to lifestyle, men presented less healthy habits, such as not adhering to a proper diet and taking laboratory exams to check for lipid profile at the frequency recommended. Conclusion: the nursing team should take into account ender differences concerning foot self-care and lifestyle when implementing educational activities and interventions intended to decrease risk factors for foot ulceration.","author":[{"dropping-particle":"","family":"Rossaneis","given":"Mariana Angela","non-dropping-particle":"","parse-names":false,"suffix":""},{"dropping-particle":"","family":"Haddad","given":"Maria do Carmo Fernandez Lourenço","non-dropping-particle":"","parse-names":false,"suffix":""},{"dropping-particle":"","family":"Mathias","given":"Thaís Aidar de Freitas","non-dropping-particle":"","parse-names":false,"suffix":""},{"dropping-particle":"","family":"Marcon","given":"Sonia Silva","non-dropping-particle":"","parse-names":false,"suffix":""}],"container-title":"Revista Latino-Americana de Enfermagem","id":"ITEM-1","issued":{"date-parts":[["2016"]]},"publisher":"University of Sao Paulo, Ribeirao Preto College of Nursing Organisation","title":"Differences in foot self-care and lifestyle between men and women with diabetes mellitus","type":"article-journal","volume":"24"},"uris":["http://www.mendeley.com/documents/?uuid=8d27c9ba-77ec-35d9-81f2-750893f2679f"]},{"id":"ITEM-2","itemData":{"DOI":"10.1186/s12902-020-0492-y","ISSN":"14726823","PMID":"31992290","abstract":"Background: Self- management is vital to the control of diabetes. This study aims to assess the diabetes self-care behaviours of patients attending two tertiary hospitals in Gauteng, South Africa. The study also seeks to estimate the inequalities in adherence to diabetes self-care practices and associated factors. Methods: A unique health-facilities based cross-sectional survey was conducted amongst diabetes patients in 2017. Our study sample included 396 people living with diabetes. Face-to-face interviews were conducted using a structured questionnaire. Diabetes self-management practices considered in this study are dietary diversity, medication adherence, physical activity, self-monitoring of blood-glucose, avoiding smoking and limited alcohol consumption. Concentration indices (CIs) were used to estimate inequalities in adherence to diabetes self-care practices. Multiple logistic regressions were fitted to determine factors associated with diabetes self-care practices. Results: Approximately 99% of the sample did not consume alcohol or consumed alcohol moderately, 92% adhered to self-monitoring of blood-glucose, 85% did not smoke tobacco, 67% adhered to their medication, 62% had a diverse diet and 9% adhered to physical activity. Self-care practices of dietary diversity (CI = 0.1512) and exercise (CI = 0.1067) were all concentrated amongst patients with higher socio-economic status as indicated by the positive CIs, whilst not smoking (CI = - 0.0994) was concentrated amongst those of lower socio-economic status as indicated by the negative CI. Dietary diversity was associated with being female, being retired and higher wealth index. Medication adherence was found to be associated with older age groups. Physical activity was found to be associated with tertiary education, being a student and those within higher wealth index. Self-monitoring of blood glucose was associated with being married. Not smoking was associated with being female and being retired. Conclusion: Adherence to exercising, dietary diversity and medication was found to be sub-optimal. Dietary diversity and exercise were more prevalent among patients with higher socio-economic status. Our findings suggest that efforts to improve self- management should focus on addressing socio-economic inequalities. It is critical to develop strategies that help those within low-socio-economic groups to adopt healthier diabetes self-care practices.","author":[{"dropping-particle":"","family":"Mutyambizi","given":"Chipo","non-dropping-particle":"","parse-names":false,"suffix":""},{"dropping-particle":"","family":"Pavlova","given":"Milena","non-dropping-particle":"","parse-names":false,"suffix":""},{"dropping-particle":"","family":"Hongoro","given":"Charles","non-dropping-particle":"","parse-names":false,"suffix":""},{"dropping-particle":"","family":"Groot","given":"Wim","non-dropping-particle":"","parse-names":false,"suffix":""}],"container-title":"BMC Endocrine Disorders","id":"ITEM-2","issue":"1","issued":{"date-parts":[["2020","1","28"]]},"page":"1-10","publisher":"BioMed Central Ltd.","title":"Inequalities and factors associated with adherence to diabetes self-care practices amongst patients at two public hospitals in Gauteng, South Africa","type":"article-journal","volume":"20"},"uris":["http://www.mendeley.com/documents/?uuid=73590f00-e9f4-3b5e-9e25-3e4c26b99b40"]}],"mendeley":{"formattedCitation":"&lt;sup&gt;39,40&lt;/sup&gt;","plainTextFormattedCitation":"39,40","previouslyFormattedCitation":"&lt;sup&gt;39,40&lt;/sup&gt;"},"properties":{"noteIndex":0},"schema":"https://github.com/citation-style-language/schema/raw/master/csl-citation.json"}</w:instrText>
      </w:r>
      <w:r w:rsidR="007131A6" w:rsidRPr="002E2499">
        <w:rPr>
          <w:color w:val="000000" w:themeColor="text1"/>
        </w:rPr>
        <w:fldChar w:fldCharType="separate"/>
      </w:r>
      <w:r w:rsidR="002E2FD7" w:rsidRPr="002E2FD7">
        <w:rPr>
          <w:noProof/>
          <w:color w:val="000000" w:themeColor="text1"/>
          <w:vertAlign w:val="superscript"/>
        </w:rPr>
        <w:t>39,40</w:t>
      </w:r>
      <w:r w:rsidR="007131A6" w:rsidRPr="002E2499">
        <w:rPr>
          <w:color w:val="000000" w:themeColor="text1"/>
        </w:rPr>
        <w:fldChar w:fldCharType="end"/>
      </w:r>
      <w:r w:rsidR="00AC668C" w:rsidRPr="002E2499">
        <w:rPr>
          <w:color w:val="000000" w:themeColor="text1"/>
        </w:rPr>
        <w:t xml:space="preserve">. </w:t>
      </w:r>
      <w:r w:rsidR="005B5578" w:rsidRPr="002E2499">
        <w:rPr>
          <w:color w:val="000000" w:themeColor="text1"/>
        </w:rPr>
        <w:t xml:space="preserve"> </w:t>
      </w:r>
    </w:p>
    <w:p w14:paraId="42B554D8" w14:textId="77777777" w:rsidR="006F7117" w:rsidRPr="001114C2" w:rsidRDefault="006F7117" w:rsidP="00900EDF">
      <w:pPr>
        <w:shd w:val="clear" w:color="auto" w:fill="FFFFFF" w:themeFill="background1"/>
        <w:jc w:val="both"/>
      </w:pPr>
    </w:p>
    <w:p w14:paraId="423BFA02" w14:textId="5FDEAA31" w:rsidR="00B85114" w:rsidRPr="001114C2" w:rsidRDefault="00962C9E" w:rsidP="00B85114">
      <w:pPr>
        <w:shd w:val="clear" w:color="auto" w:fill="FFFFFF" w:themeFill="background1"/>
        <w:jc w:val="both"/>
      </w:pPr>
      <w:r>
        <w:t>The</w:t>
      </w:r>
      <w:r w:rsidR="00B541D0" w:rsidRPr="001114C2">
        <w:t xml:space="preserve"> multivariate analysis </w:t>
      </w:r>
      <w:r>
        <w:t xml:space="preserve">in this study </w:t>
      </w:r>
      <w:r w:rsidR="00B541D0" w:rsidRPr="001114C2">
        <w:t>showed an association between large</w:t>
      </w:r>
      <w:r w:rsidR="00AB5B19">
        <w:t>r</w:t>
      </w:r>
      <w:r w:rsidR="00B541D0" w:rsidRPr="001114C2">
        <w:t xml:space="preserve"> ulcer size (&gt;1-10cm2) and delayed </w:t>
      </w:r>
      <w:r w:rsidR="006904C2">
        <w:t xml:space="preserve">ulcer </w:t>
      </w:r>
      <w:r w:rsidR="00B541D0" w:rsidRPr="001114C2">
        <w:t xml:space="preserve">healing within </w:t>
      </w:r>
      <w:r w:rsidR="00B541D0">
        <w:t>3</w:t>
      </w:r>
      <w:r w:rsidR="00B541D0" w:rsidRPr="001114C2">
        <w:t xml:space="preserve"> months.</w:t>
      </w:r>
      <w:r w:rsidR="00B541D0">
        <w:t xml:space="preserve"> This finding </w:t>
      </w:r>
      <w:r w:rsidR="007E009B">
        <w:t xml:space="preserve">aligns with several </w:t>
      </w:r>
      <w:r w:rsidR="00B541D0">
        <w:t>p</w:t>
      </w:r>
      <w:r w:rsidR="00B85114" w:rsidRPr="001114C2">
        <w:t>revious stud</w:t>
      </w:r>
      <w:r w:rsidR="007E009B">
        <w:t>ies that</w:t>
      </w:r>
      <w:r w:rsidR="00B85114" w:rsidRPr="001114C2">
        <w:t xml:space="preserve"> found that wound size is significantly correlated with wound healing (HR: 1.014, 95% CI: 1.002-1.027, P=.027)</w:t>
      </w:r>
      <w:r w:rsidR="00B85114" w:rsidRPr="001114C2">
        <w:fldChar w:fldCharType="begin" w:fldLock="1"/>
      </w:r>
      <w:r w:rsidR="002E2FD7">
        <w:instrText>ADDIN CSL_CITATION {"citationItems":[{"id":"ITEM-1","itemData":{"abstract":"ABSTRAK Tujuan: mempelajari peran faktor risiko klinis, penanda fungsi vasodilatasi, respons inflamasi, dan aterosklerosis dalam memprediksi penyembuhan luka kaki diabetik. Metode: studi kohort dilakukan sejak Februari-Oktober 2010 terhadap 40 subyek penelitian dengan ulkus diabetik akut di ruang rawat inap RSUPN Dr. Cipto Mangunkusumo, Jakarta, Indonesia. Pada setiap subyek, dilakukan minimal dua kali pengukuran variabel, yaitu pada fase inflamasi dan proliferasi. Variabel yang diteliti berupa karakteristik klinis, pemeriksaan darah perifer lengkap (DPL) dan hitung jenis, HbA1c, ureum, kreatinin, profil lipid, glukosa darah puasa (GDP), penanda disfungsi endotel (asymmetric dimethylarginine/ADMA, endothelin-1/ET-1, dan flow-mediated dilation/FMD arteri brakialis), dan penanda kalsifikasi vaskular (osteoprotegerin/OPG). Hasil: waktu rerata tercapainya jaringan granulasi 50% pada penelitian ini adalah 21 hari. Terdapat sembilan faktor yang berperan dalam pembentukan 50% jaringan granulasi, yaitu riwayat DM pada keluarga, riwayat luka, luas luka, lama luka, pemakaian kaptopril dan simvastatin, konsentrasi ADMA, ET-1, dan OPG. Terdapat tiga dari sembilan faktor yang secara signifikan berkorelasi terhadap penyembuhan luka, yaitu luas luka, konsentrasi OPG, dan pemakaian simvastatin. Kesimpulan: pada ulkus diabetik akut, luas luka dan konsentrasi OPG memiliki korelasi positif terhadap penyembuhan luka, sementara pemakaian simvastatin memiliki korelasi negatif terhadap penyembuhan luka. Kata kunci: ulkus diabetik, penyembuhan luka, disfungsi endotel, kalsifikasi vaskular. ABSTRACT Aim: to evaluate the role of clinical characteristics, functional markers of vasodilation, inflammatory response, and atherosclerosis in predicting wound healing in diabetic foot ulcer. Methods: a cohort study (February-October 2010) was conducted from 40 subjects with acute diabetic foot ulcer at clinical ward of Dr. Cipto Mangunkusumo National Central General Hospital, Jakarta, Indonesia. Each subject underwent at least two variable measurements, i.e. during inflammatory phase and proliferation phase. The studied variables were clinical characteristics, complete peripheral blood count (CBC) and differential count, levels of HbA1c, Pradana Soewondo Acta Med Indones-Indones J Intern Med 42 ureum, creatinine, lipid profile, fasting blood glucose (FBG), marker of endothelial dysfunction (asymmetric dimethylarginine/ADMA, endothelin-1/ET-1, and flow-mediated dilation/FMD of brachial ar…","author":[{"dropping-particle":"","family":"Soewondo","given":"Pradana","non-dropping-particle":"","parse-names":false,"suffix":""},{"dropping-particle":"","family":"Suyono","given":"Slamet","non-dropping-particle":"","parse-names":false,"suffix":""},{"dropping-particle":"","family":"Kanoko Sastrosuwignyo","given":"Mpu","non-dropping-particle":"","parse-names":false,"suffix":""},{"dropping-particle":"","family":"Harahap","given":"Alida R","non-dropping-particle":"","parse-names":false,"suffix":""},{"dropping-particle":"","family":"Sutrisna","given":"Bambang","non-dropping-particle":"","parse-names":false,"suffix":""},{"dropping-particle":"","family":"Makmun","given":"Lukman H","non-dropping-particle":"","parse-names":false,"suffix":""}],"container-title":"Acta Med Indones-Indones J Intern Med","id":"ITEM-1","issued":{"date-parts":[["2017"]]},"title":"Prediction of Wound Healing in Diabetic Foot Ulcers: an Observational Study in Tertiary Hospital in Indonesia","type":"report","volume":"49"},"uris":["http://www.mendeley.com/documents/?uuid=72516912-fc26-33aa-b347-48b1cb248590"]}],"mendeley":{"formattedCitation":"&lt;sup&gt;41&lt;/sup&gt;","plainTextFormattedCitation":"41","previouslyFormattedCitation":"&lt;sup&gt;41&lt;/sup&gt;"},"properties":{"noteIndex":0},"schema":"https://github.com/citation-style-language/schema/raw/master/csl-citation.json"}</w:instrText>
      </w:r>
      <w:r w:rsidR="00B85114" w:rsidRPr="001114C2">
        <w:fldChar w:fldCharType="separate"/>
      </w:r>
      <w:r w:rsidR="002E2FD7" w:rsidRPr="002E2FD7">
        <w:rPr>
          <w:noProof/>
          <w:vertAlign w:val="superscript"/>
        </w:rPr>
        <w:t>41</w:t>
      </w:r>
      <w:r w:rsidR="00B85114" w:rsidRPr="001114C2">
        <w:fldChar w:fldCharType="end"/>
      </w:r>
      <w:r w:rsidR="007E009B">
        <w:t xml:space="preserve">, and that </w:t>
      </w:r>
      <w:r w:rsidR="00AB5B19">
        <w:t xml:space="preserve">a </w:t>
      </w:r>
      <w:r w:rsidR="007E009B">
        <w:t>l</w:t>
      </w:r>
      <w:r w:rsidR="00B85114" w:rsidRPr="001114C2">
        <w:t xml:space="preserve">arger ulcer size </w:t>
      </w:r>
      <w:r w:rsidR="00AB5B19">
        <w:t>was</w:t>
      </w:r>
      <w:r w:rsidR="00B85114" w:rsidRPr="001114C2">
        <w:t xml:space="preserve"> a predictor for</w:t>
      </w:r>
      <w:r w:rsidR="006904C2">
        <w:t xml:space="preserve"> non-healing or delayed ulcer healing</w:t>
      </w:r>
      <w:r w:rsidR="00B85114" w:rsidRPr="000B0C39">
        <w:rPr>
          <w:color w:val="FF0000"/>
        </w:rPr>
        <w:t xml:space="preserve"> </w:t>
      </w:r>
      <w:r w:rsidR="000B0C39" w:rsidRPr="00804F42">
        <w:fldChar w:fldCharType="begin" w:fldLock="1"/>
      </w:r>
      <w:r w:rsidR="002E2FD7">
        <w:instrText>ADDIN CSL_CITATION {"citationItems":[{"id":"ITEM-1","itemData":{"DOI":"10.1007/s00125-008-0940-0","ISSN":"0012-186X","PMID":"18297261","abstract":"AIMS/HYPOTHESIS Outcome data on individuals with diabetic foot ulcers are scarce, especially in those with peripheral arterial disease (PAD). We therefore examined the clinical characteristics that best predict poor outcome in a large population of diabetic foot ulcer patients and examined whether such predictors differ between patients with and without PAD. METHODS Analyses were conducted within the EURODIALE Study, a prospective cohort study of 1,088 diabetic foot ulcer patients across 14 centres in Europe. Multiple logistic regression modelling was used to identify independent predictors of outcome (i.e. non-healing of the foot ulcer). RESULTS After 1 year of follow-up, 23% of the patients had not healed. Independent baseline predictors of non-healing in the whole study population were older age, male sex, heart failure, the inability to stand or walk without help, end-stage renal disease, larger ulcer size, peripheral neuropathy and PAD. When analyses were performed according to PAD status, infection emerged as a specific predictor of non-healing in PAD patients only. CONCLUSIONS/INTERPRETATION Predictors of healing differ between patients with and without PAD, suggesting that diabetic foot ulcers with or without concomitant PAD should be defined as two separate disease states. The observed negative impact of infection on healing that was confined to patients with PAD needs further investigation.","author":[{"dropping-particle":"","family":"Prompers","given":"L","non-dropping-particle":"","parse-names":false,"suffix":""},{"dropping-particle":"","family":"Schaper","given":"N","non-dropping-particle":"","parse-names":false,"suffix":""},{"dropping-particle":"","family":"Apelqvist","given":"J","non-dropping-particle":"","parse-names":false,"suffix":""},{"dropping-particle":"","family":"Edmonds","given":"M","non-dropping-particle":"","parse-names":false,"suffix":""},{"dropping-particle":"","family":"Jude","given":"E","non-dropping-particle":"","parse-names":false,"suffix":""},{"dropping-particle":"","family":"Mauricio","given":"D","non-dropping-particle":"","parse-names":false,"suffix":""},{"dropping-particle":"","family":"Uccioli","given":"L","non-dropping-particle":"","parse-names":false,"suffix":""},{"dropping-particle":"","family":"Urbancic","given":"V","non-dropping-particle":"","parse-names":false,"suffix":""},{"dropping-particle":"","family":"Bakker","given":"K","non-dropping-particle":"","parse-names":false,"suffix":""},{"dropping-particle":"","family":"Holstein","given":"P","non-dropping-particle":"","parse-names":false,"suffix":""},{"dropping-particle":"","family":"Jirkovska","given":"A","non-dropping-particle":"","parse-names":false,"suffix":""},{"dropping-particle":"","family":"Piaggesi","given":"A","non-dropping-particle":"","parse-names":false,"suffix":""},{"dropping-particle":"","family":"Ragnarson-Tennvall","given":"G","non-dropping-particle":"","parse-names":false,"suffix":""},{"dropping-particle":"","family":"Reike","given":"H","non-dropping-particle":"","parse-names":false,"suffix":""},{"dropping-particle":"","family":"Spraul","given":"M","non-dropping-particle":"","parse-names":false,"suffix":""},{"dropping-particle":"","family":"Acker","given":"K","non-dropping-particle":"Van","parse-names":false,"suffix":""},{"dropping-particle":"","family":"Baal","given":"J","non-dropping-particle":"Van","parse-names":false,"suffix":""},{"dropping-particle":"","family":"Merode","given":"F","non-dropping-particle":"Van","parse-names":false,"suffix":""},{"dropping-particle":"","family":"Ferreira","given":"I","non-dropping-particle":"","parse-names":false,"suffix":""},{"dropping-particle":"","family":"Huijberts","given":"M","non-dropping-particle":"","parse-names":false,"suffix":""}],"container-title":"Diabetologia","id":"ITEM-1","issue":"5","issued":{"date-parts":[["2008","5"]]},"page":"747-55","publisher":"Springer","title":"Prediction of outcome in individuals with diabetic foot ulcers: focus on the differences between individuals with and without peripheral arterial disease. The EURODIALE Study.","type":"article-journal","volume":"51"},"uris":["http://www.mendeley.com/documents/?uuid=ff51226d-f9e3-30ed-b649-c128a112777c"]},{"id":"ITEM-2","itemData":{"DOI":"10.1016/j.jcjd.2016.06.007","abstract":"a b s t r a c t Objectives: Data concerning outcomes of Canadian patients with diabetic foot ulcers (DFUs) are limited. The objectives of this study were to evaluate the healing rates and identify the predictors of poor out-comes following advanced wound care in patients presenting with DFUs. Methods: We conducted retrospective cohort study of adult patients who had DFUs and were referred to a single Canadian advanced diabetic foot and wound care centre between January 1, 2010, and Decem-ber 31, 2010. The primary outcome was the healing rate at 52 weeks. The generalized estimating equa-tion model was used to identify potential risk factors associated with delayed healing of DFUs. Results: Of the 40 patients for whom there were complete follow ups, 35 (87.5%) had healing of all DFUs by 52 weeks. Predictors of poor healing were the presence of chronic ulcers, ulcer sizes &gt;1 cm 2 , peripheral vas-cular disease and multiple ulcers at first presentation. Of the patients, 7.1% required amputation, and 8.9% of patients receiving our treatment died before 52 weeks. At 52 weeks of follow up, 16 of 17 recurrent ulcers and 68 of 108 pre-existing ulcers had healed. Compared to the unadjusted healing rate of preexisting ulcers (63.0%), the unadjusted healing rate of recurrent ulcers (94.1%) was significantly higher (p=0.01). Conclusions: Our findings demonstrate that patients with DFUs in Canada who receive early and contin-ued care from specialized, outpatient, advanced wound care centres experience significantly improved rates of healing of recurrent DFUs compared to pre-existing DFUs. © 2016 Canadian Diabetes Association. Mots clés : soins des plaies complexes ulcères du pied diabétique soins multidisciplinaires r é s u m é Objectifs : Les données sur les résultats cliniques des patients canadiens souffrant d'ulcères du pied diabétique (UPD) sont limitées. Les objectifs de la présente étude étaient d'évaluer les taux de cicatrisation et de déterminer les prédicteurs des résultats cliniques à la suite des soins de plaies complexes chez les patients présentant des UPD. Méthodes : Nous avons réalisé une étude de cohorte rétrospective de patients adultes qui avaient des UPD et étaient orientés vers un centre canadien du pied diabétique et de soins de plaies complexes entre le 1 er janvier et le 31 décembre 2010. Le principal résultat clinique était le taux de cicatrisation à la 52 e semaine. Le modèle d'équations d'estimation généralisées était utilisé pour détermine…","author":[{"dropping-particle":"","family":"Roth-Albin CCRA","given":"Ivana","non-dropping-particle":"","parse-names":false,"suffix":""},{"dropping-particle":"","family":"Mai","given":"Safiah HC","non-dropping-particle":"","parse-names":false,"suffix":""},{"dropping-particle":"","family":"Ahmed","given":"Zeeshan","non-dropping-particle":"","parse-names":false,"suffix":""},{"dropping-particle":"","family":"Cheng","given":"Ji","non-dropping-particle":"","parse-names":false,"suffix":""},{"dropping-particle":"","family":"Choong","given":"Karen MB","non-dropping-particle":"","parse-names":false,"suffix":""},{"dropping-particle":"V","family":"Mayer MB","given":"Perry","non-dropping-particle":"","parse-names":false,"suffix":""},{"dropping-particle":"V","family":"Mayer","given":"Perry","non-dropping-particle":"","parse-names":false,"suffix":""}],"container-title":"Canadian Journal of Diabetes","id":"ITEM-2","issued":{"date-parts":[["2016"]]},"page":"26-32","title":"Outcomes Following Advanced Wound Care for Diabetic Foot Ulcers: A Canadian Study","type":"article-journal","volume":"41"},"uris":["http://www.mendeley.com/documents/?uuid=789ffdcf-d890-352e-ae69-aa94a4b52914"]},{"id":"ITEM-3","itemData":{"DOI":"10.2337/dc06-2043","abstract":"OBJECTIVE — To examine the outcome of neuropathic foot ulcers and to seek associations between healing and features of the ulcers at baseline. RESEARCH DESIGN AND METHODS — Data were collected prospectively during the course of routine management. All patients were selected who presented to a single unit between 1 January 2000 and 31 December 2004 with neuropathic foot ulcers and without evidence of either peripheral arterial disease or infection. Associations were sought between ulcer charac-teristics at baseline and clinical outcome. RESULTS — A total of 154 patients (66.9% male) presented with 410 ulcers. Age was 57.4 Ϯ 12.0 years (means Ϯ SD). A total of 178 (43.4%) ulcers were on the plantar aspect of the foot; 73.7% of ulcers had a cross-sectional area of Ͻ1 cm 2 . Median ulcer duration at referral was 15 days (range 1–1,046). Healing without amputation was observed in 91.7%. The percentage of ulcers healed at 12, 20, and 52 weeks were 59.3, 70.5, and 86.6%, respectively. Significant associations were observed between area at referral and outcome type (␹ 2 P Ͻ 0.0001), prior ulcer duration (Kruskal-Wallis P ϭ 0.006), and time to healing (Kruskal-Wallis P ϭ 0.014), as well as between ulcer duration and time to healing (Spearman ␳, r ϭ 0.104, P ϭ 0.047). There was no difference between plantar and nonplantar ulcers. CONCLUSIONS — The rate of healing in this cohort provides a benchmark for comparison with other centers. While further work is needed to determine how outcomes can be improved in unselected series such as these, the confirmation of close relationships between ulcer duration at referral, ulcer area, and outcome emphasizes the importance of early expert assessment of newly occurring neuropathic ulcers.","author":[{"dropping-particle":"","family":"Ince","given":"Paul","non-dropping-particle":"","parse-names":false,"suffix":""},{"dropping-particle":"","family":"Game","given":"Fran L","non-dropping-particle":"","parse-names":false,"suffix":""},{"dropping-particle":"","family":"Jeffcoate","given":"William J","non-dropping-particle":"","parse-names":false,"suffix":""}],"container-title":"Diabetes Care","id":"ITEM-3","issued":{"date-parts":[["2007"]]},"page":"660-663","title":"Rate of Healing of Neuropathic Ulcers of the Foot in Diabetes and Its Relationship to Ulcer Duration and Ulcer Area","type":"article-journal","volume":"30"},"uris":["http://www.mendeley.com/documents/?uuid=0515fc8f-4dce-33dc-b6c9-5fc423ede8de"]},{"id":"ITEM-4","itemData":{"DOI":"10.1007/s11845-016-1511-x","ISSN":"18634362","abstract":"Background: Diabetes mellitus, coined the ‘Black Death of the Twenty-First Century’, is associated with complications, including foot ulceration with potential loss of limb. There is a need for development of new wound therapies through completion of robust clinical trials. Aims: To profile demographics and wound characteristics of an Irish cohort with diabetes, forecast eligibility for entry to a clinical trial of advanced wound therapeutics, and adjust criteria to optimize eligibility for enrolment. Methods: A cross-sectional study of out-patients attending a Podiatry centre over 12 weeks was conducted. Information was collected through clinical assessment, including Neuropathy Disability Score and Ankle-Brachial Pressure Index. Ulcers were characterised as ‘healing’ or ‘non-healing’; a ‘healing’ wound decreased by 30 % over the previous month, accomplished by retrospective analysis of files. Statistics, including binomial logistic regression and column analysis for eligibility assessment, were conducted. Results: Seventy-four participants were identified with a mean age of 67 (± 8.79) years. Non-healing DFU status correlated significantly with larger wound area (P = 0.013), infection (P = 0.009), and greater degrees of ischaemia (P = 0.015). The eligibility criteria were modelled after those proposed by the EU consortium project REDDSTAR. In this Irish population, these criteria limit eligibility to 1.4 %. Conclusions: This research found an eligibility criterion of wound area 2–10 cm2 for enrolment in a clinical trial of mesenchymal stromal cell therapy too restrictive. Extension of wound area to 1–10 cm2 and the inclusion of neuro-ischaemic ulcers increased eligibility for enrolment from 1.4 to 20 %.","author":[{"dropping-particle":"","family":"Mahon","given":"A. M.","non-dropping-particle":"","parse-names":false,"suffix":""},{"dropping-particle":"","family":"MacGilchrist","given":"C.","non-dropping-particle":"","parse-names":false,"suffix":""},{"dropping-particle":"","family":"McIntosh","given":"C.","non-dropping-particle":"","parse-names":false,"suffix":""},{"dropping-particle":"","family":"O’Brien","given":"T.","non-dropping-particle":"","parse-names":false,"suffix":""}],"container-title":"Irish Journal of Medical Science","id":"ITEM-4","issue":"3","issued":{"date-parts":[["2017","8","1"]]},"page":"659-669","publisher":"Springer London","title":"Characterization of patients with diabetic foot disease presenting to an Irish Podiatry Centre: profiling suitability for entry to a clinical trial of advanced wound therapeutics","type":"article-journal","volume":"186"},"uris":["http://www.mendeley.com/documents/?uuid=2c66ea4b-9688-3643-a41a-873a661acc44"]}],"mendeley":{"formattedCitation":"&lt;sup&gt;8,20,31,42&lt;/sup&gt;","plainTextFormattedCitation":"8,20,31,42","previouslyFormattedCitation":"&lt;sup&gt;8,20,31,42&lt;/sup&gt;"},"properties":{"noteIndex":0},"schema":"https://github.com/citation-style-language/schema/raw/master/csl-citation.json"}</w:instrText>
      </w:r>
      <w:r w:rsidR="000B0C39" w:rsidRPr="00804F42">
        <w:fldChar w:fldCharType="separate"/>
      </w:r>
      <w:r w:rsidR="002E2FD7" w:rsidRPr="002E2FD7">
        <w:rPr>
          <w:noProof/>
          <w:vertAlign w:val="superscript"/>
        </w:rPr>
        <w:t>8,20,31,42</w:t>
      </w:r>
      <w:r w:rsidR="000B0C39" w:rsidRPr="00804F42">
        <w:fldChar w:fldCharType="end"/>
      </w:r>
      <w:r w:rsidR="00B85114" w:rsidRPr="00804F42">
        <w:t xml:space="preserve">. </w:t>
      </w:r>
      <w:r w:rsidR="007E009B" w:rsidRPr="00804F42">
        <w:t>I</w:t>
      </w:r>
      <w:r>
        <w:t>n the present</w:t>
      </w:r>
      <w:r w:rsidR="00B85114" w:rsidRPr="00804F42">
        <w:t xml:space="preserve"> </w:t>
      </w:r>
      <w:r w:rsidR="00AB5B19">
        <w:t>study</w:t>
      </w:r>
      <w:r w:rsidR="00B85114" w:rsidRPr="001114C2">
        <w:t>, the results show</w:t>
      </w:r>
      <w:r w:rsidR="007E009B">
        <w:t>ed</w:t>
      </w:r>
      <w:r w:rsidR="004C1D96">
        <w:t xml:space="preserve"> that ulcer</w:t>
      </w:r>
      <w:r w:rsidR="007E009B">
        <w:t>s</w:t>
      </w:r>
      <w:r w:rsidR="00B85114" w:rsidRPr="001114C2">
        <w:t xml:space="preserve"> &lt;1cm</w:t>
      </w:r>
      <w:r w:rsidR="00B85114" w:rsidRPr="001114C2">
        <w:rPr>
          <w:vertAlign w:val="superscript"/>
        </w:rPr>
        <w:t xml:space="preserve">2 </w:t>
      </w:r>
      <w:r w:rsidR="00B85114" w:rsidRPr="001114C2">
        <w:t>ha</w:t>
      </w:r>
      <w:r w:rsidR="007E009B">
        <w:t>d</w:t>
      </w:r>
      <w:r w:rsidR="00B85114" w:rsidRPr="001114C2">
        <w:t xml:space="preserve"> the highest healing pr</w:t>
      </w:r>
      <w:r w:rsidR="004C1D96">
        <w:t>oportion (50.9%) compared to ulcer</w:t>
      </w:r>
      <w:r w:rsidR="007E009B">
        <w:t>s</w:t>
      </w:r>
      <w:r w:rsidR="00B85114" w:rsidRPr="001114C2">
        <w:t xml:space="preserve"> 1-10cm</w:t>
      </w:r>
      <w:r w:rsidR="00B85114" w:rsidRPr="001114C2">
        <w:rPr>
          <w:vertAlign w:val="superscript"/>
        </w:rPr>
        <w:t>2</w:t>
      </w:r>
      <w:r w:rsidR="000373CE">
        <w:t xml:space="preserve"> (30.7%) and ulcer</w:t>
      </w:r>
      <w:r w:rsidR="007E009B">
        <w:t>s</w:t>
      </w:r>
      <w:r w:rsidR="00B85114" w:rsidRPr="001114C2">
        <w:t xml:space="preserve"> &gt;10cm</w:t>
      </w:r>
      <w:r w:rsidR="00B85114" w:rsidRPr="001114C2">
        <w:rPr>
          <w:vertAlign w:val="superscript"/>
        </w:rPr>
        <w:t>2</w:t>
      </w:r>
      <w:r w:rsidR="00B85114" w:rsidRPr="001114C2">
        <w:t xml:space="preserve">(25.0%). The univariate analyses revealed that ulcer sizes </w:t>
      </w:r>
      <w:r w:rsidR="00B85114" w:rsidRPr="001114C2">
        <w:rPr>
          <w:lang w:val="en-US"/>
        </w:rPr>
        <w:t>1-10cm</w:t>
      </w:r>
      <w:r w:rsidR="00B85114" w:rsidRPr="001114C2">
        <w:rPr>
          <w:vertAlign w:val="superscript"/>
          <w:lang w:val="en-US"/>
        </w:rPr>
        <w:t>2</w:t>
      </w:r>
      <w:r w:rsidR="00B85114" w:rsidRPr="001114C2">
        <w:rPr>
          <w:lang w:val="en-US"/>
        </w:rPr>
        <w:t xml:space="preserve"> (PR: 0.60, 95% CI: 0.47-0.77, P&lt;.001) and &gt;10cm</w:t>
      </w:r>
      <w:r w:rsidR="00B85114" w:rsidRPr="001114C2">
        <w:rPr>
          <w:vertAlign w:val="superscript"/>
          <w:lang w:val="en-US"/>
        </w:rPr>
        <w:t xml:space="preserve">2 </w:t>
      </w:r>
      <w:r w:rsidR="00B85114" w:rsidRPr="001114C2">
        <w:rPr>
          <w:lang w:val="en-US"/>
        </w:rPr>
        <w:t xml:space="preserve">(PR: 0.49, 95% CI: 0.33-0.73, P&lt;.001) </w:t>
      </w:r>
      <w:r w:rsidR="007E009B">
        <w:rPr>
          <w:lang w:val="en-US"/>
        </w:rPr>
        <w:t>were</w:t>
      </w:r>
      <w:r w:rsidR="007E009B" w:rsidRPr="001114C2">
        <w:rPr>
          <w:lang w:val="en-US"/>
        </w:rPr>
        <w:t xml:space="preserve"> </w:t>
      </w:r>
      <w:r w:rsidR="00B85114" w:rsidRPr="001114C2">
        <w:rPr>
          <w:lang w:val="en-US"/>
        </w:rPr>
        <w:t>negatively</w:t>
      </w:r>
      <w:r w:rsidR="00B85114" w:rsidRPr="001114C2">
        <w:t xml:space="preserve"> associated with healing within 3 months. These findings are in line with th</w:t>
      </w:r>
      <w:r w:rsidR="003E7B28">
        <w:t>e results reported by a recent study</w:t>
      </w:r>
      <w:r w:rsidR="00B85114" w:rsidRPr="001114C2">
        <w:t xml:space="preserve"> </w:t>
      </w:r>
      <w:r w:rsidR="00B85114" w:rsidRPr="001114C2">
        <w:fldChar w:fldCharType="begin" w:fldLock="1"/>
      </w:r>
      <w:r w:rsidR="002E2FD7">
        <w:instrText>ADDIN CSL_CITATION {"citationItems":[{"id":"ITEM-1","itemData":{"DOI":"10.12968/jowc.2019.28.Sup1.S4","ISSN":"0969-0700","author":[{"dropping-particle":"","family":"Kee","given":"Khaw Kher","non-dropping-particle":"","parse-names":false,"suffix":""},{"dropping-particle":"","family":"Nair","given":"Harikrishna K. R.","non-dropping-particle":"","parse-names":false,"suffix":""},{"dropping-particle":"","family":"Yuen","given":"Ng Pei","non-dropping-particle":"","parse-names":false,"suffix":""}],"container-title":"Journal of Wound Care","id":"ITEM-1","issue":"Sup1","issued":{"date-parts":[["2019","1"]]},"page":"S4-S13","title":"Risk factor analysis on the healing time and infection rate of diabetic foot ulcers in a referral wound care clinic","type":"article-journal","volume":"28"},"uris":["http://www.mendeley.com/documents/?uuid=7d5c8526-b080-38c1-99a2-3a7934f26e05"]}],"mendeley":{"formattedCitation":"&lt;sup&gt;36&lt;/sup&gt;","plainTextFormattedCitation":"36","previouslyFormattedCitation":"&lt;sup&gt;36&lt;/sup&gt;"},"properties":{"noteIndex":0},"schema":"https://github.com/citation-style-language/schema/raw/master/csl-citation.json"}</w:instrText>
      </w:r>
      <w:r w:rsidR="00B85114" w:rsidRPr="001114C2">
        <w:fldChar w:fldCharType="separate"/>
      </w:r>
      <w:r w:rsidR="002E2FD7" w:rsidRPr="002E2FD7">
        <w:rPr>
          <w:noProof/>
          <w:vertAlign w:val="superscript"/>
        </w:rPr>
        <w:t>36</w:t>
      </w:r>
      <w:r w:rsidR="00B85114" w:rsidRPr="001114C2">
        <w:fldChar w:fldCharType="end"/>
      </w:r>
      <w:r w:rsidR="003E7B28">
        <w:t xml:space="preserve"> </w:t>
      </w:r>
      <w:r w:rsidR="00B85114" w:rsidRPr="001114C2">
        <w:t>that healing time was significantly longer for patien</w:t>
      </w:r>
      <w:r w:rsidR="004C1D96">
        <w:t>ts with a ulcer</w:t>
      </w:r>
      <w:r w:rsidR="00B85114" w:rsidRPr="001114C2">
        <w:t xml:space="preserve"> size &gt;10cm</w:t>
      </w:r>
      <w:r w:rsidR="00B85114" w:rsidRPr="001114C2">
        <w:rPr>
          <w:vertAlign w:val="superscript"/>
        </w:rPr>
        <w:t>2</w:t>
      </w:r>
      <w:r w:rsidR="00B85114" w:rsidRPr="001114C2">
        <w:t xml:space="preserve"> compared to those with an ulcer size between 2–10cm</w:t>
      </w:r>
      <w:r w:rsidR="00B85114" w:rsidRPr="001114C2">
        <w:rPr>
          <w:vertAlign w:val="superscript"/>
        </w:rPr>
        <w:t>2</w:t>
      </w:r>
      <w:r w:rsidR="00B85114" w:rsidRPr="001114C2">
        <w:t>, or ulcer size of &lt;2cm</w:t>
      </w:r>
      <w:r w:rsidR="00B85114" w:rsidRPr="001114C2">
        <w:rPr>
          <w:vertAlign w:val="superscript"/>
        </w:rPr>
        <w:t>2</w:t>
      </w:r>
      <w:r w:rsidR="00AC668C">
        <w:t xml:space="preserve">. </w:t>
      </w:r>
    </w:p>
    <w:p w14:paraId="6C44D5DA" w14:textId="77777777" w:rsidR="00B85114" w:rsidRPr="001114C2" w:rsidRDefault="00B85114" w:rsidP="00900EDF">
      <w:pPr>
        <w:shd w:val="clear" w:color="auto" w:fill="FFFFFF" w:themeFill="background1"/>
        <w:jc w:val="both"/>
      </w:pPr>
    </w:p>
    <w:p w14:paraId="6B8DF95E" w14:textId="0E798C40" w:rsidR="007E009B" w:rsidRPr="001114C2" w:rsidRDefault="00962C9E" w:rsidP="007E009B">
      <w:pPr>
        <w:shd w:val="clear" w:color="auto" w:fill="FFFFFF" w:themeFill="background1"/>
        <w:jc w:val="both"/>
      </w:pPr>
      <w:r>
        <w:t>The</w:t>
      </w:r>
      <w:r w:rsidR="007E009B" w:rsidRPr="001114C2">
        <w:t xml:space="preserve"> </w:t>
      </w:r>
      <w:r w:rsidR="007E009B" w:rsidRPr="001114C2">
        <w:rPr>
          <w:lang w:val="en-SG"/>
        </w:rPr>
        <w:t>univariate</w:t>
      </w:r>
      <w:r w:rsidR="007E009B" w:rsidRPr="001114C2">
        <w:t xml:space="preserve"> analysis </w:t>
      </w:r>
      <w:r>
        <w:t xml:space="preserve">in the present study </w:t>
      </w:r>
      <w:r w:rsidR="007E009B">
        <w:t xml:space="preserve">also </w:t>
      </w:r>
      <w:r w:rsidR="004C1D96">
        <w:t>found that ulcer</w:t>
      </w:r>
      <w:r w:rsidR="007E009B" w:rsidRPr="001114C2">
        <w:t xml:space="preserve"> duration ≥ 6 months was negatively associated with healing (PR: 0.34, 95% CI: 0.21-0.56, P&lt;.001), however, this was not significant in </w:t>
      </w:r>
      <w:r w:rsidR="00AB5B19">
        <w:t>the</w:t>
      </w:r>
      <w:r w:rsidR="00AB5B19" w:rsidRPr="001114C2">
        <w:t xml:space="preserve"> </w:t>
      </w:r>
      <w:r w:rsidR="007E009B" w:rsidRPr="001114C2">
        <w:t xml:space="preserve">multivariable analysis (PR: 0.35, 95% CI: 0.18-0.52, P&lt;.001). </w:t>
      </w:r>
      <w:r w:rsidR="007E009B">
        <w:t>A p</w:t>
      </w:r>
      <w:r w:rsidR="007E009B" w:rsidRPr="001114C2">
        <w:t xml:space="preserve">revious study reported that </w:t>
      </w:r>
      <w:r w:rsidR="007E009B">
        <w:t xml:space="preserve">a </w:t>
      </w:r>
      <w:r w:rsidR="007E009B" w:rsidRPr="001114C2">
        <w:t xml:space="preserve">longer duration of </w:t>
      </w:r>
      <w:r w:rsidR="004C1D96">
        <w:t>ulcer</w:t>
      </w:r>
      <w:r w:rsidR="007E009B">
        <w:t>s</w:t>
      </w:r>
      <w:r w:rsidR="007E009B" w:rsidRPr="001114C2">
        <w:t xml:space="preserve"> showed decreased healing process (B= -0.038, HR: 0.963, 95% CI: 0.918-1.010, P=.121)</w:t>
      </w:r>
      <w:r w:rsidR="007E009B" w:rsidRPr="001114C2">
        <w:fldChar w:fldCharType="begin" w:fldLock="1"/>
      </w:r>
      <w:r w:rsidR="002E2FD7">
        <w:instrText>ADDIN CSL_CITATION {"citationItems":[{"id":"ITEM-1","itemData":{"abstract":"ABSTRAK Tujuan: mempelajari peran faktor risiko klinis, penanda fungsi vasodilatasi, respons inflamasi, dan aterosklerosis dalam memprediksi penyembuhan luka kaki diabetik. Metode: studi kohort dilakukan sejak Februari-Oktober 2010 terhadap 40 subyek penelitian dengan ulkus diabetik akut di ruang rawat inap RSUPN Dr. Cipto Mangunkusumo, Jakarta, Indonesia. Pada setiap subyek, dilakukan minimal dua kali pengukuran variabel, yaitu pada fase inflamasi dan proliferasi. Variabel yang diteliti berupa karakteristik klinis, pemeriksaan darah perifer lengkap (DPL) dan hitung jenis, HbA1c, ureum, kreatinin, profil lipid, glukosa darah puasa (GDP), penanda disfungsi endotel (asymmetric dimethylarginine/ADMA, endothelin-1/ET-1, dan flow-mediated dilation/FMD arteri brakialis), dan penanda kalsifikasi vaskular (osteoprotegerin/OPG). Hasil: waktu rerata tercapainya jaringan granulasi 50% pada penelitian ini adalah 21 hari. Terdapat sembilan faktor yang berperan dalam pembentukan 50% jaringan granulasi, yaitu riwayat DM pada keluarga, riwayat luka, luas luka, lama luka, pemakaian kaptopril dan simvastatin, konsentrasi ADMA, ET-1, dan OPG. Terdapat tiga dari sembilan faktor yang secara signifikan berkorelasi terhadap penyembuhan luka, yaitu luas luka, konsentrasi OPG, dan pemakaian simvastatin. Kesimpulan: pada ulkus diabetik akut, luas luka dan konsentrasi OPG memiliki korelasi positif terhadap penyembuhan luka, sementara pemakaian simvastatin memiliki korelasi negatif terhadap penyembuhan luka. Kata kunci: ulkus diabetik, penyembuhan luka, disfungsi endotel, kalsifikasi vaskular. ABSTRACT Aim: to evaluate the role of clinical characteristics, functional markers of vasodilation, inflammatory response, and atherosclerosis in predicting wound healing in diabetic foot ulcer. Methods: a cohort study (February-October 2010) was conducted from 40 subjects with acute diabetic foot ulcer at clinical ward of Dr. Cipto Mangunkusumo National Central General Hospital, Jakarta, Indonesia. Each subject underwent at least two variable measurements, i.e. during inflammatory phase and proliferation phase. The studied variables were clinical characteristics, complete peripheral blood count (CBC) and differential count, levels of HbA1c, Pradana Soewondo Acta Med Indones-Indones J Intern Med 42 ureum, creatinine, lipid profile, fasting blood glucose (FBG), marker of endothelial dysfunction (asymmetric dimethylarginine/ADMA, endothelin-1/ET-1, and flow-mediated dilation/FMD of brachial ar…","author":[{"dropping-particle":"","family":"Soewondo","given":"Pradana","non-dropping-particle":"","parse-names":false,"suffix":""},{"dropping-particle":"","family":"Suyono","given":"Slamet","non-dropping-particle":"","parse-names":false,"suffix":""},{"dropping-particle":"","family":"Kanoko Sastrosuwignyo","given":"Mpu","non-dropping-particle":"","parse-names":false,"suffix":""},{"dropping-particle":"","family":"Harahap","given":"Alida R","non-dropping-particle":"","parse-names":false,"suffix":""},{"dropping-particle":"","family":"Sutrisna","given":"Bambang","non-dropping-particle":"","parse-names":false,"suffix":""},{"dropping-particle":"","family":"Makmun","given":"Lukman H","non-dropping-particle":"","parse-names":false,"suffix":""}],"container-title":"Acta Med Indones-Indones J Intern Med","id":"ITEM-1","issued":{"date-parts":[["2017"]]},"title":"Prediction of Wound Healing in Diabetic Foot Ulcers: an Observational Study in Tertiary Hospital in Indonesia","type":"report","volume":"49"},"uris":["http://www.mendeley.com/documents/?uuid=72516912-fc26-33aa-b347-48b1cb248590"]},{"id":"ITEM-2","itemData":{"DOI":"10.1002/dmrr.2400","ISSN":"15207552","PMID":"23390115","abstract":"BACKGROUND Healing of heel ulcers in patients with diabetes is considered to be poor, but there is relatively little information on the influence of ulcer location on ulcer healing. METHODS The influence of ulcer location on time to healing of diabetic foot ulcers was analysed by multivariate Cox regression analysis for 1000 patients included in the Eurodiale study, a prospective cohort study of patients with diabetic foot disease. RESULTS Median time to healing was 147 days for toe ulcers [(95% confidence interval (CI) 135-159 days)], 188 days for midfoot ulcers (95% CI 158-218 days) and 237 days for heel ulcers (95% CI 205-269 days) (p &lt; 0.01). The median time to healing for plantar ulcers was 172 days (95% CI 157-187 days) and 155 days (95% CI 138-172 days) for nonplantar ulcers (p = 0.71). In multivariate Cox regression analysis, the hazard ratio for ulcer healing for midfoot and heel ulcers compared with toe ulcers was 0.77 (95% CI 0.64-0.92) and 0.62 (95% CI 0.47-0.83), respectively; the hazard ratio for ulcer healing for plantar versus nonplantar ulcers was 1 (95% CI 0.84-1.19). Other factors significantly influencing time to healing were the duration of diabetes, ulcer duration, the presence of heart failure and the presence of peripheral arterial disease. CONCLUSIONS Time to ulcer healing increased progressively from toe to midfoot to heel, but did not differ between plantar and nonplantar ulcers. Our data also indicate that risk factors for longer time to healing differ from factors that affect the ultimate number of ulcers that heal (healing rate).","author":[{"dropping-particle":"","family":"Pickwell","given":"Kristy M.","non-dropping-particle":"","parse-names":false,"suffix":""},{"dropping-particle":"","family":"Siersma","given":"Volkert D.","non-dropping-particle":"","parse-names":false,"suffix":""},{"dropping-particle":"","family":"Kars","given":"Marleen","non-dropping-particle":"","parse-names":false,"suffix":""},{"dropping-particle":"","family":"Holstein","given":"Per E.","non-dropping-particle":"","parse-names":false,"suffix":""},{"dropping-particle":"","family":"Schaper","given":"Nicolaas C.","non-dropping-particle":"","parse-names":false,"suffix":""},{"dropping-particle":"","family":"Eurodiale consortium","given":"","non-dropping-particle":"","parse-names":false,"suffix":""}],"container-title":"Diabetes/Metabolism Research and Reviews","id":"ITEM-2","issue":"5","issued":{"date-parts":[["2013","7"]]},"page":"377-383","title":"Diabetic foot disease: impact of ulcer location on ulcer healing","type":"article-journal","volume":"29"},"uris":["http://www.mendeley.com/documents/?uuid=9edd05a9-1ddf-3a66-aaae-8ef5d735acb5"]},{"id":"ITEM-3","itemData":{"DOI":"10.1007/s00125-008-0940-0","ISSN":"0012-186X","PMID":"18297261","abstract":"AIMS/HYPOTHESIS Outcome data on individuals with diabetic foot ulcers are scarce, especially in those with peripheral arterial disease (PAD). We therefore examined the clinical characteristics that best predict poor outcome in a large population of diabetic foot ulcer patients and examined whether such predictors differ between patients with and without PAD. METHODS Analyses were conducted within the EURODIALE Study, a prospective cohort study of 1,088 diabetic foot ulcer patients across 14 centres in Europe. Multiple logistic regression modelling was used to identify independent predictors of outcome (i.e. non-healing of the foot ulcer). RESULTS After 1 year of follow-up, 23% of the patients had not healed. Independent baseline predictors of non-healing in the whole study population were older age, male sex, heart failure, the inability to stand or walk without help, end-stage renal disease, larger ulcer size, peripheral neuropathy and PAD. When analyses were performed according to PAD status, infection emerged as a specific predictor of non-healing in PAD patients only. CONCLUSIONS/INTERPRETATION Predictors of healing differ between patients with and without PAD, suggesting that diabetic foot ulcers with or without concomitant PAD should be defined as two separate disease states. The observed negative impact of infection on healing that was confined to patients with PAD needs further investigation.","author":[{"dropping-particle":"","family":"Prompers","given":"L","non-dropping-particle":"","parse-names":false,"suffix":""},{"dropping-particle":"","family":"Schaper","given":"N","non-dropping-particle":"","parse-names":false,"suffix":""},{"dropping-particle":"","family":"Apelqvist","given":"J","non-dropping-particle":"","parse-names":false,"suffix":""},{"dropping-particle":"","family":"Edmonds","given":"M","non-dropping-particle":"","parse-names":false,"suffix":""},{"dropping-particle":"","family":"Jude","given":"E","non-dropping-particle":"","parse-names":false,"suffix":""},{"dropping-particle":"","family":"Mauricio","given":"D","non-dropping-particle":"","parse-names":false,"suffix":""},{"dropping-particle":"","family":"Uccioli","given":"L","non-dropping-particle":"","parse-names":false,"suffix":""},{"dropping-particle":"","family":"Urbancic","given":"V","non-dropping-particle":"","parse-names":false,"suffix":""},{"dropping-particle":"","family":"Bakker","given":"K","non-dropping-particle":"","parse-names":false,"suffix":""},{"dropping-particle":"","family":"Holstein","given":"P","non-dropping-particle":"","parse-names":false,"suffix":""},{"dropping-particle":"","family":"Jirkovska","given":"A","non-dropping-particle":"","parse-names":false,"suffix":""},{"dropping-particle":"","family":"Piaggesi","given":"A","non-dropping-particle":"","parse-names":false,"suffix":""},{"dropping-particle":"","family":"Ragnarson-Tennvall","given":"G","non-dropping-particle":"","parse-names":false,"suffix":""},{"dropping-particle":"","family":"Reike","given":"H","non-dropping-particle":"","parse-names":false,"suffix":""},{"dropping-particle":"","family":"Spraul","given":"M","non-dropping-particle":"","parse-names":false,"suffix":""},{"dropping-particle":"","family":"Acker","given":"K","non-dropping-particle":"Van","parse-names":false,"suffix":""},{"dropping-particle":"","family":"Baal","given":"J","non-dropping-particle":"Van","parse-names":false,"suffix":""},{"dropping-particle":"","family":"Merode","given":"F","non-dropping-particle":"Van","parse-names":false,"suffix":""},{"dropping-particle":"","family":"Ferreira","given":"I","non-dropping-particle":"","parse-names":false,"suffix":""},{"dropping-particle":"","family":"Huijberts","given":"M","non-dropping-particle":"","parse-names":false,"suffix":""}],"container-title":"Diabetologia","id":"ITEM-3","issue":"5","issued":{"date-parts":[["2008","5"]]},"page":"747-55","publisher":"Springer","title":"Prediction of outcome in individuals with diabetic foot ulcers: focus on the differences between individuals with and without peripheral arterial disease. The EURODIALE Study.","type":"article-journal","volume":"51"},"uris":["http://www.mendeley.com/documents/?uuid=ff51226d-f9e3-30ed-b649-c128a112777c"]},{"id":"ITEM-4","itemData":{"DOI":"10.2478/enr-2020-0023","ISSN":"13360329","PMID":"32857716","abstract":"Objective. The high amputation rates from diabetic foot ulcer (DFU) in Nigeria and prolonged hospitalization due to poor wound healing is a source of concern. Furthermore, factors that affect wound healing of DFUs have not yet been well studied in Nigeria, whereas knowing these factors could improve DFU outcomes. Therefore, the objective of this study was to determine the factors that are associated with the wound healing in patients hospitalized for DFU. Methods. The Multi-Center Evaluation of Diabetic Foot Ulcer in Nigeria (MEDFUN) was an observational study involving 336 diabetic patients hospitalized for DFU and managed by a multidisciplinary team until discharge or death. Demographic, clinical, and biochemical characteristics were documented. Test statistics used were chi square, t-test, univariate, and multivariate logistic regression. The study endpoints were ulcer healing, LEA, duration of hospitalization, and mortality. Here we present data on wound healing. Results. The mean ± SD age was 55.9±12.5 years. Univariate predictors of wound healing were ulcer duration more than 1 month prior to hospitalization (p&lt;0.001), peripheral arterial disease (PAD) (p&lt;0.001), foot gangrene (p&lt;0.001), Ulcer grade ≥3 (p=0.002), proteinuria (p=0.005), anemia (p=0.009), renal impairment (p=0.021), glycated hemoglobin ≥7% (0.012), and osteomyelitis (p&lt;0.001). On multivariate regression, osteomyelitis was the strongest independent predictor of wound healing after adjusting for all other variables (OR 0.035; 95% CI 0.004-0.332). This was followed by PAD (OR 0.093; 95% CI 0.028-0.311), ulcer duration &gt;1 month (OR 0.109; 95% CI 0.030-0.395), anemia (OR 0.179; 95% CI 0.056-0.571). Conclusion. Presence of osteomyelitis, duration of ulcer greater than 1 month, PAD, Wagner grade 3 or higher, proteinuria, presence of gangrene, anemia, renal impairment, and HbA1c ≥7% were the significant predictors of wound healing in patients hospitalized for DFU. Early identification and prompt attention to these factors in a diabetic foot wound might significantly improve healing and reduce adverse outcomes such as amputation and death.","author":[{"dropping-particle":"","family":"Ezeani","given":"Ignatius U.","non-dropping-particle":"","parse-names":false,"suffix":""},{"dropping-particle":"","family":"Ugwu","given":"Ejiofor T.","non-dropping-particle":"","parse-names":false,"suffix":""},{"dropping-particle":"","family":"Adeleye","given":"Funmi O.","non-dropping-particle":"","parse-names":false,"suffix":""},{"dropping-particle":"","family":"Gezawa","given":"Ibrahim D.","non-dropping-particle":"","parse-names":false,"suffix":""},{"dropping-particle":"","family":"Okpe","given":"Innocent O.","non-dropping-particle":"","parse-names":false,"suffix":""},{"dropping-particle":"","family":"Enamino","given":"Marcelina I.","non-dropping-particle":"","parse-names":false,"suffix":""}],"container-title":"Endocrine Regulations","id":"ITEM-4","issue":"3","issued":{"date-parts":[["2020","7","1"]]},"page":"207-216","publisher":"Sciendo","title":"Determinants of wound healing in patients hospitalized for diabetic foot ulcer: Results from the MEDFUN study","type":"article-journal","volume":"54"},"uris":["http://www.mendeley.com/documents/?uuid=c05dc4ae-54bb-384c-a707-950a96997829"]}],"mendeley":{"formattedCitation":"&lt;sup&gt;6,8,33,41&lt;/sup&gt;","plainTextFormattedCitation":"6,8,33,41","previouslyFormattedCitation":"&lt;sup&gt;6,8,33,41&lt;/sup&gt;"},"properties":{"noteIndex":0},"schema":"https://github.com/citation-style-language/schema/raw/master/csl-citation.json"}</w:instrText>
      </w:r>
      <w:r w:rsidR="007E009B" w:rsidRPr="001114C2">
        <w:fldChar w:fldCharType="separate"/>
      </w:r>
      <w:r w:rsidR="002E2FD7" w:rsidRPr="002E2FD7">
        <w:rPr>
          <w:noProof/>
          <w:vertAlign w:val="superscript"/>
        </w:rPr>
        <w:t>6,8,33,41</w:t>
      </w:r>
      <w:r w:rsidR="007E009B" w:rsidRPr="001114C2">
        <w:fldChar w:fldCharType="end"/>
      </w:r>
      <w:r w:rsidR="004C1D96">
        <w:t xml:space="preserve"> and the range of ulcer </w:t>
      </w:r>
      <w:r w:rsidR="007E009B" w:rsidRPr="001114C2">
        <w:t>duration was from 1 month (</w:t>
      </w:r>
      <w:r w:rsidR="004C1D96">
        <w:t>P</w:t>
      </w:r>
      <w:r w:rsidR="007E009B" w:rsidRPr="001114C2">
        <w:t xml:space="preserve">R: 0.187, 95% CI: 0.111–0.313 0.479, P&lt;.001) </w:t>
      </w:r>
      <w:r w:rsidR="007E009B" w:rsidRPr="001114C2">
        <w:fldChar w:fldCharType="begin" w:fldLock="1"/>
      </w:r>
      <w:r w:rsidR="002E2FD7">
        <w:instrText>ADDIN CSL_CITATION {"citationItems":[{"id":"ITEM-1","itemData":{"DOI":"10.2478/enr-2020-0023","ISSN":"13360329","PMID":"32857716","abstract":"Objective. The high amputation rates from diabetic foot ulcer (DFU) in Nigeria and prolonged hospitalization due to poor wound healing is a source of concern. Furthermore, factors that affect wound healing of DFUs have not yet been well studied in Nigeria, whereas knowing these factors could improve DFU outcomes. Therefore, the objective of this study was to determine the factors that are associated with the wound healing in patients hospitalized for DFU. Methods. The Multi-Center Evaluation of Diabetic Foot Ulcer in Nigeria (MEDFUN) was an observational study involving 336 diabetic patients hospitalized for DFU and managed by a multidisciplinary team until discharge or death. Demographic, clinical, and biochemical characteristics were documented. Test statistics used were chi square, t-test, univariate, and multivariate logistic regression. The study endpoints were ulcer healing, LEA, duration of hospitalization, and mortality. Here we present data on wound healing. Results. The mean ± SD age was 55.9±12.5 years. Univariate predictors of wound healing were ulcer duration more than 1 month prior to hospitalization (p&lt;0.001), peripheral arterial disease (PAD) (p&lt;0.001), foot gangrene (p&lt;0.001), Ulcer grade ≥3 (p=0.002), proteinuria (p=0.005), anemia (p=0.009), renal impairment (p=0.021), glycated hemoglobin ≥7% (0.012), and osteomyelitis (p&lt;0.001). On multivariate regression, osteomyelitis was the strongest independent predictor of wound healing after adjusting for all other variables (OR 0.035; 95% CI 0.004-0.332). This was followed by PAD (OR 0.093; 95% CI 0.028-0.311), ulcer duration &gt;1 month (OR 0.109; 95% CI 0.030-0.395), anemia (OR 0.179; 95% CI 0.056-0.571). Conclusion. Presence of osteomyelitis, duration of ulcer greater than 1 month, PAD, Wagner grade 3 or higher, proteinuria, presence of gangrene, anemia, renal impairment, and HbA1c ≥7% were the significant predictors of wound healing in patients hospitalized for DFU. Early identification and prompt attention to these factors in a diabetic foot wound might significantly improve healing and reduce adverse outcomes such as amputation and death.","author":[{"dropping-particle":"","family":"Ezeani","given":"Ignatius U.","non-dropping-particle":"","parse-names":false,"suffix":""},{"dropping-particle":"","family":"Ugwu","given":"Ejiofor T.","non-dropping-particle":"","parse-names":false,"suffix":""},{"dropping-particle":"","family":"Adeleye","given":"Funmi O.","non-dropping-particle":"","parse-names":false,"suffix":""},{"dropping-particle":"","family":"Gezawa","given":"Ibrahim D.","non-dropping-particle":"","parse-names":false,"suffix":""},{"dropping-particle":"","family":"Okpe","given":"Innocent O.","non-dropping-particle":"","parse-names":false,"suffix":""},{"dropping-particle":"","family":"Enamino","given":"Marcelina I.","non-dropping-particle":"","parse-names":false,"suffix":""}],"container-title":"Endocrine Regulations","id":"ITEM-1","issue":"3","issued":{"date-parts":[["2020","7","1"]]},"page":"207-216","publisher":"Sciendo","title":"Determinants of wound healing in patients hospitalized for diabetic foot ulcer: Results from the MEDFUN study","type":"article-journal","volume":"54"},"uris":["http://www.mendeley.com/documents/?uuid=c05dc4ae-54bb-384c-a707-950a96997829"]}],"mendeley":{"formattedCitation":"&lt;sup&gt;33&lt;/sup&gt;","plainTextFormattedCitation":"33","previouslyFormattedCitation":"&lt;sup&gt;33&lt;/sup&gt;"},"properties":{"noteIndex":0},"schema":"https://github.com/citation-style-language/schema/raw/master/csl-citation.json"}</w:instrText>
      </w:r>
      <w:r w:rsidR="007E009B" w:rsidRPr="001114C2">
        <w:fldChar w:fldCharType="separate"/>
      </w:r>
      <w:r w:rsidR="002E2FD7" w:rsidRPr="002E2FD7">
        <w:rPr>
          <w:noProof/>
          <w:vertAlign w:val="superscript"/>
        </w:rPr>
        <w:t>33</w:t>
      </w:r>
      <w:r w:rsidR="007E009B" w:rsidRPr="001114C2">
        <w:fldChar w:fldCharType="end"/>
      </w:r>
      <w:r w:rsidR="007E009B">
        <w:t xml:space="preserve"> up </w:t>
      </w:r>
      <w:r w:rsidR="007E009B" w:rsidRPr="001114C2">
        <w:t xml:space="preserve">to 3 months (OR: 2.61, 95% CI: 1.60-4.27, P&lt;.001) </w:t>
      </w:r>
      <w:r w:rsidR="007E009B" w:rsidRPr="001114C2">
        <w:fldChar w:fldCharType="begin" w:fldLock="1"/>
      </w:r>
      <w:r w:rsidR="002E2FD7">
        <w:instrText>ADDIN CSL_CITATION {"citationItems":[{"id":"ITEM-1","itemData":{"DOI":"10.1007/s00125-008-0940-0","ISSN":"0012-186X","PMID":"18297261","abstract":"AIMS/HYPOTHESIS Outcome data on individuals with diabetic foot ulcers are scarce, especially in those with peripheral arterial disease (PAD). We therefore examined the clinical characteristics that best predict poor outcome in a large population of diabetic foot ulcer patients and examined whether such predictors differ between patients with and without PAD. METHODS Analyses were conducted within the EURODIALE Study, a prospective cohort study of 1,088 diabetic foot ulcer patients across 14 centres in Europe. Multiple logistic regression modelling was used to identify independent predictors of outcome (i.e. non-healing of the foot ulcer). RESULTS After 1 year of follow-up, 23% of the patients had not healed. Independent baseline predictors of non-healing in the whole study population were older age, male sex, heart failure, the inability to stand or walk without help, end-stage renal disease, larger ulcer size, peripheral neuropathy and PAD. When analyses were performed according to PAD status, infection emerged as a specific predictor of non-healing in PAD patients only. CONCLUSIONS/INTERPRETATION Predictors of healing differ between patients with and without PAD, suggesting that diabetic foot ulcers with or without concomitant PAD should be defined as two separate disease states. The observed negative impact of infection on healing that was confined to patients with PAD needs further investigation.","author":[{"dropping-particle":"","family":"Prompers","given":"L","non-dropping-particle":"","parse-names":false,"suffix":""},{"dropping-particle":"","family":"Schaper","given":"N","non-dropping-particle":"","parse-names":false,"suffix":""},{"dropping-particle":"","family":"Apelqvist","given":"J","non-dropping-particle":"","parse-names":false,"suffix":""},{"dropping-particle":"","family":"Edmonds","given":"M","non-dropping-particle":"","parse-names":false,"suffix":""},{"dropping-particle":"","family":"Jude","given":"E","non-dropping-particle":"","parse-names":false,"suffix":""},{"dropping-particle":"","family":"Mauricio","given":"D","non-dropping-particle":"","parse-names":false,"suffix":""},{"dropping-particle":"","family":"Uccioli","given":"L","non-dropping-particle":"","parse-names":false,"suffix":""},{"dropping-particle":"","family":"Urbancic","given":"V","non-dropping-particle":"","parse-names":false,"suffix":""},{"dropping-particle":"","family":"Bakker","given":"K","non-dropping-particle":"","parse-names":false,"suffix":""},{"dropping-particle":"","family":"Holstein","given":"P","non-dropping-particle":"","parse-names":false,"suffix":""},{"dropping-particle":"","family":"Jirkovska","given":"A","non-dropping-particle":"","parse-names":false,"suffix":""},{"dropping-particle":"","family":"Piaggesi","given":"A","non-dropping-particle":"","parse-names":false,"suffix":""},{"dropping-particle":"","family":"Ragnarson-Tennvall","given":"G","non-dropping-particle":"","parse-names":false,"suffix":""},{"dropping-particle":"","family":"Reike","given":"H","non-dropping-particle":"","parse-names":false,"suffix":""},{"dropping-particle":"","family":"Spraul","given":"M","non-dropping-particle":"","parse-names":false,"suffix":""},{"dropping-particle":"","family":"Acker","given":"K","non-dropping-particle":"Van","parse-names":false,"suffix":""},{"dropping-particle":"","family":"Baal","given":"J","non-dropping-particle":"Van","parse-names":false,"suffix":""},{"dropping-particle":"","family":"Merode","given":"F","non-dropping-particle":"Van","parse-names":false,"suffix":""},{"dropping-particle":"","family":"Ferreira","given":"I","non-dropping-particle":"","parse-names":false,"suffix":""},{"dropping-particle":"","family":"Huijberts","given":"M","non-dropping-particle":"","parse-names":false,"suffix":""}],"container-title":"Diabetologia","id":"ITEM-1","issue":"5","issued":{"date-parts":[["2008","5"]]},"page":"747-55","publisher":"Springer","title":"Prediction of outcome in individuals with diabetic foot ulcers: focus on the differences between individuals with and without peripheral arterial disease. The EURODIALE Study.","type":"article-journal","volume":"51"},"uris":["http://www.mendeley.com/documents/?uuid=ff51226d-f9e3-30ed-b649-c128a112777c"]}],"mendeley":{"formattedCitation":"&lt;sup&gt;8&lt;/sup&gt;","plainTextFormattedCitation":"8","previouslyFormattedCitation":"&lt;sup&gt;8&lt;/sup&gt;"},"properties":{"noteIndex":0},"schema":"https://github.com/citation-style-language/schema/raw/master/csl-citation.json"}</w:instrText>
      </w:r>
      <w:r w:rsidR="007E009B" w:rsidRPr="001114C2">
        <w:fldChar w:fldCharType="separate"/>
      </w:r>
      <w:r w:rsidR="002E2FD7" w:rsidRPr="002E2FD7">
        <w:rPr>
          <w:noProof/>
          <w:vertAlign w:val="superscript"/>
        </w:rPr>
        <w:t>8</w:t>
      </w:r>
      <w:r w:rsidR="007E009B" w:rsidRPr="001114C2">
        <w:fldChar w:fldCharType="end"/>
      </w:r>
      <w:r w:rsidR="007E009B" w:rsidRPr="001114C2">
        <w:t>, (HR: 0.69, 95% CI: 0.52-0.91, P=.001)</w:t>
      </w:r>
      <w:r w:rsidR="007E009B" w:rsidRPr="001114C2">
        <w:fldChar w:fldCharType="begin" w:fldLock="1"/>
      </w:r>
      <w:r w:rsidR="002E2FD7">
        <w:instrText>ADDIN CSL_CITATION {"citationItems":[{"id":"ITEM-1","itemData":{"DOI":"10.1002/dmrr.2400","ISSN":"15207552","PMID":"23390115","abstract":"BACKGROUND Healing of heel ulcers in patients with diabetes is considered to be poor, but there is relatively little information on the influence of ulcer location on ulcer healing. METHODS The influence of ulcer location on time to healing of diabetic foot ulcers was analysed by multivariate Cox regression analysis for 1000 patients included in the Eurodiale study, a prospective cohort study of patients with diabetic foot disease. RESULTS Median time to healing was 147 days for toe ulcers [(95% confidence interval (CI) 135-159 days)], 188 days for midfoot ulcers (95% CI 158-218 days) and 237 days for heel ulcers (95% CI 205-269 days) (p &lt; 0.01). The median time to healing for plantar ulcers was 172 days (95% CI 157-187 days) and 155 days (95% CI 138-172 days) for nonplantar ulcers (p = 0.71). In multivariate Cox regression analysis, the hazard ratio for ulcer healing for midfoot and heel ulcers compared with toe ulcers was 0.77 (95% CI 0.64-0.92) and 0.62 (95% CI 0.47-0.83), respectively; the hazard ratio for ulcer healing for plantar versus nonplantar ulcers was 1 (95% CI 0.84-1.19). Other factors significantly influencing time to healing were the duration of diabetes, ulcer duration, the presence of heart failure and the presence of peripheral arterial disease. CONCLUSIONS Time to ulcer healing increased progressively from toe to midfoot to heel, but did not differ between plantar and nonplantar ulcers. Our data also indicate that risk factors for longer time to healing differ from factors that affect the ultimate number of ulcers that heal (healing rate).","author":[{"dropping-particle":"","family":"Pickwell","given":"Kristy M.","non-dropping-particle":"","parse-names":false,"suffix":""},{"dropping-particle":"","family":"Siersma","given":"Volkert D.","non-dropping-particle":"","parse-names":false,"suffix":""},{"dropping-particle":"","family":"Kars","given":"Marleen","non-dropping-particle":"","parse-names":false,"suffix":""},{"dropping-particle":"","family":"Holstein","given":"Per E.","non-dropping-particle":"","parse-names":false,"suffix":""},{"dropping-particle":"","family":"Schaper","given":"Nicolaas C.","non-dropping-particle":"","parse-names":false,"suffix":""},{"dropping-particle":"","family":"Eurodiale consortium","given":"","non-dropping-particle":"","parse-names":false,"suffix":""}],"container-title":"Diabetes/Metabolism Research and Reviews","id":"ITEM-1","issue":"5","issued":{"date-parts":[["2013","7"]]},"page":"377-383","title":"Diabetic foot disease: impact of ulcer location on ulcer healing","type":"article-journal","volume":"29"},"uris":["http://www.mendeley.com/documents/?uuid=9edd05a9-1ddf-3a66-aaae-8ef5d735acb5"]}],"mendeley":{"formattedCitation":"&lt;sup&gt;6&lt;/sup&gt;","plainTextFormattedCitation":"6","previouslyFormattedCitation":"&lt;sup&gt;6&lt;/sup&gt;"},"properties":{"noteIndex":0},"schema":"https://github.com/citation-style-language/schema/raw/master/csl-citation.json"}</w:instrText>
      </w:r>
      <w:r w:rsidR="007E009B" w:rsidRPr="001114C2">
        <w:fldChar w:fldCharType="separate"/>
      </w:r>
      <w:r w:rsidR="002E2FD7" w:rsidRPr="002E2FD7">
        <w:rPr>
          <w:noProof/>
          <w:vertAlign w:val="superscript"/>
        </w:rPr>
        <w:t>6</w:t>
      </w:r>
      <w:r w:rsidR="007E009B" w:rsidRPr="001114C2">
        <w:fldChar w:fldCharType="end"/>
      </w:r>
      <w:r w:rsidR="007E009B" w:rsidRPr="001114C2">
        <w:t xml:space="preserve">. </w:t>
      </w:r>
      <w:r w:rsidR="00AB5B19">
        <w:t xml:space="preserve">To </w:t>
      </w:r>
      <w:r w:rsidR="00AB5B19" w:rsidRPr="00804F42">
        <w:t xml:space="preserve">avoid </w:t>
      </w:r>
      <w:r w:rsidR="006904C2" w:rsidRPr="00804F42">
        <w:t xml:space="preserve">diabetic foot ulcers </w:t>
      </w:r>
      <w:r w:rsidR="00AB5B19" w:rsidRPr="00804F42">
        <w:t>to become</w:t>
      </w:r>
      <w:r w:rsidR="00AB5B19">
        <w:t xml:space="preserve"> chronic</w:t>
      </w:r>
      <w:r w:rsidR="007E009B" w:rsidRPr="001114C2">
        <w:t xml:space="preserve"> more vigilant care </w:t>
      </w:r>
      <w:r w:rsidR="00AB5B19">
        <w:t xml:space="preserve">and early </w:t>
      </w:r>
      <w:r w:rsidR="007E009B" w:rsidRPr="001114C2">
        <w:t>intervention</w:t>
      </w:r>
      <w:r w:rsidR="007E009B">
        <w:t>s</w:t>
      </w:r>
      <w:r w:rsidR="007E009B" w:rsidRPr="001114C2">
        <w:t xml:space="preserve"> </w:t>
      </w:r>
      <w:r w:rsidR="00AB5B19">
        <w:t>must</w:t>
      </w:r>
      <w:r w:rsidR="00AB5B19" w:rsidRPr="001114C2">
        <w:t xml:space="preserve"> </w:t>
      </w:r>
      <w:r w:rsidR="007E009B" w:rsidRPr="001114C2">
        <w:t xml:space="preserve">be considered to treat and </w:t>
      </w:r>
      <w:r w:rsidR="006904C2">
        <w:t>enable</w:t>
      </w:r>
      <w:r w:rsidR="00AB5B19">
        <w:t xml:space="preserve"> favorable </w:t>
      </w:r>
      <w:r w:rsidR="007E009B" w:rsidRPr="001114C2">
        <w:lastRenderedPageBreak/>
        <w:t>heal</w:t>
      </w:r>
      <w:r w:rsidR="00AB5B19">
        <w:t>ing outcomes</w:t>
      </w:r>
      <w:r w:rsidR="00AB5B19">
        <w:rPr>
          <w:color w:val="7030A0"/>
        </w:rPr>
        <w:t>.</w:t>
      </w:r>
      <w:r w:rsidR="007E009B" w:rsidRPr="001114C2">
        <w:rPr>
          <w:color w:val="7030A0"/>
        </w:rPr>
        <w:t xml:space="preserve"> </w:t>
      </w:r>
      <w:r w:rsidR="00AB5B19">
        <w:t>P</w:t>
      </w:r>
      <w:r w:rsidR="007E009B" w:rsidRPr="001114C2">
        <w:t>revent</w:t>
      </w:r>
      <w:r w:rsidR="00AB5B19">
        <w:t xml:space="preserve">ing diabetic foot ulcers </w:t>
      </w:r>
      <w:r w:rsidR="007E009B" w:rsidRPr="001114C2">
        <w:t xml:space="preserve">from evolving into chronic and complicated </w:t>
      </w:r>
      <w:r w:rsidR="00AB5B19">
        <w:t>ulcers,</w:t>
      </w:r>
      <w:r w:rsidR="00AB5B19" w:rsidRPr="001114C2">
        <w:t xml:space="preserve"> </w:t>
      </w:r>
      <w:r w:rsidR="007E009B" w:rsidRPr="001114C2">
        <w:t xml:space="preserve">which have </w:t>
      </w:r>
      <w:r w:rsidR="00AB5B19">
        <w:t xml:space="preserve">an overall </w:t>
      </w:r>
      <w:r w:rsidR="007E009B" w:rsidRPr="001114C2">
        <w:t>higher risk of amputation</w:t>
      </w:r>
      <w:r w:rsidR="00203F41">
        <w:t>,</w:t>
      </w:r>
      <w:r w:rsidR="00AB5B19">
        <w:t xml:space="preserve"> </w:t>
      </w:r>
      <w:r w:rsidR="00203F41">
        <w:t>could possibly have positive effects on patients quality of life as well as reduce healthcare costs if amputations were to be avoided</w:t>
      </w:r>
      <w:r w:rsidR="006904C2">
        <w:fldChar w:fldCharType="begin" w:fldLock="1"/>
      </w:r>
      <w:r w:rsidR="002E2FD7">
        <w:instrText>ADDIN CSL_CITATION {"citationItems":[{"id":"ITEM-1","itemData":{"DOI":"10.1111/wrr.12683","ISSN":"1524475X","abstract":"© 2018 by the Wound Healing Society Chronic wounds are a health problem that have devastating consequences for patients and contribute major costs to healthcare systems and societies. To understand the magnitude of this health issue, a systematic review was undertaken. Searches were conducted in MEDLINE, EMBASE, EBM Reviews and Cochrane library, CINAHL, EBSCO, PsycINFO, and Global Health databases for articles published between 2000 and 2015. Included publications had to target adults (≥18 years of age), state wound chronicity (≥3 weeks) and/or label the wounds as chronic, complex, hard-to-heal, or having led to an amputation. The review excluded studies that did not present data on generic health-related quality of life and/or cost data, case studies, randomized controlled trials, economic modeling studies, abstracts, and editorials. Extracted data were summarized into a narrative synthesis, and for a few articles using the same health-related quality of life instrument, average estimates with 95% confidence intervals were calculated. Thirty articles met the inclusion criteria. Findings revealed that health-related quality of life was lowest for physical pathologies, and based on average estimates were scores most inferior in the domain physical role for both patients with chronic wounds and for those with wound-related amputations. The cost burden was mainly attributed to amputations for patients also comorbid with diabetes, where the cost for hospitalization ranged from US$12,851 to US$16,267 (median) for this patient group. Patients with chronic wounds have poor health-related quality of life in general and wound-related costs are substantial. Development and implementation of wound management strategies that focus on increasing health-related quality of life and effectively reduce costs for this patient group are urgently needed.","author":[{"dropping-particle":"","family":"Olsson","given":"Maja","non-dropping-particle":"","parse-names":false,"suffix":""},{"dropping-particle":"","family":"Järbrink","given":"Krister","non-dropping-particle":"","parse-names":false,"suffix":""},{"dropping-particle":"","family":"Divakar","given":"Ushashree","non-dropping-particle":"","parse-names":false,"suffix":""},{"dropping-particle":"","family":"Bajpai","given":"Ram","non-dropping-particle":"","parse-names":false,"suffix":""},{"dropping-particle":"","family":"Upton","given":"Zee","non-dropping-particle":"","parse-names":false,"suffix":""},{"dropping-particle":"","family":"Schmidtchen","given":"Artur","non-dropping-particle":"","parse-names":false,"suffix":""},{"dropping-particle":"","family":"Car","given":"Josip","non-dropping-particle":"","parse-names":false,"suffix":""}],"container-title":"Wound Repair and Regeneration","id":"ITEM-1","issue":"1","issued":{"date-parts":[["2019","1","1"]]},"page":"114-125","publisher":"Blackwell Publishing Inc.","title":"The humanistic and economic burden of chronic wounds: A systematic review","type":"article","volume":"27"},"uris":["http://www.mendeley.com/documents/?uuid=19218dff-060d-3e73-b484-7ce6335a6451"]}],"mendeley":{"formattedCitation":"&lt;sup&gt;43&lt;/sup&gt;","plainTextFormattedCitation":"43","previouslyFormattedCitation":"&lt;sup&gt;43&lt;/sup&gt;"},"properties":{"noteIndex":0},"schema":"https://github.com/citation-style-language/schema/raw/master/csl-citation.json"}</w:instrText>
      </w:r>
      <w:r w:rsidR="006904C2">
        <w:fldChar w:fldCharType="separate"/>
      </w:r>
      <w:r w:rsidR="002E2FD7" w:rsidRPr="002E2FD7">
        <w:rPr>
          <w:noProof/>
          <w:vertAlign w:val="superscript"/>
        </w:rPr>
        <w:t>43</w:t>
      </w:r>
      <w:r w:rsidR="006904C2">
        <w:fldChar w:fldCharType="end"/>
      </w:r>
      <w:r w:rsidR="006904C2">
        <w:t xml:space="preserve">. </w:t>
      </w:r>
    </w:p>
    <w:p w14:paraId="3DB38137" w14:textId="77777777" w:rsidR="00D51DF0" w:rsidRPr="001114C2" w:rsidRDefault="00D51DF0" w:rsidP="00900EDF">
      <w:pPr>
        <w:shd w:val="clear" w:color="auto" w:fill="FFFFFF" w:themeFill="background1"/>
        <w:jc w:val="both"/>
      </w:pPr>
    </w:p>
    <w:p w14:paraId="3A552606" w14:textId="5BDC8157" w:rsidR="00420812" w:rsidRPr="001114C2" w:rsidRDefault="00962C9E" w:rsidP="0094458B">
      <w:pPr>
        <w:shd w:val="clear" w:color="auto" w:fill="FFFFFF" w:themeFill="background1"/>
        <w:jc w:val="both"/>
      </w:pPr>
      <w:r>
        <w:t>In the present</w:t>
      </w:r>
      <w:r w:rsidR="00203F41">
        <w:t xml:space="preserve"> study the</w:t>
      </w:r>
      <w:r w:rsidR="00203F41" w:rsidRPr="001114C2">
        <w:t xml:space="preserve"> </w:t>
      </w:r>
      <w:r w:rsidR="00000231" w:rsidRPr="001114C2">
        <w:rPr>
          <w:lang w:val="en-SG"/>
        </w:rPr>
        <w:t>univariate</w:t>
      </w:r>
      <w:r w:rsidR="00000231" w:rsidRPr="001114C2">
        <w:t xml:space="preserve"> </w:t>
      </w:r>
      <w:r w:rsidR="00D51DF0" w:rsidRPr="001114C2">
        <w:t>analysis show</w:t>
      </w:r>
      <w:r w:rsidR="00107580" w:rsidRPr="001114C2">
        <w:t>ed</w:t>
      </w:r>
      <w:r w:rsidR="00D51DF0" w:rsidRPr="001114C2">
        <w:t xml:space="preserve"> that prior amputation history </w:t>
      </w:r>
      <w:r w:rsidR="00CA1DBF" w:rsidRPr="001114C2">
        <w:t xml:space="preserve">was </w:t>
      </w:r>
      <w:r w:rsidR="00107580" w:rsidRPr="001114C2">
        <w:t xml:space="preserve">associated with </w:t>
      </w:r>
      <w:r w:rsidR="006904C2">
        <w:t xml:space="preserve">ulcer </w:t>
      </w:r>
      <w:r w:rsidR="00D51DF0" w:rsidRPr="001114C2">
        <w:t>healing (PR:0.68, 95% CI</w:t>
      </w:r>
      <w:r w:rsidR="007A59C6" w:rsidRPr="001114C2">
        <w:t>: 0.49-0.95,</w:t>
      </w:r>
      <w:r w:rsidR="00D51DF0" w:rsidRPr="001114C2">
        <w:t xml:space="preserve"> P=.024)</w:t>
      </w:r>
      <w:r w:rsidR="00107580" w:rsidRPr="001114C2">
        <w:t xml:space="preserve">, </w:t>
      </w:r>
      <w:r w:rsidR="00101042" w:rsidRPr="001114C2">
        <w:t>however</w:t>
      </w:r>
      <w:r w:rsidR="00107580" w:rsidRPr="001114C2">
        <w:t xml:space="preserve">, </w:t>
      </w:r>
      <w:r w:rsidR="00000231" w:rsidRPr="001114C2">
        <w:t xml:space="preserve">this was not significant in </w:t>
      </w:r>
      <w:r w:rsidR="00107580" w:rsidRPr="001114C2">
        <w:t xml:space="preserve">the </w:t>
      </w:r>
      <w:r w:rsidR="00000231" w:rsidRPr="001114C2">
        <w:t>multivariable analysis</w:t>
      </w:r>
      <w:r w:rsidR="00D654A9" w:rsidRPr="001114C2">
        <w:t xml:space="preserve"> (PR:0.77, 95% CI: 0.52-1.02, P=.116)</w:t>
      </w:r>
      <w:r w:rsidR="00E0675E" w:rsidRPr="001114C2">
        <w:t>.</w:t>
      </w:r>
      <w:r w:rsidR="00101042" w:rsidRPr="001114C2">
        <w:t xml:space="preserve"> </w:t>
      </w:r>
      <w:r w:rsidR="00A43717">
        <w:t>One p</w:t>
      </w:r>
      <w:r w:rsidR="00270964">
        <w:t xml:space="preserve">revious study </w:t>
      </w:r>
      <w:r w:rsidR="00107580" w:rsidRPr="001114C2">
        <w:t xml:space="preserve">found that </w:t>
      </w:r>
      <w:r w:rsidR="002200CA" w:rsidRPr="001114C2">
        <w:t xml:space="preserve">the healing time </w:t>
      </w:r>
      <w:r w:rsidR="00203F41">
        <w:t>for</w:t>
      </w:r>
      <w:r w:rsidR="002200CA" w:rsidRPr="001114C2">
        <w:t xml:space="preserve"> patients with a history of amputation </w:t>
      </w:r>
      <w:r w:rsidR="00107580" w:rsidRPr="001114C2">
        <w:t>was</w:t>
      </w:r>
      <w:r w:rsidR="002200CA" w:rsidRPr="001114C2">
        <w:t xml:space="preserve"> longer </w:t>
      </w:r>
      <w:r w:rsidR="00A43717">
        <w:t xml:space="preserve">compared to </w:t>
      </w:r>
      <w:r w:rsidR="002200CA" w:rsidRPr="001114C2">
        <w:t xml:space="preserve"> patient</w:t>
      </w:r>
      <w:r w:rsidR="00203F41">
        <w:t>s</w:t>
      </w:r>
      <w:r w:rsidR="002200CA" w:rsidRPr="001114C2">
        <w:t xml:space="preserve"> with</w:t>
      </w:r>
      <w:r w:rsidR="00203F41">
        <w:t xml:space="preserve"> no </w:t>
      </w:r>
      <w:r w:rsidR="002461B2">
        <w:t>history of amputation (P</w:t>
      </w:r>
      <w:r w:rsidR="002200CA" w:rsidRPr="001114C2">
        <w:t>=0.004)</w:t>
      </w:r>
      <w:r w:rsidR="002200CA" w:rsidRPr="001114C2">
        <w:fldChar w:fldCharType="begin" w:fldLock="1"/>
      </w:r>
      <w:r w:rsidR="002E2FD7">
        <w:instrText>ADDIN CSL_CITATION {"citationItems":[{"id":"ITEM-1","itemData":{"DOI":"10.12968/jowc.2019.28.Sup1.S4","ISSN":"0969-0700","author":[{"dropping-particle":"","family":"Kee","given":"Khaw Kher","non-dropping-particle":"","parse-names":false,"suffix":""},{"dropping-particle":"","family":"Nair","given":"Harikrishna K. R.","non-dropping-particle":"","parse-names":false,"suffix":""},{"dropping-particle":"","family":"Yuen","given":"Ng Pei","non-dropping-particle":"","parse-names":false,"suffix":""}],"container-title":"Journal of Wound Care","id":"ITEM-1","issue":"Sup1","issued":{"date-parts":[["2019","1"]]},"page":"S4-S13","title":"Risk factor analysis on the healing time and infection rate of diabetic foot ulcers in a referral wound care clinic","type":"article-journal","volume":"28"},"uris":["http://www.mendeley.com/documents/?uuid=7d5c8526-b080-38c1-99a2-3a7934f26e05"]}],"mendeley":{"formattedCitation":"&lt;sup&gt;36&lt;/sup&gt;","plainTextFormattedCitation":"36","previouslyFormattedCitation":"&lt;sup&gt;36&lt;/sup&gt;"},"properties":{"noteIndex":0},"schema":"https://github.com/citation-style-language/schema/raw/master/csl-citation.json"}</w:instrText>
      </w:r>
      <w:r w:rsidR="002200CA" w:rsidRPr="001114C2">
        <w:fldChar w:fldCharType="separate"/>
      </w:r>
      <w:r w:rsidR="002E2FD7" w:rsidRPr="002E2FD7">
        <w:rPr>
          <w:noProof/>
          <w:vertAlign w:val="superscript"/>
        </w:rPr>
        <w:t>36</w:t>
      </w:r>
      <w:r w:rsidR="002200CA" w:rsidRPr="001114C2">
        <w:fldChar w:fldCharType="end"/>
      </w:r>
      <w:r w:rsidR="00371C68" w:rsidRPr="001114C2">
        <w:t xml:space="preserve">. </w:t>
      </w:r>
      <w:r w:rsidR="00107580" w:rsidRPr="001114C2">
        <w:t>Th</w:t>
      </w:r>
      <w:r w:rsidR="00420812" w:rsidRPr="001114C2">
        <w:t xml:space="preserve">is could possibly be related to patients’ suboptimal functional </w:t>
      </w:r>
      <w:r w:rsidR="009F2BA8" w:rsidRPr="001114C2">
        <w:t xml:space="preserve">status and </w:t>
      </w:r>
      <w:r w:rsidR="00203F41">
        <w:t xml:space="preserve">that </w:t>
      </w:r>
      <w:r w:rsidR="00B05B43">
        <w:t>post-</w:t>
      </w:r>
      <w:r w:rsidR="00203F41">
        <w:t>amput</w:t>
      </w:r>
      <w:r w:rsidR="00B05B43">
        <w:t>ation</w:t>
      </w:r>
      <w:r w:rsidR="00203F41">
        <w:t xml:space="preserve"> patients</w:t>
      </w:r>
      <w:r w:rsidR="009F2BA8" w:rsidRPr="001114C2">
        <w:t xml:space="preserve"> </w:t>
      </w:r>
      <w:r w:rsidR="00203F41">
        <w:t>are</w:t>
      </w:r>
      <w:r w:rsidR="00330F90" w:rsidRPr="001114C2">
        <w:t xml:space="preserve"> </w:t>
      </w:r>
      <w:r w:rsidR="00B05B43">
        <w:t xml:space="preserve">at </w:t>
      </w:r>
      <w:r w:rsidR="00813320" w:rsidRPr="001114C2">
        <w:t>high</w:t>
      </w:r>
      <w:r w:rsidR="00A43717">
        <w:t>er</w:t>
      </w:r>
      <w:r w:rsidR="00813320" w:rsidRPr="001114C2">
        <w:t xml:space="preserve"> risk </w:t>
      </w:r>
      <w:r w:rsidR="00B05B43">
        <w:t>of</w:t>
      </w:r>
      <w:r w:rsidR="00B05B43" w:rsidRPr="001114C2">
        <w:t xml:space="preserve"> </w:t>
      </w:r>
      <w:r w:rsidR="00330F90" w:rsidRPr="001114C2">
        <w:t>delayed he</w:t>
      </w:r>
      <w:r w:rsidR="006904C2">
        <w:t>aling</w:t>
      </w:r>
      <w:r w:rsidR="00B05B43">
        <w:t>,</w:t>
      </w:r>
      <w:r w:rsidR="00B05B43" w:rsidRPr="001114C2">
        <w:t xml:space="preserve"> </w:t>
      </w:r>
      <w:r w:rsidR="00330F90" w:rsidRPr="001114C2">
        <w:t>re-ulceration</w:t>
      </w:r>
      <w:r w:rsidR="00B05B43">
        <w:t xml:space="preserve">, </w:t>
      </w:r>
      <w:r w:rsidR="00A43717">
        <w:t>as well as</w:t>
      </w:r>
      <w:r w:rsidR="00A43717" w:rsidRPr="001114C2">
        <w:t xml:space="preserve"> </w:t>
      </w:r>
      <w:r w:rsidR="00330F90" w:rsidRPr="001114C2">
        <w:t>re-</w:t>
      </w:r>
      <w:r w:rsidR="00813320" w:rsidRPr="001114C2">
        <w:t>amputation</w:t>
      </w:r>
      <w:r w:rsidR="00A43717">
        <w:t>,</w:t>
      </w:r>
      <w:r w:rsidR="00B05B43">
        <w:t xml:space="preserve"> since they</w:t>
      </w:r>
      <w:r w:rsidR="009F2BA8" w:rsidRPr="001114C2">
        <w:t xml:space="preserve"> </w:t>
      </w:r>
      <w:r w:rsidR="00B05B43" w:rsidRPr="001114C2">
        <w:t>requir</w:t>
      </w:r>
      <w:r w:rsidR="00B05B43">
        <w:t>e</w:t>
      </w:r>
      <w:r w:rsidR="00B05B43" w:rsidRPr="001114C2">
        <w:t xml:space="preserve"> </w:t>
      </w:r>
      <w:r w:rsidR="009F2BA8" w:rsidRPr="001114C2">
        <w:t xml:space="preserve">more </w:t>
      </w:r>
      <w:r w:rsidR="00282136" w:rsidRPr="001114C2">
        <w:t xml:space="preserve">care and </w:t>
      </w:r>
      <w:r w:rsidR="007A5E52" w:rsidRPr="001114C2">
        <w:t>support</w:t>
      </w:r>
      <w:r w:rsidR="009F2BA8" w:rsidRPr="001114C2">
        <w:t xml:space="preserve"> </w:t>
      </w:r>
      <w:r w:rsidR="00B05B43">
        <w:t>related to rehabilitation needs after the procedure</w:t>
      </w:r>
      <w:r w:rsidR="00F56117">
        <w:t xml:space="preserve"> </w:t>
      </w:r>
      <w:r w:rsidR="00F56117">
        <w:fldChar w:fldCharType="begin" w:fldLock="1"/>
      </w:r>
      <w:r w:rsidR="004E28CE">
        <w:instrText>ADDIN CSL_CITATION {"citationItems":[{"id":"ITEM-1","itemData":{"DOI":"10.1017/S146342362000064X","ISSN":"1463-4236","abstract":"Aim:\n      To explore the experiences of patients living with diabetic lower extremity amputation (DLEA) and its post-amputation wound in primary care. Background:\n      DLEA, including both minor and major amputation, is a life-altering condition that brings numerous challenges to an individual’s life. Post-amputation physical wound healing is complicated and challenging because of wound dehiscence and prolonged healing times. Understanding patients’ experiences after DLEA with a post-amputation wound will enable healthcare professionals to develop interventions to assist patients in physical healing and psychosocial recovery. Methods:\n      This study employs a qualitative design using interpretative phenomenological analysis (IPA). A purposive maximum variation sample of nine patients who had had lower extremity amputations and post-amputation wound attributed to diabetes in the previous 12 months was recruited from a primary care setting in Singapore. Semi-structured audio recorded one-to-one interviews with a duration of 45–60 min each were conducted between September 2018 and January 2019. The interviews were transcribed verbatim and analysed using IPA. Findings:\n      The essential meaning of the phenomenon ‘the lived experiences for patients with DLEA and post-amputated wound’ can be interpreted as ‘struggling for “normality”’ which encompasses four domains of sense making: physical loss disrupted normality, emotional impact aggravated the disrupted normality, social challenges further provoked the disrupted normality, and attempt to regain normality. The study highlights the complex physical and psychosocial transition facing patients after DLEA before post-amputation wound closure. In primary care, an amputation, whether minor or major, is a life-altering experience that requires physical healing, emotional recovery, and social adaptation to regain normality. Patients living with DLEA and a post-amputation wound may benefit from an interdisciplinary team care model to assist them with physical and psychosocial adjustment and resume normality.","author":[{"dropping-particle":"","family":"Zhu","given":"Xiaoli","non-dropping-particle":"","parse-names":false,"suffix":""},{"dropping-particle":"","family":"Goh","given":"Ling Jia","non-dropping-particle":"","parse-names":false,"suffix":""},{"dropping-particle":"","family":"Chew","given":"Evelyn","non-dropping-particle":"","parse-names":false,"suffix":""},{"dropping-particle":"","family":"Lee","given":"Mary","non-dropping-particle":"","parse-names":false,"suffix":""},{"dropping-particle":"","family":"Bartlam","given":"Bernadette","non-dropping-particle":"","parse-names":false,"suffix":""},{"dropping-particle":"","family":"Dong","given":"Lijuan","non-dropping-particle":"","parse-names":false,"suffix":""}],"container-title":"Primary Health Care Research &amp; Development","id":"ITEM-1","issued":{"date-parts":[["2020","12","16"]]},"page":"e63","publisher":"Cambridge University Press","title":"Struggling for normality: experiences of patients with diabetic lower extremity amputations and post-amputation wounds in primary care","type":"article-journal","volume":"21"},"uris":["http://www.mendeley.com/documents/?uuid=f4408a45-4f48-388c-a6d8-788c1539998a"]}],"mendeley":{"formattedCitation":"&lt;sup&gt;13&lt;/sup&gt;","plainTextFormattedCitation":"13","previouslyFormattedCitation":"&lt;sup&gt;13&lt;/sup&gt;"},"properties":{"noteIndex":0},"schema":"https://github.com/citation-style-language/schema/raw/master/csl-citation.json"}</w:instrText>
      </w:r>
      <w:r w:rsidR="00F56117">
        <w:fldChar w:fldCharType="separate"/>
      </w:r>
      <w:r w:rsidR="002E2FD7" w:rsidRPr="002E2FD7">
        <w:rPr>
          <w:noProof/>
          <w:vertAlign w:val="superscript"/>
        </w:rPr>
        <w:t>13</w:t>
      </w:r>
      <w:r w:rsidR="00F56117">
        <w:fldChar w:fldCharType="end"/>
      </w:r>
      <w:r w:rsidR="00F56117">
        <w:t xml:space="preserve">. </w:t>
      </w:r>
    </w:p>
    <w:p w14:paraId="4EF7882B" w14:textId="43080815" w:rsidR="00AE58DA" w:rsidRPr="001114C2" w:rsidRDefault="00AE58DA" w:rsidP="00AE58DA">
      <w:pPr>
        <w:shd w:val="clear" w:color="auto" w:fill="FFFFFF" w:themeFill="background1"/>
        <w:jc w:val="both"/>
      </w:pPr>
    </w:p>
    <w:p w14:paraId="1B61F866" w14:textId="3DB1F686" w:rsidR="007E009B" w:rsidRPr="000A141D" w:rsidRDefault="009E5C63" w:rsidP="000A141D">
      <w:pPr>
        <w:shd w:val="clear" w:color="auto" w:fill="FFFFFF" w:themeFill="background1"/>
        <w:jc w:val="both"/>
      </w:pPr>
      <w:r w:rsidRPr="001114C2">
        <w:t>In rel</w:t>
      </w:r>
      <w:r w:rsidR="00300CAA">
        <w:t>ation to healing outcomes</w:t>
      </w:r>
      <w:r w:rsidR="00F050F8">
        <w:t xml:space="preserve"> of diabetic foot ulcer</w:t>
      </w:r>
      <w:r w:rsidR="001E4037" w:rsidRPr="001114C2">
        <w:t>,</w:t>
      </w:r>
      <w:r w:rsidRPr="001114C2">
        <w:t xml:space="preserve"> t</w:t>
      </w:r>
      <w:r w:rsidR="00F900A7" w:rsidRPr="001114C2">
        <w:t>he healing rate</w:t>
      </w:r>
      <w:r w:rsidR="0046081F" w:rsidRPr="001114C2">
        <w:t xml:space="preserve"> </w:t>
      </w:r>
      <w:r w:rsidR="001E4037" w:rsidRPr="001114C2">
        <w:t xml:space="preserve">in the present study </w:t>
      </w:r>
      <w:r w:rsidR="00F37712" w:rsidRPr="001114C2">
        <w:t xml:space="preserve">(33.9%) </w:t>
      </w:r>
      <w:r w:rsidR="00A43717">
        <w:t>is similar to</w:t>
      </w:r>
      <w:r w:rsidR="0046081F" w:rsidRPr="001114C2">
        <w:t xml:space="preserve"> </w:t>
      </w:r>
      <w:r w:rsidR="004E58E6" w:rsidRPr="001114C2">
        <w:t>healing rate</w:t>
      </w:r>
      <w:r w:rsidR="00A43717">
        <w:t>s</w:t>
      </w:r>
      <w:r w:rsidR="004E58E6" w:rsidRPr="001114C2">
        <w:t xml:space="preserve"> reported in the U</w:t>
      </w:r>
      <w:r w:rsidR="002546E5" w:rsidRPr="001114C2">
        <w:t>nited States</w:t>
      </w:r>
      <w:r w:rsidR="004E58E6" w:rsidRPr="001114C2">
        <w:t xml:space="preserve"> </w:t>
      </w:r>
      <w:r w:rsidR="00A43717">
        <w:t xml:space="preserve">of America’s </w:t>
      </w:r>
      <w:r w:rsidR="004E58E6" w:rsidRPr="001114C2">
        <w:t>wound registry</w:t>
      </w:r>
      <w:r w:rsidR="00BE25BA">
        <w:t xml:space="preserve"> (30.5%)</w:t>
      </w:r>
      <w:r w:rsidR="0046081F" w:rsidRPr="001114C2">
        <w:t xml:space="preserve"> </w:t>
      </w:r>
      <w:r w:rsidR="0046081F" w:rsidRPr="001114C2">
        <w:fldChar w:fldCharType="begin" w:fldLock="1"/>
      </w:r>
      <w:r w:rsidR="002E2FD7">
        <w:instrText>ADDIN CSL_CITATION {"citationItems":[{"id":"ITEM-1","itemData":{"DOI":"10.1089/wound.2017.0743","abstract":"Significance: We compare real-world data from the U.S. Wound Registry (USWR) with randomized controlled trials and publicly reported wound outcomes and develop criteria for honest reporting of wound outcomes, a requirement of the new Quality Payment Program (QPP). Recent Advances: Because no method has existed by which wounds could be stratified according to their likelihood of healing among real-world patients, practitioners have reported fantastically high healing rates. The USWR has developed several risk-stratified wound healing quality measures for diabetic foot ulcers (DFUs) and venous leg ulcers (VLUs) as part of its Qualified Clinical Data Registry (QCDR). This allows practitioners to report DFU and VLU healing rates in comparison to the likelihood of whether the wound would have healed. Critical Issues: Under the new QPP, practitioners must report at least one practice-relevant outcome measure, and it must be risk adjusted so that clin-icians caring for the sickest patients do not appear to have worse outcomes than their peers. The Wound Healing Index is a validated risk-stratification method that can predict whether a DFU or VLU will heal, leveling the playing field for outcome reporting and removing the need to artificially inflate healing rates. Wound care practitioners can report the USWR DFU and VLU risk-stratified outcome measure to satisfy the quality reporting requirements of the QPP. Future Directions: Per the requirements of the QPP, the USWR will begin publicly reporting of risk-stratified healing rates once quality measure data have met the reporting standards of the Centers for Medicare and Medicaid Services. Some basic rules for data censoring are proposed for public reporting of healing rates, and others are needed, which should be decided by consensus among the wound care community. Keywords: wound healing rates, Merit-Based Incentive Payment, quality measures , real world data, qualified clinical data registry, randomized controlled trials SCOPE AND SIGNIFICANCE We compare real-world healing rates from the U.S. Wound Registry (USWR), a Qualified Clinical Data Registry (QCDR), with randomized controlled trials (RCTs) and publicly reported data and develop criteria for honest reporting of wound outcomes. RCT and USWR data provide convincing evidence that most wounds do not heal, whereas healing rates posted online by provider entities are so high","author":[{"dropping-particle":"","family":"Fife","given":"Caroline E","non-dropping-particle":"","parse-names":false,"suffix":""},{"dropping-particle":"","family":"Eckert","given":"Kristen A","non-dropping-particle":"","parse-names":false,"suffix":""},{"dropping-particle":"","family":"Carter","given":"Marissa J","non-dropping-particle":"","parse-names":false,"suffix":""}],"container-title":"ADVANCES IN WOUND CARE","id":"ITEM-1","issue":"3","issued":{"date-parts":[["2017"]]},"page":"77-94","publisher":"Mary Ann Liebert, Inc","title":"COMPREHENSIVE INVITED REVIEW Publicly Reported Wound Healing Rates: The Fantasy and the Reality","type":"article-journal","volume":"7"},"uris":["http://www.mendeley.com/documents/?uuid=fb4e74db-1f67-310f-b5ba-0262c679ca62"]}],"mendeley":{"formattedCitation":"&lt;sup&gt;19&lt;/sup&gt;","plainTextFormattedCitation":"19","previouslyFormattedCitation":"&lt;sup&gt;19&lt;/sup&gt;"},"properties":{"noteIndex":0},"schema":"https://github.com/citation-style-language/schema/raw/master/csl-citation.json"}</w:instrText>
      </w:r>
      <w:r w:rsidR="0046081F" w:rsidRPr="001114C2">
        <w:fldChar w:fldCharType="separate"/>
      </w:r>
      <w:r w:rsidR="002E2FD7" w:rsidRPr="002E2FD7">
        <w:rPr>
          <w:noProof/>
          <w:vertAlign w:val="superscript"/>
        </w:rPr>
        <w:t>19</w:t>
      </w:r>
      <w:r w:rsidR="0046081F" w:rsidRPr="001114C2">
        <w:fldChar w:fldCharType="end"/>
      </w:r>
      <w:r w:rsidR="002546E5" w:rsidRPr="001114C2">
        <w:t xml:space="preserve">, </w:t>
      </w:r>
      <w:r w:rsidR="00F70065" w:rsidRPr="001114C2">
        <w:t xml:space="preserve">but </w:t>
      </w:r>
      <w:r w:rsidR="00962C9E">
        <w:t xml:space="preserve">the healing rate in the present cohort </w:t>
      </w:r>
      <w:r w:rsidR="0046081F" w:rsidRPr="001114C2">
        <w:t xml:space="preserve">is relatively low compared </w:t>
      </w:r>
      <w:r w:rsidR="00A43717">
        <w:t>to</w:t>
      </w:r>
      <w:r w:rsidR="00A43717" w:rsidRPr="001114C2">
        <w:t xml:space="preserve"> </w:t>
      </w:r>
      <w:r w:rsidR="0046081F" w:rsidRPr="001114C2">
        <w:t>the findings from</w:t>
      </w:r>
      <w:r w:rsidR="00A43717">
        <w:t xml:space="preserve"> a</w:t>
      </w:r>
      <w:r w:rsidR="0046081F" w:rsidRPr="001114C2">
        <w:t xml:space="preserve"> </w:t>
      </w:r>
      <w:r w:rsidR="00AC130F" w:rsidRPr="001114C2">
        <w:t xml:space="preserve"> </w:t>
      </w:r>
      <w:r w:rsidR="00A43717">
        <w:t xml:space="preserve">Canadian </w:t>
      </w:r>
      <w:r w:rsidR="0046081F" w:rsidRPr="001114C2">
        <w:t xml:space="preserve"> </w:t>
      </w:r>
      <w:r w:rsidR="00C560C9" w:rsidRPr="001114C2">
        <w:t>(52%)</w:t>
      </w:r>
      <w:r w:rsidR="002F1662" w:rsidRPr="001114C2">
        <w:fldChar w:fldCharType="begin" w:fldLock="1"/>
      </w:r>
      <w:r w:rsidR="002E2FD7">
        <w:instrText>ADDIN CSL_CITATION {"citationItems":[{"id":"ITEM-1","itemData":{"DOI":"10.1016/j.jcjd.2016.06.007","abstract":"a b s t r a c t Objectives: Data concerning outcomes of Canadian patients with diabetic foot ulcers (DFUs) are limited. The objectives of this study were to evaluate the healing rates and identify the predictors of poor out-comes following advanced wound care in patients presenting with DFUs. Methods: We conducted retrospective cohort study of adult patients who had DFUs and were referred to a single Canadian advanced diabetic foot and wound care centre between January 1, 2010, and Decem-ber 31, 2010. The primary outcome was the healing rate at 52 weeks. The generalized estimating equa-tion model was used to identify potential risk factors associated with delayed healing of DFUs. Results: Of the 40 patients for whom there were complete follow ups, 35 (87.5%) had healing of all DFUs by 52 weeks. Predictors of poor healing were the presence of chronic ulcers, ulcer sizes &gt;1 cm 2 , peripheral vas-cular disease and multiple ulcers at first presentation. Of the patients, 7.1% required amputation, and 8.9% of patients receiving our treatment died before 52 weeks. At 52 weeks of follow up, 16 of 17 recurrent ulcers and 68 of 108 pre-existing ulcers had healed. Compared to the unadjusted healing rate of preexisting ulcers (63.0%), the unadjusted healing rate of recurrent ulcers (94.1%) was significantly higher (p=0.01). Conclusions: Our findings demonstrate that patients with DFUs in Canada who receive early and contin-ued care from specialized, outpatient, advanced wound care centres experience significantly improved rates of healing of recurrent DFUs compared to pre-existing DFUs. © 2016 Canadian Diabetes Association. Mots clés : soins des plaies complexes ulcères du pied diabétique soins multidisciplinaires r é s u m é Objectifs : Les données sur les résultats cliniques des patients canadiens souffrant d'ulcères du pied diabétique (UPD) sont limitées. Les objectifs de la présente étude étaient d'évaluer les taux de cicatrisation et de déterminer les prédicteurs des résultats cliniques à la suite des soins de plaies complexes chez les patients présentant des UPD. Méthodes : Nous avons réalisé une étude de cohorte rétrospective de patients adultes qui avaient des UPD et étaient orientés vers un centre canadien du pied diabétique et de soins de plaies complexes entre le 1 er janvier et le 31 décembre 2010. Le principal résultat clinique était le taux de cicatrisation à la 52 e semaine. Le modèle d'équations d'estimation généralisées était utilisé pour détermine…","author":[{"dropping-particle":"","family":"Roth-Albin CCRA","given":"Ivana","non-dropping-particle":"","parse-names":false,"suffix":""},{"dropping-particle":"","family":"Mai","given":"Safiah HC","non-dropping-particle":"","parse-names":false,"suffix":""},{"dropping-particle":"","family":"Ahmed","given":"Zeeshan","non-dropping-particle":"","parse-names":false,"suffix":""},{"dropping-particle":"","family":"Cheng","given":"Ji","non-dropping-particle":"","parse-names":false,"suffix":""},{"dropping-particle":"","family":"Choong","given":"Karen MB","non-dropping-particle":"","parse-names":false,"suffix":""},{"dropping-particle":"V","family":"Mayer MB","given":"Perry","non-dropping-particle":"","parse-names":false,"suffix":""},{"dropping-particle":"V","family":"Mayer","given":"Perry","non-dropping-particle":"","parse-names":false,"suffix":""}],"container-title":"Canadian Journal of Diabetes","id":"ITEM-1","issued":{"date-parts":[["2016"]]},"page":"26-32","title":"Outcomes Following Advanced Wound Care for Diabetic Foot Ulcers: A Canadian Study","type":"article-journal","volume":"41"},"uris":["http://www.mendeley.com/documents/?uuid=789ffdcf-d890-352e-ae69-aa94a4b52914"]}],"mendeley":{"formattedCitation":"&lt;sup&gt;42&lt;/sup&gt;","plainTextFormattedCitation":"42","previouslyFormattedCitation":"&lt;sup&gt;42&lt;/sup&gt;"},"properties":{"noteIndex":0},"schema":"https://github.com/citation-style-language/schema/raw/master/csl-citation.json"}</w:instrText>
      </w:r>
      <w:r w:rsidR="002F1662" w:rsidRPr="001114C2">
        <w:fldChar w:fldCharType="separate"/>
      </w:r>
      <w:r w:rsidR="002E2FD7" w:rsidRPr="002E2FD7">
        <w:rPr>
          <w:noProof/>
          <w:vertAlign w:val="superscript"/>
        </w:rPr>
        <w:t>42</w:t>
      </w:r>
      <w:r w:rsidR="002F1662" w:rsidRPr="001114C2">
        <w:fldChar w:fldCharType="end"/>
      </w:r>
      <w:r w:rsidR="00C560C9" w:rsidRPr="001114C2">
        <w:t xml:space="preserve"> </w:t>
      </w:r>
      <w:r w:rsidR="0046081F" w:rsidRPr="001114C2">
        <w:t>and</w:t>
      </w:r>
      <w:r w:rsidR="002546E5" w:rsidRPr="001114C2">
        <w:t xml:space="preserve"> </w:t>
      </w:r>
      <w:r w:rsidR="00A43717">
        <w:t xml:space="preserve">an </w:t>
      </w:r>
      <w:r w:rsidR="0046081F" w:rsidRPr="001114C2">
        <w:t>Australia</w:t>
      </w:r>
      <w:r w:rsidR="00A43717">
        <w:t>n</w:t>
      </w:r>
      <w:r w:rsidR="00C560C9" w:rsidRPr="001114C2">
        <w:t xml:space="preserve"> (47%)</w:t>
      </w:r>
      <w:r w:rsidR="00A43717">
        <w:t xml:space="preserve"> study</w:t>
      </w:r>
      <w:r w:rsidR="002546E5" w:rsidRPr="001114C2">
        <w:t xml:space="preserve"> </w:t>
      </w:r>
      <w:r w:rsidR="002F1662" w:rsidRPr="001114C2">
        <w:fldChar w:fldCharType="begin" w:fldLock="1"/>
      </w:r>
      <w:r w:rsidR="002E2FD7">
        <w:instrText>ADDIN CSL_CITATION {"citationItems":[{"id":"ITEM-1","itemData":{"DOI":"10.1016/J.JDIACOMP.2015.02.009","ISSN":"1056-8727","abstract":"AIMS This retrospective study aimed to investigate both established and less well-explored factors as potential predictive variables for failed and delayed ulcer healing. METHODS Patients with type 1 or 2 diabetes with foot ulceration presenting consecutively to, and then subsequently managed at, a multidisciplinary, high-risk foot clinic were followed until ulcer healing, amputation or death. Data comprised prospective standardised documentation at each visit and retrospective collection from hospital records, and included patient demographics, comorbidities, laboratory variables, and ulcer infection, depth and area at each presentation. Multiple regression analysis was used to determine independent predictors of failure to heal and delayed healing. RESULTS Of the 107 consecutive patients studied, 95 (89%) healed overall, 50 (47%) had healed in 12 weeks and the mean healing rate was a 10% decrease in ulcer area per week. Amongst all variables examined, comorbid congestive heart failure (CHF) was the only factor independently predictive of all measured outcomes of failure to heal overall, delayed healing at 12 weeks, and reduced healing rate. Ulcer infection at presentation, longer duration of antibiotic use, and liver enzyme abnormalities of raised ALT and AST:ALT&lt;1 (each suggestive of non-alcoholic fatty liver disease), were also predictive of poor ulcer outcomes. CONCLUSIONS Comorbid congestive cardiac failure is predictive of delayed foot ulcer healing rate as well as a lower probability of healing overall. Liver enzyme abnormalities also predicted delayed ulcer healing outcomes. The mechanisms underlying these associations with foot ulcer outcomes in diabetes are unclear. Further studies are needed to determine the role of systematic routine documentation of heart failure and its severity, and then targeting of heart failure to potentially aid the management of foot ulcers in diabetes.","author":[{"dropping-particle":"","family":"Rhou","given":"Yoon Ji Jina","non-dropping-particle":"","parse-names":false,"suffix":""},{"dropping-particle":"","family":"Henshaw","given":"F.R.","non-dropping-particle":"","parse-names":false,"suffix":""},{"dropping-particle":"","family":"McGill","given":"M.J.","non-dropping-particle":"","parse-names":false,"suffix":""},{"dropping-particle":"","family":"Twigg","given":"S.M.","non-dropping-particle":"","parse-names":false,"suffix":""}],"container-title":"Journal of Diabetes and its Complications","id":"ITEM-1","issue":"4","issued":{"date-parts":[["2015","5","1"]]},"page":"556-562","publisher":"Elsevier","title":"Congestive heart failure presence predicts delayed healing of foot ulcers in diabetes: An audit from a multidisciplinary high-risk foot clinic","type":"article-journal","volume":"29"},"uris":["http://www.mendeley.com/documents/?uuid=9d608536-50d0-3270-9531-30d2555b302c"]}],"mendeley":{"formattedCitation":"&lt;sup&gt;18&lt;/sup&gt;","plainTextFormattedCitation":"18","previouslyFormattedCitation":"&lt;sup&gt;18&lt;/sup&gt;"},"properties":{"noteIndex":0},"schema":"https://github.com/citation-style-language/schema/raw/master/csl-citation.json"}</w:instrText>
      </w:r>
      <w:r w:rsidR="002F1662" w:rsidRPr="001114C2">
        <w:fldChar w:fldCharType="separate"/>
      </w:r>
      <w:r w:rsidR="002E2FD7" w:rsidRPr="002E2FD7">
        <w:rPr>
          <w:noProof/>
          <w:vertAlign w:val="superscript"/>
        </w:rPr>
        <w:t>18</w:t>
      </w:r>
      <w:r w:rsidR="002F1662" w:rsidRPr="001114C2">
        <w:fldChar w:fldCharType="end"/>
      </w:r>
      <w:r w:rsidR="00951F98" w:rsidRPr="001114C2">
        <w:t>.</w:t>
      </w:r>
      <w:r w:rsidR="003D112B" w:rsidRPr="001114C2">
        <w:t xml:space="preserve"> </w:t>
      </w:r>
      <w:r w:rsidR="00B05B43">
        <w:t xml:space="preserve">This could be explained by the fact that </w:t>
      </w:r>
      <w:r w:rsidR="00947D16" w:rsidRPr="001114C2">
        <w:t xml:space="preserve">patients in the </w:t>
      </w:r>
      <w:r w:rsidR="000E05C9" w:rsidRPr="001114C2">
        <w:t>two mentioned studies</w:t>
      </w:r>
      <w:r w:rsidR="00355559" w:rsidRPr="001114C2">
        <w:t xml:space="preserve"> </w:t>
      </w:r>
      <w:r w:rsidR="001E4037" w:rsidRPr="001114C2">
        <w:fldChar w:fldCharType="begin" w:fldLock="1"/>
      </w:r>
      <w:r w:rsidR="002E2FD7">
        <w:instrText>ADDIN CSL_CITATION {"citationItems":[{"id":"ITEM-1","itemData":{"DOI":"10.1016/j.jcjd.2016.06.007","abstract":"a b s t r a c t Objectives: Data concerning outcomes of Canadian patients with diabetic foot ulcers (DFUs) are limited. The objectives of this study were to evaluate the healing rates and identify the predictors of poor out-comes following advanced wound care in patients presenting with DFUs. Methods: We conducted retrospective cohort study of adult patients who had DFUs and were referred to a single Canadian advanced diabetic foot and wound care centre between January 1, 2010, and Decem-ber 31, 2010. The primary outcome was the healing rate at 52 weeks. The generalized estimating equa-tion model was used to identify potential risk factors associated with delayed healing of DFUs. Results: Of the 40 patients for whom there were complete follow ups, 35 (87.5%) had healing of all DFUs by 52 weeks. Predictors of poor healing were the presence of chronic ulcers, ulcer sizes &gt;1 cm 2 , peripheral vas-cular disease and multiple ulcers at first presentation. Of the patients, 7.1% required amputation, and 8.9% of patients receiving our treatment died before 52 weeks. At 52 weeks of follow up, 16 of 17 recurrent ulcers and 68 of 108 pre-existing ulcers had healed. Compared to the unadjusted healing rate of preexisting ulcers (63.0%), the unadjusted healing rate of recurrent ulcers (94.1%) was significantly higher (p=0.01). Conclusions: Our findings demonstrate that patients with DFUs in Canada who receive early and contin-ued care from specialized, outpatient, advanced wound care centres experience significantly improved rates of healing of recurrent DFUs compared to pre-existing DFUs. © 2016 Canadian Diabetes Association. Mots clés : soins des plaies complexes ulcères du pied diabétique soins multidisciplinaires r é s u m é Objectifs : Les données sur les résultats cliniques des patients canadiens souffrant d'ulcères du pied diabétique (UPD) sont limitées. Les objectifs de la présente étude étaient d'évaluer les taux de cicatrisation et de déterminer les prédicteurs des résultats cliniques à la suite des soins de plaies complexes chez les patients présentant des UPD. Méthodes : Nous avons réalisé une étude de cohorte rétrospective de patients adultes qui avaient des UPD et étaient orientés vers un centre canadien du pied diabétique et de soins de plaies complexes entre le 1 er janvier et le 31 décembre 2010. Le principal résultat clinique était le taux de cicatrisation à la 52 e semaine. Le modèle d'équations d'estimation généralisées était utilisé pour détermine…","author":[{"dropping-particle":"","family":"Roth-Albin CCRA","given":"Ivana","non-dropping-particle":"","parse-names":false,"suffix":""},{"dropping-particle":"","family":"Mai","given":"Safiah HC","non-dropping-particle":"","parse-names":false,"suffix":""},{"dropping-particle":"","family":"Ahmed","given":"Zeeshan","non-dropping-particle":"","parse-names":false,"suffix":""},{"dropping-particle":"","family":"Cheng","given":"Ji","non-dropping-particle":"","parse-names":false,"suffix":""},{"dropping-particle":"","family":"Choong","given":"Karen MB","non-dropping-particle":"","parse-names":false,"suffix":""},{"dropping-particle":"V","family":"Mayer MB","given":"Perry","non-dropping-particle":"","parse-names":false,"suffix":""},{"dropping-particle":"V","family":"Mayer","given":"Perry","non-dropping-particle":"","parse-names":false,"suffix":""}],"container-title":"Canadian Journal of Diabetes","id":"ITEM-1","issued":{"date-parts":[["2016"]]},"page":"26-32","title":"Outcomes Following Advanced Wound Care for Diabetic Foot Ulcers: A Canadian Study","type":"article-journal","volume":"41"},"uris":["http://www.mendeley.com/documents/?uuid=789ffdcf-d890-352e-ae69-aa94a4b52914"]},{"id":"ITEM-2","itemData":{"DOI":"10.1016/J.JDIACOMP.2015.02.009","ISSN":"1056-8727","abstract":"AIMS This retrospective study aimed to investigate both established and less well-explored factors as potential predictive variables for failed and delayed ulcer healing. METHODS Patients with type 1 or 2 diabetes with foot ulceration presenting consecutively to, and then subsequently managed at, a multidisciplinary, high-risk foot clinic were followed until ulcer healing, amputation or death. Data comprised prospective standardised documentation at each visit and retrospective collection from hospital records, and included patient demographics, comorbidities, laboratory variables, and ulcer infection, depth and area at each presentation. Multiple regression analysis was used to determine independent predictors of failure to heal and delayed healing. RESULTS Of the 107 consecutive patients studied, 95 (89%) healed overall, 50 (47%) had healed in 12 weeks and the mean healing rate was a 10% decrease in ulcer area per week. Amongst all variables examined, comorbid congestive heart failure (CHF) was the only factor independently predictive of all measured outcomes of failure to heal overall, delayed healing at 12 weeks, and reduced healing rate. Ulcer infection at presentation, longer duration of antibiotic use, and liver enzyme abnormalities of raised ALT and AST:ALT&lt;1 (each suggestive of non-alcoholic fatty liver disease), were also predictive of poor ulcer outcomes. CONCLUSIONS Comorbid congestive cardiac failure is predictive of delayed foot ulcer healing rate as well as a lower probability of healing overall. Liver enzyme abnormalities also predicted delayed ulcer healing outcomes. The mechanisms underlying these associations with foot ulcer outcomes in diabetes are unclear. Further studies are needed to determine the role of systematic routine documentation of heart failure and its severity, and then targeting of heart failure to potentially aid the management of foot ulcers in diabetes.","author":[{"dropping-particle":"","family":"Rhou","given":"Yoon Ji Jina","non-dropping-particle":"","parse-names":false,"suffix":""},{"dropping-particle":"","family":"Henshaw","given":"F.R.","non-dropping-particle":"","parse-names":false,"suffix":""},{"dropping-particle":"","family":"McGill","given":"M.J.","non-dropping-particle":"","parse-names":false,"suffix":""},{"dropping-particle":"","family":"Twigg","given":"S.M.","non-dropping-particle":"","parse-names":false,"suffix":""}],"container-title":"Journal of Diabetes and its Complications","id":"ITEM-2","issue":"4","issued":{"date-parts":[["2015","5","1"]]},"page":"556-562","publisher":"Elsevier","title":"Congestive heart failure presence predicts delayed healing of foot ulcers in diabetes: An audit from a multidisciplinary high-risk foot clinic","type":"article-journal","volume":"29"},"uris":["http://www.mendeley.com/documents/?uuid=9d608536-50d0-3270-9531-30d2555b302c"]}],"mendeley":{"formattedCitation":"&lt;sup&gt;18,42&lt;/sup&gt;","plainTextFormattedCitation":"18,42","previouslyFormattedCitation":"&lt;sup&gt;18,42&lt;/sup&gt;"},"properties":{"noteIndex":0},"schema":"https://github.com/citation-style-language/schema/raw/master/csl-citation.json"}</w:instrText>
      </w:r>
      <w:r w:rsidR="001E4037" w:rsidRPr="001114C2">
        <w:fldChar w:fldCharType="separate"/>
      </w:r>
      <w:r w:rsidR="002E2FD7" w:rsidRPr="002E2FD7">
        <w:rPr>
          <w:noProof/>
          <w:vertAlign w:val="superscript"/>
        </w:rPr>
        <w:t>18,42</w:t>
      </w:r>
      <w:r w:rsidR="001E4037" w:rsidRPr="001114C2">
        <w:fldChar w:fldCharType="end"/>
      </w:r>
      <w:r w:rsidR="001E4037" w:rsidRPr="001114C2">
        <w:t xml:space="preserve"> </w:t>
      </w:r>
      <w:r w:rsidR="00947D16" w:rsidRPr="001114C2">
        <w:t xml:space="preserve">were </w:t>
      </w:r>
      <w:r w:rsidR="002546E5" w:rsidRPr="001114C2">
        <w:t>cared for</w:t>
      </w:r>
      <w:r w:rsidR="00947D16" w:rsidRPr="001114C2">
        <w:t xml:space="preserve"> </w:t>
      </w:r>
      <w:r w:rsidR="00A43717">
        <w:t>in</w:t>
      </w:r>
      <w:r w:rsidR="00A43717" w:rsidRPr="001114C2">
        <w:t xml:space="preserve"> </w:t>
      </w:r>
      <w:r w:rsidR="00947D16" w:rsidRPr="001114C2">
        <w:t>multidis</w:t>
      </w:r>
      <w:r w:rsidR="001E4037" w:rsidRPr="001114C2">
        <w:t>ciplinary specialist clinics</w:t>
      </w:r>
      <w:r w:rsidR="002546E5" w:rsidRPr="001114C2">
        <w:t xml:space="preserve"> and </w:t>
      </w:r>
      <w:r w:rsidR="00A43717">
        <w:t xml:space="preserve">they also </w:t>
      </w:r>
      <w:r w:rsidR="002546E5" w:rsidRPr="001114C2">
        <w:t>had smaller wound sizes</w:t>
      </w:r>
      <w:r w:rsidR="002D0EDD">
        <w:t xml:space="preserve"> </w:t>
      </w:r>
      <w:r w:rsidR="00355559" w:rsidRPr="001114C2">
        <w:t>(median 0.55cm</w:t>
      </w:r>
      <w:r w:rsidR="00355559" w:rsidRPr="001114C2">
        <w:rPr>
          <w:vertAlign w:val="superscript"/>
        </w:rPr>
        <w:t>2</w:t>
      </w:r>
      <w:r w:rsidR="00355559" w:rsidRPr="001114C2">
        <w:t>, 0.05 to 22.50)</w:t>
      </w:r>
      <w:r w:rsidR="002F1662" w:rsidRPr="001114C2">
        <w:fldChar w:fldCharType="begin" w:fldLock="1"/>
      </w:r>
      <w:r w:rsidR="002E2FD7">
        <w:instrText>ADDIN CSL_CITATION {"citationItems":[{"id":"ITEM-1","itemData":{"DOI":"10.1016/j.jcjd.2016.06.007","abstract":"a b s t r a c t Objectives: Data concerning outcomes of Canadian patients with diabetic foot ulcers (DFUs) are limited. The objectives of this study were to evaluate the healing rates and identify the predictors of poor out-comes following advanced wound care in patients presenting with DFUs. Methods: We conducted retrospective cohort study of adult patients who had DFUs and were referred to a single Canadian advanced diabetic foot and wound care centre between January 1, 2010, and Decem-ber 31, 2010. The primary outcome was the healing rate at 52 weeks. The generalized estimating equa-tion model was used to identify potential risk factors associated with delayed healing of DFUs. Results: Of the 40 patients for whom there were complete follow ups, 35 (87.5%) had healing of all DFUs by 52 weeks. Predictors of poor healing were the presence of chronic ulcers, ulcer sizes &gt;1 cm 2 , peripheral vas-cular disease and multiple ulcers at first presentation. Of the patients, 7.1% required amputation, and 8.9% of patients receiving our treatment died before 52 weeks. At 52 weeks of follow up, 16 of 17 recurrent ulcers and 68 of 108 pre-existing ulcers had healed. Compared to the unadjusted healing rate of preexisting ulcers (63.0%), the unadjusted healing rate of recurrent ulcers (94.1%) was significantly higher (p=0.01). Conclusions: Our findings demonstrate that patients with DFUs in Canada who receive early and contin-ued care from specialized, outpatient, advanced wound care centres experience significantly improved rates of healing of recurrent DFUs compared to pre-existing DFUs. © 2016 Canadian Diabetes Association. Mots clés : soins des plaies complexes ulcères du pied diabétique soins multidisciplinaires r é s u m é Objectifs : Les données sur les résultats cliniques des patients canadiens souffrant d'ulcères du pied diabétique (UPD) sont limitées. Les objectifs de la présente étude étaient d'évaluer les taux de cicatrisation et de déterminer les prédicteurs des résultats cliniques à la suite des soins de plaies complexes chez les patients présentant des UPD. Méthodes : Nous avons réalisé une étude de cohorte rétrospective de patients adultes qui avaient des UPD et étaient orientés vers un centre canadien du pied diabétique et de soins de plaies complexes entre le 1 er janvier et le 31 décembre 2010. Le principal résultat clinique était le taux de cicatrisation à la 52 e semaine. Le modèle d'équations d'estimation généralisées était utilisé pour détermine…","author":[{"dropping-particle":"","family":"Roth-Albin CCRA","given":"Ivana","non-dropping-particle":"","parse-names":false,"suffix":""},{"dropping-particle":"","family":"Mai","given":"Safiah HC","non-dropping-particle":"","parse-names":false,"suffix":""},{"dropping-particle":"","family":"Ahmed","given":"Zeeshan","non-dropping-particle":"","parse-names":false,"suffix":""},{"dropping-particle":"","family":"Cheng","given":"Ji","non-dropping-particle":"","parse-names":false,"suffix":""},{"dropping-particle":"","family":"Choong","given":"Karen MB","non-dropping-particle":"","parse-names":false,"suffix":""},{"dropping-particle":"V","family":"Mayer MB","given":"Perry","non-dropping-particle":"","parse-names":false,"suffix":""},{"dropping-particle":"V","family":"Mayer","given":"Perry","non-dropping-particle":"","parse-names":false,"suffix":""}],"container-title":"Canadian Journal of Diabetes","id":"ITEM-1","issued":{"date-parts":[["2016"]]},"page":"26-32","title":"Outcomes Following Advanced Wound Care for Diabetic Foot Ulcers: A Canadian Study","type":"article-journal","volume":"41"},"uris":["http://www.mendeley.com/documents/?uuid=789ffdcf-d890-352e-ae69-aa94a4b52914"]}],"mendeley":{"formattedCitation":"&lt;sup&gt;42&lt;/sup&gt;","plainTextFormattedCitation":"42","previouslyFormattedCitation":"&lt;sup&gt;42&lt;/sup&gt;"},"properties":{"noteIndex":0},"schema":"https://github.com/citation-style-language/schema/raw/master/csl-citation.json"}</w:instrText>
      </w:r>
      <w:r w:rsidR="002F1662" w:rsidRPr="001114C2">
        <w:fldChar w:fldCharType="separate"/>
      </w:r>
      <w:r w:rsidR="002E2FD7" w:rsidRPr="002E2FD7">
        <w:rPr>
          <w:noProof/>
          <w:vertAlign w:val="superscript"/>
        </w:rPr>
        <w:t>42</w:t>
      </w:r>
      <w:r w:rsidR="002F1662" w:rsidRPr="001114C2">
        <w:fldChar w:fldCharType="end"/>
      </w:r>
      <w:r w:rsidR="00355559" w:rsidRPr="001114C2">
        <w:t xml:space="preserve"> (mean wound area of 1.92cm</w:t>
      </w:r>
      <w:r w:rsidR="00355559" w:rsidRPr="001114C2">
        <w:rPr>
          <w:vertAlign w:val="superscript"/>
        </w:rPr>
        <w:t>2</w:t>
      </w:r>
      <w:r w:rsidR="00355559" w:rsidRPr="001114C2">
        <w:t>, SD: 2.97)</w:t>
      </w:r>
      <w:r w:rsidR="002F1662" w:rsidRPr="001114C2">
        <w:fldChar w:fldCharType="begin" w:fldLock="1"/>
      </w:r>
      <w:r w:rsidR="002E2FD7">
        <w:instrText>ADDIN CSL_CITATION {"citationItems":[{"id":"ITEM-1","itemData":{"DOI":"10.1016/J.JDIACOMP.2015.02.009","ISSN":"1056-8727","abstract":"AIMS This retrospective study aimed to investigate both established and less well-explored factors as potential predictive variables for failed and delayed ulcer healing. METHODS Patients with type 1 or 2 diabetes with foot ulceration presenting consecutively to, and then subsequently managed at, a multidisciplinary, high-risk foot clinic were followed until ulcer healing, amputation or death. Data comprised prospective standardised documentation at each visit and retrospective collection from hospital records, and included patient demographics, comorbidities, laboratory variables, and ulcer infection, depth and area at each presentation. Multiple regression analysis was used to determine independent predictors of failure to heal and delayed healing. RESULTS Of the 107 consecutive patients studied, 95 (89%) healed overall, 50 (47%) had healed in 12 weeks and the mean healing rate was a 10% decrease in ulcer area per week. Amongst all variables examined, comorbid congestive heart failure (CHF) was the only factor independently predictive of all measured outcomes of failure to heal overall, delayed healing at 12 weeks, and reduced healing rate. Ulcer infection at presentation, longer duration of antibiotic use, and liver enzyme abnormalities of raised ALT and AST:ALT&lt;1 (each suggestive of non-alcoholic fatty liver disease), were also predictive of poor ulcer outcomes. CONCLUSIONS Comorbid congestive cardiac failure is predictive of delayed foot ulcer healing rate as well as a lower probability of healing overall. Liver enzyme abnormalities also predicted delayed ulcer healing outcomes. The mechanisms underlying these associations with foot ulcer outcomes in diabetes are unclear. Further studies are needed to determine the role of systematic routine documentation of heart failure and its severity, and then targeting of heart failure to potentially aid the management of foot ulcers in diabetes.","author":[{"dropping-particle":"","family":"Rhou","given":"Yoon Ji Jina","non-dropping-particle":"","parse-names":false,"suffix":""},{"dropping-particle":"","family":"Henshaw","given":"F.R.","non-dropping-particle":"","parse-names":false,"suffix":""},{"dropping-particle":"","family":"McGill","given":"M.J.","non-dropping-particle":"","parse-names":false,"suffix":""},{"dropping-particle":"","family":"Twigg","given":"S.M.","non-dropping-particle":"","parse-names":false,"suffix":""}],"container-title":"Journal of Diabetes and its Complications","id":"ITEM-1","issue":"4","issued":{"date-parts":[["2015","5","1"]]},"page":"556-562","publisher":"Elsevier","title":"Congestive heart failure presence predicts delayed healing of foot ulcers in diabetes: An audit from a multidisciplinary high-risk foot clinic","type":"article-journal","volume":"29"},"uris":["http://www.mendeley.com/documents/?uuid=9d608536-50d0-3270-9531-30d2555b302c"]}],"mendeley":{"formattedCitation":"&lt;sup&gt;18&lt;/sup&gt;","plainTextFormattedCitation":"18","previouslyFormattedCitation":"&lt;sup&gt;18&lt;/sup&gt;"},"properties":{"noteIndex":0},"schema":"https://github.com/citation-style-language/schema/raw/master/csl-citation.json"}</w:instrText>
      </w:r>
      <w:r w:rsidR="002F1662" w:rsidRPr="001114C2">
        <w:fldChar w:fldCharType="separate"/>
      </w:r>
      <w:r w:rsidR="002E2FD7" w:rsidRPr="002E2FD7">
        <w:rPr>
          <w:noProof/>
          <w:vertAlign w:val="superscript"/>
        </w:rPr>
        <w:t>18</w:t>
      </w:r>
      <w:r w:rsidR="002F1662" w:rsidRPr="001114C2">
        <w:fldChar w:fldCharType="end"/>
      </w:r>
      <w:r w:rsidR="00947D16" w:rsidRPr="001114C2">
        <w:t xml:space="preserve"> </w:t>
      </w:r>
      <w:r w:rsidR="00962C9E">
        <w:t>compared to the patients in the present</w:t>
      </w:r>
      <w:r w:rsidR="002546E5" w:rsidRPr="001114C2">
        <w:t xml:space="preserve"> study</w:t>
      </w:r>
      <w:r w:rsidR="00951F98" w:rsidRPr="001114C2">
        <w:t xml:space="preserve"> (7.0cm</w:t>
      </w:r>
      <w:r w:rsidR="00951F98" w:rsidRPr="001114C2">
        <w:rPr>
          <w:vertAlign w:val="superscript"/>
        </w:rPr>
        <w:t>2</w:t>
      </w:r>
      <w:r w:rsidR="001E4037" w:rsidRPr="001114C2">
        <w:t xml:space="preserve"> SD: 12.5)</w:t>
      </w:r>
      <w:r w:rsidR="00947D16" w:rsidRPr="001114C2">
        <w:t>.</w:t>
      </w:r>
      <w:r w:rsidR="000C2579" w:rsidRPr="001114C2">
        <w:t xml:space="preserve"> </w:t>
      </w:r>
      <w:r w:rsidR="00A43717">
        <w:t xml:space="preserve">This </w:t>
      </w:r>
      <w:r w:rsidR="00B05B43">
        <w:t xml:space="preserve">further emphasizes the urgency to treat diabetic foot ulcers </w:t>
      </w:r>
      <w:r w:rsidR="00A43717">
        <w:t xml:space="preserve">at </w:t>
      </w:r>
      <w:r w:rsidR="00B05B43">
        <w:t xml:space="preserve">an early stage </w:t>
      </w:r>
      <w:r w:rsidR="00EB199A">
        <w:t xml:space="preserve">by a multidisciplinary team </w:t>
      </w:r>
      <w:r w:rsidR="00B05B43">
        <w:t>when they are sm</w:t>
      </w:r>
      <w:r w:rsidR="000A141D">
        <w:t xml:space="preserve">aller in size and less complex. </w:t>
      </w:r>
      <w:r w:rsidR="000A141D" w:rsidRPr="000A141D">
        <w:rPr>
          <w:highlight w:val="yellow"/>
        </w:rPr>
        <w:t>Additionally, co-morbidities and personal adherence may play a greater role than the place of treatment as well as using nursing as the primary wound practitioner.</w:t>
      </w:r>
    </w:p>
    <w:p w14:paraId="7B664CA8" w14:textId="77777777" w:rsidR="007E009B" w:rsidRDefault="007E009B" w:rsidP="00A853DA">
      <w:pPr>
        <w:shd w:val="clear" w:color="auto" w:fill="FFFFFF" w:themeFill="background1"/>
        <w:jc w:val="both"/>
      </w:pPr>
    </w:p>
    <w:p w14:paraId="4C9746D7" w14:textId="53D37133" w:rsidR="00557D82" w:rsidRDefault="00F050F8" w:rsidP="003A4787">
      <w:pPr>
        <w:shd w:val="clear" w:color="auto" w:fill="FFFFFF" w:themeFill="background1"/>
        <w:jc w:val="both"/>
      </w:pPr>
      <w:r>
        <w:t>The present study</w:t>
      </w:r>
      <w:r w:rsidR="00D75A87">
        <w:t xml:space="preserve"> </w:t>
      </w:r>
      <w:r w:rsidR="00426E60" w:rsidRPr="001114C2">
        <w:t>found that o</w:t>
      </w:r>
      <w:r w:rsidR="001C43D3">
        <w:t>nly 16</w:t>
      </w:r>
      <w:r w:rsidR="006904C2">
        <w:t xml:space="preserve">% of the patients </w:t>
      </w:r>
      <w:r w:rsidR="001C43D3">
        <w:t xml:space="preserve">had </w:t>
      </w:r>
      <w:r>
        <w:t>attended</w:t>
      </w:r>
      <w:r w:rsidR="00426E60" w:rsidRPr="001114C2">
        <w:t xml:space="preserve"> their recommended </w:t>
      </w:r>
      <w:r w:rsidR="006904C2" w:rsidRPr="00804F42">
        <w:t>diabetic foot screening</w:t>
      </w:r>
      <w:r w:rsidR="003772C5">
        <w:t xml:space="preserve"> within 1 year</w:t>
      </w:r>
      <w:r w:rsidR="00B05B43" w:rsidRPr="00804F42">
        <w:t>,</w:t>
      </w:r>
      <w:r w:rsidR="00426E60" w:rsidRPr="00804F42">
        <w:t xml:space="preserve"> </w:t>
      </w:r>
      <w:r w:rsidR="000965AE">
        <w:t>which includes a</w:t>
      </w:r>
      <w:r w:rsidR="000965AE" w:rsidRPr="001114C2">
        <w:t xml:space="preserve"> </w:t>
      </w:r>
      <w:r w:rsidR="00426E60" w:rsidRPr="001114C2">
        <w:t xml:space="preserve">foot examination and patient education </w:t>
      </w:r>
      <w:r w:rsidR="000965AE">
        <w:t>for</w:t>
      </w:r>
      <w:r w:rsidR="000965AE" w:rsidRPr="001114C2">
        <w:t xml:space="preserve"> </w:t>
      </w:r>
      <w:r w:rsidR="00426E60" w:rsidRPr="001114C2">
        <w:t xml:space="preserve">ulcer prevention. </w:t>
      </w:r>
      <w:r w:rsidR="00962C9E">
        <w:t>The</w:t>
      </w:r>
      <w:r w:rsidR="00793FD8">
        <w:t xml:space="preserve"> descriptive</w:t>
      </w:r>
      <w:r w:rsidR="00426E60" w:rsidRPr="001114C2">
        <w:t xml:space="preserve"> results </w:t>
      </w:r>
      <w:r w:rsidR="00962C9E">
        <w:t xml:space="preserve">in the present study </w:t>
      </w:r>
      <w:r w:rsidR="00426E60" w:rsidRPr="001114C2">
        <w:t>show</w:t>
      </w:r>
      <w:r w:rsidR="00B25002">
        <w:t>ed</w:t>
      </w:r>
      <w:r w:rsidR="00426E60" w:rsidRPr="001114C2">
        <w:t xml:space="preserve"> th</w:t>
      </w:r>
      <w:r w:rsidR="006904C2">
        <w:t>at more ulcers</w:t>
      </w:r>
      <w:r w:rsidR="00426E60" w:rsidRPr="001114C2">
        <w:t xml:space="preserve"> healed for </w:t>
      </w:r>
      <w:r w:rsidR="00B05B43">
        <w:t xml:space="preserve">those </w:t>
      </w:r>
      <w:r w:rsidR="00426E60" w:rsidRPr="001114C2">
        <w:t xml:space="preserve">patients who attended </w:t>
      </w:r>
      <w:r w:rsidR="00B05B43">
        <w:t>their</w:t>
      </w:r>
      <w:r w:rsidR="006904C2">
        <w:t xml:space="preserve"> recommended foot screening</w:t>
      </w:r>
      <w:r w:rsidR="00426E60" w:rsidRPr="001114C2">
        <w:t xml:space="preserve"> </w:t>
      </w:r>
      <w:r w:rsidR="003772C5">
        <w:t xml:space="preserve">within 1 year </w:t>
      </w:r>
      <w:r w:rsidR="000965AE" w:rsidRPr="001114C2">
        <w:t xml:space="preserve">(45.8%) </w:t>
      </w:r>
      <w:r w:rsidR="00426E60" w:rsidRPr="001114C2">
        <w:t xml:space="preserve">compared to those who attended </w:t>
      </w:r>
      <w:r w:rsidR="00B05B43">
        <w:t xml:space="preserve">their </w:t>
      </w:r>
      <w:r w:rsidR="006904C2">
        <w:t>foot screening</w:t>
      </w:r>
      <w:r w:rsidR="00426E60" w:rsidRPr="001114C2">
        <w:t xml:space="preserve"> </w:t>
      </w:r>
      <w:r w:rsidR="00B05B43">
        <w:t>longer</w:t>
      </w:r>
      <w:r w:rsidR="00426E60" w:rsidRPr="001114C2">
        <w:t xml:space="preserve"> than a year </w:t>
      </w:r>
      <w:r w:rsidR="000965AE">
        <w:t xml:space="preserve">ago </w:t>
      </w:r>
      <w:r w:rsidR="00426E60" w:rsidRPr="001114C2">
        <w:t xml:space="preserve">(30.6%). </w:t>
      </w:r>
      <w:r w:rsidR="00962C9E">
        <w:t>The</w:t>
      </w:r>
      <w:r w:rsidR="00793FD8" w:rsidRPr="001114C2">
        <w:t xml:space="preserve"> univariate analysis</w:t>
      </w:r>
      <w:r w:rsidR="00962C9E">
        <w:t xml:space="preserve"> in this study</w:t>
      </w:r>
      <w:r w:rsidR="00793FD8" w:rsidRPr="001114C2">
        <w:t xml:space="preserve"> </w:t>
      </w:r>
      <w:r w:rsidR="00793FD8">
        <w:t xml:space="preserve">also </w:t>
      </w:r>
      <w:r w:rsidR="00793FD8" w:rsidRPr="001114C2">
        <w:t xml:space="preserve">revealed that attending </w:t>
      </w:r>
      <w:r w:rsidR="008F3176">
        <w:t>foot screening</w:t>
      </w:r>
      <w:r w:rsidR="00793FD8" w:rsidRPr="001114C2">
        <w:t xml:space="preserve"> more than a year ago (PR: 0.67, 95%CI 0.50-0.90, P=.008) an</w:t>
      </w:r>
      <w:r w:rsidR="008F3176">
        <w:t>d never attend/no records of foot screening</w:t>
      </w:r>
      <w:r w:rsidR="00793FD8" w:rsidRPr="001114C2">
        <w:t xml:space="preserve"> (PR: 0.72, 95% CI: 0.53 - 0.99, P=.040) were negatively associated with healing</w:t>
      </w:r>
      <w:r w:rsidR="00793FD8">
        <w:t xml:space="preserve"> outcomes</w:t>
      </w:r>
      <w:r w:rsidR="00793FD8" w:rsidRPr="001114C2">
        <w:t>.</w:t>
      </w:r>
      <w:r w:rsidR="00793FD8">
        <w:t xml:space="preserve"> </w:t>
      </w:r>
      <w:r w:rsidR="00557D82">
        <w:t>This finding is supported by a p</w:t>
      </w:r>
      <w:r w:rsidR="00557D82" w:rsidRPr="001114C2">
        <w:t>revious stud</w:t>
      </w:r>
      <w:r w:rsidR="00557D82">
        <w:t xml:space="preserve">y </w:t>
      </w:r>
      <w:r w:rsidR="00557D82" w:rsidRPr="001114C2">
        <w:t xml:space="preserve">which reported that non-adherence to recommended </w:t>
      </w:r>
      <w:r w:rsidR="00705BE1">
        <w:t>treatment plans</w:t>
      </w:r>
      <w:r w:rsidR="00557D82" w:rsidRPr="001114C2">
        <w:t xml:space="preserve"> </w:t>
      </w:r>
      <w:r w:rsidR="000965AE">
        <w:t xml:space="preserve">may lead to </w:t>
      </w:r>
      <w:r w:rsidR="00557D82" w:rsidRPr="001114C2">
        <w:t xml:space="preserve">delayed </w:t>
      </w:r>
      <w:r w:rsidR="00557D82">
        <w:t xml:space="preserve">ulcer </w:t>
      </w:r>
      <w:r w:rsidR="00557D82" w:rsidRPr="001114C2">
        <w:t xml:space="preserve">healing </w:t>
      </w:r>
      <w:r w:rsidR="00557D82" w:rsidRPr="001114C2">
        <w:fldChar w:fldCharType="begin" w:fldLock="1"/>
      </w:r>
      <w:r w:rsidR="002E2FD7">
        <w:instrText>ADDIN CSL_CITATION {"citationItems":[{"id":"ITEM-1","itemData":{"DOI":"10.2337/dc17-1836","ISSN":"1935-5548","PMID":"29559450","abstract":"Diabetic foot ulcers remain a major health care problem. They are common, result in considerable suffering, frequently recur, and are associated with high mortality, as well as considerable health care costs. While national and international guidance exists, the evidence base for much of routine clinical care is thin. It follows that many aspects of the structure and delivery of care are susceptible to the beliefs and opinion of individuals. It is probable that this contributes to the geographic variation in outcome that has been documented in a number of countries. This article considers these issues in depth and emphasizes the urgent need to improve the design and conduct of clinical trials in this field, as well as to undertake systematic comparison of the results of routine care in different health economies. There is strong suggestive evidence to indicate that appropriate changes in the relevant care pathways can result in a prompt improvement in clinical outcomes.","author":[{"dropping-particle":"","family":"Jeffcoate","given":"William J","non-dropping-particle":"","parse-names":false,"suffix":""},{"dropping-particle":"","family":"Vileikyte","given":"Loretta","non-dropping-particle":"","parse-names":false,"suffix":""},{"dropping-particle":"","family":"Boyko","given":"Edward J","non-dropping-particle":"","parse-names":false,"suffix":""},{"dropping-particle":"","family":"Armstrong","given":"David G","non-dropping-particle":"","parse-names":false,"suffix":""},{"dropping-particle":"","family":"Boulton","given":"Andrew J M","non-dropping-particle":"","parse-names":false,"suffix":""}],"container-title":"Diabetes care","id":"ITEM-1","issue":"4","issued":{"date-parts":[["2018","4","1"]]},"page":"645-652","publisher":"American Diabetes Association","title":"Current Challenges and Opportunities in the Prevention and Management of Diabetic Foot Ulcers.","type":"article-journal","volume":"41"},"uris":["http://www.mendeley.com/documents/?uuid=9d7ec549-49d7-31ad-b4ea-0f577e4302a6"]}],"mendeley":{"formattedCitation":"&lt;sup&gt;7&lt;/sup&gt;","plainTextFormattedCitation":"7","previouslyFormattedCitation":"&lt;sup&gt;7&lt;/sup&gt;"},"properties":{"noteIndex":0},"schema":"https://github.com/citation-style-language/schema/raw/master/csl-citation.json"}</w:instrText>
      </w:r>
      <w:r w:rsidR="00557D82" w:rsidRPr="001114C2">
        <w:fldChar w:fldCharType="separate"/>
      </w:r>
      <w:r w:rsidR="002E2FD7" w:rsidRPr="002E2FD7">
        <w:rPr>
          <w:noProof/>
          <w:vertAlign w:val="superscript"/>
        </w:rPr>
        <w:t>7</w:t>
      </w:r>
      <w:r w:rsidR="00557D82" w:rsidRPr="001114C2">
        <w:fldChar w:fldCharType="end"/>
      </w:r>
      <w:r w:rsidR="00557D82">
        <w:t>,</w:t>
      </w:r>
      <w:r w:rsidR="00557D82" w:rsidRPr="001114C2">
        <w:t xml:space="preserve"> </w:t>
      </w:r>
      <w:r w:rsidR="00557D82">
        <w:t>and even lower limb amputation</w:t>
      </w:r>
      <w:r w:rsidR="00557D82" w:rsidRPr="001114C2">
        <w:t xml:space="preserve"> </w:t>
      </w:r>
      <w:r w:rsidR="00557D82" w:rsidRPr="001114C2">
        <w:fldChar w:fldCharType="begin" w:fldLock="1"/>
      </w:r>
      <w:r w:rsidR="002E2FD7">
        <w:instrText>ADDIN CSL_CITATION {"citationItems":[{"id":"ITEM-1","itemData":{"abstract":"Introduction: The risk of lower extremity amputations (LEAs) in diabetics is 20 times higher than in non-diabetics. Clinical practice guidelines recommend that all diabetics should receive an annual foot examination to identify high-risk foot conditions. Despite this recommendation, there is little evidence in the literature to show its effectiveness in preventing LEA. This study aims to evaluate the effectiveness of diabetes foot screening in primary care in preventing LEA and to identify LEA risk factors. Materials and Methods: This is a retrospective cohort study of diabetic patients who visited the National Healthcare Group Polyclinics for the first time from 1 January 2008 to 31 December 2012. The intervention of interest was foot screening performed at least once during 2 years of follow-up, and the outcome of interest was LEA (major and/or minor) performed during 2 years of follow-up. Patients who did foot screening (n = 8150) were compared to a propensity score matched control group (n = 8150) who did not do foot screening. Logistics regression was done to identify factors associated with LEA. Results: Among those who underwent foot screening, there were 2 (0.02%) major amputations and 15 (0.18%) minor amputations compared with 42 (0.52%) and 52 (0.64%) among those who did not (P &lt;0.001). Conclusion: Lack of diabetes foot screening, lower socioeconomic status, hip fracture, Malay ethnicity, chronic kidney disease, poorer glycaemic control, longer diabetes duration and male gender have been found to be associated with a higher risk of LEA.","author":[{"dropping-particle":"","family":"Ang","given":"Gary Y","non-dropping-particle":"","parse-names":false,"suffix":""},{"dropping-particle":"","family":"Wei Yap","given":"Chun","non-dropping-particle":"","parse-names":false,"suffix":""},{"dropping-particle":"","family":"Saxena","given":"Nakul","non-dropping-particle":"","parse-names":false,"suffix":""},{"dropping-particle":"","family":"Ang Yee","given":"Gary","non-dropping-particle":"","parse-names":false,"suffix":""}],"id":"ITEM-1","issue":"11","issued":{"date-parts":[["2017"]]},"title":"Effectiveness of Diabetes Foot Screening in Primary Care in Preventing Lower Extremity Amputations","type":"report","volume":"46"},"uris":["http://www.mendeley.com/documents/?uuid=a946b7fa-0211-3eeb-80ba-610795ca82c1"]}],"mendeley":{"formattedCitation":"&lt;sup&gt;44&lt;/sup&gt;","plainTextFormattedCitation":"44","previouslyFormattedCitation":"&lt;sup&gt;44&lt;/sup&gt;"},"properties":{"noteIndex":0},"schema":"https://github.com/citation-style-language/schema/raw/master/csl-citation.json"}</w:instrText>
      </w:r>
      <w:r w:rsidR="00557D82" w:rsidRPr="001114C2">
        <w:fldChar w:fldCharType="separate"/>
      </w:r>
      <w:r w:rsidR="002E2FD7" w:rsidRPr="002E2FD7">
        <w:rPr>
          <w:noProof/>
          <w:vertAlign w:val="superscript"/>
        </w:rPr>
        <w:t>44</w:t>
      </w:r>
      <w:r w:rsidR="00557D82" w:rsidRPr="001114C2">
        <w:fldChar w:fldCharType="end"/>
      </w:r>
      <w:r w:rsidR="00557D82" w:rsidRPr="001114C2">
        <w:t xml:space="preserve">. </w:t>
      </w:r>
    </w:p>
    <w:p w14:paraId="6650978A" w14:textId="77777777" w:rsidR="00557D82" w:rsidRDefault="00557D82" w:rsidP="003A4787">
      <w:pPr>
        <w:shd w:val="clear" w:color="auto" w:fill="FFFFFF" w:themeFill="background1"/>
        <w:jc w:val="both"/>
      </w:pPr>
    </w:p>
    <w:p w14:paraId="2415FCB0" w14:textId="78404555" w:rsidR="00AB4866" w:rsidRDefault="000965AE" w:rsidP="00AB4866">
      <w:pPr>
        <w:shd w:val="clear" w:color="auto" w:fill="FFFFFF" w:themeFill="background1"/>
        <w:jc w:val="both"/>
      </w:pPr>
      <w:r>
        <w:t>Recommendations from</w:t>
      </w:r>
      <w:r w:rsidR="00F050F8">
        <w:t xml:space="preserve"> </w:t>
      </w:r>
      <w:r w:rsidR="00F050F8" w:rsidRPr="001114C2">
        <w:t xml:space="preserve">International Working Group on the Diabetic Foot </w:t>
      </w:r>
      <w:r w:rsidR="00F050F8">
        <w:t>guidelines</w:t>
      </w:r>
      <w:r>
        <w:t xml:space="preserve"> from year </w:t>
      </w:r>
      <w:r w:rsidR="00EB199A">
        <w:t>2019</w:t>
      </w:r>
      <w:r w:rsidR="00F050F8">
        <w:t xml:space="preserve">, </w:t>
      </w:r>
      <w:r>
        <w:t xml:space="preserve">suggests that </w:t>
      </w:r>
      <w:r w:rsidR="00F050F8">
        <w:t xml:space="preserve">diabetic foot screening </w:t>
      </w:r>
      <w:r w:rsidR="00583B88">
        <w:t xml:space="preserve">should </w:t>
      </w:r>
      <w:r w:rsidR="00F050F8">
        <w:t xml:space="preserve">be </w:t>
      </w:r>
      <w:r>
        <w:t xml:space="preserve">frequent, ideally as often as once a month </w:t>
      </w:r>
      <w:r w:rsidR="00F050F8">
        <w:t xml:space="preserve"> </w:t>
      </w:r>
      <w:r>
        <w:t xml:space="preserve">up to once a </w:t>
      </w:r>
      <w:r w:rsidR="00F050F8">
        <w:t xml:space="preserve">year based on </w:t>
      </w:r>
      <w:r>
        <w:t xml:space="preserve">the level of </w:t>
      </w:r>
      <w:r w:rsidR="00F050F8">
        <w:t>ulcer risk</w:t>
      </w:r>
      <w:r w:rsidR="00EB199A">
        <w:t xml:space="preserve"> </w:t>
      </w:r>
      <w:r w:rsidR="00F050F8">
        <w:fldChar w:fldCharType="begin" w:fldLock="1"/>
      </w:r>
      <w:r w:rsidR="002E2FD7">
        <w:instrText>ADDIN CSL_CITATION {"citationItems":[{"id":"ITEM-1","itemData":{"author":[{"dropping-particle":"","family":"Bus;","given":"Sicco A.","non-dropping-particle":"","parse-names":false,"suffix":""},{"dropping-particle":"","family":"Lavery","given":"Larry A.","non-dropping-particle":"","parse-names":false,"suffix":""},{"dropping-particle":"","family":"Monteiro-Soares","given":"Matilde","non-dropping-particle":"","parse-names":false,"suffix":""},{"dropping-particle":"","family":"Rasmussen4","given":"Anne","non-dropping-particle":"","parse-names":false,"suffix":""},{"dropping-particle":"","family":"Raspovic","given":"Anita","non-dropping-particle":"","parse-names":false,"suffix":""},{"dropping-particle":"","family":"Sacco","given":"Isabel C.N.","non-dropping-particle":"","parse-names":false,"suffix":""},{"dropping-particle":"van","family":"Netten","given":"Jaap J.","non-dropping-particle":"","parse-names":false,"suffix":""}],"id":"ITEM-1","issued":{"date-parts":[["2019"]]},"title":"IWGDF Guideline on the prevention of foot ulcers in persons with diabetes","type":"report"},"uris":["http://www.mendeley.com/documents/?uuid=6dda7dbb-3a28-3222-b0d5-926b5d1aaa38"]}],"mendeley":{"formattedCitation":"&lt;sup&gt;45&lt;/sup&gt;","plainTextFormattedCitation":"45","previouslyFormattedCitation":"&lt;sup&gt;45&lt;/sup&gt;"},"properties":{"noteIndex":0},"schema":"https://github.com/citation-style-language/schema/raw/master/csl-citation.json"}</w:instrText>
      </w:r>
      <w:r w:rsidR="00F050F8">
        <w:fldChar w:fldCharType="separate"/>
      </w:r>
      <w:r w:rsidR="002E2FD7" w:rsidRPr="002E2FD7">
        <w:rPr>
          <w:noProof/>
          <w:vertAlign w:val="superscript"/>
        </w:rPr>
        <w:t>45</w:t>
      </w:r>
      <w:r w:rsidR="00F050F8">
        <w:fldChar w:fldCharType="end"/>
      </w:r>
      <w:r w:rsidR="00F050F8">
        <w:t xml:space="preserve">. </w:t>
      </w:r>
      <w:r w:rsidR="00557D82">
        <w:t xml:space="preserve">The </w:t>
      </w:r>
      <w:r w:rsidR="00583B88">
        <w:t xml:space="preserve">guidelines </w:t>
      </w:r>
      <w:r>
        <w:t>emphasize</w:t>
      </w:r>
      <w:r w:rsidR="00426E60" w:rsidRPr="001114C2">
        <w:t xml:space="preserve"> </w:t>
      </w:r>
      <w:r>
        <w:t xml:space="preserve">to </w:t>
      </w:r>
      <w:r w:rsidR="00426E60" w:rsidRPr="001114C2">
        <w:t xml:space="preserve">screen </w:t>
      </w:r>
      <w:r w:rsidR="00B65F4C" w:rsidRPr="001114C2">
        <w:t>p</w:t>
      </w:r>
      <w:r w:rsidR="00B65F4C">
        <w:t>atients</w:t>
      </w:r>
      <w:r w:rsidR="00B65F4C" w:rsidRPr="001114C2">
        <w:t xml:space="preserve"> </w:t>
      </w:r>
      <w:r w:rsidR="00426E60" w:rsidRPr="001114C2">
        <w:t xml:space="preserve">with diabetes at-risk </w:t>
      </w:r>
      <w:r w:rsidR="00705BE1" w:rsidRPr="001114C2">
        <w:t xml:space="preserve">for </w:t>
      </w:r>
      <w:r w:rsidR="000373CE">
        <w:t>diabetic foot ulcer</w:t>
      </w:r>
      <w:r w:rsidR="00705BE1" w:rsidRPr="001114C2">
        <w:t xml:space="preserve"> </w:t>
      </w:r>
      <w:r w:rsidR="00B65F4C">
        <w:t>to</w:t>
      </w:r>
      <w:r w:rsidR="00705BE1">
        <w:t xml:space="preserve"> </w:t>
      </w:r>
      <w:r w:rsidR="00426E60" w:rsidRPr="001114C2">
        <w:t xml:space="preserve">identify risk factors early </w:t>
      </w:r>
      <w:r w:rsidR="00705BE1">
        <w:t>and p</w:t>
      </w:r>
      <w:r w:rsidR="00426E60" w:rsidRPr="001114C2">
        <w:t>revent firs</w:t>
      </w:r>
      <w:r w:rsidR="00570DED">
        <w:t>t</w:t>
      </w:r>
      <w:r w:rsidR="00426E60" w:rsidRPr="001114C2">
        <w:t xml:space="preserve"> or recurrent </w:t>
      </w:r>
      <w:r w:rsidR="00B65F4C">
        <w:t xml:space="preserve">ulcers </w:t>
      </w:r>
      <w:r w:rsidR="00426E60" w:rsidRPr="001114C2">
        <w:fldChar w:fldCharType="begin" w:fldLock="1"/>
      </w:r>
      <w:r w:rsidR="002E2FD7">
        <w:instrText>ADDIN CSL_CITATION {"citationItems":[{"id":"ITEM-1","itemData":{"author":[{"dropping-particle":"","family":"Bus;","given":"Sicco A.","non-dropping-particle":"","parse-names":false,"suffix":""},{"dropping-particle":"","family":"Lavery","given":"Larry A.","non-dropping-particle":"","parse-names":false,"suffix":""},{"dropping-particle":"","family":"Monteiro-Soares","given":"Matilde","non-dropping-particle":"","parse-names":false,"suffix":""},{"dropping-particle":"","family":"Rasmussen4","given":"Anne","non-dropping-particle":"","parse-names":false,"suffix":""},{"dropping-particle":"","family":"Raspovic","given":"Anita","non-dropping-particle":"","parse-names":false,"suffix":""},{"dropping-particle":"","family":"Sacco","given":"Isabel C.N.","non-dropping-particle":"","parse-names":false,"suffix":""},{"dropping-particle":"van","family":"Netten","given":"Jaap J.","non-dropping-particle":"","parse-names":false,"suffix":""}],"id":"ITEM-1","issued":{"date-parts":[["2019"]]},"title":"IWGDF Guideline on the prevention of foot ulcers in persons with diabetes","type":"report"},"uris":["http://www.mendeley.com/documents/?uuid=6dda7dbb-3a28-3222-b0d5-926b5d1aaa38"]}],"mendeley":{"formattedCitation":"&lt;sup&gt;45&lt;/sup&gt;","plainTextFormattedCitation":"45","previouslyFormattedCitation":"&lt;sup&gt;45&lt;/sup&gt;"},"properties":{"noteIndex":0},"schema":"https://github.com/citation-style-language/schema/raw/master/csl-citation.json"}</w:instrText>
      </w:r>
      <w:r w:rsidR="00426E60" w:rsidRPr="001114C2">
        <w:fldChar w:fldCharType="separate"/>
      </w:r>
      <w:r w:rsidR="002E2FD7" w:rsidRPr="002E2FD7">
        <w:rPr>
          <w:noProof/>
          <w:vertAlign w:val="superscript"/>
        </w:rPr>
        <w:t>45</w:t>
      </w:r>
      <w:r w:rsidR="00426E60" w:rsidRPr="001114C2">
        <w:fldChar w:fldCharType="end"/>
      </w:r>
      <w:r w:rsidR="00426E60" w:rsidRPr="001114C2">
        <w:t xml:space="preserve">. </w:t>
      </w:r>
      <w:r w:rsidR="004959BD">
        <w:t>The researchers</w:t>
      </w:r>
      <w:r w:rsidR="00426E60" w:rsidRPr="001114C2">
        <w:t xml:space="preserve"> </w:t>
      </w:r>
      <w:r w:rsidR="00570DED">
        <w:t xml:space="preserve">therefore </w:t>
      </w:r>
      <w:r w:rsidR="00744268">
        <w:t xml:space="preserve">argue that </w:t>
      </w:r>
      <w:r w:rsidR="00744268" w:rsidRPr="001114C2">
        <w:t>healthcare</w:t>
      </w:r>
      <w:r w:rsidR="00426E60" w:rsidRPr="001114C2">
        <w:t xml:space="preserve"> professionals in primary care </w:t>
      </w:r>
      <w:r w:rsidR="00570DED">
        <w:t>should</w:t>
      </w:r>
      <w:r w:rsidR="00426E60" w:rsidRPr="001114C2">
        <w:t xml:space="preserve"> </w:t>
      </w:r>
      <w:r w:rsidR="00E35E3A" w:rsidRPr="001114C2">
        <w:t xml:space="preserve">focus on </w:t>
      </w:r>
      <w:r w:rsidR="00AB4866">
        <w:t xml:space="preserve">identifying and </w:t>
      </w:r>
      <w:r w:rsidR="00426E60" w:rsidRPr="001114C2">
        <w:t>address</w:t>
      </w:r>
      <w:r w:rsidR="003A4787" w:rsidRPr="001114C2">
        <w:t>ing</w:t>
      </w:r>
      <w:r w:rsidR="00426E60" w:rsidRPr="001114C2">
        <w:t xml:space="preserve"> </w:t>
      </w:r>
      <w:r w:rsidR="00B65066">
        <w:t xml:space="preserve">those factors </w:t>
      </w:r>
      <w:r w:rsidR="00AB4866">
        <w:t xml:space="preserve">associated with non-adherence to </w:t>
      </w:r>
      <w:r w:rsidR="00E35E3A" w:rsidRPr="001114C2">
        <w:t xml:space="preserve">recommended </w:t>
      </w:r>
      <w:r w:rsidR="00570DED">
        <w:t>treatment in order</w:t>
      </w:r>
      <w:r w:rsidR="00570DED" w:rsidRPr="001114C2">
        <w:t xml:space="preserve"> </w:t>
      </w:r>
      <w:r w:rsidR="00426E60" w:rsidRPr="001114C2">
        <w:t xml:space="preserve">to </w:t>
      </w:r>
      <w:r w:rsidR="00E57EA3" w:rsidRPr="001114C2">
        <w:t>maximize primary and secondary prevention</w:t>
      </w:r>
      <w:r w:rsidR="00B65066">
        <w:t xml:space="preserve"> of diabetic foot </w:t>
      </w:r>
      <w:proofErr w:type="gramStart"/>
      <w:r w:rsidR="00B65066">
        <w:t>ulcer</w:t>
      </w:r>
      <w:r w:rsidR="00AB4866">
        <w:t>, and</w:t>
      </w:r>
      <w:proofErr w:type="gramEnd"/>
      <w:r w:rsidR="00AB4866">
        <w:t xml:space="preserve"> increase chances for early treatment and fast healing.</w:t>
      </w:r>
    </w:p>
    <w:p w14:paraId="1202E919" w14:textId="06400083" w:rsidR="000473E5" w:rsidRDefault="00707CE7" w:rsidP="008C3F7F">
      <w:pPr>
        <w:shd w:val="clear" w:color="auto" w:fill="FFFFFF" w:themeFill="background1"/>
        <w:jc w:val="both"/>
      </w:pPr>
      <w:r w:rsidRPr="00227797">
        <w:lastRenderedPageBreak/>
        <w:t xml:space="preserve">A recent </w:t>
      </w:r>
      <w:r w:rsidR="007B6C2C" w:rsidRPr="00227797">
        <w:t xml:space="preserve">study </w:t>
      </w:r>
      <w:r w:rsidR="00A55768">
        <w:t>fro</w:t>
      </w:r>
      <w:r w:rsidR="00EB199A">
        <w:t>m year 2017</w:t>
      </w:r>
      <w:r w:rsidR="00A55768">
        <w:t xml:space="preserve"> </w:t>
      </w:r>
      <w:r w:rsidR="00A30283" w:rsidRPr="00227797">
        <w:t xml:space="preserve">suggested </w:t>
      </w:r>
      <w:r w:rsidR="007B6C2C" w:rsidRPr="00227797">
        <w:t>that</w:t>
      </w:r>
      <w:r w:rsidRPr="00227797">
        <w:t xml:space="preserve"> diabetic foot ulcers and </w:t>
      </w:r>
      <w:r w:rsidR="00B65F4C" w:rsidRPr="00227797">
        <w:t xml:space="preserve">ulcer </w:t>
      </w:r>
      <w:r w:rsidRPr="00227797">
        <w:t xml:space="preserve">infections constitute a risk factor for </w:t>
      </w:r>
      <w:r w:rsidR="005F296F" w:rsidRPr="00227797">
        <w:t>emergency department</w:t>
      </w:r>
      <w:r w:rsidR="007B6C2C" w:rsidRPr="00227797">
        <w:t xml:space="preserve"> visits</w:t>
      </w:r>
      <w:r w:rsidRPr="00227797">
        <w:t xml:space="preserve"> and hospital admissio</w:t>
      </w:r>
      <w:r w:rsidR="00C4431F" w:rsidRPr="00227797">
        <w:t>n</w:t>
      </w:r>
      <w:r w:rsidR="00B65F4C" w:rsidRPr="00227797">
        <w:t xml:space="preserve"> </w:t>
      </w:r>
      <w:r w:rsidR="00C4431F" w:rsidRPr="00227797">
        <w:fldChar w:fldCharType="begin" w:fldLock="1"/>
      </w:r>
      <w:r w:rsidR="002E2FD7">
        <w:instrText xml:space="preserve">ADDIN CSL_CITATION {"citationItems":[{"id":"ITEM-1","itemData":{"DOI":"10.2337/dc16-2189","ISBN":"730.16730.19","abstract":"Diabetes Care 2017;40:936-942 | https://doi.org/10.2337/dc16-2189 OBJECTIVE To evaluate ambulatory clinical cases of diabetic foot ulcers (DFUs) and diabetic foot infections (DFIs) in the U.S. from 2007 to 2013 and to assess outcomes of emergency department or inpatient (ED/IP) admission, number of clinic visits per year, and physician time spent per visit. RESEARCH DESIGN AND METHODS A cross-sectional historical cohort analysis was conducted by using the nationally representative Centers for Disease Control and Prevention National Ambulatory Medical Care Survey data from 2007 to 2013, including patients age ‡18 years with diabetes and either DFIs or DFUs. Study outcomes were analyzed by using generalized linear models controlling for key demographics and chronic conditions. RESULTS Across the estimated 5.6 billion ambulatory care visits between 2007 and 2013, 784.8 million involved diabetes and </w:instrText>
      </w:r>
      <w:r w:rsidR="002E2FD7">
        <w:rPr>
          <w:rFonts w:ascii="Cambria Math" w:hAnsi="Cambria Math" w:cs="Cambria Math"/>
        </w:rPr>
        <w:instrText>∼</w:instrText>
      </w:r>
      <w:r w:rsidR="002E2FD7">
        <w:instrText>6.7 million (0.8%) were for DFUs (0.3%) or DFIs (0.5%). Relative to other ambulatory clinical cases, multivariable analyses indicated that DFUs were associated with a 3.4 times higher odds of direct ED/IP admission (CI 1.01-11.28; P = 0.049), 2.1 times higher odds of referral to another physician (CI 1.14-3.71; P = 0.017), 1.9 times more visits in the past 12 months (CI 1.41-2.42; P &lt; 0.001), and 1.4 times longer time spent per visit with the physician (CI 1.03-1.87; P = 0.033). DFIs were independently associated with a 6.7 times higher odds of direct ED referral or IP admission (CI 2.25-19.51; P &lt; 0.001) and 1.5 times more visits in the past 12 months (CI 1.14-1.90; P = 0.003). CONCLUSIONS This investigation of an estimated 6.7 million diabetic foot cases indicates markedly greater risks for both ED/IP admissions and number of outpatient visits, with DFUs also associated with a higher odds of referrals to other physicians and longer physician visit times. An estimated 9.3% of people living in the U.S. are affected by diabetes, with both prevalence and costs continuing to increase (1). From 2007 to 2013, the prevalence of diabetes increased by 26%, and costs increased by 41% (2,3). Overall, the average direct medical costs for patients with diabetes has been observed to be 2.3 times higher than those without the disease (3). More than 20% of U.S. hospitalizations are of patients with diabetes (4).","author":[{"dropping-particle":"","family":"Skrepnek","given":"GH","non-dropping-particle":"","parse-names":false,"suffix":""},{"dropping-particle":"","family":"Mills Sr","given":"Joseph L","non-dropping-particle":"","parse-names":false,"suffix":""},{"dropping-particle":"","family":"Lavery","given":"Lawrence A","non-dropping-particle":"","parse-names":false,"suffix":""},{"dropping-particle":"","family":"Armstrong","given":"David G","non-dropping-particle":"","parse-names":false,"suffix":""}],"container-title":"Diabetes Care","id":"ITEM-1","issued":{"date-parts":[["2017"]]},"title":"Health Care Service and Outcomes Among an Estimated 6.7 Million Ambulatory Care Diabetic Foot Cases in the U.S","type":"article-journal","volume":"40"},"uris":["http://www.mendeley.com/documents/?uuid=8b5ce851-b319-3305-920b-c6928ccb1b67"]}],"mendeley":{"formattedCitation":"&lt;sup&gt;46&lt;/sup&gt;","plainTextFormattedCitation":"46","previouslyFormattedCitation":"&lt;sup&gt;46&lt;/sup&gt;"},"properties":{"noteIndex":0},"schema":"https://github.com/citation-style-language/schema/raw/master/csl-citation.json"}</w:instrText>
      </w:r>
      <w:r w:rsidR="00C4431F" w:rsidRPr="00227797">
        <w:fldChar w:fldCharType="separate"/>
      </w:r>
      <w:r w:rsidR="002E2FD7" w:rsidRPr="002E2FD7">
        <w:rPr>
          <w:noProof/>
          <w:vertAlign w:val="superscript"/>
        </w:rPr>
        <w:t>46</w:t>
      </w:r>
      <w:r w:rsidR="00C4431F" w:rsidRPr="00227797">
        <w:fldChar w:fldCharType="end"/>
      </w:r>
      <w:r w:rsidR="007B6C2C" w:rsidRPr="00227797">
        <w:t xml:space="preserve">. In the present study, </w:t>
      </w:r>
      <w:r w:rsidR="004959BD">
        <w:t>the researchers</w:t>
      </w:r>
      <w:r w:rsidR="00A30283" w:rsidRPr="00227797">
        <w:t xml:space="preserve"> found that </w:t>
      </w:r>
      <w:r w:rsidR="007B6C2C" w:rsidRPr="00227797">
        <w:t xml:space="preserve">16.2% of patients were referred to hospitals for </w:t>
      </w:r>
      <w:r w:rsidR="005F296F" w:rsidRPr="00227797">
        <w:t xml:space="preserve">emergency </w:t>
      </w:r>
      <w:r w:rsidR="007B6C2C" w:rsidRPr="00227797">
        <w:t xml:space="preserve">care on their first presentation at </w:t>
      </w:r>
      <w:r w:rsidR="005F296F" w:rsidRPr="00227797">
        <w:t>the primary care</w:t>
      </w:r>
      <w:r w:rsidR="007B6C2C" w:rsidRPr="00227797">
        <w:t xml:space="preserve"> clinics. </w:t>
      </w:r>
      <w:r w:rsidR="00426E60" w:rsidRPr="00227797">
        <w:t>R</w:t>
      </w:r>
      <w:r w:rsidR="002D4F0A" w:rsidRPr="00227797">
        <w:t>eferrals to</w:t>
      </w:r>
      <w:r w:rsidR="00EB199A">
        <w:t xml:space="preserve"> emergency department</w:t>
      </w:r>
      <w:r w:rsidR="00690808" w:rsidRPr="00227797">
        <w:t xml:space="preserve"> </w:t>
      </w:r>
      <w:r w:rsidR="00A30283" w:rsidRPr="00227797">
        <w:t>were</w:t>
      </w:r>
      <w:r w:rsidR="002546E5" w:rsidRPr="00227797">
        <w:t xml:space="preserve"> associated with d</w:t>
      </w:r>
      <w:r w:rsidR="000373CE">
        <w:t>elayed ulcer</w:t>
      </w:r>
      <w:r w:rsidR="00831C86" w:rsidRPr="00227797">
        <w:t xml:space="preserve"> healing within 3 months</w:t>
      </w:r>
      <w:r w:rsidR="00C42EEC" w:rsidRPr="00227797">
        <w:t xml:space="preserve"> (PR</w:t>
      </w:r>
      <w:r w:rsidR="00BF1FF0" w:rsidRPr="00227797">
        <w:t xml:space="preserve"> </w:t>
      </w:r>
      <w:r w:rsidR="00C42EEC" w:rsidRPr="00227797">
        <w:t>0.70, 95% CI: 0.31 - 0.40, P&lt;.001</w:t>
      </w:r>
      <w:r w:rsidR="001F3ADA" w:rsidRPr="00227797">
        <w:t xml:space="preserve">) and </w:t>
      </w:r>
      <w:r w:rsidR="00C42EEC" w:rsidRPr="00227797">
        <w:t xml:space="preserve">this effect was </w:t>
      </w:r>
      <w:r w:rsidR="00B65F4C" w:rsidRPr="00227797">
        <w:t>also seen in</w:t>
      </w:r>
      <w:r w:rsidR="001C07BB">
        <w:t xml:space="preserve"> the </w:t>
      </w:r>
      <w:r w:rsidR="00C42EEC" w:rsidRPr="00227797">
        <w:t>multivariate analysis (PR: 73, 95% CI: 0.45-1.02, P=.116)</w:t>
      </w:r>
      <w:r w:rsidR="001C07BB">
        <w:t xml:space="preserve"> of the present study</w:t>
      </w:r>
      <w:r w:rsidR="00C42EEC" w:rsidRPr="00227797">
        <w:t xml:space="preserve">. </w:t>
      </w:r>
      <w:r w:rsidR="00AB4866" w:rsidRPr="00227797">
        <w:t xml:space="preserve">The association between </w:t>
      </w:r>
      <w:r w:rsidR="00AC130F" w:rsidRPr="00227797">
        <w:t>referral</w:t>
      </w:r>
      <w:r w:rsidR="00831C86" w:rsidRPr="00227797">
        <w:t>s</w:t>
      </w:r>
      <w:r w:rsidR="00AB4866" w:rsidRPr="00227797">
        <w:t xml:space="preserve"> for emergency care</w:t>
      </w:r>
      <w:r w:rsidR="00831C86" w:rsidRPr="00227797">
        <w:t xml:space="preserve"> and </w:t>
      </w:r>
      <w:r w:rsidR="00B456E8" w:rsidRPr="00227797">
        <w:t>non-</w:t>
      </w:r>
      <w:r w:rsidR="00831C86" w:rsidRPr="00227797">
        <w:t xml:space="preserve">healing within 3 </w:t>
      </w:r>
      <w:r w:rsidR="00AC130F" w:rsidRPr="00227797">
        <w:t>months could possibly be explained by that th</w:t>
      </w:r>
      <w:r w:rsidR="00A30283" w:rsidRPr="00227797">
        <w:t>ose ulcers were considered more</w:t>
      </w:r>
      <w:r w:rsidR="008C3F7F" w:rsidRPr="00227797">
        <w:t xml:space="preserve"> complicated </w:t>
      </w:r>
      <w:r w:rsidR="00A30283" w:rsidRPr="00227797">
        <w:t xml:space="preserve">with deep/extensive infection or severe ischemia </w:t>
      </w:r>
      <w:r w:rsidR="00AC130F" w:rsidRPr="00227797">
        <w:t xml:space="preserve">therefore </w:t>
      </w:r>
      <w:r w:rsidR="008C3F7F" w:rsidRPr="00227797">
        <w:t>require</w:t>
      </w:r>
      <w:r w:rsidR="008B6181" w:rsidRPr="00227797">
        <w:t>d</w:t>
      </w:r>
      <w:r w:rsidR="00AC130F" w:rsidRPr="00227797">
        <w:t xml:space="preserve"> more </w:t>
      </w:r>
      <w:r w:rsidR="00A30283" w:rsidRPr="00227797">
        <w:t>urgent</w:t>
      </w:r>
      <w:r w:rsidR="001133C1" w:rsidRPr="00227797">
        <w:t xml:space="preserve"> and </w:t>
      </w:r>
      <w:r w:rsidR="00AC130F" w:rsidRPr="00227797">
        <w:t>invasive treat</w:t>
      </w:r>
      <w:r w:rsidR="001133C1" w:rsidRPr="00227797">
        <w:t xml:space="preserve">ments </w:t>
      </w:r>
      <w:r w:rsidR="00A30283" w:rsidRPr="00227797">
        <w:t xml:space="preserve">and even hospitalization </w:t>
      </w:r>
      <w:r w:rsidR="001133C1" w:rsidRPr="00227797">
        <w:t xml:space="preserve">to save </w:t>
      </w:r>
      <w:r w:rsidR="00B65F4C" w:rsidRPr="00227797">
        <w:t xml:space="preserve">patients </w:t>
      </w:r>
      <w:r w:rsidR="001133C1" w:rsidRPr="00227797">
        <w:t xml:space="preserve"> lower </w:t>
      </w:r>
      <w:r w:rsidR="003E7B28">
        <w:t>limbs</w:t>
      </w:r>
      <w:r w:rsidR="00A30283" w:rsidRPr="00227797">
        <w:fldChar w:fldCharType="begin" w:fldLock="1"/>
      </w:r>
      <w:r w:rsidR="002E2FD7">
        <w:instrText>ADDIN CSL_CITATION {"citationItems":[{"id":"ITEM-1","itemData":{"abstract":"Diabetic foot disease results in a major global burden for patients and the health care system. The International working Group on the Diabetic Foot (IWGDF) has been producing evidence-based guidelines on the prevention and management of diabetic foot disease since 1999. In 2019, all IWGDF Guidelines have been updated, based on systematic reviews of the literature and formulation of recommendations by multidisciplinary experts from all over the world. In this document, the IWGDF Practical Guidelines, we describe the basic principles of prevention, classification and treatment of diabetic foot disease, based on the six IWGDF Guideline chapters. We also describe the organizational levels to successfully prevent and treat diabetic foot disease according to these principles and provide addenda to assist with foot screening. The information in these practical guidelines is aimed at the global community of healthcare professionals who are involved in the care of persons with diabetes. Many studies around the world support our belief that implementing these prevention and management principles is associated with a decrease in the frequency of diabetes-related lower-extremity amputations. We hope that these updated practical guidelines continue to serve as reference document to aid health care providers in reducing the global burden of diabetic foot disease.","author":[{"dropping-particle":"","family":"Schaper","given":"C","non-dropping-particle":"","parse-names":false,"suffix":""},{"dropping-particle":"","family":"Netten","given":"Jaap J","non-dropping-particle":"Van","parse-names":false,"suffix":""},{"dropping-particle":"","family":"Apelqvist","given":"Jan","non-dropping-particle":"","parse-names":false,"suffix":""},{"dropping-particle":"","family":"Bus","given":"Sicco A","non-dropping-particle":"","parse-names":false,"suffix":""},{"dropping-particle":"","family":"Hinchliffe","given":"Robert J","non-dropping-particle":"","parse-names":false,"suffix":""},{"dropping-particle":"","family":"Lipsky","given":"Benjamin A","non-dropping-particle":"","parse-names":false,"suffix":""}],"id":"ITEM-1","issued":{"date-parts":[["2019"]]},"title":"IWGDF Practical guidelines on the prevention and management of diabetic foot disease","type":"report"},"uris":["http://www.mendeley.com/documents/?uuid=d83b8491-ca1d-3d13-80f9-d1b78577dd2c"]}],"mendeley":{"formattedCitation":"&lt;sup&gt;47&lt;/sup&gt;","plainTextFormattedCitation":"47","previouslyFormattedCitation":"&lt;sup&gt;47&lt;/sup&gt;"},"properties":{"noteIndex":0},"schema":"https://github.com/citation-style-language/schema/raw/master/csl-citation.json"}</w:instrText>
      </w:r>
      <w:r w:rsidR="00A30283" w:rsidRPr="00227797">
        <w:fldChar w:fldCharType="separate"/>
      </w:r>
      <w:r w:rsidR="002E2FD7" w:rsidRPr="002E2FD7">
        <w:rPr>
          <w:noProof/>
          <w:vertAlign w:val="superscript"/>
        </w:rPr>
        <w:t>47</w:t>
      </w:r>
      <w:r w:rsidR="00A30283" w:rsidRPr="00227797">
        <w:fldChar w:fldCharType="end"/>
      </w:r>
      <w:r w:rsidR="00AC130F" w:rsidRPr="00227797">
        <w:t>.</w:t>
      </w:r>
      <w:r w:rsidR="008079C8">
        <w:t xml:space="preserve"> Diabetic f</w:t>
      </w:r>
      <w:r w:rsidR="00C205DD" w:rsidRPr="00227797">
        <w:t>oot ulcers</w:t>
      </w:r>
      <w:r w:rsidR="00AB07C2" w:rsidRPr="00227797">
        <w:t xml:space="preserve"> that</w:t>
      </w:r>
      <w:r w:rsidR="000473E5" w:rsidRPr="00227797">
        <w:t xml:space="preserve"> </w:t>
      </w:r>
      <w:r w:rsidR="00A55768" w:rsidRPr="00227797">
        <w:t>require</w:t>
      </w:r>
      <w:r w:rsidR="00A55768">
        <w:t>d</w:t>
      </w:r>
      <w:r w:rsidR="00A55768" w:rsidRPr="00227797">
        <w:t xml:space="preserve"> emergency care </w:t>
      </w:r>
      <w:r w:rsidR="008079C8">
        <w:t xml:space="preserve">when </w:t>
      </w:r>
      <w:r w:rsidR="000473E5" w:rsidRPr="00227797">
        <w:t xml:space="preserve">first presented </w:t>
      </w:r>
      <w:r w:rsidR="001133C1" w:rsidRPr="00227797">
        <w:t xml:space="preserve">to primary care </w:t>
      </w:r>
      <w:r w:rsidR="008B6181" w:rsidRPr="00227797">
        <w:t xml:space="preserve">were </w:t>
      </w:r>
      <w:r w:rsidR="008079C8">
        <w:t xml:space="preserve">more </w:t>
      </w:r>
      <w:r w:rsidR="004170A3" w:rsidRPr="00227797">
        <w:t>severe an</w:t>
      </w:r>
      <w:r w:rsidR="008079C8">
        <w:t>d</w:t>
      </w:r>
      <w:r w:rsidR="008B6181" w:rsidRPr="00227797">
        <w:t xml:space="preserve"> </w:t>
      </w:r>
      <w:r w:rsidR="004170A3" w:rsidRPr="00227797">
        <w:t>complicated</w:t>
      </w:r>
      <w:r w:rsidR="008079C8">
        <w:t xml:space="preserve"> </w:t>
      </w:r>
      <w:r w:rsidR="00B63720">
        <w:t>which</w:t>
      </w:r>
      <w:r w:rsidR="00B63720" w:rsidRPr="00227797">
        <w:t xml:space="preserve"> may</w:t>
      </w:r>
      <w:r w:rsidR="001E4037" w:rsidRPr="00227797">
        <w:t xml:space="preserve"> be related to </w:t>
      </w:r>
      <w:r w:rsidR="004170A3" w:rsidRPr="00227797">
        <w:t>delay</w:t>
      </w:r>
      <w:r w:rsidR="008B6181" w:rsidRPr="00227797">
        <w:t>s in</w:t>
      </w:r>
      <w:r w:rsidR="004170A3" w:rsidRPr="00227797">
        <w:t xml:space="preserve"> seeking professional </w:t>
      </w:r>
      <w:r w:rsidR="008B6181" w:rsidRPr="00227797">
        <w:t xml:space="preserve">medical </w:t>
      </w:r>
      <w:r w:rsidR="004170A3" w:rsidRPr="00227797">
        <w:t>help after identified a foot problem,</w:t>
      </w:r>
      <w:r w:rsidR="000473E5" w:rsidRPr="00227797">
        <w:t xml:space="preserve"> or delays in identifying foot ulcers </w:t>
      </w:r>
      <w:r w:rsidR="008079C8">
        <w:t xml:space="preserve">due to a </w:t>
      </w:r>
      <w:r w:rsidR="000473E5" w:rsidRPr="00227797">
        <w:t xml:space="preserve">lack of foot self-care knowledge. Further research is recommended to </w:t>
      </w:r>
      <w:r w:rsidR="008079C8" w:rsidRPr="00227797">
        <w:t>explor</w:t>
      </w:r>
      <w:r w:rsidR="008079C8">
        <w:t>e diabetic foot ulcer patients</w:t>
      </w:r>
      <w:r w:rsidR="00B63720">
        <w:t>’</w:t>
      </w:r>
      <w:r w:rsidR="008079C8">
        <w:t xml:space="preserve"> </w:t>
      </w:r>
      <w:r w:rsidR="006D0C7E" w:rsidRPr="00227797">
        <w:t>health seeking behavior and</w:t>
      </w:r>
      <w:r w:rsidR="008079C8">
        <w:t xml:space="preserve"> their</w:t>
      </w:r>
      <w:r w:rsidR="006D0C7E" w:rsidRPr="00227797">
        <w:t xml:space="preserve"> knowledge of self-care related to treatment adherence</w:t>
      </w:r>
      <w:r w:rsidR="006D0C7E">
        <w:t xml:space="preserve">. </w:t>
      </w:r>
    </w:p>
    <w:p w14:paraId="2C922E32" w14:textId="79D5182F" w:rsidR="00707CE7" w:rsidRPr="00D40E86" w:rsidRDefault="00707CE7" w:rsidP="008C3F7F">
      <w:pPr>
        <w:shd w:val="clear" w:color="auto" w:fill="FFFFFF" w:themeFill="background1"/>
        <w:jc w:val="both"/>
      </w:pPr>
    </w:p>
    <w:p w14:paraId="6B85F150" w14:textId="39C79D9A" w:rsidR="00CE33AD" w:rsidRDefault="001C07BB" w:rsidP="00CE33AD">
      <w:pPr>
        <w:jc w:val="both"/>
      </w:pPr>
      <w:r>
        <w:t xml:space="preserve">The </w:t>
      </w:r>
      <w:r w:rsidR="007A5E52" w:rsidRPr="00D40E86">
        <w:t>descriptive analysis</w:t>
      </w:r>
      <w:r>
        <w:t xml:space="preserve"> of the present study</w:t>
      </w:r>
      <w:r w:rsidR="007A5E52" w:rsidRPr="00D40E86">
        <w:t xml:space="preserve"> reve</w:t>
      </w:r>
      <w:r>
        <w:t xml:space="preserve">aled that more than half of the </w:t>
      </w:r>
      <w:r w:rsidR="007A5E52" w:rsidRPr="00D40E86">
        <w:t>pat</w:t>
      </w:r>
      <w:r w:rsidR="00936500">
        <w:t xml:space="preserve">ients (65.4%) </w:t>
      </w:r>
      <w:r>
        <w:t xml:space="preserve">in the present study </w:t>
      </w:r>
      <w:r w:rsidR="00936500">
        <w:t>had abnormal HbA1c</w:t>
      </w:r>
      <w:r w:rsidR="007A5E52" w:rsidRPr="00D40E86">
        <w:t xml:space="preserve"> &gt;7% and most of patients had </w:t>
      </w:r>
      <w:r w:rsidR="009E2271">
        <w:t>diabetes</w:t>
      </w:r>
      <w:r w:rsidR="007A5E52" w:rsidRPr="00D40E86">
        <w:t xml:space="preserve"> &gt;5 years. Patients with </w:t>
      </w:r>
      <w:r w:rsidR="00D24502" w:rsidRPr="00D40E86">
        <w:t xml:space="preserve">previous </w:t>
      </w:r>
      <w:r w:rsidR="007A5E52" w:rsidRPr="00D40E86">
        <w:t xml:space="preserve">history of </w:t>
      </w:r>
      <w:r w:rsidR="005F296F">
        <w:t>diabetic foot ulcer and diabetic lower limb amputation</w:t>
      </w:r>
      <w:r w:rsidR="007A5E52" w:rsidRPr="00D40E86">
        <w:t xml:space="preserve"> made up 68.5% of study population</w:t>
      </w:r>
      <w:r w:rsidR="00B81144" w:rsidRPr="00D40E86">
        <w:t xml:space="preserve">. </w:t>
      </w:r>
      <w:r w:rsidR="00A30D4F" w:rsidRPr="00D40E86">
        <w:t>T</w:t>
      </w:r>
      <w:r w:rsidR="00B81144" w:rsidRPr="00D40E86">
        <w:t>hese findings corroborate</w:t>
      </w:r>
      <w:r w:rsidR="00670C59" w:rsidRPr="00D40E86">
        <w:t>d</w:t>
      </w:r>
      <w:r w:rsidR="00B81144" w:rsidRPr="00D40E86">
        <w:t xml:space="preserve"> the two preceding factors (low adherence rates </w:t>
      </w:r>
      <w:r w:rsidR="003E4035">
        <w:t>to recommended foot scree</w:t>
      </w:r>
      <w:r w:rsidR="005F296F">
        <w:t>ning</w:t>
      </w:r>
      <w:r w:rsidR="00A30D4F" w:rsidRPr="00D40E86">
        <w:t xml:space="preserve"> and </w:t>
      </w:r>
      <w:r w:rsidR="00B81144" w:rsidRPr="00D40E86">
        <w:t>high rates of</w:t>
      </w:r>
      <w:r w:rsidR="001D0B04" w:rsidRPr="00D40E86">
        <w:t xml:space="preserve"> </w:t>
      </w:r>
      <w:r w:rsidR="005F296F">
        <w:t>emergency department</w:t>
      </w:r>
      <w:r w:rsidR="001D0B04" w:rsidRPr="00D40E86">
        <w:t xml:space="preserve"> </w:t>
      </w:r>
      <w:r w:rsidR="00B81144" w:rsidRPr="00D40E86">
        <w:t>referral due to late presentation</w:t>
      </w:r>
      <w:r w:rsidR="005F296F">
        <w:t xml:space="preserve"> of diabetic foot ulcer</w:t>
      </w:r>
      <w:r w:rsidR="00B81144" w:rsidRPr="00D40E86">
        <w:t xml:space="preserve"> in primary care)</w:t>
      </w:r>
      <w:r w:rsidR="00707893" w:rsidRPr="00D40E86">
        <w:t xml:space="preserve"> and </w:t>
      </w:r>
      <w:r w:rsidR="00A51ADF" w:rsidRPr="00D40E86">
        <w:t>further elucidate</w:t>
      </w:r>
      <w:r w:rsidR="00670C59" w:rsidRPr="00D40E86">
        <w:t>d</w:t>
      </w:r>
      <w:r w:rsidR="00A51ADF" w:rsidRPr="00D40E86">
        <w:t xml:space="preserve"> </w:t>
      </w:r>
      <w:r w:rsidR="00B1631C" w:rsidRPr="00D40E86">
        <w:t xml:space="preserve">the </w:t>
      </w:r>
      <w:r w:rsidR="00B35D05" w:rsidRPr="00D40E86">
        <w:t xml:space="preserve">complexity </w:t>
      </w:r>
      <w:r w:rsidR="00B1631C" w:rsidRPr="00D40E86">
        <w:t>of</w:t>
      </w:r>
      <w:r w:rsidR="007766A2" w:rsidRPr="00D40E86">
        <w:t xml:space="preserve"> </w:t>
      </w:r>
      <w:r w:rsidR="00B35D05" w:rsidRPr="00D40E86">
        <w:t>diabetes/</w:t>
      </w:r>
      <w:r w:rsidR="005F296F">
        <w:t>diabetic foot ulcer</w:t>
      </w:r>
      <w:r w:rsidR="00F06D8E" w:rsidRPr="00D40E86">
        <w:t xml:space="preserve"> </w:t>
      </w:r>
      <w:r w:rsidR="00FA4DC4" w:rsidRPr="00D40E86">
        <w:t xml:space="preserve">care, including both </w:t>
      </w:r>
      <w:r w:rsidR="00707893" w:rsidRPr="00D40E86">
        <w:t>management and prevention</w:t>
      </w:r>
      <w:r w:rsidR="00516397" w:rsidRPr="00D40E86">
        <w:t xml:space="preserve"> </w:t>
      </w:r>
      <w:r w:rsidR="00670C59" w:rsidRPr="00D40E86">
        <w:t>in primary care</w:t>
      </w:r>
      <w:r w:rsidR="000D7F1C" w:rsidRPr="00D40E86">
        <w:t xml:space="preserve">. </w:t>
      </w:r>
      <w:r w:rsidR="004738FA" w:rsidRPr="00D40E86">
        <w:t xml:space="preserve"> </w:t>
      </w:r>
      <w:r w:rsidR="008B6181" w:rsidRPr="00D40E86">
        <w:t xml:space="preserve">A previous study has </w:t>
      </w:r>
      <w:r w:rsidR="00DC4D8F" w:rsidRPr="00D40E86">
        <w:t>reported that up to 98% of diabetes management is self-care</w:t>
      </w:r>
      <w:r w:rsidR="00D57765" w:rsidRPr="00D40E86">
        <w:t xml:space="preserve"> </w:t>
      </w:r>
      <w:r w:rsidR="00DC4D8F" w:rsidRPr="00D40E86">
        <w:fldChar w:fldCharType="begin" w:fldLock="1"/>
      </w:r>
      <w:r w:rsidR="002E2FD7">
        <w:instrText>ADDIN CSL_CITATION {"citationItems":[{"id":"ITEM-1","itemData":{"DOI":"10.1016/j.foot.2019.01.004","ISSN":"15322963","abstract":"Objective: Behavioural agreements have been proposed as a clinical strategy for improving concordance with diabetes foot self-management practices, both for individuals ‘At-risk’ of, and with active, diabetes foot disease. This narrative review sought to explore the potential supportive role of person-centred diabetes foot behavioural agreements in promoting protective foot self-management behaviours among ‘At-risk’ individuals. Conclusions: Health care professionals (HCPs) involved in diabetes foot risk stratification and management dedicate considerable time, effort and resources to the prevention of diabetic foot ulcers (DFU) and lower extremity amputation (LEA) and are uniquely placed to deliver person-centred diabetes self-management education and support (DSMES) interventions. Written, verbal and non-verbal agreements are consistent with a wider global move toward DSMES approaches, respectful of people's preferences, and supporting them to undertake protective self-care behaviours. Practice implications: It is theorised that clear communication of the roles of the person with diabetes, their family or carers and HCPs may improve concordance with self-management behaviours. Rather than a punitive measure or means of facilitating discharge of ‘non-concordant’ individuals, person-centred behavioural agreements should be framed positively, as a means of delineating, prescribing and supporting individual diabetes foot-care responsibilities. This is an area worthy of further research.","author":[{"dropping-particle":"","family":"Bullen","given":"Benjamin","non-dropping-particle":"","parse-names":false,"suffix":""},{"dropping-particle":"","family":"Young","given":"Matthew","non-dropping-particle":"","parse-names":false,"suffix":""},{"dropping-particle":"","family":"McArdle","given":"Carla","non-dropping-particle":"","parse-names":false,"suffix":""},{"dropping-particle":"","family":"Ellis","given":"Mairghread","non-dropping-particle":"","parse-names":false,"suffix":""}],"container-title":"Foot","id":"ITEM-1","issued":{"date-parts":[["2019","3","1"]]},"page":"65-69","publisher":"Churchill Livingstone","title":"Overcoming barriers to self-management: The person-centred diabetes foot behavioural agreement.","type":"article","volume":"38"},"uris":["http://www.mendeley.com/documents/?uuid=56e90505-11c9-3834-9d51-89e9b59db609"]}],"mendeley":{"formattedCitation":"&lt;sup&gt;48&lt;/sup&gt;","plainTextFormattedCitation":"48","previouslyFormattedCitation":"&lt;sup&gt;48&lt;/sup&gt;"},"properties":{"noteIndex":0},"schema":"https://github.com/citation-style-language/schema/raw/master/csl-citation.json"}</w:instrText>
      </w:r>
      <w:r w:rsidR="00DC4D8F" w:rsidRPr="00D40E86">
        <w:fldChar w:fldCharType="separate"/>
      </w:r>
      <w:r w:rsidR="002E2FD7" w:rsidRPr="002E2FD7">
        <w:rPr>
          <w:noProof/>
          <w:vertAlign w:val="superscript"/>
        </w:rPr>
        <w:t>48</w:t>
      </w:r>
      <w:r w:rsidR="00DC4D8F" w:rsidRPr="00D40E86">
        <w:fldChar w:fldCharType="end"/>
      </w:r>
      <w:r w:rsidR="00DC4D8F" w:rsidRPr="00D40E86">
        <w:t xml:space="preserve">. </w:t>
      </w:r>
      <w:r w:rsidR="008079C8">
        <w:t>The</w:t>
      </w:r>
      <w:r w:rsidR="00744268" w:rsidRPr="00D40E86">
        <w:t xml:space="preserve"> </w:t>
      </w:r>
      <w:r w:rsidR="003E4035" w:rsidRPr="003E4035">
        <w:t xml:space="preserve">International Working Group on the Diabetic Foot </w:t>
      </w:r>
      <w:r w:rsidR="004170A3" w:rsidRPr="00D40E86">
        <w:t xml:space="preserve">guidelines, </w:t>
      </w:r>
      <w:r w:rsidR="008079C8">
        <w:t xml:space="preserve">recommend </w:t>
      </w:r>
      <w:r w:rsidR="004170A3" w:rsidRPr="00D40E86">
        <w:t xml:space="preserve">patients with </w:t>
      </w:r>
      <w:r w:rsidR="005F296F">
        <w:t>diabetic foot ulcer</w:t>
      </w:r>
      <w:r w:rsidR="004170A3" w:rsidRPr="00D40E86">
        <w:t xml:space="preserve"> to perform </w:t>
      </w:r>
      <w:r w:rsidR="00F9082B" w:rsidRPr="00D40E86">
        <w:t xml:space="preserve">daily foot </w:t>
      </w:r>
      <w:r w:rsidR="004170A3" w:rsidRPr="00D40E86">
        <w:t xml:space="preserve">self-care and seek professional help in a timely manner </w:t>
      </w:r>
      <w:r w:rsidR="00B35D05" w:rsidRPr="00D40E86">
        <w:t xml:space="preserve">for any </w:t>
      </w:r>
      <w:r w:rsidR="004170A3" w:rsidRPr="00D40E86">
        <w:t>foot problem</w:t>
      </w:r>
      <w:r w:rsidR="008079C8">
        <w:t xml:space="preserve"> </w:t>
      </w:r>
      <w:r w:rsidR="00DB64DD">
        <w:fldChar w:fldCharType="begin" w:fldLock="1"/>
      </w:r>
      <w:r w:rsidR="002E2FD7">
        <w:instrText>ADDIN CSL_CITATION {"citationItems":[{"id":"ITEM-1","itemData":{"author":[{"dropping-particle":"","family":"Bus;","given":"Sicco A.","non-dropping-particle":"","parse-names":false,"suffix":""},{"dropping-particle":"","family":"Lavery","given":"Larry A.","non-dropping-particle":"","parse-names":false,"suffix":""},{"dropping-particle":"","family":"Monteiro-Soares","given":"Matilde","non-dropping-particle":"","parse-names":false,"suffix":""},{"dropping-particle":"","family":"Rasmussen4","given":"Anne","non-dropping-particle":"","parse-names":false,"suffix":""},{"dropping-particle":"","family":"Raspovic","given":"Anita","non-dropping-particle":"","parse-names":false,"suffix":""},{"dropping-particle":"","family":"Sacco","given":"Isabel C.N.","non-dropping-particle":"","parse-names":false,"suffix":""},{"dropping-particle":"van","family":"Netten","given":"Jaap J.","non-dropping-particle":"","parse-names":false,"suffix":""}],"id":"ITEM-1","issued":{"date-parts":[["2019"]]},"title":"IWGDF Guideline on the prevention of foot ulcers in persons with diabetes","type":"report"},"uris":["http://www.mendeley.com/documents/?uuid=6dda7dbb-3a28-3222-b0d5-926b5d1aaa38"]}],"mendeley":{"formattedCitation":"&lt;sup&gt;45&lt;/sup&gt;","plainTextFormattedCitation":"45","previouslyFormattedCitation":"&lt;sup&gt;45&lt;/sup&gt;"},"properties":{"noteIndex":0},"schema":"https://github.com/citation-style-language/schema/raw/master/csl-citation.json"}</w:instrText>
      </w:r>
      <w:r w:rsidR="00DB64DD">
        <w:fldChar w:fldCharType="separate"/>
      </w:r>
      <w:r w:rsidR="002E2FD7" w:rsidRPr="002E2FD7">
        <w:rPr>
          <w:noProof/>
          <w:vertAlign w:val="superscript"/>
        </w:rPr>
        <w:t>45</w:t>
      </w:r>
      <w:r w:rsidR="00DB64DD">
        <w:fldChar w:fldCharType="end"/>
      </w:r>
      <w:r w:rsidR="004170A3" w:rsidRPr="00D40E86">
        <w:t xml:space="preserve">. </w:t>
      </w:r>
      <w:r w:rsidR="00D57765" w:rsidRPr="00D40E86">
        <w:t>Knowledge regarding</w:t>
      </w:r>
      <w:r w:rsidR="004170A3" w:rsidRPr="00D40E86">
        <w:t xml:space="preserve"> warning signs for </w:t>
      </w:r>
      <w:r w:rsidR="005F296F">
        <w:t>ulcer</w:t>
      </w:r>
      <w:r w:rsidR="004170A3" w:rsidRPr="00D40E86">
        <w:t xml:space="preserve"> deterioration relates to </w:t>
      </w:r>
      <w:r w:rsidR="00644671" w:rsidRPr="00D40E86">
        <w:t xml:space="preserve">patients healthcare </w:t>
      </w:r>
      <w:r w:rsidR="004170A3" w:rsidRPr="00D40E86">
        <w:t>seeking</w:t>
      </w:r>
      <w:r w:rsidR="008079C8">
        <w:t xml:space="preserve"> behavior</w:t>
      </w:r>
      <w:r w:rsidR="004170A3" w:rsidRPr="00D40E86">
        <w:t xml:space="preserve"> </w:t>
      </w:r>
      <w:r w:rsidR="004170A3" w:rsidRPr="00D40E86">
        <w:fldChar w:fldCharType="begin" w:fldLock="1"/>
      </w:r>
      <w:r w:rsidR="002E2FD7">
        <w:instrText>ADDIN CSL_CITATION {"citationItems":[{"id":"ITEM-1","itemData":{"DOI":"10.1016/j.ijnurstu.2014.05.001","ISSN":"1873-491X","PMID":"24866324","abstract":"BACKGROUND Although foot self-care behavior is viewed as beneficial for the prevention of diabetic foot ulceration, the effect of foot self-care behavior on the development of diabetic foot ulcer has received little empirical investigation. OBJECTIVE To explore the relationship between foot self-care practice and the development of diabetic foot ulcers among diabetic neuropathy patients in northern Taiwan. METHODS A longitudinal study was conducted at one medical center and one teaching hospital in northern Taiwan. PARTICIPANTS A total of 295 diabetic patients who lacked sensitivity to a monofilament were recruited. Five subjects did not provide follow-up data; thus, only the data of 290 subjects were analyzed. The mean age was 67.0 years, and 72.1% had six or fewer years of education. METHODS Data were collected by a modified version of the physical assessment portion of the Michigan Neuropathy Screening Instrument and the Diabetes Foot Self-Care Behavior Scale. Cox regression was used to analyze the predictive power of foot self-care behaviors. RESULTS A total of 29.3% (n=85) of diabetic neuropathy patients developed a diabetic foot ulcer by the one-year follow-up. The total score on the Diabetes Foot Self-Care Behavior Scale was significantly associated with the risk of developing foot ulcers (HR=1.04, 95% CI=1.01-1.07, p=0.004). After controlling for the demographic variables and the number of diabetic foot ulcer hospitalizations, however, the effect was non-significant (HR=1.03, 95% CI=1.00-1.06, p=0.061). Among the foot self-care behaviors, lotion-applying behavior was the only variable that significantly predicted the occurrence of diabetic foot ulcer, even after controlling for demographic variables and diabetic foot ulcer predictors (neuropathy severity, number of diabetic foot ulcer hospitalizations, insulin treatment, and peripheral vascular disease; HR=1.19, 95% CI=1.04-1.36, p=0.012). CONCLUSIONS Among patients with diabetic neuropathy, foot self-care practice may be insufficient to prevent the occurrence of diabetic foot ulcer. Instead, lotion-applying behavior predicted the occurrence of diabetic foot ulcers in diabetic patients with neuropathy. Further studies are needed to explore the mechanism of lotion-applying behavior as it relates to the occurrence of diabetic foot ulcer.","author":[{"dropping-particle":"","family":"Chin","given":"Yen-Fan","non-dropping-particle":"","parse-names":false,"suffix":""},{"dropping-particle":"","family":"Liang","given":"Jersey","non-dropping-particle":"","parse-names":false,"suffix":""},{"dropping-particle":"","family":"Wang","given":"Woan-Shyuan","non-dropping-particle":"","parse-names":false,"suffix":""},{"dropping-particle":"","family":"Hsu","given":"Brend Ray-Sea","non-dropping-particle":"","parse-names":false,"suffix":""},{"dropping-particle":"","family":"Huang","given":"Tzu-Ting","non-dropping-particle":"","parse-names":false,"suffix":""}],"container-title":"International journal of nursing studies","id":"ITEM-1","issue":"12","issued":{"date-parts":[["2014","12"]]},"page":"1568-74","title":"The role of foot self-care behavior on developing foot ulcers in diabetic patients with peripheral neuropathy: a prospective study.","type":"article-journal","volume":"51"},"uris":["http://www.mendeley.com/documents/?uuid=2f065231-9cde-392e-9214-720014d49a87"]}],"mendeley":{"formattedCitation":"&lt;sup&gt;49&lt;/sup&gt;","plainTextFormattedCitation":"49","previouslyFormattedCitation":"&lt;sup&gt;49&lt;/sup&gt;"},"properties":{"noteIndex":0},"schema":"https://github.com/citation-style-language/schema/raw/master/csl-citation.json"}</w:instrText>
      </w:r>
      <w:r w:rsidR="004170A3" w:rsidRPr="00D40E86">
        <w:fldChar w:fldCharType="separate"/>
      </w:r>
      <w:r w:rsidR="002E2FD7" w:rsidRPr="002E2FD7">
        <w:rPr>
          <w:noProof/>
          <w:vertAlign w:val="superscript"/>
        </w:rPr>
        <w:t>49</w:t>
      </w:r>
      <w:r w:rsidR="004170A3" w:rsidRPr="00D40E86">
        <w:fldChar w:fldCharType="end"/>
      </w:r>
      <w:r w:rsidR="00644671" w:rsidRPr="00D40E86">
        <w:t xml:space="preserve"> and it is</w:t>
      </w:r>
      <w:r w:rsidR="00744268" w:rsidRPr="00D40E86">
        <w:t xml:space="preserve"> </w:t>
      </w:r>
      <w:r w:rsidR="00644671" w:rsidRPr="00D40E86">
        <w:t>t</w:t>
      </w:r>
      <w:r w:rsidR="00B1631C" w:rsidRPr="00D40E86">
        <w:t>here</w:t>
      </w:r>
      <w:r w:rsidR="00644671" w:rsidRPr="00D40E86">
        <w:t>fore</w:t>
      </w:r>
      <w:r w:rsidR="00B1631C" w:rsidRPr="00D40E86">
        <w:t xml:space="preserve"> </w:t>
      </w:r>
      <w:r w:rsidR="00644671" w:rsidRPr="00D40E86">
        <w:t xml:space="preserve">important to </w:t>
      </w:r>
      <w:r w:rsidR="00B35D05" w:rsidRPr="00D40E86">
        <w:t>enhanc</w:t>
      </w:r>
      <w:r w:rsidR="00644671" w:rsidRPr="00D40E86">
        <w:t>e</w:t>
      </w:r>
      <w:r w:rsidR="00B35D05" w:rsidRPr="00D40E86">
        <w:t xml:space="preserve"> patient’s </w:t>
      </w:r>
      <w:r w:rsidR="00707893" w:rsidRPr="00D40E86">
        <w:t>self-management</w:t>
      </w:r>
      <w:r w:rsidR="00B35D05" w:rsidRPr="00D40E86">
        <w:t xml:space="preserve"> </w:t>
      </w:r>
      <w:r w:rsidR="009D736C" w:rsidRPr="00D40E86">
        <w:t xml:space="preserve">knowledge </w:t>
      </w:r>
      <w:r w:rsidR="00644671" w:rsidRPr="00D40E86">
        <w:t xml:space="preserve">in order to </w:t>
      </w:r>
      <w:r w:rsidR="00B35D05" w:rsidRPr="00D40E86">
        <w:t>improv</w:t>
      </w:r>
      <w:r w:rsidR="00744268" w:rsidRPr="00D40E86">
        <w:t>e</w:t>
      </w:r>
      <w:r w:rsidR="00B35D05" w:rsidRPr="00D40E86">
        <w:t xml:space="preserve"> treatment adherence (i.e. self-care</w:t>
      </w:r>
      <w:r w:rsidR="002E3CB0" w:rsidRPr="00D40E86">
        <w:t xml:space="preserve"> and health seeking</w:t>
      </w:r>
      <w:r w:rsidR="00B35D05" w:rsidRPr="00D40E86">
        <w:t xml:space="preserve"> behaviors)</w:t>
      </w:r>
      <w:r w:rsidR="00DA7433" w:rsidRPr="00D40E86">
        <w:t xml:space="preserve"> </w:t>
      </w:r>
      <w:r w:rsidR="00DA7433" w:rsidRPr="00D40E86">
        <w:fldChar w:fldCharType="begin" w:fldLock="1"/>
      </w:r>
      <w:r w:rsidR="002E2FD7">
        <w:instrText>ADDIN CSL_CITATION {"citationItems":[{"id":"ITEM-1","itemData":{"abstract":"Diabetic foot disease results in a major global burden for patients and the health care system. The International working Group on the Diabetic Foot (IWGDF) has been producing evidence-based guidelines on the prevention and management of diabetic foot disease since 1999. In 2019, all IWGDF Guidelines have been updated, based on systematic reviews of the literature and formulation of recommendations by multidisciplinary experts from all over the world. In this document, the IWGDF Practical Guidelines, we describe the basic principles of prevention, classification and treatment of diabetic foot disease, based on the six IWGDF Guideline chapters. We also describe the organizational levels to successfully prevent and treat diabetic foot disease according to these principles and provide addenda to assist with foot screening. The information in these practical guidelines is aimed at the global community of healthcare professionals who are involved in the care of persons with diabetes. Many studies around the world support our belief that implementing these prevention and management principles is associated with a decrease in the frequency of diabetes-related lower-extremity amputations. We hope that these updated practical guidelines continue to serve as reference document to aid health care providers in reducing the global burden of diabetic foot disease.","author":[{"dropping-particle":"","family":"Schaper","given":"C","non-dropping-particle":"","parse-names":false,"suffix":""},{"dropping-particle":"","family":"Netten","given":"Jaap J","non-dropping-particle":"Van","parse-names":false,"suffix":""},{"dropping-particle":"","family":"Apelqvist","given":"Jan","non-dropping-particle":"","parse-names":false,"suffix":""},{"dropping-particle":"","family":"Bus","given":"Sicco A","non-dropping-particle":"","parse-names":false,"suffix":""},{"dropping-particle":"","family":"Hinchliffe","given":"Robert J","non-dropping-particle":"","parse-names":false,"suffix":""},{"dropping-particle":"","family":"Lipsky","given":"Benjamin A","non-dropping-particle":"","parse-names":false,"suffix":""}],"id":"ITEM-1","issued":{"date-parts":[["2019"]]},"title":"IWGDF Practical guidelines on the prevention and management of diabetic foot disease","type":"report"},"uris":["http://www.mendeley.com/documents/?uuid=d83b8491-ca1d-3d13-80f9-d1b78577dd2c"]}],"mendeley":{"formattedCitation":"&lt;sup&gt;47&lt;/sup&gt;","plainTextFormattedCitation":"47","previouslyFormattedCitation":"&lt;sup&gt;47&lt;/sup&gt;"},"properties":{"noteIndex":0},"schema":"https://github.com/citation-style-language/schema/raw/master/csl-citation.json"}</w:instrText>
      </w:r>
      <w:r w:rsidR="00DA7433" w:rsidRPr="00D40E86">
        <w:fldChar w:fldCharType="separate"/>
      </w:r>
      <w:r w:rsidR="002E2FD7" w:rsidRPr="002E2FD7">
        <w:rPr>
          <w:noProof/>
          <w:vertAlign w:val="superscript"/>
        </w:rPr>
        <w:t>47</w:t>
      </w:r>
      <w:r w:rsidR="00DA7433" w:rsidRPr="00D40E86">
        <w:fldChar w:fldCharType="end"/>
      </w:r>
      <w:r w:rsidR="009D736C" w:rsidRPr="00D40E86">
        <w:t>. Both knowledge</w:t>
      </w:r>
      <w:r w:rsidR="009D736C" w:rsidRPr="00DA7433">
        <w:t xml:space="preserve"> and behavior</w:t>
      </w:r>
      <w:r w:rsidR="00CE33AD" w:rsidRPr="00DA7433">
        <w:t>al</w:t>
      </w:r>
      <w:r w:rsidR="009D736C" w:rsidRPr="00DA7433">
        <w:t xml:space="preserve"> change</w:t>
      </w:r>
      <w:r w:rsidR="00B35D05" w:rsidRPr="00DA7433">
        <w:t xml:space="preserve"> </w:t>
      </w:r>
      <w:r w:rsidR="00DA7433" w:rsidRPr="00DA7433">
        <w:t xml:space="preserve">should be the priority in foot self-care and self-management </w:t>
      </w:r>
      <w:r w:rsidR="00644671" w:rsidRPr="00DA7433">
        <w:t xml:space="preserve">to achieve </w:t>
      </w:r>
      <w:r w:rsidR="009D736C" w:rsidRPr="00DA7433">
        <w:t xml:space="preserve">optimal </w:t>
      </w:r>
      <w:r w:rsidR="003C2447" w:rsidRPr="00DA7433">
        <w:t>healing</w:t>
      </w:r>
      <w:r w:rsidR="00860DA1" w:rsidRPr="00DA7433">
        <w:t>.</w:t>
      </w:r>
      <w:r w:rsidR="009D736C" w:rsidRPr="001114C2">
        <w:t xml:space="preserve"> </w:t>
      </w:r>
      <w:r w:rsidR="002E3CB0" w:rsidRPr="001114C2">
        <w:t>Further stud</w:t>
      </w:r>
      <w:r w:rsidR="00644671">
        <w:t>ies</w:t>
      </w:r>
      <w:r w:rsidR="002E3CB0" w:rsidRPr="001114C2">
        <w:t xml:space="preserve"> </w:t>
      </w:r>
      <w:r w:rsidR="00644671">
        <w:t>are</w:t>
      </w:r>
      <w:r w:rsidR="00644671" w:rsidRPr="001114C2">
        <w:t xml:space="preserve"> </w:t>
      </w:r>
      <w:r w:rsidR="002E3CB0" w:rsidRPr="001114C2">
        <w:t xml:space="preserve">required </w:t>
      </w:r>
      <w:r w:rsidR="00644671">
        <w:t xml:space="preserve">in order </w:t>
      </w:r>
      <w:r w:rsidR="002E3CB0" w:rsidRPr="001114C2">
        <w:t>to develop educational and behavioral interventions to improve clinical outcomes</w:t>
      </w:r>
      <w:r w:rsidR="00831AD6">
        <w:t xml:space="preserve"> for healing of diabetic foot ulcer</w:t>
      </w:r>
      <w:r w:rsidR="00644671">
        <w:t>s</w:t>
      </w:r>
      <w:r w:rsidR="002E3CB0" w:rsidRPr="001114C2">
        <w:t>.</w:t>
      </w:r>
      <w:r w:rsidR="00CE33AD" w:rsidRPr="00CE33AD">
        <w:t xml:space="preserve"> </w:t>
      </w:r>
    </w:p>
    <w:p w14:paraId="5AC88EB5" w14:textId="77777777" w:rsidR="00AA1739" w:rsidRPr="00CE33AD" w:rsidRDefault="00AA1739" w:rsidP="00CE33AD">
      <w:pPr>
        <w:jc w:val="both"/>
      </w:pPr>
    </w:p>
    <w:p w14:paraId="0F4DF3CD" w14:textId="232EF2F5" w:rsidR="00227797" w:rsidRPr="00F716D4" w:rsidRDefault="001C07BB" w:rsidP="00F716D4">
      <w:pPr>
        <w:jc w:val="both"/>
      </w:pPr>
      <w:r>
        <w:t xml:space="preserve">The present </w:t>
      </w:r>
      <w:r w:rsidR="00A15CE9">
        <w:t xml:space="preserve">study is the first study in Singapore from </w:t>
      </w:r>
      <w:r w:rsidR="001D39CB">
        <w:t xml:space="preserve">primary care </w:t>
      </w:r>
      <w:r w:rsidR="00A15CE9">
        <w:t xml:space="preserve">perspective </w:t>
      </w:r>
      <w:r w:rsidR="00264E36">
        <w:t xml:space="preserve">which </w:t>
      </w:r>
      <w:r w:rsidR="00EB5CA1">
        <w:t>identif</w:t>
      </w:r>
      <w:r w:rsidR="00264E36">
        <w:t>ie</w:t>
      </w:r>
      <w:r w:rsidR="008079C8">
        <w:t>d</w:t>
      </w:r>
      <w:r w:rsidR="005F296F">
        <w:t xml:space="preserve"> factors associated diabetic foot ulcer</w:t>
      </w:r>
      <w:r w:rsidR="00EB5CA1">
        <w:t xml:space="preserve"> healing</w:t>
      </w:r>
      <w:r w:rsidR="00264E36">
        <w:t xml:space="preserve"> </w:t>
      </w:r>
      <w:r w:rsidR="00B65F4C">
        <w:t xml:space="preserve">outcomes within 3 </w:t>
      </w:r>
      <w:r w:rsidR="00B65F4C" w:rsidRPr="00F716D4">
        <w:t>months</w:t>
      </w:r>
      <w:r w:rsidR="00143058" w:rsidRPr="00F716D4">
        <w:t xml:space="preserve">. </w:t>
      </w:r>
      <w:r w:rsidR="00EB5CA1" w:rsidRPr="00F716D4">
        <w:t>In Singapore</w:t>
      </w:r>
      <w:r w:rsidR="001D39CB" w:rsidRPr="00F716D4">
        <w:t xml:space="preserve"> and </w:t>
      </w:r>
      <w:r w:rsidR="00264E36" w:rsidRPr="00F716D4">
        <w:t>the</w:t>
      </w:r>
      <w:r w:rsidR="001D39CB" w:rsidRPr="00F716D4">
        <w:t xml:space="preserve"> global context</w:t>
      </w:r>
      <w:r w:rsidR="00EB5CA1" w:rsidRPr="00F716D4">
        <w:t xml:space="preserve">, </w:t>
      </w:r>
      <w:r w:rsidR="00E01754" w:rsidRPr="00F716D4">
        <w:t xml:space="preserve">most </w:t>
      </w:r>
      <w:r w:rsidR="00EB5CA1" w:rsidRPr="00F716D4">
        <w:t>follow-up</w:t>
      </w:r>
      <w:r w:rsidR="00264E36" w:rsidRPr="00F716D4">
        <w:t>s</w:t>
      </w:r>
      <w:r w:rsidR="00EB5CA1" w:rsidRPr="00F716D4">
        <w:t xml:space="preserve"> </w:t>
      </w:r>
      <w:r w:rsidR="00264E36" w:rsidRPr="00F716D4">
        <w:t xml:space="preserve">in </w:t>
      </w:r>
      <w:r w:rsidR="00EB5CA1" w:rsidRPr="00F716D4">
        <w:t>wound care</w:t>
      </w:r>
      <w:r w:rsidR="008079C8" w:rsidRPr="00F716D4">
        <w:t>,</w:t>
      </w:r>
      <w:r w:rsidR="00EB5CA1" w:rsidRPr="00F716D4">
        <w:t xml:space="preserve"> </w:t>
      </w:r>
      <w:r w:rsidR="005F296F" w:rsidRPr="00F716D4">
        <w:t>including</w:t>
      </w:r>
      <w:r w:rsidR="001D39CB" w:rsidRPr="00F716D4">
        <w:t xml:space="preserve"> care</w:t>
      </w:r>
      <w:r w:rsidR="005F296F" w:rsidRPr="00F716D4">
        <w:t xml:space="preserve"> </w:t>
      </w:r>
      <w:r w:rsidR="008079C8" w:rsidRPr="00F716D4">
        <w:t xml:space="preserve">for </w:t>
      </w:r>
      <w:r w:rsidR="005F296F" w:rsidRPr="00F716D4">
        <w:t>diabetic foot ulcers</w:t>
      </w:r>
      <w:r w:rsidR="00264E36" w:rsidRPr="00F716D4">
        <w:t>,</w:t>
      </w:r>
      <w:r w:rsidR="001D39CB" w:rsidRPr="00F716D4">
        <w:t xml:space="preserve"> </w:t>
      </w:r>
      <w:r w:rsidR="00EB5CA1" w:rsidRPr="00F716D4">
        <w:t xml:space="preserve">is performed by </w:t>
      </w:r>
      <w:r w:rsidR="001D39CB" w:rsidRPr="00F716D4">
        <w:t xml:space="preserve">healthcare professionals, in particular, nurses, </w:t>
      </w:r>
      <w:r w:rsidR="00E01754" w:rsidRPr="00F716D4">
        <w:t>in primary care</w:t>
      </w:r>
      <w:r w:rsidR="001D39CB" w:rsidRPr="00F716D4">
        <w:t xml:space="preserve"> settings </w:t>
      </w:r>
      <w:r w:rsidR="001D39CB" w:rsidRPr="00F716D4">
        <w:fldChar w:fldCharType="begin" w:fldLock="1"/>
      </w:r>
      <w:r w:rsidR="002E2FD7" w:rsidRPr="00F716D4">
        <w:instrText>ADDIN CSL_CITATION {"citationItems":[{"id":"ITEM-1","itemData":{"DOI":"10.12968/jowc.2019.28.Sup8.S4","ISSN":"20522916","PMID":"31393783","abstract":"Objective: This study aimed to analyse the characteristics of patients, including demographics, medical history and treatment, with a diabetic foot ulcer (DFU) during their first follow-up visit to a general practitioner (GP). Methods: A two-part quantitative online questionnaire was distributed among GPs in France, UK, Germany and Spain. Part one entailed a survey of GPs' perceptions of referrals for DFU. Part two collected data on recently managed DFU cases. The percentage of responses was compared for each question and across the four countries for significant differences. Results: In part one of the study, 600 questionnaires were collected (150 per country) and 1188 patients managed for a DFU were included in the second part. About 88% of patients had type 2 diabetes, with a significant proportion of suboptimal control (average HbA1c: 10.64mmol/l). A patient complaint led to diagnosis in 60% of the cases. Wounds were found to be more frequently located in the toes and midfoot, and were superficial (according to the Texas Wound Classification system) in 80% of the cases. More than two-thirds of patients developed small wounds (&lt;5cm2); more than half of them had infected wounds. Approximately 50% of wounds were ischaemic, which triggered the onset of a DFU. Follow-up wound examinations before and after hospitalisation were performed by nurses, except in Germany where GPs undertook this role, including prescribing offloading devices and in the UK where follow-up was managed by podiatrists. Ischaemia, wound necrosis, suspected osteomyelitis and absence of wound healing were the primary reasons for hospital admission during the first month after diagnosis. Conclusion: Delay in specialised foot care is a recurring topic in the treatment of DFUs, even with different health-care structures across Europe. Knowledge and education on DFUs should be reinforced among GPs and nurses to establish a global DFU care network between primary and specialised care, avoid hospitalisation and adequately manage high-risk patients.","author":[{"dropping-particle":"","family":"Sánchez-Ríos","given":"Juan Pedro","non-dropping-particle":"","parse-names":false,"suffix":""},{"dropping-particle":"","family":"García-Klepzig","given":"J. L.","non-dropping-particle":"","parse-names":false,"suffix":""},{"dropping-particle":"","family":"Manu","given":"Chris","non-dropping-particle":"","parse-names":false,"suffix":""},{"dropping-particle":"","family":"Ahluwalia","given":"Raju","non-dropping-particle":"","parse-names":false,"suffix":""},{"dropping-particle":"","family":"Lüdemann","given":"Claas","non-dropping-particle":"","parse-names":false,"suffix":""},{"dropping-particle":"","family":"Meloni","given":"Marco","non-dropping-particle":"","parse-names":false,"suffix":""},{"dropping-particle":"","family":"Lacopi","given":"Elisabetta","non-dropping-particle":"","parse-names":false,"suffix":""},{"dropping-particle":"","family":"Buruaga","given":"Víctor Rodriguez Saenz","non-dropping-particle":"De","parse-names":false,"suffix":""},{"dropping-particle":"","family":"Bouillet","given":"Benjamin","non-dropping-particle":"","parse-names":false,"suffix":""},{"dropping-particle":"","family":"Vouillarmet","given":"Julien","non-dropping-particle":"","parse-names":false,"suffix":""},{"dropping-particle":"","family":"Lázaro-Martínez","given":"José Luis","non-dropping-particle":"","parse-names":false,"suffix":""},{"dropping-particle":"","family":"Acker","given":"Kristien","non-dropping-particle":"Van","parse-names":false,"suffix":""}],"container-title":"Journal of Wound Care","id":"ITEM-1","issued":{"date-parts":[["2019","8","1"]]},"page":"S4-S14","publisher":"MA Healthcare Ltd","title":"Referral of patients with diabetic foot ulcers in four European countries: Patient follow-up after first GP visit","type":"article-journal","volume":"28"},"uris":["http://www.mendeley.com/documents/?uuid=deab70c4-4e19-357f-a4e5-6d4b38fb88a0"]}],"mendeley":{"formattedCitation":"&lt;sup&gt;50&lt;/sup&gt;","plainTextFormattedCitation":"50","previouslyFormattedCitation":"&lt;sup&gt;50&lt;/sup&gt;"},"properties":{"noteIndex":0},"schema":"https://github.com/citation-style-language/schema/raw/master/csl-citation.json"}</w:instrText>
      </w:r>
      <w:r w:rsidR="001D39CB" w:rsidRPr="00F716D4">
        <w:fldChar w:fldCharType="separate"/>
      </w:r>
      <w:r w:rsidR="002E2FD7" w:rsidRPr="00F716D4">
        <w:rPr>
          <w:noProof/>
          <w:vertAlign w:val="superscript"/>
        </w:rPr>
        <w:t>50</w:t>
      </w:r>
      <w:r w:rsidR="001D39CB" w:rsidRPr="00F716D4">
        <w:fldChar w:fldCharType="end"/>
      </w:r>
      <w:r w:rsidR="00264E36" w:rsidRPr="00F716D4">
        <w:t>.</w:t>
      </w:r>
      <w:r w:rsidR="00143058" w:rsidRPr="00F716D4">
        <w:t xml:space="preserve"> </w:t>
      </w:r>
      <w:r w:rsidR="004959BD" w:rsidRPr="00F716D4">
        <w:t>The researchers</w:t>
      </w:r>
      <w:r w:rsidR="00264E36" w:rsidRPr="00F716D4">
        <w:t xml:space="preserve"> believe that the</w:t>
      </w:r>
      <w:r w:rsidR="00143058" w:rsidRPr="00F716D4">
        <w:t xml:space="preserve"> findings</w:t>
      </w:r>
      <w:r w:rsidR="00264E36" w:rsidRPr="00F716D4">
        <w:t xml:space="preserve"> of this study</w:t>
      </w:r>
      <w:r w:rsidR="00143058" w:rsidRPr="00F716D4">
        <w:t xml:space="preserve"> </w:t>
      </w:r>
      <w:r w:rsidR="00264E36" w:rsidRPr="00F716D4">
        <w:t>will</w:t>
      </w:r>
      <w:r w:rsidR="001D39CB" w:rsidRPr="00F716D4">
        <w:t xml:space="preserve"> </w:t>
      </w:r>
      <w:r w:rsidR="00143058" w:rsidRPr="00F716D4">
        <w:t>add valu</w:t>
      </w:r>
      <w:r w:rsidR="008079C8" w:rsidRPr="00F716D4">
        <w:t>able information for</w:t>
      </w:r>
      <w:r w:rsidR="00100998" w:rsidRPr="00F716D4">
        <w:t xml:space="preserve"> clinical decision making</w:t>
      </w:r>
      <w:r w:rsidR="00F716D4" w:rsidRPr="00F716D4">
        <w:t xml:space="preserve"> by healthcare providers in primary care for better DFU care. </w:t>
      </w:r>
    </w:p>
    <w:p w14:paraId="31627842" w14:textId="6C682FAD" w:rsidR="00241294" w:rsidRDefault="00264E36" w:rsidP="00227797">
      <w:pPr>
        <w:jc w:val="both"/>
      </w:pPr>
      <w:r w:rsidRPr="00F716D4">
        <w:br/>
        <w:t>Limitations includes that</w:t>
      </w:r>
      <w:r w:rsidR="007264D5" w:rsidRPr="00F716D4">
        <w:t xml:space="preserve"> the data collection was based on </w:t>
      </w:r>
      <w:r w:rsidR="005C3DDD" w:rsidRPr="00F347AB">
        <w:t>retrospective</w:t>
      </w:r>
      <w:r w:rsidRPr="00F347AB">
        <w:t xml:space="preserve"> </w:t>
      </w:r>
      <w:r w:rsidR="005F296F" w:rsidRPr="00F347AB">
        <w:t>electronic medical records</w:t>
      </w:r>
      <w:r w:rsidR="005C3DDD" w:rsidRPr="00F347AB">
        <w:t xml:space="preserve"> data</w:t>
      </w:r>
      <w:r w:rsidRPr="00F347AB">
        <w:t>, hence</w:t>
      </w:r>
      <w:r w:rsidR="007264D5" w:rsidRPr="00F347AB">
        <w:t xml:space="preserve"> </w:t>
      </w:r>
      <w:r w:rsidRPr="00F347AB">
        <w:t xml:space="preserve">some </w:t>
      </w:r>
      <w:r w:rsidR="007264D5" w:rsidRPr="00F347AB">
        <w:t xml:space="preserve">desired variables that were not </w:t>
      </w:r>
      <w:r w:rsidR="00241294" w:rsidRPr="00F347AB">
        <w:t>recorded</w:t>
      </w:r>
      <w:r w:rsidRPr="00F347AB">
        <w:t>, such as</w:t>
      </w:r>
      <w:r w:rsidR="007264D5" w:rsidRPr="00F347AB">
        <w:t xml:space="preserve"> </w:t>
      </w:r>
      <w:r w:rsidR="00D90EB6" w:rsidRPr="00D90EB6">
        <w:rPr>
          <w:highlight w:val="yellow"/>
        </w:rPr>
        <w:t xml:space="preserve">if patient was a </w:t>
      </w:r>
      <w:r w:rsidR="00F347AB" w:rsidRPr="00D90EB6">
        <w:rPr>
          <w:rFonts w:eastAsia="Times New Roman"/>
          <w:highlight w:val="yellow"/>
        </w:rPr>
        <w:t xml:space="preserve">former </w:t>
      </w:r>
      <w:r w:rsidR="00F347AB" w:rsidRPr="00F347AB">
        <w:rPr>
          <w:rFonts w:eastAsia="Times New Roman"/>
          <w:highlight w:val="yellow"/>
        </w:rPr>
        <w:t>or current smoker</w:t>
      </w:r>
      <w:r w:rsidR="00F347AB">
        <w:rPr>
          <w:rFonts w:eastAsia="Times New Roman"/>
          <w:highlight w:val="yellow"/>
        </w:rPr>
        <w:t>,</w:t>
      </w:r>
      <w:r w:rsidR="00F347AB" w:rsidRPr="00F347AB">
        <w:t xml:space="preserve"> </w:t>
      </w:r>
      <w:r w:rsidR="00CC2AD7" w:rsidRPr="00F347AB">
        <w:t xml:space="preserve">previously </w:t>
      </w:r>
      <w:r w:rsidR="005F296F" w:rsidRPr="00F347AB">
        <w:t xml:space="preserve">ulcer </w:t>
      </w:r>
      <w:r w:rsidR="00A15CE9" w:rsidRPr="00F347AB">
        <w:t xml:space="preserve">classifications, other clinical indications and biomarkers, </w:t>
      </w:r>
      <w:proofErr w:type="gramStart"/>
      <w:r w:rsidR="00A15CE9" w:rsidRPr="00F347AB">
        <w:t>i.e.</w:t>
      </w:r>
      <w:proofErr w:type="gramEnd"/>
      <w:r w:rsidR="00A15CE9" w:rsidRPr="00F347AB">
        <w:t xml:space="preserve"> </w:t>
      </w:r>
      <w:r w:rsidR="00A15CE9" w:rsidRPr="00F347AB">
        <w:lastRenderedPageBreak/>
        <w:t>congestive heart</w:t>
      </w:r>
      <w:r w:rsidR="00A15CE9" w:rsidRPr="00A15CE9">
        <w:t xml:space="preserve"> failure</w:t>
      </w:r>
      <w:r w:rsidR="00A15CE9">
        <w:t xml:space="preserve">, types of </w:t>
      </w:r>
      <w:r w:rsidR="005F296F">
        <w:t>diabetes</w:t>
      </w:r>
      <w:r w:rsidR="00A15CE9">
        <w:t xml:space="preserve">, C-Reactive Protein value, </w:t>
      </w:r>
      <w:r w:rsidR="00830031" w:rsidRPr="00550F74">
        <w:t>wound infection marker</w:t>
      </w:r>
      <w:r w:rsidR="00FD45F3" w:rsidRPr="00550F74">
        <w:t xml:space="preserve">s, </w:t>
      </w:r>
      <w:r w:rsidR="005F296F">
        <w:t>ulcer</w:t>
      </w:r>
      <w:r w:rsidR="00FD45F3" w:rsidRPr="00550F74">
        <w:t xml:space="preserve"> staging and </w:t>
      </w:r>
      <w:r w:rsidR="004835C9" w:rsidRPr="00550F74">
        <w:t>psychosocial status</w:t>
      </w:r>
      <w:r w:rsidR="007264D5" w:rsidRPr="00550F74">
        <w:t xml:space="preserve">, could not be </w:t>
      </w:r>
      <w:r w:rsidR="005C3DDD">
        <w:t>retrieved</w:t>
      </w:r>
      <w:r w:rsidR="007264D5" w:rsidRPr="00550F74">
        <w:t xml:space="preserve">. </w:t>
      </w:r>
    </w:p>
    <w:p w14:paraId="7B326DC0" w14:textId="77777777" w:rsidR="00D5645E" w:rsidRDefault="00D5645E" w:rsidP="00227797">
      <w:pPr>
        <w:jc w:val="both"/>
      </w:pPr>
    </w:p>
    <w:p w14:paraId="20866EEE" w14:textId="5670B97A" w:rsidR="00AA1739" w:rsidRDefault="00B9407B" w:rsidP="00297423">
      <w:pPr>
        <w:jc w:val="both"/>
        <w:rPr>
          <w:b/>
        </w:rPr>
      </w:pPr>
      <w:r w:rsidRPr="00297423">
        <w:rPr>
          <w:b/>
        </w:rPr>
        <w:t xml:space="preserve">Conclusions </w:t>
      </w:r>
    </w:p>
    <w:p w14:paraId="3D88549D" w14:textId="77777777" w:rsidR="00297423" w:rsidRPr="00297423" w:rsidRDefault="00297423" w:rsidP="00297423">
      <w:pPr>
        <w:jc w:val="both"/>
        <w:rPr>
          <w:b/>
        </w:rPr>
      </w:pPr>
    </w:p>
    <w:p w14:paraId="4B723BFD" w14:textId="30E367EB" w:rsidR="00E12CE7" w:rsidRDefault="007F5535" w:rsidP="00E12CE7">
      <w:pPr>
        <w:jc w:val="both"/>
      </w:pPr>
      <w:r w:rsidRPr="00C04E3E">
        <w:rPr>
          <w:color w:val="000000" w:themeColor="text1"/>
        </w:rPr>
        <w:t>This study</w:t>
      </w:r>
      <w:r w:rsidR="0045699F">
        <w:rPr>
          <w:color w:val="000000" w:themeColor="text1"/>
        </w:rPr>
        <w:t xml:space="preserve"> focused on a study sample</w:t>
      </w:r>
      <w:r w:rsidR="003F05CF">
        <w:rPr>
          <w:color w:val="000000" w:themeColor="text1"/>
        </w:rPr>
        <w:t xml:space="preserve"> with diabetic foot ulcer</w:t>
      </w:r>
      <w:r w:rsidR="0045699F">
        <w:rPr>
          <w:color w:val="000000" w:themeColor="text1"/>
        </w:rPr>
        <w:t xml:space="preserve"> from </w:t>
      </w:r>
      <w:r w:rsidR="0045699F" w:rsidRPr="00C04E3E">
        <w:rPr>
          <w:color w:val="000000" w:themeColor="text1"/>
        </w:rPr>
        <w:t>primary care setting</w:t>
      </w:r>
      <w:r w:rsidR="0045699F">
        <w:rPr>
          <w:color w:val="000000" w:themeColor="text1"/>
        </w:rPr>
        <w:t>s in Singapore</w:t>
      </w:r>
      <w:r w:rsidRPr="00C04E3E">
        <w:rPr>
          <w:color w:val="000000" w:themeColor="text1"/>
        </w:rPr>
        <w:t xml:space="preserve"> </w:t>
      </w:r>
      <w:r w:rsidR="0045699F">
        <w:rPr>
          <w:color w:val="000000" w:themeColor="text1"/>
        </w:rPr>
        <w:t xml:space="preserve">and </w:t>
      </w:r>
      <w:r w:rsidRPr="00C04E3E">
        <w:rPr>
          <w:color w:val="000000" w:themeColor="text1"/>
        </w:rPr>
        <w:t xml:space="preserve">described </w:t>
      </w:r>
      <w:r w:rsidR="0045699F">
        <w:rPr>
          <w:color w:val="000000" w:themeColor="text1"/>
        </w:rPr>
        <w:t xml:space="preserve">factors, such as, patient and ulcer </w:t>
      </w:r>
      <w:r w:rsidRPr="00C04E3E">
        <w:rPr>
          <w:color w:val="000000" w:themeColor="text1"/>
        </w:rPr>
        <w:t xml:space="preserve">characteristics </w:t>
      </w:r>
      <w:r w:rsidR="003F05CF">
        <w:rPr>
          <w:color w:val="000000" w:themeColor="text1"/>
        </w:rPr>
        <w:t xml:space="preserve">associated with </w:t>
      </w:r>
      <w:r w:rsidR="0045699F">
        <w:rPr>
          <w:color w:val="000000" w:themeColor="text1"/>
        </w:rPr>
        <w:t>ulcer healing outcomes wi</w:t>
      </w:r>
      <w:r w:rsidR="00DB64DD">
        <w:rPr>
          <w:color w:val="000000" w:themeColor="text1"/>
        </w:rPr>
        <w:t>th</w:t>
      </w:r>
      <w:r w:rsidR="0045699F">
        <w:rPr>
          <w:color w:val="000000" w:themeColor="text1"/>
        </w:rPr>
        <w:t>in</w:t>
      </w:r>
      <w:r w:rsidRPr="00C04E3E">
        <w:rPr>
          <w:color w:val="000000" w:themeColor="text1"/>
        </w:rPr>
        <w:t xml:space="preserve"> 3</w:t>
      </w:r>
      <w:r w:rsidR="0045699F">
        <w:rPr>
          <w:color w:val="000000" w:themeColor="text1"/>
        </w:rPr>
        <w:t xml:space="preserve"> </w:t>
      </w:r>
      <w:r w:rsidRPr="00C04E3E">
        <w:rPr>
          <w:color w:val="000000" w:themeColor="text1"/>
        </w:rPr>
        <w:t>month</w:t>
      </w:r>
      <w:r w:rsidR="0045699F">
        <w:rPr>
          <w:color w:val="000000" w:themeColor="text1"/>
        </w:rPr>
        <w:t>s</w:t>
      </w:r>
      <w:r w:rsidR="00EE29FA">
        <w:rPr>
          <w:color w:val="000000" w:themeColor="text1"/>
        </w:rPr>
        <w:t>.</w:t>
      </w:r>
      <w:r w:rsidRPr="00C04E3E">
        <w:rPr>
          <w:color w:val="000000" w:themeColor="text1"/>
        </w:rPr>
        <w:t xml:space="preserve"> </w:t>
      </w:r>
      <w:r w:rsidR="003F05CF">
        <w:rPr>
          <w:color w:val="000000" w:themeColor="text1"/>
        </w:rPr>
        <w:t>The</w:t>
      </w:r>
      <w:r w:rsidR="0045699F">
        <w:rPr>
          <w:color w:val="000000" w:themeColor="text1"/>
        </w:rPr>
        <w:t xml:space="preserve"> findings revealed that m</w:t>
      </w:r>
      <w:r w:rsidRPr="00C04E3E">
        <w:rPr>
          <w:color w:val="000000" w:themeColor="text1"/>
        </w:rPr>
        <w:t>ale patients</w:t>
      </w:r>
      <w:r w:rsidR="0045699F">
        <w:rPr>
          <w:color w:val="000000" w:themeColor="text1"/>
        </w:rPr>
        <w:t xml:space="preserve">, </w:t>
      </w:r>
      <w:r w:rsidRPr="00C04E3E">
        <w:rPr>
          <w:color w:val="000000" w:themeColor="text1"/>
        </w:rPr>
        <w:t>larger size</w:t>
      </w:r>
      <w:r w:rsidR="0045699F">
        <w:rPr>
          <w:color w:val="000000" w:themeColor="text1"/>
        </w:rPr>
        <w:t>d diabetic foot ulcers</w:t>
      </w:r>
      <w:r w:rsidRPr="00C04E3E">
        <w:rPr>
          <w:color w:val="000000" w:themeColor="text1"/>
        </w:rPr>
        <w:t xml:space="preserve">, longer duration </w:t>
      </w:r>
      <w:r w:rsidR="0045699F">
        <w:rPr>
          <w:color w:val="000000" w:themeColor="text1"/>
        </w:rPr>
        <w:t xml:space="preserve">of the ulcer </w:t>
      </w:r>
      <w:r w:rsidRPr="00C04E3E">
        <w:rPr>
          <w:color w:val="000000" w:themeColor="text1"/>
        </w:rPr>
        <w:t xml:space="preserve">and ischemic etiology </w:t>
      </w:r>
      <w:r w:rsidRPr="00C04E3E">
        <w:rPr>
          <w:color w:val="000000" w:themeColor="text1"/>
          <w:lang w:val="en-SG"/>
        </w:rPr>
        <w:t>were related t</w:t>
      </w:r>
      <w:r w:rsidR="001C4FF7">
        <w:rPr>
          <w:color w:val="000000" w:themeColor="text1"/>
          <w:lang w:val="en-SG"/>
        </w:rPr>
        <w:t xml:space="preserve">o poor healing within 3 months. </w:t>
      </w:r>
      <w:r w:rsidR="001C4FF7" w:rsidRPr="001C4FF7">
        <w:t>Prompt attention to these risk factors may reduce healing time.</w:t>
      </w:r>
      <w:r w:rsidR="001C4FF7">
        <w:t xml:space="preserve"> </w:t>
      </w:r>
      <w:r w:rsidR="00297423" w:rsidRPr="00297423">
        <w:t xml:space="preserve">Further </w:t>
      </w:r>
      <w:r w:rsidR="002E1928" w:rsidRPr="002E1928">
        <w:rPr>
          <w:highlight w:val="yellow"/>
        </w:rPr>
        <w:t>prospective</w:t>
      </w:r>
      <w:r w:rsidR="002E1928">
        <w:t xml:space="preserve"> </w:t>
      </w:r>
      <w:r w:rsidR="00297423" w:rsidRPr="004F6384">
        <w:rPr>
          <w:highlight w:val="yellow"/>
        </w:rPr>
        <w:t xml:space="preserve">studies are warranted to </w:t>
      </w:r>
      <w:r w:rsidR="004F6384" w:rsidRPr="004F6384">
        <w:rPr>
          <w:highlight w:val="yellow"/>
        </w:rPr>
        <w:t>understand factors associated with wound healing, particularly,</w:t>
      </w:r>
      <w:r w:rsidR="004F6384">
        <w:t xml:space="preserve"> </w:t>
      </w:r>
      <w:r w:rsidR="00297423" w:rsidRPr="00297423">
        <w:t>elucidate the mechanism underlying gender differences in association with DFU healing.</w:t>
      </w:r>
      <w:r w:rsidR="00297423">
        <w:t xml:space="preserve"> </w:t>
      </w:r>
      <w:r w:rsidR="0045699F">
        <w:rPr>
          <w:color w:val="000000" w:themeColor="text1"/>
        </w:rPr>
        <w:t>Understanding</w:t>
      </w:r>
      <w:r w:rsidR="0045699F" w:rsidRPr="00C04E3E">
        <w:rPr>
          <w:color w:val="000000" w:themeColor="text1"/>
        </w:rPr>
        <w:t xml:space="preserve"> </w:t>
      </w:r>
      <w:r w:rsidR="00076C43" w:rsidRPr="00C04E3E">
        <w:rPr>
          <w:color w:val="000000" w:themeColor="text1"/>
        </w:rPr>
        <w:t xml:space="preserve">factors associated with </w:t>
      </w:r>
      <w:r w:rsidR="00735971">
        <w:rPr>
          <w:color w:val="000000" w:themeColor="text1"/>
        </w:rPr>
        <w:t>poor</w:t>
      </w:r>
      <w:r w:rsidR="00076C43" w:rsidRPr="00C04E3E">
        <w:rPr>
          <w:color w:val="000000" w:themeColor="text1"/>
        </w:rPr>
        <w:t xml:space="preserve"> healing </w:t>
      </w:r>
      <w:r w:rsidR="0045699F">
        <w:rPr>
          <w:color w:val="000000" w:themeColor="text1"/>
        </w:rPr>
        <w:t>may</w:t>
      </w:r>
      <w:r w:rsidR="0045699F" w:rsidRPr="00C04E3E">
        <w:rPr>
          <w:color w:val="000000" w:themeColor="text1"/>
        </w:rPr>
        <w:t xml:space="preserve"> </w:t>
      </w:r>
      <w:r w:rsidR="00076C43" w:rsidRPr="00C04E3E">
        <w:rPr>
          <w:color w:val="000000" w:themeColor="text1"/>
        </w:rPr>
        <w:t xml:space="preserve">assist clinicians </w:t>
      </w:r>
      <w:r w:rsidR="005F296F">
        <w:rPr>
          <w:color w:val="000000" w:themeColor="text1"/>
        </w:rPr>
        <w:t>to improve risk profiling of diabetic foot ulcer</w:t>
      </w:r>
      <w:r w:rsidR="00076C43" w:rsidRPr="00C04E3E">
        <w:rPr>
          <w:color w:val="000000" w:themeColor="text1"/>
        </w:rPr>
        <w:t xml:space="preserve"> treatment </w:t>
      </w:r>
      <w:r w:rsidR="0045699F">
        <w:rPr>
          <w:color w:val="000000" w:themeColor="text1"/>
        </w:rPr>
        <w:t>and inform</w:t>
      </w:r>
      <w:r w:rsidR="000638CB">
        <w:rPr>
          <w:color w:val="000000" w:themeColor="text1"/>
        </w:rPr>
        <w:t xml:space="preserve"> future</w:t>
      </w:r>
      <w:r w:rsidR="00067E69">
        <w:rPr>
          <w:color w:val="000000" w:themeColor="text1"/>
        </w:rPr>
        <w:t xml:space="preserve"> </w:t>
      </w:r>
      <w:r w:rsidR="006E2F00" w:rsidRPr="00C04E3E">
        <w:rPr>
          <w:color w:val="000000" w:themeColor="text1"/>
        </w:rPr>
        <w:t>interventions</w:t>
      </w:r>
      <w:r w:rsidR="00631CDC">
        <w:rPr>
          <w:color w:val="000000" w:themeColor="text1"/>
        </w:rPr>
        <w:t xml:space="preserve">, </w:t>
      </w:r>
      <w:r w:rsidR="0045699F">
        <w:rPr>
          <w:color w:val="000000" w:themeColor="text1"/>
        </w:rPr>
        <w:t>to</w:t>
      </w:r>
      <w:r w:rsidR="00631CDC">
        <w:rPr>
          <w:color w:val="000000" w:themeColor="text1"/>
        </w:rPr>
        <w:t xml:space="preserve"> improv</w:t>
      </w:r>
      <w:r w:rsidR="000638CB">
        <w:rPr>
          <w:color w:val="000000" w:themeColor="text1"/>
        </w:rPr>
        <w:t>e</w:t>
      </w:r>
      <w:r w:rsidR="00631CDC">
        <w:rPr>
          <w:color w:val="000000" w:themeColor="text1"/>
        </w:rPr>
        <w:t xml:space="preserve"> knowledge and treatment adherence</w:t>
      </w:r>
      <w:r w:rsidR="001C4FF7">
        <w:rPr>
          <w:color w:val="000000" w:themeColor="text1"/>
        </w:rPr>
        <w:t xml:space="preserve"> in this patient group. </w:t>
      </w:r>
    </w:p>
    <w:p w14:paraId="616DC85F" w14:textId="1E836A07" w:rsidR="00E12CE7" w:rsidRDefault="00E12CE7" w:rsidP="00E917BB">
      <w:pPr>
        <w:jc w:val="both"/>
        <w:rPr>
          <w:color w:val="000000" w:themeColor="text1"/>
        </w:rPr>
      </w:pPr>
    </w:p>
    <w:p w14:paraId="5C06F89F" w14:textId="4A5F66B7" w:rsidR="00405CA7" w:rsidRDefault="00405CA7" w:rsidP="00405CA7">
      <w:pPr>
        <w:jc w:val="both"/>
        <w:rPr>
          <w:b/>
        </w:rPr>
      </w:pPr>
      <w:r w:rsidRPr="00235A7C">
        <w:rPr>
          <w:b/>
        </w:rPr>
        <w:t>Acknowledgement</w:t>
      </w:r>
    </w:p>
    <w:p w14:paraId="48F46554" w14:textId="77777777" w:rsidR="00297423" w:rsidRPr="00235A7C" w:rsidRDefault="00297423" w:rsidP="00405CA7">
      <w:pPr>
        <w:jc w:val="both"/>
        <w:rPr>
          <w:b/>
        </w:rPr>
      </w:pPr>
    </w:p>
    <w:p w14:paraId="127CD7E3" w14:textId="7CF3E6E9" w:rsidR="00405CA7" w:rsidRDefault="00405CA7" w:rsidP="00405CA7">
      <w:pPr>
        <w:jc w:val="both"/>
      </w:pPr>
      <w:r w:rsidRPr="00235A7C">
        <w:t xml:space="preserve">The authors thank Professor Doris </w:t>
      </w:r>
      <w:r w:rsidRPr="001056B0">
        <w:t xml:space="preserve">Young </w:t>
      </w:r>
      <w:r w:rsidR="00BA70FF" w:rsidRPr="001056B0">
        <w:t xml:space="preserve">who was a research advisor of </w:t>
      </w:r>
      <w:r w:rsidR="00F83D2D" w:rsidRPr="001056B0">
        <w:t>National Healthcare Group Polyclinics</w:t>
      </w:r>
      <w:r w:rsidR="00BA70FF" w:rsidRPr="001056B0">
        <w:t xml:space="preserve"> </w:t>
      </w:r>
      <w:r w:rsidR="00F83D2D" w:rsidRPr="001056B0">
        <w:t xml:space="preserve">(NHGP) </w:t>
      </w:r>
      <w:r w:rsidRPr="001056B0">
        <w:t xml:space="preserve">and Dr Dong </w:t>
      </w:r>
      <w:proofErr w:type="spellStart"/>
      <w:r w:rsidRPr="001056B0">
        <w:t>Lijuan</w:t>
      </w:r>
      <w:proofErr w:type="spellEnd"/>
      <w:r w:rsidRPr="001056B0">
        <w:t xml:space="preserve"> </w:t>
      </w:r>
      <w:r w:rsidR="00BA70FF" w:rsidRPr="001056B0">
        <w:t xml:space="preserve">who was a Deputy Director of NHGP </w:t>
      </w:r>
      <w:r w:rsidR="00F83D2D" w:rsidRPr="001056B0">
        <w:t>for their</w:t>
      </w:r>
      <w:r w:rsidRPr="00235A7C">
        <w:t xml:space="preserve"> guidance in study design. </w:t>
      </w:r>
    </w:p>
    <w:p w14:paraId="33EE862F" w14:textId="77777777" w:rsidR="00F83D2D" w:rsidRPr="00235A7C" w:rsidRDefault="00F83D2D" w:rsidP="00405CA7">
      <w:pPr>
        <w:jc w:val="both"/>
      </w:pPr>
    </w:p>
    <w:p w14:paraId="5A72D70F" w14:textId="7EBEC448" w:rsidR="00405CA7" w:rsidRDefault="00405CA7" w:rsidP="00405CA7">
      <w:pPr>
        <w:jc w:val="both"/>
      </w:pPr>
      <w:r w:rsidRPr="00235A7C">
        <w:t xml:space="preserve">The authors wish to thank Wound Care Nurses </w:t>
      </w:r>
      <w:proofErr w:type="spellStart"/>
      <w:r w:rsidRPr="00235A7C">
        <w:t>Ms</w:t>
      </w:r>
      <w:proofErr w:type="spellEnd"/>
      <w:r w:rsidRPr="00235A7C">
        <w:t xml:space="preserve"> Chen Yan, Miss Justicia </w:t>
      </w:r>
      <w:proofErr w:type="spellStart"/>
      <w:r w:rsidRPr="00235A7C">
        <w:t>Phang</w:t>
      </w:r>
      <w:proofErr w:type="spellEnd"/>
      <w:r w:rsidRPr="00235A7C">
        <w:t xml:space="preserve"> and Miss </w:t>
      </w:r>
      <w:proofErr w:type="spellStart"/>
      <w:r w:rsidRPr="00235A7C">
        <w:t>Ervina</w:t>
      </w:r>
      <w:proofErr w:type="spellEnd"/>
      <w:r w:rsidRPr="00235A7C">
        <w:t xml:space="preserve"> Lee for their assistance in data collection</w:t>
      </w:r>
      <w:r w:rsidR="00F83D2D">
        <w:t>.</w:t>
      </w:r>
    </w:p>
    <w:p w14:paraId="3EEA1160" w14:textId="77777777" w:rsidR="00D5645E" w:rsidRPr="00235A7C" w:rsidRDefault="00D5645E" w:rsidP="00405CA7">
      <w:pPr>
        <w:jc w:val="both"/>
        <w:rPr>
          <w:color w:val="000000"/>
        </w:rPr>
      </w:pPr>
    </w:p>
    <w:p w14:paraId="02B1521D" w14:textId="77777777" w:rsidR="00405CA7" w:rsidRPr="00235A7C" w:rsidRDefault="00405CA7" w:rsidP="00405CA7">
      <w:pPr>
        <w:jc w:val="both"/>
        <w:rPr>
          <w:color w:val="000000"/>
        </w:rPr>
      </w:pPr>
      <w:r w:rsidRPr="00235A7C">
        <w:rPr>
          <w:color w:val="000000"/>
        </w:rPr>
        <w:t>The authors wish to express their gratitude to National Healthcare Group Polyclinics Nursing Services and Clinical Research Unit for the support</w:t>
      </w:r>
    </w:p>
    <w:p w14:paraId="67A7D915" w14:textId="77777777" w:rsidR="00405CA7" w:rsidRPr="00235A7C" w:rsidRDefault="00405CA7" w:rsidP="00405CA7">
      <w:pPr>
        <w:jc w:val="both"/>
        <w:rPr>
          <w:b/>
          <w:color w:val="000000" w:themeColor="text1"/>
        </w:rPr>
      </w:pPr>
    </w:p>
    <w:p w14:paraId="16C6315C" w14:textId="4CCDBC3F" w:rsidR="00B81817" w:rsidRDefault="00B81817">
      <w:pPr>
        <w:jc w:val="both"/>
        <w:rPr>
          <w:b/>
        </w:rPr>
      </w:pPr>
    </w:p>
    <w:p w14:paraId="1A297A2E" w14:textId="77777777" w:rsidR="001E2C4E" w:rsidRDefault="001E2C4E" w:rsidP="001E2C4E">
      <w:pPr>
        <w:spacing w:line="240" w:lineRule="auto"/>
        <w:jc w:val="both"/>
        <w:rPr>
          <w:b/>
        </w:rPr>
      </w:pPr>
      <w:r w:rsidRPr="00235A7C">
        <w:rPr>
          <w:b/>
        </w:rPr>
        <w:t>Funding information</w:t>
      </w:r>
    </w:p>
    <w:p w14:paraId="4440F4FA" w14:textId="77777777" w:rsidR="001E2C4E" w:rsidRPr="00235A7C" w:rsidRDefault="001E2C4E" w:rsidP="001E2C4E">
      <w:pPr>
        <w:spacing w:line="240" w:lineRule="auto"/>
        <w:jc w:val="both"/>
        <w:rPr>
          <w:b/>
        </w:rPr>
      </w:pPr>
    </w:p>
    <w:p w14:paraId="0B02F27D" w14:textId="77777777" w:rsidR="001E2C4E" w:rsidRPr="00235A7C" w:rsidRDefault="001E2C4E" w:rsidP="001E2C4E">
      <w:pPr>
        <w:spacing w:line="240" w:lineRule="auto"/>
        <w:jc w:val="both"/>
      </w:pPr>
      <w:r w:rsidRPr="00235A7C">
        <w:t>This research did not receive any specific grant from funding agencies in the public, commercial, or not-for-profit sectors.</w:t>
      </w:r>
    </w:p>
    <w:p w14:paraId="0BBBA989" w14:textId="05812B8C" w:rsidR="00BC574A" w:rsidRDefault="00BC574A">
      <w:pPr>
        <w:jc w:val="both"/>
        <w:rPr>
          <w:b/>
        </w:rPr>
      </w:pPr>
    </w:p>
    <w:p w14:paraId="486E8551" w14:textId="5B4B2448" w:rsidR="00BC574A" w:rsidRDefault="00BC574A">
      <w:pPr>
        <w:jc w:val="both"/>
        <w:rPr>
          <w:b/>
        </w:rPr>
      </w:pPr>
    </w:p>
    <w:p w14:paraId="29B44ECA" w14:textId="77777777" w:rsidR="00B51B3B" w:rsidRDefault="00B51B3B" w:rsidP="00B51B3B">
      <w:pPr>
        <w:jc w:val="both"/>
        <w:rPr>
          <w:b/>
          <w:color w:val="000000" w:themeColor="text1"/>
        </w:rPr>
      </w:pPr>
      <w:r w:rsidRPr="00235A7C">
        <w:rPr>
          <w:b/>
          <w:color w:val="000000" w:themeColor="text1"/>
        </w:rPr>
        <w:t xml:space="preserve">Conflict of interest </w:t>
      </w:r>
    </w:p>
    <w:p w14:paraId="053F5F7F" w14:textId="77777777" w:rsidR="00B51B3B" w:rsidRPr="00235A7C" w:rsidRDefault="00B51B3B" w:rsidP="00B51B3B">
      <w:pPr>
        <w:jc w:val="both"/>
        <w:rPr>
          <w:rStyle w:val="current-selection"/>
          <w:shd w:val="clear" w:color="auto" w:fill="FFFFFF"/>
        </w:rPr>
      </w:pPr>
      <w:r w:rsidRPr="00235A7C">
        <w:rPr>
          <w:rStyle w:val="current-selection"/>
          <w:shd w:val="clear" w:color="auto" w:fill="FFFFFF"/>
        </w:rPr>
        <w:t>The authors declare that there is no conflict of interest.</w:t>
      </w:r>
    </w:p>
    <w:p w14:paraId="5EEB922F" w14:textId="18BCE976" w:rsidR="00BC574A" w:rsidRDefault="00BC574A">
      <w:pPr>
        <w:jc w:val="both"/>
        <w:rPr>
          <w:b/>
        </w:rPr>
      </w:pPr>
    </w:p>
    <w:p w14:paraId="2300BEBC" w14:textId="1E996CAB" w:rsidR="00BC574A" w:rsidRDefault="00BC574A">
      <w:pPr>
        <w:jc w:val="both"/>
        <w:rPr>
          <w:b/>
        </w:rPr>
      </w:pPr>
    </w:p>
    <w:p w14:paraId="3B2C178F" w14:textId="77777777" w:rsidR="00B00ABE" w:rsidRPr="00235A7C" w:rsidRDefault="00B00ABE" w:rsidP="00B00ABE">
      <w:pPr>
        <w:jc w:val="both"/>
        <w:rPr>
          <w:color w:val="000000" w:themeColor="text1"/>
        </w:rPr>
      </w:pPr>
    </w:p>
    <w:p w14:paraId="259095E7" w14:textId="77777777" w:rsidR="00B00ABE" w:rsidRPr="00235A7C" w:rsidRDefault="00B00ABE" w:rsidP="00B00ABE">
      <w:pPr>
        <w:jc w:val="both"/>
        <w:rPr>
          <w:b/>
          <w:color w:val="000000" w:themeColor="text1"/>
        </w:rPr>
      </w:pPr>
      <w:r w:rsidRPr="00235A7C">
        <w:rPr>
          <w:b/>
          <w:color w:val="000000" w:themeColor="text1"/>
        </w:rPr>
        <w:t xml:space="preserve">Author contributions </w:t>
      </w:r>
    </w:p>
    <w:p w14:paraId="7EEA937D" w14:textId="36D3874D" w:rsidR="00BC574A" w:rsidRDefault="00B00ABE" w:rsidP="00B00ABE">
      <w:pPr>
        <w:jc w:val="both"/>
        <w:rPr>
          <w:b/>
        </w:rPr>
      </w:pPr>
      <w:r w:rsidRPr="00235A7C">
        <w:rPr>
          <w:rFonts w:eastAsia="Times New Roman"/>
        </w:rPr>
        <w:t>Study design, data analysis and manuscript preparation: ZX; study design and data analysis: GLJ; data analysis: RP; manuscript preparation: MO;</w:t>
      </w:r>
      <w:r w:rsidRPr="00235A7C">
        <w:rPr>
          <w:color w:val="000000" w:themeColor="text1"/>
        </w:rPr>
        <w:t xml:space="preserve"> </w:t>
      </w:r>
      <w:r>
        <w:rPr>
          <w:color w:val="000000" w:themeColor="text1"/>
        </w:rPr>
        <w:t xml:space="preserve">study design, </w:t>
      </w:r>
      <w:r w:rsidRPr="00235A7C">
        <w:rPr>
          <w:color w:val="000000" w:themeColor="text1"/>
        </w:rPr>
        <w:t>data collection: LVH; approval of the final manuscript: all authors</w:t>
      </w:r>
    </w:p>
    <w:p w14:paraId="40640A83" w14:textId="77777777" w:rsidR="001056B0" w:rsidRDefault="001056B0">
      <w:pPr>
        <w:jc w:val="both"/>
        <w:rPr>
          <w:b/>
        </w:rPr>
      </w:pPr>
    </w:p>
    <w:p w14:paraId="2C42F7D4" w14:textId="77A9991E" w:rsidR="000625CD" w:rsidRPr="00550F74" w:rsidRDefault="00966931">
      <w:pPr>
        <w:jc w:val="both"/>
      </w:pPr>
      <w:r w:rsidRPr="00550F74">
        <w:rPr>
          <w:b/>
        </w:rPr>
        <w:lastRenderedPageBreak/>
        <w:t xml:space="preserve">References </w:t>
      </w:r>
    </w:p>
    <w:p w14:paraId="101CE265" w14:textId="3F25F078" w:rsidR="000625CD" w:rsidRPr="00550F74" w:rsidRDefault="000625CD">
      <w:pPr>
        <w:jc w:val="both"/>
      </w:pPr>
    </w:p>
    <w:p w14:paraId="2AFA288A" w14:textId="3A506B0C" w:rsidR="004E28CE" w:rsidRPr="004E28CE" w:rsidRDefault="000625CD" w:rsidP="004E28CE">
      <w:pPr>
        <w:widowControl w:val="0"/>
        <w:autoSpaceDE w:val="0"/>
        <w:autoSpaceDN w:val="0"/>
        <w:adjustRightInd w:val="0"/>
        <w:spacing w:line="240" w:lineRule="auto"/>
        <w:ind w:left="640" w:hanging="640"/>
        <w:rPr>
          <w:noProof/>
          <w:szCs w:val="24"/>
        </w:rPr>
      </w:pPr>
      <w:r w:rsidRPr="00550F74">
        <w:fldChar w:fldCharType="begin" w:fldLock="1"/>
      </w:r>
      <w:r w:rsidRPr="00550F74">
        <w:instrText xml:space="preserve">ADDIN Mendeley Bibliography CSL_BIBLIOGRAPHY </w:instrText>
      </w:r>
      <w:r w:rsidRPr="00550F74">
        <w:fldChar w:fldCharType="separate"/>
      </w:r>
      <w:r w:rsidR="004E28CE" w:rsidRPr="004E28CE">
        <w:rPr>
          <w:noProof/>
          <w:szCs w:val="24"/>
        </w:rPr>
        <w:t xml:space="preserve">1. </w:t>
      </w:r>
      <w:r w:rsidR="004E28CE" w:rsidRPr="004E28CE">
        <w:rPr>
          <w:noProof/>
          <w:szCs w:val="24"/>
        </w:rPr>
        <w:tab/>
        <w:t xml:space="preserve">Karuranga S, Malanda B, Saeedi P, Salpea P, eds. </w:t>
      </w:r>
      <w:r w:rsidR="004E28CE" w:rsidRPr="004E28CE">
        <w:rPr>
          <w:i/>
          <w:iCs/>
          <w:noProof/>
          <w:szCs w:val="24"/>
        </w:rPr>
        <w:t>International Diabetes Federation Diabetes Atlas 2019</w:t>
      </w:r>
      <w:r w:rsidR="004E28CE" w:rsidRPr="004E28CE">
        <w:rPr>
          <w:noProof/>
          <w:szCs w:val="24"/>
        </w:rPr>
        <w:t>. 9th editio.; 2019. www.diabetesatlas.org. Accessed May 20, 2020.</w:t>
      </w:r>
    </w:p>
    <w:p w14:paraId="59F20ACD"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 </w:t>
      </w:r>
      <w:r w:rsidRPr="004E28CE">
        <w:rPr>
          <w:noProof/>
          <w:szCs w:val="24"/>
        </w:rPr>
        <w:tab/>
        <w:t xml:space="preserve">Armstrong DG, Boulton AJM, Bus SA. Diabetic Foot Ulcers and Their Recurrence. </w:t>
      </w:r>
      <w:r w:rsidRPr="004E28CE">
        <w:rPr>
          <w:i/>
          <w:iCs/>
          <w:noProof/>
          <w:szCs w:val="24"/>
        </w:rPr>
        <w:t>N Engl J Med</w:t>
      </w:r>
      <w:r w:rsidRPr="004E28CE">
        <w:rPr>
          <w:noProof/>
          <w:szCs w:val="24"/>
        </w:rPr>
        <w:t>. 2017;376:2367-2375. doi:10.1056/NEJMra1615439</w:t>
      </w:r>
    </w:p>
    <w:p w14:paraId="35953E0E"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 </w:t>
      </w:r>
      <w:r w:rsidRPr="004E28CE">
        <w:rPr>
          <w:noProof/>
          <w:szCs w:val="24"/>
        </w:rPr>
        <w:tab/>
        <w:t xml:space="preserve">Amin N, Doupis J. Diabetic foot disease: From the evaluation of the &amp;quot;foot at risk&amp;quot; to the novel diabetic ulcer treatment modalities. </w:t>
      </w:r>
      <w:r w:rsidRPr="004E28CE">
        <w:rPr>
          <w:i/>
          <w:iCs/>
          <w:noProof/>
          <w:szCs w:val="24"/>
        </w:rPr>
        <w:t>World J Diabetes</w:t>
      </w:r>
      <w:r w:rsidRPr="004E28CE">
        <w:rPr>
          <w:noProof/>
          <w:szCs w:val="24"/>
        </w:rPr>
        <w:t>. 2016;7(7):153-164. doi:10.4239/wjd.v7.i7.153</w:t>
      </w:r>
    </w:p>
    <w:p w14:paraId="397A61EC"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 </w:t>
      </w:r>
      <w:r w:rsidRPr="004E28CE">
        <w:rPr>
          <w:noProof/>
          <w:szCs w:val="24"/>
        </w:rPr>
        <w:tab/>
        <w:t xml:space="preserve">Zubair M, Malik A, Ahmad J. Incidence, risk factors for amputation among patients with diabetic foot ulcer in a North Indian tertiary care hospital. </w:t>
      </w:r>
      <w:r w:rsidRPr="004E28CE">
        <w:rPr>
          <w:i/>
          <w:iCs/>
          <w:noProof/>
          <w:szCs w:val="24"/>
        </w:rPr>
        <w:t>Foot</w:t>
      </w:r>
      <w:r w:rsidRPr="004E28CE">
        <w:rPr>
          <w:noProof/>
          <w:szCs w:val="24"/>
        </w:rPr>
        <w:t>. 2012;22(1):24-30. doi:10.1016/j.foot.2011.09.003</w:t>
      </w:r>
    </w:p>
    <w:p w14:paraId="270B7579"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5. </w:t>
      </w:r>
      <w:r w:rsidRPr="004E28CE">
        <w:rPr>
          <w:noProof/>
          <w:szCs w:val="24"/>
        </w:rPr>
        <w:tab/>
        <w:t xml:space="preserve">Bakheit HE, Mohamed MF, Mahadi SEDI, et al. Diabetic Heel Ulcer in the Sudan: Determinants of Outcome. </w:t>
      </w:r>
      <w:r w:rsidRPr="004E28CE">
        <w:rPr>
          <w:i/>
          <w:iCs/>
          <w:noProof/>
          <w:szCs w:val="24"/>
        </w:rPr>
        <w:t>J Foot Ankle Surg</w:t>
      </w:r>
      <w:r w:rsidRPr="004E28CE">
        <w:rPr>
          <w:noProof/>
          <w:szCs w:val="24"/>
        </w:rPr>
        <w:t>. 2012;51(2):152-155. doi:10.1053/j.jfas.2011.10.032</w:t>
      </w:r>
    </w:p>
    <w:p w14:paraId="7DA67B85"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6. </w:t>
      </w:r>
      <w:r w:rsidRPr="004E28CE">
        <w:rPr>
          <w:noProof/>
          <w:szCs w:val="24"/>
        </w:rPr>
        <w:tab/>
        <w:t xml:space="preserve">Pickwell KM, Siersma VD, Kars M, Holstein PE, Schaper NC, Eurodiale consortium. Diabetic foot disease: impact of ulcer location on ulcer healing. </w:t>
      </w:r>
      <w:r w:rsidRPr="004E28CE">
        <w:rPr>
          <w:i/>
          <w:iCs/>
          <w:noProof/>
          <w:szCs w:val="24"/>
        </w:rPr>
        <w:t>Diabetes Metab Res Rev</w:t>
      </w:r>
      <w:r w:rsidRPr="004E28CE">
        <w:rPr>
          <w:noProof/>
          <w:szCs w:val="24"/>
        </w:rPr>
        <w:t>. 2013;29(5):377-383. doi:10.1002/dmrr.2400</w:t>
      </w:r>
    </w:p>
    <w:p w14:paraId="76DD91FA"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7. </w:t>
      </w:r>
      <w:r w:rsidRPr="004E28CE">
        <w:rPr>
          <w:noProof/>
          <w:szCs w:val="24"/>
        </w:rPr>
        <w:tab/>
        <w:t xml:space="preserve">Jeffcoate WJ, Vileikyte L, Boyko EJ, Armstrong DG, Boulton AJM. Current Challenges and Opportunities in the Prevention and Management of Diabetic Foot Ulcers. </w:t>
      </w:r>
      <w:r w:rsidRPr="004E28CE">
        <w:rPr>
          <w:i/>
          <w:iCs/>
          <w:noProof/>
          <w:szCs w:val="24"/>
        </w:rPr>
        <w:t>Diabetes Care</w:t>
      </w:r>
      <w:r w:rsidRPr="004E28CE">
        <w:rPr>
          <w:noProof/>
          <w:szCs w:val="24"/>
        </w:rPr>
        <w:t>. 2018;41(4):645-652. doi:10.2337/dc17-1836</w:t>
      </w:r>
    </w:p>
    <w:p w14:paraId="2D361CFB"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8. </w:t>
      </w:r>
      <w:r w:rsidRPr="004E28CE">
        <w:rPr>
          <w:noProof/>
          <w:szCs w:val="24"/>
        </w:rPr>
        <w:tab/>
        <w:t xml:space="preserve">Prompers L, Schaper N, Apelqvist J, et al. Prediction of outcome in individuals with diabetic foot ulcers: focus on the differences between individuals with and without peripheral arterial disease. The EURODIALE Study. </w:t>
      </w:r>
      <w:r w:rsidRPr="004E28CE">
        <w:rPr>
          <w:i/>
          <w:iCs/>
          <w:noProof/>
          <w:szCs w:val="24"/>
        </w:rPr>
        <w:t>Diabetologia</w:t>
      </w:r>
      <w:r w:rsidRPr="004E28CE">
        <w:rPr>
          <w:noProof/>
          <w:szCs w:val="24"/>
        </w:rPr>
        <w:t>. 2008;51(5):747-755. doi:10.1007/s00125-008-0940-0</w:t>
      </w:r>
    </w:p>
    <w:p w14:paraId="10029816"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9. </w:t>
      </w:r>
      <w:r w:rsidRPr="004E28CE">
        <w:rPr>
          <w:noProof/>
          <w:szCs w:val="24"/>
        </w:rPr>
        <w:tab/>
        <w:t xml:space="preserve">Chan AS, Montbriand J, Eisenberg N, Roche-Nagle G. Outcomes of minor amputations in patients with peripheral vascular disease over a 10-year period at a tertiary care institution. </w:t>
      </w:r>
      <w:r w:rsidRPr="004E28CE">
        <w:rPr>
          <w:i/>
          <w:iCs/>
          <w:noProof/>
          <w:szCs w:val="24"/>
        </w:rPr>
        <w:t>Vascular</w:t>
      </w:r>
      <w:r w:rsidRPr="004E28CE">
        <w:rPr>
          <w:noProof/>
          <w:szCs w:val="24"/>
        </w:rPr>
        <w:t>. 2019;27(1):8-18. doi:10.1177/1708538118797544</w:t>
      </w:r>
    </w:p>
    <w:p w14:paraId="4E9141BC"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10. </w:t>
      </w:r>
      <w:r w:rsidRPr="004E28CE">
        <w:rPr>
          <w:noProof/>
          <w:szCs w:val="24"/>
        </w:rPr>
        <w:tab/>
        <w:t xml:space="preserve">Phan TP, Alkema L, Tai S, et al. Forecasting the burden of type 2 diabetes in Singapore using a demographic epidemiological model of Singapore. </w:t>
      </w:r>
      <w:r w:rsidRPr="004E28CE">
        <w:rPr>
          <w:i/>
          <w:iCs/>
          <w:noProof/>
          <w:szCs w:val="24"/>
        </w:rPr>
        <w:t>Care</w:t>
      </w:r>
      <w:r w:rsidRPr="004E28CE">
        <w:rPr>
          <w:noProof/>
          <w:szCs w:val="24"/>
        </w:rPr>
        <w:t>. 2014;2:12. doi:10.1136/bmjdrc-2013</w:t>
      </w:r>
    </w:p>
    <w:p w14:paraId="3593968D"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11. </w:t>
      </w:r>
      <w:r w:rsidRPr="004E28CE">
        <w:rPr>
          <w:noProof/>
          <w:szCs w:val="24"/>
        </w:rPr>
        <w:tab/>
        <w:t xml:space="preserve">Ang Y, Yap CW, Saxena N, Lin LK, Heng BH. Diabetes-related lower extremity amputations in Singapore. </w:t>
      </w:r>
      <w:r w:rsidRPr="004E28CE">
        <w:rPr>
          <w:i/>
          <w:iCs/>
          <w:noProof/>
          <w:szCs w:val="24"/>
        </w:rPr>
        <w:t>Proc Singapore Healthc</w:t>
      </w:r>
      <w:r w:rsidRPr="004E28CE">
        <w:rPr>
          <w:noProof/>
          <w:szCs w:val="24"/>
        </w:rPr>
        <w:t>. 2017;26(2):76-80. doi:10.1177/2010105816663521</w:t>
      </w:r>
    </w:p>
    <w:p w14:paraId="7A035D1C"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12. </w:t>
      </w:r>
      <w:r w:rsidRPr="004E28CE">
        <w:rPr>
          <w:noProof/>
          <w:szCs w:val="24"/>
        </w:rPr>
        <w:tab/>
        <w:t xml:space="preserve">Lo ZJ, Lim X, Eng D, et al. Clinical and economic burden of wound care in the tropics: a 5-year institutional population health review. </w:t>
      </w:r>
      <w:r w:rsidRPr="004E28CE">
        <w:rPr>
          <w:i/>
          <w:iCs/>
          <w:noProof/>
          <w:szCs w:val="24"/>
        </w:rPr>
        <w:t>Int Wound J</w:t>
      </w:r>
      <w:r w:rsidRPr="004E28CE">
        <w:rPr>
          <w:noProof/>
          <w:szCs w:val="24"/>
        </w:rPr>
        <w:t>. 2020;17(3):790-803. doi:10.1111/iwj.13333</w:t>
      </w:r>
    </w:p>
    <w:p w14:paraId="6E17FCB8"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13. </w:t>
      </w:r>
      <w:r w:rsidRPr="004E28CE">
        <w:rPr>
          <w:noProof/>
          <w:szCs w:val="24"/>
        </w:rPr>
        <w:tab/>
        <w:t xml:space="preserve">Zhu X, Goh LJ, Chew E, Lee M, Bartlam B, Dong L. Struggling for normality: experiences of patients with diabetic lower extremity amputations and post-amputation wounds in primary care. </w:t>
      </w:r>
      <w:r w:rsidRPr="004E28CE">
        <w:rPr>
          <w:i/>
          <w:iCs/>
          <w:noProof/>
          <w:szCs w:val="24"/>
        </w:rPr>
        <w:t>Prim Health Care Res Dev</w:t>
      </w:r>
      <w:r w:rsidRPr="004E28CE">
        <w:rPr>
          <w:noProof/>
          <w:szCs w:val="24"/>
        </w:rPr>
        <w:t>. 2020;21:e63. doi:10.1017/S146342362000064X</w:t>
      </w:r>
    </w:p>
    <w:p w14:paraId="2947214C"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14. </w:t>
      </w:r>
      <w:r w:rsidRPr="004E28CE">
        <w:rPr>
          <w:noProof/>
          <w:szCs w:val="24"/>
        </w:rPr>
        <w:tab/>
        <w:t>Monteiro</w:t>
      </w:r>
      <w:r w:rsidRPr="004E28CE">
        <w:rPr>
          <w:rFonts w:ascii="Cambria Math" w:hAnsi="Cambria Math" w:cs="Cambria Math"/>
          <w:noProof/>
          <w:szCs w:val="24"/>
        </w:rPr>
        <w:t>‐</w:t>
      </w:r>
      <w:r w:rsidRPr="004E28CE">
        <w:rPr>
          <w:noProof/>
          <w:szCs w:val="24"/>
        </w:rPr>
        <w:t xml:space="preserve">Soares M, Boyko EJ, Jeffcoate W, et al. Diabetic foot ulcer classifications: A critical review. </w:t>
      </w:r>
      <w:r w:rsidRPr="004E28CE">
        <w:rPr>
          <w:i/>
          <w:iCs/>
          <w:noProof/>
          <w:szCs w:val="24"/>
        </w:rPr>
        <w:t>Diabetes Metab Res Rev</w:t>
      </w:r>
      <w:r w:rsidRPr="004E28CE">
        <w:rPr>
          <w:noProof/>
          <w:szCs w:val="24"/>
        </w:rPr>
        <w:t>. 2020;36(S1). doi:10.1002/dmrr.3272</w:t>
      </w:r>
    </w:p>
    <w:p w14:paraId="28D51D3A"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15. </w:t>
      </w:r>
      <w:r w:rsidRPr="004E28CE">
        <w:rPr>
          <w:noProof/>
          <w:szCs w:val="24"/>
        </w:rPr>
        <w:tab/>
        <w:t xml:space="preserve">Jeffcoate WJ, Bus SA, Game FL, Hinchliffe RJ, Price PE, Schaper NC. Reporting standards of studies and papers on the prevention and management of foot ulcers in diabetes: required details and markers of good quality. </w:t>
      </w:r>
      <w:r w:rsidRPr="004E28CE">
        <w:rPr>
          <w:i/>
          <w:iCs/>
          <w:noProof/>
          <w:szCs w:val="24"/>
        </w:rPr>
        <w:t>Lancet Diabetes Endocrinol</w:t>
      </w:r>
      <w:r w:rsidRPr="004E28CE">
        <w:rPr>
          <w:noProof/>
          <w:szCs w:val="24"/>
        </w:rPr>
        <w:t>. 2016;4(9):781-788. doi:10.1016/S2213-8587(16)30012-2</w:t>
      </w:r>
    </w:p>
    <w:p w14:paraId="12CF11E4"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16. </w:t>
      </w:r>
      <w:r w:rsidRPr="004E28CE">
        <w:rPr>
          <w:noProof/>
          <w:szCs w:val="24"/>
        </w:rPr>
        <w:tab/>
        <w:t xml:space="preserve">Apelqvist J. The foot in perspective. </w:t>
      </w:r>
      <w:r w:rsidRPr="004E28CE">
        <w:rPr>
          <w:i/>
          <w:iCs/>
          <w:noProof/>
          <w:szCs w:val="24"/>
        </w:rPr>
        <w:t>Diabetes Metab Res Rev</w:t>
      </w:r>
      <w:r w:rsidRPr="004E28CE">
        <w:rPr>
          <w:noProof/>
          <w:szCs w:val="24"/>
        </w:rPr>
        <w:t>. 2008;24(S1):S110-S115. doi:10.1002/dmrr.834</w:t>
      </w:r>
    </w:p>
    <w:p w14:paraId="2CEE06CF"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17. </w:t>
      </w:r>
      <w:r w:rsidRPr="004E28CE">
        <w:rPr>
          <w:noProof/>
          <w:szCs w:val="24"/>
        </w:rPr>
        <w:tab/>
        <w:t xml:space="preserve">Bender C, Cichosz SL, Pape-Haugaard L, et al. Assessment of Simple Bedside Wound </w:t>
      </w:r>
      <w:r w:rsidRPr="004E28CE">
        <w:rPr>
          <w:noProof/>
          <w:szCs w:val="24"/>
        </w:rPr>
        <w:lastRenderedPageBreak/>
        <w:t xml:space="preserve">Characteristics for a Prediction Model for Diabetic Foot Ulcer Outcomes. </w:t>
      </w:r>
      <w:r w:rsidRPr="004E28CE">
        <w:rPr>
          <w:i/>
          <w:iCs/>
          <w:noProof/>
          <w:szCs w:val="24"/>
        </w:rPr>
        <w:t>J Diabetes Sci Technol</w:t>
      </w:r>
      <w:r w:rsidRPr="004E28CE">
        <w:rPr>
          <w:noProof/>
          <w:szCs w:val="24"/>
        </w:rPr>
        <w:t>. July 2020:193229682094230. doi:10.1177/1932296820942307</w:t>
      </w:r>
    </w:p>
    <w:p w14:paraId="428808C4"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18. </w:t>
      </w:r>
      <w:r w:rsidRPr="004E28CE">
        <w:rPr>
          <w:noProof/>
          <w:szCs w:val="24"/>
        </w:rPr>
        <w:tab/>
        <w:t xml:space="preserve">Rhou YJJ, Henshaw FR, McGill MJ, Twigg SM. Congestive heart failure presence predicts delayed healing of foot ulcers in diabetes: An audit from a multidisciplinary high-risk foot clinic. </w:t>
      </w:r>
      <w:r w:rsidRPr="004E28CE">
        <w:rPr>
          <w:i/>
          <w:iCs/>
          <w:noProof/>
          <w:szCs w:val="24"/>
        </w:rPr>
        <w:t>J Diabetes Complications</w:t>
      </w:r>
      <w:r w:rsidRPr="004E28CE">
        <w:rPr>
          <w:noProof/>
          <w:szCs w:val="24"/>
        </w:rPr>
        <w:t>. 2015;29(4):556-562. doi:10.1016/J.JDIACOMP.2015.02.009</w:t>
      </w:r>
    </w:p>
    <w:p w14:paraId="77C531AC"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19. </w:t>
      </w:r>
      <w:r w:rsidRPr="004E28CE">
        <w:rPr>
          <w:noProof/>
          <w:szCs w:val="24"/>
        </w:rPr>
        <w:tab/>
        <w:t xml:space="preserve">Fife CE, Eckert KA, Carter MJ. COMPREHENSIVE INVITED REVIEW Publicly Reported Wound Healing Rates: The Fantasy and the Reality. </w:t>
      </w:r>
      <w:r w:rsidRPr="004E28CE">
        <w:rPr>
          <w:i/>
          <w:iCs/>
          <w:noProof/>
          <w:szCs w:val="24"/>
        </w:rPr>
        <w:t>Adv WOUND CARE</w:t>
      </w:r>
      <w:r w:rsidRPr="004E28CE">
        <w:rPr>
          <w:noProof/>
          <w:szCs w:val="24"/>
        </w:rPr>
        <w:t>. 2017;7(3):77-94. doi:10.1089/wound.2017.0743</w:t>
      </w:r>
    </w:p>
    <w:p w14:paraId="630F97F5"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20. </w:t>
      </w:r>
      <w:r w:rsidRPr="004E28CE">
        <w:rPr>
          <w:noProof/>
          <w:szCs w:val="24"/>
        </w:rPr>
        <w:tab/>
        <w:t xml:space="preserve">Ince P, Game FL, Jeffcoate WJ. Rate of Healing of Neuropathic Ulcers of the Foot in Diabetes and Its Relationship to Ulcer Duration and Ulcer Area. </w:t>
      </w:r>
      <w:r w:rsidRPr="004E28CE">
        <w:rPr>
          <w:i/>
          <w:iCs/>
          <w:noProof/>
          <w:szCs w:val="24"/>
        </w:rPr>
        <w:t>Diabetes Care</w:t>
      </w:r>
      <w:r w:rsidRPr="004E28CE">
        <w:rPr>
          <w:noProof/>
          <w:szCs w:val="24"/>
        </w:rPr>
        <w:t>. 2007;30:660-663. doi:10.2337/dc06-2043</w:t>
      </w:r>
    </w:p>
    <w:p w14:paraId="6845713C"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21. </w:t>
      </w:r>
      <w:r w:rsidRPr="004E28CE">
        <w:rPr>
          <w:noProof/>
          <w:szCs w:val="24"/>
        </w:rPr>
        <w:tab/>
        <w:t>National Healthcare Group Polyclinics. https://www.nhgp.com.sg/About_Us/. Accessed April 30, 2020.</w:t>
      </w:r>
    </w:p>
    <w:p w14:paraId="4B1605D4"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22. </w:t>
      </w:r>
      <w:r w:rsidRPr="004E28CE">
        <w:rPr>
          <w:noProof/>
          <w:szCs w:val="24"/>
        </w:rPr>
        <w:tab/>
        <w:t xml:space="preserve">Jia L, Parker CN, Parker TJ, et al. Incidence and risk factors for developing infection in patients presenting with uninfected diabetic foot ulcers. </w:t>
      </w:r>
      <w:r w:rsidRPr="004E28CE">
        <w:rPr>
          <w:i/>
          <w:iCs/>
          <w:noProof/>
          <w:szCs w:val="24"/>
        </w:rPr>
        <w:t>PLoS One</w:t>
      </w:r>
      <w:r w:rsidRPr="004E28CE">
        <w:rPr>
          <w:noProof/>
          <w:szCs w:val="24"/>
        </w:rPr>
        <w:t>. 2017;12(5):e0177916. doi:10.1371/journal.pone.0177916</w:t>
      </w:r>
    </w:p>
    <w:p w14:paraId="26EA7999"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23. </w:t>
      </w:r>
      <w:r w:rsidRPr="004E28CE">
        <w:rPr>
          <w:noProof/>
          <w:szCs w:val="24"/>
        </w:rPr>
        <w:tab/>
        <w:t xml:space="preserve">Bus SA, Van Netten JJ, Lavery LA, et al. IWGDF Guidance on the prevention of foot ulcers in at-risk patients with diabetes on the Diabetic Foot. </w:t>
      </w:r>
      <w:r w:rsidRPr="004E28CE">
        <w:rPr>
          <w:i/>
          <w:iCs/>
          <w:noProof/>
          <w:szCs w:val="24"/>
        </w:rPr>
        <w:t>Int Work Gr Diabet Foot</w:t>
      </w:r>
      <w:r w:rsidRPr="004E28CE">
        <w:rPr>
          <w:noProof/>
          <w:szCs w:val="24"/>
        </w:rPr>
        <w:t>. 2015. http://www.iwgdf.org/files/2015/website_prevention.pdf. Accessed April 18, 2018.</w:t>
      </w:r>
    </w:p>
    <w:p w14:paraId="0C47A56C"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24. </w:t>
      </w:r>
      <w:r w:rsidRPr="004E28CE">
        <w:rPr>
          <w:noProof/>
          <w:szCs w:val="24"/>
        </w:rPr>
        <w:tab/>
        <w:t xml:space="preserve">Sussman C, Bates-Jensen BM. </w:t>
      </w:r>
      <w:r w:rsidRPr="004E28CE">
        <w:rPr>
          <w:i/>
          <w:iCs/>
          <w:noProof/>
          <w:szCs w:val="24"/>
        </w:rPr>
        <w:t>Wound Care: A Collaborative Practice Manual</w:t>
      </w:r>
      <w:r w:rsidRPr="004E28CE">
        <w:rPr>
          <w:noProof/>
          <w:szCs w:val="24"/>
        </w:rPr>
        <w:t>. Third Edit. Lippincott Williams &amp; Wilkins, Philadelphia; 2007. https://books.google.com/books?id=LaNuvQTjYeEC&amp;pgis=1. Accessed May 18, 2020.</w:t>
      </w:r>
    </w:p>
    <w:p w14:paraId="33A1D49C"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25. </w:t>
      </w:r>
      <w:r w:rsidRPr="004E28CE">
        <w:rPr>
          <w:noProof/>
          <w:szCs w:val="24"/>
        </w:rPr>
        <w:tab/>
        <w:t xml:space="preserve">Apelqvist J, Elgzyri T, Larsson J, Lndahl M, Nyberg P, Thrne J. Factors related to outcome of neuroischemic/ischemic foot ulcer in diabetic patients. </w:t>
      </w:r>
      <w:r w:rsidRPr="004E28CE">
        <w:rPr>
          <w:i/>
          <w:iCs/>
          <w:noProof/>
          <w:szCs w:val="24"/>
        </w:rPr>
        <w:t>J Vasc Surg</w:t>
      </w:r>
      <w:r w:rsidRPr="004E28CE">
        <w:rPr>
          <w:noProof/>
          <w:szCs w:val="24"/>
        </w:rPr>
        <w:t>. 2011;53(6). doi:10.1016/j.jvs.2011.02.006</w:t>
      </w:r>
    </w:p>
    <w:p w14:paraId="62663D3C"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26. </w:t>
      </w:r>
      <w:r w:rsidRPr="004E28CE">
        <w:rPr>
          <w:noProof/>
          <w:szCs w:val="24"/>
        </w:rPr>
        <w:tab/>
        <w:t xml:space="preserve">Tamhane AR, Westfall AO, Burkholder GA, Cutter GR. Prevalence odds ratio versus prevalence ratio: choice comes with consequences. </w:t>
      </w:r>
      <w:r w:rsidRPr="004E28CE">
        <w:rPr>
          <w:i/>
          <w:iCs/>
          <w:noProof/>
          <w:szCs w:val="24"/>
        </w:rPr>
        <w:t>Stat Med</w:t>
      </w:r>
      <w:r w:rsidRPr="004E28CE">
        <w:rPr>
          <w:noProof/>
          <w:szCs w:val="24"/>
        </w:rPr>
        <w:t>. 2016;35(30):5730-5735. doi:10.1002/sim.7059</w:t>
      </w:r>
    </w:p>
    <w:p w14:paraId="07481B77"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27. </w:t>
      </w:r>
      <w:r w:rsidRPr="004E28CE">
        <w:rPr>
          <w:noProof/>
          <w:szCs w:val="24"/>
        </w:rPr>
        <w:tab/>
        <w:t xml:space="preserve">Hardin JW. THE SANDWICH ESTIMATE OF VARIANCE. </w:t>
      </w:r>
      <w:r w:rsidRPr="004E28CE">
        <w:rPr>
          <w:i/>
          <w:iCs/>
          <w:noProof/>
          <w:szCs w:val="24"/>
        </w:rPr>
        <w:t>Adv Econom</w:t>
      </w:r>
      <w:r w:rsidRPr="004E28CE">
        <w:rPr>
          <w:noProof/>
          <w:szCs w:val="24"/>
        </w:rPr>
        <w:t>. 2003;17:45-73. doi:10.1016/S0731-9053(03)17003-X</w:t>
      </w:r>
    </w:p>
    <w:p w14:paraId="74525096"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28. </w:t>
      </w:r>
      <w:r w:rsidRPr="004E28CE">
        <w:rPr>
          <w:noProof/>
          <w:szCs w:val="24"/>
        </w:rPr>
        <w:tab/>
        <w:t xml:space="preserve">Heinze G, Wallisch C, Dunkler D. Variable selection – A review and recommendations for the practicing statistician. </w:t>
      </w:r>
      <w:r w:rsidRPr="004E28CE">
        <w:rPr>
          <w:i/>
          <w:iCs/>
          <w:noProof/>
          <w:szCs w:val="24"/>
        </w:rPr>
        <w:t>Biometrical J</w:t>
      </w:r>
      <w:r w:rsidRPr="004E28CE">
        <w:rPr>
          <w:noProof/>
          <w:szCs w:val="24"/>
        </w:rPr>
        <w:t>. 2018;60(3):431-449. doi:10.1002/bimj.201700067</w:t>
      </w:r>
    </w:p>
    <w:p w14:paraId="14EA78B7"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29. </w:t>
      </w:r>
      <w:r w:rsidRPr="004E28CE">
        <w:rPr>
          <w:noProof/>
          <w:szCs w:val="24"/>
        </w:rPr>
        <w:tab/>
        <w:t xml:space="preserve">Akaike H. </w:t>
      </w:r>
      <w:r w:rsidRPr="004E28CE">
        <w:rPr>
          <w:i/>
          <w:iCs/>
          <w:noProof/>
          <w:szCs w:val="24"/>
        </w:rPr>
        <w:t>Information Theory and an Extension of the Maximum Likelihood Principle. In Second International Symposium on Information Theory</w:t>
      </w:r>
      <w:r w:rsidRPr="004E28CE">
        <w:rPr>
          <w:noProof/>
          <w:szCs w:val="24"/>
        </w:rPr>
        <w:t>. (B. N. Petrov and F. Csaki, ed.). Budapest: Akailseoniai–Kiudo; 1973.</w:t>
      </w:r>
    </w:p>
    <w:p w14:paraId="0225BF74"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30. </w:t>
      </w:r>
      <w:r w:rsidRPr="004E28CE">
        <w:rPr>
          <w:noProof/>
          <w:szCs w:val="24"/>
        </w:rPr>
        <w:tab/>
        <w:t xml:space="preserve">Raftery AE. Bayesian Model Selection in Social Research. </w:t>
      </w:r>
      <w:r w:rsidRPr="004E28CE">
        <w:rPr>
          <w:i/>
          <w:iCs/>
          <w:noProof/>
          <w:szCs w:val="24"/>
        </w:rPr>
        <w:t>Sociol Methodol</w:t>
      </w:r>
      <w:r w:rsidRPr="004E28CE">
        <w:rPr>
          <w:noProof/>
          <w:szCs w:val="24"/>
        </w:rPr>
        <w:t>. 1995;25:111. doi:10.2307/271063</w:t>
      </w:r>
    </w:p>
    <w:p w14:paraId="7D2E76BD"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31. </w:t>
      </w:r>
      <w:r w:rsidRPr="004E28CE">
        <w:rPr>
          <w:noProof/>
          <w:szCs w:val="24"/>
        </w:rPr>
        <w:tab/>
        <w:t xml:space="preserve">Mahon AM, MacGilchrist C, McIntosh C, O’Brien T. Characterization of patients with diabetic foot disease presenting to an Irish Podiatry Centre: profiling suitability for entry to a clinical trial of advanced wound therapeutics. </w:t>
      </w:r>
      <w:r w:rsidRPr="004E28CE">
        <w:rPr>
          <w:i/>
          <w:iCs/>
          <w:noProof/>
          <w:szCs w:val="24"/>
        </w:rPr>
        <w:t>Ir J Med Sci</w:t>
      </w:r>
      <w:r w:rsidRPr="004E28CE">
        <w:rPr>
          <w:noProof/>
          <w:szCs w:val="24"/>
        </w:rPr>
        <w:t>. 2017;186(3):659-669. doi:10.1007/s11845-016-1511-x</w:t>
      </w:r>
    </w:p>
    <w:p w14:paraId="7A8E3A4D"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32. </w:t>
      </w:r>
      <w:r w:rsidRPr="004E28CE">
        <w:rPr>
          <w:noProof/>
          <w:szCs w:val="24"/>
        </w:rPr>
        <w:tab/>
        <w:t xml:space="preserve">Marston WA, Dermagraft Diabetic Foot Ulcer Study Group. Risk factors associated with healing chronic diabetic foot ulcers: the importance of hyperglycemia. </w:t>
      </w:r>
      <w:r w:rsidRPr="004E28CE">
        <w:rPr>
          <w:i/>
          <w:iCs/>
          <w:noProof/>
          <w:szCs w:val="24"/>
        </w:rPr>
        <w:t>Ostomy Wound Manage</w:t>
      </w:r>
      <w:r w:rsidRPr="004E28CE">
        <w:rPr>
          <w:noProof/>
          <w:szCs w:val="24"/>
        </w:rPr>
        <w:t>. 2006;52(3):26-28, 30, 32 passim. http://www.ncbi.nlm.nih.gov/pubmed/16567857. Accessed September 24, 2017.</w:t>
      </w:r>
    </w:p>
    <w:p w14:paraId="3D5FA6AA"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33. </w:t>
      </w:r>
      <w:r w:rsidRPr="004E28CE">
        <w:rPr>
          <w:noProof/>
          <w:szCs w:val="24"/>
        </w:rPr>
        <w:tab/>
        <w:t xml:space="preserve">Ezeani IU, Ugwu ET, Adeleye FO, Gezawa ID, Okpe IO, Enamino MI. Determinants of wound healing in patients hospitalized for diabetic foot ulcer: Results from the MEDFUN study. </w:t>
      </w:r>
      <w:r w:rsidRPr="004E28CE">
        <w:rPr>
          <w:i/>
          <w:iCs/>
          <w:noProof/>
          <w:szCs w:val="24"/>
        </w:rPr>
        <w:t>Endocr Regul</w:t>
      </w:r>
      <w:r w:rsidRPr="004E28CE">
        <w:rPr>
          <w:noProof/>
          <w:szCs w:val="24"/>
        </w:rPr>
        <w:t>. 2020;54(3):207-216. doi:10.2478/enr-2020-0023</w:t>
      </w:r>
    </w:p>
    <w:p w14:paraId="1989A9FE"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34. </w:t>
      </w:r>
      <w:r w:rsidRPr="004E28CE">
        <w:rPr>
          <w:noProof/>
          <w:szCs w:val="24"/>
        </w:rPr>
        <w:tab/>
        <w:t xml:space="preserve">Pemayun TGD, Naibaho RM, Novitasari D, Amin N, Minuljo TT. Risk factors for lower </w:t>
      </w:r>
      <w:r w:rsidRPr="004E28CE">
        <w:rPr>
          <w:noProof/>
          <w:szCs w:val="24"/>
        </w:rPr>
        <w:lastRenderedPageBreak/>
        <w:t xml:space="preserve">extremity amputation in patients with diabetic foot ulcers: a hospital-based case-control study. </w:t>
      </w:r>
      <w:r w:rsidRPr="004E28CE">
        <w:rPr>
          <w:i/>
          <w:iCs/>
          <w:noProof/>
          <w:szCs w:val="24"/>
        </w:rPr>
        <w:t>Diabet Foot Ankle</w:t>
      </w:r>
      <w:r w:rsidRPr="004E28CE">
        <w:rPr>
          <w:noProof/>
          <w:szCs w:val="24"/>
        </w:rPr>
        <w:t>. 2015;6:29629. doi:10.3402/dfa.v6.29629</w:t>
      </w:r>
    </w:p>
    <w:p w14:paraId="514B2DC5"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35. </w:t>
      </w:r>
      <w:r w:rsidRPr="004E28CE">
        <w:rPr>
          <w:noProof/>
          <w:szCs w:val="24"/>
        </w:rPr>
        <w:tab/>
        <w:t xml:space="preserve">Gubara Musa H, Ahmed ME, Musa G, Ahmed ME. Associated risk factors and management of chronic diabetic foot ulcers exceeding 6 months’ duration Associated risk factors and management of chronic diabetic foot ulcers exceeding 6 months’ duration. </w:t>
      </w:r>
      <w:r w:rsidRPr="004E28CE">
        <w:rPr>
          <w:i/>
          <w:iCs/>
          <w:noProof/>
          <w:szCs w:val="24"/>
        </w:rPr>
        <w:t>Diabet Foot Ankle</w:t>
      </w:r>
      <w:r w:rsidRPr="004E28CE">
        <w:rPr>
          <w:noProof/>
          <w:szCs w:val="24"/>
        </w:rPr>
        <w:t>. 2012;3(1). doi:10.3402/dfa.v3i0.18980</w:t>
      </w:r>
    </w:p>
    <w:p w14:paraId="4C27B6C2"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36. </w:t>
      </w:r>
      <w:r w:rsidRPr="004E28CE">
        <w:rPr>
          <w:noProof/>
          <w:szCs w:val="24"/>
        </w:rPr>
        <w:tab/>
        <w:t xml:space="preserve">Kee KK, Nair HKR, Yuen NP. Risk factor analysis on the healing time and infection rate of diabetic foot ulcers in a referral wound care clinic. </w:t>
      </w:r>
      <w:r w:rsidRPr="004E28CE">
        <w:rPr>
          <w:i/>
          <w:iCs/>
          <w:noProof/>
          <w:szCs w:val="24"/>
        </w:rPr>
        <w:t>J Wound Care</w:t>
      </w:r>
      <w:r w:rsidRPr="004E28CE">
        <w:rPr>
          <w:noProof/>
          <w:szCs w:val="24"/>
        </w:rPr>
        <w:t>. 2019;28(Sup1):S4-S13. doi:10.12968/jowc.2019.28.Sup1.S4</w:t>
      </w:r>
    </w:p>
    <w:p w14:paraId="2A9B024D"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37. </w:t>
      </w:r>
      <w:r w:rsidRPr="004E28CE">
        <w:rPr>
          <w:noProof/>
          <w:szCs w:val="24"/>
        </w:rPr>
        <w:tab/>
        <w:t xml:space="preserve">Parisi MCR, Moura Neto A, Menezes FH, et al. Baseline characteristics and risk factors for ulcer, amputation and severe neuropathy in diabetic foot at risk: the BRAZUPA study. </w:t>
      </w:r>
      <w:r w:rsidRPr="004E28CE">
        <w:rPr>
          <w:i/>
          <w:iCs/>
          <w:noProof/>
          <w:szCs w:val="24"/>
        </w:rPr>
        <w:t>Diabetol Metab Syndr</w:t>
      </w:r>
      <w:r w:rsidRPr="004E28CE">
        <w:rPr>
          <w:noProof/>
          <w:szCs w:val="24"/>
        </w:rPr>
        <w:t>. 2016;8:25. doi:10.1186/s13098-016-0126-8</w:t>
      </w:r>
    </w:p>
    <w:p w14:paraId="17B404F0"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38. </w:t>
      </w:r>
      <w:r w:rsidRPr="004E28CE">
        <w:rPr>
          <w:noProof/>
          <w:szCs w:val="24"/>
        </w:rPr>
        <w:tab/>
        <w:t>Engberg S, Kirketerp</w:t>
      </w:r>
      <w:r w:rsidRPr="004E28CE">
        <w:rPr>
          <w:rFonts w:ascii="Cambria Math" w:hAnsi="Cambria Math" w:cs="Cambria Math"/>
          <w:noProof/>
          <w:szCs w:val="24"/>
        </w:rPr>
        <w:t>‐</w:t>
      </w:r>
      <w:r w:rsidRPr="004E28CE">
        <w:rPr>
          <w:noProof/>
          <w:szCs w:val="24"/>
        </w:rPr>
        <w:t xml:space="preserve">Møller K, Ullits Andersen H, Rasmussen A. Incidence and predictors of recurrent and other new diabetic foot ulcers: a retrospective cohort study. </w:t>
      </w:r>
      <w:r w:rsidRPr="004E28CE">
        <w:rPr>
          <w:i/>
          <w:iCs/>
          <w:noProof/>
          <w:szCs w:val="24"/>
        </w:rPr>
        <w:t>Diabet Med</w:t>
      </w:r>
      <w:r w:rsidRPr="004E28CE">
        <w:rPr>
          <w:noProof/>
          <w:szCs w:val="24"/>
        </w:rPr>
        <w:t>. 2019;36(11):1417-1423. doi:10.1111/dme.13964</w:t>
      </w:r>
    </w:p>
    <w:p w14:paraId="702E312B"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39. </w:t>
      </w:r>
      <w:r w:rsidRPr="004E28CE">
        <w:rPr>
          <w:noProof/>
          <w:szCs w:val="24"/>
        </w:rPr>
        <w:tab/>
        <w:t xml:space="preserve">Rossaneis MA, Haddad M do CFL, Mathias TA de F, Marcon SS. Differences in foot self-care and lifestyle between men and women with diabetes mellitus. </w:t>
      </w:r>
      <w:r w:rsidRPr="004E28CE">
        <w:rPr>
          <w:i/>
          <w:iCs/>
          <w:noProof/>
          <w:szCs w:val="24"/>
        </w:rPr>
        <w:t>Rev Lat Am Enfermagem</w:t>
      </w:r>
      <w:r w:rsidRPr="004E28CE">
        <w:rPr>
          <w:noProof/>
          <w:szCs w:val="24"/>
        </w:rPr>
        <w:t>. 2016;24. doi:10.1590/1518-8345.1203.2761</w:t>
      </w:r>
    </w:p>
    <w:p w14:paraId="3721317D"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40. </w:t>
      </w:r>
      <w:r w:rsidRPr="004E28CE">
        <w:rPr>
          <w:noProof/>
          <w:szCs w:val="24"/>
        </w:rPr>
        <w:tab/>
        <w:t xml:space="preserve">Mutyambizi C, Pavlova M, Hongoro C, Groot W. Inequalities and factors associated with adherence to diabetes self-care practices amongst patients at two public hospitals in Gauteng, South Africa. </w:t>
      </w:r>
      <w:r w:rsidRPr="004E28CE">
        <w:rPr>
          <w:i/>
          <w:iCs/>
          <w:noProof/>
          <w:szCs w:val="24"/>
        </w:rPr>
        <w:t>BMC Endocr Disord</w:t>
      </w:r>
      <w:r w:rsidRPr="004E28CE">
        <w:rPr>
          <w:noProof/>
          <w:szCs w:val="24"/>
        </w:rPr>
        <w:t>. 2020;20(1):1-10. doi:10.1186/s12902-020-0492-y</w:t>
      </w:r>
    </w:p>
    <w:p w14:paraId="0F744D6C"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41. </w:t>
      </w:r>
      <w:r w:rsidRPr="004E28CE">
        <w:rPr>
          <w:noProof/>
          <w:szCs w:val="24"/>
        </w:rPr>
        <w:tab/>
        <w:t xml:space="preserve">Soewondo P, Suyono S, Kanoko Sastrosuwignyo M, Harahap AR, Sutrisna B, Makmun LH. </w:t>
      </w:r>
      <w:r w:rsidRPr="004E28CE">
        <w:rPr>
          <w:i/>
          <w:iCs/>
          <w:noProof/>
          <w:szCs w:val="24"/>
        </w:rPr>
        <w:t>Prediction of Wound Healing in Diabetic Foot Ulcers: An Observational Study in Tertiary Hospital in Indonesia</w:t>
      </w:r>
      <w:r w:rsidRPr="004E28CE">
        <w:rPr>
          <w:noProof/>
          <w:szCs w:val="24"/>
        </w:rPr>
        <w:t>. Vol 49.; 2017. http://www.actamedindones.org/index.php/ijim/article/viewFile/348/pdf. Accessed August 19, 2019.</w:t>
      </w:r>
    </w:p>
    <w:p w14:paraId="7BCAE6DF"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42. </w:t>
      </w:r>
      <w:r w:rsidRPr="004E28CE">
        <w:rPr>
          <w:noProof/>
          <w:szCs w:val="24"/>
        </w:rPr>
        <w:tab/>
        <w:t xml:space="preserve">Roth-Albin CCRA I, Mai SH, Ahmed Z, et al. Outcomes Following Advanced Wound Care for Diabetic Foot Ulcers: A Canadian Study. </w:t>
      </w:r>
      <w:r w:rsidRPr="004E28CE">
        <w:rPr>
          <w:i/>
          <w:iCs/>
          <w:noProof/>
          <w:szCs w:val="24"/>
        </w:rPr>
        <w:t>Can J Diabetes</w:t>
      </w:r>
      <w:r w:rsidRPr="004E28CE">
        <w:rPr>
          <w:noProof/>
          <w:szCs w:val="24"/>
        </w:rPr>
        <w:t>. 2016;41:26-32. doi:10.1016/j.jcjd.2016.06.007</w:t>
      </w:r>
    </w:p>
    <w:p w14:paraId="3207F385"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43. </w:t>
      </w:r>
      <w:r w:rsidRPr="004E28CE">
        <w:rPr>
          <w:noProof/>
          <w:szCs w:val="24"/>
        </w:rPr>
        <w:tab/>
        <w:t xml:space="preserve">Olsson M, Järbrink K, Divakar U, et al. The humanistic and economic burden of chronic wounds: A systematic review. </w:t>
      </w:r>
      <w:r w:rsidRPr="004E28CE">
        <w:rPr>
          <w:i/>
          <w:iCs/>
          <w:noProof/>
          <w:szCs w:val="24"/>
        </w:rPr>
        <w:t>Wound Repair Regen</w:t>
      </w:r>
      <w:r w:rsidRPr="004E28CE">
        <w:rPr>
          <w:noProof/>
          <w:szCs w:val="24"/>
        </w:rPr>
        <w:t>. 2019;27(1):114-125. doi:10.1111/wrr.12683</w:t>
      </w:r>
    </w:p>
    <w:p w14:paraId="76160E8E"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44. </w:t>
      </w:r>
      <w:r w:rsidRPr="004E28CE">
        <w:rPr>
          <w:noProof/>
          <w:szCs w:val="24"/>
        </w:rPr>
        <w:tab/>
        <w:t xml:space="preserve">Ang GY, Wei Yap C, Saxena N, Ang Yee G. </w:t>
      </w:r>
      <w:r w:rsidRPr="004E28CE">
        <w:rPr>
          <w:i/>
          <w:iCs/>
          <w:noProof/>
          <w:szCs w:val="24"/>
        </w:rPr>
        <w:t>Effectiveness of Diabetes Foot Screening in Primary Care in Preventing Lower Extremity Amputations</w:t>
      </w:r>
      <w:r w:rsidRPr="004E28CE">
        <w:rPr>
          <w:noProof/>
          <w:szCs w:val="24"/>
        </w:rPr>
        <w:t>. Vol 46.; 2017. http://www.annals.edu.sg/pdf/46VolNo11Nov2017/MemberOnly/V46N11p417.pdf. Accessed August 23, 2019.</w:t>
      </w:r>
    </w:p>
    <w:p w14:paraId="4739443D"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45. </w:t>
      </w:r>
      <w:r w:rsidRPr="004E28CE">
        <w:rPr>
          <w:noProof/>
          <w:szCs w:val="24"/>
        </w:rPr>
        <w:tab/>
        <w:t xml:space="preserve">Bus; SA, Lavery LA, Monteiro-Soares M, et al. </w:t>
      </w:r>
      <w:r w:rsidRPr="004E28CE">
        <w:rPr>
          <w:i/>
          <w:iCs/>
          <w:noProof/>
          <w:szCs w:val="24"/>
        </w:rPr>
        <w:t>IWGDF Guideline on the Prevention of Foot Ulcers in Persons with Diabetes</w:t>
      </w:r>
      <w:r w:rsidRPr="004E28CE">
        <w:rPr>
          <w:noProof/>
          <w:szCs w:val="24"/>
        </w:rPr>
        <w:t>.; 2019. www.iwgdfguidelines.org. Accessed October 24, 2019.</w:t>
      </w:r>
    </w:p>
    <w:p w14:paraId="7AFBAC4D"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46. </w:t>
      </w:r>
      <w:r w:rsidRPr="004E28CE">
        <w:rPr>
          <w:noProof/>
          <w:szCs w:val="24"/>
        </w:rPr>
        <w:tab/>
        <w:t xml:space="preserve">Skrepnek G, Mills Sr JL, Lavery LA, Armstrong DG. Health Care Service and Outcomes Among an Estimated 6.7 Million Ambulatory Care Diabetic Foot Cases in the U.S. </w:t>
      </w:r>
      <w:r w:rsidRPr="004E28CE">
        <w:rPr>
          <w:i/>
          <w:iCs/>
          <w:noProof/>
          <w:szCs w:val="24"/>
        </w:rPr>
        <w:t>Diabetes Care</w:t>
      </w:r>
      <w:r w:rsidRPr="004E28CE">
        <w:rPr>
          <w:noProof/>
          <w:szCs w:val="24"/>
        </w:rPr>
        <w:t>. 2017;40. doi:10.2337/dc16-2189</w:t>
      </w:r>
    </w:p>
    <w:p w14:paraId="240E0581"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47. </w:t>
      </w:r>
      <w:r w:rsidRPr="004E28CE">
        <w:rPr>
          <w:noProof/>
          <w:szCs w:val="24"/>
        </w:rPr>
        <w:tab/>
        <w:t xml:space="preserve">Schaper C, Van Netten JJ, Apelqvist J, Bus SA, Hinchliffe RJ, Lipsky BA. </w:t>
      </w:r>
      <w:r w:rsidRPr="004E28CE">
        <w:rPr>
          <w:i/>
          <w:iCs/>
          <w:noProof/>
          <w:szCs w:val="24"/>
        </w:rPr>
        <w:t>IWGDF Practical Guidelines on the Prevention and Management of Diabetic Foot Disease</w:t>
      </w:r>
      <w:r w:rsidRPr="004E28CE">
        <w:rPr>
          <w:noProof/>
          <w:szCs w:val="24"/>
        </w:rPr>
        <w:t>.; 2019. www.iwgdfguidelines.org. Accessed October 25, 2020.</w:t>
      </w:r>
    </w:p>
    <w:p w14:paraId="48F5DF55"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48. </w:t>
      </w:r>
      <w:r w:rsidRPr="004E28CE">
        <w:rPr>
          <w:noProof/>
          <w:szCs w:val="24"/>
        </w:rPr>
        <w:tab/>
        <w:t xml:space="preserve">Bullen B, Young M, McArdle C, Ellis M. Overcoming barriers to self-management: The person-centred diabetes foot behavioural agreement. </w:t>
      </w:r>
      <w:r w:rsidRPr="004E28CE">
        <w:rPr>
          <w:i/>
          <w:iCs/>
          <w:noProof/>
          <w:szCs w:val="24"/>
        </w:rPr>
        <w:t>Foot</w:t>
      </w:r>
      <w:r w:rsidRPr="004E28CE">
        <w:rPr>
          <w:noProof/>
          <w:szCs w:val="24"/>
        </w:rPr>
        <w:t>. 2019;38:65-69. doi:10.1016/j.foot.2019.01.004</w:t>
      </w:r>
    </w:p>
    <w:p w14:paraId="1B85A5EF" w14:textId="77777777" w:rsidR="004E28CE" w:rsidRPr="004E28CE" w:rsidRDefault="004E28CE" w:rsidP="004E28CE">
      <w:pPr>
        <w:widowControl w:val="0"/>
        <w:autoSpaceDE w:val="0"/>
        <w:autoSpaceDN w:val="0"/>
        <w:adjustRightInd w:val="0"/>
        <w:spacing w:line="240" w:lineRule="auto"/>
        <w:ind w:left="640" w:hanging="640"/>
        <w:rPr>
          <w:noProof/>
          <w:szCs w:val="24"/>
        </w:rPr>
      </w:pPr>
      <w:r w:rsidRPr="004E28CE">
        <w:rPr>
          <w:noProof/>
          <w:szCs w:val="24"/>
        </w:rPr>
        <w:t xml:space="preserve">49. </w:t>
      </w:r>
      <w:r w:rsidRPr="004E28CE">
        <w:rPr>
          <w:noProof/>
          <w:szCs w:val="24"/>
        </w:rPr>
        <w:tab/>
        <w:t xml:space="preserve">Chin Y-F, Liang J, Wang W-S, Hsu BR-S, Huang T-T. The role of foot self-care behavior on developing foot ulcers in diabetic patients with peripheral neuropathy: a prospective </w:t>
      </w:r>
      <w:r w:rsidRPr="004E28CE">
        <w:rPr>
          <w:noProof/>
          <w:szCs w:val="24"/>
        </w:rPr>
        <w:lastRenderedPageBreak/>
        <w:t xml:space="preserve">study. </w:t>
      </w:r>
      <w:r w:rsidRPr="004E28CE">
        <w:rPr>
          <w:i/>
          <w:iCs/>
          <w:noProof/>
          <w:szCs w:val="24"/>
        </w:rPr>
        <w:t>Int J Nurs Stud</w:t>
      </w:r>
      <w:r w:rsidRPr="004E28CE">
        <w:rPr>
          <w:noProof/>
          <w:szCs w:val="24"/>
        </w:rPr>
        <w:t>. 2014;51(12):1568-1574. doi:10.1016/j.ijnurstu.2014.05.001</w:t>
      </w:r>
    </w:p>
    <w:p w14:paraId="713B846F" w14:textId="77777777" w:rsidR="004E28CE" w:rsidRPr="004E28CE" w:rsidRDefault="004E28CE" w:rsidP="004E28CE">
      <w:pPr>
        <w:widowControl w:val="0"/>
        <w:autoSpaceDE w:val="0"/>
        <w:autoSpaceDN w:val="0"/>
        <w:adjustRightInd w:val="0"/>
        <w:spacing w:line="240" w:lineRule="auto"/>
        <w:ind w:left="640" w:hanging="640"/>
        <w:rPr>
          <w:noProof/>
        </w:rPr>
      </w:pPr>
      <w:r w:rsidRPr="004E28CE">
        <w:rPr>
          <w:noProof/>
          <w:szCs w:val="24"/>
        </w:rPr>
        <w:t xml:space="preserve">50. </w:t>
      </w:r>
      <w:r w:rsidRPr="004E28CE">
        <w:rPr>
          <w:noProof/>
          <w:szCs w:val="24"/>
        </w:rPr>
        <w:tab/>
        <w:t xml:space="preserve">Sánchez-Ríos JP, García-Klepzig JL, Manu C, et al. Referral of patients with diabetic foot ulcers in four European countries: Patient follow-up after first GP visit. </w:t>
      </w:r>
      <w:r w:rsidRPr="004E28CE">
        <w:rPr>
          <w:i/>
          <w:iCs/>
          <w:noProof/>
          <w:szCs w:val="24"/>
        </w:rPr>
        <w:t>J Wound Care</w:t>
      </w:r>
      <w:r w:rsidRPr="004E28CE">
        <w:rPr>
          <w:noProof/>
          <w:szCs w:val="24"/>
        </w:rPr>
        <w:t>. 2019;28:S4-S14. doi:10.12968/jowc.2019.28.Sup8.S4</w:t>
      </w:r>
    </w:p>
    <w:p w14:paraId="2D86F2C7" w14:textId="6DF51F2B" w:rsidR="000625CD" w:rsidRPr="00550F74" w:rsidRDefault="000625CD">
      <w:pPr>
        <w:jc w:val="both"/>
      </w:pPr>
      <w:r w:rsidRPr="00550F74">
        <w:fldChar w:fldCharType="end"/>
      </w:r>
    </w:p>
    <w:p w14:paraId="4E24148A" w14:textId="46C7F761" w:rsidR="00CC5C70" w:rsidRPr="00550F74" w:rsidRDefault="00CC5C70"/>
    <w:sectPr w:rsidR="00CC5C70" w:rsidRPr="00550F74">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383E8" w14:textId="77777777" w:rsidR="00F55591" w:rsidRDefault="00F55591" w:rsidP="00AA2F87">
      <w:pPr>
        <w:spacing w:line="240" w:lineRule="auto"/>
      </w:pPr>
      <w:r>
        <w:separator/>
      </w:r>
    </w:p>
  </w:endnote>
  <w:endnote w:type="continuationSeparator" w:id="0">
    <w:p w14:paraId="7EB896A7" w14:textId="77777777" w:rsidR="00F55591" w:rsidRDefault="00F55591" w:rsidP="00AA2F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7325556"/>
      <w:docPartObj>
        <w:docPartGallery w:val="Page Numbers (Bottom of Page)"/>
        <w:docPartUnique/>
      </w:docPartObj>
    </w:sdtPr>
    <w:sdtEndPr/>
    <w:sdtContent>
      <w:sdt>
        <w:sdtPr>
          <w:id w:val="1728636285"/>
          <w:docPartObj>
            <w:docPartGallery w:val="Page Numbers (Top of Page)"/>
            <w:docPartUnique/>
          </w:docPartObj>
        </w:sdtPr>
        <w:sdtEndPr/>
        <w:sdtContent>
          <w:p w14:paraId="4F3FBD0B" w14:textId="1FBCB4CF" w:rsidR="00381DB7" w:rsidRDefault="00381D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056B0">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056B0">
              <w:rPr>
                <w:b/>
                <w:bCs/>
                <w:noProof/>
              </w:rPr>
              <w:t>16</w:t>
            </w:r>
            <w:r>
              <w:rPr>
                <w:b/>
                <w:bCs/>
                <w:sz w:val="24"/>
                <w:szCs w:val="24"/>
              </w:rPr>
              <w:fldChar w:fldCharType="end"/>
            </w:r>
          </w:p>
        </w:sdtContent>
      </w:sdt>
    </w:sdtContent>
  </w:sdt>
  <w:p w14:paraId="4853B7A6" w14:textId="77777777" w:rsidR="00381DB7" w:rsidRDefault="00381D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B0669" w14:textId="77777777" w:rsidR="00F55591" w:rsidRDefault="00F55591" w:rsidP="00AA2F87">
      <w:pPr>
        <w:spacing w:line="240" w:lineRule="auto"/>
      </w:pPr>
      <w:r>
        <w:separator/>
      </w:r>
    </w:p>
  </w:footnote>
  <w:footnote w:type="continuationSeparator" w:id="0">
    <w:p w14:paraId="00CA3CB5" w14:textId="77777777" w:rsidR="00F55591" w:rsidRDefault="00F55591" w:rsidP="00AA2F8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C4CB7"/>
    <w:multiLevelType w:val="hybridMultilevel"/>
    <w:tmpl w:val="D7102146"/>
    <w:lvl w:ilvl="0" w:tplc="5F42D144">
      <w:start w:val="1"/>
      <w:numFmt w:val="decimal"/>
      <w:lvlText w:val="%1."/>
      <w:lvlJc w:val="left"/>
      <w:pPr>
        <w:ind w:left="360" w:hanging="360"/>
      </w:pPr>
      <w:rPr>
        <w:rFonts w:hint="default"/>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400078"/>
    <w:multiLevelType w:val="hybridMultilevel"/>
    <w:tmpl w:val="39B8C1F8"/>
    <w:lvl w:ilvl="0" w:tplc="DEEEDA66">
      <w:start w:val="1"/>
      <w:numFmt w:val="bullet"/>
      <w:lvlText w:val="•"/>
      <w:lvlJc w:val="left"/>
      <w:pPr>
        <w:tabs>
          <w:tab w:val="num" w:pos="720"/>
        </w:tabs>
        <w:ind w:left="720" w:hanging="360"/>
      </w:pPr>
      <w:rPr>
        <w:rFonts w:ascii="Arial" w:hAnsi="Arial" w:hint="default"/>
      </w:rPr>
    </w:lvl>
    <w:lvl w:ilvl="1" w:tplc="3E2A4D38" w:tentative="1">
      <w:start w:val="1"/>
      <w:numFmt w:val="bullet"/>
      <w:lvlText w:val="•"/>
      <w:lvlJc w:val="left"/>
      <w:pPr>
        <w:tabs>
          <w:tab w:val="num" w:pos="1440"/>
        </w:tabs>
        <w:ind w:left="1440" w:hanging="360"/>
      </w:pPr>
      <w:rPr>
        <w:rFonts w:ascii="Arial" w:hAnsi="Arial" w:hint="default"/>
      </w:rPr>
    </w:lvl>
    <w:lvl w:ilvl="2" w:tplc="BDCCD5B4" w:tentative="1">
      <w:start w:val="1"/>
      <w:numFmt w:val="bullet"/>
      <w:lvlText w:val="•"/>
      <w:lvlJc w:val="left"/>
      <w:pPr>
        <w:tabs>
          <w:tab w:val="num" w:pos="2160"/>
        </w:tabs>
        <w:ind w:left="2160" w:hanging="360"/>
      </w:pPr>
      <w:rPr>
        <w:rFonts w:ascii="Arial" w:hAnsi="Arial" w:hint="default"/>
      </w:rPr>
    </w:lvl>
    <w:lvl w:ilvl="3" w:tplc="D2349090" w:tentative="1">
      <w:start w:val="1"/>
      <w:numFmt w:val="bullet"/>
      <w:lvlText w:val="•"/>
      <w:lvlJc w:val="left"/>
      <w:pPr>
        <w:tabs>
          <w:tab w:val="num" w:pos="2880"/>
        </w:tabs>
        <w:ind w:left="2880" w:hanging="360"/>
      </w:pPr>
      <w:rPr>
        <w:rFonts w:ascii="Arial" w:hAnsi="Arial" w:hint="default"/>
      </w:rPr>
    </w:lvl>
    <w:lvl w:ilvl="4" w:tplc="469E81D6" w:tentative="1">
      <w:start w:val="1"/>
      <w:numFmt w:val="bullet"/>
      <w:lvlText w:val="•"/>
      <w:lvlJc w:val="left"/>
      <w:pPr>
        <w:tabs>
          <w:tab w:val="num" w:pos="3600"/>
        </w:tabs>
        <w:ind w:left="3600" w:hanging="360"/>
      </w:pPr>
      <w:rPr>
        <w:rFonts w:ascii="Arial" w:hAnsi="Arial" w:hint="default"/>
      </w:rPr>
    </w:lvl>
    <w:lvl w:ilvl="5" w:tplc="95880C80" w:tentative="1">
      <w:start w:val="1"/>
      <w:numFmt w:val="bullet"/>
      <w:lvlText w:val="•"/>
      <w:lvlJc w:val="left"/>
      <w:pPr>
        <w:tabs>
          <w:tab w:val="num" w:pos="4320"/>
        </w:tabs>
        <w:ind w:left="4320" w:hanging="360"/>
      </w:pPr>
      <w:rPr>
        <w:rFonts w:ascii="Arial" w:hAnsi="Arial" w:hint="default"/>
      </w:rPr>
    </w:lvl>
    <w:lvl w:ilvl="6" w:tplc="DAD49476" w:tentative="1">
      <w:start w:val="1"/>
      <w:numFmt w:val="bullet"/>
      <w:lvlText w:val="•"/>
      <w:lvlJc w:val="left"/>
      <w:pPr>
        <w:tabs>
          <w:tab w:val="num" w:pos="5040"/>
        </w:tabs>
        <w:ind w:left="5040" w:hanging="360"/>
      </w:pPr>
      <w:rPr>
        <w:rFonts w:ascii="Arial" w:hAnsi="Arial" w:hint="default"/>
      </w:rPr>
    </w:lvl>
    <w:lvl w:ilvl="7" w:tplc="089EDE52" w:tentative="1">
      <w:start w:val="1"/>
      <w:numFmt w:val="bullet"/>
      <w:lvlText w:val="•"/>
      <w:lvlJc w:val="left"/>
      <w:pPr>
        <w:tabs>
          <w:tab w:val="num" w:pos="5760"/>
        </w:tabs>
        <w:ind w:left="5760" w:hanging="360"/>
      </w:pPr>
      <w:rPr>
        <w:rFonts w:ascii="Arial" w:hAnsi="Arial" w:hint="default"/>
      </w:rPr>
    </w:lvl>
    <w:lvl w:ilvl="8" w:tplc="9F005F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1606CA"/>
    <w:multiLevelType w:val="hybridMultilevel"/>
    <w:tmpl w:val="5658FA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32C3E4A"/>
    <w:multiLevelType w:val="hybridMultilevel"/>
    <w:tmpl w:val="B848136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31BB1EF1"/>
    <w:multiLevelType w:val="multilevel"/>
    <w:tmpl w:val="8B62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25B57"/>
    <w:multiLevelType w:val="hybridMultilevel"/>
    <w:tmpl w:val="DFC648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4F7A51A8"/>
    <w:multiLevelType w:val="hybridMultilevel"/>
    <w:tmpl w:val="CB04F59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7" w15:restartNumberingAfterBreak="0">
    <w:nsid w:val="51711DC4"/>
    <w:multiLevelType w:val="hybridMultilevel"/>
    <w:tmpl w:val="9ECC650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57150429"/>
    <w:multiLevelType w:val="hybridMultilevel"/>
    <w:tmpl w:val="3F14731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623C5207"/>
    <w:multiLevelType w:val="hybridMultilevel"/>
    <w:tmpl w:val="A6D6F32E"/>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79947EE1"/>
    <w:multiLevelType w:val="hybridMultilevel"/>
    <w:tmpl w:val="B1BC267A"/>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7ABE1967"/>
    <w:multiLevelType w:val="hybridMultilevel"/>
    <w:tmpl w:val="6004CF7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10"/>
  </w:num>
  <w:num w:numId="5">
    <w:abstractNumId w:val="3"/>
  </w:num>
  <w:num w:numId="6">
    <w:abstractNumId w:val="9"/>
  </w:num>
  <w:num w:numId="7">
    <w:abstractNumId w:val="0"/>
  </w:num>
  <w:num w:numId="8">
    <w:abstractNumId w:val="5"/>
  </w:num>
  <w:num w:numId="9">
    <w:abstractNumId w:val="11"/>
  </w:num>
  <w:num w:numId="10">
    <w:abstractNumId w:val="7"/>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31"/>
    <w:rsid w:val="00000231"/>
    <w:rsid w:val="000002DB"/>
    <w:rsid w:val="00001CD9"/>
    <w:rsid w:val="00002BB3"/>
    <w:rsid w:val="000045A7"/>
    <w:rsid w:val="00005912"/>
    <w:rsid w:val="00005FF7"/>
    <w:rsid w:val="000066BD"/>
    <w:rsid w:val="000071BB"/>
    <w:rsid w:val="00011796"/>
    <w:rsid w:val="00011C42"/>
    <w:rsid w:val="00013B21"/>
    <w:rsid w:val="0001495A"/>
    <w:rsid w:val="00017606"/>
    <w:rsid w:val="00017E4A"/>
    <w:rsid w:val="0002180E"/>
    <w:rsid w:val="00022E39"/>
    <w:rsid w:val="000235E2"/>
    <w:rsid w:val="00023DD3"/>
    <w:rsid w:val="00023E15"/>
    <w:rsid w:val="00024373"/>
    <w:rsid w:val="00024479"/>
    <w:rsid w:val="00025C9F"/>
    <w:rsid w:val="00025CFB"/>
    <w:rsid w:val="00026025"/>
    <w:rsid w:val="00026DE3"/>
    <w:rsid w:val="00027C59"/>
    <w:rsid w:val="00027D35"/>
    <w:rsid w:val="00030429"/>
    <w:rsid w:val="00031926"/>
    <w:rsid w:val="000328BD"/>
    <w:rsid w:val="000346DA"/>
    <w:rsid w:val="0003474D"/>
    <w:rsid w:val="00034821"/>
    <w:rsid w:val="000349AD"/>
    <w:rsid w:val="00034BA1"/>
    <w:rsid w:val="00034CB4"/>
    <w:rsid w:val="00034CFA"/>
    <w:rsid w:val="0003532D"/>
    <w:rsid w:val="000359C0"/>
    <w:rsid w:val="00036BE9"/>
    <w:rsid w:val="00037129"/>
    <w:rsid w:val="0003726A"/>
    <w:rsid w:val="000373CE"/>
    <w:rsid w:val="00037749"/>
    <w:rsid w:val="00037EFF"/>
    <w:rsid w:val="00042A08"/>
    <w:rsid w:val="00042EF4"/>
    <w:rsid w:val="0004333A"/>
    <w:rsid w:val="00043922"/>
    <w:rsid w:val="00045B05"/>
    <w:rsid w:val="00045BAA"/>
    <w:rsid w:val="00045DF7"/>
    <w:rsid w:val="0004645F"/>
    <w:rsid w:val="00046584"/>
    <w:rsid w:val="0004658F"/>
    <w:rsid w:val="000466DC"/>
    <w:rsid w:val="00046904"/>
    <w:rsid w:val="000473E5"/>
    <w:rsid w:val="00047E88"/>
    <w:rsid w:val="00050071"/>
    <w:rsid w:val="000520C4"/>
    <w:rsid w:val="00053D51"/>
    <w:rsid w:val="000552A0"/>
    <w:rsid w:val="000554AD"/>
    <w:rsid w:val="0005553D"/>
    <w:rsid w:val="00055C05"/>
    <w:rsid w:val="00056739"/>
    <w:rsid w:val="00056BB5"/>
    <w:rsid w:val="00057FC8"/>
    <w:rsid w:val="000625A3"/>
    <w:rsid w:val="000625CD"/>
    <w:rsid w:val="00063411"/>
    <w:rsid w:val="000635B9"/>
    <w:rsid w:val="000638CB"/>
    <w:rsid w:val="0006390C"/>
    <w:rsid w:val="00064D78"/>
    <w:rsid w:val="000650FA"/>
    <w:rsid w:val="00065D7F"/>
    <w:rsid w:val="00065EB1"/>
    <w:rsid w:val="00067A1F"/>
    <w:rsid w:val="00067E69"/>
    <w:rsid w:val="0007029E"/>
    <w:rsid w:val="00070808"/>
    <w:rsid w:val="00070852"/>
    <w:rsid w:val="000715FB"/>
    <w:rsid w:val="00073313"/>
    <w:rsid w:val="000738D9"/>
    <w:rsid w:val="00073920"/>
    <w:rsid w:val="00073BCD"/>
    <w:rsid w:val="00073E29"/>
    <w:rsid w:val="000751E7"/>
    <w:rsid w:val="00076C43"/>
    <w:rsid w:val="00076C87"/>
    <w:rsid w:val="00076DC4"/>
    <w:rsid w:val="00076FCD"/>
    <w:rsid w:val="000772B1"/>
    <w:rsid w:val="00080FD1"/>
    <w:rsid w:val="00085C79"/>
    <w:rsid w:val="00085CC5"/>
    <w:rsid w:val="00087699"/>
    <w:rsid w:val="00087B36"/>
    <w:rsid w:val="0009059E"/>
    <w:rsid w:val="00091267"/>
    <w:rsid w:val="00092C57"/>
    <w:rsid w:val="0009365A"/>
    <w:rsid w:val="00093940"/>
    <w:rsid w:val="00093AFF"/>
    <w:rsid w:val="00093D6D"/>
    <w:rsid w:val="00094B20"/>
    <w:rsid w:val="00095ADC"/>
    <w:rsid w:val="00095BA4"/>
    <w:rsid w:val="000965AE"/>
    <w:rsid w:val="000970F5"/>
    <w:rsid w:val="000974A7"/>
    <w:rsid w:val="000A12D6"/>
    <w:rsid w:val="000A141D"/>
    <w:rsid w:val="000A25A8"/>
    <w:rsid w:val="000A25F6"/>
    <w:rsid w:val="000A3B56"/>
    <w:rsid w:val="000A5C60"/>
    <w:rsid w:val="000A6030"/>
    <w:rsid w:val="000A7C9F"/>
    <w:rsid w:val="000B093C"/>
    <w:rsid w:val="000B0C39"/>
    <w:rsid w:val="000B0FB6"/>
    <w:rsid w:val="000B271D"/>
    <w:rsid w:val="000B3594"/>
    <w:rsid w:val="000B3A2D"/>
    <w:rsid w:val="000B3FBA"/>
    <w:rsid w:val="000B4393"/>
    <w:rsid w:val="000B51A2"/>
    <w:rsid w:val="000B6C10"/>
    <w:rsid w:val="000B74C0"/>
    <w:rsid w:val="000B7923"/>
    <w:rsid w:val="000B7C09"/>
    <w:rsid w:val="000C0248"/>
    <w:rsid w:val="000C0C87"/>
    <w:rsid w:val="000C1225"/>
    <w:rsid w:val="000C2579"/>
    <w:rsid w:val="000C2B5C"/>
    <w:rsid w:val="000C3019"/>
    <w:rsid w:val="000C3D34"/>
    <w:rsid w:val="000C5A9F"/>
    <w:rsid w:val="000C5DBA"/>
    <w:rsid w:val="000C6D52"/>
    <w:rsid w:val="000D0C71"/>
    <w:rsid w:val="000D0CB0"/>
    <w:rsid w:val="000D1B9B"/>
    <w:rsid w:val="000D24DB"/>
    <w:rsid w:val="000D25A5"/>
    <w:rsid w:val="000D2970"/>
    <w:rsid w:val="000D507F"/>
    <w:rsid w:val="000D6A43"/>
    <w:rsid w:val="000D7B23"/>
    <w:rsid w:val="000D7F1C"/>
    <w:rsid w:val="000E05C9"/>
    <w:rsid w:val="000E1281"/>
    <w:rsid w:val="000E260E"/>
    <w:rsid w:val="000E273C"/>
    <w:rsid w:val="000E333A"/>
    <w:rsid w:val="000E4642"/>
    <w:rsid w:val="000E4827"/>
    <w:rsid w:val="000E4D00"/>
    <w:rsid w:val="000E4ED5"/>
    <w:rsid w:val="000E615B"/>
    <w:rsid w:val="000E683E"/>
    <w:rsid w:val="000E693E"/>
    <w:rsid w:val="000F54DD"/>
    <w:rsid w:val="000F5C1E"/>
    <w:rsid w:val="000F5D94"/>
    <w:rsid w:val="000F699D"/>
    <w:rsid w:val="00100188"/>
    <w:rsid w:val="00100998"/>
    <w:rsid w:val="00101042"/>
    <w:rsid w:val="001015C4"/>
    <w:rsid w:val="00102691"/>
    <w:rsid w:val="00104BFA"/>
    <w:rsid w:val="00104E9B"/>
    <w:rsid w:val="001056B0"/>
    <w:rsid w:val="00106ECE"/>
    <w:rsid w:val="00107580"/>
    <w:rsid w:val="00110B18"/>
    <w:rsid w:val="0011149B"/>
    <w:rsid w:val="001114C2"/>
    <w:rsid w:val="001114E4"/>
    <w:rsid w:val="001133C1"/>
    <w:rsid w:val="0011539F"/>
    <w:rsid w:val="0011775D"/>
    <w:rsid w:val="00117E71"/>
    <w:rsid w:val="00117EF1"/>
    <w:rsid w:val="00120162"/>
    <w:rsid w:val="00120BA1"/>
    <w:rsid w:val="0012116C"/>
    <w:rsid w:val="0012139C"/>
    <w:rsid w:val="001217B9"/>
    <w:rsid w:val="00121E53"/>
    <w:rsid w:val="00121F1F"/>
    <w:rsid w:val="00122A2E"/>
    <w:rsid w:val="00123A80"/>
    <w:rsid w:val="001241FC"/>
    <w:rsid w:val="001249B8"/>
    <w:rsid w:val="00125E3F"/>
    <w:rsid w:val="00126868"/>
    <w:rsid w:val="00127590"/>
    <w:rsid w:val="00131341"/>
    <w:rsid w:val="00131B62"/>
    <w:rsid w:val="001325A2"/>
    <w:rsid w:val="00133129"/>
    <w:rsid w:val="00134651"/>
    <w:rsid w:val="001349E4"/>
    <w:rsid w:val="00134DF2"/>
    <w:rsid w:val="00136239"/>
    <w:rsid w:val="001369C7"/>
    <w:rsid w:val="001369FF"/>
    <w:rsid w:val="001416B4"/>
    <w:rsid w:val="00141866"/>
    <w:rsid w:val="001429C9"/>
    <w:rsid w:val="00142DE3"/>
    <w:rsid w:val="00143058"/>
    <w:rsid w:val="001436F6"/>
    <w:rsid w:val="001441F0"/>
    <w:rsid w:val="001447B5"/>
    <w:rsid w:val="0014510A"/>
    <w:rsid w:val="00146416"/>
    <w:rsid w:val="00146B9B"/>
    <w:rsid w:val="00147009"/>
    <w:rsid w:val="001500BB"/>
    <w:rsid w:val="001516D4"/>
    <w:rsid w:val="00151BE4"/>
    <w:rsid w:val="00151E89"/>
    <w:rsid w:val="001529E2"/>
    <w:rsid w:val="00152F0B"/>
    <w:rsid w:val="0015302E"/>
    <w:rsid w:val="0015344C"/>
    <w:rsid w:val="00153DF7"/>
    <w:rsid w:val="00154603"/>
    <w:rsid w:val="0015530A"/>
    <w:rsid w:val="00155B57"/>
    <w:rsid w:val="00156ABB"/>
    <w:rsid w:val="00157BF3"/>
    <w:rsid w:val="00160F17"/>
    <w:rsid w:val="0016103B"/>
    <w:rsid w:val="001625C5"/>
    <w:rsid w:val="001632BF"/>
    <w:rsid w:val="0016435F"/>
    <w:rsid w:val="00164668"/>
    <w:rsid w:val="0016493F"/>
    <w:rsid w:val="00166294"/>
    <w:rsid w:val="00166CBD"/>
    <w:rsid w:val="00166E12"/>
    <w:rsid w:val="00166F5C"/>
    <w:rsid w:val="00167194"/>
    <w:rsid w:val="001717C6"/>
    <w:rsid w:val="0017246F"/>
    <w:rsid w:val="00172554"/>
    <w:rsid w:val="00172984"/>
    <w:rsid w:val="001731B0"/>
    <w:rsid w:val="0017370F"/>
    <w:rsid w:val="00173943"/>
    <w:rsid w:val="0017401D"/>
    <w:rsid w:val="0017406C"/>
    <w:rsid w:val="00176BE4"/>
    <w:rsid w:val="00176F3C"/>
    <w:rsid w:val="00177A8B"/>
    <w:rsid w:val="00177BD5"/>
    <w:rsid w:val="001809A9"/>
    <w:rsid w:val="001810E4"/>
    <w:rsid w:val="00181B59"/>
    <w:rsid w:val="00181E65"/>
    <w:rsid w:val="0018227A"/>
    <w:rsid w:val="001829C1"/>
    <w:rsid w:val="00183ACD"/>
    <w:rsid w:val="00183D95"/>
    <w:rsid w:val="001847AF"/>
    <w:rsid w:val="00187564"/>
    <w:rsid w:val="00194353"/>
    <w:rsid w:val="001946A6"/>
    <w:rsid w:val="00194905"/>
    <w:rsid w:val="00195AFC"/>
    <w:rsid w:val="00195B1A"/>
    <w:rsid w:val="001A162B"/>
    <w:rsid w:val="001A16B7"/>
    <w:rsid w:val="001A1AE9"/>
    <w:rsid w:val="001A1B51"/>
    <w:rsid w:val="001A3115"/>
    <w:rsid w:val="001A4218"/>
    <w:rsid w:val="001A511B"/>
    <w:rsid w:val="001A6BFD"/>
    <w:rsid w:val="001A7A69"/>
    <w:rsid w:val="001B1504"/>
    <w:rsid w:val="001B2367"/>
    <w:rsid w:val="001B274A"/>
    <w:rsid w:val="001B2923"/>
    <w:rsid w:val="001B2DD3"/>
    <w:rsid w:val="001B3AD2"/>
    <w:rsid w:val="001B46FD"/>
    <w:rsid w:val="001B4A3D"/>
    <w:rsid w:val="001B4A6C"/>
    <w:rsid w:val="001B4C2B"/>
    <w:rsid w:val="001B5090"/>
    <w:rsid w:val="001B70DB"/>
    <w:rsid w:val="001B7B17"/>
    <w:rsid w:val="001B7C91"/>
    <w:rsid w:val="001C07BB"/>
    <w:rsid w:val="001C0A59"/>
    <w:rsid w:val="001C0B6F"/>
    <w:rsid w:val="001C0EFA"/>
    <w:rsid w:val="001C109E"/>
    <w:rsid w:val="001C1CC9"/>
    <w:rsid w:val="001C43D3"/>
    <w:rsid w:val="001C4FF7"/>
    <w:rsid w:val="001C5966"/>
    <w:rsid w:val="001C6537"/>
    <w:rsid w:val="001D0413"/>
    <w:rsid w:val="001D0B04"/>
    <w:rsid w:val="001D10E4"/>
    <w:rsid w:val="001D1A8F"/>
    <w:rsid w:val="001D2617"/>
    <w:rsid w:val="001D262F"/>
    <w:rsid w:val="001D27C8"/>
    <w:rsid w:val="001D2EE9"/>
    <w:rsid w:val="001D30CF"/>
    <w:rsid w:val="001D3784"/>
    <w:rsid w:val="001D39CB"/>
    <w:rsid w:val="001D583F"/>
    <w:rsid w:val="001D5ED2"/>
    <w:rsid w:val="001D63C5"/>
    <w:rsid w:val="001D6536"/>
    <w:rsid w:val="001D6A7B"/>
    <w:rsid w:val="001D6B09"/>
    <w:rsid w:val="001D739B"/>
    <w:rsid w:val="001D77AA"/>
    <w:rsid w:val="001D7CA2"/>
    <w:rsid w:val="001E0460"/>
    <w:rsid w:val="001E05A5"/>
    <w:rsid w:val="001E2C4E"/>
    <w:rsid w:val="001E2F59"/>
    <w:rsid w:val="001E3D5D"/>
    <w:rsid w:val="001E4037"/>
    <w:rsid w:val="001E7468"/>
    <w:rsid w:val="001E7CF5"/>
    <w:rsid w:val="001E7FB4"/>
    <w:rsid w:val="001F0291"/>
    <w:rsid w:val="001F0BF5"/>
    <w:rsid w:val="001F1071"/>
    <w:rsid w:val="001F11F2"/>
    <w:rsid w:val="001F1392"/>
    <w:rsid w:val="001F3ADA"/>
    <w:rsid w:val="001F3CE2"/>
    <w:rsid w:val="001F3ED9"/>
    <w:rsid w:val="001F499D"/>
    <w:rsid w:val="001F4FEB"/>
    <w:rsid w:val="001F5EF0"/>
    <w:rsid w:val="001F6835"/>
    <w:rsid w:val="001F6A0A"/>
    <w:rsid w:val="00201A25"/>
    <w:rsid w:val="002027CE"/>
    <w:rsid w:val="002030BD"/>
    <w:rsid w:val="00203F41"/>
    <w:rsid w:val="002041C8"/>
    <w:rsid w:val="0020502A"/>
    <w:rsid w:val="002052FE"/>
    <w:rsid w:val="00206884"/>
    <w:rsid w:val="00206B47"/>
    <w:rsid w:val="00207DAA"/>
    <w:rsid w:val="002101EE"/>
    <w:rsid w:val="00211909"/>
    <w:rsid w:val="00211B8D"/>
    <w:rsid w:val="00212023"/>
    <w:rsid w:val="002122BE"/>
    <w:rsid w:val="002137D3"/>
    <w:rsid w:val="00213E55"/>
    <w:rsid w:val="002142DD"/>
    <w:rsid w:val="00214F26"/>
    <w:rsid w:val="00215296"/>
    <w:rsid w:val="00216105"/>
    <w:rsid w:val="00217B52"/>
    <w:rsid w:val="002200CA"/>
    <w:rsid w:val="0022045C"/>
    <w:rsid w:val="0022087D"/>
    <w:rsid w:val="00221124"/>
    <w:rsid w:val="00222505"/>
    <w:rsid w:val="002227D7"/>
    <w:rsid w:val="00222F6B"/>
    <w:rsid w:val="00224149"/>
    <w:rsid w:val="0022448C"/>
    <w:rsid w:val="00225C1D"/>
    <w:rsid w:val="00226370"/>
    <w:rsid w:val="00227797"/>
    <w:rsid w:val="00231052"/>
    <w:rsid w:val="002314D1"/>
    <w:rsid w:val="00231E2D"/>
    <w:rsid w:val="002324C4"/>
    <w:rsid w:val="002333BB"/>
    <w:rsid w:val="00233A80"/>
    <w:rsid w:val="00233EBE"/>
    <w:rsid w:val="00234BD2"/>
    <w:rsid w:val="002354F2"/>
    <w:rsid w:val="0023586F"/>
    <w:rsid w:val="002365B4"/>
    <w:rsid w:val="002365EB"/>
    <w:rsid w:val="00237705"/>
    <w:rsid w:val="00237D02"/>
    <w:rsid w:val="00240AF6"/>
    <w:rsid w:val="00241294"/>
    <w:rsid w:val="0024204C"/>
    <w:rsid w:val="00243C9D"/>
    <w:rsid w:val="00244F39"/>
    <w:rsid w:val="00245185"/>
    <w:rsid w:val="00245B54"/>
    <w:rsid w:val="00245CCC"/>
    <w:rsid w:val="0024600B"/>
    <w:rsid w:val="00246180"/>
    <w:rsid w:val="002461B2"/>
    <w:rsid w:val="00246D8E"/>
    <w:rsid w:val="00246EA4"/>
    <w:rsid w:val="00250620"/>
    <w:rsid w:val="0025087D"/>
    <w:rsid w:val="0025177A"/>
    <w:rsid w:val="00251913"/>
    <w:rsid w:val="0025207E"/>
    <w:rsid w:val="002537A4"/>
    <w:rsid w:val="00253E78"/>
    <w:rsid w:val="002546E5"/>
    <w:rsid w:val="00255C87"/>
    <w:rsid w:val="002574AF"/>
    <w:rsid w:val="0026083D"/>
    <w:rsid w:val="00260AAC"/>
    <w:rsid w:val="00261929"/>
    <w:rsid w:val="0026265F"/>
    <w:rsid w:val="002628EC"/>
    <w:rsid w:val="00262B69"/>
    <w:rsid w:val="00262DE8"/>
    <w:rsid w:val="00262FC2"/>
    <w:rsid w:val="00264247"/>
    <w:rsid w:val="0026461D"/>
    <w:rsid w:val="00264E36"/>
    <w:rsid w:val="00265783"/>
    <w:rsid w:val="00265E52"/>
    <w:rsid w:val="0026631A"/>
    <w:rsid w:val="00266595"/>
    <w:rsid w:val="002665D4"/>
    <w:rsid w:val="00270964"/>
    <w:rsid w:val="00271156"/>
    <w:rsid w:val="002718F9"/>
    <w:rsid w:val="002751F4"/>
    <w:rsid w:val="00275339"/>
    <w:rsid w:val="00275C6E"/>
    <w:rsid w:val="00275E23"/>
    <w:rsid w:val="0027641A"/>
    <w:rsid w:val="00276AB3"/>
    <w:rsid w:val="002772AA"/>
    <w:rsid w:val="002777D8"/>
    <w:rsid w:val="002801FA"/>
    <w:rsid w:val="00280B63"/>
    <w:rsid w:val="00281480"/>
    <w:rsid w:val="00282136"/>
    <w:rsid w:val="00282647"/>
    <w:rsid w:val="002832F7"/>
    <w:rsid w:val="002853AD"/>
    <w:rsid w:val="002861E3"/>
    <w:rsid w:val="00286514"/>
    <w:rsid w:val="00287529"/>
    <w:rsid w:val="00291355"/>
    <w:rsid w:val="00291E55"/>
    <w:rsid w:val="002925A3"/>
    <w:rsid w:val="002937C4"/>
    <w:rsid w:val="00293D1F"/>
    <w:rsid w:val="00293EDD"/>
    <w:rsid w:val="00294B75"/>
    <w:rsid w:val="00294EFD"/>
    <w:rsid w:val="0029583B"/>
    <w:rsid w:val="00296BA8"/>
    <w:rsid w:val="00297339"/>
    <w:rsid w:val="00297423"/>
    <w:rsid w:val="002A0643"/>
    <w:rsid w:val="002A2A31"/>
    <w:rsid w:val="002A322F"/>
    <w:rsid w:val="002A4F7E"/>
    <w:rsid w:val="002A561B"/>
    <w:rsid w:val="002A688E"/>
    <w:rsid w:val="002B1415"/>
    <w:rsid w:val="002B171E"/>
    <w:rsid w:val="002B2036"/>
    <w:rsid w:val="002B3400"/>
    <w:rsid w:val="002B42C0"/>
    <w:rsid w:val="002B5987"/>
    <w:rsid w:val="002B6B80"/>
    <w:rsid w:val="002B6EE6"/>
    <w:rsid w:val="002C1CDA"/>
    <w:rsid w:val="002C5946"/>
    <w:rsid w:val="002C6241"/>
    <w:rsid w:val="002C6804"/>
    <w:rsid w:val="002C6CCB"/>
    <w:rsid w:val="002C6FAC"/>
    <w:rsid w:val="002C7112"/>
    <w:rsid w:val="002D0915"/>
    <w:rsid w:val="002D0E49"/>
    <w:rsid w:val="002D0EDD"/>
    <w:rsid w:val="002D187F"/>
    <w:rsid w:val="002D1DE8"/>
    <w:rsid w:val="002D22B5"/>
    <w:rsid w:val="002D249F"/>
    <w:rsid w:val="002D4F0A"/>
    <w:rsid w:val="002D50CC"/>
    <w:rsid w:val="002D6475"/>
    <w:rsid w:val="002D6FA0"/>
    <w:rsid w:val="002E06FF"/>
    <w:rsid w:val="002E081E"/>
    <w:rsid w:val="002E1928"/>
    <w:rsid w:val="002E2355"/>
    <w:rsid w:val="002E2499"/>
    <w:rsid w:val="002E2FD7"/>
    <w:rsid w:val="002E3CB0"/>
    <w:rsid w:val="002E3FF8"/>
    <w:rsid w:val="002E4AF5"/>
    <w:rsid w:val="002E4CDE"/>
    <w:rsid w:val="002E4D84"/>
    <w:rsid w:val="002E7112"/>
    <w:rsid w:val="002E7377"/>
    <w:rsid w:val="002F0C5D"/>
    <w:rsid w:val="002F1662"/>
    <w:rsid w:val="002F182B"/>
    <w:rsid w:val="002F275E"/>
    <w:rsid w:val="002F2E8F"/>
    <w:rsid w:val="002F3A4D"/>
    <w:rsid w:val="002F4393"/>
    <w:rsid w:val="002F4535"/>
    <w:rsid w:val="002F5DBB"/>
    <w:rsid w:val="002F6555"/>
    <w:rsid w:val="002F7CA4"/>
    <w:rsid w:val="00300CAA"/>
    <w:rsid w:val="00301921"/>
    <w:rsid w:val="00303389"/>
    <w:rsid w:val="003035F3"/>
    <w:rsid w:val="00303994"/>
    <w:rsid w:val="00304712"/>
    <w:rsid w:val="00305714"/>
    <w:rsid w:val="00307AF1"/>
    <w:rsid w:val="00307B60"/>
    <w:rsid w:val="00312C7B"/>
    <w:rsid w:val="00312FD0"/>
    <w:rsid w:val="00313961"/>
    <w:rsid w:val="00313B7D"/>
    <w:rsid w:val="00313F6F"/>
    <w:rsid w:val="00314369"/>
    <w:rsid w:val="003144D6"/>
    <w:rsid w:val="00316457"/>
    <w:rsid w:val="00317E92"/>
    <w:rsid w:val="003203D1"/>
    <w:rsid w:val="00320A53"/>
    <w:rsid w:val="00320D77"/>
    <w:rsid w:val="00321A24"/>
    <w:rsid w:val="00321AC9"/>
    <w:rsid w:val="00321AE9"/>
    <w:rsid w:val="00323847"/>
    <w:rsid w:val="0032399D"/>
    <w:rsid w:val="003254B2"/>
    <w:rsid w:val="00325D20"/>
    <w:rsid w:val="0032742B"/>
    <w:rsid w:val="00330425"/>
    <w:rsid w:val="00330BC4"/>
    <w:rsid w:val="00330F90"/>
    <w:rsid w:val="00331282"/>
    <w:rsid w:val="00332146"/>
    <w:rsid w:val="00332596"/>
    <w:rsid w:val="003335C7"/>
    <w:rsid w:val="00333732"/>
    <w:rsid w:val="003355E6"/>
    <w:rsid w:val="0033658A"/>
    <w:rsid w:val="0033686B"/>
    <w:rsid w:val="00336D55"/>
    <w:rsid w:val="00341999"/>
    <w:rsid w:val="00341F58"/>
    <w:rsid w:val="00342626"/>
    <w:rsid w:val="0034436C"/>
    <w:rsid w:val="00345308"/>
    <w:rsid w:val="003461CA"/>
    <w:rsid w:val="0034660D"/>
    <w:rsid w:val="003509DC"/>
    <w:rsid w:val="0035110F"/>
    <w:rsid w:val="003518F9"/>
    <w:rsid w:val="0035380B"/>
    <w:rsid w:val="0035507B"/>
    <w:rsid w:val="00355559"/>
    <w:rsid w:val="00355960"/>
    <w:rsid w:val="00355CE8"/>
    <w:rsid w:val="00357F88"/>
    <w:rsid w:val="00357F9C"/>
    <w:rsid w:val="00360921"/>
    <w:rsid w:val="003663DB"/>
    <w:rsid w:val="00367FA3"/>
    <w:rsid w:val="003707E5"/>
    <w:rsid w:val="00370C55"/>
    <w:rsid w:val="0037113C"/>
    <w:rsid w:val="00371A2C"/>
    <w:rsid w:val="00371C68"/>
    <w:rsid w:val="003723F7"/>
    <w:rsid w:val="00372AFA"/>
    <w:rsid w:val="00372E4F"/>
    <w:rsid w:val="003730A1"/>
    <w:rsid w:val="00373E68"/>
    <w:rsid w:val="003753AF"/>
    <w:rsid w:val="003764A5"/>
    <w:rsid w:val="00377139"/>
    <w:rsid w:val="003772C5"/>
    <w:rsid w:val="003777F0"/>
    <w:rsid w:val="00377AC5"/>
    <w:rsid w:val="00377C9E"/>
    <w:rsid w:val="00377DDA"/>
    <w:rsid w:val="00380B50"/>
    <w:rsid w:val="0038121F"/>
    <w:rsid w:val="00381DB7"/>
    <w:rsid w:val="00382A5F"/>
    <w:rsid w:val="00383696"/>
    <w:rsid w:val="0038547C"/>
    <w:rsid w:val="003858C5"/>
    <w:rsid w:val="00385A1B"/>
    <w:rsid w:val="00385A57"/>
    <w:rsid w:val="003932B3"/>
    <w:rsid w:val="0039399C"/>
    <w:rsid w:val="003943D8"/>
    <w:rsid w:val="00394FE4"/>
    <w:rsid w:val="003950CB"/>
    <w:rsid w:val="00395C86"/>
    <w:rsid w:val="00396696"/>
    <w:rsid w:val="003A0F8E"/>
    <w:rsid w:val="003A1474"/>
    <w:rsid w:val="003A1634"/>
    <w:rsid w:val="003A17FF"/>
    <w:rsid w:val="003A1BA0"/>
    <w:rsid w:val="003A1E6C"/>
    <w:rsid w:val="003A2253"/>
    <w:rsid w:val="003A2617"/>
    <w:rsid w:val="003A4787"/>
    <w:rsid w:val="003A5765"/>
    <w:rsid w:val="003A57E2"/>
    <w:rsid w:val="003A5FF5"/>
    <w:rsid w:val="003B06C5"/>
    <w:rsid w:val="003B135F"/>
    <w:rsid w:val="003B1487"/>
    <w:rsid w:val="003B1C15"/>
    <w:rsid w:val="003B2C39"/>
    <w:rsid w:val="003B339C"/>
    <w:rsid w:val="003B4B14"/>
    <w:rsid w:val="003B522A"/>
    <w:rsid w:val="003B5DF1"/>
    <w:rsid w:val="003B6B2E"/>
    <w:rsid w:val="003B6C3B"/>
    <w:rsid w:val="003B7F03"/>
    <w:rsid w:val="003C0123"/>
    <w:rsid w:val="003C0562"/>
    <w:rsid w:val="003C0C2C"/>
    <w:rsid w:val="003C0DEF"/>
    <w:rsid w:val="003C1B2E"/>
    <w:rsid w:val="003C23A0"/>
    <w:rsid w:val="003C2447"/>
    <w:rsid w:val="003C36E9"/>
    <w:rsid w:val="003C5690"/>
    <w:rsid w:val="003C6125"/>
    <w:rsid w:val="003D067E"/>
    <w:rsid w:val="003D112B"/>
    <w:rsid w:val="003D1C74"/>
    <w:rsid w:val="003D1FCD"/>
    <w:rsid w:val="003D26A0"/>
    <w:rsid w:val="003D28CD"/>
    <w:rsid w:val="003D2A58"/>
    <w:rsid w:val="003D2CCE"/>
    <w:rsid w:val="003D2CD4"/>
    <w:rsid w:val="003D3F6C"/>
    <w:rsid w:val="003D53E4"/>
    <w:rsid w:val="003E120A"/>
    <w:rsid w:val="003E12A9"/>
    <w:rsid w:val="003E131D"/>
    <w:rsid w:val="003E3831"/>
    <w:rsid w:val="003E3EC7"/>
    <w:rsid w:val="003E4035"/>
    <w:rsid w:val="003E4572"/>
    <w:rsid w:val="003E5CB5"/>
    <w:rsid w:val="003E6AE8"/>
    <w:rsid w:val="003E72E3"/>
    <w:rsid w:val="003E7B28"/>
    <w:rsid w:val="003F05CF"/>
    <w:rsid w:val="003F1BFA"/>
    <w:rsid w:val="003F1D0D"/>
    <w:rsid w:val="003F1FB4"/>
    <w:rsid w:val="003F258E"/>
    <w:rsid w:val="003F35D8"/>
    <w:rsid w:val="003F3B17"/>
    <w:rsid w:val="003F4037"/>
    <w:rsid w:val="003F4B03"/>
    <w:rsid w:val="003F538E"/>
    <w:rsid w:val="003F5903"/>
    <w:rsid w:val="003F5988"/>
    <w:rsid w:val="003F6D64"/>
    <w:rsid w:val="003F7AA3"/>
    <w:rsid w:val="004007C3"/>
    <w:rsid w:val="00400A06"/>
    <w:rsid w:val="00400ABA"/>
    <w:rsid w:val="004011EA"/>
    <w:rsid w:val="004019FC"/>
    <w:rsid w:val="00402206"/>
    <w:rsid w:val="00403870"/>
    <w:rsid w:val="00405212"/>
    <w:rsid w:val="00405360"/>
    <w:rsid w:val="00405CA7"/>
    <w:rsid w:val="00407534"/>
    <w:rsid w:val="004079BB"/>
    <w:rsid w:val="00410301"/>
    <w:rsid w:val="00410D71"/>
    <w:rsid w:val="0041268C"/>
    <w:rsid w:val="004129C3"/>
    <w:rsid w:val="00412EE5"/>
    <w:rsid w:val="00413B33"/>
    <w:rsid w:val="00415AF8"/>
    <w:rsid w:val="00415C6C"/>
    <w:rsid w:val="00416A39"/>
    <w:rsid w:val="00416EC4"/>
    <w:rsid w:val="004170A3"/>
    <w:rsid w:val="0041728D"/>
    <w:rsid w:val="00417319"/>
    <w:rsid w:val="004202DD"/>
    <w:rsid w:val="00420812"/>
    <w:rsid w:val="004208C2"/>
    <w:rsid w:val="00420A01"/>
    <w:rsid w:val="00421B37"/>
    <w:rsid w:val="00422EA5"/>
    <w:rsid w:val="004239EA"/>
    <w:rsid w:val="00425741"/>
    <w:rsid w:val="00426BD4"/>
    <w:rsid w:val="00426E60"/>
    <w:rsid w:val="0042710E"/>
    <w:rsid w:val="00430528"/>
    <w:rsid w:val="00431482"/>
    <w:rsid w:val="004322A3"/>
    <w:rsid w:val="00432EE3"/>
    <w:rsid w:val="00432EE8"/>
    <w:rsid w:val="00434A5A"/>
    <w:rsid w:val="00434F94"/>
    <w:rsid w:val="004374E1"/>
    <w:rsid w:val="00437AAD"/>
    <w:rsid w:val="00437E72"/>
    <w:rsid w:val="004405C2"/>
    <w:rsid w:val="004423B7"/>
    <w:rsid w:val="00444AC4"/>
    <w:rsid w:val="00447E49"/>
    <w:rsid w:val="00450863"/>
    <w:rsid w:val="00450B13"/>
    <w:rsid w:val="00450FDB"/>
    <w:rsid w:val="004517E9"/>
    <w:rsid w:val="00451971"/>
    <w:rsid w:val="004519F2"/>
    <w:rsid w:val="00453ADB"/>
    <w:rsid w:val="004541AC"/>
    <w:rsid w:val="004545E5"/>
    <w:rsid w:val="004546E5"/>
    <w:rsid w:val="0045604E"/>
    <w:rsid w:val="004560B2"/>
    <w:rsid w:val="0045699F"/>
    <w:rsid w:val="00457154"/>
    <w:rsid w:val="004574B2"/>
    <w:rsid w:val="00457580"/>
    <w:rsid w:val="0046081F"/>
    <w:rsid w:val="00461AC7"/>
    <w:rsid w:val="0046211E"/>
    <w:rsid w:val="00462234"/>
    <w:rsid w:val="00464ADC"/>
    <w:rsid w:val="00464D7D"/>
    <w:rsid w:val="00465A04"/>
    <w:rsid w:val="00465ACC"/>
    <w:rsid w:val="00465C4D"/>
    <w:rsid w:val="00465D83"/>
    <w:rsid w:val="0046628C"/>
    <w:rsid w:val="00467A9D"/>
    <w:rsid w:val="00467D1A"/>
    <w:rsid w:val="0047061B"/>
    <w:rsid w:val="00470772"/>
    <w:rsid w:val="00470C64"/>
    <w:rsid w:val="00471808"/>
    <w:rsid w:val="00471987"/>
    <w:rsid w:val="00473411"/>
    <w:rsid w:val="004738FA"/>
    <w:rsid w:val="00473DF5"/>
    <w:rsid w:val="00476BF8"/>
    <w:rsid w:val="00476DAD"/>
    <w:rsid w:val="004773C0"/>
    <w:rsid w:val="0048049E"/>
    <w:rsid w:val="00480743"/>
    <w:rsid w:val="00481A96"/>
    <w:rsid w:val="00481E3A"/>
    <w:rsid w:val="004835C9"/>
    <w:rsid w:val="00483E26"/>
    <w:rsid w:val="00484403"/>
    <w:rsid w:val="0048526B"/>
    <w:rsid w:val="00485B9C"/>
    <w:rsid w:val="00486360"/>
    <w:rsid w:val="00486A17"/>
    <w:rsid w:val="00486DF7"/>
    <w:rsid w:val="00487F63"/>
    <w:rsid w:val="0049001F"/>
    <w:rsid w:val="00491910"/>
    <w:rsid w:val="00492674"/>
    <w:rsid w:val="0049417D"/>
    <w:rsid w:val="00494BE8"/>
    <w:rsid w:val="00494D16"/>
    <w:rsid w:val="00494D98"/>
    <w:rsid w:val="00494FFB"/>
    <w:rsid w:val="00495416"/>
    <w:rsid w:val="004959BD"/>
    <w:rsid w:val="00497B85"/>
    <w:rsid w:val="004A090F"/>
    <w:rsid w:val="004A180E"/>
    <w:rsid w:val="004A1873"/>
    <w:rsid w:val="004A1AF5"/>
    <w:rsid w:val="004A2B05"/>
    <w:rsid w:val="004A3CDB"/>
    <w:rsid w:val="004A43B1"/>
    <w:rsid w:val="004A44B3"/>
    <w:rsid w:val="004A5B7E"/>
    <w:rsid w:val="004A696B"/>
    <w:rsid w:val="004A6F1E"/>
    <w:rsid w:val="004B0F8E"/>
    <w:rsid w:val="004B1BC4"/>
    <w:rsid w:val="004B2792"/>
    <w:rsid w:val="004B50BE"/>
    <w:rsid w:val="004B7652"/>
    <w:rsid w:val="004B7972"/>
    <w:rsid w:val="004C0BCD"/>
    <w:rsid w:val="004C1CE6"/>
    <w:rsid w:val="004C1D96"/>
    <w:rsid w:val="004C31CD"/>
    <w:rsid w:val="004C37A2"/>
    <w:rsid w:val="004C3D89"/>
    <w:rsid w:val="004C4644"/>
    <w:rsid w:val="004C6451"/>
    <w:rsid w:val="004C69FC"/>
    <w:rsid w:val="004C761F"/>
    <w:rsid w:val="004D1062"/>
    <w:rsid w:val="004D277B"/>
    <w:rsid w:val="004D3DA1"/>
    <w:rsid w:val="004D5408"/>
    <w:rsid w:val="004D5625"/>
    <w:rsid w:val="004D7E37"/>
    <w:rsid w:val="004E1794"/>
    <w:rsid w:val="004E28CE"/>
    <w:rsid w:val="004E303D"/>
    <w:rsid w:val="004E3C92"/>
    <w:rsid w:val="004E4911"/>
    <w:rsid w:val="004E4B53"/>
    <w:rsid w:val="004E518D"/>
    <w:rsid w:val="004E58E6"/>
    <w:rsid w:val="004E5B46"/>
    <w:rsid w:val="004E7E78"/>
    <w:rsid w:val="004F0746"/>
    <w:rsid w:val="004F0ACF"/>
    <w:rsid w:val="004F0CB6"/>
    <w:rsid w:val="004F0F94"/>
    <w:rsid w:val="004F1875"/>
    <w:rsid w:val="004F1FFD"/>
    <w:rsid w:val="004F3877"/>
    <w:rsid w:val="004F4315"/>
    <w:rsid w:val="004F4F17"/>
    <w:rsid w:val="004F4FE9"/>
    <w:rsid w:val="004F5849"/>
    <w:rsid w:val="004F5877"/>
    <w:rsid w:val="004F6384"/>
    <w:rsid w:val="004F7C55"/>
    <w:rsid w:val="00500207"/>
    <w:rsid w:val="00500CA0"/>
    <w:rsid w:val="0050107E"/>
    <w:rsid w:val="00501B11"/>
    <w:rsid w:val="00501CFE"/>
    <w:rsid w:val="00501EB2"/>
    <w:rsid w:val="00501FE8"/>
    <w:rsid w:val="00502B4B"/>
    <w:rsid w:val="0050357F"/>
    <w:rsid w:val="005048C9"/>
    <w:rsid w:val="00504AC6"/>
    <w:rsid w:val="00504B22"/>
    <w:rsid w:val="00506D69"/>
    <w:rsid w:val="005070D0"/>
    <w:rsid w:val="005079D1"/>
    <w:rsid w:val="00507B0E"/>
    <w:rsid w:val="0051178B"/>
    <w:rsid w:val="00513290"/>
    <w:rsid w:val="0051407C"/>
    <w:rsid w:val="00515ED4"/>
    <w:rsid w:val="00516397"/>
    <w:rsid w:val="00516A89"/>
    <w:rsid w:val="0051763A"/>
    <w:rsid w:val="00520F85"/>
    <w:rsid w:val="00520FAA"/>
    <w:rsid w:val="00521309"/>
    <w:rsid w:val="0052142D"/>
    <w:rsid w:val="005227B5"/>
    <w:rsid w:val="00522D55"/>
    <w:rsid w:val="00524008"/>
    <w:rsid w:val="00524298"/>
    <w:rsid w:val="00524FD4"/>
    <w:rsid w:val="005263D3"/>
    <w:rsid w:val="0052723B"/>
    <w:rsid w:val="005319A1"/>
    <w:rsid w:val="005323B1"/>
    <w:rsid w:val="005334EA"/>
    <w:rsid w:val="0053587E"/>
    <w:rsid w:val="005364D3"/>
    <w:rsid w:val="005365A5"/>
    <w:rsid w:val="00537201"/>
    <w:rsid w:val="00537BDF"/>
    <w:rsid w:val="00540D74"/>
    <w:rsid w:val="00541334"/>
    <w:rsid w:val="005426A0"/>
    <w:rsid w:val="00542B47"/>
    <w:rsid w:val="0054488C"/>
    <w:rsid w:val="00545776"/>
    <w:rsid w:val="00546C23"/>
    <w:rsid w:val="00547D4A"/>
    <w:rsid w:val="0055046B"/>
    <w:rsid w:val="00550F74"/>
    <w:rsid w:val="00551542"/>
    <w:rsid w:val="00552428"/>
    <w:rsid w:val="005532C6"/>
    <w:rsid w:val="00553D0C"/>
    <w:rsid w:val="00554FF6"/>
    <w:rsid w:val="005559F8"/>
    <w:rsid w:val="005568D7"/>
    <w:rsid w:val="00556B98"/>
    <w:rsid w:val="00557615"/>
    <w:rsid w:val="00557685"/>
    <w:rsid w:val="005577E2"/>
    <w:rsid w:val="00557D82"/>
    <w:rsid w:val="005606AA"/>
    <w:rsid w:val="00560DA2"/>
    <w:rsid w:val="00561225"/>
    <w:rsid w:val="00561276"/>
    <w:rsid w:val="00563708"/>
    <w:rsid w:val="0056410B"/>
    <w:rsid w:val="005649DD"/>
    <w:rsid w:val="00565428"/>
    <w:rsid w:val="00565BB7"/>
    <w:rsid w:val="00565DD8"/>
    <w:rsid w:val="005700DA"/>
    <w:rsid w:val="005708E2"/>
    <w:rsid w:val="00570B18"/>
    <w:rsid w:val="00570DED"/>
    <w:rsid w:val="00571322"/>
    <w:rsid w:val="00571FE0"/>
    <w:rsid w:val="00573DCB"/>
    <w:rsid w:val="00573E47"/>
    <w:rsid w:val="0057495C"/>
    <w:rsid w:val="0057599F"/>
    <w:rsid w:val="00575CF3"/>
    <w:rsid w:val="00576287"/>
    <w:rsid w:val="00576343"/>
    <w:rsid w:val="00576BBB"/>
    <w:rsid w:val="00577596"/>
    <w:rsid w:val="005800F8"/>
    <w:rsid w:val="005806EF"/>
    <w:rsid w:val="005819AA"/>
    <w:rsid w:val="005819C1"/>
    <w:rsid w:val="00581D92"/>
    <w:rsid w:val="005822EB"/>
    <w:rsid w:val="005828FC"/>
    <w:rsid w:val="00582BF7"/>
    <w:rsid w:val="00583B88"/>
    <w:rsid w:val="00584100"/>
    <w:rsid w:val="00584A51"/>
    <w:rsid w:val="005857ED"/>
    <w:rsid w:val="0058706E"/>
    <w:rsid w:val="0059097D"/>
    <w:rsid w:val="00590E85"/>
    <w:rsid w:val="00591DDE"/>
    <w:rsid w:val="00591E08"/>
    <w:rsid w:val="00591EB8"/>
    <w:rsid w:val="00596273"/>
    <w:rsid w:val="0059704F"/>
    <w:rsid w:val="00597075"/>
    <w:rsid w:val="00597D90"/>
    <w:rsid w:val="00597EC5"/>
    <w:rsid w:val="005A26E6"/>
    <w:rsid w:val="005A27F2"/>
    <w:rsid w:val="005A2A12"/>
    <w:rsid w:val="005A322F"/>
    <w:rsid w:val="005A3304"/>
    <w:rsid w:val="005A50CB"/>
    <w:rsid w:val="005A59D0"/>
    <w:rsid w:val="005A60ED"/>
    <w:rsid w:val="005A68A7"/>
    <w:rsid w:val="005A7AFD"/>
    <w:rsid w:val="005A7EA8"/>
    <w:rsid w:val="005B0CAB"/>
    <w:rsid w:val="005B13C7"/>
    <w:rsid w:val="005B1723"/>
    <w:rsid w:val="005B2142"/>
    <w:rsid w:val="005B29AF"/>
    <w:rsid w:val="005B2A86"/>
    <w:rsid w:val="005B2F2C"/>
    <w:rsid w:val="005B5079"/>
    <w:rsid w:val="005B5578"/>
    <w:rsid w:val="005B5916"/>
    <w:rsid w:val="005B5C54"/>
    <w:rsid w:val="005B68E5"/>
    <w:rsid w:val="005B6CB7"/>
    <w:rsid w:val="005B70C8"/>
    <w:rsid w:val="005C3856"/>
    <w:rsid w:val="005C39D9"/>
    <w:rsid w:val="005C3DDD"/>
    <w:rsid w:val="005C42FA"/>
    <w:rsid w:val="005C5832"/>
    <w:rsid w:val="005C659C"/>
    <w:rsid w:val="005C68B1"/>
    <w:rsid w:val="005C71CD"/>
    <w:rsid w:val="005C738E"/>
    <w:rsid w:val="005C7410"/>
    <w:rsid w:val="005D1148"/>
    <w:rsid w:val="005D177E"/>
    <w:rsid w:val="005D208E"/>
    <w:rsid w:val="005D213A"/>
    <w:rsid w:val="005D2A61"/>
    <w:rsid w:val="005D465F"/>
    <w:rsid w:val="005D588E"/>
    <w:rsid w:val="005D5C6C"/>
    <w:rsid w:val="005D6892"/>
    <w:rsid w:val="005D6B7D"/>
    <w:rsid w:val="005D6E9C"/>
    <w:rsid w:val="005E0E64"/>
    <w:rsid w:val="005E25B8"/>
    <w:rsid w:val="005E274B"/>
    <w:rsid w:val="005E32F8"/>
    <w:rsid w:val="005E3EAC"/>
    <w:rsid w:val="005E5996"/>
    <w:rsid w:val="005E6F1B"/>
    <w:rsid w:val="005E6F5A"/>
    <w:rsid w:val="005E732D"/>
    <w:rsid w:val="005F0671"/>
    <w:rsid w:val="005F06DD"/>
    <w:rsid w:val="005F0A1F"/>
    <w:rsid w:val="005F0C87"/>
    <w:rsid w:val="005F2348"/>
    <w:rsid w:val="005F2579"/>
    <w:rsid w:val="005F296F"/>
    <w:rsid w:val="005F3368"/>
    <w:rsid w:val="005F45AE"/>
    <w:rsid w:val="005F6446"/>
    <w:rsid w:val="005F79A5"/>
    <w:rsid w:val="005F7B6E"/>
    <w:rsid w:val="00600138"/>
    <w:rsid w:val="00600E63"/>
    <w:rsid w:val="006010EF"/>
    <w:rsid w:val="00601C65"/>
    <w:rsid w:val="006023CE"/>
    <w:rsid w:val="0060294B"/>
    <w:rsid w:val="00602D2A"/>
    <w:rsid w:val="00604FCE"/>
    <w:rsid w:val="0060506A"/>
    <w:rsid w:val="0060558B"/>
    <w:rsid w:val="006069D8"/>
    <w:rsid w:val="00606BBA"/>
    <w:rsid w:val="00607116"/>
    <w:rsid w:val="00610843"/>
    <w:rsid w:val="00610A1D"/>
    <w:rsid w:val="006127AE"/>
    <w:rsid w:val="00612AFF"/>
    <w:rsid w:val="0061374B"/>
    <w:rsid w:val="00614631"/>
    <w:rsid w:val="0061507E"/>
    <w:rsid w:val="006159AF"/>
    <w:rsid w:val="00616CD6"/>
    <w:rsid w:val="006173FA"/>
    <w:rsid w:val="00617514"/>
    <w:rsid w:val="00621FC3"/>
    <w:rsid w:val="0062407C"/>
    <w:rsid w:val="006248FE"/>
    <w:rsid w:val="00624BD7"/>
    <w:rsid w:val="00625BD4"/>
    <w:rsid w:val="006262CE"/>
    <w:rsid w:val="00627222"/>
    <w:rsid w:val="00630E27"/>
    <w:rsid w:val="006314E3"/>
    <w:rsid w:val="00631CDC"/>
    <w:rsid w:val="006329B0"/>
    <w:rsid w:val="00633EA9"/>
    <w:rsid w:val="00633FC7"/>
    <w:rsid w:val="00634239"/>
    <w:rsid w:val="006343F8"/>
    <w:rsid w:val="0063493F"/>
    <w:rsid w:val="006352BD"/>
    <w:rsid w:val="00635F4E"/>
    <w:rsid w:val="00636207"/>
    <w:rsid w:val="0064071E"/>
    <w:rsid w:val="00642533"/>
    <w:rsid w:val="0064330D"/>
    <w:rsid w:val="0064363C"/>
    <w:rsid w:val="00643BC6"/>
    <w:rsid w:val="00643F77"/>
    <w:rsid w:val="00644020"/>
    <w:rsid w:val="00644671"/>
    <w:rsid w:val="006469B6"/>
    <w:rsid w:val="00647BB5"/>
    <w:rsid w:val="00651CF9"/>
    <w:rsid w:val="00652862"/>
    <w:rsid w:val="0065549E"/>
    <w:rsid w:val="0065609F"/>
    <w:rsid w:val="00657FBA"/>
    <w:rsid w:val="0066031A"/>
    <w:rsid w:val="00660BA9"/>
    <w:rsid w:val="006636BA"/>
    <w:rsid w:val="00663FAC"/>
    <w:rsid w:val="00664353"/>
    <w:rsid w:val="00664AAD"/>
    <w:rsid w:val="006655DF"/>
    <w:rsid w:val="00666082"/>
    <w:rsid w:val="006662C8"/>
    <w:rsid w:val="00666B18"/>
    <w:rsid w:val="006675EF"/>
    <w:rsid w:val="00670C59"/>
    <w:rsid w:val="00670F71"/>
    <w:rsid w:val="006727C6"/>
    <w:rsid w:val="00672A62"/>
    <w:rsid w:val="00673114"/>
    <w:rsid w:val="0067336A"/>
    <w:rsid w:val="00673F4A"/>
    <w:rsid w:val="00674A01"/>
    <w:rsid w:val="0067669E"/>
    <w:rsid w:val="00676B11"/>
    <w:rsid w:val="00676FD8"/>
    <w:rsid w:val="00680F56"/>
    <w:rsid w:val="00681190"/>
    <w:rsid w:val="00681268"/>
    <w:rsid w:val="006817BF"/>
    <w:rsid w:val="00681A5A"/>
    <w:rsid w:val="00681CC4"/>
    <w:rsid w:val="00682EA4"/>
    <w:rsid w:val="00682FA2"/>
    <w:rsid w:val="006847B3"/>
    <w:rsid w:val="006848E7"/>
    <w:rsid w:val="006867D0"/>
    <w:rsid w:val="00686A70"/>
    <w:rsid w:val="00686E43"/>
    <w:rsid w:val="006900EF"/>
    <w:rsid w:val="006904C2"/>
    <w:rsid w:val="00690808"/>
    <w:rsid w:val="00690D4F"/>
    <w:rsid w:val="006917AE"/>
    <w:rsid w:val="006919AE"/>
    <w:rsid w:val="00691DB7"/>
    <w:rsid w:val="00692ED8"/>
    <w:rsid w:val="0069336D"/>
    <w:rsid w:val="00693B8B"/>
    <w:rsid w:val="00694ABE"/>
    <w:rsid w:val="006954BE"/>
    <w:rsid w:val="00696718"/>
    <w:rsid w:val="0069688A"/>
    <w:rsid w:val="006A00DA"/>
    <w:rsid w:val="006A04E1"/>
    <w:rsid w:val="006A0A66"/>
    <w:rsid w:val="006A0AED"/>
    <w:rsid w:val="006A0F7A"/>
    <w:rsid w:val="006A1435"/>
    <w:rsid w:val="006A2637"/>
    <w:rsid w:val="006A2A48"/>
    <w:rsid w:val="006A46AC"/>
    <w:rsid w:val="006A5707"/>
    <w:rsid w:val="006A638A"/>
    <w:rsid w:val="006B0990"/>
    <w:rsid w:val="006B12F4"/>
    <w:rsid w:val="006B2713"/>
    <w:rsid w:val="006B2CD7"/>
    <w:rsid w:val="006B3929"/>
    <w:rsid w:val="006B3CAA"/>
    <w:rsid w:val="006B4DF2"/>
    <w:rsid w:val="006B663F"/>
    <w:rsid w:val="006B6990"/>
    <w:rsid w:val="006B6D72"/>
    <w:rsid w:val="006C0257"/>
    <w:rsid w:val="006C1A65"/>
    <w:rsid w:val="006C1E38"/>
    <w:rsid w:val="006C2968"/>
    <w:rsid w:val="006C2BBA"/>
    <w:rsid w:val="006C2C7E"/>
    <w:rsid w:val="006C33CE"/>
    <w:rsid w:val="006C40D9"/>
    <w:rsid w:val="006C562C"/>
    <w:rsid w:val="006C6400"/>
    <w:rsid w:val="006C7A5F"/>
    <w:rsid w:val="006D060D"/>
    <w:rsid w:val="006D0C7E"/>
    <w:rsid w:val="006D165F"/>
    <w:rsid w:val="006D22E3"/>
    <w:rsid w:val="006D3740"/>
    <w:rsid w:val="006D4950"/>
    <w:rsid w:val="006D5B06"/>
    <w:rsid w:val="006D60FE"/>
    <w:rsid w:val="006D7565"/>
    <w:rsid w:val="006D7E32"/>
    <w:rsid w:val="006E067A"/>
    <w:rsid w:val="006E2F00"/>
    <w:rsid w:val="006E3095"/>
    <w:rsid w:val="006E3241"/>
    <w:rsid w:val="006E32C2"/>
    <w:rsid w:val="006E3A71"/>
    <w:rsid w:val="006E3DBF"/>
    <w:rsid w:val="006E3E0B"/>
    <w:rsid w:val="006E4CCA"/>
    <w:rsid w:val="006E5B62"/>
    <w:rsid w:val="006E5D77"/>
    <w:rsid w:val="006E690A"/>
    <w:rsid w:val="006E6C2D"/>
    <w:rsid w:val="006E72D2"/>
    <w:rsid w:val="006E7908"/>
    <w:rsid w:val="006E7CB1"/>
    <w:rsid w:val="006F0488"/>
    <w:rsid w:val="006F1984"/>
    <w:rsid w:val="006F25B2"/>
    <w:rsid w:val="006F2834"/>
    <w:rsid w:val="006F2A43"/>
    <w:rsid w:val="006F3136"/>
    <w:rsid w:val="006F491B"/>
    <w:rsid w:val="006F4C65"/>
    <w:rsid w:val="006F7117"/>
    <w:rsid w:val="00700193"/>
    <w:rsid w:val="00700AAA"/>
    <w:rsid w:val="00700FD2"/>
    <w:rsid w:val="00701846"/>
    <w:rsid w:val="00702726"/>
    <w:rsid w:val="007039F8"/>
    <w:rsid w:val="00703E27"/>
    <w:rsid w:val="00704097"/>
    <w:rsid w:val="00704E29"/>
    <w:rsid w:val="00705BE1"/>
    <w:rsid w:val="00707552"/>
    <w:rsid w:val="007077B1"/>
    <w:rsid w:val="00707893"/>
    <w:rsid w:val="00707CE7"/>
    <w:rsid w:val="00710F5A"/>
    <w:rsid w:val="0071155E"/>
    <w:rsid w:val="007128F7"/>
    <w:rsid w:val="007129DD"/>
    <w:rsid w:val="007131A6"/>
    <w:rsid w:val="00713A19"/>
    <w:rsid w:val="0071537F"/>
    <w:rsid w:val="007156C1"/>
    <w:rsid w:val="00716227"/>
    <w:rsid w:val="00716D57"/>
    <w:rsid w:val="00717A61"/>
    <w:rsid w:val="00717E26"/>
    <w:rsid w:val="00721365"/>
    <w:rsid w:val="0072197E"/>
    <w:rsid w:val="00721A58"/>
    <w:rsid w:val="00722DC9"/>
    <w:rsid w:val="00723050"/>
    <w:rsid w:val="0072592E"/>
    <w:rsid w:val="00725A37"/>
    <w:rsid w:val="007264BE"/>
    <w:rsid w:val="007264D5"/>
    <w:rsid w:val="00730B04"/>
    <w:rsid w:val="00731A65"/>
    <w:rsid w:val="00732125"/>
    <w:rsid w:val="007329B9"/>
    <w:rsid w:val="007329FF"/>
    <w:rsid w:val="00733330"/>
    <w:rsid w:val="00733B7C"/>
    <w:rsid w:val="00734A10"/>
    <w:rsid w:val="00735661"/>
    <w:rsid w:val="00735754"/>
    <w:rsid w:val="00735971"/>
    <w:rsid w:val="00736981"/>
    <w:rsid w:val="00736ECD"/>
    <w:rsid w:val="007409DD"/>
    <w:rsid w:val="0074125E"/>
    <w:rsid w:val="00741A46"/>
    <w:rsid w:val="0074219F"/>
    <w:rsid w:val="0074293F"/>
    <w:rsid w:val="0074339F"/>
    <w:rsid w:val="00743DB2"/>
    <w:rsid w:val="00744268"/>
    <w:rsid w:val="0074545C"/>
    <w:rsid w:val="00745BCB"/>
    <w:rsid w:val="00745F4D"/>
    <w:rsid w:val="00747669"/>
    <w:rsid w:val="0074768B"/>
    <w:rsid w:val="00747C84"/>
    <w:rsid w:val="00747C93"/>
    <w:rsid w:val="00747D76"/>
    <w:rsid w:val="007501F0"/>
    <w:rsid w:val="0075061E"/>
    <w:rsid w:val="00750838"/>
    <w:rsid w:val="0075116C"/>
    <w:rsid w:val="007511FB"/>
    <w:rsid w:val="00752C8B"/>
    <w:rsid w:val="00753DA5"/>
    <w:rsid w:val="00754C1E"/>
    <w:rsid w:val="007554E9"/>
    <w:rsid w:val="007558D4"/>
    <w:rsid w:val="00756A66"/>
    <w:rsid w:val="00757FB7"/>
    <w:rsid w:val="00760594"/>
    <w:rsid w:val="00760C90"/>
    <w:rsid w:val="00760D16"/>
    <w:rsid w:val="00761076"/>
    <w:rsid w:val="00761772"/>
    <w:rsid w:val="00762164"/>
    <w:rsid w:val="0076398A"/>
    <w:rsid w:val="00763B7B"/>
    <w:rsid w:val="00767E8F"/>
    <w:rsid w:val="00767F6D"/>
    <w:rsid w:val="007701C4"/>
    <w:rsid w:val="00770593"/>
    <w:rsid w:val="00774587"/>
    <w:rsid w:val="00774B72"/>
    <w:rsid w:val="007750DE"/>
    <w:rsid w:val="00775805"/>
    <w:rsid w:val="007765D7"/>
    <w:rsid w:val="007766A2"/>
    <w:rsid w:val="00777591"/>
    <w:rsid w:val="00777F1E"/>
    <w:rsid w:val="00780D3B"/>
    <w:rsid w:val="00781074"/>
    <w:rsid w:val="00781D28"/>
    <w:rsid w:val="00781E51"/>
    <w:rsid w:val="0078302B"/>
    <w:rsid w:val="00783151"/>
    <w:rsid w:val="00783657"/>
    <w:rsid w:val="007837AC"/>
    <w:rsid w:val="00783D12"/>
    <w:rsid w:val="00785203"/>
    <w:rsid w:val="00786333"/>
    <w:rsid w:val="00786E60"/>
    <w:rsid w:val="0078727E"/>
    <w:rsid w:val="0078749A"/>
    <w:rsid w:val="007877CF"/>
    <w:rsid w:val="007902E9"/>
    <w:rsid w:val="00790398"/>
    <w:rsid w:val="007905D7"/>
    <w:rsid w:val="00790869"/>
    <w:rsid w:val="007924D1"/>
    <w:rsid w:val="00792A39"/>
    <w:rsid w:val="00792AC0"/>
    <w:rsid w:val="0079345C"/>
    <w:rsid w:val="00793FD8"/>
    <w:rsid w:val="007941C5"/>
    <w:rsid w:val="00794360"/>
    <w:rsid w:val="007957A5"/>
    <w:rsid w:val="0079599C"/>
    <w:rsid w:val="00796517"/>
    <w:rsid w:val="00796F4A"/>
    <w:rsid w:val="007A0424"/>
    <w:rsid w:val="007A066D"/>
    <w:rsid w:val="007A1B79"/>
    <w:rsid w:val="007A1C75"/>
    <w:rsid w:val="007A29D2"/>
    <w:rsid w:val="007A37CE"/>
    <w:rsid w:val="007A3C51"/>
    <w:rsid w:val="007A446C"/>
    <w:rsid w:val="007A47EE"/>
    <w:rsid w:val="007A5724"/>
    <w:rsid w:val="007A59C6"/>
    <w:rsid w:val="007A5E52"/>
    <w:rsid w:val="007B00BB"/>
    <w:rsid w:val="007B37DB"/>
    <w:rsid w:val="007B3B6F"/>
    <w:rsid w:val="007B4313"/>
    <w:rsid w:val="007B5EC6"/>
    <w:rsid w:val="007B604D"/>
    <w:rsid w:val="007B6C2C"/>
    <w:rsid w:val="007B74B9"/>
    <w:rsid w:val="007C0197"/>
    <w:rsid w:val="007C02F3"/>
    <w:rsid w:val="007C0385"/>
    <w:rsid w:val="007C1339"/>
    <w:rsid w:val="007C2203"/>
    <w:rsid w:val="007C2895"/>
    <w:rsid w:val="007C2FCB"/>
    <w:rsid w:val="007C3737"/>
    <w:rsid w:val="007C497E"/>
    <w:rsid w:val="007C5D7B"/>
    <w:rsid w:val="007C5FE2"/>
    <w:rsid w:val="007C64A7"/>
    <w:rsid w:val="007D01E7"/>
    <w:rsid w:val="007D070E"/>
    <w:rsid w:val="007D08BE"/>
    <w:rsid w:val="007D374B"/>
    <w:rsid w:val="007D39B6"/>
    <w:rsid w:val="007D42F1"/>
    <w:rsid w:val="007D4926"/>
    <w:rsid w:val="007D5E5A"/>
    <w:rsid w:val="007D6E3E"/>
    <w:rsid w:val="007D71D3"/>
    <w:rsid w:val="007E009B"/>
    <w:rsid w:val="007E00A4"/>
    <w:rsid w:val="007E1696"/>
    <w:rsid w:val="007E1C81"/>
    <w:rsid w:val="007E2074"/>
    <w:rsid w:val="007E5B3E"/>
    <w:rsid w:val="007E66BD"/>
    <w:rsid w:val="007E6BEF"/>
    <w:rsid w:val="007E7F83"/>
    <w:rsid w:val="007F0085"/>
    <w:rsid w:val="007F393E"/>
    <w:rsid w:val="007F3D94"/>
    <w:rsid w:val="007F4008"/>
    <w:rsid w:val="007F4583"/>
    <w:rsid w:val="007F5535"/>
    <w:rsid w:val="007F6FA8"/>
    <w:rsid w:val="008019A5"/>
    <w:rsid w:val="00801BBD"/>
    <w:rsid w:val="008027D9"/>
    <w:rsid w:val="00803345"/>
    <w:rsid w:val="00804946"/>
    <w:rsid w:val="00804F42"/>
    <w:rsid w:val="008056E3"/>
    <w:rsid w:val="0080636E"/>
    <w:rsid w:val="008079C8"/>
    <w:rsid w:val="00810CE2"/>
    <w:rsid w:val="008117FD"/>
    <w:rsid w:val="008119E9"/>
    <w:rsid w:val="00811E9C"/>
    <w:rsid w:val="00813320"/>
    <w:rsid w:val="00813645"/>
    <w:rsid w:val="008140A5"/>
    <w:rsid w:val="008172A7"/>
    <w:rsid w:val="008215D2"/>
    <w:rsid w:val="00821AC6"/>
    <w:rsid w:val="00821CA9"/>
    <w:rsid w:val="008222F3"/>
    <w:rsid w:val="00823900"/>
    <w:rsid w:val="00823E60"/>
    <w:rsid w:val="008245AE"/>
    <w:rsid w:val="008245F5"/>
    <w:rsid w:val="00824A8C"/>
    <w:rsid w:val="00825A49"/>
    <w:rsid w:val="008267E3"/>
    <w:rsid w:val="00826E13"/>
    <w:rsid w:val="00827594"/>
    <w:rsid w:val="00830031"/>
    <w:rsid w:val="008308D2"/>
    <w:rsid w:val="00831AD6"/>
    <w:rsid w:val="00831C86"/>
    <w:rsid w:val="00832A9A"/>
    <w:rsid w:val="008332A3"/>
    <w:rsid w:val="00833764"/>
    <w:rsid w:val="00834571"/>
    <w:rsid w:val="008354F3"/>
    <w:rsid w:val="00835D02"/>
    <w:rsid w:val="00837AA8"/>
    <w:rsid w:val="0084003E"/>
    <w:rsid w:val="00841635"/>
    <w:rsid w:val="00841751"/>
    <w:rsid w:val="008417CB"/>
    <w:rsid w:val="00842D2F"/>
    <w:rsid w:val="0084347D"/>
    <w:rsid w:val="00844241"/>
    <w:rsid w:val="00844AD8"/>
    <w:rsid w:val="0084609A"/>
    <w:rsid w:val="008469D1"/>
    <w:rsid w:val="00846DF1"/>
    <w:rsid w:val="00847F99"/>
    <w:rsid w:val="008501EB"/>
    <w:rsid w:val="00850717"/>
    <w:rsid w:val="008507EF"/>
    <w:rsid w:val="00851130"/>
    <w:rsid w:val="00853642"/>
    <w:rsid w:val="00857AE6"/>
    <w:rsid w:val="00857FF7"/>
    <w:rsid w:val="00860DA1"/>
    <w:rsid w:val="00862C9C"/>
    <w:rsid w:val="00863DFE"/>
    <w:rsid w:val="008640A9"/>
    <w:rsid w:val="008658E6"/>
    <w:rsid w:val="00870412"/>
    <w:rsid w:val="00871093"/>
    <w:rsid w:val="00871136"/>
    <w:rsid w:val="00871578"/>
    <w:rsid w:val="0087270B"/>
    <w:rsid w:val="008728E0"/>
    <w:rsid w:val="00873017"/>
    <w:rsid w:val="00874CD4"/>
    <w:rsid w:val="008752B9"/>
    <w:rsid w:val="00876247"/>
    <w:rsid w:val="008769BE"/>
    <w:rsid w:val="0087749E"/>
    <w:rsid w:val="00877E4D"/>
    <w:rsid w:val="0088008A"/>
    <w:rsid w:val="0088093A"/>
    <w:rsid w:val="00881626"/>
    <w:rsid w:val="00881A7A"/>
    <w:rsid w:val="00883903"/>
    <w:rsid w:val="00883DBD"/>
    <w:rsid w:val="008860F8"/>
    <w:rsid w:val="008867DE"/>
    <w:rsid w:val="008874FB"/>
    <w:rsid w:val="008904B2"/>
    <w:rsid w:val="0089400D"/>
    <w:rsid w:val="0089412B"/>
    <w:rsid w:val="00894CA4"/>
    <w:rsid w:val="00895187"/>
    <w:rsid w:val="00896DD4"/>
    <w:rsid w:val="0089702C"/>
    <w:rsid w:val="00897268"/>
    <w:rsid w:val="0089758D"/>
    <w:rsid w:val="008A0728"/>
    <w:rsid w:val="008A08CE"/>
    <w:rsid w:val="008A0B82"/>
    <w:rsid w:val="008A0E3A"/>
    <w:rsid w:val="008A109C"/>
    <w:rsid w:val="008A159C"/>
    <w:rsid w:val="008A2AC7"/>
    <w:rsid w:val="008A40BD"/>
    <w:rsid w:val="008A4642"/>
    <w:rsid w:val="008A47AE"/>
    <w:rsid w:val="008A4F43"/>
    <w:rsid w:val="008A5832"/>
    <w:rsid w:val="008A58F4"/>
    <w:rsid w:val="008A5B4D"/>
    <w:rsid w:val="008A6E07"/>
    <w:rsid w:val="008A73C4"/>
    <w:rsid w:val="008A7CB2"/>
    <w:rsid w:val="008B2873"/>
    <w:rsid w:val="008B35C5"/>
    <w:rsid w:val="008B48FB"/>
    <w:rsid w:val="008B4B73"/>
    <w:rsid w:val="008B56EC"/>
    <w:rsid w:val="008B6181"/>
    <w:rsid w:val="008C1E70"/>
    <w:rsid w:val="008C3CA8"/>
    <w:rsid w:val="008C3F7F"/>
    <w:rsid w:val="008C41C7"/>
    <w:rsid w:val="008C422C"/>
    <w:rsid w:val="008C4D3C"/>
    <w:rsid w:val="008C56F4"/>
    <w:rsid w:val="008C5D85"/>
    <w:rsid w:val="008C7694"/>
    <w:rsid w:val="008D138D"/>
    <w:rsid w:val="008D1640"/>
    <w:rsid w:val="008D1760"/>
    <w:rsid w:val="008D1858"/>
    <w:rsid w:val="008D1CB5"/>
    <w:rsid w:val="008D39BF"/>
    <w:rsid w:val="008D3CDA"/>
    <w:rsid w:val="008D5A7B"/>
    <w:rsid w:val="008D5C6C"/>
    <w:rsid w:val="008D62D4"/>
    <w:rsid w:val="008D71D6"/>
    <w:rsid w:val="008D7ACF"/>
    <w:rsid w:val="008E058A"/>
    <w:rsid w:val="008E2251"/>
    <w:rsid w:val="008E2C1C"/>
    <w:rsid w:val="008E3F67"/>
    <w:rsid w:val="008E409F"/>
    <w:rsid w:val="008E45F1"/>
    <w:rsid w:val="008E5945"/>
    <w:rsid w:val="008E64A7"/>
    <w:rsid w:val="008E66D4"/>
    <w:rsid w:val="008E76D2"/>
    <w:rsid w:val="008F00D4"/>
    <w:rsid w:val="008F1A82"/>
    <w:rsid w:val="008F1DB8"/>
    <w:rsid w:val="008F1E1B"/>
    <w:rsid w:val="008F286D"/>
    <w:rsid w:val="008F2F32"/>
    <w:rsid w:val="008F3176"/>
    <w:rsid w:val="008F40C9"/>
    <w:rsid w:val="008F4636"/>
    <w:rsid w:val="008F4C03"/>
    <w:rsid w:val="008F5050"/>
    <w:rsid w:val="008F5118"/>
    <w:rsid w:val="008F5EA9"/>
    <w:rsid w:val="008F6726"/>
    <w:rsid w:val="008F6AFC"/>
    <w:rsid w:val="008F71C7"/>
    <w:rsid w:val="008F71E2"/>
    <w:rsid w:val="008F7991"/>
    <w:rsid w:val="00900653"/>
    <w:rsid w:val="00900EDF"/>
    <w:rsid w:val="009010D3"/>
    <w:rsid w:val="0090346D"/>
    <w:rsid w:val="00904E2D"/>
    <w:rsid w:val="00905B7E"/>
    <w:rsid w:val="0090680E"/>
    <w:rsid w:val="009070E2"/>
    <w:rsid w:val="00907657"/>
    <w:rsid w:val="0091006B"/>
    <w:rsid w:val="00910BB0"/>
    <w:rsid w:val="009111D2"/>
    <w:rsid w:val="00911523"/>
    <w:rsid w:val="009137D2"/>
    <w:rsid w:val="0091405C"/>
    <w:rsid w:val="00914134"/>
    <w:rsid w:val="00914802"/>
    <w:rsid w:val="00916408"/>
    <w:rsid w:val="00920407"/>
    <w:rsid w:val="00921690"/>
    <w:rsid w:val="009221FA"/>
    <w:rsid w:val="00922681"/>
    <w:rsid w:val="00923161"/>
    <w:rsid w:val="009235D0"/>
    <w:rsid w:val="00924361"/>
    <w:rsid w:val="0092455F"/>
    <w:rsid w:val="00926277"/>
    <w:rsid w:val="00926CA3"/>
    <w:rsid w:val="00926E8F"/>
    <w:rsid w:val="00927AC5"/>
    <w:rsid w:val="0093297C"/>
    <w:rsid w:val="00932AD9"/>
    <w:rsid w:val="00932ECF"/>
    <w:rsid w:val="00932F20"/>
    <w:rsid w:val="00934EFC"/>
    <w:rsid w:val="00935127"/>
    <w:rsid w:val="00935E7F"/>
    <w:rsid w:val="00936500"/>
    <w:rsid w:val="0093751A"/>
    <w:rsid w:val="00937AAE"/>
    <w:rsid w:val="009411C4"/>
    <w:rsid w:val="00941B0E"/>
    <w:rsid w:val="00942894"/>
    <w:rsid w:val="00942E9F"/>
    <w:rsid w:val="009432F6"/>
    <w:rsid w:val="00943A39"/>
    <w:rsid w:val="00943CF6"/>
    <w:rsid w:val="0094457E"/>
    <w:rsid w:val="0094458B"/>
    <w:rsid w:val="00945E7F"/>
    <w:rsid w:val="00946DD1"/>
    <w:rsid w:val="00947D16"/>
    <w:rsid w:val="00950884"/>
    <w:rsid w:val="00951C16"/>
    <w:rsid w:val="00951F98"/>
    <w:rsid w:val="0095243B"/>
    <w:rsid w:val="0095257B"/>
    <w:rsid w:val="00952B21"/>
    <w:rsid w:val="009545A8"/>
    <w:rsid w:val="00955A01"/>
    <w:rsid w:val="00957C1E"/>
    <w:rsid w:val="009605C2"/>
    <w:rsid w:val="0096078B"/>
    <w:rsid w:val="009615A5"/>
    <w:rsid w:val="00961634"/>
    <w:rsid w:val="00961795"/>
    <w:rsid w:val="00962B2B"/>
    <w:rsid w:val="00962C9E"/>
    <w:rsid w:val="00963419"/>
    <w:rsid w:val="00963803"/>
    <w:rsid w:val="00964D45"/>
    <w:rsid w:val="009657DC"/>
    <w:rsid w:val="009663E1"/>
    <w:rsid w:val="00966931"/>
    <w:rsid w:val="00967AF0"/>
    <w:rsid w:val="0097033C"/>
    <w:rsid w:val="009709A8"/>
    <w:rsid w:val="00970CD5"/>
    <w:rsid w:val="00970DBA"/>
    <w:rsid w:val="00970DE3"/>
    <w:rsid w:val="00970F1F"/>
    <w:rsid w:val="00971789"/>
    <w:rsid w:val="00972111"/>
    <w:rsid w:val="00972D7D"/>
    <w:rsid w:val="0097420A"/>
    <w:rsid w:val="009743BD"/>
    <w:rsid w:val="00974DE8"/>
    <w:rsid w:val="009754DD"/>
    <w:rsid w:val="00975D13"/>
    <w:rsid w:val="009767F9"/>
    <w:rsid w:val="00976D46"/>
    <w:rsid w:val="00976FE4"/>
    <w:rsid w:val="009803E2"/>
    <w:rsid w:val="00980691"/>
    <w:rsid w:val="00980843"/>
    <w:rsid w:val="00983E03"/>
    <w:rsid w:val="00983F09"/>
    <w:rsid w:val="009844EC"/>
    <w:rsid w:val="0098582C"/>
    <w:rsid w:val="00985A36"/>
    <w:rsid w:val="009865FC"/>
    <w:rsid w:val="00986C8A"/>
    <w:rsid w:val="00986D60"/>
    <w:rsid w:val="0099085F"/>
    <w:rsid w:val="00992753"/>
    <w:rsid w:val="0099372F"/>
    <w:rsid w:val="009938FD"/>
    <w:rsid w:val="00993AF2"/>
    <w:rsid w:val="00993CDA"/>
    <w:rsid w:val="00993FFD"/>
    <w:rsid w:val="0099403D"/>
    <w:rsid w:val="00994686"/>
    <w:rsid w:val="009947EA"/>
    <w:rsid w:val="00995DC5"/>
    <w:rsid w:val="009968B7"/>
    <w:rsid w:val="00996C6C"/>
    <w:rsid w:val="00997B85"/>
    <w:rsid w:val="009A6466"/>
    <w:rsid w:val="009A6F84"/>
    <w:rsid w:val="009A75FB"/>
    <w:rsid w:val="009A7AB0"/>
    <w:rsid w:val="009B0428"/>
    <w:rsid w:val="009B074C"/>
    <w:rsid w:val="009B1CC7"/>
    <w:rsid w:val="009B26DD"/>
    <w:rsid w:val="009B2796"/>
    <w:rsid w:val="009B2853"/>
    <w:rsid w:val="009B3738"/>
    <w:rsid w:val="009B52FC"/>
    <w:rsid w:val="009B54D4"/>
    <w:rsid w:val="009B7BD7"/>
    <w:rsid w:val="009C098D"/>
    <w:rsid w:val="009C147A"/>
    <w:rsid w:val="009C14EF"/>
    <w:rsid w:val="009C343A"/>
    <w:rsid w:val="009C4296"/>
    <w:rsid w:val="009C4F06"/>
    <w:rsid w:val="009C5737"/>
    <w:rsid w:val="009C5D3B"/>
    <w:rsid w:val="009D13AA"/>
    <w:rsid w:val="009D4892"/>
    <w:rsid w:val="009D72D5"/>
    <w:rsid w:val="009D736C"/>
    <w:rsid w:val="009D793D"/>
    <w:rsid w:val="009D7BF6"/>
    <w:rsid w:val="009E1F4D"/>
    <w:rsid w:val="009E2271"/>
    <w:rsid w:val="009E24BB"/>
    <w:rsid w:val="009E2CF5"/>
    <w:rsid w:val="009E3206"/>
    <w:rsid w:val="009E3841"/>
    <w:rsid w:val="009E3D3D"/>
    <w:rsid w:val="009E4AF6"/>
    <w:rsid w:val="009E5C63"/>
    <w:rsid w:val="009E5D9A"/>
    <w:rsid w:val="009E62D8"/>
    <w:rsid w:val="009E735D"/>
    <w:rsid w:val="009E7610"/>
    <w:rsid w:val="009F014D"/>
    <w:rsid w:val="009F08DB"/>
    <w:rsid w:val="009F192A"/>
    <w:rsid w:val="009F25F5"/>
    <w:rsid w:val="009F27A6"/>
    <w:rsid w:val="009F2BA8"/>
    <w:rsid w:val="009F2BEB"/>
    <w:rsid w:val="009F3BBA"/>
    <w:rsid w:val="009F3D94"/>
    <w:rsid w:val="009F3ED5"/>
    <w:rsid w:val="009F5926"/>
    <w:rsid w:val="009F6FF8"/>
    <w:rsid w:val="00A00499"/>
    <w:rsid w:val="00A00516"/>
    <w:rsid w:val="00A00934"/>
    <w:rsid w:val="00A009D4"/>
    <w:rsid w:val="00A011A8"/>
    <w:rsid w:val="00A04897"/>
    <w:rsid w:val="00A04A98"/>
    <w:rsid w:val="00A05523"/>
    <w:rsid w:val="00A06460"/>
    <w:rsid w:val="00A06E06"/>
    <w:rsid w:val="00A06E36"/>
    <w:rsid w:val="00A07AB3"/>
    <w:rsid w:val="00A1164B"/>
    <w:rsid w:val="00A1180E"/>
    <w:rsid w:val="00A11A50"/>
    <w:rsid w:val="00A1297A"/>
    <w:rsid w:val="00A15385"/>
    <w:rsid w:val="00A15CE9"/>
    <w:rsid w:val="00A15EE3"/>
    <w:rsid w:val="00A16662"/>
    <w:rsid w:val="00A20414"/>
    <w:rsid w:val="00A2078D"/>
    <w:rsid w:val="00A21825"/>
    <w:rsid w:val="00A21F30"/>
    <w:rsid w:val="00A2257A"/>
    <w:rsid w:val="00A23190"/>
    <w:rsid w:val="00A23347"/>
    <w:rsid w:val="00A23B2C"/>
    <w:rsid w:val="00A244E9"/>
    <w:rsid w:val="00A24879"/>
    <w:rsid w:val="00A2590C"/>
    <w:rsid w:val="00A2592C"/>
    <w:rsid w:val="00A265B2"/>
    <w:rsid w:val="00A2714A"/>
    <w:rsid w:val="00A27CFA"/>
    <w:rsid w:val="00A27F23"/>
    <w:rsid w:val="00A30283"/>
    <w:rsid w:val="00A30D4F"/>
    <w:rsid w:val="00A31229"/>
    <w:rsid w:val="00A319AD"/>
    <w:rsid w:val="00A31CC0"/>
    <w:rsid w:val="00A328FA"/>
    <w:rsid w:val="00A33161"/>
    <w:rsid w:val="00A35942"/>
    <w:rsid w:val="00A35CCD"/>
    <w:rsid w:val="00A35FF2"/>
    <w:rsid w:val="00A36283"/>
    <w:rsid w:val="00A36536"/>
    <w:rsid w:val="00A36D4B"/>
    <w:rsid w:val="00A37516"/>
    <w:rsid w:val="00A407FA"/>
    <w:rsid w:val="00A419E3"/>
    <w:rsid w:val="00A41AB7"/>
    <w:rsid w:val="00A41CE6"/>
    <w:rsid w:val="00A42045"/>
    <w:rsid w:val="00A4367C"/>
    <w:rsid w:val="00A43717"/>
    <w:rsid w:val="00A451CD"/>
    <w:rsid w:val="00A45DA6"/>
    <w:rsid w:val="00A46EDB"/>
    <w:rsid w:val="00A474DD"/>
    <w:rsid w:val="00A51ADF"/>
    <w:rsid w:val="00A533DF"/>
    <w:rsid w:val="00A53D4D"/>
    <w:rsid w:val="00A54FAF"/>
    <w:rsid w:val="00A55768"/>
    <w:rsid w:val="00A56A3D"/>
    <w:rsid w:val="00A5756D"/>
    <w:rsid w:val="00A57675"/>
    <w:rsid w:val="00A579E7"/>
    <w:rsid w:val="00A600AB"/>
    <w:rsid w:val="00A6036B"/>
    <w:rsid w:val="00A605C6"/>
    <w:rsid w:val="00A608A3"/>
    <w:rsid w:val="00A60FD8"/>
    <w:rsid w:val="00A625DD"/>
    <w:rsid w:val="00A6288C"/>
    <w:rsid w:val="00A6361E"/>
    <w:rsid w:val="00A6374E"/>
    <w:rsid w:val="00A638D7"/>
    <w:rsid w:val="00A63956"/>
    <w:rsid w:val="00A647A0"/>
    <w:rsid w:val="00A64E1F"/>
    <w:rsid w:val="00A66827"/>
    <w:rsid w:val="00A71BE0"/>
    <w:rsid w:val="00A72932"/>
    <w:rsid w:val="00A72ED2"/>
    <w:rsid w:val="00A731C4"/>
    <w:rsid w:val="00A7328A"/>
    <w:rsid w:val="00A733BF"/>
    <w:rsid w:val="00A738D3"/>
    <w:rsid w:val="00A7449D"/>
    <w:rsid w:val="00A75049"/>
    <w:rsid w:val="00A75095"/>
    <w:rsid w:val="00A7524F"/>
    <w:rsid w:val="00A766BB"/>
    <w:rsid w:val="00A77F7E"/>
    <w:rsid w:val="00A8020F"/>
    <w:rsid w:val="00A8119A"/>
    <w:rsid w:val="00A81DDB"/>
    <w:rsid w:val="00A82216"/>
    <w:rsid w:val="00A82284"/>
    <w:rsid w:val="00A82837"/>
    <w:rsid w:val="00A8385D"/>
    <w:rsid w:val="00A83FD6"/>
    <w:rsid w:val="00A84E08"/>
    <w:rsid w:val="00A853DA"/>
    <w:rsid w:val="00A85A9E"/>
    <w:rsid w:val="00A85C08"/>
    <w:rsid w:val="00A85FF6"/>
    <w:rsid w:val="00A8730D"/>
    <w:rsid w:val="00A87E32"/>
    <w:rsid w:val="00A87FBE"/>
    <w:rsid w:val="00A918D4"/>
    <w:rsid w:val="00A91A2F"/>
    <w:rsid w:val="00A92640"/>
    <w:rsid w:val="00A92EEE"/>
    <w:rsid w:val="00A93BD0"/>
    <w:rsid w:val="00A93CFE"/>
    <w:rsid w:val="00A943D1"/>
    <w:rsid w:val="00A946E7"/>
    <w:rsid w:val="00A955C6"/>
    <w:rsid w:val="00A96376"/>
    <w:rsid w:val="00A96CC8"/>
    <w:rsid w:val="00AA05B1"/>
    <w:rsid w:val="00AA0E70"/>
    <w:rsid w:val="00AA1739"/>
    <w:rsid w:val="00AA223D"/>
    <w:rsid w:val="00AA2EBD"/>
    <w:rsid w:val="00AA2F87"/>
    <w:rsid w:val="00AA2F98"/>
    <w:rsid w:val="00AA3869"/>
    <w:rsid w:val="00AA45A1"/>
    <w:rsid w:val="00AA59EE"/>
    <w:rsid w:val="00AA7059"/>
    <w:rsid w:val="00AA7F34"/>
    <w:rsid w:val="00AB07C2"/>
    <w:rsid w:val="00AB1107"/>
    <w:rsid w:val="00AB1AB4"/>
    <w:rsid w:val="00AB1F27"/>
    <w:rsid w:val="00AB43B3"/>
    <w:rsid w:val="00AB4866"/>
    <w:rsid w:val="00AB499E"/>
    <w:rsid w:val="00AB5108"/>
    <w:rsid w:val="00AB51FF"/>
    <w:rsid w:val="00AB5202"/>
    <w:rsid w:val="00AB5B19"/>
    <w:rsid w:val="00AB6EF6"/>
    <w:rsid w:val="00AB7362"/>
    <w:rsid w:val="00AC0549"/>
    <w:rsid w:val="00AC0DDA"/>
    <w:rsid w:val="00AC130F"/>
    <w:rsid w:val="00AC18A1"/>
    <w:rsid w:val="00AC251B"/>
    <w:rsid w:val="00AC3FC0"/>
    <w:rsid w:val="00AC668C"/>
    <w:rsid w:val="00AC79BD"/>
    <w:rsid w:val="00AD1231"/>
    <w:rsid w:val="00AD1D91"/>
    <w:rsid w:val="00AD2E78"/>
    <w:rsid w:val="00AD4589"/>
    <w:rsid w:val="00AD4A47"/>
    <w:rsid w:val="00AD507D"/>
    <w:rsid w:val="00AD51EA"/>
    <w:rsid w:val="00AD67E6"/>
    <w:rsid w:val="00AD7813"/>
    <w:rsid w:val="00AD7AB8"/>
    <w:rsid w:val="00AE1A5E"/>
    <w:rsid w:val="00AE1CBB"/>
    <w:rsid w:val="00AE336D"/>
    <w:rsid w:val="00AE4234"/>
    <w:rsid w:val="00AE4DD6"/>
    <w:rsid w:val="00AE58DA"/>
    <w:rsid w:val="00AE71A3"/>
    <w:rsid w:val="00AF016B"/>
    <w:rsid w:val="00AF1684"/>
    <w:rsid w:val="00AF196C"/>
    <w:rsid w:val="00AF2CEB"/>
    <w:rsid w:val="00AF37F6"/>
    <w:rsid w:val="00AF3B32"/>
    <w:rsid w:val="00AF4511"/>
    <w:rsid w:val="00AF46DD"/>
    <w:rsid w:val="00AF480C"/>
    <w:rsid w:val="00AF4BA9"/>
    <w:rsid w:val="00AF599D"/>
    <w:rsid w:val="00AF60B4"/>
    <w:rsid w:val="00AF6242"/>
    <w:rsid w:val="00AF63C2"/>
    <w:rsid w:val="00AF6F2E"/>
    <w:rsid w:val="00AF7A91"/>
    <w:rsid w:val="00B0028E"/>
    <w:rsid w:val="00B00ABE"/>
    <w:rsid w:val="00B0243B"/>
    <w:rsid w:val="00B0251C"/>
    <w:rsid w:val="00B03B6C"/>
    <w:rsid w:val="00B03D91"/>
    <w:rsid w:val="00B04A91"/>
    <w:rsid w:val="00B0528F"/>
    <w:rsid w:val="00B05B43"/>
    <w:rsid w:val="00B05CDA"/>
    <w:rsid w:val="00B06795"/>
    <w:rsid w:val="00B06A3B"/>
    <w:rsid w:val="00B113D7"/>
    <w:rsid w:val="00B11FEE"/>
    <w:rsid w:val="00B120E1"/>
    <w:rsid w:val="00B12AF6"/>
    <w:rsid w:val="00B13A00"/>
    <w:rsid w:val="00B13E1B"/>
    <w:rsid w:val="00B144CF"/>
    <w:rsid w:val="00B15182"/>
    <w:rsid w:val="00B1631C"/>
    <w:rsid w:val="00B17567"/>
    <w:rsid w:val="00B17C53"/>
    <w:rsid w:val="00B220C5"/>
    <w:rsid w:val="00B223F6"/>
    <w:rsid w:val="00B22AB0"/>
    <w:rsid w:val="00B22D93"/>
    <w:rsid w:val="00B22E42"/>
    <w:rsid w:val="00B231CB"/>
    <w:rsid w:val="00B234FA"/>
    <w:rsid w:val="00B23C04"/>
    <w:rsid w:val="00B23C0F"/>
    <w:rsid w:val="00B25002"/>
    <w:rsid w:val="00B255DE"/>
    <w:rsid w:val="00B2618D"/>
    <w:rsid w:val="00B26F7B"/>
    <w:rsid w:val="00B30860"/>
    <w:rsid w:val="00B324DB"/>
    <w:rsid w:val="00B3395C"/>
    <w:rsid w:val="00B3407D"/>
    <w:rsid w:val="00B347FD"/>
    <w:rsid w:val="00B34CCD"/>
    <w:rsid w:val="00B3515D"/>
    <w:rsid w:val="00B3547C"/>
    <w:rsid w:val="00B35790"/>
    <w:rsid w:val="00B35D05"/>
    <w:rsid w:val="00B364F9"/>
    <w:rsid w:val="00B37D22"/>
    <w:rsid w:val="00B37DDD"/>
    <w:rsid w:val="00B40519"/>
    <w:rsid w:val="00B42928"/>
    <w:rsid w:val="00B42ECF"/>
    <w:rsid w:val="00B42F3F"/>
    <w:rsid w:val="00B4356C"/>
    <w:rsid w:val="00B43A2A"/>
    <w:rsid w:val="00B4529E"/>
    <w:rsid w:val="00B45554"/>
    <w:rsid w:val="00B456E8"/>
    <w:rsid w:val="00B465F0"/>
    <w:rsid w:val="00B4682E"/>
    <w:rsid w:val="00B4690B"/>
    <w:rsid w:val="00B47215"/>
    <w:rsid w:val="00B47EF9"/>
    <w:rsid w:val="00B50B76"/>
    <w:rsid w:val="00B515E6"/>
    <w:rsid w:val="00B51A68"/>
    <w:rsid w:val="00B51B3B"/>
    <w:rsid w:val="00B51BB5"/>
    <w:rsid w:val="00B52212"/>
    <w:rsid w:val="00B52870"/>
    <w:rsid w:val="00B52C64"/>
    <w:rsid w:val="00B5363C"/>
    <w:rsid w:val="00B53EAA"/>
    <w:rsid w:val="00B541D0"/>
    <w:rsid w:val="00B5510E"/>
    <w:rsid w:val="00B55111"/>
    <w:rsid w:val="00B55490"/>
    <w:rsid w:val="00B55F88"/>
    <w:rsid w:val="00B56C39"/>
    <w:rsid w:val="00B56F0F"/>
    <w:rsid w:val="00B60E07"/>
    <w:rsid w:val="00B62C58"/>
    <w:rsid w:val="00B63720"/>
    <w:rsid w:val="00B64C54"/>
    <w:rsid w:val="00B65066"/>
    <w:rsid w:val="00B650EB"/>
    <w:rsid w:val="00B65A21"/>
    <w:rsid w:val="00B65A93"/>
    <w:rsid w:val="00B65BEC"/>
    <w:rsid w:val="00B65F4C"/>
    <w:rsid w:val="00B66306"/>
    <w:rsid w:val="00B66E24"/>
    <w:rsid w:val="00B67A8F"/>
    <w:rsid w:val="00B70D89"/>
    <w:rsid w:val="00B71FE3"/>
    <w:rsid w:val="00B74CAA"/>
    <w:rsid w:val="00B75854"/>
    <w:rsid w:val="00B7636F"/>
    <w:rsid w:val="00B76578"/>
    <w:rsid w:val="00B765C3"/>
    <w:rsid w:val="00B76CBC"/>
    <w:rsid w:val="00B77C43"/>
    <w:rsid w:val="00B80E56"/>
    <w:rsid w:val="00B810E4"/>
    <w:rsid w:val="00B81144"/>
    <w:rsid w:val="00B81247"/>
    <w:rsid w:val="00B812BD"/>
    <w:rsid w:val="00B81817"/>
    <w:rsid w:val="00B82331"/>
    <w:rsid w:val="00B83C60"/>
    <w:rsid w:val="00B85114"/>
    <w:rsid w:val="00B85A2F"/>
    <w:rsid w:val="00B8631D"/>
    <w:rsid w:val="00B864C8"/>
    <w:rsid w:val="00B86BCD"/>
    <w:rsid w:val="00B905DB"/>
    <w:rsid w:val="00B90671"/>
    <w:rsid w:val="00B912E4"/>
    <w:rsid w:val="00B91627"/>
    <w:rsid w:val="00B9407B"/>
    <w:rsid w:val="00B94204"/>
    <w:rsid w:val="00B9510D"/>
    <w:rsid w:val="00B9552D"/>
    <w:rsid w:val="00B96519"/>
    <w:rsid w:val="00B9690E"/>
    <w:rsid w:val="00B97BAE"/>
    <w:rsid w:val="00B97CF5"/>
    <w:rsid w:val="00BA0581"/>
    <w:rsid w:val="00BA1BA9"/>
    <w:rsid w:val="00BA2273"/>
    <w:rsid w:val="00BA35E6"/>
    <w:rsid w:val="00BA5CA9"/>
    <w:rsid w:val="00BA5E76"/>
    <w:rsid w:val="00BA6EE6"/>
    <w:rsid w:val="00BA70FF"/>
    <w:rsid w:val="00BB1AC8"/>
    <w:rsid w:val="00BB2EE0"/>
    <w:rsid w:val="00BB3DFF"/>
    <w:rsid w:val="00BB45EB"/>
    <w:rsid w:val="00BB5DEA"/>
    <w:rsid w:val="00BB5EC1"/>
    <w:rsid w:val="00BB723A"/>
    <w:rsid w:val="00BB756F"/>
    <w:rsid w:val="00BB7BD5"/>
    <w:rsid w:val="00BB7F22"/>
    <w:rsid w:val="00BC042A"/>
    <w:rsid w:val="00BC0531"/>
    <w:rsid w:val="00BC081C"/>
    <w:rsid w:val="00BC2F42"/>
    <w:rsid w:val="00BC324A"/>
    <w:rsid w:val="00BC4554"/>
    <w:rsid w:val="00BC5026"/>
    <w:rsid w:val="00BC574A"/>
    <w:rsid w:val="00BC6BF4"/>
    <w:rsid w:val="00BD02BC"/>
    <w:rsid w:val="00BD13DC"/>
    <w:rsid w:val="00BD17A4"/>
    <w:rsid w:val="00BD24A5"/>
    <w:rsid w:val="00BD338F"/>
    <w:rsid w:val="00BD3B50"/>
    <w:rsid w:val="00BD4BAE"/>
    <w:rsid w:val="00BD77C1"/>
    <w:rsid w:val="00BD7A7F"/>
    <w:rsid w:val="00BE08DC"/>
    <w:rsid w:val="00BE25BA"/>
    <w:rsid w:val="00BE25D1"/>
    <w:rsid w:val="00BE436E"/>
    <w:rsid w:val="00BE555C"/>
    <w:rsid w:val="00BE572B"/>
    <w:rsid w:val="00BE601C"/>
    <w:rsid w:val="00BE683E"/>
    <w:rsid w:val="00BE781C"/>
    <w:rsid w:val="00BF00ED"/>
    <w:rsid w:val="00BF0313"/>
    <w:rsid w:val="00BF064E"/>
    <w:rsid w:val="00BF0943"/>
    <w:rsid w:val="00BF0B27"/>
    <w:rsid w:val="00BF195B"/>
    <w:rsid w:val="00BF1E5F"/>
    <w:rsid w:val="00BF1EB8"/>
    <w:rsid w:val="00BF1FF0"/>
    <w:rsid w:val="00BF20ED"/>
    <w:rsid w:val="00BF2E4C"/>
    <w:rsid w:val="00BF52F0"/>
    <w:rsid w:val="00BF55F7"/>
    <w:rsid w:val="00BF7B3C"/>
    <w:rsid w:val="00C00034"/>
    <w:rsid w:val="00C00083"/>
    <w:rsid w:val="00C008AF"/>
    <w:rsid w:val="00C01466"/>
    <w:rsid w:val="00C01C7D"/>
    <w:rsid w:val="00C0253C"/>
    <w:rsid w:val="00C02AA6"/>
    <w:rsid w:val="00C0356A"/>
    <w:rsid w:val="00C04E3E"/>
    <w:rsid w:val="00C05EE4"/>
    <w:rsid w:val="00C076DB"/>
    <w:rsid w:val="00C07965"/>
    <w:rsid w:val="00C07D10"/>
    <w:rsid w:val="00C105E7"/>
    <w:rsid w:val="00C107F6"/>
    <w:rsid w:val="00C11247"/>
    <w:rsid w:val="00C116F1"/>
    <w:rsid w:val="00C117F9"/>
    <w:rsid w:val="00C126C1"/>
    <w:rsid w:val="00C14976"/>
    <w:rsid w:val="00C14A98"/>
    <w:rsid w:val="00C16AD4"/>
    <w:rsid w:val="00C16AEA"/>
    <w:rsid w:val="00C17071"/>
    <w:rsid w:val="00C1748A"/>
    <w:rsid w:val="00C17923"/>
    <w:rsid w:val="00C205DD"/>
    <w:rsid w:val="00C20D2E"/>
    <w:rsid w:val="00C2173C"/>
    <w:rsid w:val="00C21E2C"/>
    <w:rsid w:val="00C23798"/>
    <w:rsid w:val="00C24213"/>
    <w:rsid w:val="00C244F3"/>
    <w:rsid w:val="00C2456A"/>
    <w:rsid w:val="00C24FE4"/>
    <w:rsid w:val="00C250D3"/>
    <w:rsid w:val="00C26ABD"/>
    <w:rsid w:val="00C30452"/>
    <w:rsid w:val="00C318CB"/>
    <w:rsid w:val="00C32014"/>
    <w:rsid w:val="00C321A7"/>
    <w:rsid w:val="00C33170"/>
    <w:rsid w:val="00C33EE2"/>
    <w:rsid w:val="00C34159"/>
    <w:rsid w:val="00C35613"/>
    <w:rsid w:val="00C35CEF"/>
    <w:rsid w:val="00C3698B"/>
    <w:rsid w:val="00C37879"/>
    <w:rsid w:val="00C40648"/>
    <w:rsid w:val="00C4071E"/>
    <w:rsid w:val="00C40BBC"/>
    <w:rsid w:val="00C40FC7"/>
    <w:rsid w:val="00C42990"/>
    <w:rsid w:val="00C42CAF"/>
    <w:rsid w:val="00C42EEC"/>
    <w:rsid w:val="00C43AD2"/>
    <w:rsid w:val="00C4431F"/>
    <w:rsid w:val="00C44842"/>
    <w:rsid w:val="00C4569C"/>
    <w:rsid w:val="00C461CA"/>
    <w:rsid w:val="00C47157"/>
    <w:rsid w:val="00C47FB4"/>
    <w:rsid w:val="00C51041"/>
    <w:rsid w:val="00C510F7"/>
    <w:rsid w:val="00C511E2"/>
    <w:rsid w:val="00C52A0D"/>
    <w:rsid w:val="00C52ABB"/>
    <w:rsid w:val="00C53EDD"/>
    <w:rsid w:val="00C55ECF"/>
    <w:rsid w:val="00C560C9"/>
    <w:rsid w:val="00C56636"/>
    <w:rsid w:val="00C57A15"/>
    <w:rsid w:val="00C607DC"/>
    <w:rsid w:val="00C60FE2"/>
    <w:rsid w:val="00C63F63"/>
    <w:rsid w:val="00C660EA"/>
    <w:rsid w:val="00C70523"/>
    <w:rsid w:val="00C70C04"/>
    <w:rsid w:val="00C70EEB"/>
    <w:rsid w:val="00C7174C"/>
    <w:rsid w:val="00C729AF"/>
    <w:rsid w:val="00C73D16"/>
    <w:rsid w:val="00C75057"/>
    <w:rsid w:val="00C7527D"/>
    <w:rsid w:val="00C75FCC"/>
    <w:rsid w:val="00C773E7"/>
    <w:rsid w:val="00C77F35"/>
    <w:rsid w:val="00C80750"/>
    <w:rsid w:val="00C82417"/>
    <w:rsid w:val="00C836AB"/>
    <w:rsid w:val="00C84A6E"/>
    <w:rsid w:val="00C85350"/>
    <w:rsid w:val="00C8666C"/>
    <w:rsid w:val="00C87BB5"/>
    <w:rsid w:val="00C90047"/>
    <w:rsid w:val="00C90219"/>
    <w:rsid w:val="00C91DD0"/>
    <w:rsid w:val="00C92639"/>
    <w:rsid w:val="00C9366B"/>
    <w:rsid w:val="00C93A4A"/>
    <w:rsid w:val="00C93E53"/>
    <w:rsid w:val="00C94DCD"/>
    <w:rsid w:val="00C950D6"/>
    <w:rsid w:val="00C9600E"/>
    <w:rsid w:val="00C9614D"/>
    <w:rsid w:val="00C96625"/>
    <w:rsid w:val="00C96B45"/>
    <w:rsid w:val="00C96CFF"/>
    <w:rsid w:val="00C9715B"/>
    <w:rsid w:val="00C97F9A"/>
    <w:rsid w:val="00CA03C8"/>
    <w:rsid w:val="00CA0DE4"/>
    <w:rsid w:val="00CA10A2"/>
    <w:rsid w:val="00CA1452"/>
    <w:rsid w:val="00CA161C"/>
    <w:rsid w:val="00CA181F"/>
    <w:rsid w:val="00CA1866"/>
    <w:rsid w:val="00CA1A1C"/>
    <w:rsid w:val="00CA1DBF"/>
    <w:rsid w:val="00CA3591"/>
    <w:rsid w:val="00CA384E"/>
    <w:rsid w:val="00CA44EA"/>
    <w:rsid w:val="00CA4713"/>
    <w:rsid w:val="00CA5CBB"/>
    <w:rsid w:val="00CA73A1"/>
    <w:rsid w:val="00CB14ED"/>
    <w:rsid w:val="00CB30F8"/>
    <w:rsid w:val="00CB3C94"/>
    <w:rsid w:val="00CB4063"/>
    <w:rsid w:val="00CB59BB"/>
    <w:rsid w:val="00CB5A33"/>
    <w:rsid w:val="00CB70C7"/>
    <w:rsid w:val="00CC1180"/>
    <w:rsid w:val="00CC2AD7"/>
    <w:rsid w:val="00CC3271"/>
    <w:rsid w:val="00CC4223"/>
    <w:rsid w:val="00CC47DA"/>
    <w:rsid w:val="00CC5202"/>
    <w:rsid w:val="00CC5C70"/>
    <w:rsid w:val="00CC5F17"/>
    <w:rsid w:val="00CC63C8"/>
    <w:rsid w:val="00CC647B"/>
    <w:rsid w:val="00CC6A7F"/>
    <w:rsid w:val="00CC7384"/>
    <w:rsid w:val="00CD060A"/>
    <w:rsid w:val="00CD1768"/>
    <w:rsid w:val="00CD34EA"/>
    <w:rsid w:val="00CD41F9"/>
    <w:rsid w:val="00CD47AF"/>
    <w:rsid w:val="00CD614C"/>
    <w:rsid w:val="00CE11CE"/>
    <w:rsid w:val="00CE1206"/>
    <w:rsid w:val="00CE1709"/>
    <w:rsid w:val="00CE2C00"/>
    <w:rsid w:val="00CE2DEE"/>
    <w:rsid w:val="00CE33AD"/>
    <w:rsid w:val="00CE354E"/>
    <w:rsid w:val="00CE3BED"/>
    <w:rsid w:val="00CE3D03"/>
    <w:rsid w:val="00CE453D"/>
    <w:rsid w:val="00CE528A"/>
    <w:rsid w:val="00CE6337"/>
    <w:rsid w:val="00CE6B41"/>
    <w:rsid w:val="00CE6F05"/>
    <w:rsid w:val="00CE7CBE"/>
    <w:rsid w:val="00CF0813"/>
    <w:rsid w:val="00CF091D"/>
    <w:rsid w:val="00CF1403"/>
    <w:rsid w:val="00CF15D4"/>
    <w:rsid w:val="00CF1E1E"/>
    <w:rsid w:val="00CF4F3C"/>
    <w:rsid w:val="00CF5760"/>
    <w:rsid w:val="00CF6FC4"/>
    <w:rsid w:val="00CF71CC"/>
    <w:rsid w:val="00CF73B5"/>
    <w:rsid w:val="00CF7940"/>
    <w:rsid w:val="00D00761"/>
    <w:rsid w:val="00D011DC"/>
    <w:rsid w:val="00D01353"/>
    <w:rsid w:val="00D020E4"/>
    <w:rsid w:val="00D03E4B"/>
    <w:rsid w:val="00D043DB"/>
    <w:rsid w:val="00D047E8"/>
    <w:rsid w:val="00D04D48"/>
    <w:rsid w:val="00D05F35"/>
    <w:rsid w:val="00D060E9"/>
    <w:rsid w:val="00D0744B"/>
    <w:rsid w:val="00D07527"/>
    <w:rsid w:val="00D0771F"/>
    <w:rsid w:val="00D104A6"/>
    <w:rsid w:val="00D1316B"/>
    <w:rsid w:val="00D15293"/>
    <w:rsid w:val="00D1582B"/>
    <w:rsid w:val="00D1654B"/>
    <w:rsid w:val="00D200F9"/>
    <w:rsid w:val="00D23297"/>
    <w:rsid w:val="00D23308"/>
    <w:rsid w:val="00D23BAB"/>
    <w:rsid w:val="00D24502"/>
    <w:rsid w:val="00D2522B"/>
    <w:rsid w:val="00D25403"/>
    <w:rsid w:val="00D25F37"/>
    <w:rsid w:val="00D27609"/>
    <w:rsid w:val="00D30326"/>
    <w:rsid w:val="00D32FD6"/>
    <w:rsid w:val="00D33136"/>
    <w:rsid w:val="00D339C4"/>
    <w:rsid w:val="00D34913"/>
    <w:rsid w:val="00D3498E"/>
    <w:rsid w:val="00D35267"/>
    <w:rsid w:val="00D37398"/>
    <w:rsid w:val="00D37751"/>
    <w:rsid w:val="00D401BF"/>
    <w:rsid w:val="00D4046E"/>
    <w:rsid w:val="00D40E86"/>
    <w:rsid w:val="00D419E2"/>
    <w:rsid w:val="00D43035"/>
    <w:rsid w:val="00D43129"/>
    <w:rsid w:val="00D43132"/>
    <w:rsid w:val="00D43496"/>
    <w:rsid w:val="00D437CF"/>
    <w:rsid w:val="00D437F8"/>
    <w:rsid w:val="00D4419C"/>
    <w:rsid w:val="00D44B06"/>
    <w:rsid w:val="00D44BE7"/>
    <w:rsid w:val="00D4540C"/>
    <w:rsid w:val="00D4570A"/>
    <w:rsid w:val="00D46C5A"/>
    <w:rsid w:val="00D47BA9"/>
    <w:rsid w:val="00D50C36"/>
    <w:rsid w:val="00D51DF0"/>
    <w:rsid w:val="00D52D70"/>
    <w:rsid w:val="00D5394B"/>
    <w:rsid w:val="00D53A38"/>
    <w:rsid w:val="00D53F1D"/>
    <w:rsid w:val="00D5470A"/>
    <w:rsid w:val="00D5645E"/>
    <w:rsid w:val="00D56686"/>
    <w:rsid w:val="00D56DD4"/>
    <w:rsid w:val="00D57765"/>
    <w:rsid w:val="00D57899"/>
    <w:rsid w:val="00D61E92"/>
    <w:rsid w:val="00D620EF"/>
    <w:rsid w:val="00D64015"/>
    <w:rsid w:val="00D654A9"/>
    <w:rsid w:val="00D66C77"/>
    <w:rsid w:val="00D67229"/>
    <w:rsid w:val="00D67FC6"/>
    <w:rsid w:val="00D72008"/>
    <w:rsid w:val="00D72134"/>
    <w:rsid w:val="00D72229"/>
    <w:rsid w:val="00D7347E"/>
    <w:rsid w:val="00D73F59"/>
    <w:rsid w:val="00D74D30"/>
    <w:rsid w:val="00D75704"/>
    <w:rsid w:val="00D75A87"/>
    <w:rsid w:val="00D75C56"/>
    <w:rsid w:val="00D76B2D"/>
    <w:rsid w:val="00D76DF7"/>
    <w:rsid w:val="00D77624"/>
    <w:rsid w:val="00D8217B"/>
    <w:rsid w:val="00D82AAE"/>
    <w:rsid w:val="00D8457B"/>
    <w:rsid w:val="00D845B1"/>
    <w:rsid w:val="00D84C59"/>
    <w:rsid w:val="00D87229"/>
    <w:rsid w:val="00D8740D"/>
    <w:rsid w:val="00D903DF"/>
    <w:rsid w:val="00D90478"/>
    <w:rsid w:val="00D90EB6"/>
    <w:rsid w:val="00D911B4"/>
    <w:rsid w:val="00D91315"/>
    <w:rsid w:val="00D91FA3"/>
    <w:rsid w:val="00D92E85"/>
    <w:rsid w:val="00D93567"/>
    <w:rsid w:val="00D93F91"/>
    <w:rsid w:val="00D94A90"/>
    <w:rsid w:val="00D95251"/>
    <w:rsid w:val="00D95924"/>
    <w:rsid w:val="00D973D3"/>
    <w:rsid w:val="00D975E3"/>
    <w:rsid w:val="00DA0077"/>
    <w:rsid w:val="00DA017E"/>
    <w:rsid w:val="00DA1794"/>
    <w:rsid w:val="00DA40F2"/>
    <w:rsid w:val="00DA5C94"/>
    <w:rsid w:val="00DA5CF6"/>
    <w:rsid w:val="00DA669A"/>
    <w:rsid w:val="00DA6D7B"/>
    <w:rsid w:val="00DA7433"/>
    <w:rsid w:val="00DB26A6"/>
    <w:rsid w:val="00DB2BB6"/>
    <w:rsid w:val="00DB52D9"/>
    <w:rsid w:val="00DB5EF3"/>
    <w:rsid w:val="00DB64DD"/>
    <w:rsid w:val="00DB7B8B"/>
    <w:rsid w:val="00DC003A"/>
    <w:rsid w:val="00DC062C"/>
    <w:rsid w:val="00DC0980"/>
    <w:rsid w:val="00DC23A9"/>
    <w:rsid w:val="00DC37D7"/>
    <w:rsid w:val="00DC3E39"/>
    <w:rsid w:val="00DC4D8F"/>
    <w:rsid w:val="00DC51DE"/>
    <w:rsid w:val="00DC563A"/>
    <w:rsid w:val="00DC6A44"/>
    <w:rsid w:val="00DC6B4C"/>
    <w:rsid w:val="00DD3096"/>
    <w:rsid w:val="00DD32E8"/>
    <w:rsid w:val="00DD4224"/>
    <w:rsid w:val="00DD4555"/>
    <w:rsid w:val="00DD5875"/>
    <w:rsid w:val="00DD693B"/>
    <w:rsid w:val="00DD6953"/>
    <w:rsid w:val="00DE02B4"/>
    <w:rsid w:val="00DE0ADC"/>
    <w:rsid w:val="00DE3006"/>
    <w:rsid w:val="00DE3197"/>
    <w:rsid w:val="00DE499C"/>
    <w:rsid w:val="00DE77A0"/>
    <w:rsid w:val="00DE78A5"/>
    <w:rsid w:val="00DE79F9"/>
    <w:rsid w:val="00DF1CAE"/>
    <w:rsid w:val="00DF1FD3"/>
    <w:rsid w:val="00DF2247"/>
    <w:rsid w:val="00DF2844"/>
    <w:rsid w:val="00DF5D05"/>
    <w:rsid w:val="00DF66AC"/>
    <w:rsid w:val="00DF728E"/>
    <w:rsid w:val="00DF7B8E"/>
    <w:rsid w:val="00E00633"/>
    <w:rsid w:val="00E01192"/>
    <w:rsid w:val="00E01754"/>
    <w:rsid w:val="00E030EF"/>
    <w:rsid w:val="00E032E3"/>
    <w:rsid w:val="00E0378F"/>
    <w:rsid w:val="00E0620B"/>
    <w:rsid w:val="00E0675E"/>
    <w:rsid w:val="00E06E27"/>
    <w:rsid w:val="00E10330"/>
    <w:rsid w:val="00E10F72"/>
    <w:rsid w:val="00E115D2"/>
    <w:rsid w:val="00E12201"/>
    <w:rsid w:val="00E1256C"/>
    <w:rsid w:val="00E12CE7"/>
    <w:rsid w:val="00E14F27"/>
    <w:rsid w:val="00E157B1"/>
    <w:rsid w:val="00E16786"/>
    <w:rsid w:val="00E16D14"/>
    <w:rsid w:val="00E1772E"/>
    <w:rsid w:val="00E20B52"/>
    <w:rsid w:val="00E20FF2"/>
    <w:rsid w:val="00E21E60"/>
    <w:rsid w:val="00E22164"/>
    <w:rsid w:val="00E22EF9"/>
    <w:rsid w:val="00E239B9"/>
    <w:rsid w:val="00E249FE"/>
    <w:rsid w:val="00E25B19"/>
    <w:rsid w:val="00E25B39"/>
    <w:rsid w:val="00E25E42"/>
    <w:rsid w:val="00E27CEC"/>
    <w:rsid w:val="00E27DDC"/>
    <w:rsid w:val="00E31EB8"/>
    <w:rsid w:val="00E33A87"/>
    <w:rsid w:val="00E34615"/>
    <w:rsid w:val="00E34A2A"/>
    <w:rsid w:val="00E35996"/>
    <w:rsid w:val="00E35E3A"/>
    <w:rsid w:val="00E36385"/>
    <w:rsid w:val="00E40FC7"/>
    <w:rsid w:val="00E41215"/>
    <w:rsid w:val="00E418C8"/>
    <w:rsid w:val="00E4352D"/>
    <w:rsid w:val="00E43BA4"/>
    <w:rsid w:val="00E450D9"/>
    <w:rsid w:val="00E4511F"/>
    <w:rsid w:val="00E457C0"/>
    <w:rsid w:val="00E46580"/>
    <w:rsid w:val="00E5066F"/>
    <w:rsid w:val="00E51531"/>
    <w:rsid w:val="00E5193D"/>
    <w:rsid w:val="00E51E47"/>
    <w:rsid w:val="00E52B52"/>
    <w:rsid w:val="00E53A76"/>
    <w:rsid w:val="00E559A5"/>
    <w:rsid w:val="00E56B4A"/>
    <w:rsid w:val="00E56D7D"/>
    <w:rsid w:val="00E57CE9"/>
    <w:rsid w:val="00E57EA3"/>
    <w:rsid w:val="00E612D6"/>
    <w:rsid w:val="00E62A75"/>
    <w:rsid w:val="00E62AD2"/>
    <w:rsid w:val="00E6452B"/>
    <w:rsid w:val="00E64F87"/>
    <w:rsid w:val="00E662E6"/>
    <w:rsid w:val="00E7099B"/>
    <w:rsid w:val="00E7178F"/>
    <w:rsid w:val="00E720AD"/>
    <w:rsid w:val="00E720DC"/>
    <w:rsid w:val="00E745E2"/>
    <w:rsid w:val="00E753F3"/>
    <w:rsid w:val="00E7730D"/>
    <w:rsid w:val="00E77863"/>
    <w:rsid w:val="00E80A34"/>
    <w:rsid w:val="00E80CC8"/>
    <w:rsid w:val="00E81015"/>
    <w:rsid w:val="00E8103F"/>
    <w:rsid w:val="00E81044"/>
    <w:rsid w:val="00E81DB9"/>
    <w:rsid w:val="00E83F8F"/>
    <w:rsid w:val="00E86C64"/>
    <w:rsid w:val="00E8799B"/>
    <w:rsid w:val="00E87B3D"/>
    <w:rsid w:val="00E91537"/>
    <w:rsid w:val="00E917BB"/>
    <w:rsid w:val="00E9294C"/>
    <w:rsid w:val="00E9332C"/>
    <w:rsid w:val="00E93A8F"/>
    <w:rsid w:val="00E94DA9"/>
    <w:rsid w:val="00E95D79"/>
    <w:rsid w:val="00E96090"/>
    <w:rsid w:val="00E972D8"/>
    <w:rsid w:val="00E9786A"/>
    <w:rsid w:val="00E97A87"/>
    <w:rsid w:val="00E97D60"/>
    <w:rsid w:val="00EA0270"/>
    <w:rsid w:val="00EA0DD1"/>
    <w:rsid w:val="00EA419A"/>
    <w:rsid w:val="00EA43FB"/>
    <w:rsid w:val="00EA4A27"/>
    <w:rsid w:val="00EA4F05"/>
    <w:rsid w:val="00EA5991"/>
    <w:rsid w:val="00EB0752"/>
    <w:rsid w:val="00EB0F83"/>
    <w:rsid w:val="00EB10B8"/>
    <w:rsid w:val="00EB12FA"/>
    <w:rsid w:val="00EB199A"/>
    <w:rsid w:val="00EB1BAD"/>
    <w:rsid w:val="00EB1EB7"/>
    <w:rsid w:val="00EB4F5A"/>
    <w:rsid w:val="00EB55FC"/>
    <w:rsid w:val="00EB5C32"/>
    <w:rsid w:val="00EB5CA1"/>
    <w:rsid w:val="00EB69EA"/>
    <w:rsid w:val="00EB6EB8"/>
    <w:rsid w:val="00EB7E15"/>
    <w:rsid w:val="00EC0F90"/>
    <w:rsid w:val="00EC2027"/>
    <w:rsid w:val="00EC4D2B"/>
    <w:rsid w:val="00EC55A9"/>
    <w:rsid w:val="00EC5AFE"/>
    <w:rsid w:val="00EC5FAF"/>
    <w:rsid w:val="00EC62CD"/>
    <w:rsid w:val="00EC706A"/>
    <w:rsid w:val="00EC7152"/>
    <w:rsid w:val="00EC7337"/>
    <w:rsid w:val="00ED0315"/>
    <w:rsid w:val="00ED12B7"/>
    <w:rsid w:val="00ED32EF"/>
    <w:rsid w:val="00ED3831"/>
    <w:rsid w:val="00ED43AC"/>
    <w:rsid w:val="00ED4FE3"/>
    <w:rsid w:val="00ED54B7"/>
    <w:rsid w:val="00ED5B95"/>
    <w:rsid w:val="00ED6912"/>
    <w:rsid w:val="00EE001D"/>
    <w:rsid w:val="00EE03F9"/>
    <w:rsid w:val="00EE1D35"/>
    <w:rsid w:val="00EE20A5"/>
    <w:rsid w:val="00EE29FA"/>
    <w:rsid w:val="00EE35C7"/>
    <w:rsid w:val="00EE36D5"/>
    <w:rsid w:val="00EE373F"/>
    <w:rsid w:val="00EE3E04"/>
    <w:rsid w:val="00EE40C4"/>
    <w:rsid w:val="00EE432B"/>
    <w:rsid w:val="00EE5097"/>
    <w:rsid w:val="00EE5F17"/>
    <w:rsid w:val="00EE6D9D"/>
    <w:rsid w:val="00EE792A"/>
    <w:rsid w:val="00EE7BCA"/>
    <w:rsid w:val="00EE7CFD"/>
    <w:rsid w:val="00EE7FF8"/>
    <w:rsid w:val="00EF17AC"/>
    <w:rsid w:val="00EF2EF0"/>
    <w:rsid w:val="00EF3A5E"/>
    <w:rsid w:val="00EF4758"/>
    <w:rsid w:val="00EF4AD4"/>
    <w:rsid w:val="00EF4CCE"/>
    <w:rsid w:val="00EF56E5"/>
    <w:rsid w:val="00EF6164"/>
    <w:rsid w:val="00F02A09"/>
    <w:rsid w:val="00F02E77"/>
    <w:rsid w:val="00F02ECC"/>
    <w:rsid w:val="00F04328"/>
    <w:rsid w:val="00F050F8"/>
    <w:rsid w:val="00F05FA2"/>
    <w:rsid w:val="00F066DB"/>
    <w:rsid w:val="00F06D6D"/>
    <w:rsid w:val="00F06D8E"/>
    <w:rsid w:val="00F104F7"/>
    <w:rsid w:val="00F10895"/>
    <w:rsid w:val="00F10F6B"/>
    <w:rsid w:val="00F11D22"/>
    <w:rsid w:val="00F12767"/>
    <w:rsid w:val="00F1320D"/>
    <w:rsid w:val="00F13455"/>
    <w:rsid w:val="00F1409D"/>
    <w:rsid w:val="00F15173"/>
    <w:rsid w:val="00F16207"/>
    <w:rsid w:val="00F17E40"/>
    <w:rsid w:val="00F17EF0"/>
    <w:rsid w:val="00F2036D"/>
    <w:rsid w:val="00F203CF"/>
    <w:rsid w:val="00F20E71"/>
    <w:rsid w:val="00F21C6D"/>
    <w:rsid w:val="00F21D1C"/>
    <w:rsid w:val="00F21FFB"/>
    <w:rsid w:val="00F22B41"/>
    <w:rsid w:val="00F22EDD"/>
    <w:rsid w:val="00F23616"/>
    <w:rsid w:val="00F23DF4"/>
    <w:rsid w:val="00F23F72"/>
    <w:rsid w:val="00F24605"/>
    <w:rsid w:val="00F24703"/>
    <w:rsid w:val="00F24F39"/>
    <w:rsid w:val="00F24FC3"/>
    <w:rsid w:val="00F273D1"/>
    <w:rsid w:val="00F27437"/>
    <w:rsid w:val="00F27E95"/>
    <w:rsid w:val="00F27EF2"/>
    <w:rsid w:val="00F31671"/>
    <w:rsid w:val="00F31C2F"/>
    <w:rsid w:val="00F332A9"/>
    <w:rsid w:val="00F338DD"/>
    <w:rsid w:val="00F347AB"/>
    <w:rsid w:val="00F35855"/>
    <w:rsid w:val="00F368B8"/>
    <w:rsid w:val="00F37712"/>
    <w:rsid w:val="00F404C7"/>
    <w:rsid w:val="00F40790"/>
    <w:rsid w:val="00F41EF6"/>
    <w:rsid w:val="00F42344"/>
    <w:rsid w:val="00F424D9"/>
    <w:rsid w:val="00F42825"/>
    <w:rsid w:val="00F4288A"/>
    <w:rsid w:val="00F42B31"/>
    <w:rsid w:val="00F4375C"/>
    <w:rsid w:val="00F439B9"/>
    <w:rsid w:val="00F43B4B"/>
    <w:rsid w:val="00F444E1"/>
    <w:rsid w:val="00F4565B"/>
    <w:rsid w:val="00F47689"/>
    <w:rsid w:val="00F479B7"/>
    <w:rsid w:val="00F47EC8"/>
    <w:rsid w:val="00F47F4D"/>
    <w:rsid w:val="00F513C3"/>
    <w:rsid w:val="00F5152A"/>
    <w:rsid w:val="00F516A5"/>
    <w:rsid w:val="00F53EF0"/>
    <w:rsid w:val="00F5401E"/>
    <w:rsid w:val="00F541E8"/>
    <w:rsid w:val="00F54706"/>
    <w:rsid w:val="00F54BA3"/>
    <w:rsid w:val="00F54F91"/>
    <w:rsid w:val="00F55591"/>
    <w:rsid w:val="00F55724"/>
    <w:rsid w:val="00F55B6D"/>
    <w:rsid w:val="00F55F03"/>
    <w:rsid w:val="00F56117"/>
    <w:rsid w:val="00F61011"/>
    <w:rsid w:val="00F61360"/>
    <w:rsid w:val="00F614E5"/>
    <w:rsid w:val="00F630A6"/>
    <w:rsid w:val="00F63417"/>
    <w:rsid w:val="00F634DB"/>
    <w:rsid w:val="00F6355F"/>
    <w:rsid w:val="00F64DDC"/>
    <w:rsid w:val="00F6569D"/>
    <w:rsid w:val="00F65A04"/>
    <w:rsid w:val="00F65B50"/>
    <w:rsid w:val="00F70065"/>
    <w:rsid w:val="00F70A7C"/>
    <w:rsid w:val="00F70E6D"/>
    <w:rsid w:val="00F70E85"/>
    <w:rsid w:val="00F716D4"/>
    <w:rsid w:val="00F73C1A"/>
    <w:rsid w:val="00F73D69"/>
    <w:rsid w:val="00F74F73"/>
    <w:rsid w:val="00F75572"/>
    <w:rsid w:val="00F75D82"/>
    <w:rsid w:val="00F76B90"/>
    <w:rsid w:val="00F81138"/>
    <w:rsid w:val="00F834B2"/>
    <w:rsid w:val="00F83D2D"/>
    <w:rsid w:val="00F856CF"/>
    <w:rsid w:val="00F85F44"/>
    <w:rsid w:val="00F87124"/>
    <w:rsid w:val="00F87206"/>
    <w:rsid w:val="00F900A7"/>
    <w:rsid w:val="00F9082B"/>
    <w:rsid w:val="00F9096A"/>
    <w:rsid w:val="00F9183E"/>
    <w:rsid w:val="00F92B78"/>
    <w:rsid w:val="00F932BE"/>
    <w:rsid w:val="00F9474B"/>
    <w:rsid w:val="00F9529D"/>
    <w:rsid w:val="00F9560E"/>
    <w:rsid w:val="00F956E7"/>
    <w:rsid w:val="00F96AB7"/>
    <w:rsid w:val="00F9728A"/>
    <w:rsid w:val="00F97E3B"/>
    <w:rsid w:val="00FA0A84"/>
    <w:rsid w:val="00FA13D7"/>
    <w:rsid w:val="00FA335B"/>
    <w:rsid w:val="00FA34D8"/>
    <w:rsid w:val="00FA4ADF"/>
    <w:rsid w:val="00FA4DC4"/>
    <w:rsid w:val="00FA593B"/>
    <w:rsid w:val="00FA5DF2"/>
    <w:rsid w:val="00FA5FF1"/>
    <w:rsid w:val="00FA741B"/>
    <w:rsid w:val="00FB1B54"/>
    <w:rsid w:val="00FB1E2A"/>
    <w:rsid w:val="00FB2933"/>
    <w:rsid w:val="00FB2EF5"/>
    <w:rsid w:val="00FB4BDE"/>
    <w:rsid w:val="00FB58AC"/>
    <w:rsid w:val="00FB63E6"/>
    <w:rsid w:val="00FC2188"/>
    <w:rsid w:val="00FC261A"/>
    <w:rsid w:val="00FC3102"/>
    <w:rsid w:val="00FC45FB"/>
    <w:rsid w:val="00FC4FA9"/>
    <w:rsid w:val="00FC5217"/>
    <w:rsid w:val="00FC5F4F"/>
    <w:rsid w:val="00FC60E4"/>
    <w:rsid w:val="00FC6C36"/>
    <w:rsid w:val="00FC700A"/>
    <w:rsid w:val="00FD000E"/>
    <w:rsid w:val="00FD020B"/>
    <w:rsid w:val="00FD1A94"/>
    <w:rsid w:val="00FD1DEF"/>
    <w:rsid w:val="00FD32C6"/>
    <w:rsid w:val="00FD3545"/>
    <w:rsid w:val="00FD45F3"/>
    <w:rsid w:val="00FD6016"/>
    <w:rsid w:val="00FD634F"/>
    <w:rsid w:val="00FD6C75"/>
    <w:rsid w:val="00FD77C2"/>
    <w:rsid w:val="00FD7FB7"/>
    <w:rsid w:val="00FE0872"/>
    <w:rsid w:val="00FE1332"/>
    <w:rsid w:val="00FE18F8"/>
    <w:rsid w:val="00FE22B5"/>
    <w:rsid w:val="00FE30D5"/>
    <w:rsid w:val="00FE3258"/>
    <w:rsid w:val="00FE3810"/>
    <w:rsid w:val="00FE5BC6"/>
    <w:rsid w:val="00FE5D5A"/>
    <w:rsid w:val="00FE6051"/>
    <w:rsid w:val="00FE6B8E"/>
    <w:rsid w:val="00FE6E31"/>
    <w:rsid w:val="00FE764C"/>
    <w:rsid w:val="00FF048C"/>
    <w:rsid w:val="00FF164C"/>
    <w:rsid w:val="00FF1DBC"/>
    <w:rsid w:val="00FF2B14"/>
    <w:rsid w:val="00FF3D2E"/>
    <w:rsid w:val="00FF506D"/>
    <w:rsid w:val="00FF5C59"/>
    <w:rsid w:val="00FF6033"/>
    <w:rsid w:val="00FF642E"/>
    <w:rsid w:val="00FF6E3F"/>
    <w:rsid w:val="00FF6F01"/>
    <w:rsid w:val="00FF7759"/>
    <w:rsid w:val="00FF7B0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EC304"/>
  <w15:docId w15:val="{15A8B2FD-5DB1-498A-B208-FCCA082E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SG"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77DD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C70EE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EEB"/>
    <w:rPr>
      <w:rFonts w:ascii="Segoe UI" w:hAnsi="Segoe UI" w:cs="Segoe UI"/>
      <w:sz w:val="18"/>
      <w:szCs w:val="18"/>
    </w:rPr>
  </w:style>
  <w:style w:type="character" w:styleId="Hyperlink">
    <w:name w:val="Hyperlink"/>
    <w:basedOn w:val="DefaultParagraphFont"/>
    <w:uiPriority w:val="99"/>
    <w:unhideWhenUsed/>
    <w:rsid w:val="00321AC9"/>
    <w:rPr>
      <w:color w:val="0000FF" w:themeColor="hyperlink"/>
      <w:u w:val="single"/>
    </w:rPr>
  </w:style>
  <w:style w:type="character" w:styleId="FollowedHyperlink">
    <w:name w:val="FollowedHyperlink"/>
    <w:basedOn w:val="DefaultParagraphFont"/>
    <w:uiPriority w:val="99"/>
    <w:semiHidden/>
    <w:unhideWhenUsed/>
    <w:rsid w:val="0070019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B7652"/>
    <w:rPr>
      <w:b/>
      <w:bCs/>
    </w:rPr>
  </w:style>
  <w:style w:type="character" w:customStyle="1" w:styleId="CommentSubjectChar">
    <w:name w:val="Comment Subject Char"/>
    <w:basedOn w:val="CommentTextChar"/>
    <w:link w:val="CommentSubject"/>
    <w:uiPriority w:val="99"/>
    <w:semiHidden/>
    <w:rsid w:val="004B7652"/>
    <w:rPr>
      <w:b/>
      <w:bCs/>
      <w:sz w:val="20"/>
      <w:szCs w:val="20"/>
    </w:rPr>
  </w:style>
  <w:style w:type="paragraph" w:styleId="ListParagraph">
    <w:name w:val="List Paragraph"/>
    <w:basedOn w:val="Normal"/>
    <w:uiPriority w:val="34"/>
    <w:qFormat/>
    <w:rsid w:val="004B7652"/>
    <w:pPr>
      <w:spacing w:after="200"/>
      <w:ind w:left="720"/>
      <w:contextualSpacing/>
    </w:pPr>
    <w:rPr>
      <w:rFonts w:asciiTheme="minorHAnsi" w:eastAsiaTheme="minorHAnsi" w:hAnsiTheme="minorHAnsi" w:cstheme="minorBidi"/>
      <w:lang w:val="en-US" w:eastAsia="en-US"/>
    </w:rPr>
  </w:style>
  <w:style w:type="paragraph" w:styleId="Header">
    <w:name w:val="header"/>
    <w:basedOn w:val="Normal"/>
    <w:link w:val="HeaderChar"/>
    <w:uiPriority w:val="99"/>
    <w:unhideWhenUsed/>
    <w:rsid w:val="00AA2F87"/>
    <w:pPr>
      <w:tabs>
        <w:tab w:val="center" w:pos="4680"/>
        <w:tab w:val="right" w:pos="9360"/>
      </w:tabs>
      <w:spacing w:line="240" w:lineRule="auto"/>
    </w:pPr>
  </w:style>
  <w:style w:type="character" w:customStyle="1" w:styleId="HeaderChar">
    <w:name w:val="Header Char"/>
    <w:basedOn w:val="DefaultParagraphFont"/>
    <w:link w:val="Header"/>
    <w:uiPriority w:val="99"/>
    <w:rsid w:val="00AA2F87"/>
  </w:style>
  <w:style w:type="paragraph" w:styleId="Footer">
    <w:name w:val="footer"/>
    <w:basedOn w:val="Normal"/>
    <w:link w:val="FooterChar"/>
    <w:uiPriority w:val="99"/>
    <w:unhideWhenUsed/>
    <w:rsid w:val="00AA2F87"/>
    <w:pPr>
      <w:tabs>
        <w:tab w:val="center" w:pos="4680"/>
        <w:tab w:val="right" w:pos="9360"/>
      </w:tabs>
      <w:spacing w:line="240" w:lineRule="auto"/>
    </w:pPr>
  </w:style>
  <w:style w:type="character" w:customStyle="1" w:styleId="FooterChar">
    <w:name w:val="Footer Char"/>
    <w:basedOn w:val="DefaultParagraphFont"/>
    <w:link w:val="Footer"/>
    <w:uiPriority w:val="99"/>
    <w:rsid w:val="00AA2F87"/>
  </w:style>
  <w:style w:type="character" w:styleId="Strong">
    <w:name w:val="Strong"/>
    <w:basedOn w:val="DefaultParagraphFont"/>
    <w:uiPriority w:val="22"/>
    <w:qFormat/>
    <w:rsid w:val="00F5401E"/>
    <w:rPr>
      <w:b/>
      <w:bCs/>
    </w:rPr>
  </w:style>
  <w:style w:type="character" w:styleId="SubtleEmphasis">
    <w:name w:val="Subtle Emphasis"/>
    <w:basedOn w:val="DefaultParagraphFont"/>
    <w:uiPriority w:val="19"/>
    <w:qFormat/>
    <w:rsid w:val="00943A39"/>
    <w:rPr>
      <w:i/>
      <w:iCs/>
      <w:color w:val="404040" w:themeColor="text1" w:themeTint="BF"/>
    </w:rPr>
  </w:style>
  <w:style w:type="table" w:styleId="TableGrid">
    <w:name w:val="Table Grid"/>
    <w:basedOn w:val="TableNormal"/>
    <w:uiPriority w:val="39"/>
    <w:rsid w:val="006137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nt-selection">
    <w:name w:val="current-selection"/>
    <w:basedOn w:val="DefaultParagraphFont"/>
    <w:rsid w:val="001E2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398996">
      <w:bodyDiv w:val="1"/>
      <w:marLeft w:val="0"/>
      <w:marRight w:val="0"/>
      <w:marTop w:val="0"/>
      <w:marBottom w:val="0"/>
      <w:divBdr>
        <w:top w:val="none" w:sz="0" w:space="0" w:color="auto"/>
        <w:left w:val="none" w:sz="0" w:space="0" w:color="auto"/>
        <w:bottom w:val="none" w:sz="0" w:space="0" w:color="auto"/>
        <w:right w:val="none" w:sz="0" w:space="0" w:color="auto"/>
      </w:divBdr>
      <w:divsChild>
        <w:div w:id="1822960793">
          <w:marLeft w:val="778"/>
          <w:marRight w:val="0"/>
          <w:marTop w:val="0"/>
          <w:marBottom w:val="240"/>
          <w:divBdr>
            <w:top w:val="none" w:sz="0" w:space="0" w:color="auto"/>
            <w:left w:val="none" w:sz="0" w:space="0" w:color="auto"/>
            <w:bottom w:val="none" w:sz="0" w:space="0" w:color="auto"/>
            <w:right w:val="none" w:sz="0" w:space="0" w:color="auto"/>
          </w:divBdr>
        </w:div>
      </w:divsChild>
    </w:div>
    <w:div w:id="382753758">
      <w:bodyDiv w:val="1"/>
      <w:marLeft w:val="0"/>
      <w:marRight w:val="0"/>
      <w:marTop w:val="0"/>
      <w:marBottom w:val="0"/>
      <w:divBdr>
        <w:top w:val="none" w:sz="0" w:space="0" w:color="auto"/>
        <w:left w:val="none" w:sz="0" w:space="0" w:color="auto"/>
        <w:bottom w:val="none" w:sz="0" w:space="0" w:color="auto"/>
        <w:right w:val="none" w:sz="0" w:space="0" w:color="auto"/>
      </w:divBdr>
    </w:div>
    <w:div w:id="398672830">
      <w:bodyDiv w:val="1"/>
      <w:marLeft w:val="0"/>
      <w:marRight w:val="0"/>
      <w:marTop w:val="0"/>
      <w:marBottom w:val="0"/>
      <w:divBdr>
        <w:top w:val="none" w:sz="0" w:space="0" w:color="auto"/>
        <w:left w:val="none" w:sz="0" w:space="0" w:color="auto"/>
        <w:bottom w:val="none" w:sz="0" w:space="0" w:color="auto"/>
        <w:right w:val="none" w:sz="0" w:space="0" w:color="auto"/>
      </w:divBdr>
      <w:divsChild>
        <w:div w:id="608198403">
          <w:marLeft w:val="0"/>
          <w:marRight w:val="0"/>
          <w:marTop w:val="0"/>
          <w:marBottom w:val="0"/>
          <w:divBdr>
            <w:top w:val="none" w:sz="0" w:space="0" w:color="auto"/>
            <w:left w:val="none" w:sz="0" w:space="0" w:color="auto"/>
            <w:bottom w:val="none" w:sz="0" w:space="0" w:color="auto"/>
            <w:right w:val="none" w:sz="0" w:space="0" w:color="auto"/>
          </w:divBdr>
        </w:div>
      </w:divsChild>
    </w:div>
    <w:div w:id="452791985">
      <w:bodyDiv w:val="1"/>
      <w:marLeft w:val="0"/>
      <w:marRight w:val="0"/>
      <w:marTop w:val="0"/>
      <w:marBottom w:val="0"/>
      <w:divBdr>
        <w:top w:val="none" w:sz="0" w:space="0" w:color="auto"/>
        <w:left w:val="none" w:sz="0" w:space="0" w:color="auto"/>
        <w:bottom w:val="none" w:sz="0" w:space="0" w:color="auto"/>
        <w:right w:val="none" w:sz="0" w:space="0" w:color="auto"/>
      </w:divBdr>
    </w:div>
    <w:div w:id="1099637738">
      <w:bodyDiv w:val="1"/>
      <w:marLeft w:val="0"/>
      <w:marRight w:val="0"/>
      <w:marTop w:val="0"/>
      <w:marBottom w:val="0"/>
      <w:divBdr>
        <w:top w:val="none" w:sz="0" w:space="0" w:color="auto"/>
        <w:left w:val="none" w:sz="0" w:space="0" w:color="auto"/>
        <w:bottom w:val="none" w:sz="0" w:space="0" w:color="auto"/>
        <w:right w:val="none" w:sz="0" w:space="0" w:color="auto"/>
      </w:divBdr>
    </w:div>
    <w:div w:id="1261379451">
      <w:bodyDiv w:val="1"/>
      <w:marLeft w:val="0"/>
      <w:marRight w:val="0"/>
      <w:marTop w:val="0"/>
      <w:marBottom w:val="0"/>
      <w:divBdr>
        <w:top w:val="none" w:sz="0" w:space="0" w:color="auto"/>
        <w:left w:val="none" w:sz="0" w:space="0" w:color="auto"/>
        <w:bottom w:val="none" w:sz="0" w:space="0" w:color="auto"/>
        <w:right w:val="none" w:sz="0" w:space="0" w:color="auto"/>
      </w:divBdr>
      <w:divsChild>
        <w:div w:id="1637755513">
          <w:marLeft w:val="0"/>
          <w:marRight w:val="0"/>
          <w:marTop w:val="0"/>
          <w:marBottom w:val="0"/>
          <w:divBdr>
            <w:top w:val="none" w:sz="0" w:space="0" w:color="auto"/>
            <w:left w:val="none" w:sz="0" w:space="0" w:color="auto"/>
            <w:bottom w:val="none" w:sz="0" w:space="0" w:color="auto"/>
            <w:right w:val="none" w:sz="0" w:space="0" w:color="auto"/>
          </w:divBdr>
        </w:div>
        <w:div w:id="2039696421">
          <w:marLeft w:val="0"/>
          <w:marRight w:val="0"/>
          <w:marTop w:val="0"/>
          <w:marBottom w:val="0"/>
          <w:divBdr>
            <w:top w:val="none" w:sz="0" w:space="0" w:color="auto"/>
            <w:left w:val="none" w:sz="0" w:space="0" w:color="auto"/>
            <w:bottom w:val="none" w:sz="0" w:space="0" w:color="auto"/>
            <w:right w:val="none" w:sz="0" w:space="0" w:color="auto"/>
          </w:divBdr>
        </w:div>
      </w:divsChild>
    </w:div>
    <w:div w:id="1533616889">
      <w:bodyDiv w:val="1"/>
      <w:marLeft w:val="0"/>
      <w:marRight w:val="0"/>
      <w:marTop w:val="0"/>
      <w:marBottom w:val="0"/>
      <w:divBdr>
        <w:top w:val="none" w:sz="0" w:space="0" w:color="auto"/>
        <w:left w:val="none" w:sz="0" w:space="0" w:color="auto"/>
        <w:bottom w:val="none" w:sz="0" w:space="0" w:color="auto"/>
        <w:right w:val="none" w:sz="0" w:space="0" w:color="auto"/>
      </w:divBdr>
    </w:div>
    <w:div w:id="1573348595">
      <w:bodyDiv w:val="1"/>
      <w:marLeft w:val="0"/>
      <w:marRight w:val="0"/>
      <w:marTop w:val="0"/>
      <w:marBottom w:val="0"/>
      <w:divBdr>
        <w:top w:val="none" w:sz="0" w:space="0" w:color="auto"/>
        <w:left w:val="none" w:sz="0" w:space="0" w:color="auto"/>
        <w:bottom w:val="none" w:sz="0" w:space="0" w:color="auto"/>
        <w:right w:val="none" w:sz="0" w:space="0" w:color="auto"/>
      </w:divBdr>
      <w:divsChild>
        <w:div w:id="705134106">
          <w:marLeft w:val="0"/>
          <w:marRight w:val="0"/>
          <w:marTop w:val="0"/>
          <w:marBottom w:val="0"/>
          <w:divBdr>
            <w:top w:val="none" w:sz="0" w:space="0" w:color="auto"/>
            <w:left w:val="none" w:sz="0" w:space="0" w:color="auto"/>
            <w:bottom w:val="none" w:sz="0" w:space="0" w:color="auto"/>
            <w:right w:val="none" w:sz="0" w:space="0" w:color="auto"/>
          </w:divBdr>
          <w:divsChild>
            <w:div w:id="788014267">
              <w:marLeft w:val="0"/>
              <w:marRight w:val="0"/>
              <w:marTop w:val="0"/>
              <w:marBottom w:val="0"/>
              <w:divBdr>
                <w:top w:val="none" w:sz="0" w:space="0" w:color="auto"/>
                <w:left w:val="none" w:sz="0" w:space="0" w:color="auto"/>
                <w:bottom w:val="none" w:sz="0" w:space="0" w:color="auto"/>
                <w:right w:val="none" w:sz="0" w:space="0" w:color="auto"/>
              </w:divBdr>
            </w:div>
          </w:divsChild>
        </w:div>
        <w:div w:id="1878397090">
          <w:marLeft w:val="0"/>
          <w:marRight w:val="0"/>
          <w:marTop w:val="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a_zhu@nhgp.com.s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orcid.org/0000-0003-3406-620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C666F-D313-4353-B9A5-4B5333C43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45657</Words>
  <Characters>260250</Characters>
  <Application>Microsoft Office Word</Application>
  <DocSecurity>0</DocSecurity>
  <Lines>2168</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Ram Bajpai</cp:lastModifiedBy>
  <cp:revision>4</cp:revision>
  <dcterms:created xsi:type="dcterms:W3CDTF">2021-03-14T12:49:00Z</dcterms:created>
  <dcterms:modified xsi:type="dcterms:W3CDTF">2022-01-04T16:17:00Z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ed7e4408-0989-3028-abd5-664b79a0143a</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https://csl.mendeley.com/styles/466937801/vancouver</vt:lpwstr>
  </property>
  <property fmtid="{D5CDD505-2E9C-101B-9397-08002B2CF9AE}" pid="24" name="Mendeley Recent Style Name 9_1">
    <vt:lpwstr>Vancouver - Xiaoli Zhu , MD</vt:lpwstr>
  </property>
</Properties>
</file>