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6ACE6" w14:textId="77777777" w:rsidR="00786B93" w:rsidRPr="006E6EE8" w:rsidRDefault="00786B93" w:rsidP="00595196">
      <w:pPr>
        <w:pStyle w:val="MDPI11articletype"/>
        <w:rPr>
          <w:rFonts w:ascii="Times New Roman" w:hAnsi="Times New Roman"/>
          <w:b/>
          <w:bCs/>
          <w:sz w:val="24"/>
          <w:szCs w:val="24"/>
        </w:rPr>
      </w:pPr>
      <w:bookmarkStart w:id="0" w:name="_Int_zkguhF6r"/>
      <w:bookmarkStart w:id="1" w:name="_Hlk68765699"/>
      <w:r w:rsidRPr="006E6EE8">
        <w:rPr>
          <w:shd w:val="clear" w:color="auto" w:fill="FEFEFE"/>
        </w:rPr>
        <w:t>Article</w:t>
      </w:r>
    </w:p>
    <w:p w14:paraId="4133CD8B" w14:textId="77777777" w:rsidR="00786B93" w:rsidRPr="006E6EE8" w:rsidRDefault="00786B93" w:rsidP="00595196">
      <w:pPr>
        <w:pStyle w:val="MDPI12title"/>
      </w:pPr>
      <w:r w:rsidRPr="006E6EE8">
        <w:t>The proteome signatures of fibroblasts from patients with severe, intermediate and mild spinal muscular atrophy</w:t>
      </w:r>
      <w:bookmarkEnd w:id="0"/>
      <w:r w:rsidRPr="006E6EE8">
        <w:t xml:space="preserve"> show limited overlap</w:t>
      </w:r>
    </w:p>
    <w:p w14:paraId="7B612D1A" w14:textId="77777777" w:rsidR="00786B93" w:rsidRPr="006E6EE8" w:rsidRDefault="00786B93" w:rsidP="00595196">
      <w:pPr>
        <w:pStyle w:val="MDPI13authornames"/>
      </w:pPr>
      <w:r w:rsidRPr="006E6EE8">
        <w:t>Sharon J Brown</w:t>
      </w:r>
      <w:r w:rsidRPr="006E6EE8">
        <w:rPr>
          <w:vertAlign w:val="superscript"/>
        </w:rPr>
        <w:t>1,2</w:t>
      </w:r>
      <w:r w:rsidRPr="006E6EE8">
        <w:t>, Rachel A Kline</w:t>
      </w:r>
      <w:r w:rsidRPr="006E6EE8">
        <w:rPr>
          <w:vertAlign w:val="superscript"/>
        </w:rPr>
        <w:t>3,4</w:t>
      </w:r>
      <w:r w:rsidRPr="006E6EE8">
        <w:t>, Silvia A Synowsky</w:t>
      </w:r>
      <w:r w:rsidRPr="006E6EE8">
        <w:rPr>
          <w:vertAlign w:val="superscript"/>
        </w:rPr>
        <w:t>5</w:t>
      </w:r>
      <w:r w:rsidRPr="006E6EE8">
        <w:t>, Sally L Shirran</w:t>
      </w:r>
      <w:r w:rsidRPr="006E6EE8">
        <w:rPr>
          <w:vertAlign w:val="superscript"/>
        </w:rPr>
        <w:t>5</w:t>
      </w:r>
      <w:r w:rsidRPr="006E6EE8">
        <w:t>, Ian Holt</w:t>
      </w:r>
      <w:r w:rsidRPr="006E6EE8">
        <w:rPr>
          <w:vertAlign w:val="superscript"/>
        </w:rPr>
        <w:t>2</w:t>
      </w:r>
      <w:r w:rsidRPr="006E6EE8">
        <w:t>, Kelly A Sillence</w:t>
      </w:r>
      <w:r w:rsidRPr="006E6EE8">
        <w:rPr>
          <w:vertAlign w:val="superscript"/>
        </w:rPr>
        <w:t>6</w:t>
      </w:r>
      <w:r w:rsidRPr="006E6EE8">
        <w:t>, Peter Claus</w:t>
      </w:r>
      <w:r w:rsidRPr="006E6EE8">
        <w:rPr>
          <w:vertAlign w:val="superscript"/>
        </w:rPr>
        <w:t>7</w:t>
      </w:r>
      <w:r w:rsidRPr="006E6EE8">
        <w:t>, Brunhilde Wirth</w:t>
      </w:r>
      <w:r w:rsidRPr="006E6EE8">
        <w:rPr>
          <w:vertAlign w:val="superscript"/>
        </w:rPr>
        <w:t>8</w:t>
      </w:r>
      <w:r w:rsidRPr="006E6EE8">
        <w:t>, Thomas M Wishart</w:t>
      </w:r>
      <w:r w:rsidRPr="006E6EE8">
        <w:rPr>
          <w:vertAlign w:val="superscript"/>
        </w:rPr>
        <w:t>3,4</w:t>
      </w:r>
      <w:r w:rsidR="00595196" w:rsidRPr="006E6EE8">
        <w:t xml:space="preserve"> and </w:t>
      </w:r>
      <w:r w:rsidRPr="006E6EE8">
        <w:t>Heidi R Fuller</w:t>
      </w:r>
      <w:r w:rsidRPr="006E6EE8">
        <w:rPr>
          <w:vertAlign w:val="superscript"/>
        </w:rPr>
        <w:t>1,2</w:t>
      </w:r>
      <w:r w:rsidRPr="006E6EE8">
        <w:t>*</w:t>
      </w:r>
    </w:p>
    <w:p w14:paraId="5A0C35F4" w14:textId="77777777" w:rsidR="00786B93" w:rsidRPr="006E6EE8" w:rsidRDefault="00786B93" w:rsidP="00595196">
      <w:pPr>
        <w:pStyle w:val="MDPI16affiliation"/>
        <w:ind w:left="2608" w:firstLine="0"/>
      </w:pPr>
      <w:r w:rsidRPr="006E6EE8">
        <w:rPr>
          <w:vertAlign w:val="superscript"/>
        </w:rPr>
        <w:t>1</w:t>
      </w:r>
      <w:r w:rsidRPr="006E6EE8">
        <w:t xml:space="preserve">School of Pharmacy and Bioengineering (PhaB), Keele University, Keele, UK; </w:t>
      </w:r>
      <w:r w:rsidRPr="006E6EE8">
        <w:rPr>
          <w:vertAlign w:val="superscript"/>
        </w:rPr>
        <w:t>2</w:t>
      </w:r>
      <w:r w:rsidRPr="006E6EE8">
        <w:t xml:space="preserve">Wolfson Centre for Inherited Neuromuscular Disease, RJAH Orthopaedic Hospital, Oswestry, UK; </w:t>
      </w:r>
      <w:r w:rsidRPr="006E6EE8">
        <w:rPr>
          <w:vertAlign w:val="superscript"/>
        </w:rPr>
        <w:t>3</w:t>
      </w:r>
      <w:r w:rsidRPr="006E6EE8">
        <w:t xml:space="preserve">Roslin Institute and Royal (Dick), School of Veterinary Studies; </w:t>
      </w:r>
      <w:r w:rsidRPr="006E6EE8">
        <w:rPr>
          <w:vertAlign w:val="superscript"/>
        </w:rPr>
        <w:t>4</w:t>
      </w:r>
      <w:r w:rsidRPr="006E6EE8">
        <w:t xml:space="preserve">The Euan MacDonald Centre for Motor Neuron Disease Research, University of Edinburgh, Edinburgh, UK; </w:t>
      </w:r>
      <w:r w:rsidRPr="006E6EE8">
        <w:rPr>
          <w:vertAlign w:val="superscript"/>
        </w:rPr>
        <w:t>5</w:t>
      </w:r>
      <w:r w:rsidRPr="006E6EE8">
        <w:t xml:space="preserve">BSRC Mass Spectrometry and Proteomics Facility, University of St Andrews, St Andrews, UK; </w:t>
      </w:r>
      <w:r w:rsidRPr="006E6EE8">
        <w:rPr>
          <w:vertAlign w:val="superscript"/>
        </w:rPr>
        <w:t>6</w:t>
      </w:r>
      <w:r w:rsidRPr="006E6EE8">
        <w:t xml:space="preserve">Bio-Rad Laboratories, Watford, UK; </w:t>
      </w:r>
      <w:r w:rsidRPr="006E6EE8">
        <w:rPr>
          <w:vertAlign w:val="superscript"/>
        </w:rPr>
        <w:t>7</w:t>
      </w:r>
      <w:r w:rsidRPr="006E6EE8">
        <w:t xml:space="preserve">SMATHERIA gGmbH – Non-Profit Biomedical Research Institute, Hannover, Germany; </w:t>
      </w:r>
      <w:r w:rsidRPr="006E6EE8">
        <w:rPr>
          <w:vertAlign w:val="superscript"/>
        </w:rPr>
        <w:t>8</w:t>
      </w:r>
      <w:r w:rsidRPr="006E6EE8">
        <w:t>Institute of Human Genetics; Center for Molecular Medicine Cologne; Institute for Genetics, Center for Rare Diseases University Hospital of Cologne, University of Cologne, Cologne, Germany.</w:t>
      </w:r>
    </w:p>
    <w:p w14:paraId="217EC70E" w14:textId="77777777" w:rsidR="00786B93" w:rsidRPr="006E6EE8" w:rsidRDefault="00595196" w:rsidP="00595196">
      <w:pPr>
        <w:pStyle w:val="MDPI16affiliation"/>
      </w:pPr>
      <w:r w:rsidRPr="006E6EE8">
        <w:rPr>
          <w:b/>
        </w:rPr>
        <w:t>*</w:t>
      </w:r>
      <w:r w:rsidRPr="006E6EE8">
        <w:tab/>
        <w:t xml:space="preserve">Correspondence: </w:t>
      </w:r>
      <w:r w:rsidR="00786B93" w:rsidRPr="006E6EE8">
        <w:t>author</w:t>
      </w:r>
      <w:r w:rsidRPr="006E6EE8">
        <w:rPr>
          <w:rFonts w:hint="eastAsia"/>
        </w:rPr>
        <w:t>:</w:t>
      </w:r>
      <w:r w:rsidRPr="006E6EE8">
        <w:t xml:space="preserve"> </w:t>
      </w:r>
      <w:r w:rsidR="00786B93" w:rsidRPr="006E6EE8">
        <w:t>Wolfson Centre for Inherited Neuromuscular Disease, TORCH Building, RJAH Orthopaedic Hospital, Oswestry, SY10 7AG, UK</w:t>
      </w:r>
      <w:r w:rsidRPr="006E6EE8">
        <w:t xml:space="preserve">, </w:t>
      </w:r>
      <w:r w:rsidR="00786B93" w:rsidRPr="006E6EE8">
        <w:t xml:space="preserve">Email: </w:t>
      </w:r>
      <w:r w:rsidRPr="006E6EE8">
        <w:t xml:space="preserve">h.r.fuller@keele.ac.uk; </w:t>
      </w:r>
      <w:r w:rsidR="00786B93" w:rsidRPr="006E6EE8">
        <w:t>Telephone: +44(0)1782 734546</w:t>
      </w:r>
    </w:p>
    <w:p w14:paraId="7A435BD8" w14:textId="44A7E694" w:rsidR="0098588A" w:rsidRPr="008E26F8" w:rsidRDefault="00786B93" w:rsidP="008E26F8">
      <w:pPr>
        <w:pStyle w:val="MDPI17abstract"/>
      </w:pPr>
      <w:bookmarkStart w:id="2" w:name="_Hlk111575186"/>
      <w:r w:rsidRPr="006E6EE8">
        <w:rPr>
          <w:b/>
        </w:rPr>
        <w:t>Abstract</w:t>
      </w:r>
      <w:bookmarkStart w:id="3" w:name="_Hlk109773371"/>
      <w:r w:rsidR="00595196" w:rsidRPr="006E6EE8">
        <w:rPr>
          <w:b/>
        </w:rPr>
        <w:t xml:space="preserve">: </w:t>
      </w:r>
      <w:bookmarkStart w:id="4" w:name="_Hlk111548089"/>
      <w:r w:rsidRPr="006E6EE8">
        <w:t xml:space="preserve">Most research to characterise the molecular consequences of spinal muscular atrophy (SMA) have focused on SMA I. Here, proteomic profiling of skin fibroblasts from severe (SMA I), intermediate (SMA II), and mild (SMA III) patients, alongside age-matched controls was conducted using SWATH mass spectrometry analysis. Differentially expressed proteome profiles showed limited overlap across each SMA type, and variability was greatest within SMA II fibroblasts which was not explained by </w:t>
      </w:r>
      <w:r w:rsidRPr="006E6EE8">
        <w:rPr>
          <w:i/>
          <w:iCs/>
        </w:rPr>
        <w:t>SMN2</w:t>
      </w:r>
      <w:r w:rsidRPr="006E6EE8">
        <w:t xml:space="preserve"> copy number. </w:t>
      </w:r>
      <w:bookmarkStart w:id="5" w:name="_Hlk111548358"/>
      <w:r w:rsidRPr="006E6EE8">
        <w:t xml:space="preserve">Despite limited proteomic overlap, enriched </w:t>
      </w:r>
      <w:r w:rsidRPr="006E6EE8" w:rsidDel="28285271">
        <w:t>canonical pathways common to</w:t>
      </w:r>
      <w:r w:rsidRPr="006E6EE8">
        <w:t xml:space="preserve"> two of </w:t>
      </w:r>
      <w:r w:rsidR="00632A1C" w:rsidRPr="006E6EE8">
        <w:t xml:space="preserve">three </w:t>
      </w:r>
      <w:r w:rsidRPr="006E6EE8">
        <w:t>SMA severities with at least one differentially expressed protein from the third included mTOR signaling, regulation of eIF2 and eIF4 signaling, and protein ubiquitination</w:t>
      </w:r>
      <w:r w:rsidRPr="006E6EE8" w:rsidDel="28285271">
        <w:t>.</w:t>
      </w:r>
      <w:r w:rsidR="00F22117">
        <w:t xml:space="preserve"> </w:t>
      </w:r>
      <w:r w:rsidR="00632A1C">
        <w:t>N</w:t>
      </w:r>
      <w:r w:rsidR="00F22117">
        <w:t xml:space="preserve">etwork </w:t>
      </w:r>
      <w:r w:rsidR="008E26F8">
        <w:t xml:space="preserve">expression clustering </w:t>
      </w:r>
      <w:r w:rsidR="00632A1C">
        <w:t>analysis</w:t>
      </w:r>
      <w:r w:rsidR="00632A1C" w:rsidDel="00632A1C">
        <w:t xml:space="preserve"> </w:t>
      </w:r>
      <w:r w:rsidRPr="006E6EE8">
        <w:rPr>
          <w:shd w:val="clear" w:color="auto" w:fill="FFFFFF"/>
        </w:rPr>
        <w:t>identified protein profiles that</w:t>
      </w:r>
      <w:r w:rsidRPr="006E6EE8">
        <w:rPr>
          <w:color w:val="000000" w:themeColor="text1"/>
        </w:rPr>
        <w:t xml:space="preserve"> may discriminate or correlate with </w:t>
      </w:r>
      <w:r w:rsidRPr="006E6EE8">
        <w:rPr>
          <w:shd w:val="clear" w:color="auto" w:fill="FFFFFF"/>
        </w:rPr>
        <w:t xml:space="preserve">SMA severity. From these clusters, the differential expression of </w:t>
      </w:r>
      <w:r w:rsidRPr="006E6EE8">
        <w:rPr>
          <w:color w:val="000000" w:themeColor="text1"/>
        </w:rPr>
        <w:t xml:space="preserve">PYGB (SMA I), RAB3B (SMA II), and </w:t>
      </w:r>
      <w:r w:rsidRPr="006E6EE8">
        <w:rPr>
          <w:shd w:val="clear" w:color="auto" w:fill="FFFFFF"/>
        </w:rPr>
        <w:t xml:space="preserve">IMP1 and </w:t>
      </w:r>
      <w:r w:rsidRPr="006E6EE8">
        <w:rPr>
          <w:color w:val="000000" w:themeColor="text1"/>
        </w:rPr>
        <w:t xml:space="preserve">STAT1 (SMA III) was verified by western blot. </w:t>
      </w:r>
      <w:bookmarkEnd w:id="5"/>
      <w:r w:rsidRPr="006E6EE8">
        <w:rPr>
          <w:color w:val="000000" w:themeColor="text1"/>
        </w:rPr>
        <w:t>All SMA fibroblasts were transfected with an SMN-enhanced construct but only RAB3B expression in SMA II fibroblasts demonstrated an SMN-dependent response</w:t>
      </w:r>
      <w:r w:rsidRPr="006E6EE8">
        <w:t xml:space="preserve">. The diverse proteome profiles and pathways identified here </w:t>
      </w:r>
      <w:r w:rsidRPr="006E6EE8" w:rsidDel="7B7ECAF1">
        <w:t xml:space="preserve">pave the way for studies </w:t>
      </w:r>
      <w:r w:rsidRPr="006E6EE8">
        <w:t>to determine their utility as biomarkers for patient stratification or monitoring treatment efficacy, and for identification of severity-specific treatments.</w:t>
      </w:r>
      <w:bookmarkEnd w:id="4"/>
    </w:p>
    <w:bookmarkEnd w:id="2"/>
    <w:bookmarkEnd w:id="3"/>
    <w:p w14:paraId="03E03737" w14:textId="77777777" w:rsidR="00786B93" w:rsidRPr="006E6EE8" w:rsidRDefault="00786B93" w:rsidP="00595196">
      <w:pPr>
        <w:pStyle w:val="MDPI21heading1"/>
      </w:pPr>
      <w:r w:rsidRPr="006E6EE8">
        <w:t>Introduction</w:t>
      </w:r>
    </w:p>
    <w:p w14:paraId="4BB2F79F" w14:textId="77777777" w:rsidR="00786B93" w:rsidRPr="006E6EE8" w:rsidRDefault="00786B93" w:rsidP="00595196">
      <w:pPr>
        <w:pStyle w:val="MDPI31text"/>
      </w:pPr>
      <w:r w:rsidRPr="006E6EE8">
        <w:t xml:space="preserve">The inherited neuromuscular disease, spinal muscular atrophy (SMA), is primarily characterised by loss of lower motor neurons and subsequent muscular atrophy </w:t>
      </w:r>
      <w:r w:rsidRPr="006E6EE8">
        <w:fldChar w:fldCharType="begin" w:fldLock="1"/>
      </w:r>
      <w:r w:rsidRPr="006E6EE8">
        <w:instrText>ADDIN CSL_CITATION {"citationItems":[{"id":"ITEM-1","itemData":{"DOI":"10.1016/j.nmd.2017.11.005","ISSN":"18732364","PMID":"29290580","abstract":"Spinal muscular atrophy (SMA) is a severe neuromuscular disorder due to a defect in the survival motor neuron 1 (SMN1) gene. Its incidence is approximately 1 in 11,000 live births. In 2007, an International Conference on the Standard of Care for SMA published a consensus statement on SMA standard of care that has been widely used throughout the world. Here we report a two-part update of the topics covered in the previous recommendations. In part 1 we present the methods used to achieve these recommendations, and an update on diagnosis, rehabilitation, orthopedic and spinal management; and nutritional, swallowing and gastrointestinal management. Pulmonary management, acute care, other organ involvement, ethical issues, medications, and the impact of new treatments for SMA are discussed in part 2.","author":[{"dropping-particle":"","family":"Mercuri","given":"Eugenio","non-dropping-particle":"","parse-names":false,"suffix":""},{"dropping-particle":"","family":"Finkel","given":"Richard S.","non-dropping-particle":"","parse-names":false,"suffix":""},{"dropping-particle":"","family":"Muntoni","given":"Francesco","non-dropping-particle":"","parse-names":false,"suffix":""},{"dropping-particle":"","family":"Wirth","given":"Brunhilde","non-dropping-particle":"","parse-names":false,"suffix":""},{"dropping-particle":"","family":"Montes","given":"Jacqueline","non-dropping-particle":"","parse-names":false,"suffix":""},{"dropping-particle":"","family":"Main","given":"Marion","non-dropping-particle":"","parse-names":false,"suffix":""},{"dropping-particle":"","family":"Mazzone","given":"Elena","non-dropping-particle":"","parse-names":false,"suffix":""},{"dropping-particle":"","family":"Vitale","given":"Michael","non-dropping-particle":"","parse-names":false,"suffix":""},{"dropping-particle":"","family":"Snyder","given":"Brian","non-dropping-particle":"","parse-names":false,"suffix":""},{"dropping-particle":"","family":"Quijano-Roy","given":"Susana","non-dropping-particle":"","parse-names":false,"suffix":""},{"dropping-particle":"","family":"Bertini","given":"Enrico","non-dropping-particle":"","parse-names":false,"suffix":""},{"dropping-particle":"","family":"Davis","given":"Rebecca Hurst","non-dropping-particle":"","parse-names":false,"suffix":""},{"dropping-particle":"","family":"Meyer","given":"Oscar H.","non-dropping-particle":"","parse-names":false,"suffix":""},{"dropping-particle":"","family":"Simonds","given":"Anita K.","non-dropping-particle":"","parse-names":false,"suffix":""},{"dropping-particle":"","family":"Schroth","given":"Mary K.","non-dropping-particle":"","parse-names":false,"suffix":""},{"dropping-particle":"","family":"Graham","given":"Robert J.","non-dropping-particle":"","parse-names":false,"suffix":""},{"dropping-particle":"","family":"Kirschner","given":"Janbernd","non-dropping-particle":"","parse-names":false,"suffix":""},{"dropping-particle":"","family":"Iannaccone","given":"Susan T.","non-dropping-particle":"","parse-names":false,"suffix":""},{"dropping-particle":"","family":"Crawford","given":"Thomas","non-dropping-particle":"","parse-names":false,"suffix":""},{"dropping-particle":"","family":"Woods","given":"Simon","non-dropping-particle":"","parse-names":false,"suffix":""},{"dropping-particle":"","family":"Qian","given":"Ying","non-dropping-particle":"","parse-names":false,"suffix":""},{"dropping-particle":"","family":"Sejersen","given":"Thomas","non-dropping-particle":"","parse-names":false,"suffix":""},{"dropping-particle":"","family":"Tiziano","given":"Francesco Danilo","non-dropping-particle":"","parse-names":false,"suffix":""},{"dropping-particle":"","family":"Tizzano","given":"Eduardo","non-dropping-particle":"","parse-names":false,"suffix":""},{"dropping-particle":"","family":"Swoboda","given":"Kathryn","non-dropping-particle":"","parse-names":false,"suffix":""},{"dropping-particle":"","family":"Swoboda","given":"Kathy","non-dropping-particle":"","parse-names":false,"suffix":""},{"dropping-particle":"","family":"Laing","given":"Nigel","non-dropping-particle":"","parse-names":false,"suffix":""},{"dropping-particle":"","family":"Kayoko","given":"Saito","non-dropping-particle":"","parse-names":false,"suffix":""},{"dropping-particle":"","family":"Prior","given":"Thomas","non-dropping-particle":"","parse-names":false,"suffix":""},{"dropping-particle":"","family":"Chung","given":"Wendy K.","non-dropping-particle":"","parse-names":false,"suffix":""},{"dropping-particle":"","family":"Wu","given":"Shou Mei","non-dropping-particle":"","parse-names":false,"suffix":""},{"dropping-particle":"","family":"Coleman","given":"Caron","non-dropping-particle":"","parse-names":false,"suffix":""},{"dropping-particle":"","family":"Gee","given":"Richard","non-dropping-particle":"","parse-names":false,"suffix":""},{"dropping-particle":"","family":"Glanzman","given":"Allan","non-dropping-particle":"","parse-names":false,"suffix":""},{"dropping-particle":"","family":"Kroksmark","given":"Anna Karin","non-dropping-particle":"","parse-names":false,"suffix":""},{"dropping-particle":"","family":"Krosschell","given":"Kristin","non-dropping-particle":"","parse-names":false,"suffix":""},{"dropping-particle":"","family":"Nelson","given":"Leslie","non-dropping-particle":"","parse-names":false,"suffix":""},{"dropping-particle":"","family":"Rose","given":"Kristy","non-dropping-particle":"","parse-names":false,"suffix":""},{"dropping-particle":"","family":"Stępień","given":"Agnieszka","non-dropping-particle":"","parse-names":false,"suffix":""},{"dropping-particle":"","family":"Vuillerot","given":"Carole","non-dropping-particle":"","parse-names":false,"suffix":""},{"dropping-particle":"","family":"Dubousset","given":"Jean","non-dropping-particle":"","parse-names":false,"suffix":""},{"dropping-particle":"","family":"Farrington","given":"David","non-dropping-particle":"","parse-names":false,"suffix":""},{"dropping-particle":"","family":"Flynn","given":"Jack","non-dropping-particle":"","parse-names":false,"suffix":""},{"dropping-particle":"","family":"Halanski","given":"Matthew","non-dropping-particle":"","parse-names":false,"suffix":""},{"dropping-particle":"","family":"Hasler","given":"Carol","non-dropping-particle":"","parse-names":false,"suffix":""},{"dropping-particle":"","family":"Miladi","given":"Lotfi","non-dropping-particle":"","parse-names":false,"suffix":""},{"dropping-particle":"","family":"Reilly","given":"Christopher","non-dropping-particle":"","parse-names":false,"suffix":""},{"dropping-particle":"","family":"Roye","given":"Benjamin","non-dropping-particle":"","parse-names":false,"suffix":""},{"dropping-particle":"","family":"Sponseller","given":"Paul","non-dropping-particle":"","parse-names":false,"suffix":""},{"dropping-particle":"","family":"Hurst","given":"Rebecca","non-dropping-particle":"","parse-names":false,"suffix":""},{"dropping-particle":"","family":"Tarrant","given":"Stacey","non-dropping-particle":"","parse-names":false,"suffix":""},{"dropping-particle":"","family":"Barja","given":"Salesa","non-dropping-particle":"","parse-names":false,"suffix":""},{"dropping-particle":"","family":"Foust","given":"Kevin","non-dropping-particle":"","parse-names":false,"suffix":""},{"dropping-particle":"","family":"Kyle","given":"Barbara","non-dropping-particle":"","parse-names":false,"suffix":""},{"dropping-particle":"","family":"Rodan","given":"Lance","non-dropping-particle":"","parse-names":false,"suffix":""},{"dropping-particle":"","family":"Roper","given":"Helen","non-dropping-particle":"","parse-names":false,"suffix":""},{"dropping-particle":"","family":"Seffrood","given":"Erin","non-dropping-particle":"","parse-names":false,"suffix":""},{"dropping-particle":"","family":"Szlagatys-Sidorkiewicz","given":"Agnieszka","non-dropping-particle":"","parse-names":false,"suffix":""}],"container-title":"Neuromuscular Disorders","id":"ITEM-1","issue":"2","issued":{"date-parts":[["2018"]]},"page":"103-115","title":"Diagnosis and management of spinal muscular atrophy: Part 1: Recommendations for diagnosis, rehabilitation, orthopedic and nutritional care","type":"article-journal","volume":"28"},"uris":["http://www.mendeley.com/documents/?uuid=6dc5aaeb-e30a-4389-997b-71fa53f926ca"]},{"id":"ITEM-2","itemData":{"DOI":"10.1016/j.nmd.2017.11.004","ISSN":"18732364","PMID":"29305137","abstract":"This is the second half of a two-part document updating the standard of care recommendations for spinal muscular atrophy published in 2007. This part includes updated recommendations on pulmonary management and acute care issues, and topics that have emerged in the last few years such as other organ involvement in the severe forms of spinal muscular atrophy and the role of medications. Ethical issues and the choice of palliative versus supportive care are also addressed. These recommendations are becoming increasingly relevant given recent clinical trials and the prospect that commercially available therapies will likely change the survival and natural history of this disease.","author":[{"dropping-particle":"","family":"Finkel","given":"Richard S.","non-dropping-particle":"","parse-names":false,"suffix":""},{"dropping-particle":"","family":"Mercuri","given":"Eugenio","non-dropping-particle":"","parse-names":false,"suffix":""},{"dropping-particle":"","family":"Meyer","given":"Oscar H.","non-dropping-particle":"","parse-names":false,"suffix":""},{"dropping-particle":"","family":"Simonds","given":"Anita K.","non-dropping-particle":"","parse-names":false,"suffix":""},{"dropping-particle":"","family":"Schroth","given":"Mary K.","non-dropping-particle":"","parse-names":false,"suffix":""},{"dropping-particle":"","family":"Graham","given":"Robert J.","non-dropping-particle":"","parse-names":false,"suffix":""},{"dropping-particle":"","family":"Kirschner","given":"Janbernd","non-dropping-particle":"","parse-names":false,"suffix":""},{"dropping-particle":"","family":"Iannaccone","given":"Susan T.","non-dropping-particle":"","parse-names":false,"suffix":""},{"dropping-particle":"","family":"Crawford","given":"Thomas O.","non-dropping-particle":"","parse-names":false,"suffix":""},{"dropping-particle":"","family":"Woods","given":"Simon","non-dropping-particle":"","parse-names":false,"suffix":""},{"dropping-particle":"","family":"Muntoni","given":"Francesco","non-dropping-particle":"","parse-names":false,"suffix":""},{"dropping-particle":"","family":"Wirth","given":"Brunhilde","non-dropping-particle":"","parse-names":false,"suffix":""},{"dropping-particle":"","family":"Montes","given":"Jacqueline","non-dropping-particle":"","parse-names":false,"suffix":""},{"dropping-particle":"","family":"Main","given":"Marion","non-dropping-particle":"","parse-names":false,"suffix":""},{"dropping-particle":"","family":"Mazzone","given":"Elena S.","non-dropping-particle":"","parse-names":false,"suffix":""},{"dropping-particle":"","family":"Vitale","given":"Michael","non-dropping-particle":"","parse-names":false,"suffix":""},{"dropping-particle":"","family":"Snyder","given":"Brian","non-dropping-particle":"","parse-names":false,"suffix":""},{"dropping-particle":"","family":"Quijano-Roy","given":"Susana","non-dropping-particle":"","parse-names":false,"suffix":""},{"dropping-particle":"","family":"Bertini","given":"Enrico","non-dropping-particle":"","parse-names":false,"suffix":""},{"dropping-particle":"","family":"Davis","given":"Rebecca Hurst","non-dropping-particle":"","parse-names":false,"suffix":""},{"dropping-particle":"","family":"Qian","given":"Ying","non-dropping-particle":"","parse-names":false,"suffix":""},{"dropping-particle":"","family":"Sejersen","given":"Thomas","non-dropping-particle":"","parse-names":false,"suffix":""}],"container-title":"Neuromuscular Disorders","id":"ITEM-2","issue":"3","issued":{"date-parts":[["2018"]]},"page":"197-207","publisher":"Elsevier B.V.","title":"Diagnosis and management of spinal muscular atrophy: Part 2: Pulmonary and acute care; medications, supplements and immunizations; other organ systems; and ethics","type":"article-journal","volume":"28"},"uris":["http://www.mendeley.com/documents/?uuid=6276320c-2e03-4e6f-8746-edf8060ac135"]}],"mendeley":{"formattedCitation":"[1,2]","plainTextFormattedCitation":"[1,2]","previouslyFormattedCitation":"[1,2]"},"properties":{"noteIndex":0},"schema":"https://github.com/citation-style-language/schema/raw/master/csl-citation.json"}</w:instrText>
      </w:r>
      <w:r w:rsidRPr="006E6EE8">
        <w:fldChar w:fldCharType="separate"/>
      </w:r>
      <w:r w:rsidRPr="006E6EE8">
        <w:rPr>
          <w:noProof/>
        </w:rPr>
        <w:t>[1,2]</w:t>
      </w:r>
      <w:r w:rsidRPr="006E6EE8">
        <w:fldChar w:fldCharType="end"/>
      </w:r>
      <w:r w:rsidRPr="006E6EE8">
        <w:t xml:space="preserve">. Preclinical studies in patients and animal models have highlighted systemic aspects of the disease which have recently been reviewed </w:t>
      </w:r>
      <w:r w:rsidRPr="006E6EE8">
        <w:fldChar w:fldCharType="begin" w:fldLock="1"/>
      </w:r>
      <w:r w:rsidRPr="006E6EE8">
        <w:instrText>ADDIN CSL_CITATION {"citationItems":[{"id":"ITEM-1","itemData":{"DOI":"10.1016/j.pediatrneurol.2020.01.003","ISSN":"18735150","PMID":"32409122","abstract":"Spinal muscular atrophy is typically characterized as a motor neuron disease. Untreated patients with the most severe form, spinal muscular atrophy type 1, die early with infantile-onset progressive skeletal, bulbar, and respiratory muscle weakness. Such patients are now living longer due to new disease-modifying treatments such as gene replacement therapy (onasemnogene abeparvovec), recently approved by the US Food and Drug Administration, and nusinersen, a central nervous system-directed treatment which was approved by the US Food and Drug Administration three years ago. This has created an area of pressing clinical need: if spinal muscular atrophy is a multisystem disease, dysfunction of peripheral tissues and organs may become significant comorbidities as these patients survive into childhood and adulthood. In this review, we have compiled autopsy data, case reports, and cohort studies of peripheral tissue involvement in patients and animal models with spinal muscular atrophy. We have also evaluated preclinical studies addressing the question of whether peripheral expression of survival motor neuron is necessary and/or sufficient for motor neuron function and survival. Indeed, spinal muscular atrophy patient data suggest that spinal muscular atrophy is a multisystem disease with dysfunction in skeletal muscle, heart, kidney, liver, pancreas, spleen, bone, connective tissues, and immune systems. The peripheral requirement of SMN in each organ and how these contribute to motor neuron function and survival remains to be answered. A systemic (peripheral and central nervous system) approach to therapy during early development is most likely to effectively maximize positive clinical outcome.","author":[{"dropping-particle":"","family":"Yeo","given":"Crystal Jing Jing","non-dropping-particle":"","parse-names":false,"suffix":""},{"dropping-particle":"","family":"Darras","given":"Basil T.","non-dropping-particle":"","parse-names":false,"suffix":""}],"container-title":"Pediatric Neurology","id":"ITEM-1","issue":"xxxx","issued":{"date-parts":[["2020"]]},"page":"12-19","publisher":"Elsevier Ltd","title":"Overturning the Paradigm of Spinal Muscular Atrophy as Just a Motor Neuron Disease","type":"article-journal","volume":"109"},"uris":["http://www.mendeley.com/documents/?uuid=85da05fc-0390-4c31-9b15-9e9b0e6b2ed8"]}],"mendeley":{"formattedCitation":"[3]","plainTextFormattedCitation":"[3]","previouslyFormattedCitation":"[3]"},"properties":{"noteIndex":0},"schema":"https://github.com/citation-style-language/schema/raw/master/csl-citation.json"}</w:instrText>
      </w:r>
      <w:r w:rsidRPr="006E6EE8">
        <w:fldChar w:fldCharType="separate"/>
      </w:r>
      <w:r w:rsidRPr="006E6EE8">
        <w:rPr>
          <w:noProof/>
        </w:rPr>
        <w:t>[3]</w:t>
      </w:r>
      <w:r w:rsidRPr="006E6EE8">
        <w:fldChar w:fldCharType="end"/>
      </w:r>
      <w:r w:rsidRPr="006E6EE8">
        <w:rPr>
          <w:color w:val="2B579A"/>
        </w:rPr>
        <w:fldChar w:fldCharType="begin" w:fldLock="1"/>
      </w:r>
      <w:r w:rsidRPr="006E6EE8">
        <w:instrText>ADDIN CSL_CITATION {"citationItems":[{"id":"ITEM-1","itemData":{"DOI":"10.1016/j.pediatrneurol.2020.01.003","ISSN":"18735150","PMID":"32409122","abstract":"Spinal muscular atrophy is typically characterized as a motor neuron disease. Untreated patients with the most severe form, spinal muscular atrophy type 1, die early with infantile-onset progressive skeletal, bulbar, and respiratory muscle weakness. Such patients are now living longer due to new disease-modifying treatments such as gene replacement therapy (onasemnogene abeparvovec), recently approved by the US Food and Drug Administration, and nusinersen, a central nervous system-directed treatment which was approved by the US Food and Drug Administration three years ago. This has created an area of pressing clinical need: if spinal muscular atrophy is a multisystem disease, dysfunction of peripheral tissues and organs may become significant comorbidities as these patients survive into childhood and adulthood. In this review, we have compiled autopsy data, case reports, and cohort studies of peripheral tissue involvement in patients and animal models with spinal muscular atrophy. We have also evaluated preclinical studies addressing the question of whether peripheral expression of survival motor neuron is necessary and/or sufficient for motor neuron function and survival. Indeed, spinal muscular atrophy patient data suggest that spinal muscular atrophy is a multisystem disease with dysfunction in skeletal muscle, heart, kidney, liver, pancreas, spleen, bone, connective tissues, and immune systems. The peripheral requirement of SMN in each organ and how these contribute to motor neuron function and survival remains to be answered. A systemic (peripheral and central nervous system) approach to therapy during early development is most likely to effectively maximize positive clinical outcome.","author":[{"dropping-particle":"","family":"Yeo","given":"Crystal Jing Jing","non-dropping-particle":"","parse-names":false,"suffix":""},{"dropping-particle":"","family":"Darras","given":"Basil T.","non-dropping-particle":"","parse-names":false,"suffix":""}],"container-title":"Pediatric Neurology","id":"ITEM-1","issue":"xxxx","issued":{"date-parts":[["2020"]]},"page":"12-19","publisher":"Elsevier Ltd","title":"Overturning the Paradigm of Spinal Muscular Atrophy as Just a Motor Neuron Disease","type":"article-journal","volume":"109"},"uris":["http://www.mendeley.com/documents/?uuid=85da05fc-0390-4c31-9b15-9e9b0e6b2ed8"]}],"mendeley":{"formattedCitation":"[3]","plainTextFormattedCitation":"[3]","previouslyFormattedCitation":"[3]"},"properties":{"noteIndex":0},"schema":"https://github.com/citation-style-language/schema/raw/master/csl-citation.json"}</w:instrText>
      </w:r>
      <w:r w:rsidRPr="006E6EE8">
        <w:rPr>
          <w:color w:val="2B579A"/>
        </w:rPr>
        <w:fldChar w:fldCharType="end"/>
      </w:r>
      <w:r w:rsidRPr="006E6EE8">
        <w:rPr>
          <w:color w:val="2B579A"/>
        </w:rPr>
        <w:t xml:space="preserve"> </w:t>
      </w:r>
      <w:r w:rsidRPr="006E6EE8">
        <w:t xml:space="preserve">and include, for example, impairment of skeletal muscle development </w:t>
      </w:r>
      <w:r w:rsidRPr="006E6EE8">
        <w:fldChar w:fldCharType="begin" w:fldLock="1"/>
      </w:r>
      <w:r w:rsidRPr="006E6EE8">
        <w:instrText>ADDIN CSL_CITATION {"citationItems":[{"id":"ITEM-1","itemData":{"DOI":"10.1172/JCI131989","ISSN":"15588238","PMID":"32039917","abstract":"Paucity of the survival motor neuron (SMN) protein triggers the oft-fatal infantile-onset motor neuron disorder, spinal muscular atrophy (SMA). Augmenting the protein is one means of treating SMA and recently led to FDA approval of an intrathecally delivered SMN-enhancing oligonucleotide currently in use. Notwithstanding the advent of this and other therapies for SMA, it is unclear whether the paralysis associated with the disease derives solely from dysfunctional motor neurons that may be efficiently targeted by restricted delivery of SMN-enhancing agents to the nervous system, or stems from broader defects of the motor unit, arguing for systemic SMN repletion. We investigated the disease-contributing effects of low SMN in one relevant peripheral organ — skeletal muscle — by selectively depleting the protein in only this tissue. We found that muscle deprived of SMN was profoundly damaged. Although a disease phenotype was not immediately obvious, persistent low levels of the protein eventually resulted in muscle fiber defects, neuromuscular junction abnormalities, compromised motor performance, and premature death. Importantly, restoring SMN after the onset of muscle pathology reversed disease. Our results provide the most compelling evidence yet for a direct contributing role of muscle in SMA and argue that an optimal therapy for the disease must be designed to treat this aspect of the dysfunctional motor unit.","author":[{"dropping-particle":"","family":"Kim","given":"Jeong Ki","non-dropping-particle":"","parse-names":false,"suffix":""},{"dropping-particle":"","family":"Jha","given":"Narendra N.","non-dropping-particle":"","parse-names":false,"suffix":""},{"dropping-particle":"","family":"Feng","given":"Zhihua","non-dropping-particle":"","parse-names":false,"suffix":""},{"dropping-particle":"","family":"Faleiro","given":"Michelle R.","non-dropping-particle":"","parse-names":false,"suffix":""},{"dropping-particle":"","family":"Chiriboga","given":"Claudia A.","non-dropping-particle":"","parse-names":false,"suffix":""},{"dropping-particle":"","family":"Wei-Lapierre","given":"Lan","non-dropping-particle":"","parse-names":false,"suffix":""},{"dropping-particle":"","family":"Dirksen","given":"Robert T.","non-dropping-particle":"","parse-names":false,"suffix":""},{"dropping-particle":"","family":"Ko","given":"Chien Ping","non-dropping-particle":"","parse-names":false,"suffix":""},{"dropping-particle":"","family":"Monani","given":"Umrao R.","non-dropping-particle":"","parse-names":false,"suffix":""}],"container-title":"Journal of Clinical Investigation","id":"ITEM-1","issue":"3","issued":{"date-parts":[["2020"]]},"page":"1271-1287","title":"Muscle-specific SMN reduction reveals motor neuron–independent disease in spinal muscular atrophy models","type":"article-journal","volume":"130"},"uris":["http://www.mendeley.com/documents/?uuid=63e9a422-cbc5-4219-bf0a-b959bc944a13"]}],"mendeley":{"formattedCitation":"[4]","plainTextFormattedCitation":"[4]","previouslyFormattedCitation":"[4]"},"properties":{"noteIndex":0},"schema":"https://github.com/citation-style-language/schema/raw/master/csl-citation.json"}</w:instrText>
      </w:r>
      <w:r w:rsidRPr="006E6EE8">
        <w:fldChar w:fldCharType="separate"/>
      </w:r>
      <w:r w:rsidRPr="006E6EE8">
        <w:rPr>
          <w:noProof/>
        </w:rPr>
        <w:t>[4]</w:t>
      </w:r>
      <w:r w:rsidRPr="006E6EE8">
        <w:fldChar w:fldCharType="end"/>
      </w:r>
      <w:r w:rsidRPr="006E6EE8">
        <w:t xml:space="preserve">, cardiac defects and dysfunction </w:t>
      </w:r>
      <w:r w:rsidRPr="006E6EE8">
        <w:fldChar w:fldCharType="begin" w:fldLock="1"/>
      </w:r>
      <w:r w:rsidRPr="006E6EE8">
        <w:instrText>ADDIN CSL_CITATION {"citationItems":[{"id":"ITEM-1","itemData":{"DOI":"10.1186/s13023-017-0613-5","ISSN":"17501172","abstract":"Background: Hereditary proximal spinal muscular atrophy (SMA) is a severe neuromuscular disease of childhood caused by homozygous loss of function of the survival motor neuron (SMN) 1 gene. The presence of a second, nearly identical SMN gene (SMN2) in the human genome ensures production of residual levels of the ubiquitously expressed SMN protein. Alpha-motor neurons in the ventral horns of the spinal cord are most vulnerable to reduced SMN concentrations but the development or function of other tissues may also be affected, and cardiovascular abnormalities have frequently been reported both in patients and SMA mouse models. Methods: We systematically reviewed reported cardiac pathology in relation to SMN deficiency. To investigate the relevance of the possible association in more detail, we used clinical classification systems to characterize structural cardiac defects and arrhythmias. Conclusions: Seventy-two studies with a total of 264 SMA patients with reported cardiac pathology were identified, along with 14 publications on SMA mouse models with abnormalities of the heart. Structural cardiac pathology, mainly septal defects and abnormalities of the cardiac outflow tract, was reported predominantly in the most severely affected patients (i.e. SMA type 1). Cardiac rhythm disorders were most frequently reported in patients with milder SMA types (e.g. SMA type 3). All included studies lacked control groups and a standardized approach for cardiac evaluation. The convergence to specific abnormalities of cardiac structure and function may indicate vulnerability of specific cell types or developmental processes relevant for cardiogenesis. Future studies would benefit from a controlled and standardized approach for cardiac evaluation in patients with SMA.","author":[{"dropping-particle":"","family":"Wijngaarde","given":"C. A.","non-dropping-particle":"","parse-names":false,"suffix":""},{"dropping-particle":"","family":"Blank","given":"A. C.","non-dropping-particle":"","parse-names":false,"suffix":""},{"dropping-particle":"","family":"Stam","given":"M.","non-dropping-particle":"","parse-names":false,"suffix":""},{"dropping-particle":"","family":"Wadman","given":"R. I.","non-dropping-particle":"","parse-names":false,"suffix":""},{"dropping-particle":"","family":"Berg","given":"L. H.","non-dropping-particle":"Van Den","parse-names":false,"suffix":""},{"dropping-particle":"","family":"Pol","given":"W. L.","non-dropping-particle":"Van Der","parse-names":false,"suffix":""}],"container-title":"Orphanet Journal of Rare Diseases","id":"ITEM-1","issue":"1","issued":{"date-parts":[["2017"]]},"page":"1-10","publisher":"Orphanet Journal of Rare Diseases","title":"Cardiac pathology in spinal muscular atrophy: a systematic review","type":"article-journal","volume":"12"},"uris":["http://www.mendeley.com/documents/?uuid=29366462-9821-4d4f-a01b-fbe9f8433b6d"]},{"id":"ITEM-2","itemData":{"DOI":"10.1093/hmg/ddz195","abstract":"Cardiac pathology is emerging as a prominent systemic feature of spinal muscular atrophy (SMA), but little is known about the underlying molecular pathways. Using quantitative proteomics analysis, we demonstrate widespread molecular defects in heart tissue from the Taiwanese mouse model of severe SMA.We identify increased levels of lamin A/C as a robust molecular phenotype in the heart of SMA mice and show that lamin A/C dysregulation is also apparent in SMA patient fibroblast cells and other tissues from SMA mice. Lamin A/C expression was regulated in vitro by knockdown of the E1 ubiquitination factor ubiquitin-like modifier activating enzyme 1, a key downstream mediator of SMN-dependent disease pathways, converging on β-catenin signaling. Increased levels of lamin A are known to increase the rigidity of nuclei, inevitably disrupting contractile activity in cardiomyocytes. The increased lamin A/C levels in the hearts of SMA mice therefore provide a likely mechanism explaining morphological and functional cardiac defects, leading to blood pooling. Therapeutic strategies directed at lamin A/C may therefore offer a new approach to target cardiac pathology in SMA. Introduction","author":[{"dropping-particle":"","family":"Šoltić","given":"Darija","non-dropping-particle":"","parse-names":false,"suffix":""},{"dropping-particle":"","family":"Shorrock","given":"Hannah K","non-dropping-particle":"","parse-names":false,"suffix":""},{"dropping-particle":"","family":"Allardyce","given":"Hazel","non-dropping-particle":"","parse-names":false,"suffix":""},{"dropping-particle":"","family":"Wilson","given":"Emma L.","non-dropping-particle":"","parse-names":false,"suffix":""},{"dropping-particle":"","family":"Holt","given":"Ian","non-dropping-particle":"","parse-names":false,"suffix":""},{"dropping-particle":"","family":"Synowsky","given":"Silvia A","non-dropping-particle":"","parse-names":false,"suffix":""},{"dropping-particle":"","family":"Shirran","given":"Sally L","non-dropping-particle":"","parse-names":false,"suffix":""},{"dropping-particle":"","family":"Parson","given":"Simon H.","non-dropping-particle":"","parse-names":false,"suffix":""},{"dropping-particle":"","family":"Gillingwater","given":"Thomas H","non-dropping-particle":"","parse-names":false,"suffix":""},{"dropping-particle":"","family":"Fuller","given":"Heidi R","non-dropping-particle":"","parse-names":false,"suffix":""}],"container-title":"Human Molecular Genetics","id":"ITEM-2","issued":{"date-parts":[["2019"]]},"page":"1-13","title":"Lamin A/C dysregulation contributes to cardiac pathology in a mouse model of severe spinal muscular atrophy","type":"article-journal"},"uris":["http://www.mendeley.com/documents/?uuid=899c6f94-df52-42bd-bd0f-543ad3540a1c"]}],"mendeley":{"formattedCitation":"[5,6]","plainTextFormattedCitation":"[5,6]","previouslyFormattedCitation":"[5,6]"},"properties":{"noteIndex":0},"schema":"https://github.com/citation-style-language/schema/raw/master/csl-citation.json"}</w:instrText>
      </w:r>
      <w:r w:rsidRPr="006E6EE8">
        <w:fldChar w:fldCharType="separate"/>
      </w:r>
      <w:r w:rsidRPr="006E6EE8">
        <w:rPr>
          <w:noProof/>
        </w:rPr>
        <w:t>[5,6]</w:t>
      </w:r>
      <w:r w:rsidRPr="006E6EE8">
        <w:fldChar w:fldCharType="end"/>
      </w:r>
      <w:r w:rsidRPr="006E6EE8">
        <w:t xml:space="preserve">, detrimental vascular changes </w:t>
      </w:r>
      <w:r w:rsidRPr="006E6EE8">
        <w:fldChar w:fldCharType="begin" w:fldLock="1"/>
      </w:r>
      <w:r w:rsidRPr="006E6EE8">
        <w:instrText xml:space="preserve">ADDIN CSL_CITATION {"citationItems":[{"id":"ITEM-1","itemData":{"DOI":"10.1002/ana.24549","ISSN":"15318249","PMID":"26506088","abstract":"Objective Spinal muscular atrophy (SMA) is a major inherited cause of infant death worldwide. It results from mutations in a single, ubiquitously expressed gene (SMN1), with loss of lower motor neurons being the primary pathological signature. Systemic defects have also been reported in SMA patients and animal models. We investigated whether defects associated with the vasculature contribute to motor neuron pathology in SMA. Methods Development and integrity of the capillary bed was examined in skeletal muscle and spinal cord of SMA mice, and muscle biopsies from SMA patients and controls, using quantitative morphometric approaches on immunohistochemically labeled tissue. Pimonidazole hydrochloride-based assays were used to identify functional hypoxia. Results The capillary bed in muscle and spinal cord was normal in presymptomatic SMA mice (postnatal day 1), but failed to match subsequent postnatal development in control littermates. At mid- and late-symptomatic time points, the extent of the vascular architecture observed in two distinct mouse models of SMA was </w:instrText>
      </w:r>
      <w:r w:rsidRPr="006E6EE8">
        <w:rPr>
          <w:rFonts w:ascii="Cambria Math" w:hAnsi="Cambria Math" w:cs="Cambria Math"/>
        </w:rPr>
        <w:instrText>∼</w:instrText>
      </w:r>
      <w:r w:rsidRPr="006E6EE8">
        <w:instrText>50% of that observed in control animals. Skeletal muscle biopsies from human patients confirmed the presence of developmentally similar, significant vascular depletion in severe SMA. Hypovascularity in SMA mouse spinal cord was accompanied by significant functional hypoxia and defects in the blood-spinal cord barrier. Interpretation Our results indicate that vascular defects are a major feature of severe forms of SMA, present in both mouse models and patients, resulting in functional hypoxia of motor neurons. Thus, abnormal vascular development and resulting hypoxia may contribute to the pathogenesis of SMA.","author":[{"dropping-particle":"","family":"Somers","given":"Eilidh","non-dropping-particle":"","parse-names":false,"suffix":""},{"dropping-particle":"","family":"Lees","given":"Robert D.","non-dropping-particle":"","parse-names":false,"suffix":""},{"dropping-particle":"","family":"Hoban","given":"Katie","non-dropping-particle":"","parse-names":false,"suffix":""},{"dropping-particle":"","family":"Sleigh","given":"James N.","non-dropping-particle":"","parse-names":false,"suffix":""},{"dropping-particle":"","family":"Zhou","given":"Haiyan","non-dropping-particle":"","parse-names":false,"suffix":""},{"dropping-particle":"","family":"Muntoni","given":"Francesco","non-dropping-particle":"","parse-names":false,"suffix":""},{"dropping-particle":"","family":"Talbot","given":"Kevin","non-dropping-particle":"","parse-names":false,"suffix":""},{"dropping-particle":"","family":"Gillingwater","given":"Thomas H.","non-dropping-particle":"","parse-names":false,"suffix":""},{"dropping-particle":"","family":"Parson","given":"Simon H.","non-dropping-particle":"","parse-names":false,"suffix":""}],"container-title":"Annals of Neurology","id":"ITEM-1","issue":"2","issued":{"date-parts":[["2016"]]},"page":"217-230","title":"Vascular Defects and Spinal Cord Hypoxia in Spinal Muscular Atrophy","type":"article-journal","volume":"79"},"uris":["http://www.mendeley.com/documents/?uuid=2b8038df-f0e3-4cf7-978f-cf138a0fd38b"]}],"mendeley":{"formattedCitation":"[7]","plainTextFormattedCitation":"[7]","previouslyFormattedCitation":"[7]"},"properties":{"noteIndex":0},"schema":"https://github.com/citation-style-language/schema/raw/master/csl-citation.json"}</w:instrText>
      </w:r>
      <w:r w:rsidRPr="006E6EE8">
        <w:fldChar w:fldCharType="separate"/>
      </w:r>
      <w:r w:rsidRPr="006E6EE8">
        <w:rPr>
          <w:noProof/>
        </w:rPr>
        <w:t>[7]</w:t>
      </w:r>
      <w:r w:rsidRPr="006E6EE8">
        <w:fldChar w:fldCharType="end"/>
      </w:r>
      <w:r w:rsidRPr="006E6EE8">
        <w:t xml:space="preserve">, defects in fatty acid metabolism </w:t>
      </w:r>
      <w:r w:rsidRPr="006E6EE8">
        <w:fldChar w:fldCharType="begin" w:fldLock="1"/>
      </w:r>
      <w:r w:rsidRPr="006E6EE8">
        <w:instrText>ADDIN CSL_CITATION {"citationItems":[{"id":"ITEM-1","itemData":{"DOI":"10.1002/acn3.50855","ISSN":"2328-9503","abstract":"Objective: Spinal muscular atrophy (SMA) is an inherited neuromuscular disorder leading to paralysis and subsequent death in young children. Initially considered a motor neuron disease, extra-neuronal involvement is increasingly recognized. The primary goal of this study was to investigate alterations in lipid metabolism in SMA patients and mouse models of the disease. Methods: We analyzed clinical data collected from a large cohort of pediatric SMA type I-III patients as well as SMA type I liver necropsy data. In parallel, we performed histology, lipid analysis, and transcript profiling in mouse models of SMA. Results: We identify an increased susceptibility to developing dyslipidemia in a cohort of 72 SMA patients and liver steatosis in pathological samples. Similarly, fatty acid metabolic abnormalities were present in all SMA mouse models studied. Specifically, Smn 2B/-mice displayed elevated hepatic triglycerides and dys-lipidemia, resembling non-alcoholic fatty liver disease (NAFLD). Interestingly, this phenotype appeared prior to denervation. Interpretation: This work highlights metabolic abnormalities as an important feature of SMA, suggesting","author":[{"dropping-particle":"","family":"Deguise","given":"Marc‐Olivier","non-dropping-particle":"","parse-names":false,"suffix":""},{"dropping-particle":"","family":"Baranello","given":"Giovanni","non-dropping-particle":"","parse-names":false,"suffix":""},{"dropping-particle":"","family":"Mastella","given":"Chiara","non-dropping-particle":"","parse-names":false,"suffix":""},{"dropping-particle":"","family":"Beauvais","given":"Ariane","non-dropping-particle":"","parse-names":false,"suffix":""},{"dropping-particle":"","family":"Michaud","given":"Jean","non-dropping-particle":"","parse-names":false,"suffix":""},{"dropping-particle":"","family":"Leone","given":"Alessandro","non-dropping-particle":"","parse-names":false,"suffix":""},{"dropping-particle":"","family":"Amicis","given":"Ramona","non-dropping-particle":"De","parse-names":false,"suffix":""},{"dropping-particle":"","family":"Battezzati","given":"Alberto","non-dropping-particle":"","parse-names":false,"suffix":""},{"dropping-particle":"","family":"Dunham","given":"Christopher","non-dropping-particle":"","parse-names":false,"suffix":""},{"dropping-particle":"","family":"Selby","given":"Kathryn","non-dropping-particle":"","parse-names":false,"suffix":""},{"dropping-particle":"","family":"Warman Chardon","given":"Jodi","non-dropping-particle":"","parse-names":false,"suffix":""},{"dropping-particle":"","family":"McMillan","given":"Hugh J.","non-dropping-particle":"","parse-names":false,"suffix":""},{"dropping-particle":"","family":"Huang","given":"Yu‐Ting","non-dropping-particle":"","parse-names":false,"suffix":""},{"dropping-particle":"","family":"Courtney","given":"Natalie L.","non-dropping-particle":"","parse-names":false,"suffix":""},{"dropping-particle":"","family":"Mole","given":"Alannah J.","non-dropping-particle":"","parse-names":false,"suffix":""},{"dropping-particle":"","family":"Kubinski","given":"Sabrina","non-dropping-particle":"","parse-names":false,"suffix":""},{"dropping-particle":"","family":"Claus","given":"Peter","non-dropping-particle":"","parse-names":false,"suffix":""},{"dropping-particle":"","family":"Murray","given":"Lyndsay M.","non-dropping-particle":"","parse-names":false,"suffix":""},{"dropping-particle":"","family":"Bowerman","given":"Melissa","non-dropping-particle":"","parse-names":false,"suffix":""},{"dropping-particle":"","family":"Gillingwater","given":"Thomas H.","non-dropping-particle":"","parse-names":false,"suffix":""},{"dropping-particle":"","family":"Bertoli","given":"Simona","non-dropping-particle":"","parse-names":false,"suffix":""},{"dropping-particle":"","family":"Parson","given":"Simon H.","non-dropping-particle":"","parse-names":false,"suffix":""},{"dropping-particle":"","family":"Kothary","given":"Rashmi","non-dropping-particle":"","parse-names":false,"suffix":""}],"container-title":"Annals of Clinical and Translational Neurology","id":"ITEM-1","issue":"8","issued":{"date-parts":[["2019"]]},"page":"1519-1532","title":"Abnormal fatty acid metabolism is a core component of spinal muscular atrophy","type":"article-journal","volume":"6"},"uris":["http://www.mendeley.com/documents/?uuid=23ecf241-29da-4101-857b-615fa722661e"]}],"mendeley":{"formattedCitation":"[8]","plainTextFormattedCitation":"[8]","previouslyFormattedCitation":"[8]"},"properties":{"noteIndex":0},"schema":"https://github.com/citation-style-language/schema/raw/master/csl-citation.json"}</w:instrText>
      </w:r>
      <w:r w:rsidRPr="006E6EE8">
        <w:fldChar w:fldCharType="separate"/>
      </w:r>
      <w:r w:rsidRPr="006E6EE8">
        <w:rPr>
          <w:noProof/>
        </w:rPr>
        <w:t>[8]</w:t>
      </w:r>
      <w:r w:rsidRPr="006E6EE8">
        <w:fldChar w:fldCharType="end"/>
      </w:r>
      <w:r w:rsidRPr="006E6EE8">
        <w:t xml:space="preserve"> and altered renal structure and function </w:t>
      </w:r>
      <w:r w:rsidRPr="006E6EE8">
        <w:fldChar w:fldCharType="begin" w:fldLock="1"/>
      </w:r>
      <w:r w:rsidRPr="006E6EE8">
        <w:instrText>ADDIN CSL_CITATION {"citationItems":[{"id":"ITEM-1","itemData":{"DOI":"10.1093/hmg/ddaa126","ISSN":"0964-6906","abstract":"Spinal Muscular Atrophy (SMA) occurs as a result of cell-ubiquitous depletion of the essential SMN protein. Characteristic disease pathology is driven by a particular vulnerability of the ventral motor neurons of the spinal cord to decreased SMN. Perhaps not surprisingly, many other organ systems are also impacted by SMN depletion. The normal kidney expresses very high levels of SMN protein, equivalent to those found in the nervous system and liver, and levels are dramatically lowered by ~ 90–95% in mouse models of SMA. Taken together these data suggest that renal pathology may be present in SMA. We have addressed this using an established mouse model of severe SMA. Nephron number, as assessed by gold standard stereological techniques, was significantly reduced. In addition, morphological assessment showed decreased renal vasculature, particularly of the glomerular capillary knot, dysregulation of nephrin and collagen IV, and ultrastructural changes in the trilaminar filtration layers of the nephron. To explore the molecular drivers underpinning this process, we correlated these findings with quantitative PCR measurements and protein analyses of Glial Cell-Line Derived Neurotrophic Factor (GDNF), a crucial factor in ureteric bud branching and subsequent nephron development. GDNF levels were significantly reduced at early stages of disease in SMA mice. Collectively, these findings reveal significant renal pathology in a mouse model of severe SMA, further reinforcing the need to develop and administer systemic therapies for this neuromuscular disease.","author":[{"dropping-particle":"","family":"Allardyce","given":"Hazel","non-dropping-particle":"","parse-names":false,"suffix":""},{"dropping-particle":"","family":"Kuhn","given":"Daniela","non-dropping-particle":"","parse-names":false,"suffix":""},{"dropping-particle":"","family":"Hernandez-Gerez","given":"Elena","non-dropping-particle":"","parse-names":false,"suffix":""},{"dropping-particle":"","family":"Hensel","given":"Niko","non-dropping-particle":"","parse-names":false,"suffix":""},{"dropping-particle":"","family":"Huang","given":"Yu-Ting","non-dropping-particle":"","parse-names":false,"suffix":""},{"dropping-particle":"","family":"Faller","given":"Kiterie","non-dropping-particle":"","parse-names":false,"suffix":""},{"dropping-particle":"","family":"Gillingwater","given":"Thomas H","non-dropping-particle":"","parse-names":false,"suffix":""},{"dropping-particle":"","family":"Quondamatteo","given":"Fabio","non-dropping-particle":"","parse-names":false,"suffix":""},{"dropping-particle":"","family":"Claus","given":"Peter","non-dropping-particle":"","parse-names":false,"suffix":""},{"dropping-particle":"","family":"Parson","given":"Simon H","non-dropping-particle":"","parse-names":false,"suffix":""}],"container-title":"Human Molecular Genetics","id":"ITEM-1","issue":"00","issued":{"date-parts":[["2020"]]},"page":"1-14","title":"Renal pathology in a mouse model of severe Spinal Muscular Atrophy is associated with downregulation of Glial Cell-Line Derived Neurotrophic Factor (GDNF)","type":"article-journal","volume":"00"},"uris":["http://www.mendeley.com/documents/?uuid=4d7debbd-eb27-4a25-9d47-22e0172d3325"]},{"id":"ITEM-2","itemData":{"DOI":"10.1212/NXG.0000000000000353","ISBN":"0000000000000","ISSN":"23767839","abstract":"ObjectiveTo determine changes in serum profiles and kidney tissues from patients with spinal muscular atrophy (SMA) type 1 compared with age-and sex-matched controls.MethodsIn this cohort study, we investigated renal structure and function in infants and children with SMA type 1 in comparison with age-and sex-matched controls.ResultsPatients with SMA had alterations in serum creatinine, cystatin C, sodium, glucose, and calcium concentrations, granular casts and crystals in urine, and nephrocalcinosis and fibrosis. Nephrotoxicity and polycystic kidney disease PCR arrays revealed multiple differentially expressed genes, and immunoblot analysis showed decreased calcium-sensing receptors and calbindin and increased insulin-like growth factor-binding proteins in kidneys from patients with SMA.ConclusionsThese findings demonstrate that patients with SMA type 1, in the absence of disease-modifying therapies, frequently manifest impaired renal function as a primary or secondary consequence of their disease. This study provides new insights into systemic contributions to SMA disease pathogenesis and the need to identify coadjuvant therapies.","author":[{"dropping-particle":"","family":"Nery","given":"Flávia C.","non-dropping-particle":"","parse-names":false,"suffix":""},{"dropping-particle":"","family":"Siranosian","given":"Jennifer J.","non-dropping-particle":"","parse-names":false,"suffix":""},{"dropping-particle":"","family":"Rosales","given":"Ivy","non-dropping-particle":"","parse-names":false,"suffix":""},{"dropping-particle":"","family":"Deguise","given":"Marc Olivier","non-dropping-particle":"","parse-names":false,"suffix":""},{"dropping-particle":"","family":"Sharma","given":"Amita","non-dropping-particle":"","parse-names":false,"suffix":""},{"dropping-particle":"","family":"Muhtaseb","given":"Abdurrahman W.","non-dropping-particle":"","parse-names":false,"suffix":""},{"dropping-particle":"","family":"Nwe","given":"Pann","non-dropping-particle":"","parse-names":false,"suffix":""},{"dropping-particle":"","family":"Johnstone","given":"Alec J.","non-dropping-particle":"","parse-names":false,"suffix":""},{"dropping-particle":"","family":"Zhang","given":"Ren","non-dropping-particle":"","parse-names":false,"suffix":""},{"dropping-particle":"","family":"Fatouraei","given":"Maryam","non-dropping-particle":"","parse-names":false,"suffix":""},{"dropping-particle":"","family":"Huemer","given":"Natassja","non-dropping-particle":"","parse-names":false,"suffix":""},{"dropping-particle":"","family":"Alves","given":"Christiano R.R.","non-dropping-particle":"","parse-names":false,"suffix":""},{"dropping-particle":"","family":"Kothary","given":"Rashmi","non-dropping-particle":"","parse-names":false,"suffix":""},{"dropping-particle":"","family":"Swoboda","given":"Kathryn J.","non-dropping-particle":"","parse-names":false,"suffix":""}],"container-title":"Neurology: Genetics","id":"ITEM-2","issue":"5","issued":{"date-parts":[["2019"]]},"title":"Impaired kidney structure and function in spinal muscular atrophy","type":"article-journal","volume":"5"},"uris":["http://www.mendeley.com/documents/?uuid=a505a947-f14c-4d5f-913c-98ee07208fe6"]}],"mendeley":{"formattedCitation":"[9,10]","plainTextFormattedCitation":"[9,10]","previouslyFormattedCitation":"[9,10]"},"properties":{"noteIndex":0},"schema":"https://github.com/citation-style-language/schema/raw/master/csl-citation.json"}</w:instrText>
      </w:r>
      <w:r w:rsidRPr="006E6EE8">
        <w:fldChar w:fldCharType="separate"/>
      </w:r>
      <w:r w:rsidRPr="006E6EE8">
        <w:rPr>
          <w:noProof/>
        </w:rPr>
        <w:t>[9,10]</w:t>
      </w:r>
      <w:r w:rsidRPr="006E6EE8">
        <w:fldChar w:fldCharType="end"/>
      </w:r>
      <w:r w:rsidRPr="006E6EE8">
        <w:t xml:space="preserve">. In more than 95% of cases, SMA is caused by loss-of-function of the </w:t>
      </w:r>
      <w:r w:rsidRPr="006E6EE8">
        <w:rPr>
          <w:i/>
          <w:iCs/>
        </w:rPr>
        <w:t>survival of motor neuron 1</w:t>
      </w:r>
      <w:r w:rsidRPr="006E6EE8">
        <w:t xml:space="preserve"> (</w:t>
      </w:r>
      <w:r w:rsidRPr="006E6EE8">
        <w:rPr>
          <w:i/>
          <w:iCs/>
        </w:rPr>
        <w:t>SMN1</w:t>
      </w:r>
      <w:r w:rsidRPr="006E6EE8">
        <w:t xml:space="preserve">) gene, resulting in insufficient levels of SMN protein </w:t>
      </w:r>
      <w:r w:rsidRPr="006E6EE8">
        <w:fldChar w:fldCharType="begin" w:fldLock="1"/>
      </w:r>
      <w:r w:rsidRPr="006E6EE8">
        <w:instrText>ADDIN CSL_CITATION {"citationItems":[{"id":"ITEM-1","itemData":{"DOI":"10.1016/0092-8674(95)90460-3","ISSN":"00928674","PMID":"7813012","abstract":"Spinal muscular atrophy (SMA) is a common fatal autosomal recessive disorder characterized by degeneration of lower motor neurons, leading to progressive paralysis with muscular atrophy. The gene for SMA has been mapped to chromosome 5q13, where large-scale deletions have been reported. We describe here the inverted duplication of a 500 kb element in normal chromosomes and narrow the critical region to 140 kb within the telomeric region. This interval contains a 20 kb gene encoding a novel protein of 294 amino acids. An highly homologous gene is present in the centromeric element of 95% of controls. The telomeric gene is either lacking or interrupted in 226 of 229 patients, and patients retaining this gene (3 of 229) carry either a point mutation (Y272C) or short deletions in the consensus splice sites of introns 6 and 7. These data suggest that this gene, termed the survival motor neuron (SMN) gene, is an SMA-determining gene. © 1995.","author":[{"dropping-particle":"","family":"Lefebvre","given":"Suzie","non-dropping-particle":"","parse-names":false,"suffix":""},{"dropping-particle":"","family":"Bürglen","given":"Lydie","non-dropping-particle":"","parse-names":false,"suffix":""},{"dropping-particle":"","family":"Reboullet","given":"Sophie","non-dropping-particle":"","parse-names":false,"suffix":""},{"dropping-particle":"","family":"Clermont","given":"Olivier","non-dropping-particle":"","parse-names":false,"suffix":""},{"dropping-particle":"","family":"Burlet","given":"Philippe","non-dropping-particle":"","parse-names":false,"suffix":""},{"dropping-particle":"","family":"Viollet","given":"Louis","non-dropping-particle":"","parse-names":false,"suffix":""},{"dropping-particle":"","family":"Benichou","given":"Bernard","non-dropping-particle":"","parse-names":false,"suffix":""},{"dropping-particle":"","family":"Cruaud","given":"Corinne","non-dropping-particle":"","parse-names":false,"suffix":""},{"dropping-particle":"","family":"Millasseau","given":"Philippe","non-dropping-particle":"","parse-names":false,"suffix":""},{"dropping-particle":"","family":"Zeviani","given":"Massimo","non-dropping-particle":"","parse-names":false,"suffix":""},{"dropping-particle":"","family":"Paslier","given":"Denis","non-dropping-particle":"Le","parse-names":false,"suffix":""},{"dropping-particle":"","family":"Frézal","given":"Jean","non-dropping-particle":"","parse-names":false,"suffix":""},{"dropping-particle":"","family":"Cohen","given":"Daniel","non-dropping-particle":"","parse-names":false,"suffix":""},{"dropping-particle":"","family":"Weissenbach","given":"Jean","non-dropping-particle":"","parse-names":false,"suffix":""},{"dropping-particle":"","family":"Munnich","given":"Arnold","non-dropping-particle":"","parse-names":false,"suffix":""},{"dropping-particle":"","family":"Melki","given":"Judith","non-dropping-particle":"","parse-names":false,"suffix":""}],"container-title":"Cell","id":"ITEM-1","issue":"1","issued":{"date-parts":[["1995"]]},"page":"155-165","title":"Identification and characterization of a spinal muscular atrophy-determining gene","type":"article-journal","volume":"80"},"uris":["http://www.mendeley.com/documents/?uuid=567791d7-4a80-4ad8-9b19-88347d4f0b56"]}],"mendeley":{"formattedCitation":"[11]","plainTextFormattedCitation":"[11]","previouslyFormattedCitation":"[11]"},"properties":{"noteIndex":0},"schema":"https://github.com/citation-style-language/schema/raw/master/csl-citation.json"}</w:instrText>
      </w:r>
      <w:r w:rsidRPr="006E6EE8">
        <w:fldChar w:fldCharType="separate"/>
      </w:r>
      <w:r w:rsidRPr="006E6EE8">
        <w:rPr>
          <w:noProof/>
        </w:rPr>
        <w:t>[11]</w:t>
      </w:r>
      <w:r w:rsidRPr="006E6EE8">
        <w:fldChar w:fldCharType="end"/>
      </w:r>
      <w:r w:rsidRPr="006E6EE8">
        <w:t xml:space="preserve">. Most humans possess at least one copy of an additional </w:t>
      </w:r>
      <w:r w:rsidRPr="006E6EE8">
        <w:rPr>
          <w:i/>
          <w:iCs/>
        </w:rPr>
        <w:t>SMN2</w:t>
      </w:r>
      <w:r w:rsidRPr="006E6EE8">
        <w:t xml:space="preserve"> gene, which is almost identical to </w:t>
      </w:r>
      <w:r w:rsidRPr="006E6EE8">
        <w:rPr>
          <w:i/>
          <w:iCs/>
        </w:rPr>
        <w:t>SMN1</w:t>
      </w:r>
      <w:r w:rsidRPr="006E6EE8">
        <w:t xml:space="preserve">, but protein translated from it is far less stable and unable to compensate entirely for loss of </w:t>
      </w:r>
      <w:r w:rsidRPr="006E6EE8">
        <w:rPr>
          <w:i/>
          <w:iCs/>
        </w:rPr>
        <w:t xml:space="preserve">SMN1 </w:t>
      </w:r>
      <w:r w:rsidRPr="006E6EE8">
        <w:rPr>
          <w:i/>
          <w:iCs/>
        </w:rPr>
        <w:fldChar w:fldCharType="begin" w:fldLock="1"/>
      </w:r>
      <w:r w:rsidRPr="006E6EE8">
        <w:rPr>
          <w:i/>
          <w:iCs/>
        </w:rPr>
        <w:instrText>ADDIN CSL_CITATION {"citationItems":[{"id":"ITEM-1","itemData":{"DOI":"10.1038/ng0598-51","ISBN":"1061-4036 (Print)\\r1061-4036 (Linking)","ISSN":"1061-4036","PMID":"9590288","abstract":"Spinal muscular atrophy (SMA) is a motor-neuron disorder resulting from anterior-horn-cell death. The autosomal recessive form has a carrier frequency of 1 in 50 and is the most common genetic cause of infant death. SMA is categorized as types I-III, ranging from severe to mild, based upon age of onset and clinical course. Two closely flanking copies of the survival motor neuron (SMN) gene are on chromosome 5q13 (ref. 1). The telomeric SMN (SMN1) copy is homozygously deleted or converted in &gt;95% of SMA patients, while a small number of SMA disease alleles contain missense mutations within the carboxy terminus. We have identified a modular oligomerization domain within exon 6 of SMN1. All previously identified missense mutations map within or immediately adjacent to this domain. Comparison of wild-type to mutant SMN proteins of type I, II and III SMA patients showed a direct correlation between oligomerization and clinical type. Moreover, the most abundant centromeric SMN product, which encodes exons 1-6 but not 7, demonstrated reduced self-association. These findings identify decreased SMN self-association as a biochemical defect in SMA, and imply that disease severity is proportional to the intracellular concentration of oligomerization-competent SMN proteins.","author":[{"dropping-particle":"","family":"Lorson","given":"Christian. L.","non-dropping-particle":"","parse-names":false,"suffix":""},{"dropping-particle":"","family":"Strasswimmer","given":"John","non-dropping-particle":"","parse-names":false,"suffix":""},{"dropping-particle":"","family":"Yao","given":"Jun-Mei","non-dropping-particle":"","parse-names":false,"suffix":""},{"dropping-particle":"","family":"Baleja","given":"James D.","non-dropping-particle":"","parse-names":false,"suffix":""},{"dropping-particle":"","family":"Hahnen","given":"Eric","non-dropping-particle":"","parse-names":false,"suffix":""},{"dropping-particle":"","family":"Wirth","given":"Brunhilde","non-dropping-particle":"","parse-names":false,"suffix":""},{"dropping-particle":"","family":"Le","given":"Thanh","non-dropping-particle":"","parse-names":false,"suffix":""},{"dropping-particle":"","family":"Burghes","given":"Arthur H.M.","non-dropping-particle":"","parse-names":false,"suffix":""},{"dropping-particle":"","family":"Androphy","given":"Elliot J.","non-dropping-particle":"","parse-names":false,"suffix":""}],"container-title":"Nature Genetics","id":"ITEM-1","issue":"1","issued":{"date-parts":[["1998"]]},"page":"63-66","title":"SMN oligomerization defect correlates with spinal muscular atrophy severity","type":"article-journal","volume":"19"},"uris":["http://www.mendeley.com/documents/?uuid=10e72489-e68d-4712-87f1-110c0cc8a35e"]},{"id":"ITEM-2","itemData":{"DOI":"10.1073/pnas.96.20.11167","ISSN":"00278424","PMID":"10500148","abstract":"Spinal muscular atrophy (SMA) is a common motor neuron degenerative disease and the leading genetic cause of death of young children. The survival of motor neurons (SMN) gene, the SMA disease gene, is homozygously deleted or mutated in more than 98% of SMA patients. The SMN protein interacts with itself, with SMN-interacting protein 1, and with several spliceosomal small nuclear ribonucleoprotein (snRNP) Sm proteins. A complex containing SMN plays a critical role in spliceosomal snRNP assembly and in pre-mRNA splicing. SMN mutants found in SMA patients show reduced self- association and lack the capacity to regenerate the splicing machinery. Here we demonstrate that SMN mutants found in SMA patients are defective in binding to Sm proteins. Moreover, we show that SMN, but not mutants found in SMA patients, can form large oligomers and that SMN oligomerization is required for high-affinity binding to spliceosomal snRNP Sm proteins. These findings directly link the impaired interaction between SMN and Sm proteins to a defect in snRNP metabolism and to SMA.","author":[{"dropping-particle":"","family":"Pellizzoni","given":"Livio","non-dropping-particle":"","parse-names":false,"suffix":""},{"dropping-particle":"","family":"Charroux","given":"Bernard","non-dropping-particle":"","parse-names":false,"suffix":""},{"dropping-particle":"","family":"Dreyfuss","given":"Gideon","non-dropping-particle":"","parse-names":false,"suffix":""}],"container-title":"Proceedings of the National Academy of Sciences of the United States of America","id":"ITEM-2","issue":"20","issued":{"date-parts":[["1999"]]},"page":"11167-11172","title":"SMN mutants of spinal muscular atrophy patients are defective in binding to snRNP proteins","type":"article-journal","volume":"96"},"uris":["http://www.mendeley.com/documents/?uuid=14811bac-cd87-440c-ba01-c8a7b8414045"]}],"mendeley":{"formattedCitation":"[12,13]","plainTextFormattedCitation":"[12,13]","previouslyFormattedCitation":"[12,13]"},"properties":{"noteIndex":0},"schema":"https://github.com/citation-style-language/schema/raw/master/csl-citation.json"}</w:instrText>
      </w:r>
      <w:r w:rsidRPr="006E6EE8">
        <w:rPr>
          <w:i/>
          <w:iCs/>
        </w:rPr>
        <w:fldChar w:fldCharType="separate"/>
      </w:r>
      <w:r w:rsidRPr="006E6EE8">
        <w:rPr>
          <w:noProof/>
        </w:rPr>
        <w:t>[12,13]</w:t>
      </w:r>
      <w:r w:rsidRPr="006E6EE8">
        <w:rPr>
          <w:i/>
          <w:iCs/>
        </w:rPr>
        <w:fldChar w:fldCharType="end"/>
      </w:r>
      <w:r w:rsidRPr="006E6EE8">
        <w:t>.</w:t>
      </w:r>
      <w:r w:rsidRPr="006E6EE8">
        <w:rPr>
          <w:i/>
          <w:iCs/>
        </w:rPr>
        <w:t xml:space="preserve"> </w:t>
      </w:r>
      <w:r w:rsidRPr="006E6EE8">
        <w:t xml:space="preserve">Although </w:t>
      </w:r>
      <w:r w:rsidRPr="006E6EE8">
        <w:rPr>
          <w:i/>
          <w:iCs/>
        </w:rPr>
        <w:t>SMN2</w:t>
      </w:r>
      <w:r w:rsidRPr="006E6EE8">
        <w:t xml:space="preserve"> copy number has some bearing on phenotypic outcome with an increased copy number generally predicting a less severe SMA phenotype, this is not the case for all SMA patients, and there remains outstanding questions regarding modifiers of SMA severity </w:t>
      </w:r>
      <w:r w:rsidRPr="006E6EE8">
        <w:fldChar w:fldCharType="begin" w:fldLock="1"/>
      </w:r>
      <w:r w:rsidRPr="006E6EE8">
        <w:instrText>ADDIN CSL_CITATION {"citationItems":[{"id":"ITEM-1","itemData":{"DOI":"10.1146/annurev-genom-102319-103602","ISSN":"1545293X","PMID":"32004094","abstract":"Twenty-five years ago, the underlying genetic cause for one of the most common and devastating inherited diseases in humans, spinal muscular atrophy (SMA), was identified. Homozygous deletions or, rarely, subtle mutations of SMN1 cause SMA, and the copy number of the nearly identical copy gene SMN2 inversely correlates with disease severity. SMA has become a paradigm and a prime example of a monogenic neurological disorder that can be efficiently ameliorated or nearly cured by novel therapeutic strategies, such as antisense oligonucleotide or gene replacement therapy. These therapies enable infants to survive who might otherwise have died before the age of two and allow individuals who have never been able to sit or walk to do both. The major milestones on the road to these therapies were to understand the genetic cause and splice regulation of SMN genes, the disease's phenotype-genotype variability, the function of the protein and the main affected cellular pathways and tissues, the disease's pathophysiology through research on animal models, the windows of opportunity for efficient treatment, and how and when to treat patients most effectively.This review aims to bridge our knowledge from phenotype to genotype to therapy, not only highlighting the significant advances so far but also speculating about the future of SMA screening and treatment.","author":[{"dropping-particle":"","family":"Wirth","given":"Brunhilde","non-dropping-particle":"","parse-names":false,"suffix":""},{"dropping-particle":"","family":"Karakaya","given":"Mert","non-dropping-particle":"","parse-names":false,"suffix":""},{"dropping-particle":"","family":"Kye","given":"Min Jeong","non-dropping-particle":"","parse-names":false,"suffix":""},{"dropping-particle":"","family":"Mendoza-Ferreira","given":"Natalia","non-dropping-particle":"","parse-names":false,"suffix":""}],"container-title":"Annual Review of Genomics and Human Genetics","id":"ITEM-1","issued":{"date-parts":[["2020"]]},"page":"231-261","title":"Twenty-Five Years of Spinal Muscular Atrophy Research: From Phenotype to Genotype to Therapy, and What Comes Next","type":"article-journal","volume":"21"},"uris":["http://www.mendeley.com/documents/?uuid=218513b4-375b-4fac-a4c4-702b66cbbb92"]},{"id":"ITEM-2","itemData":{"DOI":"10.1016/j.nmd.2018.01.003","ISSN":"18732364","PMID":"29433793","abstract":"Spinal muscular atrophy (SMA) is a neuromuscular disorder caused by loss or mutations in SMN1. According to age of onset, achieved motor abilities, and life span, SMA patients are classified into type I (never sit), II (never walk unaided) or III (achieve independent walking abilities). SMN2, the highly homologous copy of SMN1, is considered the most important phenotypic modifier of the disease. Determination of SMN2 copy number is essential to establish careful genotype–phenotype correlations, predict disease evolution, and to stratify patients for clinical trials. We have determined SMN2 copy numbers in 625 unrelated Spanish SMA patients with loss or mutation of both copies of SMN1 and a clear assignation of the SMA type by clinical criteria. Furthermore, we compiled data from relevant worldwide reports that link SMN2 copy number with SMA severity published from 1999 to date (2834 patients with different ethnic and geographic backgrounds). Altogether, we have assembled a database with a total of 3459 patients to delineate more universal prognostic rules regarding the influence of SMN2 copy number on SMA phenotype. This issue is crucial in the present scenario of therapeutic advances with the perspective of SMA neonatal screening and early diagnosis to initiate treatments.","author":[{"dropping-particle":"","family":"Calucho","given":"Maite","non-dropping-particle":"","parse-names":false,"suffix":""},{"dropping-particle":"","family":"Bernal","given":"Sara","non-dropping-particle":"","parse-names":false,"suffix":""},{"dropping-particle":"","family":"Alías","given":"Laura","non-dropping-particle":"","parse-names":false,"suffix":""},{"dropping-particle":"","family":"March","given":"Francesca","non-dropping-particle":"","parse-names":false,"suffix":""},{"dropping-particle":"","family":"Venceslá","given":"Adoración","non-dropping-particle":"","parse-names":false,"suffix":""},{"dropping-particle":"","family":"Rodríguez-Álvarez","given":"Francisco J.","non-dropping-particle":"","parse-names":false,"suffix":""},{"dropping-particle":"","family":"Aller","given":"Elena","non-dropping-particle":"","parse-names":false,"suffix":""},{"dropping-particle":"","family":"Fernández","given":"Raquel M.","non-dropping-particle":"","parse-names":false,"suffix":""},{"dropping-particle":"","family":"Borrego","given":"Salud","non-dropping-particle":"","parse-names":false,"suffix":""},{"dropping-particle":"","family":"Millán","given":"José M.","non-dropping-particle":"","parse-names":false,"suffix":""},{"dropping-particle":"","family":"Hernández-Chico","given":"Concepción","non-dropping-particle":"","parse-names":false,"suffix":""},{"dropping-particle":"","family":"Cuscó","given":"Ivon","non-dropping-particle":"","parse-names":false,"suffix":""},{"dropping-particle":"","family":"Fuentes-Prior","given":"Pablo","non-dropping-particle":"","parse-names":false,"suffix":""},{"dropping-particle":"","family":"Tizzano","given":"Eduardo F.","non-dropping-particle":"","parse-names":false,"suffix":""}],"container-title":"Neuromuscular Disorders","id":"ITEM-2","issue":"3","issued":{"date-parts":[["2018"]]},"page":"208-215","publisher":"Elsevier B.V.","title":"Correlation between SMA type and SMN2 copy number revisited: An analysis of 625 unrelated Spanish patients and a compilation of 2834 reported cases","type":"article-journal","volume":"28"},"uris":["http://www.mendeley.com/documents/?uuid=4933b594-8a61-49ef-884f-5ae33d1ee0e8"]}],"mendeley":{"formattedCitation":"[14,15]","plainTextFormattedCitation":"[14,15]","previouslyFormattedCitation":"[14,15]"},"properties":{"noteIndex":0},"schema":"https://github.com/citation-style-language/schema/raw/master/csl-citation.json"}</w:instrText>
      </w:r>
      <w:r w:rsidRPr="006E6EE8">
        <w:fldChar w:fldCharType="separate"/>
      </w:r>
      <w:r w:rsidRPr="006E6EE8">
        <w:rPr>
          <w:noProof/>
        </w:rPr>
        <w:t>[14,15]</w:t>
      </w:r>
      <w:r w:rsidRPr="006E6EE8">
        <w:fldChar w:fldCharType="end"/>
      </w:r>
      <w:r w:rsidRPr="006E6EE8">
        <w:t>.</w:t>
      </w:r>
    </w:p>
    <w:p w14:paraId="2BD262E8" w14:textId="77777777" w:rsidR="00786B93" w:rsidRPr="006E6EE8" w:rsidRDefault="00786B93" w:rsidP="00595196">
      <w:pPr>
        <w:pStyle w:val="MDPI31text"/>
      </w:pPr>
      <w:r w:rsidRPr="006E6EE8">
        <w:lastRenderedPageBreak/>
        <w:t xml:space="preserve">Traditionally, SMA is classified into four clinical sub-types depending on the developmental milestones reached: type 0 (severe neonatal), type I (severe), type II (intermediate), type III (mild) and type IV (adult-onset) </w:t>
      </w:r>
      <w:r w:rsidRPr="006E6EE8">
        <w:fldChar w:fldCharType="begin" w:fldLock="1"/>
      </w:r>
      <w:r w:rsidRPr="006E6EE8">
        <w:instrText>ADDIN CSL_CITATION {"citationItems":[{"id":"ITEM-1","itemData":{"DOI":"10.1016/j.nmd.2017.11.005","ISSN":"18732364","PMID":"29290580","abstract":"Spinal muscular atrophy (SMA) is a severe neuromuscular disorder due to a defect in the survival motor neuron 1 (SMN1) gene. Its incidence is approximately 1 in 11,000 live births. In 2007, an International Conference on the Standard of Care for SMA published a consensus statement on SMA standard of care that has been widely used throughout the world. Here we report a two-part update of the topics covered in the previous recommendations. In part 1 we present the methods used to achieve these recommendations, and an update on diagnosis, rehabilitation, orthopedic and spinal management; and nutritional, swallowing and gastrointestinal management. Pulmonary management, acute care, other organ involvement, ethical issues, medications, and the impact of new treatments for SMA are discussed in part 2.","author":[{"dropping-particle":"","family":"Mercuri","given":"Eugenio","non-dropping-particle":"","parse-names":false,"suffix":""},{"dropping-particle":"","family":"Finkel","given":"Richard S.","non-dropping-particle":"","parse-names":false,"suffix":""},{"dropping-particle":"","family":"Muntoni","given":"Francesco","non-dropping-particle":"","parse-names":false,"suffix":""},{"dropping-particle":"","family":"Wirth","given":"Brunhilde","non-dropping-particle":"","parse-names":false,"suffix":""},{"dropping-particle":"","family":"Montes","given":"Jacqueline","non-dropping-particle":"","parse-names":false,"suffix":""},{"dropping-particle":"","family":"Main","given":"Marion","non-dropping-particle":"","parse-names":false,"suffix":""},{"dropping-particle":"","family":"Mazzone","given":"Elena","non-dropping-particle":"","parse-names":false,"suffix":""},{"dropping-particle":"","family":"Vitale","given":"Michael","non-dropping-particle":"","parse-names":false,"suffix":""},{"dropping-particle":"","family":"Snyder","given":"Brian","non-dropping-particle":"","parse-names":false,"suffix":""},{"dropping-particle":"","family":"Quijano-Roy","given":"Susana","non-dropping-particle":"","parse-names":false,"suffix":""},{"dropping-particle":"","family":"Bertini","given":"Enrico","non-dropping-particle":"","parse-names":false,"suffix":""},{"dropping-particle":"","family":"Davis","given":"Rebecca Hurst","non-dropping-particle":"","parse-names":false,"suffix":""},{"dropping-particle":"","family":"Meyer","given":"Oscar H.","non-dropping-particle":"","parse-names":false,"suffix":""},{"dropping-particle":"","family":"Simonds","given":"Anita K.","non-dropping-particle":"","parse-names":false,"suffix":""},{"dropping-particle":"","family":"Schroth","given":"Mary K.","non-dropping-particle":"","parse-names":false,"suffix":""},{"dropping-particle":"","family":"Graham","given":"Robert J.","non-dropping-particle":"","parse-names":false,"suffix":""},{"dropping-particle":"","family":"Kirschner","given":"Janbernd","non-dropping-particle":"","parse-names":false,"suffix":""},{"dropping-particle":"","family":"Iannaccone","given":"Susan T.","non-dropping-particle":"","parse-names":false,"suffix":""},{"dropping-particle":"","family":"Crawford","given":"Thomas","non-dropping-particle":"","parse-names":false,"suffix":""},{"dropping-particle":"","family":"Woods","given":"Simon","non-dropping-particle":"","parse-names":false,"suffix":""},{"dropping-particle":"","family":"Qian","given":"Ying","non-dropping-particle":"","parse-names":false,"suffix":""},{"dropping-particle":"","family":"Sejersen","given":"Thomas","non-dropping-particle":"","parse-names":false,"suffix":""},{"dropping-particle":"","family":"Tiziano","given":"Francesco Danilo","non-dropping-particle":"","parse-names":false,"suffix":""},{"dropping-particle":"","family":"Tizzano","given":"Eduardo","non-dropping-particle":"","parse-names":false,"suffix":""},{"dropping-particle":"","family":"Swoboda","given":"Kathryn","non-dropping-particle":"","parse-names":false,"suffix":""},{"dropping-particle":"","family":"Swoboda","given":"Kathy","non-dropping-particle":"","parse-names":false,"suffix":""},{"dropping-particle":"","family":"Laing","given":"Nigel","non-dropping-particle":"","parse-names":false,"suffix":""},{"dropping-particle":"","family":"Kayoko","given":"Saito","non-dropping-particle":"","parse-names":false,"suffix":""},{"dropping-particle":"","family":"Prior","given":"Thomas","non-dropping-particle":"","parse-names":false,"suffix":""},{"dropping-particle":"","family":"Chung","given":"Wendy K.","non-dropping-particle":"","parse-names":false,"suffix":""},{"dropping-particle":"","family":"Wu","given":"Shou Mei","non-dropping-particle":"","parse-names":false,"suffix":""},{"dropping-particle":"","family":"Coleman","given":"Caron","non-dropping-particle":"","parse-names":false,"suffix":""},{"dropping-particle":"","family":"Gee","given":"Richard","non-dropping-particle":"","parse-names":false,"suffix":""},{"dropping-particle":"","family":"Glanzman","given":"Allan","non-dropping-particle":"","parse-names":false,"suffix":""},{"dropping-particle":"","family":"Kroksmark","given":"Anna Karin","non-dropping-particle":"","parse-names":false,"suffix":""},{"dropping-particle":"","family":"Krosschell","given":"Kristin","non-dropping-particle":"","parse-names":false,"suffix":""},{"dropping-particle":"","family":"Nelson","given":"Leslie","non-dropping-particle":"","parse-names":false,"suffix":""},{"dropping-particle":"","family":"Rose","given":"Kristy","non-dropping-particle":"","parse-names":false,"suffix":""},{"dropping-particle":"","family":"Stępień","given":"Agnieszka","non-dropping-particle":"","parse-names":false,"suffix":""},{"dropping-particle":"","family":"Vuillerot","given":"Carole","non-dropping-particle":"","parse-names":false,"suffix":""},{"dropping-particle":"","family":"Dubousset","given":"Jean","non-dropping-particle":"","parse-names":false,"suffix":""},{"dropping-particle":"","family":"Farrington","given":"David","non-dropping-particle":"","parse-names":false,"suffix":""},{"dropping-particle":"","family":"Flynn","given":"Jack","non-dropping-particle":"","parse-names":false,"suffix":""},{"dropping-particle":"","family":"Halanski","given":"Matthew","non-dropping-particle":"","parse-names":false,"suffix":""},{"dropping-particle":"","family":"Hasler","given":"Carol","non-dropping-particle":"","parse-names":false,"suffix":""},{"dropping-particle":"","family":"Miladi","given":"Lotfi","non-dropping-particle":"","parse-names":false,"suffix":""},{"dropping-particle":"","family":"Reilly","given":"Christopher","non-dropping-particle":"","parse-names":false,"suffix":""},{"dropping-particle":"","family":"Roye","given":"Benjamin","non-dropping-particle":"","parse-names":false,"suffix":""},{"dropping-particle":"","family":"Sponseller","given":"Paul","non-dropping-particle":"","parse-names":false,"suffix":""},{"dropping-particle":"","family":"Hurst","given":"Rebecca","non-dropping-particle":"","parse-names":false,"suffix":""},{"dropping-particle":"","family":"Tarrant","given":"Stacey","non-dropping-particle":"","parse-names":false,"suffix":""},{"dropping-particle":"","family":"Barja","given":"Salesa","non-dropping-particle":"","parse-names":false,"suffix":""},{"dropping-particle":"","family":"Foust","given":"Kevin","non-dropping-particle":"","parse-names":false,"suffix":""},{"dropping-particle":"","family":"Kyle","given":"Barbara","non-dropping-particle":"","parse-names":false,"suffix":""},{"dropping-particle":"","family":"Rodan","given":"Lance","non-dropping-particle":"","parse-names":false,"suffix":""},{"dropping-particle":"","family":"Roper","given":"Helen","non-dropping-particle":"","parse-names":false,"suffix":""},{"dropping-particle":"","family":"Seffrood","given":"Erin","non-dropping-particle":"","parse-names":false,"suffix":""},{"dropping-particle":"","family":"Szlagatys-Sidorkiewicz","given":"Agnieszka","non-dropping-particle":"","parse-names":false,"suffix":""}],"container-title":"Neuromuscular Disorders","id":"ITEM-1","issue":"2","issued":{"date-parts":[["2018"]]},"page":"103-115","title":"Diagnosis and management of spinal muscular atrophy: Part 1: Recommendations for diagnosis, rehabilitation, orthopedic and nutritional care","type":"article-journal","volume":"28"},"uris":["http://www.mendeley.com/documents/?uuid=6dc5aaeb-e30a-4389-997b-71fa53f926ca"]},{"id":"ITEM-2","itemData":{"DOI":"10.1016/j.nmd.2017.11.004","ISSN":"18732364","PMID":"29305137","abstract":"This is the second half of a two-part document updating the standard of care recommendations for spinal muscular atrophy published in 2007. This part includes updated recommendations on pulmonary management and acute care issues, and topics that have emerged in the last few years such as other organ involvement in the severe forms of spinal muscular atrophy and the role of medications. Ethical issues and the choice of palliative versus supportive care are also addressed. These recommendations are becoming increasingly relevant given recent clinical trials and the prospect that commercially available therapies will likely change the survival and natural history of this disease.","author":[{"dropping-particle":"","family":"Finkel","given":"Richard S.","non-dropping-particle":"","parse-names":false,"suffix":""},{"dropping-particle":"","family":"Mercuri","given":"Eugenio","non-dropping-particle":"","parse-names":false,"suffix":""},{"dropping-particle":"","family":"Meyer","given":"Oscar H.","non-dropping-particle":"","parse-names":false,"suffix":""},{"dropping-particle":"","family":"Simonds","given":"Anita K.","non-dropping-particle":"","parse-names":false,"suffix":""},{"dropping-particle":"","family":"Schroth","given":"Mary K.","non-dropping-particle":"","parse-names":false,"suffix":""},{"dropping-particle":"","family":"Graham","given":"Robert J.","non-dropping-particle":"","parse-names":false,"suffix":""},{"dropping-particle":"","family":"Kirschner","given":"Janbernd","non-dropping-particle":"","parse-names":false,"suffix":""},{"dropping-particle":"","family":"Iannaccone","given":"Susan T.","non-dropping-particle":"","parse-names":false,"suffix":""},{"dropping-particle":"","family":"Crawford","given":"Thomas O.","non-dropping-particle":"","parse-names":false,"suffix":""},{"dropping-particle":"","family":"Woods","given":"Simon","non-dropping-particle":"","parse-names":false,"suffix":""},{"dropping-particle":"","family":"Muntoni","given":"Francesco","non-dropping-particle":"","parse-names":false,"suffix":""},{"dropping-particle":"","family":"Wirth","given":"Brunhilde","non-dropping-particle":"","parse-names":false,"suffix":""},{"dropping-particle":"","family":"Montes","given":"Jacqueline","non-dropping-particle":"","parse-names":false,"suffix":""},{"dropping-particle":"","family":"Main","given":"Marion","non-dropping-particle":"","parse-names":false,"suffix":""},{"dropping-particle":"","family":"Mazzone","given":"Elena S.","non-dropping-particle":"","parse-names":false,"suffix":""},{"dropping-particle":"","family":"Vitale","given":"Michael","non-dropping-particle":"","parse-names":false,"suffix":""},{"dropping-particle":"","family":"Snyder","given":"Brian","non-dropping-particle":"","parse-names":false,"suffix":""},{"dropping-particle":"","family":"Quijano-Roy","given":"Susana","non-dropping-particle":"","parse-names":false,"suffix":""},{"dropping-particle":"","family":"Bertini","given":"Enrico","non-dropping-particle":"","parse-names":false,"suffix":""},{"dropping-particle":"","family":"Davis","given":"Rebecca Hurst","non-dropping-particle":"","parse-names":false,"suffix":""},{"dropping-particle":"","family":"Qian","given":"Ying","non-dropping-particle":"","parse-names":false,"suffix":""},{"dropping-particle":"","family":"Sejersen","given":"Thomas","non-dropping-particle":"","parse-names":false,"suffix":""}],"container-title":"Neuromuscular Disorders","id":"ITEM-2","issue":"3","issued":{"date-parts":[["2018"]]},"page":"197-207","publisher":"Elsevier B.V.","title":"Diagnosis and management of spinal muscular atrophy: Part 2: Pulmonary and acute care; medications, supplements and immunizations; other organ systems; and ethics","type":"article-journal","volume":"28"},"uris":["http://www.mendeley.com/documents/?uuid=6276320c-2e03-4e6f-8746-edf8060ac135"]}],"mendeley":{"formattedCitation":"[1,2]","plainTextFormattedCitation":"[1,2]","previouslyFormattedCitation":"[1,2]"},"properties":{"noteIndex":0},"schema":"https://github.com/citation-style-language/schema/raw/master/csl-citation.json"}</w:instrText>
      </w:r>
      <w:r w:rsidRPr="006E6EE8">
        <w:fldChar w:fldCharType="separate"/>
      </w:r>
      <w:r w:rsidRPr="006E6EE8">
        <w:rPr>
          <w:noProof/>
        </w:rPr>
        <w:t>[1,2]</w:t>
      </w:r>
      <w:r w:rsidRPr="006E6EE8">
        <w:fldChar w:fldCharType="end"/>
      </w:r>
      <w:r w:rsidRPr="006E6EE8">
        <w:rPr>
          <w:rStyle w:val="CommentReference"/>
        </w:rPr>
        <w:t>.</w:t>
      </w:r>
      <w:r w:rsidRPr="006E6EE8">
        <w:t xml:space="preserve"> Current treatments in the clinic are focussed on restoring SMN protein levels in patients either by delivering cDNA of </w:t>
      </w:r>
      <w:r w:rsidRPr="006E6EE8">
        <w:rPr>
          <w:i/>
          <w:iCs/>
        </w:rPr>
        <w:t>SMN1</w:t>
      </w:r>
      <w:r w:rsidRPr="006E6EE8">
        <w:t xml:space="preserve"> using a viral vector (AAV9) to the cells (Onasemnogene abeparvovec) or by manipulating </w:t>
      </w:r>
      <w:r w:rsidRPr="006E6EE8">
        <w:rPr>
          <w:i/>
          <w:iCs/>
        </w:rPr>
        <w:t>SMN2</w:t>
      </w:r>
      <w:r w:rsidRPr="006E6EE8">
        <w:t xml:space="preserve"> mRNA splicing so that exon 7 is included (Nusinersen and Risdiplam) thus upregulating functional protein production </w:t>
      </w:r>
      <w:r w:rsidRPr="006E6EE8">
        <w:fldChar w:fldCharType="begin" w:fldLock="1"/>
      </w:r>
      <w:r w:rsidRPr="006E6EE8">
        <w:instrText>ADDIN CSL_CITATION {"citationItems":[{"id":"ITEM-1","itemData":{"DOI":"10.1080/14656566.2019.1704732","ISSN":"17447666","abstract":"Introduction: Spinal muscular atrophy (SMA) is one of the most common inherited neuromuscular disorders. It causes progressive muscle weakness and results in significant disability. Until recently, there were no drugs available for the treatment of SMA. Several phase 1–3 studies, including three double-blind randomized placebo-controlled studies have demonstrated the efficacy of disease-modifying approaches including gene replacement therapy, antisense oligonucleotides, and splicing modifiers. Areas covered: This article covers the publically available data on therapeutic strategies that address the underlying cause of SMA and clinical data available on approved treatments and drugs in the pipeline. Expert opinion: The newer therapeutic options in SMA have a good safety profile and deliver a therapeutic benefit in most patients. It is essential that the recommended standards of care are delivered along with the drugs for the best outcomes. No biomarkers to distinguish responders from non-responders are available; it is important that biomarkers be identified. Early treatment is essential for the maximum efficacy of the newly available treatments.","author":[{"dropping-particle":"","family":"Ramdas","given":"Sithara","non-dropping-particle":"","parse-names":false,"suffix":""},{"dropping-particle":"","family":"Servais","given":"Laurent","non-dropping-particle":"","parse-names":false,"suffix":""}],"container-title":"Expert Opinion on Pharmacotherapy","id":"ITEM-1","issue":"3","issued":{"date-parts":[["2020"]]},"page":"307-315","publisher":"Taylor &amp; Francis","title":"New treatments in spinal muscular atrophy: an overview of currently available data","type":"article-journal","volume":"21"},"uris":["http://www.mendeley.com/documents/?uuid=f6bb64ee-cbd0-45e9-990d-155ee495d8d3"]}],"mendeley":{"formattedCitation":"[16]","plainTextFormattedCitation":"[16]","previouslyFormattedCitation":"[16]"},"properties":{"noteIndex":0},"schema":"https://github.com/citation-style-language/schema/raw/master/csl-citation.json"}</w:instrText>
      </w:r>
      <w:r w:rsidRPr="006E6EE8">
        <w:fldChar w:fldCharType="separate"/>
      </w:r>
      <w:r w:rsidRPr="006E6EE8">
        <w:rPr>
          <w:noProof/>
        </w:rPr>
        <w:t>[16]</w:t>
      </w:r>
      <w:r w:rsidRPr="006E6EE8">
        <w:fldChar w:fldCharType="end"/>
      </w:r>
      <w:r w:rsidRPr="006E6EE8">
        <w:t xml:space="preserve">. These treatments have varied success and are beginning to alter the established natural progression of SMA, resulting in the generation of new phenotypes that span the typical sub-types of SMA </w:t>
      </w:r>
      <w:r w:rsidRPr="006E6EE8">
        <w:fldChar w:fldCharType="begin" w:fldLock="1"/>
      </w:r>
      <w:r w:rsidRPr="006E6EE8">
        <w:instrText>ADDIN CSL_CITATION {"citationItems":[{"id":"ITEM-1","itemData":{"DOI":"10.3233/JND-190424","ISSN":"22143602","PMID":"31707373","abstract":"Spinal Muscular Atrophy (SMA) is caused by autosomal recessive mutations in SMN1 and results in the loss of motor neurons and progressive muscle weakness. The spectrum of disease severity ranges from early onset with respiratory failure during the first months of life to a mild, adult-onset type with slow rate of progression. Over the past decade, new treatment options such as splicing modulation of SMN2 and SMN1 gene replacement by gene therapy have been developed. First drugs have been approved for treatment of patients with SMA and if initiated early they can significantly modify the natural course of the disease. As a consequence, newborn screening for SMA is explored and implemented in an increasing number of countries. However, available evidence for these new treatments is often limited to a small spectrum of patients concerning age and disease stage. In this review we provide an overview of available and emerging therapies for spinal muscular atrophy and we discuss new phenotypes and associated challenges in clinical care. Collection of real-world data with standardized outcome measures will be essential to improve both the understanding of treatment effects in patients of all SMA subtypes and the basis for clinical decision-making in SMA.","author":[{"dropping-particle":"","family":"Schorling","given":"David C.","non-dropping-particle":"","parse-names":false,"suffix":""},{"dropping-particle":"","family":"Pechmann","given":"Astrid","non-dropping-particle":"","parse-names":false,"suffix":""},{"dropping-particle":"","family":"Kirschner","given":"Janbernd","non-dropping-particle":"","parse-names":false,"suffix":""}],"container-title":"Journal of Neuromuscular Diseases","id":"ITEM-1","issue":"1","issued":{"date-parts":[["2020"]]},"page":"1-13","title":"Advances in Treatment of Spinal Muscular Atrophy - New Phenotypes, New Challenges, New Implications for Care","type":"article-journal","volume":"7"},"uris":["http://www.mendeley.com/documents/?uuid=22825e1e-ca8f-4041-a3c8-4892d5ce867f"]}],"mendeley":{"formattedCitation":"[17]","plainTextFormattedCitation":"[17]","previouslyFormattedCitation":"[17]"},"properties":{"noteIndex":0},"schema":"https://github.com/citation-style-language/schema/raw/master/csl-citation.json"}</w:instrText>
      </w:r>
      <w:r w:rsidRPr="006E6EE8">
        <w:fldChar w:fldCharType="separate"/>
      </w:r>
      <w:r w:rsidRPr="006E6EE8">
        <w:rPr>
          <w:noProof/>
        </w:rPr>
        <w:t>[17]</w:t>
      </w:r>
      <w:r w:rsidRPr="006E6EE8">
        <w:fldChar w:fldCharType="end"/>
      </w:r>
      <w:r w:rsidRPr="006E6EE8">
        <w:t>.</w:t>
      </w:r>
    </w:p>
    <w:p w14:paraId="41293772" w14:textId="77777777" w:rsidR="00786B93" w:rsidRPr="006E6EE8" w:rsidRDefault="00786B93" w:rsidP="00595196">
      <w:pPr>
        <w:pStyle w:val="MDPI31text"/>
      </w:pPr>
      <w:r w:rsidRPr="006E6EE8">
        <w:t xml:space="preserve">Preclinical and clinical studies have shown that SMN has an important role during development, suggesting that increasing SMN levels after birth may not be sufficient to successfully treat every aspect of the disease. It is known, for example, that reduced SMN levels in neonatal mice results in an SMA-like phenotype but depletion of SMN in adult mice has relatively little effect </w:t>
      </w:r>
      <w:r w:rsidRPr="006E6EE8">
        <w:fldChar w:fldCharType="begin" w:fldLock="1"/>
      </w:r>
      <w:r w:rsidRPr="006E6EE8">
        <w:instrText>ADDIN CSL_CITATION {"citationItems":[{"id":"ITEM-1","itemData":{"DOI":"10.1093/hmg/ddr275","ISSN":"09646906","PMID":"21672919","abstract":"Spinal muscular atrophy (SMA) is caused by loss of the survival motor neuron 1 gene (SMN1) and retention of the SMN2 gene, resulting in reduced SMN. SMA mice can be rescued with high expression of SMN in neurons, but when is this high expression required? We have developed a SMA mouse with inducible expression of SMN to address the temporal requirement for high SMN expression. Both embryonic and early postnatal induction of SMN resulted in a dramatic increase in survival with some mice living greater than 200 days. The mice had no marked motor deficits and neuromuscular junction (NMJ) function was near normal thus it appears that induction of SMN in postnatal SMA mice rescues motor function. Early postnatal SMN induction, followed by a 1-month removal of induction at 28 days of age, resulted in no morphological or electrophysiological abnormalities at the NMJ and no overt motor phenotype. Upon removal of SMN induction, five mice survived for just over 1 month and two female mice have survived past 8 months of age. We suggest that there is a postnatal period of time when high SMN levels are required. Furthermore, two copies of SMN2 provide the minimal amount of SMN necessary to maintain survival during adulthood. Finally, in the course of SMA, early induction of SMN is most efficacious. © The Author 2011. Published by Oxford University Press. All rights reserved.","author":[{"dropping-particle":"","family":"Le","given":"Thanh T.","non-dropping-particle":"","parse-names":false,"suffix":""},{"dropping-particle":"","family":"McGovern","given":"Vicki L.","non-dropping-particle":"","parse-names":false,"suffix":""},{"dropping-particle":"","family":"Alwine","given":"Isaac E.","non-dropping-particle":"","parse-names":false,"suffix":""},{"dropping-particle":"","family":"Wang","given":"Xueyong","non-dropping-particle":"","parse-names":false,"suffix":""},{"dropping-particle":"","family":"Massoni-Laporte","given":"Aurelie","non-dropping-particle":"","parse-names":false,"suffix":""},{"dropping-particle":"","family":"Rich","given":"Mark M.","non-dropping-particle":"","parse-names":false,"suffix":""},{"dropping-particle":"","family":"Burghes","given":"Arthur H.M.","non-dropping-particle":"","parse-names":false,"suffix":""}],"container-title":"Human Molecular Genetics","id":"ITEM-1","issue":"18","issued":{"date-parts":[["2011"]]},"page":"3578-3591","title":"Temporal requirement for high SMN expression in SMA mice","type":"article-journal","volume":"20"},"uris":["http://www.mendeley.com/documents/?uuid=01aaead5-27f4-4cba-8cd4-c2706209d795"]},{"id":"ITEM-2","itemData":{"DOI":"10.1172/JCI72017","ISBN":"1558-8238 (Electronic)\\r0021-9738 (Linking)","ISSN":"00219738","PMID":"24463453","abstract":"Spinal muscular atrophy is a common motor neuron disease caused by low survival motoneuron (SMN), a key protein in the proper splicing of genes. Restoring the protein is therefore a promising therapeutic strategy. Implementation of this strategy, however, depends on defining the temporal requirements for SMN. Here, we used controlled knockdown of SMN in transgenic mice to determine the precise postnatal stage requirements for this protein. Reducing SMN in neonatal mice resulted in a classic SMA-like phenotype. Unexpectedly, depletion of SMN in adults had relatively little effect. Insensitivity to low SMN emerged abruptly at postnatal day 17, which coincided with establishment of the fully mature neuromuscular junction (NMJ). Mature animals depleted of SMN eventually exhibited evidence of selective neuromuscular pathology that was made worse by traumatic injury. The ability to regenerate the mature NMJ in aged or injured SMN-depleted mice was grossly impaired, a likely consequence of the inability to meet the surge in demand for motoneuronal SMN that was seen in controls. Our results demonstrate that relative maturity of the NMJ determines the temporal requirement for the SMN protein. These observations suggest that the use of potent but potentially deleterious SMN-enhancing agents could be tapered in human patients once the neuromuscular system matures and reintroduced as needed to enhance SMN for remodeling aged or injured NMJs.","author":[{"dropping-particle":"","family":"Kariya","given":"Shingo","non-dropping-particle":"","parse-names":false,"suffix":""},{"dropping-particle":"","family":"Obis","given":"Teresa","non-dropping-particle":"","parse-names":false,"suffix":""},{"dropping-particle":"","family":"Garone","given":"Caterina","non-dropping-particle":"","parse-names":false,"suffix":""},{"dropping-particle":"","family":"Akay","given":"Turgay","non-dropping-particle":"","parse-names":false,"suffix":""},{"dropping-particle":"","family":"Sera","given":"Fusako","non-dropping-particle":"","parse-names":false,"suffix":""},{"dropping-particle":"","family":"Iwata","given":"Shinichi","non-dropping-particle":"","parse-names":false,"suffix":""},{"dropping-particle":"","family":"Homma","given":"Shunichi","non-dropping-particle":"","parse-names":false,"suffix":""},{"dropping-particle":"","family":"Monani","given":"Umrao R.","non-dropping-particle":"","parse-names":false,"suffix":""}],"container-title":"Journal of Clinical Investigation","id":"ITEM-2","issue":"2","issued":{"date-parts":[["2014"]]},"page":"785-800","title":"Requirement of enhanced Survival Motoneuron protein imposed during neuromuscular junction maturation","type":"article-journal","volume":"124"},"uris":["http://www.mendeley.com/documents/?uuid=e292f5e3-d6bd-4636-a589-afc7944e2617"]}],"mendeley":{"formattedCitation":"[18,19]","plainTextFormattedCitation":"[18,19]","previouslyFormattedCitation":"[18,19]"},"properties":{"noteIndex":0},"schema":"https://github.com/citation-style-language/schema/raw/master/csl-citation.json"}</w:instrText>
      </w:r>
      <w:r w:rsidRPr="006E6EE8">
        <w:fldChar w:fldCharType="separate"/>
      </w:r>
      <w:r w:rsidRPr="006E6EE8">
        <w:rPr>
          <w:noProof/>
        </w:rPr>
        <w:t>[18,19]</w:t>
      </w:r>
      <w:r w:rsidRPr="006E6EE8">
        <w:fldChar w:fldCharType="end"/>
      </w:r>
      <w:r w:rsidRPr="006E6EE8">
        <w:t>.</w:t>
      </w:r>
      <w:r w:rsidRPr="006E6EE8">
        <w:rPr>
          <w:i/>
          <w:iCs/>
        </w:rPr>
        <w:t xml:space="preserve"> </w:t>
      </w:r>
      <w:r w:rsidRPr="006E6EE8">
        <w:t xml:space="preserve">The timing of insensitivity to low SMN coincides with full maturation of the motor unit </w:t>
      </w:r>
      <w:r w:rsidRPr="006E6EE8">
        <w:fldChar w:fldCharType="begin" w:fldLock="1"/>
      </w:r>
      <w:r w:rsidRPr="006E6EE8">
        <w:instrText>ADDIN CSL_CITATION {"citationItems":[{"id":"ITEM-1","itemData":{"DOI":"10.1172/JCI72017","ISBN":"1558-8238 (Electronic)\\r0021-9738 (Linking)","ISSN":"00219738","PMID":"24463453","abstract":"Spinal muscular atrophy is a common motor neuron disease caused by low survival motoneuron (SMN), a key protein in the proper splicing of genes. Restoring the protein is therefore a promising therapeutic strategy. Implementation of this strategy, however, depends on defining the temporal requirements for SMN. Here, we used controlled knockdown of SMN in transgenic mice to determine the precise postnatal stage requirements for this protein. Reducing SMN in neonatal mice resulted in a classic SMA-like phenotype. Unexpectedly, depletion of SMN in adults had relatively little effect. Insensitivity to low SMN emerged abruptly at postnatal day 17, which coincided with establishment of the fully mature neuromuscular junction (NMJ). Mature animals depleted of SMN eventually exhibited evidence of selective neuromuscular pathology that was made worse by traumatic injury. The ability to regenerate the mature NMJ in aged or injured SMN-depleted mice was grossly impaired, a likely consequence of the inability to meet the surge in demand for motoneuronal SMN that was seen in controls. Our results demonstrate that relative maturity of the NMJ determines the temporal requirement for the SMN protein. These observations suggest that the use of potent but potentially deleterious SMN-enhancing agents could be tapered in human patients once the neuromuscular system matures and reintroduced as needed to enhance SMN for remodeling aged or injured NMJs.","author":[{"dropping-particle":"","family":"Kariya","given":"Shingo","non-dropping-particle":"","parse-names":false,"suffix":""},{"dropping-particle":"","family":"Obis","given":"Teresa","non-dropping-particle":"","parse-names":false,"suffix":""},{"dropping-particle":"","family":"Garone","given":"Caterina","non-dropping-particle":"","parse-names":false,"suffix":""},{"dropping-particle":"","family":"Akay","given":"Turgay","non-dropping-particle":"","parse-names":false,"suffix":""},{"dropping-particle":"","family":"Sera","given":"Fusako","non-dropping-particle":"","parse-names":false,"suffix":""},{"dropping-particle":"","family":"Iwata","given":"Shinichi","non-dropping-particle":"","parse-names":false,"suffix":""},{"dropping-particle":"","family":"Homma","given":"Shunichi","non-dropping-particle":"","parse-names":false,"suffix":""},{"dropping-particle":"","family":"Monani","given":"Umrao R.","non-dropping-particle":"","parse-names":false,"suffix":""}],"container-title":"Journal of Clinical Investigation","id":"ITEM-1","issue":"2","issued":{"date-parts":[["2014"]]},"page":"785-800","title":"Requirement of enhanced Survival Motoneuron protein imposed during neuromuscular junction maturation","type":"article-journal","volume":"124"},"uris":["http://www.mendeley.com/documents/?uuid=e292f5e3-d6bd-4636-a589-afc7944e2617"]}],"mendeley":{"formattedCitation":"[19]","plainTextFormattedCitation":"[19]","previouslyFormattedCitation":"[19]"},"properties":{"noteIndex":0},"schema":"https://github.com/citation-style-language/schema/raw/master/csl-citation.json"}</w:instrText>
      </w:r>
      <w:r w:rsidRPr="006E6EE8">
        <w:fldChar w:fldCharType="separate"/>
      </w:r>
      <w:r w:rsidRPr="006E6EE8">
        <w:rPr>
          <w:noProof/>
        </w:rPr>
        <w:t>[19]</w:t>
      </w:r>
      <w:r w:rsidRPr="006E6EE8">
        <w:fldChar w:fldCharType="end"/>
      </w:r>
      <w:r w:rsidRPr="006E6EE8">
        <w:t xml:space="preserve">, and in line with this, restoration of SMN after this time fails to produce a therapeutic benefit in SMA mice </w:t>
      </w:r>
      <w:r w:rsidRPr="006E6EE8">
        <w:fldChar w:fldCharType="begin" w:fldLock="1"/>
      </w:r>
      <w:r w:rsidRPr="006E6EE8">
        <w:instrText xml:space="preserve">ADDIN CSL_CITATION {"citationItems":[{"id":"ITEM-1","itemData":{"DOI":"10.1093/hmg/ddr275","ISSN":"09646906","PMID":"21672919","abstract":"Spinal muscular atrophy (SMA) is caused by loss of the survival motor neuron 1 gene (SMN1) and retention of the SMN2 gene, resulting in reduced SMN. SMA mice can be rescued with high expression of SMN in neurons, but when is this high expression required? We have developed a SMA mouse with inducible expression of SMN to address the temporal requirement for high SMN expression. Both embryonic and early postnatal induction of SMN resulted in a dramatic increase in survival with some mice living greater than 200 days. The mice had no marked motor deficits and neuromuscular junction (NMJ) function was near normal thus it appears that induction of SMN in postnatal SMA mice rescues motor function. Early postnatal SMN induction, followed by a 1-month removal of induction at 28 days of age, resulted in no morphological or electrophysiological abnormalities at the NMJ and no overt motor phenotype. Upon removal of SMN induction, five mice survived for just over 1 month and two female mice have survived past 8 months of age. We suggest that there is a postnatal period of time when high SMN levels are required. Furthermore, two copies of SMN2 provide the minimal amount of SMN necessary to maintain survival during adulthood. Finally, in the course of SMA, early induction of SMN is most efficacious. © The Author 2011. Published by Oxford University Press. All rights reserved.","author":[{"dropping-particle":"","family":"Le","given":"Thanh T.","non-dropping-particle":"","parse-names":false,"suffix":""},{"dropping-particle":"","family":"McGovern","given":"Vicki L.","non-dropping-particle":"","parse-names":false,"suffix":""},{"dropping-particle":"","family":"Alwine","given":"Isaac E.","non-dropping-particle":"","parse-names":false,"suffix":""},{"dropping-particle":"","family":"Wang","given":"Xueyong","non-dropping-particle":"","parse-names":false,"suffix":""},{"dropping-particle":"","family":"Massoni-Laporte","given":"Aurelie","non-dropping-particle":"","parse-names":false,"suffix":""},{"dropping-particle":"","family":"Rich","given":"Mark M.","non-dropping-particle":"","parse-names":false,"suffix":""},{"dropping-particle":"","family":"Burghes","given":"Arthur H.M.","non-dropping-particle":"","parse-names":false,"suffix":""}],"container-title":"Human Molecular Genetics","id":"ITEM-1","issue":"18","issued":{"date-parts":[["2011"]]},"page":"3578-3591","title":"Temporal requirement for high SMN expression in SMA mice","type":"article-journal","volume":"20"},"uris":["http://www.mendeley.com/documents/?uuid=01aaead5-27f4-4cba-8cd4-c2706209d795"]},{"id":"ITEM-2","itemData":{"DOI":"10.1172/JCI57291","ISSN":"00219738","PMID":"21785219","abstract":"Spinal muscular atrophy (SMA) is a common neuromuscular disorder in humans. In fact, it is the most frequently inherited cause of infant mortality, being the result of mutations in the survival of motor neuron 1 (SMN1) gene that reduce levels of SMN protein. Restoring levels of SMN protein in individuals with SMA is perceived to be a viable therapeutic option, but the efficacy of such a strategy once symptoms are apparent has not been determined. We have generated mice harboring an inducible Smn rescue allele and used them in a model of SMA to investigate the effects of turning on SMN expression at different time points during the course of the disease. Restoring SMN protein even after disease onset was sufficient to reverse neuromuscular pathology and effect robust rescue of the SMA phenotype. Importantly, our findings also indicated that there was a therapeutic window of opportunity from P4 through P8 defined by the extent of neuromuscular synapse pathology and the ability of motor neurons to respond to SMN induction, following which restoration of the protein to the organism failed to produce therapeutic benefit. Nevertheless, our results suggest that even in severe SMA, timely reinstatement of the SMN protein may halt the progression of the disease and serve as an effective postsymptomatic treatment.","author":[{"dropping-particle":"","family":"Lutz","given":"Cathleen M.","non-dropping-particle":"","parse-names":false,"suffix":""},{"dropping-particle":"","family":"Kariya","given":"Shingo","non-dropping-particle":"","parse-names":false,"suffix":""},{"dropping-particle":"","family":"Patruni","given":"Sunita","non-dropping-particle":"","parse-names":false,"suffix":""},{"dropping-particle":"","family":"Osborne","given":"Melissa A.","non-dropping-particle":"","parse-names":false,"suffix":""},{"dropping-particle":"","family":"Liu","given":"Don","non-dropping-particle":"","parse-names":false,"suffix":""},{"dropping-particle":"","family":"Henderson","given":"Christopher E.","non-dropping-particle":"","parse-names":false,"suffix":""},{"dropping-particle":"","family":"Li","given":"Darrick K.","non-dropping-particle":"","parse-names":false,"suffix":""},{"dropping-particle":"","family":"Pellizzoni","given":"Livio","non-dropping-particle":"","parse-names":false,"suffix":""},{"dropping-particle":"","family":"Rojas","given":"José","non-dropping-particle":"","parse-names":false,"suffix":""},{"dropping-particle":"","family":"Valenzuela","given":"David M.","non-dropping-particle":"","parse-names":false,"suffix":""},{"dropping-particle":"","family":"Murphy","given":"Andrew J.","non-dropping-particle":"","parse-names":false,"suffix":""},{"dropping-particle":"","family":"Winberg","given":"Margaret L.","non-dropping-particle":"","parse-names":false,"suffix":""},{"dropping-particle":"","family":"Monani","given":"Umrao R.","non-dropping-particle":"","parse-names":false,"suffix":""}],"container-title":"Journal of Clinical Investigation","id":"ITEM-2","issue":"8","issued":{"date-parts":[["2011"]]},"page":"3029-3041","title":"Postsymptomatic restoration of SMN rescues the disease phenotype in a mouse model of severe spinal muscular atrophy","type":"article-journal","volume":"121"},"uris":["http://www.mendeley.com/documents/?uuid=bb7a22bd-c298-459f-a68d-7e553b943733"]},{"id":"ITEM-3","itemData":{"DOI":"10.1038/nbt.1610","ISSN":"10870156","PMID":"20190738","abstract":"Spinal muscular atrophy (SMA), the most common autosomal recessive neurodegenerative disease affecting children, results in impaired motor neuron function. Despite knowledge of the pathogenic role of decreased survival motor neuron (SMN) protein levels, efforts to increase SMN have not resulted in a treatment for patients. We recently demonstrated that self-complementary adeno-associated virus 9 (scAAV9) can infect </w:instrText>
      </w:r>
      <w:r w:rsidRPr="006E6EE8">
        <w:rPr>
          <w:rFonts w:ascii="Cambria Math" w:hAnsi="Cambria Math" w:cs="Cambria Math"/>
        </w:rPr>
        <w:instrText>∼</w:instrText>
      </w:r>
      <w:r w:rsidRPr="006E6EE8">
        <w:instrText>60% of motor neurons when injected intravenously into neonatal mice. Here we use scAAV9-mediated postnatal day 1 vascular gene delivery to replace SMN in SMA pups and rescue motor function, neuromuscular physiology and life span. Treatment on postnatal day 5 results in partial correction, whereas postnatal day 10 treatment has little effect, suggesting a developmental period in which scAAV9 therapy has maximal benefit. Notably, we also show extensive scAAV9-mediated motor neuron transduction after injection into a newborn cynomolgus macaque. This demonstration that scAAV9 traverses the blood-brain barrier in a nonhuman primate emphasizes the clinical potential of scAAV9 gene therapy for SMA. © 2010 Nature America, Inc. All rights reserved.","author":[{"dropping-particle":"","family":"Foust","given":"Kevin D.","non-dropping-particle":"","parse-names":false,"suffix":""},{"dropping-particle":"","family":"Wang","given":"Xueyong","non-dropping-particle":"","parse-names":false,"suffix":""},{"dropping-particle":"","family":"McGovern","given":"Vicki L.","non-dropping-particle":"","parse-names":false,"suffix":""},{"dropping-particle":"","family":"Braun","given":"Lyndsey","non-dropping-particle":"","parse-names":false,"suffix":""},{"dropping-particle":"","family":"Bevan","given":"Adam K.","non-dropping-particle":"","parse-names":false,"suffix":""},{"dropping-particle":"","family":"Haidet","given":"Amanda M.","non-dropping-particle":"","parse-names":false,"suffix":""},{"dropping-particle":"","family":"Le","given":"Thanh T.","non-dropping-particle":"","parse-names":false,"suffix":""},{"dropping-particle":"","family":"Morales","given":"Pablo R.","non-dropping-particle":"","parse-names":false,"suffix":""},{"dropping-particle":"","family":"Rich","given":"Mark M.","non-dropping-particle":"","parse-names":false,"suffix":""},{"dropping-particle":"","family":"Burghes","given":"Arthur H.M.","non-dropping-particle":"","parse-names":false,"suffix":""},{"dropping-particle":"","family":"Kaspar","given":"Brian K.","non-dropping-particle":"","parse-names":false,"suffix":""}],"container-title":"Nature Biotechnology","id":"ITEM-3","issue":"3","issued":{"date-parts":[["2010"]]},"page":"271-274","title":"Rescue of the spinal muscular atrophy phenotype in a mouse model by early postnatal delivery of SMN","type":"article-journal","volume":"28"},"uris":["http://www.mendeley.com/documents/?uuid=ef60f1a3-40b9-4bfc-9e33-cd974c3a265a"]}],"mendeley":{"formattedCitation":"[18,20,21]","plainTextFormattedCitation":"[18,20,21]","previouslyFormattedCitation":"[18,20,21]"},"properties":{"noteIndex":0},"schema":"https://github.com/citation-style-language/schema/raw/master/csl-citation.json"}</w:instrText>
      </w:r>
      <w:r w:rsidRPr="006E6EE8">
        <w:fldChar w:fldCharType="separate"/>
      </w:r>
      <w:r w:rsidRPr="006E6EE8">
        <w:rPr>
          <w:noProof/>
        </w:rPr>
        <w:t>[18,20,21]</w:t>
      </w:r>
      <w:r w:rsidRPr="006E6EE8">
        <w:fldChar w:fldCharType="end"/>
      </w:r>
      <w:r w:rsidRPr="006E6EE8">
        <w:t>.</w:t>
      </w:r>
      <w:r w:rsidRPr="006E6EE8">
        <w:rPr>
          <w:i/>
          <w:iCs/>
        </w:rPr>
        <w:t xml:space="preserve"> </w:t>
      </w:r>
      <w:r w:rsidRPr="006E6EE8">
        <w:t xml:space="preserve">From a study of an “intermediate” mouse model of SMA a critical threshold has been established, in terms of the amount of SMN protein that is expressed, that determines the onset of SMA </w:t>
      </w:r>
      <w:r w:rsidRPr="006E6EE8">
        <w:fldChar w:fldCharType="begin" w:fldLock="1"/>
      </w:r>
      <w:r w:rsidRPr="006E6EE8">
        <w:instrText>ADDIN CSL_CITATION {"citationItems":[{"id":"ITEM-1","itemData":{"DOI":"10.1016/j.nmd.2011.09.007","ISSN":"09608966","PMID":"22071333","abstract":"Spinal muscular atrophy (SMA) is caused by mutations/deletions within the SMN1 gene and characterized by loss of lower motor neurons and skeletal muscle atrophy. SMA is clinically heterogeneous, with disease ranging from severe to mild. Here, we identify a critical threshold of Smn that dictates onset of SMA in the intermediate Smn 2B/- mouse model. With about 15% normal level of Smn protein, Smn 2B/- mice display reduced body weight, motor neuron loss and motor defects. Importantly, these mice are phenotype-free until P10 with a median life expectancy of 28days. They show neuromuscular junction (NMJ) pathology with an inter-muscular differential vulnerability and an association between pre- and post-synaptic defects. Our work suggests that increasing Smn protein levels only minimally could be of significant benefit since Smn 2B/2B mice are phenotypically normal. Further, the finding that NMJ pathology varies between severe and intermediate SMA mouse models, suggests that future therapies be adapted to the severity of SMA. © 2011 Elsevier B.V..","author":[{"dropping-particle":"","family":"Bowerman","given":"Mélissa","non-dropping-particle":"","parse-names":false,"suffix":""},{"dropping-particle":"","family":"Murray","given":"Lyndsay M.","non-dropping-particle":"","parse-names":false,"suffix":""},{"dropping-particle":"","family":"Beauvais","given":"Ariane","non-dropping-particle":"","parse-names":false,"suffix":""},{"dropping-particle":"","family":"Pinheiro","given":"Bruno","non-dropping-particle":"","parse-names":false,"suffix":""},{"dropping-particle":"","family":"Kothary","given":"Rashmi","non-dropping-particle":"","parse-names":false,"suffix":""}],"container-title":"Neuromuscular Disorders","id":"ITEM-1","issue":"3","issued":{"date-parts":[["2012"]]},"page":"263-276","publisher":"Elsevier B.V.","title":"A critical smn threshold in mice dictates onset of an intermediate spinal muscular atrophy phenotype associated with a distinct neuromuscular junction pathology","type":"article-journal","volume":"22"},"uris":["http://www.mendeley.com/documents/?uuid=00fedebf-4079-4ed9-a816-2f751fb10c15"]}],"mendeley":{"formattedCitation":"[22]","plainTextFormattedCitation":"[22]","previouslyFormattedCitation":"[22]"},"properties":{"noteIndex":0},"schema":"https://github.com/citation-style-language/schema/raw/master/csl-citation.json"}</w:instrText>
      </w:r>
      <w:r w:rsidRPr="006E6EE8">
        <w:fldChar w:fldCharType="separate"/>
      </w:r>
      <w:r w:rsidRPr="006E6EE8">
        <w:rPr>
          <w:noProof/>
        </w:rPr>
        <w:t>[22]</w:t>
      </w:r>
      <w:r w:rsidRPr="006E6EE8">
        <w:fldChar w:fldCharType="end"/>
      </w:r>
      <w:r w:rsidRPr="006E6EE8">
        <w:t>. Decreasing SMN levels in this mouse model by just 15% of the normal level resulted in reduced body weight, motor neuron loss and motor defects.</w:t>
      </w:r>
      <w:r w:rsidRPr="006E6EE8">
        <w:rPr>
          <w:i/>
          <w:iCs/>
        </w:rPr>
        <w:t xml:space="preserve"> </w:t>
      </w:r>
      <w:r w:rsidRPr="006E6EE8">
        <w:t xml:space="preserve">Studies of the Taiwanese mouse model of severe SMA have also found evidence to suggest that reduced SMN levels impact on other developmental processes including lung, intestine, heart and longitudinal bone growth </w:t>
      </w:r>
      <w:r w:rsidRPr="006E6EE8">
        <w:fldChar w:fldCharType="begin" w:fldLock="1"/>
      </w:r>
      <w:r w:rsidRPr="006E6EE8">
        <w:instrText>ADDIN CSL_CITATION {"citationItems":[{"id":"ITEM-1","itemData":{"DOI":"10.1093/hmg/ddaa145","ISSN":"0964-6906","PMID":"32644125","abstract":"Spinal muscular atrophy (SMA) is a fatal neurodegenerative disease of newborns and children caused by mutations or deletions of the survival of motoneuron gene 1 resulting in low levels of the SMN protein. While neuromuscular degeneration is the cardinal symptom of the disease, the reduction of the ubiquitously expressed SMN additionally elicits non-motoneuron symptoms. Impaired bone development is a key feature of SMA, but it is yet unknown whether this is an indirect functional consequence of muscle weakness or caused by bone-intrinsic mechanisms. Therefore, we radiologically examined SMA patients in a prospective, non-randomized cohort study characterizing bone size and bone mineral density (BMD) and performed equivalent measurements in pre-symptomatic SMA mice. BMD as well as lumbar vertebral body size were significantly reduced in SMA patients. This growth defect but not BMD reduction was confirmed in SMA mice by μCT before the onset of neuromuscular symptoms indicating that it is at least partially independent of neuromuscular degeneration. Interestingly, the number of chondroblasts in the hypertrophic zone of the growth plate was significantly reduced. This was underlined by RNAseq and expression data from developing SMA mice vertebral bodies, which revealed molecular changes related to cell division and cartilage remodeling. Together, these findings suggest a bone intrinsic defect in SMA. This phenotype may not be rescued by novel drugs that enhance SMN levels in the central nervous system only.","author":[{"dropping-particle":"","family":"Hensel","given":"Niko","non-dropping-particle":"","parse-names":false,"suffix":""},{"dropping-particle":"","family":"Brickwedde","given":"Hermann","non-dropping-particle":"","parse-names":false,"suffix":""},{"dropping-particle":"","family":"Tsaknakis","given":"Konstantinos","non-dropping-particle":"","parse-names":false,"suffix":""},{"dropping-particle":"","family":"Grages","given":"Antonia","non-dropping-particle":"","parse-names":false,"suffix":""},{"dropping-particle":"","family":"Braunschweig","given":"Lena","non-dropping-particle":"","parse-names":false,"suffix":""},{"dropping-particle":"","family":"Lüders","given":"Katja A","non-dropping-particle":"","parse-names":false,"suffix":""},{"dropping-particle":"","family":"Lorenz","given":"Heiko M","non-dropping-particle":"","parse-names":false,"suffix":""},{"dropping-particle":"","family":"Lippross","given":"Sebastian","non-dropping-particle":"","parse-names":false,"suffix":""},{"dropping-particle":"","family":"Walter","given":"Lisa M","non-dropping-particle":"","parse-names":false,"suffix":""},{"dropping-particle":"","family":"Tavassol","given":"Frank","non-dropping-particle":"","parse-names":false,"suffix":""},{"dropping-particle":"","family":"Lienenklaus","given":"Stefan","non-dropping-particle":"","parse-names":false,"suffix":""},{"dropping-particle":"","family":"Neunaber","given":"Claudia","non-dropping-particle":"","parse-names":false,"suffix":""},{"dropping-particle":"","family":"Claus","given":"Peter","non-dropping-particle":"","parse-names":false,"suffix":""},{"dropping-particle":"","family":"Hell","given":"Anna K","non-dropping-particle":"","parse-names":false,"suffix":""}],"container-title":"Human Molecular Genetics","id":"ITEM-1","issue":"16","issued":{"date-parts":[["2020"]]},"page":"2662-2673","title":"Altered bone development with impaired cartilage formation precedes neuromuscular symptoms in spinal muscular atrophy","type":"article-journal","volume":"29"},"uris":["http://www.mendeley.com/documents/?uuid=4b7fa804-7951-4a7a-8554-5f669df01f08"]},{"id":"ITEM-2","itemData":{"DOI":"10.1093/hmg/ddx418","ISBN":"8651265883","ISSN":"14602083","PMID":"29220503","abstract":"Spinal muscular atrophy (SMA) is the leading genetic cause of infant mortality, characterized by progressive degeneration of spinal-cord motor neurons, leading to atrophy of skeletal muscles. However, accumulating evidence indicates that it is a multi-system disorder, particularly in its severe forms. Several studies delineated structural and functional cardiac abnormalities in SMA patients and mouse models, yet the abnormalities have been primarily attributed to autonomic dysfunction. Here, we show in a severe mouse model that its cardiomyocytes undergo G0/G1 cell-cycle arrest and enhanced apoptosis during postnatal development. Microarray and real-time RT-PCR analyses revealed that a set of genes associated with cell cycle and apoptosis were dysregulated in newborn pups. Of particular interest, the Birc5 gene, which encodes Survivin, an essential protein for heart development, was down-regulated even on pre-symptomatic postnatal day 0. Interestingly, cultured cardiomyocytes depleted of SMN recapitulated the gene expression changes including downregulation of Survivin and abnormal cell-cycle progression; and overexpression of Survivin rescued the cell-cycle defect. Finally, increasing SMN in SMA mice with a therapeutic antisense oligonucleotide improved heart pathology and recovered expression of deregulated genes. Collectively, our data demonstrate that the cardiac malfunction of the severe SMA mouse model is mainly a cell-autonomous defect, caused by widespread gene deregulation in heart tissue, particularly of Birc5, resulting in developmental abnormalities through cell-cycle arrest and apoptosis.","author":[{"dropping-particle":"","family":"Sheng","given":"Lei","non-dropping-particle":"","parse-names":false,"suffix":""},{"dropping-particle":"","family":"Wan","given":"Bo","non-dropping-particle":"","parse-names":false,"suffix":""},{"dropping-particle":"","family":"Feng","given":"Pengchao","non-dropping-particle":"","parse-names":false,"suffix":""},{"dropping-particle":"","family":"Sun","given":"Junjie","non-dropping-particle":"","parse-names":false,"suffix":""},{"dropping-particle":"","family":"Rigo","given":"Frank","non-dropping-particle":"","parse-names":false,"suffix":""},{"dropping-particle":"","family":"Frank Bennett","given":"C.","non-dropping-particle":"","parse-names":false,"suffix":""},{"dropping-particle":"","family":"Akerman","given":"Martin","non-dropping-particle":"","parse-names":false,"suffix":""},{"dropping-particle":"","family":"Krainer","given":"Adrian R.","non-dropping-particle":"","parse-names":false,"suffix":""},{"dropping-particle":"","family":"Hua","given":"Yimin","non-dropping-particle":"","parse-names":false,"suffix":""}],"container-title":"Human Molecular Genetics","id":"ITEM-2","issue":"3","issued":{"date-parts":[["2018"]]},"page":"486-498","title":"Downregulation of survivin contributes to cell-cycle arrest during postnatal cardiac development in a severe spinal muscular atrophy mouse model","type":"article-journal","volume":"27"},"uris":["http://www.mendeley.com/documents/?uuid=917f9310-7cf9-4a74-b46e-c791ea92eb13"]},{"id":"ITEM-3","itemData":{"DOI":"10.1038/ejhg.2012.222","ISSN":"14765438","PMID":"23073311","abstract":"Spinal muscular atrophy (SMA) is the leading genetic cause of early childhood death worldwide and no therapy is available today. Many drugs, especially histone deacetylase inhibitors (HDACi), increase SMN levels. As all HDACi tested so far only mildly ameliorate the SMA phenotype or are unsuitable for use in humans, there is still need to identify more potent drugs. Here, we assessed the therapeutic power of the pan-HDACi JNJ-26481585 for SMA, which is currently used in various clinical cancer trials. When administered for 64 h at 100 nM, JNJ-26481585 upregulated SMN levels in SMA fibroblast cell lines, including those from non-responders to valproic acid. Oral treatment of Taiwanese SMA mice and control littermates starting at P0 showed no overt extension of lifespan, despite mild improvements in motor abilities and weight progression. Many treated and untreated animals showed a very rapid decline or unexpected sudden death. We performed exploratory autopsy and histological assessment at different disease stages and found consistent abnormalities in the intestine, heart and lung and skeletal muscle vasculature of SMA animals, which were not prevented by JNJ-26481585 treatment. Interestingly, some of these features may be only indirectly caused by α-motoneuron function loss but may be major life-limiting factors in the course of disease. A better understanding of - primary or secondary - non-neuromuscular organ involvement in SMA patients may improve standard of care and may lead to reassessment of how to investigate SMA patients clinically.","author":[{"dropping-particle":"","family":"Schreml","given":"Julia","non-dropping-particle":"","parse-names":false,"suffix":""},{"dropping-particle":"","family":"Riessland","given":"Markus","non-dropping-particle":"","parse-names":false,"suffix":""},{"dropping-particle":"","family":"Paterno","given":"Mario","non-dropping-particle":"","parse-names":false,"suffix":""},{"dropping-particle":"","family":"Garbes","given":"Lutz","non-dropping-particle":"","parse-names":false,"suffix":""},{"dropping-particle":"","family":"Robach","given":"Kristina","non-dropping-particle":"","parse-names":false,"suffix":""},{"dropping-particle":"","family":"Ackermann","given":"Bastian","non-dropping-particle":"","parse-names":false,"suffix":""},{"dropping-particle":"","family":"Krämer","given":"Jan","non-dropping-particle":"","parse-names":false,"suffix":""},{"dropping-particle":"","family":"Somers","given":"Eilidh","non-dropping-particle":"","parse-names":false,"suffix":""},{"dropping-particle":"","family":"Parson","given":"Simon H.","non-dropping-particle":"","parse-names":false,"suffix":""},{"dropping-particle":"","family":"Heller","given":"Raoul","non-dropping-particle":"","parse-names":false,"suffix":""},{"dropping-particle":"","family":"Berkessel","given":"Albrecht","non-dropping-particle":"","parse-names":false,"suffix":""},{"dropping-particle":"","family":"Sterner-Kock","given":"Anja","non-dropping-particle":"","parse-names":false,"suffix":""},{"dropping-particle":"","family":"Wirth","given":"Brunhilde","non-dropping-particle":"","parse-names":false,"suffix":""}],"container-title":"European Journal of Human Genetics","id":"ITEM-3","issue":"6","issued":{"date-parts":[["2013"]]},"page":"643-652","title":"Severe SMA mice show organ impairment that cannot be rescued by therapy with the HDACi JNJ-26481585","type":"article-journal","volume":"21"},"uris":["http://www.mendeley.com/documents/?uuid=360420fe-fdc3-4cb1-99ae-fe49b6ffb742"]}],"mendeley":{"formattedCitation":"[23–25]","plainTextFormattedCitation":"[23–25]","previouslyFormattedCitation":"[23–25]"},"properties":{"noteIndex":0},"schema":"https://github.com/citation-style-language/schema/raw/master/csl-citation.json"}</w:instrText>
      </w:r>
      <w:r w:rsidRPr="006E6EE8">
        <w:fldChar w:fldCharType="separate"/>
      </w:r>
      <w:r w:rsidRPr="006E6EE8">
        <w:rPr>
          <w:noProof/>
        </w:rPr>
        <w:t>[23–25]</w:t>
      </w:r>
      <w:r w:rsidRPr="006E6EE8">
        <w:fldChar w:fldCharType="end"/>
      </w:r>
      <w:r w:rsidRPr="006E6EE8">
        <w:t>. Together, these studies suggest that if the level of SMN protein does not meet the threshold required for healthy development in SMA patients, some systems including, for example, the entire motor unit, could well be dysfunctional even before birth. Conversely, it is conceivable that patients with less severe forms of SMA may express sufficient levels of SMN for appropriate development and that some degenerative pathways that subsequently occur could be quite different to those that are triggered by developmental defects in Type I SMA.</w:t>
      </w:r>
    </w:p>
    <w:p w14:paraId="6540F018" w14:textId="77777777" w:rsidR="00786B93" w:rsidRPr="006E6EE8" w:rsidRDefault="00786B93" w:rsidP="00595196">
      <w:pPr>
        <w:pStyle w:val="MDPI31text"/>
      </w:pPr>
      <w:r w:rsidRPr="006E6EE8">
        <w:t>A key issue in our understanding of SMA at present, however, is that almost all pre-clinical work has focused on identifying and characterising molecular pathways in cells from severe SMA patients (i.e., Type I) and relatively severe mouse models of SMA. It is unclear, for example, whether molecular pathways implicated in SMA Type I are also relevant to SMA Type II and III, and consequently, whether therapeutic strategies and molecular biomarkers for patient stratification and/or therapeutic monitoring would translate effectively across the different types and severities of SMA. The aim of this work, therefore, was to quantitatively compare the proteome profiles of skin fibroblasts from patients with Type I, Type II, and Type III SMA to identify whether a core molecular response to reduced SMN is conserved across the different types of SMA, and then to highlight detectable molecular differences that exist between SMA type and severity.</w:t>
      </w:r>
    </w:p>
    <w:p w14:paraId="0747C734" w14:textId="77777777" w:rsidR="00786B93" w:rsidRPr="006E6EE8" w:rsidRDefault="00786B93" w:rsidP="00595196">
      <w:pPr>
        <w:pStyle w:val="MDPI21heading1"/>
      </w:pPr>
      <w:r w:rsidRPr="006E6EE8">
        <w:t>Results</w:t>
      </w:r>
    </w:p>
    <w:p w14:paraId="67B1BA61" w14:textId="77777777" w:rsidR="00786B93" w:rsidRPr="006E6EE8" w:rsidRDefault="00786B93" w:rsidP="00595196">
      <w:pPr>
        <w:pStyle w:val="MDPI22heading2"/>
      </w:pPr>
      <w:r w:rsidRPr="006E6EE8">
        <w:t>Fibroblasts from SMA II patients have greater variability in their proteomic profiles compared to fibroblasts from patients with SMA I and III</w:t>
      </w:r>
    </w:p>
    <w:p w14:paraId="284806B0" w14:textId="47D33D1F" w:rsidR="00786B93" w:rsidRPr="006E6EE8" w:rsidRDefault="00786B93" w:rsidP="00595196">
      <w:pPr>
        <w:pStyle w:val="MDPI31text"/>
      </w:pPr>
      <w:r w:rsidRPr="006E6EE8">
        <w:t>To determine whether proteomic profiles of fibroblasts differ between patients with different severities of SMA, a quantitative proteomic comparison against age-matched control fibroblasts (Supplementary File (Table 1)) was undertaken using Sequential Window Acquisition of all Theoretical mass spectra (SWATH-MS). This approach identified 2834 proteins in total (Supplementary Table 1). The extent of variability between proteome profiles of patients within each SMA group was established by comparing the coefficient of variation of all protein peak areas. Compared to fibroblasts from SMA I and SMA III patients, SMA II fibroblasts had greater variability in their proteome profiles between patients (</w:t>
      </w:r>
      <w:r w:rsidRPr="006E6EE8">
        <w:rPr>
          <w:i/>
          <w:iCs/>
        </w:rPr>
        <w:t>p</w:t>
      </w:r>
      <w:r w:rsidRPr="006E6EE8">
        <w:t xml:space="preserve">&lt;0.0001) which could not be explained by </w:t>
      </w:r>
      <w:r w:rsidRPr="006E6EE8">
        <w:rPr>
          <w:i/>
          <w:iCs/>
        </w:rPr>
        <w:t>SMN2</w:t>
      </w:r>
      <w:r w:rsidRPr="006E6EE8">
        <w:t xml:space="preserve"> copy number as all SMA II </w:t>
      </w:r>
      <w:r w:rsidRPr="006E6EE8">
        <w:lastRenderedPageBreak/>
        <w:t>patients carried three</w:t>
      </w:r>
      <w:r w:rsidRPr="006E6EE8">
        <w:rPr>
          <w:i/>
          <w:iCs/>
        </w:rPr>
        <w:t xml:space="preserve"> SMN2</w:t>
      </w:r>
      <w:r w:rsidRPr="006E6EE8">
        <w:t xml:space="preserve"> copies (Figure 1A). Whilst the SMA II fibroblasts came from donors with a wider range of ages than the SMA I fibroblasts (1 year – 25 years, and 4 months – 2 years, respectively; Supplementary File (Table 1)), this does not entirely explain the difference in variation either, since the median coefficient of variation for the age-matched controls for SMA I (5 months – 3 years) and II (10 months to 27 years) were both 25% (Figure 1A). Despite having the most variability in </w:t>
      </w:r>
      <w:r w:rsidRPr="006E6EE8">
        <w:rPr>
          <w:i/>
          <w:iCs/>
        </w:rPr>
        <w:t>SMN2</w:t>
      </w:r>
      <w:r w:rsidRPr="006E6EE8">
        <w:t xml:space="preserve"> copy number (ranging from two – four copies) and the widest range of ages (17 years – 66 years), SMA III fibroblasts showed a statistically significant lower level of variation in the proteome profiles between patients compared to SMA I and II fibroblasts (</w:t>
      </w:r>
      <w:r w:rsidRPr="006E6EE8">
        <w:rPr>
          <w:i/>
          <w:iCs/>
        </w:rPr>
        <w:t>p</w:t>
      </w:r>
      <w:r w:rsidRPr="006E6EE8">
        <w:t xml:space="preserve">&lt;0.0001) (Figure 1A). </w:t>
      </w:r>
      <w:bookmarkStart w:id="6" w:name="_Hlk111543514"/>
      <w:r w:rsidRPr="006E6EE8">
        <w:t xml:space="preserve">The expression levels of </w:t>
      </w:r>
      <w:r w:rsidR="00411346">
        <w:t xml:space="preserve">total </w:t>
      </w:r>
      <w:r w:rsidRPr="006E6EE8">
        <w:t xml:space="preserve">SMN protein were consistently reduced in patient fibroblasts of all SMA severities relative to their respective age-matched controls (i.e., SMA I/control = 0.53, </w:t>
      </w:r>
      <w:r w:rsidRPr="006E6EE8">
        <w:rPr>
          <w:i/>
          <w:iCs/>
        </w:rPr>
        <w:t>p&lt;</w:t>
      </w:r>
      <w:r w:rsidRPr="006E6EE8">
        <w:t xml:space="preserve">0.001; SMA II/control = 0.47, </w:t>
      </w:r>
      <w:r w:rsidRPr="006E6EE8">
        <w:rPr>
          <w:i/>
          <w:iCs/>
        </w:rPr>
        <w:t>p</w:t>
      </w:r>
      <w:r w:rsidRPr="006E6EE8">
        <w:t xml:space="preserve">=0.006; and SMA III/control = 0.41, </w:t>
      </w:r>
      <w:r w:rsidRPr="006E6EE8">
        <w:rPr>
          <w:i/>
          <w:iCs/>
        </w:rPr>
        <w:t>p</w:t>
      </w:r>
      <w:r w:rsidRPr="006E6EE8">
        <w:t xml:space="preserve">=0.001), but these levels did not, however, differentiate between SMA types (Figure 1B). This is perhaps not surprising, since a similar observation was noted from a study of SMA patient peripheral blood mononuclear cells </w:t>
      </w:r>
      <w:r w:rsidRPr="006E6EE8">
        <w:fldChar w:fldCharType="begin" w:fldLock="1"/>
      </w:r>
      <w:r w:rsidRPr="006E6EE8">
        <w:instrText>ADDIN CSL_CITATION {"citationItems":[{"id":"ITEM-1","itemData":{"DOI":"10.1371/journal.pone.0033572","ISSN":"19326203","PMID":"22558076","abstract":"Background: The universal presence of a gene (SMN2) nearly identical to the mutated SMN1 gene responsible for Spinal Muscular Atrophy (SMA) has proved an enticing incentive to therapeutics development. Early disappointments from putative SMN-enhancing agent clinical trials have increased interest in improving the assessment of SMN expression in blood as an early \"biomarker\" of treatment effect. Methods: A cross-sectional, single visit, multi-center design assessed SMN transcript and protein in 108 SMA and 22 age and gender-matched healthy control subjects, while motor function was assessed by the Modified Hammersmith Functional Motor Scale (MHFMS). Enrollment selectively targeted a broad range of SMA subjects that would permit maximum power to distinguish the relative influence of SMN2 copy number, SMA type, present motor function, and age. Results: SMN2 copy number and levels of full-length SMN2 transcripts correlated with SMA type, and like SMN protein levels, were lower in SMA subjects compared to controls. No measure of SMN expression correlated strongly with MHFMS. A key finding is that SMN2 copy number, levels of transcript and protein showed no correlation with each other. Conclusion: This is a prospective study that uses the most advanced techniques of SMN transcript and protein measurement in a large selectively-recruited cohort of individuals with SMA. There is a relationship between measures of SMN expression in blood and SMA type, but not a strong correlation to motor function as measured by the MHFMS. Low SMN transcript and protein levels in the SMA subjects relative to controls suggest that these measures of SMN in accessible tissues may be amenable to an \"early look\" for target engagement in clinical trials of putative SMN-enhancing agents. Full length SMN transcript abundance may provide insight into the molecular mechanism of phenotypic variation as a function of SMN2 copy number. Trial Registry: Clinicaltrials.gov NCT00756821.","author":[{"dropping-particle":"","family":"Crawford","given":"Thomas O.","non-dropping-particle":"","parse-names":false,"suffix":""},{"dropping-particle":"V.","family":"Paushkin","given":"Sergey","non-dropping-particle":"","parse-names":false,"suffix":""},{"dropping-particle":"","family":"Kobayashi","given":"Dione T.","non-dropping-particle":"","parse-names":false,"suffix":""},{"dropping-particle":"","family":"Forrest","given":"Suzanne J.","non-dropping-particle":"","parse-names":false,"suffix":""},{"dropping-particle":"","family":"Joyce","given":"Cynthia L.","non-dropping-particle":"","parse-names":false,"suffix":""},{"dropping-particle":"","family":"Finkel","given":"Richard S.","non-dropping-particle":"","parse-names":false,"suffix":""},{"dropping-particle":"","family":"Kaufmann","given":"Petra","non-dropping-particle":"","parse-names":false,"suffix":""},{"dropping-particle":"","family":"Swoboda","given":"Kathryn J.","non-dropping-particle":"","parse-names":false,"suffix":""},{"dropping-particle":"","family":"Tiziano","given":"Danilo","non-dropping-particle":"","parse-names":false,"suffix":""},{"dropping-particle":"","family":"Lomastro","given":"Rosa","non-dropping-particle":"","parse-names":false,"suffix":""},{"dropping-particle":"","family":"Li","given":"Rebecca H.","non-dropping-particle":"","parse-names":false,"suffix":""},{"dropping-particle":"","family":"Trachtenberg","given":"Felicia L.","non-dropping-particle":"","parse-names":false,"suffix":""},{"dropping-particle":"","family":"Plasterer","given":"Thomas","non-dropping-particle":"","parse-names":false,"suffix":""},{"dropping-particle":"","family":"Chen","given":"Karen S.","non-dropping-particle":"","parse-names":false,"suffix":""}],"container-title":"PLoS ONE","id":"ITEM-1","issue":"4","issued":{"date-parts":[["2012"]]},"title":"Evaluation of SMN protein, transcript, and copy number in the biomarkers for spinal muscular atrophy (BforSMA) clinical study","type":"article-journal","volume":"7"},"uris":["http://www.mendeley.com/documents/?uuid=c149a3c0-aee6-49ab-b597-1fcc95305d2e"]}],"mendeley":{"formattedCitation":"[26]","plainTextFormattedCitation":"[26]","previouslyFormattedCitation":"[26]"},"properties":{"noteIndex":0},"schema":"https://github.com/citation-style-language/schema/raw/master/csl-citation.json"}</w:instrText>
      </w:r>
      <w:r w:rsidRPr="006E6EE8">
        <w:fldChar w:fldCharType="separate"/>
      </w:r>
      <w:r w:rsidRPr="006E6EE8">
        <w:rPr>
          <w:noProof/>
        </w:rPr>
        <w:t>[26]</w:t>
      </w:r>
      <w:r w:rsidRPr="006E6EE8">
        <w:fldChar w:fldCharType="end"/>
      </w:r>
      <w:r w:rsidRPr="006E6EE8">
        <w:rPr>
          <w:rStyle w:val="CommentReference"/>
        </w:rPr>
        <w:t xml:space="preserve">. </w:t>
      </w:r>
    </w:p>
    <w:bookmarkEnd w:id="6"/>
    <w:p w14:paraId="6E35538B" w14:textId="77777777" w:rsidR="00595196" w:rsidRPr="006E6EE8" w:rsidRDefault="00786B93" w:rsidP="00595196">
      <w:pPr>
        <w:pStyle w:val="MDPI52figure"/>
        <w:rPr>
          <w:b/>
          <w:bCs/>
        </w:rPr>
      </w:pPr>
      <w:r w:rsidRPr="006E6EE8">
        <w:rPr>
          <w:noProof/>
        </w:rPr>
        <w:drawing>
          <wp:inline distT="0" distB="0" distL="0" distR="0" wp14:anchorId="7332F9CC" wp14:editId="05A5ECDE">
            <wp:extent cx="5731510" cy="4271010"/>
            <wp:effectExtent l="0" t="0" r="2540" b="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71010"/>
                    </a:xfrm>
                    <a:prstGeom prst="rect">
                      <a:avLst/>
                    </a:prstGeom>
                    <a:noFill/>
                    <a:ln>
                      <a:noFill/>
                    </a:ln>
                  </pic:spPr>
                </pic:pic>
              </a:graphicData>
            </a:graphic>
          </wp:inline>
        </w:drawing>
      </w:r>
    </w:p>
    <w:p w14:paraId="0ED2F1E3" w14:textId="4116B235" w:rsidR="00786B93" w:rsidRPr="006E6EE8" w:rsidRDefault="00595196" w:rsidP="00595196">
      <w:pPr>
        <w:pStyle w:val="MDPI51figurecaption"/>
        <w:jc w:val="both"/>
      </w:pPr>
      <w:bookmarkStart w:id="7" w:name="_Hlk111543164"/>
      <w:r w:rsidRPr="006E6EE8">
        <w:rPr>
          <w:b/>
          <w:bCs/>
        </w:rPr>
        <w:t xml:space="preserve">Figure 1. </w:t>
      </w:r>
      <w:r w:rsidR="00786B93" w:rsidRPr="006E6EE8">
        <w:t>Variability in protein expression and levels of SMN protein in SMA Type I, II and III fibroblasts and respective age-matched controls. (</w:t>
      </w:r>
      <w:r w:rsidR="00786B93" w:rsidRPr="006E6EE8">
        <w:rPr>
          <w:b/>
          <w:bCs/>
        </w:rPr>
        <w:t>A</w:t>
      </w:r>
      <w:r w:rsidR="00786B93" w:rsidRPr="006E6EE8">
        <w:t>)</w:t>
      </w:r>
      <w:r w:rsidR="00786B93" w:rsidRPr="006E6EE8">
        <w:rPr>
          <w:b/>
          <w:bCs/>
        </w:rPr>
        <w:t xml:space="preserve"> </w:t>
      </w:r>
      <w:r w:rsidR="00786B93" w:rsidRPr="006E6EE8">
        <w:t xml:space="preserve">Summary of the coefficients of variation for the peak areas of all proteins identified following SWATH mass spectrometry for each SMA group and corresponding age-matched controls. Bars indicate the median values within each SMA and control group, which are detailed in the tables below. For each SMA group, the cell line identifier and associated </w:t>
      </w:r>
      <w:r w:rsidR="00786B93" w:rsidRPr="006E6EE8">
        <w:rPr>
          <w:i/>
          <w:iCs/>
        </w:rPr>
        <w:t>SMN2</w:t>
      </w:r>
      <w:r w:rsidR="00786B93" w:rsidRPr="006E6EE8">
        <w:t xml:space="preserve"> copy number are also listed. ***</w:t>
      </w:r>
      <w:r w:rsidR="00786B93" w:rsidRPr="006E6EE8">
        <w:rPr>
          <w:i/>
          <w:iCs/>
        </w:rPr>
        <w:t>p</w:t>
      </w:r>
      <w:r w:rsidR="00786B93" w:rsidRPr="006E6EE8">
        <w:t>&lt;0.0001 (</w:t>
      </w:r>
      <w:r w:rsidR="00786B93" w:rsidRPr="006E6EE8">
        <w:rPr>
          <w:b/>
          <w:bCs/>
        </w:rPr>
        <w:t xml:space="preserve">B) </w:t>
      </w:r>
      <w:r w:rsidR="00786B93" w:rsidRPr="006E6EE8">
        <w:t xml:space="preserve">Expression levels of </w:t>
      </w:r>
      <w:r w:rsidR="009E2540">
        <w:t xml:space="preserve">total </w:t>
      </w:r>
      <w:r w:rsidR="00786B93" w:rsidRPr="006E6EE8">
        <w:t xml:space="preserve">SMN protein as determined by western blot and Image J analysis. </w:t>
      </w:r>
      <w:bookmarkEnd w:id="7"/>
      <w:r w:rsidR="00786B93" w:rsidRPr="006E6EE8">
        <w:t>The graphs below the western blots illustrate the integrated density of antibody reactive bands / densitometry measurements of a Coomassie stained gel (i.e., total protein loading control) for individual samples. The graph entitled ‘SMN levels’ provides the average SMN level in each SMA type expressed relative to their respective controls with a dashed line indicating normalised SMN levels across all control fibroblasts. Error bars show the standard deviation from the mean. ***</w:t>
      </w:r>
      <w:r w:rsidR="00786B93" w:rsidRPr="006E6EE8">
        <w:rPr>
          <w:i/>
          <w:iCs/>
        </w:rPr>
        <w:t>p</w:t>
      </w:r>
      <w:r w:rsidR="00786B93" w:rsidRPr="006E6EE8">
        <w:t>&lt;0.001;</w:t>
      </w:r>
      <w:r w:rsidR="00786B93" w:rsidRPr="006E6EE8">
        <w:rPr>
          <w:i/>
          <w:iCs/>
        </w:rPr>
        <w:t xml:space="preserve"> **p</w:t>
      </w:r>
      <w:r w:rsidR="00786B93" w:rsidRPr="006E6EE8">
        <w:t>&lt;0.01</w:t>
      </w:r>
      <w:r w:rsidRPr="006E6EE8">
        <w:t>.</w:t>
      </w:r>
    </w:p>
    <w:p w14:paraId="4D9644A4" w14:textId="77777777" w:rsidR="00786B93" w:rsidRPr="006E6EE8" w:rsidRDefault="00786B93" w:rsidP="00595196">
      <w:pPr>
        <w:pStyle w:val="MDPI22heading2"/>
        <w:spacing w:before="240"/>
      </w:pPr>
      <w:r w:rsidRPr="006E6EE8">
        <w:lastRenderedPageBreak/>
        <w:t>Differentially expressed proteome profiles from SMA I, II and III patient fibroblasts show little overlap</w:t>
      </w:r>
    </w:p>
    <w:p w14:paraId="18D423BE" w14:textId="77777777" w:rsidR="00786B93" w:rsidRPr="006E6EE8" w:rsidRDefault="00786B93" w:rsidP="00595196">
      <w:pPr>
        <w:pStyle w:val="MDPI31text"/>
      </w:pPr>
      <w:r w:rsidRPr="006E6EE8">
        <w:t>For reliable quantification, proteins identified in the SWATH-MS analysis from just a single peptide were removed, after which, differentially expressed proteins were identified by exclusion of proteins with a fold-change that was &gt;0.80 but &lt;1.25 (i.e.</w:t>
      </w:r>
      <w:r w:rsidRPr="006E6EE8">
        <w:rPr>
          <w:i/>
          <w:iCs/>
        </w:rPr>
        <w:t xml:space="preserve">, </w:t>
      </w:r>
      <w:r w:rsidRPr="006E6EE8">
        <w:t xml:space="preserve">less than 25% change in expression), and finally, exclusion of proteins with a </w:t>
      </w:r>
      <w:r w:rsidRPr="006E6EE8">
        <w:rPr>
          <w:i/>
          <w:iCs/>
        </w:rPr>
        <w:t>p</w:t>
      </w:r>
      <w:r w:rsidRPr="006E6EE8">
        <w:t>-value of &gt;0.05 assigned to their fold changes (Supplementary Table 2).</w:t>
      </w:r>
      <w:r w:rsidRPr="006E6EE8">
        <w:rPr>
          <w:b/>
          <w:bCs/>
        </w:rPr>
        <w:t xml:space="preserve"> </w:t>
      </w:r>
      <w:r w:rsidRPr="006E6EE8">
        <w:t xml:space="preserve">When compared to age-matched controls for each SMA type (as described in Supplementary File (Table 1)), differentially expressed protein profiles were comprised of 120 proteins in the SMA I fibroblasts, 49 proteins in the SMA II fibroblasts and 77 proteins in the SMA III fibroblasts (Figure 2A &amp; Supplementary Table 2). None of the differentially expressed proteins consistently met the criteria for differential expression across all SMA types compared to their respective age-matched controls, but some proteins did meet the criteria for increased expression in two out of the three comparisons (i.e., five proteins in SMA I and II, seven proteins in SMA I and III and two proteins in SMA II and III (Figure 2A). </w:t>
      </w:r>
    </w:p>
    <w:p w14:paraId="1D6BF389" w14:textId="77777777" w:rsidR="00786B93" w:rsidRPr="006E6EE8" w:rsidRDefault="00786B93" w:rsidP="00595196">
      <w:pPr>
        <w:pStyle w:val="MDPI31text"/>
      </w:pPr>
      <w:r w:rsidRPr="006E6EE8">
        <w:rPr>
          <w:noProof/>
        </w:rPr>
        <w:drawing>
          <wp:inline distT="0" distB="0" distL="0" distR="0" wp14:anchorId="497CA789" wp14:editId="4E341706">
            <wp:extent cx="5731510" cy="4860290"/>
            <wp:effectExtent l="0" t="0" r="2540" b="0"/>
            <wp:docPr id="10" name="Picture 10" descr="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ematic&#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860290"/>
                    </a:xfrm>
                    <a:prstGeom prst="rect">
                      <a:avLst/>
                    </a:prstGeom>
                  </pic:spPr>
                </pic:pic>
              </a:graphicData>
            </a:graphic>
          </wp:inline>
        </w:drawing>
      </w:r>
    </w:p>
    <w:p w14:paraId="516A9B7F" w14:textId="77777777" w:rsidR="00786B93" w:rsidRPr="006E6EE8" w:rsidRDefault="00595196" w:rsidP="00595196">
      <w:pPr>
        <w:pStyle w:val="MDPI51figurecaption"/>
        <w:jc w:val="both"/>
      </w:pPr>
      <w:r w:rsidRPr="006E6EE8">
        <w:rPr>
          <w:b/>
          <w:bCs/>
        </w:rPr>
        <w:t xml:space="preserve">Figure 2. </w:t>
      </w:r>
      <w:r w:rsidR="00786B93" w:rsidRPr="006E6EE8">
        <w:t>Summary and bioinformatics analysis of proteome profiles of SMA Type I, II and III fibroblasts relative to their age-matched controls. (</w:t>
      </w:r>
      <w:r w:rsidR="00786B93" w:rsidRPr="006E6EE8">
        <w:rPr>
          <w:b/>
          <w:bCs/>
        </w:rPr>
        <w:t>A</w:t>
      </w:r>
      <w:r w:rsidR="00786B93" w:rsidRPr="006E6EE8">
        <w:t>) Venn diagrams illustrating the lack of overlap between significantly downregulated and upregulated proteins in each SMA type and heat map detailing the extent of the fold-changes relative to age-matched controls. (</w:t>
      </w:r>
      <w:r w:rsidR="00786B93" w:rsidRPr="006E6EE8">
        <w:rPr>
          <w:b/>
          <w:bCs/>
        </w:rPr>
        <w:t>B</w:t>
      </w:r>
      <w:r w:rsidR="00786B93" w:rsidRPr="006E6EE8">
        <w:t>) Bar charts showing the top five significantly enriched molecular and cellular functions relating to the differentially expressed proteins in each SMA type following Ingenuity Pathway Analysis (IPA</w:t>
      </w:r>
      <w:r w:rsidR="00786B93" w:rsidRPr="006E6EE8">
        <w:rPr>
          <w:vertAlign w:val="superscript"/>
        </w:rPr>
        <w:t>®</w:t>
      </w:r>
      <w:r w:rsidR="00786B93" w:rsidRPr="006E6EE8">
        <w:t>). The x-axis relates to the number of dysregulated proteins associated with each function. (</w:t>
      </w:r>
      <w:r w:rsidR="00786B93" w:rsidRPr="006E6EE8">
        <w:rPr>
          <w:b/>
          <w:bCs/>
        </w:rPr>
        <w:t>C</w:t>
      </w:r>
      <w:r w:rsidR="00786B93" w:rsidRPr="006E6EE8">
        <w:t>) A three-way comparison generated in IPA</w:t>
      </w:r>
      <w:r w:rsidR="00786B93" w:rsidRPr="006E6EE8">
        <w:rPr>
          <w:vertAlign w:val="superscript"/>
        </w:rPr>
        <w:t>®</w:t>
      </w:r>
      <w:r w:rsidR="00786B93" w:rsidRPr="006E6EE8">
        <w:t xml:space="preserve"> in which the enriched cellular and molecular functions are ranked by –log(</w:t>
      </w:r>
      <w:r w:rsidR="00786B93" w:rsidRPr="006E6EE8">
        <w:rPr>
          <w:i/>
          <w:iCs/>
        </w:rPr>
        <w:t>p</w:t>
      </w:r>
      <w:r w:rsidR="00786B93" w:rsidRPr="006E6EE8">
        <w:t xml:space="preserve">-value) for each SMA type. “NA” denotes terms for which no differentially expressed proteins were </w:t>
      </w:r>
      <w:r w:rsidR="00786B93" w:rsidRPr="006E6EE8">
        <w:lastRenderedPageBreak/>
        <w:t>associated within the specified dataset. (</w:t>
      </w:r>
      <w:r w:rsidR="00786B93" w:rsidRPr="006E6EE8">
        <w:rPr>
          <w:b/>
          <w:bCs/>
        </w:rPr>
        <w:t>D</w:t>
      </w:r>
      <w:r w:rsidR="00786B93" w:rsidRPr="006E6EE8">
        <w:t>) Bar charts showing the top ten significantly enriched canonical pathways for the SMA Type I and III fibroblasts (also ranked by number of molecules) and the enriched canonical pathways for SMA Type II fibroblasts after excluding terms matched with only one molecule. The x-axis relates to the number of dysregulated proteins associated with each function. (</w:t>
      </w:r>
      <w:r w:rsidR="00786B93" w:rsidRPr="006E6EE8">
        <w:rPr>
          <w:b/>
          <w:bCs/>
        </w:rPr>
        <w:t>E</w:t>
      </w:r>
      <w:r w:rsidR="00786B93" w:rsidRPr="006E6EE8">
        <w:t>) A three-way comparison generated in IPA</w:t>
      </w:r>
      <w:r w:rsidR="00786B93" w:rsidRPr="006E6EE8">
        <w:rPr>
          <w:vertAlign w:val="superscript"/>
        </w:rPr>
        <w:t>®</w:t>
      </w:r>
      <w:r w:rsidR="00786B93" w:rsidRPr="006E6EE8">
        <w:t xml:space="preserve"> in which the enriched canonical pathways are ranked by –log(</w:t>
      </w:r>
      <w:r w:rsidR="00786B93" w:rsidRPr="006E6EE8">
        <w:rPr>
          <w:i/>
          <w:iCs/>
        </w:rPr>
        <w:t>p</w:t>
      </w:r>
      <w:r w:rsidR="00786B93" w:rsidRPr="006E6EE8">
        <w:t xml:space="preserve">-value) for each SMA type. Black dots denote terms that were not enriched with statistical significance (i.e., </w:t>
      </w:r>
      <w:r w:rsidR="00786B93" w:rsidRPr="006E6EE8">
        <w:rPr>
          <w:i/>
          <w:iCs/>
        </w:rPr>
        <w:t>p</w:t>
      </w:r>
      <w:r w:rsidR="00786B93" w:rsidRPr="006E6EE8">
        <w:t>=</w:t>
      </w:r>
      <w:r w:rsidR="00786B93" w:rsidRPr="006E6EE8">
        <w:rPr>
          <w:u w:val="single"/>
        </w:rPr>
        <w:softHyphen/>
        <w:t>&gt;</w:t>
      </w:r>
      <w:r w:rsidR="00786B93" w:rsidRPr="006E6EE8">
        <w:t>0.05) but that had at least one differentially expressed protein associated with it, and “NA” denotes terms for which no differentially expressed proteins were associated within the specified dataset.</w:t>
      </w:r>
    </w:p>
    <w:p w14:paraId="01DC30FB" w14:textId="77777777" w:rsidR="00786B93" w:rsidRPr="006E6EE8" w:rsidRDefault="00786B93" w:rsidP="00595196">
      <w:pPr>
        <w:pStyle w:val="MDPI31text"/>
      </w:pPr>
      <w:r w:rsidRPr="006E6EE8">
        <w:t>Ingenuity Pathway Analysis (IPA</w:t>
      </w:r>
      <w:r w:rsidRPr="006E6EE8">
        <w:rPr>
          <w:vertAlign w:val="superscript"/>
        </w:rPr>
        <w:t>®</w:t>
      </w:r>
      <w:r w:rsidRPr="006E6EE8">
        <w:t>) highlighted an enrichment of molecular and cellular functions relating to the differentially expressed proteins in each SMA type compared to their respective age-matched controls (Figure 2B).</w:t>
      </w:r>
      <w:r w:rsidRPr="006E6EE8">
        <w:rPr>
          <w:i/>
          <w:iCs/>
          <w:color w:val="FF0000"/>
        </w:rPr>
        <w:t xml:space="preserve"> </w:t>
      </w:r>
      <w:r w:rsidRPr="006E6EE8">
        <w:t>In SMA I, the top five enriched terms were associated with energy production (</w:t>
      </w:r>
      <w:r w:rsidRPr="006E6EE8">
        <w:rPr>
          <w:i/>
          <w:iCs/>
        </w:rPr>
        <w:t>p</w:t>
      </w:r>
      <w:r w:rsidRPr="006E6EE8">
        <w:t xml:space="preserve"> = 2.44E-05 - 2.44E-05), RNA damage and repair (</w:t>
      </w:r>
      <w:r w:rsidRPr="006E6EE8">
        <w:rPr>
          <w:i/>
          <w:iCs/>
        </w:rPr>
        <w:t>p</w:t>
      </w:r>
      <w:r w:rsidRPr="006E6EE8">
        <w:t xml:space="preserve"> = 2.00E-03 - 1.06E-05), gene expression (</w:t>
      </w:r>
      <w:r w:rsidRPr="006E6EE8">
        <w:rPr>
          <w:i/>
          <w:iCs/>
        </w:rPr>
        <w:t xml:space="preserve">p </w:t>
      </w:r>
      <w:r w:rsidRPr="006E6EE8">
        <w:t>= 4.96E-03 - 1.06E-05), protein synthesis (</w:t>
      </w:r>
      <w:r w:rsidRPr="006E6EE8">
        <w:rPr>
          <w:i/>
          <w:iCs/>
        </w:rPr>
        <w:t>p</w:t>
      </w:r>
      <w:r w:rsidRPr="006E6EE8">
        <w:t xml:space="preserve"> = 8.33E-04 - 2.57E-08), and RNA post-transcriptional modification (</w:t>
      </w:r>
      <w:r w:rsidRPr="006E6EE8">
        <w:rPr>
          <w:i/>
          <w:iCs/>
        </w:rPr>
        <w:t>p</w:t>
      </w:r>
      <w:r w:rsidRPr="006E6EE8">
        <w:t xml:space="preserve"> = 9.89E-03 - 1.13E-08). For SMA II, the top enriched annotations were carbohydrate metabolism (</w:t>
      </w:r>
      <w:r w:rsidRPr="006E6EE8">
        <w:rPr>
          <w:i/>
          <w:iCs/>
        </w:rPr>
        <w:t>p</w:t>
      </w:r>
      <w:r w:rsidRPr="006E6EE8">
        <w:t xml:space="preserve">  = 4.47E-02 - 2.71E-04), cellular assembly and organisation (</w:t>
      </w:r>
      <w:r w:rsidRPr="006E6EE8">
        <w:rPr>
          <w:i/>
          <w:iCs/>
        </w:rPr>
        <w:t>p</w:t>
      </w:r>
      <w:r w:rsidRPr="006E6EE8">
        <w:t xml:space="preserve">  = 4.54E-02 - 1.63E-04), cell morphology (</w:t>
      </w:r>
      <w:r w:rsidRPr="006E6EE8">
        <w:rPr>
          <w:i/>
          <w:iCs/>
        </w:rPr>
        <w:t>p</w:t>
      </w:r>
      <w:r w:rsidRPr="006E6EE8">
        <w:t xml:space="preserve">  = 4.36E-02 - 1.63E-04), small molecular biochemistry (</w:t>
      </w:r>
      <w:r w:rsidRPr="006E6EE8">
        <w:rPr>
          <w:i/>
          <w:iCs/>
        </w:rPr>
        <w:t>p</w:t>
      </w:r>
      <w:r w:rsidRPr="006E6EE8">
        <w:t xml:space="preserve"> = 4.91E-02 - 5.46E-05) and nucleic acid metabolism (</w:t>
      </w:r>
      <w:r w:rsidRPr="006E6EE8">
        <w:rPr>
          <w:i/>
          <w:iCs/>
        </w:rPr>
        <w:t>p</w:t>
      </w:r>
      <w:r w:rsidRPr="006E6EE8">
        <w:t xml:space="preserve"> = 1.92E-02 - 5.46E-05), but fewer differentially expressed proteins were associated with the enriched terms compared to SMA I and III, possibly reflecting the lower number of differentially expressed proteins consistently identified across this group.</w:t>
      </w:r>
      <w:r w:rsidRPr="006E6EE8">
        <w:rPr>
          <w:i/>
          <w:iCs/>
          <w:color w:val="FF0000"/>
        </w:rPr>
        <w:t xml:space="preserve"> </w:t>
      </w:r>
      <w:r w:rsidRPr="006E6EE8">
        <w:t>The top enriched terms in the SMA III dataset included cellular function and maintenance (</w:t>
      </w:r>
      <w:r w:rsidRPr="006E6EE8">
        <w:rPr>
          <w:i/>
          <w:iCs/>
        </w:rPr>
        <w:t>p</w:t>
      </w:r>
      <w:r w:rsidRPr="006E6EE8">
        <w:t xml:space="preserve"> = 9.43E-03 - 2.94E-05), cellular development (</w:t>
      </w:r>
      <w:r w:rsidRPr="006E6EE8">
        <w:rPr>
          <w:i/>
          <w:iCs/>
        </w:rPr>
        <w:t>p</w:t>
      </w:r>
      <w:r w:rsidRPr="006E6EE8">
        <w:t xml:space="preserve"> = 1.01E-02 - 2.94E-05), cellular movement (</w:t>
      </w:r>
      <w:r w:rsidRPr="006E6EE8">
        <w:rPr>
          <w:i/>
          <w:iCs/>
        </w:rPr>
        <w:t>p</w:t>
      </w:r>
      <w:r w:rsidRPr="006E6EE8">
        <w:t xml:space="preserve"> = 1.08E-02 - 1.60E-05), post-translational modification (</w:t>
      </w:r>
      <w:r w:rsidRPr="006E6EE8">
        <w:rPr>
          <w:i/>
          <w:iCs/>
        </w:rPr>
        <w:t>p</w:t>
      </w:r>
      <w:r w:rsidRPr="006E6EE8">
        <w:t xml:space="preserve"> = 6.29E-03 - 9.80E-06) and cell death and survival (</w:t>
      </w:r>
      <w:r w:rsidRPr="006E6EE8">
        <w:rPr>
          <w:i/>
          <w:iCs/>
        </w:rPr>
        <w:t>p</w:t>
      </w:r>
      <w:r w:rsidRPr="006E6EE8">
        <w:t xml:space="preserve"> = 9.69E-03 - 6.95E-06). A three-way comparison in IPA</w:t>
      </w:r>
      <w:r w:rsidRPr="006E6EE8">
        <w:rPr>
          <w:vertAlign w:val="superscript"/>
        </w:rPr>
        <w:t>®</w:t>
      </w:r>
      <w:r w:rsidRPr="006E6EE8">
        <w:t xml:space="preserve"> in which the enriched “cellular and molecular functions” annotations across each SMA type were ranked by absolute </w:t>
      </w:r>
      <w:r w:rsidRPr="006E6EE8">
        <w:rPr>
          <w:i/>
          <w:iCs/>
        </w:rPr>
        <w:t>p</w:t>
      </w:r>
      <w:r w:rsidRPr="006E6EE8">
        <w:t>-value indicated that there is very little overlap of enrichment per comparison (SMA type vs control) (Figure 2C). While terms associated with tumour cell lines showed some degree of overlap between SMA types, these are likely unrelated to SMA, instead reflecting the high dominance of cancer-related studies constituting the protein:protein and protein:DNA interactions comprising the IPA</w:t>
      </w:r>
      <w:r w:rsidRPr="006E6EE8">
        <w:rPr>
          <w:vertAlign w:val="superscript"/>
        </w:rPr>
        <w:t xml:space="preserve">® </w:t>
      </w:r>
      <w:r w:rsidRPr="006E6EE8">
        <w:t xml:space="preserve">Knowledge Base, especially since tumour-related terms were not among the most enriched terms when the SMA comparisons were analysed in isolation (Figure 2B). After tumour-related terms were excluded, the only terms with some </w:t>
      </w:r>
      <w:bookmarkStart w:id="8" w:name="_Int_LfKhP5RD"/>
      <w:r w:rsidRPr="006E6EE8">
        <w:t>overlap</w:t>
      </w:r>
      <w:bookmarkEnd w:id="8"/>
      <w:r w:rsidRPr="006E6EE8">
        <w:t xml:space="preserve"> were necrosis (SMA I (</w:t>
      </w:r>
      <w:r w:rsidRPr="006E6EE8">
        <w:rPr>
          <w:i/>
          <w:iCs/>
        </w:rPr>
        <w:t>p</w:t>
      </w:r>
      <w:r w:rsidRPr="006E6EE8">
        <w:t>=1.22E-03), SMA II (</w:t>
      </w:r>
      <w:r w:rsidRPr="006E6EE8">
        <w:rPr>
          <w:i/>
          <w:iCs/>
        </w:rPr>
        <w:t>p</w:t>
      </w:r>
      <w:r w:rsidRPr="006E6EE8">
        <w:t>=9.93E-03) and SMA III (</w:t>
      </w:r>
      <w:r w:rsidRPr="006E6EE8">
        <w:rPr>
          <w:i/>
          <w:iCs/>
        </w:rPr>
        <w:t>p</w:t>
      </w:r>
      <w:r w:rsidRPr="006E6EE8">
        <w:t>=2.8E-05)),  autophagy (SMA I (</w:t>
      </w:r>
      <w:r w:rsidRPr="006E6EE8">
        <w:rPr>
          <w:i/>
          <w:iCs/>
        </w:rPr>
        <w:t>p</w:t>
      </w:r>
      <w:r w:rsidRPr="006E6EE8">
        <w:t>=1.75E-04), SMA II (</w:t>
      </w:r>
      <w:r w:rsidRPr="006E6EE8">
        <w:rPr>
          <w:i/>
          <w:iCs/>
        </w:rPr>
        <w:t>p</w:t>
      </w:r>
      <w:r w:rsidRPr="006E6EE8">
        <w:t>=3.08E-03) and SMA III (</w:t>
      </w:r>
      <w:r w:rsidRPr="006E6EE8">
        <w:rPr>
          <w:i/>
          <w:iCs/>
        </w:rPr>
        <w:t>p</w:t>
      </w:r>
      <w:r w:rsidRPr="006E6EE8">
        <w:t>=7.96E-03)), and metabolism of protein (SMA 1 (</w:t>
      </w:r>
      <w:r w:rsidRPr="006E6EE8">
        <w:rPr>
          <w:i/>
          <w:iCs/>
        </w:rPr>
        <w:t>p</w:t>
      </w:r>
      <w:r w:rsidRPr="006E6EE8">
        <w:t>=3.72E-07) and SMA III (</w:t>
      </w:r>
      <w:r w:rsidRPr="006E6EE8">
        <w:rPr>
          <w:i/>
          <w:iCs/>
        </w:rPr>
        <w:t>p</w:t>
      </w:r>
      <w:r w:rsidRPr="006E6EE8">
        <w:t xml:space="preserve">=2.05E-04) only) (Figure 2C). </w:t>
      </w:r>
    </w:p>
    <w:p w14:paraId="774FB87D" w14:textId="64FB649F" w:rsidR="00786B93" w:rsidRPr="006E6EE8" w:rsidRDefault="00786B93" w:rsidP="00595196">
      <w:pPr>
        <w:pStyle w:val="MDPI31text"/>
      </w:pPr>
      <w:bookmarkStart w:id="9" w:name="_Hlk111546597"/>
      <w:r w:rsidRPr="006E6EE8">
        <w:t xml:space="preserve">Having established profiles of differentially expressed proteins in each SMA type compared to their respective controls and having shown that there is limited overlap between them in terms of individual protein changes or enriched biological processes, we next wished to determine whether proteins from the individual datasets may nonetheless converge upon common </w:t>
      </w:r>
      <w:r w:rsidR="00976E36">
        <w:t>canonical</w:t>
      </w:r>
      <w:r w:rsidR="00976E36" w:rsidRPr="006E6EE8">
        <w:t xml:space="preserve"> </w:t>
      </w:r>
      <w:r w:rsidRPr="006E6EE8">
        <w:t>pathways</w:t>
      </w:r>
      <w:bookmarkStart w:id="10" w:name="_Hlk111573647"/>
      <w:r w:rsidR="00C7546E">
        <w:t xml:space="preserve"> (</w:t>
      </w:r>
      <w:r w:rsidR="00976E36">
        <w:t>i.e., well characterized metabolic and cell signaling pathways that have been</w:t>
      </w:r>
      <w:r w:rsidR="00C7546E">
        <w:t xml:space="preserve"> curated using information from published sources).</w:t>
      </w:r>
      <w:r w:rsidR="00976E36">
        <w:t xml:space="preserve"> </w:t>
      </w:r>
      <w:bookmarkEnd w:id="9"/>
      <w:r w:rsidRPr="006E6EE8">
        <w:t>Similar to the cellular and molecular function analysis, canonical pathway analysis using IPA</w:t>
      </w:r>
      <w:r w:rsidRPr="006E6EE8">
        <w:rPr>
          <w:vertAlign w:val="superscript"/>
        </w:rPr>
        <w:t xml:space="preserve">® </w:t>
      </w:r>
      <w:r w:rsidRPr="006E6EE8">
        <w:t xml:space="preserve">found far fewer enriched terms associated with the SMA II dataset compared to SMA I and III (Figure 2D), and a three-way comparison in which the enriched canonical pathway annotations across each SMA type were ranked by absolute </w:t>
      </w:r>
      <w:r w:rsidRPr="006E6EE8">
        <w:rPr>
          <w:i/>
          <w:iCs/>
        </w:rPr>
        <w:t>p</w:t>
      </w:r>
      <w:r w:rsidRPr="006E6EE8">
        <w:t>-value found very little overlap of enrichment per comparison (Figure 2E).</w:t>
      </w:r>
      <w:bookmarkEnd w:id="10"/>
      <w:r w:rsidRPr="006E6EE8">
        <w:t xml:space="preserve"> Of the enriched canonical pathways identified, none were statistically significant across each of the three SMA datasets (Figure 2D), </w:t>
      </w:r>
      <w:bookmarkStart w:id="11" w:name="_Hlk111575132"/>
      <w:r w:rsidRPr="006E6EE8">
        <w:t>but several were significantly enriched across two of three datasets with at least one differentially expressed protein from the third having been associated, including mTOR signaling (SMA I (</w:t>
      </w:r>
      <w:r w:rsidRPr="006E6EE8">
        <w:rPr>
          <w:i/>
          <w:iCs/>
        </w:rPr>
        <w:t>p</w:t>
      </w:r>
      <w:r w:rsidRPr="006E6EE8">
        <w:t>=9.01E-09) and SMA III (</w:t>
      </w:r>
      <w:r w:rsidRPr="006E6EE8">
        <w:rPr>
          <w:i/>
          <w:iCs/>
        </w:rPr>
        <w:t>p</w:t>
      </w:r>
      <w:r w:rsidRPr="006E6EE8">
        <w:t>=4.55E-03)), regulation of eIF4 and p70S6K signaling (SMA I (</w:t>
      </w:r>
      <w:r w:rsidRPr="006E6EE8">
        <w:rPr>
          <w:i/>
          <w:iCs/>
        </w:rPr>
        <w:t>p</w:t>
      </w:r>
      <w:r w:rsidRPr="006E6EE8">
        <w:t>=3.17E-06) and SMA III (</w:t>
      </w:r>
      <w:r w:rsidRPr="006E6EE8">
        <w:rPr>
          <w:i/>
          <w:iCs/>
        </w:rPr>
        <w:t>p</w:t>
      </w:r>
      <w:r w:rsidRPr="006E6EE8">
        <w:t>=1.9E-02)) and eIF2 signaling (SMA I (</w:t>
      </w:r>
      <w:r w:rsidRPr="006E6EE8">
        <w:rPr>
          <w:i/>
          <w:iCs/>
        </w:rPr>
        <w:t>p</w:t>
      </w:r>
      <w:r w:rsidRPr="006E6EE8">
        <w:t>=1.64E-5) and SMA II (</w:t>
      </w:r>
      <w:r w:rsidRPr="006E6EE8">
        <w:rPr>
          <w:i/>
          <w:iCs/>
        </w:rPr>
        <w:t>p</w:t>
      </w:r>
      <w:r w:rsidRPr="006E6EE8">
        <w:t xml:space="preserve">=9.28E-03) (Figure 2E). Protein ubiquitination was also enriched </w:t>
      </w:r>
      <w:r w:rsidRPr="006E6EE8">
        <w:lastRenderedPageBreak/>
        <w:t>across SMA I (</w:t>
      </w:r>
      <w:r w:rsidRPr="006E6EE8">
        <w:rPr>
          <w:i/>
          <w:iCs/>
        </w:rPr>
        <w:t>p</w:t>
      </w:r>
      <w:r w:rsidRPr="006E6EE8">
        <w:t>=4.52E-04) and SMA II (</w:t>
      </w:r>
      <w:r w:rsidRPr="006E6EE8">
        <w:rPr>
          <w:i/>
          <w:iCs/>
        </w:rPr>
        <w:t>p</w:t>
      </w:r>
      <w:r w:rsidRPr="006E6EE8">
        <w:t>=1.95E-03), but just missed that statistical cut off for significance in SMA III (</w:t>
      </w:r>
      <w:r w:rsidRPr="006E6EE8">
        <w:rPr>
          <w:i/>
          <w:iCs/>
        </w:rPr>
        <w:t>p</w:t>
      </w:r>
      <w:r w:rsidRPr="006E6EE8">
        <w:t xml:space="preserve">=5.62E-02) (Figure 2E). </w:t>
      </w:r>
    </w:p>
    <w:bookmarkEnd w:id="11"/>
    <w:p w14:paraId="4865932A" w14:textId="77777777" w:rsidR="00786B93" w:rsidRPr="006E6EE8" w:rsidRDefault="00786B93" w:rsidP="00595196">
      <w:pPr>
        <w:pStyle w:val="MDPI31text"/>
      </w:pPr>
      <w:r w:rsidRPr="006E6EE8">
        <w:t>Subsequent network analysis using IPA</w:t>
      </w:r>
      <w:r w:rsidRPr="006E6EE8">
        <w:rPr>
          <w:vertAlign w:val="superscript"/>
        </w:rPr>
        <w:t>®</w:t>
      </w:r>
      <w:r w:rsidRPr="006E6EE8">
        <w:t xml:space="preserve"> identified several networks with which the differentially expressed proteins from each SMA comparison were associated (Figure 3A), again showing some – but limited – overlap in terms of the specific proteins assigned to each network (Figure 3B). The highest scoring networks for each comparison were associated with energy production, nucleic acid metabolism, and small molecular biochemistry biological terms for SMA I (Figure 3C), connective tissue disorders, organismal injury and abnormalities, skeletal and muscular dystrophy terms for SMA II (Figure 3D), and cellular development, cellular growth and proliferation, and cellular response to therapeutics terms for SMA III (Figure 3E).</w:t>
      </w:r>
    </w:p>
    <w:p w14:paraId="7BCB977C" w14:textId="77777777" w:rsidR="00595196" w:rsidRPr="006E6EE8" w:rsidRDefault="00786B93" w:rsidP="00595196">
      <w:pPr>
        <w:pStyle w:val="MDPI52figure"/>
        <w:rPr>
          <w:b/>
          <w:bCs/>
        </w:rPr>
      </w:pPr>
      <w:r w:rsidRPr="006E6EE8">
        <w:rPr>
          <w:noProof/>
        </w:rPr>
        <w:drawing>
          <wp:inline distT="0" distB="0" distL="0" distR="0" wp14:anchorId="3F641C5E" wp14:editId="7EA11E28">
            <wp:extent cx="5731510" cy="6590666"/>
            <wp:effectExtent l="0" t="0" r="2540" b="63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731510" cy="6590666"/>
                    </a:xfrm>
                    <a:prstGeom prst="rect">
                      <a:avLst/>
                    </a:prstGeom>
                  </pic:spPr>
                </pic:pic>
              </a:graphicData>
            </a:graphic>
          </wp:inline>
        </w:drawing>
      </w:r>
    </w:p>
    <w:p w14:paraId="4C7F5919" w14:textId="77777777" w:rsidR="00786B93" w:rsidRPr="006E6EE8" w:rsidRDefault="00595196" w:rsidP="00595196">
      <w:pPr>
        <w:pStyle w:val="MDPI51figurecaption"/>
        <w:jc w:val="both"/>
      </w:pPr>
      <w:r w:rsidRPr="006E6EE8">
        <w:rPr>
          <w:b/>
          <w:bCs/>
        </w:rPr>
        <w:lastRenderedPageBreak/>
        <w:t xml:space="preserve">Figure 3. </w:t>
      </w:r>
      <w:r w:rsidR="00786B93" w:rsidRPr="006E6EE8">
        <w:t>Network analyses of the differentially expressed proteins from each SMA type using IPA</w:t>
      </w:r>
      <w:r w:rsidR="00786B93" w:rsidRPr="006E6EE8">
        <w:rPr>
          <w:vertAlign w:val="superscript"/>
        </w:rPr>
        <w:t xml:space="preserve">®. </w:t>
      </w:r>
      <w:r w:rsidR="00786B93" w:rsidRPr="006E6EE8">
        <w:t>(</w:t>
      </w:r>
      <w:r w:rsidR="00786B93" w:rsidRPr="006E6EE8">
        <w:rPr>
          <w:b/>
          <w:bCs/>
        </w:rPr>
        <w:t>A</w:t>
      </w:r>
      <w:r w:rsidR="00786B93" w:rsidRPr="006E6EE8">
        <w:t>) Table showing the networks associated with the differentially expressed proteins for each SMA type. The networks are scored based on the number of Network Eligible molecules they contain with higher scores reflecting a lower probability that the molecules are present by chance. (</w:t>
      </w:r>
      <w:r w:rsidR="00786B93" w:rsidRPr="006E6EE8">
        <w:rPr>
          <w:b/>
          <w:bCs/>
        </w:rPr>
        <w:t>B</w:t>
      </w:r>
      <w:r w:rsidR="00786B93" w:rsidRPr="006E6EE8">
        <w:t>) Illustrates the interconnectivity of the networks identified for each SMA type with numbers reflecting the overlap of specific proteins assigned to each network. Schematics of the highest scoring networks associated with the differentially expressed proteins for SMA I (</w:t>
      </w:r>
      <w:r w:rsidR="00786B93" w:rsidRPr="006E6EE8">
        <w:rPr>
          <w:b/>
          <w:bCs/>
        </w:rPr>
        <w:t>C</w:t>
      </w:r>
      <w:r w:rsidR="00786B93" w:rsidRPr="006E6EE8">
        <w:t>), SMA II (</w:t>
      </w:r>
      <w:r w:rsidR="00786B93" w:rsidRPr="006E6EE8">
        <w:rPr>
          <w:b/>
          <w:bCs/>
        </w:rPr>
        <w:t>D</w:t>
      </w:r>
      <w:r w:rsidR="00786B93" w:rsidRPr="006E6EE8">
        <w:t>) and SMA III (</w:t>
      </w:r>
      <w:r w:rsidR="00786B93" w:rsidRPr="006E6EE8">
        <w:rPr>
          <w:b/>
          <w:bCs/>
        </w:rPr>
        <w:t>E</w:t>
      </w:r>
      <w:r w:rsidR="00786B93" w:rsidRPr="006E6EE8">
        <w:t>) using the top 35 molecules for each dataset. Lines represent the biological relationship between two nodes, with direct interactions illustrated as a solid line and indirect interactions as a dotted line.</w:t>
      </w:r>
    </w:p>
    <w:p w14:paraId="4C89E108" w14:textId="77777777" w:rsidR="00786B93" w:rsidRPr="006E6EE8" w:rsidRDefault="00786B93" w:rsidP="00595196">
      <w:pPr>
        <w:pStyle w:val="MDPI22heading2"/>
        <w:spacing w:before="240"/>
      </w:pPr>
      <w:r w:rsidRPr="006E6EE8">
        <w:t>Relevance of SMA I-III fibroblast proteomic data to other biological datasets</w:t>
      </w:r>
    </w:p>
    <w:p w14:paraId="608ADEA6" w14:textId="77777777" w:rsidR="00786B93" w:rsidRPr="006E6EE8" w:rsidRDefault="00786B93" w:rsidP="00595196">
      <w:pPr>
        <w:pStyle w:val="MDPI31text"/>
      </w:pPr>
      <w:r w:rsidRPr="006E6EE8">
        <w:t>Using IPA</w:t>
      </w:r>
      <w:r w:rsidRPr="006E6EE8">
        <w:rPr>
          <w:vertAlign w:val="superscript"/>
        </w:rPr>
        <w:t>®</w:t>
      </w:r>
      <w:r w:rsidRPr="006E6EE8">
        <w:t xml:space="preserve"> Analysis Match we next examined the degree of overlap between the proteomic datasets generated from the SMA Type I, II and III fibroblasts with those from previous SMA studies and studies of neurological conditions. The analysis focused on other datasets with skin or peripheral blood as the tissue of interest since this may reveal insights into the biological relevance of using fibroblasts to study disease mechanisms or to identify disease biomarkers. The term “skin” was used so that studies using fibroblasts would be included. Skin and peripheral blood are tissues that are easier to access and are relatively less invasive for patients than CSF or biopsies from other tissues for the identification and validation of SMA relevant biomarkers. For this study, outputs relating to Canonical Pathways, Causal Networks and Diseases &amp; Functions with a minimum positive z-score of 50% were included.</w:t>
      </w:r>
    </w:p>
    <w:p w14:paraId="4A8C71FA" w14:textId="77777777" w:rsidR="00786B93" w:rsidRPr="006E6EE8" w:rsidRDefault="00786B93" w:rsidP="00595196">
      <w:pPr>
        <w:pStyle w:val="MDPI31text"/>
      </w:pPr>
      <w:r w:rsidRPr="006E6EE8">
        <w:t xml:space="preserve">Analysis Match (IPA) applied to the current fibroblast datasets identified a study from SMA Type I fibroblasts </w:t>
      </w:r>
      <w:r w:rsidRPr="006E6EE8">
        <w:fldChar w:fldCharType="begin" w:fldLock="1"/>
      </w:r>
      <w:r w:rsidRPr="006E6EE8">
        <w:instrText>ADDIN CSL_CITATION {"citationItems":[{"id":"ITEM-1","itemData":{"DOI":"10.1038/s41467-017-01559-4","ISBN":"4146701701559","ISSN":"20411723","PMID":"29133793","abstract":"Small molecule splicing modifiers have been previously described that target the general splicing machinery and thus have low specificity for individual genes. Several potent molecules correcting the splicing deficit of the SMN2 (survival of motor neuron 2) gene have been identified and these molecules are moving towards a potential therapy for spinal muscular atrophy (SMA). Here by using a combination of RNA splicing, transcription, and protein chemistry techniques, we show that these molecules directly bind to two distinct sites of the SMN2 pre-mRNA, thereby stabilizing a yet unidentified ribonucleoprotein (RNP) complex that is critical to the specificity of these small molecules for SMN2 over other genes. In addition to the therapeutic potential of these molecules for treatment of SMA, our work has wide-ranging implications in understanding how small molecules can interact with specific quaternary RNA structures.","author":[{"dropping-particle":"","family":"Sivaramakrishnan","given":"Manaswini","non-dropping-particle":"","parse-names":false,"suffix":""},{"dropping-particle":"","family":"McCarthy","given":"Kathleen D.","non-dropping-particle":"","parse-names":false,"suffix":""},{"dropping-particle":"","family":"Campagne","given":"Sébastien","non-dropping-particle":"","parse-names":false,"suffix":""},{"dropping-particle":"","family":"Huber","given":"Sylwia","non-dropping-particle":"","parse-names":false,"suffix":""},{"dropping-particle":"","family":"Meier","given":"Sonja","non-dropping-particle":"","parse-names":false,"suffix":""},{"dropping-particle":"","family":"Augustin","given":"Angélique","non-dropping-particle":"","parse-names":false,"suffix":""},{"dropping-particle":"","family":"Heckel","given":"Tobias","non-dropping-particle":"","parse-names":false,"suffix":""},{"dropping-particle":"","family":"Meistermann","given":"Hélène","non-dropping-particle":"","parse-names":false,"suffix":""},{"dropping-particle":"","family":"Hug","given":"Melanie N.","non-dropping-particle":"","parse-names":false,"suffix":""},{"dropping-particle":"","family":"Birrer","given":"Pascale","non-dropping-particle":"","parse-names":false,"suffix":""},{"dropping-particle":"","family":"Moursy","given":"Ahmed","non-dropping-particle":"","parse-names":false,"suffix":""},{"dropping-particle":"","family":"Khawaja","given":"Sarah","non-dropping-particle":"","parse-names":false,"suffix":""},{"dropping-particle":"","family":"Schmucki","given":"Roland","non-dropping-particle":"","parse-names":false,"suffix":""},{"dropping-particle":"","family":"Berntenis","given":"Nikos","non-dropping-particle":"","parse-names":false,"suffix":""},{"dropping-particle":"","family":"Giroud","given":"Nicolas","non-dropping-particle":"","parse-names":false,"suffix":""},{"dropping-particle":"","family":"Golling","given":"Sabrina","non-dropping-particle":"","parse-names":false,"suffix":""},{"dropping-particle":"","family":"Tzouros","given":"Manuel","non-dropping-particle":"","parse-names":false,"suffix":""},{"dropping-particle":"","family":"Banfai","given":"Balazs","non-dropping-particle":"","parse-names":false,"suffix":""},{"dropping-particle":"","family":"Duran-Pacheco","given":"Gonzalo","non-dropping-particle":"","parse-names":false,"suffix":""},{"dropping-particle":"","family":"Lamerz","given":"Jens","non-dropping-particle":"","parse-names":false,"suffix":""},{"dropping-particle":"","family":"Hsiu Liu","given":"Ying","non-dropping-particle":"","parse-names":false,"suffix":""},{"dropping-particle":"","family":"Luebbers","given":"Thomas","non-dropping-particle":"","parse-names":false,"suffix":""},{"dropping-particle":"","family":"Ratni","given":"Hasane","non-dropping-particle":"","parse-names":false,"suffix":""},{"dropping-particle":"","family":"Ebeling","given":"Martin","non-dropping-particle":"","parse-names":false,"suffix":""},{"dropping-particle":"","family":"Cléry","given":"Antoine","non-dropping-particle":"","parse-names":false,"suffix":""},{"dropping-particle":"","family":"Paushkin","given":"Sergey","non-dropping-particle":"","parse-names":false,"suffix":""},{"dropping-particle":"","family":"Krainer","given":"Adrian R.","non-dropping-particle":"","parse-names":false,"suffix":""},{"dropping-particle":"","family":"Allain","given":"Frédéric H.T.","non-dropping-particle":"","parse-names":false,"suffix":""},{"dropping-particle":"","family":"Metzger","given":"Friedrich","non-dropping-particle":"","parse-names":false,"suffix":""}],"container-title":"Nature Communications","id":"ITEM-1","issue":"1","issued":{"date-parts":[["2017"]]},"publisher":"Springer US","title":"Binding to SMN2 pre-mRNA-protein complex elicits specificity for small molecule splicing modifiers","type":"article-journal","volume":"8"},"uris":["http://www.mendeley.com/documents/?uuid=532ebada-cc30-4ae6-addb-61e443ddf508"]}],"mendeley":{"formattedCitation":"[27]","plainTextFormattedCitation":"[27]","previouslyFormattedCitation":"[27]"},"properties":{"noteIndex":0},"schema":"https://github.com/citation-style-language/schema/raw/master/csl-citation.json"}</w:instrText>
      </w:r>
      <w:r w:rsidRPr="006E6EE8">
        <w:fldChar w:fldCharType="separate"/>
      </w:r>
      <w:r w:rsidRPr="006E6EE8">
        <w:rPr>
          <w:noProof/>
        </w:rPr>
        <w:t>[27]</w:t>
      </w:r>
      <w:r w:rsidRPr="006E6EE8">
        <w:fldChar w:fldCharType="end"/>
      </w:r>
      <w:r w:rsidRPr="006E6EE8">
        <w:t xml:space="preserve"> which overlapped with a z-score of 60.3 (</w:t>
      </w:r>
      <w:r w:rsidRPr="006E6EE8">
        <w:rPr>
          <w:i/>
          <w:iCs/>
        </w:rPr>
        <w:t>p</w:t>
      </w:r>
      <w:r w:rsidRPr="006E6EE8">
        <w:t xml:space="preserve">=2.00E-04) for Canonical Pathways with the current SMA I dataset (Supplementary File (Figure 1A)), whilst the current SMA III dataset was found to have a positive overlap (91.29; </w:t>
      </w:r>
      <w:r w:rsidRPr="006E6EE8">
        <w:rPr>
          <w:i/>
          <w:iCs/>
        </w:rPr>
        <w:t>p</w:t>
      </w:r>
      <w:r w:rsidRPr="006E6EE8">
        <w:t xml:space="preserve">=4.86E-08) when Canonical Pathways were considered (Supplementary File (Figure 1B)) with a study using fibroblasts to investigate neurologic manifestations </w:t>
      </w:r>
      <w:r w:rsidRPr="006E6EE8">
        <w:fldChar w:fldCharType="begin" w:fldLock="1"/>
      </w:r>
      <w:r w:rsidRPr="006E6EE8">
        <w:instrText>ADDIN CSL_CITATION {"citationItems":[{"id":"ITEM-1","itemData":{"DOI":"10.1016/j.stem.2017.04.002","ISSN":"18759777","PMID":"28526555","abstract":"Inactivating mutations in the thyroid hormone (TH) transporter Monocarboxylate transporter 8 (MCT8) cause severe psychomotor retardation in children. Animal models do not reflect the biology of the human disease. Using patient-specific induced pluripotent stem cells (iPSCs), we generated MCT8-deficient neural cells that showed normal TH-dependent neuronal properties and maturation. However, the blood-brain barrier (BBB) controls TH entry into the brain, and reduced TH availability to neural cells could instead underlie the diseased phenotype. To test potential BBB involvement, we generated an iPSC-based BBB model of MCT8 deficiency, and we found that MCT8 was necessary for polarized influx of the active form of TH across the BBB. We also found that a candidate drug did not appreciably cross the mutant BBB. Our results therefore clarify the underlying physiological basis of this disorder, and they suggest that circumventing the diseased BBB to deliver active TH to the brain could be a viable therapeutic strategy. Vatine et al. show that human iPSC-based modeling can pinpoint the origin of a neuronal disorder in the brain as a defect in transport of thyroid hormone across the blood-brain barrier, rather than in the neurons themselves.","author":[{"dropping-particle":"","family":"Vatine","given":"Gad D.","non-dropping-particle":"","parse-names":false,"suffix":""},{"dropping-particle":"","family":"Al-Ahmad","given":"Abraham","non-dropping-particle":"","parse-names":false,"suffix":""},{"dropping-particle":"","family":"Barriga","given":"Bianca K.","non-dropping-particle":"","parse-names":false,"suffix":""},{"dropping-particle":"","family":"Svendsen","given":"Soshana","non-dropping-particle":"","parse-names":false,"suffix":""},{"dropping-particle":"","family":"Salim","given":"Ariel","non-dropping-particle":"","parse-names":false,"suffix":""},{"dropping-particle":"","family":"Garcia","given":"Leslie","non-dropping-particle":"","parse-names":false,"suffix":""},{"dropping-particle":"","family":"Garcia","given":"Veronica J.","non-dropping-particle":"","parse-names":false,"suffix":""},{"dropping-particle":"","family":"Ho","given":"Ritchie","non-dropping-particle":"","parse-names":false,"suffix":""},{"dropping-particle":"","family":"Yucer","given":"Nur","non-dropping-particle":"","parse-names":false,"suffix":""},{"dropping-particle":"","family":"Qian","given":"Tongcheng","non-dropping-particle":"","parse-names":false,"suffix":""},{"dropping-particle":"","family":"Lim","given":"Ryan G.","non-dropping-particle":"","parse-names":false,"suffix":""},{"dropping-particle":"","family":"Wu","given":"Jie","non-dropping-particle":"","parse-names":false,"suffix":""},{"dropping-particle":"","family":"Thompson","given":"Leslie M.","non-dropping-particle":"","parse-names":false,"suffix":""},{"dropping-particle":"","family":"Spivia","given":"Weston R.","non-dropping-particle":"","parse-names":false,"suffix":""},{"dropping-particle":"","family":"Chen","given":"Zhaohui","non-dropping-particle":"","parse-names":false,"suffix":""},{"dropping-particle":"","family":"Eyk","given":"Jennifer","non-dropping-particle":"Van","parse-names":false,"suffix":""},{"dropping-particle":"","family":"Palecek","given":"Sean P.","non-dropping-particle":"","parse-names":false,"suffix":""},{"dropping-particle":"","family":"Refetoff","given":"Samuel","non-dropping-particle":"","parse-names":false,"suffix":""},{"dropping-particle":"V.","family":"Shusta","given":"Eric","non-dropping-particle":"","parse-names":false,"suffix":""},{"dropping-particle":"","family":"Svendsen","given":"Clive N.","non-dropping-particle":"","parse-names":false,"suffix":""}],"container-title":"Cell Stem Cell","id":"ITEM-1","issue":"6","issued":{"date-parts":[["2017"]]},"page":"831-843.e5","title":"Modeling Psychomotor Retardation using iPSCs from MCT8-Deficient Patients Indicates a Prominent Role for the Blood-Brain Barrier","type":"article-journal","volume":"20"},"uris":["http://www.mendeley.com/documents/?uuid=365faba8-84c5-4b38-bf0f-edcb638a2c88"]}],"mendeley":{"formattedCitation":"[28]","plainTextFormattedCitation":"[28]","previouslyFormattedCitation":"[28]"},"properties":{"noteIndex":0},"schema":"https://github.com/citation-style-language/schema/raw/master/csl-citation.json"}</w:instrText>
      </w:r>
      <w:r w:rsidRPr="006E6EE8">
        <w:fldChar w:fldCharType="separate"/>
      </w:r>
      <w:r w:rsidRPr="006E6EE8">
        <w:rPr>
          <w:noProof/>
        </w:rPr>
        <w:t>[28]</w:t>
      </w:r>
      <w:r w:rsidRPr="006E6EE8">
        <w:fldChar w:fldCharType="end"/>
      </w:r>
      <w:r w:rsidRPr="006E6EE8">
        <w:t xml:space="preserve">. No studies within the IPA registry made the 50% z-score cut-off when Causal Networks were considered against either the SMA I or SMA III datasets. In contrast, when the category Diseases &amp; Functions was considered for the SMA I dataset, 11 datasets made the cut-off (z-scores from 52.52 to 66.95; </w:t>
      </w:r>
      <w:r w:rsidRPr="006E6EE8">
        <w:rPr>
          <w:i/>
          <w:iCs/>
        </w:rPr>
        <w:t>p</w:t>
      </w:r>
      <w:r w:rsidRPr="006E6EE8">
        <w:t xml:space="preserve"> = 6.52E-12 - 8.25E-27) with seven datasets utilizing peripheral blood relating to individuals with multiple sclerosis (MS) and four datasets using skin from individuals with amyotrophic lateral sclerosis (ALS; n=1), SMA I (n=1) and neurologic manifestations (n=2) (Supplementary File (Figure 1C)). For the SMA III dataset, 26 datasets demonstrated an overlap greater than the 50% z-score cut-off (z-scores ranging from 51.64 to 73.03; </w:t>
      </w:r>
      <w:r w:rsidRPr="006E6EE8">
        <w:rPr>
          <w:i/>
          <w:iCs/>
        </w:rPr>
        <w:t>p</w:t>
      </w:r>
      <w:r w:rsidRPr="006E6EE8">
        <w:t xml:space="preserve"> = 5.42E-07 – 1.87E-15) for the Diseases &amp; Functions outputs, with 20 involving peripheral blood and six using skin (Supplementary File (Figure 1D) – top 20 Diseases &amp; Functions). Datasets involving skin were investigating familial dysautonomia (n=1), neurologic manifestations (n=2), spinocerebellar ataxia type 6 (n=1) and SMA I (n=2) whilst datasets using peripheral blood were studying MS (n=17), Phelan-McDermid syndrome (n=2) and spinocerebellar ataxia type 6 (n=1). No matches with a z-score of 50% or more were made between the curated analyses within IPA and the SMA II fibroblast data for Canonical Pathways, Causal Networks or Diseases &amp; Functions. The only positive overlap was found between four studies in Causal Networks (all z-scores = 20; all </w:t>
      </w:r>
      <w:r w:rsidRPr="006E6EE8">
        <w:rPr>
          <w:i/>
          <w:iCs/>
        </w:rPr>
        <w:t>p</w:t>
      </w:r>
      <w:r w:rsidRPr="006E6EE8">
        <w:t xml:space="preserve">= 0.004) with two studies involving skin (one each of SMA I and atypical deletion Williams syndrome) and two studies involving peripheral blood (one each of MS and Friedreich ataxia). </w:t>
      </w:r>
    </w:p>
    <w:p w14:paraId="08FD5E56" w14:textId="77777777" w:rsidR="00786B93" w:rsidRPr="006E6EE8" w:rsidRDefault="00786B93" w:rsidP="00595196">
      <w:pPr>
        <w:pStyle w:val="MDPI22heading2"/>
        <w:spacing w:before="240"/>
      </w:pPr>
      <w:r w:rsidRPr="006E6EE8">
        <w:t>Expression clustering analysis identifies molecular profiles that discriminate and /or correlate between different SMA severities.</w:t>
      </w:r>
    </w:p>
    <w:p w14:paraId="7B18CCE6" w14:textId="77777777" w:rsidR="00786B93" w:rsidRPr="006E6EE8" w:rsidRDefault="00786B93" w:rsidP="00595196">
      <w:pPr>
        <w:pStyle w:val="MDPI31text"/>
      </w:pPr>
      <w:r w:rsidRPr="006E6EE8">
        <w:t xml:space="preserve">Having established that there may be potential to identify disease biomarkers from fibroblast samples, we next wished to determine whether protein expression trends are identifiable across the SMA I-III proteomic datasets that discriminate and/or correlate </w:t>
      </w:r>
      <w:r w:rsidRPr="006E6EE8">
        <w:lastRenderedPageBreak/>
        <w:t xml:space="preserve">between the different severities. Though it would not be appropriate to quantitatively compare the degree of pathway enrichment across the three SMA fibroblasts datasets in instances where convergence upon common pathways was found, the apparent gradient of enrichment for some pathways (e.g., “EIF2 signaling”; Figure 2E) raised the possibility that protein expression trends across the different types of SMA may have been lost due to the strict filtering criteria applied to the proteomics data. Thus, to identify and visualize protein expression trends that may be present across the three datasets, the individual proteins that met the criteria for differential expression in at least one SMA type were tracked along with levels found in the remaining SMA types using BioLayout Express 3D software which enables complex pattern recognition and the subsequent generation of a visual representation of the data based on relative protein abundance </w:t>
      </w:r>
      <w:r w:rsidRPr="006E6EE8">
        <w:fldChar w:fldCharType="begin" w:fldLock="1"/>
      </w:r>
      <w:r w:rsidRPr="006E6EE8">
        <w:instrText>ADDIN CSL_CITATION {"citationItems":[{"id":"ITEM-1","itemData":{"DOI":"10.1038/nprot.2009.177","ISSN":"17502799","PMID":"19798086","abstract":"Network analysis has an increasing role in our effort to understand the complexity of biological systems. This is because of our ability to generate large data sets, where the interaction or distance between biological components can be either measured experimentally or calculated. Here we describe the use of BioLayout Express(3D), an application that has been specifically designed for the integration, visualization and analysis of large network graphs derived from biological data. We describe the basic functionality of the program and its ability to display and cluster large graphs in two- and three-dimensional space, thereby rendering graphs in a highly interactive format. Although the program supports the import and display of various data formats, we provide a detailed protocol for one of its unique capabilities, the network analysis of gene expression data and a more general guide to the manipulation of graphs generated from various other data types.","author":[{"dropping-particle":"","family":"Theocharidis","given":"Athanasios","non-dropping-particle":"","parse-names":false,"suffix":""},{"dropping-particle":"","family":"Dongen","given":"Stjin","non-dropping-particle":"van","parse-names":false,"suffix":""},{"dropping-particle":"","family":"Enright","given":"Anton J.","non-dropping-particle":"","parse-names":false,"suffix":""},{"dropping-particle":"","family":"Freeman","given":"Tom C.","non-dropping-particle":"","parse-names":false,"suffix":""}],"container-title":"Nature protocols","id":"ITEM-1","issue":"10","issued":{"date-parts":[["2009"]]},"page":"1535-1550","publisher":"Nature Publishing Group","title":"Network visualization and analysis of gene expression data using BioLayout Express(3D).","type":"article-journal","volume":"4"},"uris":["http://www.mendeley.com/documents/?uuid=b23a5345-3937-4bd7-9ae3-b30c406d0247"]}],"mendeley":{"formattedCitation":"[29]","plainTextFormattedCitation":"[29]","previouslyFormattedCitation":"[29]"},"properties":{"noteIndex":0},"schema":"https://github.com/citation-style-language/schema/raw/master/csl-citation.json"}</w:instrText>
      </w:r>
      <w:r w:rsidRPr="006E6EE8">
        <w:fldChar w:fldCharType="separate"/>
      </w:r>
      <w:r w:rsidRPr="006E6EE8">
        <w:rPr>
          <w:noProof/>
        </w:rPr>
        <w:t>[29]</w:t>
      </w:r>
      <w:r w:rsidRPr="006E6EE8">
        <w:fldChar w:fldCharType="end"/>
      </w:r>
      <w:r w:rsidRPr="006E6EE8">
        <w:t xml:space="preserve">. Thirteen clusters were identified according to similarities in their relative expression across the SMA I, II and III datasets (Figure 4A and Supplementary File (Figure 2) and Supplementary Table 3). One of these clusters, cluster 1, grouped 53 proteins with expression trends that correlate with SMA severity, having demonstrated both a strong correlation (r=-0.7708, p&lt;0.0001) and statistically significant differences between each SMA type corrected for control levels, i.e., SMA I </w:t>
      </w:r>
      <w:r w:rsidRPr="006E6EE8">
        <w:rPr>
          <w:i/>
          <w:iCs/>
        </w:rPr>
        <w:t>vs</w:t>
      </w:r>
      <w:r w:rsidRPr="006E6EE8">
        <w:t xml:space="preserve">. SMA II and SMA I </w:t>
      </w:r>
      <w:r w:rsidRPr="006E6EE8">
        <w:rPr>
          <w:i/>
          <w:iCs/>
        </w:rPr>
        <w:t>vs</w:t>
      </w:r>
      <w:r w:rsidRPr="006E6EE8">
        <w:t>. SMA III (both p&lt;0.0001) and SMA II</w:t>
      </w:r>
      <w:r w:rsidRPr="006E6EE8">
        <w:rPr>
          <w:i/>
          <w:iCs/>
        </w:rPr>
        <w:t xml:space="preserve"> v</w:t>
      </w:r>
      <w:r w:rsidRPr="006E6EE8">
        <w:t xml:space="preserve">s. SMA III (p&lt;0.001) (Figure 4B and Supplementary Table 4). In cluster 6, 14 proteins had expression fold changes that were significantly different between each SMA severity group adjusted for age-matched control levels, with a general trend towards reduced protein expression in SMA II compared to SMA I and SMA III (Figure 4B and Supplementary Table 4) i.e., SMA I </w:t>
      </w:r>
      <w:r w:rsidRPr="006E6EE8">
        <w:rPr>
          <w:i/>
          <w:iCs/>
        </w:rPr>
        <w:t>vs</w:t>
      </w:r>
      <w:r w:rsidRPr="006E6EE8">
        <w:t xml:space="preserve">. SMA II (p=0.023), SMA I </w:t>
      </w:r>
      <w:r w:rsidRPr="006E6EE8">
        <w:rPr>
          <w:i/>
          <w:iCs/>
        </w:rPr>
        <w:t>vs</w:t>
      </w:r>
      <w:r w:rsidRPr="006E6EE8">
        <w:t xml:space="preserve">. SMA III (p=0.03) and SMA II </w:t>
      </w:r>
      <w:r w:rsidRPr="006E6EE8">
        <w:rPr>
          <w:i/>
          <w:iCs/>
        </w:rPr>
        <w:t>vs</w:t>
      </w:r>
      <w:r w:rsidRPr="006E6EE8">
        <w:t xml:space="preserve">. SMA III (p&lt;0.0001). Three separate profiles were identified from the remaining clusters, based on statistically significant differences between comparisons, allowing for identification of protein candidates that discriminate one SMA severity type from the other two types (Figure 4B and Supplementary Table 4). Cluster 2, cluster 3 and cluster 5 incorporated 49, 21, and 16 proteins, respectively, with expression changes that were significantly different in SMA III compared to SMA I and II (again adjusted for control levels) i.e., cluster 2 &amp; 3: SMA I </w:t>
      </w:r>
      <w:r w:rsidRPr="006E6EE8">
        <w:rPr>
          <w:i/>
          <w:iCs/>
        </w:rPr>
        <w:t>vs</w:t>
      </w:r>
      <w:r w:rsidRPr="006E6EE8">
        <w:t xml:space="preserve">. SMA III and SMA II </w:t>
      </w:r>
      <w:r w:rsidRPr="006E6EE8">
        <w:rPr>
          <w:i/>
          <w:iCs/>
        </w:rPr>
        <w:t>vs</w:t>
      </w:r>
      <w:r w:rsidRPr="006E6EE8">
        <w:t xml:space="preserve">. SMA III (both p&lt;0.0001); cluster 5: SMA I </w:t>
      </w:r>
      <w:r w:rsidRPr="006E6EE8">
        <w:rPr>
          <w:i/>
          <w:iCs/>
        </w:rPr>
        <w:t>vs</w:t>
      </w:r>
      <w:r w:rsidRPr="006E6EE8">
        <w:t xml:space="preserve">. SMA III (p=0.0098) and SMA II </w:t>
      </w:r>
      <w:r w:rsidRPr="006E6EE8">
        <w:rPr>
          <w:i/>
          <w:iCs/>
        </w:rPr>
        <w:t>vs</w:t>
      </w:r>
      <w:r w:rsidRPr="006E6EE8">
        <w:t xml:space="preserve">. SMA III (p&lt;0.001). Cluster 4 grouped 18 proteins with expression changes that were significantly different when adjusted for controls in SMA I compared to SMA II and III i.e., SMA I </w:t>
      </w:r>
      <w:r w:rsidRPr="006E6EE8">
        <w:rPr>
          <w:i/>
          <w:iCs/>
        </w:rPr>
        <w:t>vs</w:t>
      </w:r>
      <w:r w:rsidRPr="006E6EE8">
        <w:t xml:space="preserve">. SMA II and SMA I </w:t>
      </w:r>
      <w:r w:rsidRPr="006E6EE8">
        <w:rPr>
          <w:i/>
          <w:iCs/>
        </w:rPr>
        <w:t>vs</w:t>
      </w:r>
      <w:r w:rsidRPr="006E6EE8">
        <w:t xml:space="preserve">. SMA III (both p&lt;0.0001), and cluster 8 grouped 11 proteins with expression changes compared to controls that were significantly different in SMA II compared to SMA I and III i.e., SMA I </w:t>
      </w:r>
      <w:r w:rsidRPr="006E6EE8">
        <w:rPr>
          <w:i/>
          <w:iCs/>
        </w:rPr>
        <w:t>vs</w:t>
      </w:r>
      <w:r w:rsidRPr="006E6EE8">
        <w:t xml:space="preserve">. SMA II (p&lt;0.0001) and SMA II </w:t>
      </w:r>
      <w:r w:rsidRPr="006E6EE8">
        <w:rPr>
          <w:i/>
          <w:iCs/>
        </w:rPr>
        <w:t>vs</w:t>
      </w:r>
      <w:r w:rsidRPr="006E6EE8">
        <w:t>. SMA III (p&lt;0.0042). Four of the remaining five clusters grouped proteins that showed significantly different expression changes in one SMA type compared to just one other (Supplementary File (Figure 2) and Supplementary Table 4).</w:t>
      </w:r>
    </w:p>
    <w:bookmarkEnd w:id="1"/>
    <w:p w14:paraId="01799496" w14:textId="77777777" w:rsidR="00595196" w:rsidRPr="006E6EE8" w:rsidRDefault="00786B93" w:rsidP="00595196">
      <w:pPr>
        <w:pStyle w:val="MDPI52figure"/>
        <w:rPr>
          <w:b/>
          <w:bCs/>
        </w:rPr>
      </w:pPr>
      <w:r w:rsidRPr="006E6EE8">
        <w:rPr>
          <w:noProof/>
        </w:rPr>
        <w:lastRenderedPageBreak/>
        <w:drawing>
          <wp:inline distT="0" distB="0" distL="0" distR="0" wp14:anchorId="060EE6D6" wp14:editId="04BA4E6D">
            <wp:extent cx="5731510" cy="7143114"/>
            <wp:effectExtent l="0" t="0" r="2540" b="63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731510" cy="7143114"/>
                    </a:xfrm>
                    <a:prstGeom prst="rect">
                      <a:avLst/>
                    </a:prstGeom>
                  </pic:spPr>
                </pic:pic>
              </a:graphicData>
            </a:graphic>
          </wp:inline>
        </w:drawing>
      </w:r>
    </w:p>
    <w:p w14:paraId="3045E9E1" w14:textId="77777777" w:rsidR="00786B93" w:rsidRPr="006E6EE8" w:rsidRDefault="00595196" w:rsidP="00595196">
      <w:pPr>
        <w:pStyle w:val="MDPI51figurecaption"/>
        <w:jc w:val="both"/>
      </w:pPr>
      <w:r w:rsidRPr="006E6EE8">
        <w:rPr>
          <w:b/>
          <w:bCs/>
        </w:rPr>
        <w:t xml:space="preserve">Figure 4. </w:t>
      </w:r>
      <w:r w:rsidR="00786B93" w:rsidRPr="006E6EE8">
        <w:t>Output following BioLayout Express 3D software analysis of proteins which met the criteria for differential expression in at least one SMA type. (</w:t>
      </w:r>
      <w:r w:rsidR="00786B93" w:rsidRPr="006E6EE8">
        <w:rPr>
          <w:b/>
          <w:bCs/>
        </w:rPr>
        <w:t>A</w:t>
      </w:r>
      <w:r w:rsidR="00786B93" w:rsidRPr="006E6EE8">
        <w:t>) The complex pattern recognition in BioLayout Express 3D identified 13 different protein expression clusters across the three SMA types. (</w:t>
      </w:r>
      <w:r w:rsidR="00786B93" w:rsidRPr="006E6EE8">
        <w:rPr>
          <w:b/>
          <w:bCs/>
        </w:rPr>
        <w:t>B</w:t>
      </w:r>
      <w:r w:rsidR="00786B93" w:rsidRPr="006E6EE8">
        <w:t xml:space="preserve">) Graphs illustrating some of the protein clusters generated from the BioLayout Express 3D analysis. The number of proteins associated with each cluster are given in parentheses. Each point represents a fold change in protein expression relative to age-matched controls with connecting lines illustrating the trends between SMA I, II and III. Bars indicate significant differences between each SMA type with *p&lt;0.05; **p&lt;0.01 &amp; ***p&lt;0.0001. In Cluster 1, the Spearman rank (r) and associated </w:t>
      </w:r>
      <w:r w:rsidR="00786B93" w:rsidRPr="006E6EE8">
        <w:rPr>
          <w:i/>
          <w:iCs/>
        </w:rPr>
        <w:t>p</w:t>
      </w:r>
      <w:r w:rsidR="00786B93" w:rsidRPr="006E6EE8">
        <w:t>-value is given for the linear trend in protein fold change between the SMA types. Clusters in which the protein fold changes in one SMA type is significantly different to the other two are highlighted by a blue box.</w:t>
      </w:r>
    </w:p>
    <w:p w14:paraId="052A16BD" w14:textId="77777777" w:rsidR="00786B93" w:rsidRPr="006E6EE8" w:rsidRDefault="00786B93" w:rsidP="00595196">
      <w:pPr>
        <w:pStyle w:val="MDPI22heading2"/>
        <w:spacing w:before="240"/>
      </w:pPr>
      <w:r w:rsidRPr="006E6EE8">
        <w:lastRenderedPageBreak/>
        <w:t>Quantitative western blotting verifies potential utility of fibroblast biomarkers for distinguishing SMA severities</w:t>
      </w:r>
    </w:p>
    <w:p w14:paraId="3AB6FFE7" w14:textId="77777777" w:rsidR="00786B93" w:rsidRPr="006E6EE8" w:rsidRDefault="00786B93" w:rsidP="00595196">
      <w:pPr>
        <w:pStyle w:val="MDPI31text"/>
      </w:pPr>
      <w:r w:rsidRPr="006E6EE8">
        <w:t xml:space="preserve">Having identified fibroblast molecular profiles that correlate with SMA severity and those which appear to discriminate SMA I, SMA II and III from each other, four proteins were selected from clusters as potential biomarker candidates for further study. </w:t>
      </w:r>
      <w:r w:rsidRPr="006E6EE8">
        <w:rPr>
          <w:color w:val="222222"/>
        </w:rPr>
        <w:t xml:space="preserve">From the SWATH-MS analysis, </w:t>
      </w:r>
      <w:r w:rsidRPr="006E6EE8">
        <w:t>i</w:t>
      </w:r>
      <w:r w:rsidRPr="006E6EE8">
        <w:rPr>
          <w:color w:val="222222"/>
        </w:rPr>
        <w:t xml:space="preserve">nsulin-like growth factor 2 mRNA-binding protein 1 (IMP1) (cluster 1, Figure 4B) was found to be significantly decreased in SMA III (0.37-fold, </w:t>
      </w:r>
      <w:r w:rsidRPr="006E6EE8">
        <w:rPr>
          <w:i/>
          <w:iCs/>
          <w:color w:val="222222"/>
        </w:rPr>
        <w:t>p</w:t>
      </w:r>
      <w:r w:rsidRPr="006E6EE8">
        <w:rPr>
          <w:color w:val="222222"/>
        </w:rPr>
        <w:t xml:space="preserve">=0.031) whilst significantly increased in SMA I fibroblasts (2.37-fold, </w:t>
      </w:r>
      <w:r w:rsidRPr="006E6EE8">
        <w:rPr>
          <w:i/>
          <w:iCs/>
          <w:color w:val="222222"/>
        </w:rPr>
        <w:t>p</w:t>
      </w:r>
      <w:r w:rsidRPr="006E6EE8">
        <w:rPr>
          <w:color w:val="222222"/>
        </w:rPr>
        <w:t xml:space="preserve">=0.038) compared to their respective controls (Supplementary Table 2). IMP1 expression levels in SMA II compared to controls, meanwhile, did not meet the criteria for differential expression (1.52-fold, p=0.221). </w:t>
      </w:r>
      <w:r w:rsidRPr="006E6EE8">
        <w:t xml:space="preserve">Subsequent quantitative western blot analysis of replicate fibroblast extracts confirmed the significant decrease in IMP1 levels in SMA III compared to age-matched controls (0.77-fold, </w:t>
      </w:r>
      <w:r w:rsidRPr="006E6EE8">
        <w:rPr>
          <w:i/>
          <w:iCs/>
        </w:rPr>
        <w:t>p</w:t>
      </w:r>
      <w:r w:rsidRPr="006E6EE8">
        <w:t xml:space="preserve">=0.042; Figure 5A). As is often the case when analysing human samples, however, consensus could not be reached on IMP1 differential expression in SMA I and II due to variability between individuals (1.51-fold, </w:t>
      </w:r>
      <w:r w:rsidRPr="006E6EE8">
        <w:rPr>
          <w:i/>
          <w:iCs/>
        </w:rPr>
        <w:t>p</w:t>
      </w:r>
      <w:r w:rsidRPr="006E6EE8">
        <w:t xml:space="preserve">=0.196 and 0.61-fold, </w:t>
      </w:r>
      <w:r w:rsidRPr="006E6EE8">
        <w:rPr>
          <w:i/>
          <w:iCs/>
        </w:rPr>
        <w:t>p</w:t>
      </w:r>
      <w:r w:rsidRPr="006E6EE8">
        <w:t>=0.172, respectively).</w:t>
      </w:r>
    </w:p>
    <w:p w14:paraId="19841BB2" w14:textId="77777777" w:rsidR="00786B93" w:rsidRPr="006E6EE8" w:rsidRDefault="00786B93" w:rsidP="00595196">
      <w:pPr>
        <w:pStyle w:val="MDPI31text"/>
      </w:pPr>
      <w:r w:rsidRPr="006E6EE8">
        <w:t xml:space="preserve">Following SWATH-MS analysis, glycogen phosphorylase, brain form (PYGB) (cluster 2, Figure 4B), was found to be significantly increased in SMA I (1.36-fold, </w:t>
      </w:r>
      <w:r w:rsidRPr="006E6EE8">
        <w:rPr>
          <w:i/>
          <w:iCs/>
        </w:rPr>
        <w:t>p</w:t>
      </w:r>
      <w:r w:rsidRPr="006E6EE8">
        <w:t xml:space="preserve">=0.033) but not significantly changed in either SMA II or III when compared to controls (1.32-fold, </w:t>
      </w:r>
      <w:r w:rsidRPr="006E6EE8">
        <w:rPr>
          <w:i/>
          <w:iCs/>
        </w:rPr>
        <w:t>p</w:t>
      </w:r>
      <w:r w:rsidRPr="006E6EE8">
        <w:t xml:space="preserve">=0.364; 1.14-fold, </w:t>
      </w:r>
      <w:r w:rsidRPr="006E6EE8">
        <w:rPr>
          <w:i/>
          <w:iCs/>
        </w:rPr>
        <w:t>p</w:t>
      </w:r>
      <w:r w:rsidRPr="006E6EE8">
        <w:t>=0.361 respectively) (Supplementary Table 2). This finding was corroborated by quantitative western blot analysis in which a significant 1.29-fold increase was observed when SMA I fibroblasts were compared with age-matched controls (</w:t>
      </w:r>
      <w:r w:rsidRPr="006E6EE8">
        <w:rPr>
          <w:i/>
          <w:iCs/>
        </w:rPr>
        <w:t>p</w:t>
      </w:r>
      <w:r w:rsidRPr="006E6EE8">
        <w:t>=0.012) (Figure 5B).  PYGB levels in SMA II and III fibroblasts in comparison to their respective age-matched controls were not statistically different by western blot (</w:t>
      </w:r>
      <w:r w:rsidRPr="006E6EE8">
        <w:rPr>
          <w:i/>
          <w:iCs/>
        </w:rPr>
        <w:t>p</w:t>
      </w:r>
      <w:r w:rsidRPr="006E6EE8">
        <w:t xml:space="preserve">=0.068 &amp; 0.348 respectively) but were comparable to those found in the SWATH-MS analyses (1.30-fold &amp; 1.03-fold, respectively) (Figure 5B). </w:t>
      </w:r>
    </w:p>
    <w:p w14:paraId="7C27447E" w14:textId="77777777" w:rsidR="00786B93" w:rsidRPr="006E6EE8" w:rsidRDefault="00786B93" w:rsidP="00595196">
      <w:pPr>
        <w:pStyle w:val="MDPI52figure"/>
        <w:rPr>
          <w:rFonts w:ascii="Times New Roman" w:hAnsi="Times New Roman"/>
          <w:sz w:val="24"/>
          <w:szCs w:val="24"/>
        </w:rPr>
      </w:pPr>
      <w:r w:rsidRPr="006E6EE8">
        <w:rPr>
          <w:noProof/>
        </w:rPr>
        <w:lastRenderedPageBreak/>
        <w:drawing>
          <wp:inline distT="0" distB="0" distL="0" distR="0" wp14:anchorId="7A5F654A" wp14:editId="38BDC2D7">
            <wp:extent cx="5731510" cy="5974080"/>
            <wp:effectExtent l="0" t="0" r="2540" b="762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974080"/>
                    </a:xfrm>
                    <a:prstGeom prst="rect">
                      <a:avLst/>
                    </a:prstGeom>
                    <a:noFill/>
                    <a:ln>
                      <a:noFill/>
                    </a:ln>
                  </pic:spPr>
                </pic:pic>
              </a:graphicData>
            </a:graphic>
          </wp:inline>
        </w:drawing>
      </w:r>
    </w:p>
    <w:p w14:paraId="097B84E5" w14:textId="77777777" w:rsidR="00786B93" w:rsidRPr="006E6EE8" w:rsidRDefault="00595196" w:rsidP="00595196">
      <w:pPr>
        <w:pStyle w:val="MDPI51figurecaption"/>
        <w:jc w:val="both"/>
      </w:pPr>
      <w:r w:rsidRPr="006E6EE8">
        <w:rPr>
          <w:b/>
          <w:bCs/>
        </w:rPr>
        <w:t xml:space="preserve">Figure 5. </w:t>
      </w:r>
      <w:r w:rsidR="00786B93" w:rsidRPr="006E6EE8">
        <w:t>Verification of differential expression of proteins selected from the BioLayout clusters as potential markers for SMA type. Representative western blots showing levels of (</w:t>
      </w:r>
      <w:r w:rsidR="00786B93" w:rsidRPr="006E6EE8">
        <w:rPr>
          <w:b/>
          <w:bCs/>
        </w:rPr>
        <w:t>A</w:t>
      </w:r>
      <w:r w:rsidR="00786B93" w:rsidRPr="006E6EE8">
        <w:t>) IMP1, (</w:t>
      </w:r>
      <w:r w:rsidR="00786B93" w:rsidRPr="006E6EE8">
        <w:rPr>
          <w:b/>
          <w:bCs/>
        </w:rPr>
        <w:t>B</w:t>
      </w:r>
      <w:r w:rsidR="00786B93" w:rsidRPr="006E6EE8">
        <w:t>) PYGB, (</w:t>
      </w:r>
      <w:r w:rsidR="00786B93" w:rsidRPr="006E6EE8">
        <w:rPr>
          <w:b/>
          <w:bCs/>
        </w:rPr>
        <w:t>C</w:t>
      </w:r>
      <w:r w:rsidR="00786B93" w:rsidRPr="006E6EE8">
        <w:t>) RAB3B and (</w:t>
      </w:r>
      <w:r w:rsidR="00786B93" w:rsidRPr="006E6EE8">
        <w:rPr>
          <w:b/>
          <w:bCs/>
        </w:rPr>
        <w:t>D</w:t>
      </w:r>
      <w:r w:rsidR="00786B93" w:rsidRPr="006E6EE8">
        <w:t>) STAT1 in each SMA type. Graphs below each western blot represent the integrated density of antibody reactive bands / densitometry measurements of a Coomassie stained gel (i.e., total protein loading control) for individual samples. The summary graphs give the average values for each of the proteins (IMP1, PYGB, RAB3B &amp; STAT1) in each SMA type relative to their respective controls with a dashed line indicating normalised SMN levels across all control fibroblasts. Error bars show the standard deviation from the mean. ***</w:t>
      </w:r>
      <w:r w:rsidR="00786B93" w:rsidRPr="006E6EE8">
        <w:rPr>
          <w:i/>
          <w:iCs/>
        </w:rPr>
        <w:t>p</w:t>
      </w:r>
      <w:r w:rsidR="00786B93" w:rsidRPr="006E6EE8">
        <w:t>&lt;0.001;</w:t>
      </w:r>
      <w:r w:rsidR="00786B93" w:rsidRPr="006E6EE8">
        <w:rPr>
          <w:i/>
          <w:iCs/>
        </w:rPr>
        <w:t xml:space="preserve"> *p</w:t>
      </w:r>
      <w:r w:rsidR="00786B93" w:rsidRPr="006E6EE8">
        <w:t>&lt;0.05</w:t>
      </w:r>
      <w:r w:rsidRPr="006E6EE8">
        <w:t>.</w:t>
      </w:r>
    </w:p>
    <w:p w14:paraId="62A6070D" w14:textId="77777777" w:rsidR="00786B93" w:rsidRPr="006E6EE8" w:rsidRDefault="00786B93" w:rsidP="00595196">
      <w:pPr>
        <w:pStyle w:val="MDPI31text"/>
      </w:pPr>
      <w:r w:rsidRPr="006E6EE8">
        <w:t xml:space="preserve">From cluster 8, ras-related protein Rab-3B (RAB3B) (Figure 4B) was identified from the SWATH-MS analysis as being significantly increased in SMA II fibroblasts compared to controls (1.62-fold, </w:t>
      </w:r>
      <w:r w:rsidRPr="006E6EE8">
        <w:rPr>
          <w:i/>
          <w:iCs/>
        </w:rPr>
        <w:t>p</w:t>
      </w:r>
      <w:r w:rsidRPr="006E6EE8">
        <w:t xml:space="preserve">=0.032) with no significant changes being detected in SMA I or III (0.92-fold, </w:t>
      </w:r>
      <w:r w:rsidRPr="006E6EE8">
        <w:rPr>
          <w:i/>
          <w:iCs/>
        </w:rPr>
        <w:t>p</w:t>
      </w:r>
      <w:r w:rsidRPr="006E6EE8">
        <w:t xml:space="preserve">=0.755; 1.05, </w:t>
      </w:r>
      <w:r w:rsidRPr="006E6EE8">
        <w:rPr>
          <w:i/>
          <w:iCs/>
        </w:rPr>
        <w:t>p</w:t>
      </w:r>
      <w:r w:rsidRPr="006E6EE8">
        <w:t xml:space="preserve">=0.494 respectively) (Supplementary Table 2). Quantitative western blot analysis verified these findings, with RAB3B levels showing a significant increase in SMA II compared to age-matched controls (1.73-fold, </w:t>
      </w:r>
      <w:r w:rsidRPr="006E6EE8">
        <w:rPr>
          <w:i/>
          <w:iCs/>
        </w:rPr>
        <w:t>p</w:t>
      </w:r>
      <w:r w:rsidRPr="006E6EE8">
        <w:t>=0.022) (Figure 5C). Expression levels of RAB3B in SMA I and III fibroblasts were not significantly different to their relevant controls following western blot (</w:t>
      </w:r>
      <w:r w:rsidRPr="006E6EE8">
        <w:rPr>
          <w:i/>
          <w:iCs/>
        </w:rPr>
        <w:t>p</w:t>
      </w:r>
      <w:r w:rsidRPr="006E6EE8">
        <w:t xml:space="preserve">=0.409 and 0.181, respectively) with the </w:t>
      </w:r>
      <w:r w:rsidRPr="006E6EE8">
        <w:lastRenderedPageBreak/>
        <w:t>corresponding ratios being comparable to those observed from the SWATH-MS analysis (0.90-fold and 1.25-fold, respectively) (Figure 5C).</w:t>
      </w:r>
    </w:p>
    <w:p w14:paraId="166970F7" w14:textId="77777777" w:rsidR="00786B93" w:rsidRPr="006E6EE8" w:rsidRDefault="00786B93" w:rsidP="00595196">
      <w:pPr>
        <w:pStyle w:val="MDPI31text"/>
      </w:pPr>
      <w:r w:rsidRPr="006E6EE8">
        <w:t xml:space="preserve">Signal transducer and activator of transcription 1-alpha/beta (STAT1), a component of cluster 6 (Figure 4B), was identified by SWATH-MS analysis as having significantly increased expression in SMA III compared to age-matched controls (1.92-fold, </w:t>
      </w:r>
      <w:r w:rsidRPr="006E6EE8">
        <w:rPr>
          <w:i/>
          <w:iCs/>
        </w:rPr>
        <w:t>p</w:t>
      </w:r>
      <w:r w:rsidRPr="006E6EE8">
        <w:t xml:space="preserve">=0.030) whilst levels in SMA I fibroblasts did not quite meet the significance criteria (1.64-fold, </w:t>
      </w:r>
      <w:r w:rsidRPr="006E6EE8">
        <w:rPr>
          <w:i/>
          <w:iCs/>
        </w:rPr>
        <w:t>p</w:t>
      </w:r>
      <w:r w:rsidRPr="006E6EE8">
        <w:t xml:space="preserve">=0.061) and no change in STAT1 levels were observed in SMA II (1.05-fold, </w:t>
      </w:r>
      <w:r w:rsidRPr="006E6EE8">
        <w:rPr>
          <w:i/>
          <w:iCs/>
        </w:rPr>
        <w:t>p</w:t>
      </w:r>
      <w:r w:rsidRPr="006E6EE8">
        <w:t xml:space="preserve">=0.816) (Supplementary Table 2). Quantitative western blot analysis confirmed the statistically significant increase of STAT1 expression in SMA III fibroblasts compared to their respective controls (1.27-fold, p=0.0008), and found expression levels in SMA I and II fibroblasts to mirror the trends observed by SWATH-MS (1.32-fold, </w:t>
      </w:r>
      <w:r w:rsidRPr="006E6EE8">
        <w:rPr>
          <w:i/>
          <w:iCs/>
        </w:rPr>
        <w:t>p</w:t>
      </w:r>
      <w:r w:rsidRPr="006E6EE8">
        <w:t xml:space="preserve">=0.096; 0.95, </w:t>
      </w:r>
      <w:r w:rsidRPr="006E6EE8">
        <w:rPr>
          <w:i/>
          <w:iCs/>
        </w:rPr>
        <w:t>p</w:t>
      </w:r>
      <w:r w:rsidRPr="006E6EE8">
        <w:t xml:space="preserve"> = 0.355 respectively) (Figure 5D).</w:t>
      </w:r>
    </w:p>
    <w:p w14:paraId="661F7524" w14:textId="77777777" w:rsidR="00786B93" w:rsidRPr="006E6EE8" w:rsidRDefault="00786B93" w:rsidP="00595196">
      <w:pPr>
        <w:pStyle w:val="MDPI22heading2"/>
        <w:spacing w:before="240"/>
      </w:pPr>
      <w:r w:rsidRPr="006E6EE8">
        <w:t>Transient transfection of SMA fibroblasts with EGFP-SMN1 reduces levels of RAB3B in Type II fibroblasts</w:t>
      </w:r>
    </w:p>
    <w:p w14:paraId="5FDDD5DF" w14:textId="77777777" w:rsidR="00786B93" w:rsidRPr="006E6EE8" w:rsidRDefault="00786B93" w:rsidP="00595196">
      <w:pPr>
        <w:pStyle w:val="MDPI31text"/>
      </w:pPr>
      <w:r w:rsidRPr="006E6EE8">
        <w:t xml:space="preserve">To establish whether the expression levels of the potential biomarker candidates identified and verified in Figure 5 could be altered in response to increased SMN levels, fibroblasts from SMA I, II and III were transiently transfected with plasmids containing human full-length SMN1 (pSMN1-294EGFP). Empty plasmids (no SMN) were used as controls for the electroporation process. Overexpression of the full-length SMN protein was seen in all cells transfected with pSMN1-294EGFP at approximately 65 kDa (Figure 6A). Following transfection, levels of PYGB were found to be significantly reduced in the SMA I fibroblasts whether the cells were electroporated with the empty plasmid (+EGFP) or the plasmid containing SMN1 (Figure 6B), i.e., SMA I </w:t>
      </w:r>
      <w:r w:rsidRPr="006E6EE8">
        <w:rPr>
          <w:i/>
          <w:iCs/>
        </w:rPr>
        <w:t>vs</w:t>
      </w:r>
      <w:r w:rsidRPr="006E6EE8">
        <w:t xml:space="preserve"> SMA I +EGFP (0.57-fold, </w:t>
      </w:r>
      <w:r w:rsidRPr="006E6EE8">
        <w:rPr>
          <w:i/>
          <w:iCs/>
        </w:rPr>
        <w:t>p</w:t>
      </w:r>
      <w:r w:rsidRPr="006E6EE8">
        <w:t xml:space="preserve">=0.007), SMA I </w:t>
      </w:r>
      <w:r w:rsidRPr="006E6EE8">
        <w:rPr>
          <w:i/>
          <w:iCs/>
        </w:rPr>
        <w:t>vs</w:t>
      </w:r>
      <w:r w:rsidRPr="006E6EE8">
        <w:t xml:space="preserve"> SMA I +SMN1 (0.58-fold, </w:t>
      </w:r>
      <w:r w:rsidRPr="006E6EE8">
        <w:rPr>
          <w:i/>
          <w:iCs/>
        </w:rPr>
        <w:t>p</w:t>
      </w:r>
      <w:r w:rsidRPr="006E6EE8">
        <w:t xml:space="preserve">=0.043) with no significant difference between SMA I +EGFP </w:t>
      </w:r>
      <w:r w:rsidRPr="006E6EE8">
        <w:rPr>
          <w:i/>
          <w:iCs/>
        </w:rPr>
        <w:t>vs</w:t>
      </w:r>
      <w:r w:rsidRPr="006E6EE8">
        <w:t xml:space="preserve"> SMA I +SMN1 (</w:t>
      </w:r>
      <w:r w:rsidRPr="006E6EE8">
        <w:rPr>
          <w:i/>
          <w:iCs/>
        </w:rPr>
        <w:t>p</w:t>
      </w:r>
      <w:r w:rsidRPr="006E6EE8">
        <w:t xml:space="preserve">=0.470). Transient transfection with the plasmid containing SMN1 significantly decreased levels of RAB3B in the SMA II fibroblasts whereas transfection with the empty plasmid did not significantly alter RAB3B levels (Figure 6B), i.e., SMA II </w:t>
      </w:r>
      <w:r w:rsidRPr="006E6EE8">
        <w:rPr>
          <w:i/>
          <w:iCs/>
        </w:rPr>
        <w:t>vs</w:t>
      </w:r>
      <w:r w:rsidRPr="006E6EE8">
        <w:t xml:space="preserve"> SMA II +EGFP (no change, </w:t>
      </w:r>
      <w:r w:rsidRPr="006E6EE8">
        <w:rPr>
          <w:i/>
          <w:iCs/>
        </w:rPr>
        <w:t>p</w:t>
      </w:r>
      <w:r w:rsidRPr="006E6EE8">
        <w:t xml:space="preserve">=0.471), SMA II </w:t>
      </w:r>
      <w:r w:rsidRPr="006E6EE8">
        <w:rPr>
          <w:i/>
          <w:iCs/>
        </w:rPr>
        <w:t>vs</w:t>
      </w:r>
      <w:r w:rsidRPr="006E6EE8">
        <w:t xml:space="preserve"> SMA II +SMN1 (0.72-fold, </w:t>
      </w:r>
      <w:r w:rsidRPr="006E6EE8">
        <w:rPr>
          <w:i/>
          <w:iCs/>
        </w:rPr>
        <w:t>p</w:t>
      </w:r>
      <w:r w:rsidRPr="006E6EE8">
        <w:t xml:space="preserve">=0.007) with significant differences also observed between SMA II +EGFP </w:t>
      </w:r>
      <w:r w:rsidRPr="006E6EE8">
        <w:rPr>
          <w:i/>
          <w:iCs/>
        </w:rPr>
        <w:t>vs</w:t>
      </w:r>
      <w:r w:rsidRPr="006E6EE8">
        <w:t xml:space="preserve"> SMA II +SMN1 (</w:t>
      </w:r>
      <w:r w:rsidRPr="006E6EE8">
        <w:rPr>
          <w:i/>
          <w:iCs/>
        </w:rPr>
        <w:t>p</w:t>
      </w:r>
      <w:r w:rsidRPr="006E6EE8">
        <w:t xml:space="preserve">=0.027). Transfection of SMA III fibroblasts with the empty plasmid elicited an increase in STAT1 levels whilst transfection with the SMN1 containing plasmid reduced STAT1 levels to those found in non-electroporated SMA III fibroblasts (Figure 6B), i.e., SMA III </w:t>
      </w:r>
      <w:r w:rsidRPr="006E6EE8">
        <w:rPr>
          <w:i/>
          <w:iCs/>
        </w:rPr>
        <w:t>vs</w:t>
      </w:r>
      <w:r w:rsidRPr="006E6EE8">
        <w:t xml:space="preserve"> SMA III +EGFP (1.96-fold, </w:t>
      </w:r>
      <w:r w:rsidRPr="006E6EE8">
        <w:rPr>
          <w:i/>
          <w:iCs/>
        </w:rPr>
        <w:t>p</w:t>
      </w:r>
      <w:r w:rsidRPr="006E6EE8">
        <w:t xml:space="preserve">=0.044), SMA III </w:t>
      </w:r>
      <w:r w:rsidRPr="006E6EE8">
        <w:rPr>
          <w:i/>
          <w:iCs/>
        </w:rPr>
        <w:t>vs</w:t>
      </w:r>
      <w:r w:rsidRPr="006E6EE8">
        <w:t xml:space="preserve"> SMA III +SMN1 (1.03-fold, </w:t>
      </w:r>
      <w:r w:rsidRPr="006E6EE8">
        <w:rPr>
          <w:i/>
          <w:iCs/>
        </w:rPr>
        <w:t>p</w:t>
      </w:r>
      <w:r w:rsidRPr="006E6EE8">
        <w:t xml:space="preserve">=0.937) with no significant difference between SMA III +EGFP </w:t>
      </w:r>
      <w:r w:rsidRPr="006E6EE8">
        <w:rPr>
          <w:i/>
          <w:iCs/>
        </w:rPr>
        <w:t>vs</w:t>
      </w:r>
      <w:r w:rsidRPr="006E6EE8">
        <w:t xml:space="preserve"> SMA III +SMN1 (</w:t>
      </w:r>
      <w:r w:rsidRPr="006E6EE8">
        <w:rPr>
          <w:i/>
          <w:iCs/>
        </w:rPr>
        <w:t>p</w:t>
      </w:r>
      <w:r w:rsidRPr="006E6EE8">
        <w:t xml:space="preserve">=0.057). In the transiently transfected Type III fibroblasts, no change in IMP1 levels was observed irrespective of whether the cells were electroporated with the empty plasmid or the plasmid containing SMN1 (Figure 6B) i.e., SMA III </w:t>
      </w:r>
      <w:r w:rsidRPr="006E6EE8">
        <w:rPr>
          <w:i/>
          <w:iCs/>
        </w:rPr>
        <w:t>vs</w:t>
      </w:r>
      <w:r w:rsidRPr="006E6EE8">
        <w:t xml:space="preserve"> SMA III +EGFP (1.12-fold, </w:t>
      </w:r>
      <w:r w:rsidRPr="006E6EE8">
        <w:rPr>
          <w:i/>
          <w:iCs/>
        </w:rPr>
        <w:t>p</w:t>
      </w:r>
      <w:r w:rsidRPr="006E6EE8">
        <w:t xml:space="preserve">=0.273), SMA III </w:t>
      </w:r>
      <w:r w:rsidRPr="006E6EE8">
        <w:rPr>
          <w:i/>
          <w:iCs/>
        </w:rPr>
        <w:t>vs</w:t>
      </w:r>
      <w:r w:rsidRPr="006E6EE8">
        <w:t xml:space="preserve"> SMA III +SMN1 (1.10-fold, </w:t>
      </w:r>
      <w:r w:rsidRPr="006E6EE8">
        <w:rPr>
          <w:i/>
          <w:iCs/>
        </w:rPr>
        <w:t>p</w:t>
      </w:r>
      <w:r w:rsidRPr="006E6EE8">
        <w:t xml:space="preserve">=0.327) and no significant difference between SMA III +EGFP </w:t>
      </w:r>
      <w:r w:rsidRPr="006E6EE8">
        <w:rPr>
          <w:i/>
          <w:iCs/>
        </w:rPr>
        <w:t>vs</w:t>
      </w:r>
      <w:r w:rsidRPr="006E6EE8">
        <w:t xml:space="preserve"> SMA III +SMN1 (</w:t>
      </w:r>
      <w:r w:rsidRPr="006E6EE8">
        <w:rPr>
          <w:i/>
          <w:iCs/>
        </w:rPr>
        <w:t>p</w:t>
      </w:r>
      <w:r w:rsidRPr="006E6EE8">
        <w:t>=0.431).</w:t>
      </w:r>
    </w:p>
    <w:p w14:paraId="5C62A626" w14:textId="77777777" w:rsidR="00595196" w:rsidRPr="006E6EE8" w:rsidRDefault="00786B93" w:rsidP="00595196">
      <w:pPr>
        <w:pStyle w:val="MDPI52figure"/>
        <w:rPr>
          <w:b/>
          <w:bCs/>
        </w:rPr>
      </w:pPr>
      <w:r w:rsidRPr="006E6EE8">
        <w:rPr>
          <w:noProof/>
        </w:rPr>
        <w:lastRenderedPageBreak/>
        <w:drawing>
          <wp:inline distT="0" distB="0" distL="0" distR="0" wp14:anchorId="62E88ECA" wp14:editId="0EBACFAD">
            <wp:extent cx="5731510" cy="2579370"/>
            <wp:effectExtent l="0" t="0" r="254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4F8CED59" w14:textId="77777777" w:rsidR="00786B93" w:rsidRPr="006E6EE8" w:rsidRDefault="00786B93" w:rsidP="00595196">
      <w:pPr>
        <w:pStyle w:val="MDPI31text"/>
      </w:pPr>
      <w:r w:rsidRPr="006E6EE8">
        <w:rPr>
          <w:b/>
          <w:bCs/>
        </w:rPr>
        <w:t xml:space="preserve">Figure 6. </w:t>
      </w:r>
      <w:r w:rsidRPr="006E6EE8">
        <w:t>Protein expression changes following transient transfection of SMA type I, II and III fibroblasts. (</w:t>
      </w:r>
      <w:r w:rsidRPr="006E6EE8">
        <w:rPr>
          <w:b/>
          <w:bCs/>
        </w:rPr>
        <w:t>A</w:t>
      </w:r>
      <w:r w:rsidRPr="006E6EE8">
        <w:t>) Representative western blots confirming the presence of plasmids containing human full-length SMN1 (pSMN1-294EGFP) in cells transiently transfected using electroporation. (</w:t>
      </w:r>
      <w:r w:rsidRPr="006E6EE8">
        <w:rPr>
          <w:b/>
          <w:bCs/>
        </w:rPr>
        <w:t>B</w:t>
      </w:r>
      <w:r w:rsidRPr="006E6EE8">
        <w:t>) Representative western blots show levels of PYGB, RAB3B, STAT1 and IMP1 following electroporation of the SMA fibroblasts with plasmids containing (+SMN1) or without (+EGFP) SMN. Graphs below each western blot represent the integrated density of antibody reactive bands / densitometry measurements of a Coomassie stained gel (i.e., total protein loading control) for individual samples. The summary graphs give the average values for each of the proteins relative to non-transfected cells. Error bars show the standard deviation from the mean. *</w:t>
      </w:r>
      <w:r w:rsidRPr="006E6EE8">
        <w:rPr>
          <w:i/>
          <w:iCs/>
        </w:rPr>
        <w:t>p</w:t>
      </w:r>
      <w:r w:rsidRPr="006E6EE8">
        <w:t>&lt;0.01;</w:t>
      </w:r>
      <w:r w:rsidRPr="006E6EE8">
        <w:rPr>
          <w:i/>
          <w:iCs/>
        </w:rPr>
        <w:t xml:space="preserve"> *p</w:t>
      </w:r>
      <w:r w:rsidRPr="006E6EE8">
        <w:t>&lt;0.05</w:t>
      </w:r>
    </w:p>
    <w:p w14:paraId="6C7A5E99" w14:textId="77777777" w:rsidR="00786B93" w:rsidRPr="006E6EE8" w:rsidRDefault="00786B93" w:rsidP="00595196">
      <w:pPr>
        <w:pStyle w:val="MDPI21heading1"/>
      </w:pPr>
      <w:r w:rsidRPr="006E6EE8">
        <w:rPr>
          <w:shd w:val="clear" w:color="auto" w:fill="E6E6E6"/>
        </w:rPr>
        <w:t>Discussion</w:t>
      </w:r>
    </w:p>
    <w:p w14:paraId="2D8C09AC" w14:textId="7F42132C" w:rsidR="00786B93" w:rsidRPr="006E6EE8" w:rsidRDefault="00786B93" w:rsidP="00595196">
      <w:pPr>
        <w:pStyle w:val="MDPI31text"/>
      </w:pPr>
      <w:r w:rsidRPr="006E6EE8">
        <w:t xml:space="preserve">The focus of this study was to determine the molecular consequences of reduced SMN levels in fibroblasts from patients with different severities of SMA. Using a quantitative proteomic approach, dysregulated proteins were identified and their likely impact on molecular pathways determined. Interestingly, there was very little overlap between the proteomic profiles of the different SMA types with not one single protein being significantly altered across all types, resulting in a lack of conserved molecular responses to reduced SMN levels with SMA severity. Of note was the significantly greater variability in the proteomic profile of the SMA II dataset compared to the SMA I and III datasets, even though these fibroblasts were from patients with the same </w:t>
      </w:r>
      <w:r w:rsidRPr="006E6EE8">
        <w:rPr>
          <w:i/>
          <w:iCs/>
        </w:rPr>
        <w:t>SMN2</w:t>
      </w:r>
      <w:r w:rsidRPr="006E6EE8">
        <w:t xml:space="preserve"> copy number. Previously, differences in the age of fibroblast donors have been shown to impact proteins expressed </w:t>
      </w:r>
      <w:r w:rsidRPr="006E6EE8">
        <w:rPr>
          <w:i/>
          <w:iCs/>
        </w:rPr>
        <w:t>in vitro</w:t>
      </w:r>
      <w:r w:rsidRPr="006E6EE8">
        <w:t xml:space="preserve"> </w:t>
      </w:r>
      <w:r w:rsidRPr="006E6EE8">
        <w:fldChar w:fldCharType="begin" w:fldLock="1"/>
      </w:r>
      <w:r w:rsidRPr="006E6EE8">
        <w:instrText>ADDIN CSL_CITATION {"citationItems":[{"id":"ITEM-1","itemData":{"DOI":"10.1002/pmic.200300386","ISSN":"16159853","PMID":"12833515","abstract":"Aging is a complex multifactorial process still far from being completely understood. The aim of the present study was to compare the proteome of in vitro cultured dermal fibroblasts from healthy subjects of different ages (i.e. 15 ± 2, 41 ± 4 and 82 ± 3 years old). Proteins of the cell layer were separated by two-dimensional electrophoresis and protein identification was performed by matrix-assisted laser desorption/ionization-time of flight mass spectrometry; moreover, synthetic gels were qualitatively and quantitatively analyzed by Melanie 3 software. Our study did not reveal any protein typical of any one age group. On the other hand, we observed 38 proteins exhibiting more than three-fold reproducible variations with aging, some (45%) being reduced such as F-actin capping protein α1, proteasome subunit alpha type 3, heat shock protein 27, ubiquitin carboxyl-terminal hydrolase isozyme L1, mitochondrial thioredoxin-dependent peroxide reductase, cathepsin B, glutathione S-transferase P, cyclophilin A and calgizzarin. In contrast, T-complex protein 1, probable protein disulfide isomerase ER60, phosphoglycerate kinase 1, Ran-specific GTPase-activating protein, proteasome subunit alpha type 5, triosephosphate isomerase and superoxide dismutase (Mn) increased with age. Furthermore, annexin 1, elongation factor 1β, proteasome activator complex subunit 1, phosphoglycerate mutase, superoxide dismutase (Cu-Zn) and cofilin, exhibited the highest levels in adult cells; whereas, septin 2 homolog, RNA-binding protein regulatory subunit and ATP synthase D chain revealed the lowest values in adults. The present investigation, underlining the complexity of the aging process, highlights the role of synthetic and degradative pathways in modulating the whole cell machinery and emphasizes that metabolic impairment with age could depend partly on different expression of a number of genes and leading to an imbalance among functional proteins.","author":[{"dropping-particle":"","family":"Boraldi","given":"Frederica","non-dropping-particle":"","parse-names":false,"suffix":""},{"dropping-particle":"","family":"Bini","given":"Luca","non-dropping-particle":"","parse-names":false,"suffix":""},{"dropping-particle":"","family":"Liberatori","given":"Sabrina","non-dropping-particle":"","parse-names":false,"suffix":""},{"dropping-particle":"","family":"Armini","given":"Allessandro","non-dropping-particle":"","parse-names":false,"suffix":""},{"dropping-particle":"","family":"Pallini","given":"Vitaliano","non-dropping-particle":"","parse-names":false,"suffix":""},{"dropping-particle":"","family":"Tiozzo","given":"Roberta","non-dropping-particle":"","parse-names":false,"suffix":""},{"dropping-particle":"","family":"Pasquali-Ronchetti","given":"Ivonne","non-dropping-particle":"","parse-names":false,"suffix":""},{"dropping-particle":"","family":"Quaglino","given":"Daniela","non-dropping-particle":"","parse-names":false,"suffix":""}],"container-title":"Proteomics","id":"ITEM-1","issue":"6","issued":{"date-parts":[["2003"]]},"page":"917-929","title":"Proteome analysis of dermal fibroblasts cultured in vitro from human healthy subjects of different ages","type":"article-journal","volume":"3"},"uris":["http://www.mendeley.com/documents/?uuid=72b69d8d-5f81-46ce-9532-44406249e298"]}],"mendeley":{"formattedCitation":"[30]","plainTextFormattedCitation":"[30]","previouslyFormattedCitation":"[30]"},"properties":{"noteIndex":0},"schema":"https://github.com/citation-style-language/schema/raw/master/csl-citation.json"}</w:instrText>
      </w:r>
      <w:r w:rsidRPr="006E6EE8">
        <w:fldChar w:fldCharType="separate"/>
      </w:r>
      <w:r w:rsidRPr="006E6EE8">
        <w:rPr>
          <w:noProof/>
        </w:rPr>
        <w:t>[30]</w:t>
      </w:r>
      <w:r w:rsidRPr="006E6EE8">
        <w:fldChar w:fldCharType="end"/>
      </w:r>
      <w:r w:rsidRPr="006E6EE8">
        <w:t xml:space="preserve"> and other studies have shown age to impact the proteomic profile of plasma samples </w:t>
      </w:r>
      <w:r w:rsidRPr="006E6EE8">
        <w:fldChar w:fldCharType="begin" w:fldLock="1"/>
      </w:r>
      <w:r w:rsidRPr="006E6EE8">
        <w:instrText>ADDIN CSL_CITATION {"citationItems":[{"id":"ITEM-1","itemData":{"DOI":"10.1371/journal.pone.0017213","ISSN":"19326203","PMID":"21365000","abstract":"The incidence of major diseases such as cardiovascular disease, thrombosis and cancer increases with age and is the major cause of mortality world-wide, with neonates and children somehow protected from such diseases of ageing. We hypothesized that there are major developmental differences in plasma proteins and that these contribute to age-related changes in the incidence of major diseases. We evaluated the human plasma proteome in healthy neonates, children and adults using the 2D-DIGE approach. We demonstrate significant changes in number and abundance of up to 100 protein spots that have marked differences in during the transition of the plasma proteome from neonate and child through to adult. These proteins are known to be involved in numerous physiological processes such as iron transport and homeostasis, immune response, haemostasis and apoptosis, amongst others. Importantly, we determined that the proteins that are differentially expressed with age are not the same proteins that are differentially expressed with gender and that the degree of phosphorylation of plasma proteins also changes with age. Given the multi-functionality of these proteins in human physiology, understanding the differences in the plasma proteome in neonates and children compared to adults will make a major contribution to our understanding of developmental biology in humans. © 2011 Ignjatovic et al.","author":[{"dropping-particle":"","family":"Ignjatovic","given":"Vera","non-dropping-particle":"","parse-names":false,"suffix":""},{"dropping-particle":"","family":"Lai","given":"Cera","non-dropping-particle":"","parse-names":false,"suffix":""},{"dropping-particle":"","family":"Summerhayes","given":"Robyn","non-dropping-particle":"","parse-names":false,"suffix":""},{"dropping-particle":"","family":"Mathesius","given":"Ulrike","non-dropping-particle":"","parse-names":false,"suffix":""},{"dropping-particle":"","family":"Tawfilis","given":"Sherif","non-dropping-particle":"","parse-names":false,"suffix":""},{"dropping-particle":"","family":"Perugini","given":"Matthew A.","non-dropping-particle":"","parse-names":false,"suffix":""},{"dropping-particle":"","family":"Monagle","given":"Paul","non-dropping-particle":"","parse-names":false,"suffix":""}],"container-title":"PLoS ONE","id":"ITEM-1","issue":"2","issued":{"date-parts":[["2011"]]},"title":"Age-related differences in plasma proteins: How plasma proteins change from neonates to adults","type":"article-journal","volume":"6"},"uris":["http://www.mendeley.com/documents/?uuid=f9bf7dda-cac1-4e5b-a13c-9fab123d8c7a"]},{"id":"ITEM-2","itemData":{"DOI":"10.1074/mcp.M116.066720","ISSN":"15359484","PMID":"28336724","abstract":"Human blood plasma is a complex biological fluid containing soluble proteins, sugars, hormones, electrolytes, and dissolved gasses. As plasma interacts with a wide array of bodily systems, changes in protein expression, or the presence or absence of specific proteins are regularly used in the clinic as a molecular biomarker tool. A large body of literature exists detailing proteomic changes in pathologic contexts, however little research has been conducted on the quantitation of the plasma proteome in age-specific, healthy subjects, especially in pediatrics. In this study, we utilized SWATH-MS to identify and quantify proteins in the blood plasma of healthy neonates, infants under 1 year of age, children between 1-5 years, and adults. We identified more than 100 proteins that showed significant differential expression levels across these age groups, and we analyzed variation in protein expression across the age spectrum. The plasma proteomic profiles of neonates were strikingly dissimilar to the older children and adults. By extracting the SWATH data against a large human spectral library we increased protein identification more than 6-fold (940 proteins) and confirmed the concentrations of several of these using ELISA. The results of this study map the variation in expression of proteins and pathways often implicated in disease, and so have significant clinical implication.","author":[{"dropping-particle":"","family":"Bjelosevic","given":"Stefan","non-dropping-particle":"","parse-names":false,"suffix":""},{"dropping-particle":"","family":"Pascovici","given":"Dana","non-dropping-particle":"","parse-names":false,"suffix":""},{"dropping-particle":"","family":"Ping","given":"Hui","non-dropping-particle":"","parse-names":false,"suffix":""},{"dropping-particle":"","family":"Karlaftis","given":"Vasiliki","non-dropping-particle":"","parse-names":false,"suffix":""},{"dropping-particle":"","family":"Zaw","given":"Thiri","non-dropping-particle":"","parse-names":false,"suffix":""},{"dropping-particle":"","family":"Song","given":"Xiaomin","non-dropping-particle":"","parse-names":false,"suffix":""},{"dropping-particle":"","family":"Molloy","given":"Mark P.","non-dropping-particle":"","parse-names":false,"suffix":""},{"dropping-particle":"","family":"Monagle","given":"Paul","non-dropping-particle":"","parse-names":false,"suffix":""},{"dropping-particle":"","family":"Ignjatovic","given":"Vera","non-dropping-particle":"","parse-names":false,"suffix":""}],"container-title":"Molecular and Cellular Proteomics","id":"ITEM-2","issue":"5","issued":{"date-parts":[["2017"]]},"page":"924-935","title":"Quantitative age-specific variability of plasma proteins in healthy neonates, children and adults","type":"article-journal","volume":"16"},"uris":["http://www.mendeley.com/documents/?uuid=b07793a9-5321-420b-a847-233344553ec5"]}],"mendeley":{"formattedCitation":"[31,32]","plainTextFormattedCitation":"[31,32]","previouslyFormattedCitation":"[31,32]"},"properties":{"noteIndex":0},"schema":"https://github.com/citation-style-language/schema/raw/master/csl-citation.json"}</w:instrText>
      </w:r>
      <w:r w:rsidRPr="006E6EE8">
        <w:fldChar w:fldCharType="separate"/>
      </w:r>
      <w:r w:rsidRPr="006E6EE8">
        <w:rPr>
          <w:noProof/>
        </w:rPr>
        <w:t>[31,32]</w:t>
      </w:r>
      <w:r w:rsidRPr="006E6EE8">
        <w:fldChar w:fldCharType="end"/>
      </w:r>
      <w:r w:rsidRPr="006E6EE8">
        <w:t xml:space="preserve">. Whilst all the SMA I fibroblasts were from infants and all SMA III fibroblasts from adults (minimum age 17 y), the SMA II fibroblasts were from both infant and adult patients. Although we were careful to include a similar range of age-matched controls, it is possible that this age-range, encompassing different stages of life, was a contributing factor to the variance seen between SMA II samples. </w:t>
      </w:r>
      <w:r w:rsidR="007C091E" w:rsidRPr="00A56087">
        <w:t xml:space="preserve">We cannot rule out the possibility of proteomic changes having occurred from adaptation to culture conditions, but the finding of consistent differences between cell lines of the same types compared to their respective controls, suggests that these differences are </w:t>
      </w:r>
      <w:r w:rsidR="00F618E4">
        <w:t>reflective of</w:t>
      </w:r>
      <w:r w:rsidR="007C091E" w:rsidRPr="00A56087">
        <w:t xml:space="preserve"> SMA severity.</w:t>
      </w:r>
      <w:r w:rsidR="007C091E">
        <w:t xml:space="preserve"> </w:t>
      </w:r>
      <w:r w:rsidRPr="006E6EE8">
        <w:t xml:space="preserve">In addition, we cannot exclude the possibility of bias in the results due to an unequal number of age-matched controls being used (i.e., four for SMA I and II, and five for SMA III).  The variance in the SMA II samples could also be explained by the definition of the clinical classification in the three different types, as SMA II may include patients with a broader spectrum of symptoms. Clinical phenotype remains the most discerning factor for SMA type classification, but for future studies, sub-groups of similarly aged </w:t>
      </w:r>
      <w:r w:rsidRPr="006E6EE8">
        <w:lastRenderedPageBreak/>
        <w:t xml:space="preserve">individuals within each SMA type may need to be established. Typically, genetic modifiers of SMN expression </w:t>
      </w:r>
      <w:r w:rsidRPr="006E6EE8">
        <w:fldChar w:fldCharType="begin" w:fldLock="1"/>
      </w:r>
      <w:r w:rsidRPr="006E6EE8">
        <w:instrText>ADDIN CSL_CITATION {"citationItems":[{"id":"ITEM-1","itemData":{"ISBN":"9780128036853","author":[{"dropping-particle":"","family":"Wirth","given":"B.","non-dropping-particle":"","parse-names":false,"suffix":""},{"dropping-particle":"","family":"Mendoza-Ferreira","given":"N","non-dropping-particle":"","parse-names":false,"suffix":""},{"dropping-particle":"","family":"Torres-Benito","given":"L","non-dropping-particle":"","parse-names":false,"suffix":""}],"chapter-number":"12","container-title":"Spinal Muscular Atrophy: Disease Mechanisms and Therapy","edition":"First","editor":[{"dropping-particle":"","family":"Sumner","given":"Charlotte J.","non-dropping-particle":"","parse-names":false,"suffix":""},{"dropping-particle":"","family":"Paushkin","given":"Sergey","non-dropping-particle":"","parse-names":false,"suffix":""},{"dropping-particle":"","family":"Ko","given":"Chien Ping","non-dropping-particle":"","parse-names":false,"suffix":""}],"id":"ITEM-1","issued":{"date-parts":[["2017"]]},"page":"191-210","publisher":"Academic Press","title":"Spinal Muscular Atrophy Disease Modifiers","type":"chapter"},"uris":["http://www.mendeley.com/documents/?uuid=9eec2b9a-6ac6-4f95-9159-c49e5c39d05a"]}],"mendeley":{"formattedCitation":"[33]","plainTextFormattedCitation":"[33]","previouslyFormattedCitation":"[33]"},"properties":{"noteIndex":0},"schema":"https://github.com/citation-style-language/schema/raw/master/csl-citation.json"}</w:instrText>
      </w:r>
      <w:r w:rsidRPr="006E6EE8">
        <w:fldChar w:fldCharType="separate"/>
      </w:r>
      <w:r w:rsidRPr="006E6EE8">
        <w:rPr>
          <w:noProof/>
        </w:rPr>
        <w:t>[33]</w:t>
      </w:r>
      <w:r w:rsidRPr="006E6EE8">
        <w:fldChar w:fldCharType="end"/>
      </w:r>
      <w:r w:rsidRPr="006E6EE8">
        <w:t xml:space="preserve"> and modifiers of SMA severity, such as overexpression of plastin 3 (PLS3) and reduced levels of neurocalcin delta (NCALD), result in absence of any SMA phenotype despite individuals lacking </w:t>
      </w:r>
      <w:r w:rsidRPr="006E6EE8">
        <w:rPr>
          <w:i/>
          <w:iCs/>
        </w:rPr>
        <w:t>SMN1</w:t>
      </w:r>
      <w:r w:rsidRPr="006E6EE8">
        <w:t xml:space="preserve"> and carrying only 3-4 </w:t>
      </w:r>
      <w:r w:rsidRPr="006E6EE8">
        <w:rPr>
          <w:i/>
          <w:iCs/>
        </w:rPr>
        <w:t>SMN2</w:t>
      </w:r>
      <w:r w:rsidRPr="006E6EE8">
        <w:t xml:space="preserve"> copies </w:t>
      </w:r>
      <w:r w:rsidRPr="006E6EE8">
        <w:fldChar w:fldCharType="begin" w:fldLock="1"/>
      </w:r>
      <w:r w:rsidRPr="006E6EE8">
        <w:instrText>ADDIN CSL_CITATION {"citationItems":[{"id":"ITEM-1","itemData":{"DOI":"10.1126/science.1155085.Plastin","ISBN":"2163684814","abstract":"Homozygous deletion of the survival motor neuron 1 gene (SMN1) causes spinal muscular atrophy (SMA), the most frequent genetic cause of early childhood lethality. In rare instances, however, individuals are asymptomatic despite carrying the same SMN1 mutations as their affected siblings, thereby suggesting the influence of modifier genes. We discovered that unaffected SMN1-deleted females exhibit significantly higher expression of plastin 3 (PLS3) than their SMA-affected counterparts. We demonstrated that PLS3 is important for axonogenesis through increasing the F-actin level. Overexpression of PLS3 rescued the axon length and outgrowth defects associated with SMN down-regulation in motor neurons of SMA mouse embryos and in zebrafish. Our study suggests that defects in axonogenesis are the major cause of SMA, thereby opening new therapeutic options for SMA and similar neuromuscular diseases. Spinal","author":[{"dropping-particle":"","family":"Oprea","given":"Gabriela E.","non-dropping-particle":"","parse-names":false,"suffix":""},{"dropping-particle":"","family":"Krober","given":"S.","non-dropping-particle":"","parse-names":false,"suffix":""},{"dropping-particle":"","family":"McWhorter","given":"Michelle L.","non-dropping-particle":"","parse-names":false,"suffix":""},{"dropping-particle":"","family":"Rossoll","given":"Wilfried","non-dropping-particle":"","parse-names":false,"suffix":""},{"dropping-particle":"","family":"Muller","given":"Stefan","non-dropping-particle":"","parse-names":false,"suffix":""},{"dropping-particle":"","family":"Krawczak","given":"Michael","non-dropping-particle":"","parse-names":false,"suffix":""},{"dropping-particle":"","family":"Bassell","given":"Gary J.","non-dropping-particle":"","parse-names":false,"suffix":""},{"dropping-particle":"","family":"Beattie","given":"Christine E.","non-dropping-particle":"","parse-names":false,"suffix":""},{"dropping-particle":"","family":"Wirth","given":"Brunhilde","non-dropping-particle":"","parse-names":false,"suffix":""}],"container-title":"Science","id":"ITEM-1","issue":"5875","issued":{"date-parts":[["2008"]]},"page":"524-527","title":"Plastin 3 is a protective modifier of autosomal recessive spinal muscular atrophy","type":"article-journal","volume":"320"},"uris":["http://www.mendeley.com/documents/?uuid=c5975000-bd6f-4191-a5a3-c0ab60eed415"]},{"id":"ITEM-2","itemData":{"DOI":"10.1016/j.ajhg.2017.01.005","ISSN":"15376605","PMID":"28132687","abstract":"Homozygous SMN1 loss causes spinal muscular atrophy (SMA), the most common lethal genetic childhood motor neuron disease. SMN1 encodes SMN, a ubiquitous housekeeping protein, which makes the primarily motor neuron-specific phenotype rather unexpected. SMA-affected individuals harbor low SMN expression from one to six SMN2 copies, which is insufficient to functionally compensate for SMN1 loss. However, rarely individuals with homozygous absence of SMN1 and only three to four SMN2 copies are fully asymptomatic, suggesting protection through genetic modifier(s). Previously, we identified plastin 3 (PLS3) overexpression as an SMA protective modifier in humans and showed that SMN deficit impairs endocytosis, which is rescued by elevated PLS3 levels. Here, we identify reduction of the neuronal calcium sensor Neurocalcin delta (NCALD) as a protective SMA modifier in five asymptomatic SMN1-deleted individuals carrying only four SMN2 copies. We demonstrate that NCALD is a Ca2+-dependent negative regulator of endocytosis, as NCALD knockdown improves endocytosis in SMA models and ameliorates pharmacologically induced endocytosis defects in zebrafish. Importantly, NCALD knockdown effectively ameliorates SMA-associated pathological defects across species, including worm, zebrafish, and mouse. In conclusion, our study identifies a previously unknown protective SMA modifier in humans, demonstrates modifier impact in three different SMA animal models, and suggests a potential combinatorial therapeutic strategy to efficiently treat SMA. Since both protective modifiers restore endocytosis, our results confirm that endocytosis is a major cellular mechanism perturbed in SMA and emphasize the power of protective modifiers for understanding disease mechanism and developing therapies.","author":[{"dropping-particle":"","family":"Riessland","given":"Markus","non-dropping-particle":"","parse-names":false,"suffix":""},{"dropping-particle":"","family":"Kaczmarek","given":"Anna","non-dropping-particle":"","parse-names":false,"suffix":""},{"dropping-particle":"","family":"Schneider","given":"Svenja","non-dropping-particle":"","parse-names":false,"suffix":""},{"dropping-particle":"","family":"Swoboda","given":"Kathryn J.","non-dropping-particle":"","parse-names":false,"suffix":""},{"dropping-particle":"","family":"Löhr","given":"Heiko","non-dropping-particle":"","parse-names":false,"suffix":""},{"dropping-particle":"","family":"Bradler","given":"Cathleen","non-dropping-particle":"","parse-names":false,"suffix":""},{"dropping-particle":"","family":"Grysko","given":"Vanessa","non-dropping-particle":"","parse-names":false,"suffix":""},{"dropping-particle":"","family":"Dimitriadi","given":"Maria","non-dropping-particle":"","parse-names":false,"suffix":""},{"dropping-particle":"","family":"Hosseinibarkooie","given":"Seyyedmohsen","non-dropping-particle":"","parse-names":false,"suffix":""},{"dropping-particle":"","family":"Torres-Benito","given":"Laura","non-dropping-particle":"","parse-names":false,"suffix":""},{"dropping-particle":"","family":"Peters","given":"Miriam","non-dropping-particle":"","parse-names":false,"suffix":""},{"dropping-particle":"","family":"Upadhyay","given":"Aaradhita","non-dropping-particle":"","parse-names":false,"suffix":""},{"dropping-particle":"","family":"Biglari","given":"Nasim","non-dropping-particle":"","parse-names":false,"suffix":""},{"dropping-particle":"","family":"Kröber","given":"Sandra","non-dropping-particle":"","parse-names":false,"suffix":""},{"dropping-particle":"","family":"Hölker","given":"Irmgard","non-dropping-particle":"","parse-names":false,"suffix":""},{"dropping-particle":"","family":"Garbes","given":"Lutz","non-dropping-particle":"","parse-names":false,"suffix":""},{"dropping-particle":"","family":"Gilissen","given":"Christian","non-dropping-particle":"","parse-names":false,"suffix":""},{"dropping-particle":"","family":"Hoischen","given":"Alexander","non-dropping-particle":"","parse-names":false,"suffix":""},{"dropping-particle":"","family":"Nürnberg","given":"Gudrun","non-dropping-particle":"","parse-names":false,"suffix":""},{"dropping-particle":"","family":"Nürnberg","given":"Peter","non-dropping-particle":"","parse-names":false,"suffix":""},{"dropping-particle":"","family":"Walter","given":"Michael","non-dropping-particle":"","parse-names":false,"suffix":""},{"dropping-particle":"","family":"Rigo","given":"Frank","non-dropping-particle":"","parse-names":false,"suffix":""},{"dropping-particle":"","family":"Bennett","given":"C. Frank","non-dropping-particle":"","parse-names":false,"suffix":""},{"dropping-particle":"","family":"Kye","given":"Min Jeong","non-dropping-particle":"","parse-names":false,"suffix":""},{"dropping-particle":"","family":"Hart","given":"Anne C.","non-dropping-particle":"","parse-names":false,"suffix":""},{"dropping-particle":"","family":"Hammerschmidt","given":"Matthias","non-dropping-particle":"","parse-names":false,"suffix":""},{"dropping-particle":"","family":"Kloppenburg","given":"Peter","non-dropping-particle":"","parse-names":false,"suffix":""},{"dropping-particle":"","family":"Wirth","given":"Brunhilde","non-dropping-particle":"","parse-names":false,"suffix":""}],"container-title":"American Journal of Human Genetics","id":"ITEM-2","issue":"2","issued":{"date-parts":[["2017"]]},"page":"297-315","title":"Neurocalcin Delta Suppression Protects against Spinal Muscular Atrophy in Humans and across Species by Restoring Impaired Endocytosis","type":"article-journal","volume":"100"},"uris":["http://www.mendeley.com/documents/?uuid=9594f318-de27-4d22-b024-359cb46a44cc"]},{"id":"ITEM-3","itemData":{"DOI":"10.1146/annurev-genom-102319-103602","ISSN":"1545293X","PMID":"32004094","abstract":"Twenty-five years ago, the underlying genetic cause for one of the most common and devastating inherited diseases in humans, spinal muscular atrophy (SMA), was identified. Homozygous deletions or, rarely, subtle mutations of SMN1 cause SMA, and the copy number of the nearly identical copy gene SMN2 inversely correlates with disease severity. SMA has become a paradigm and a prime example of a monogenic neurological disorder that can be efficiently ameliorated or nearly cured by novel therapeutic strategies, such as antisense oligonucleotide or gene replacement therapy. These therapies enable infants to survive who might otherwise have died before the age of two and allow individuals who have never been able to sit or walk to do both. The major milestones on the road to these therapies were to understand the genetic cause and splice regulation of SMN genes, the disease's phenotype-genotype variability, the function of the protein and the main affected cellular pathways and tissues, the disease's pathophysiology through research on animal models, the windows of opportunity for efficient treatment, and how and when to treat patients most effectively.This review aims to bridge our knowledge from phenotype to genotype to therapy, not only highlighting the significant advances so far but also speculating about the future of SMA screening and treatment.","author":[{"dropping-particle":"","family":"Wirth","given":"Brunhilde","non-dropping-particle":"","parse-names":false,"suffix":""},{"dropping-particle":"","family":"Karakaya","given":"Mert","non-dropping-particle":"","parse-names":false,"suffix":""},{"dropping-particle":"","family":"Kye","given":"Min Jeong","non-dropping-particle":"","parse-names":false,"suffix":""},{"dropping-particle":"","family":"Mendoza-Ferreira","given":"Natalia","non-dropping-particle":"","parse-names":false,"suffix":""}],"container-title":"Annual Review of Genomics and Human Genetics","id":"ITEM-3","issued":{"date-parts":[["2020"]]},"page":"231-261","title":"Twenty-Five Years of Spinal Muscular Atrophy Research: From Phenotype to Genotype to Therapy, and What Comes Next","type":"article-journal","volume":"21"},"uris":["http://www.mendeley.com/documents/?uuid=218513b4-375b-4fac-a4c4-702b66cbbb92"]}],"mendeley":{"formattedCitation":"[14,34,35]","plainTextFormattedCitation":"[14,34,35]","previouslyFormattedCitation":"[14,34,35]"},"properties":{"noteIndex":0},"schema":"https://github.com/citation-style-language/schema/raw/master/csl-citation.json"}</w:instrText>
      </w:r>
      <w:r w:rsidRPr="006E6EE8">
        <w:fldChar w:fldCharType="separate"/>
      </w:r>
      <w:r w:rsidRPr="006E6EE8">
        <w:rPr>
          <w:noProof/>
        </w:rPr>
        <w:t>[14,34,35]</w:t>
      </w:r>
      <w:r w:rsidRPr="006E6EE8">
        <w:fldChar w:fldCharType="end"/>
      </w:r>
      <w:r w:rsidRPr="006E6EE8">
        <w:t xml:space="preserve">. A recent study has shown that variants of PLS3 may be present in some SMA patients without influencing the PLS3 expression level and causing a detectable phenotypic change </w:t>
      </w:r>
      <w:r w:rsidRPr="006E6EE8">
        <w:fldChar w:fldCharType="begin" w:fldLock="1"/>
      </w:r>
      <w:r w:rsidRPr="006E6EE8">
        <w:instrText>ADDIN CSL_CITATION {"citationItems":[{"id":"ITEM-1","itemData":{"DOI":"10.1212/NXG.0000000000000386","ISBN":"0000000000000","ISSN":"23767839","abstract":"ObjectiveTo investigate mutations in genes that are potential modifiers of spinal muscular atrophy (SMA) severity.MethodsWe performed a hypothesis-based search into the presence of variants in fused in sarcoma (FUS), transactive response DNA-binding protein 43 (TDP-43), plastin 3 (PLS3), and profilin 2 (PFN2) in a cohort of 153 patients with SMA types 1-4, including 19 families. Variants were detected with targeted next-generation sequencing and confirmed with Sanger sequencing. Functional effects of the identified variants were analyzed in silico and for PLS3, by analyzing expression levels in peripheral blood.ResultsWe identified 2 exonic variants in FUS exons 5 and 6 (p.R216C and p.S135N) in 2 unrelated patients, but clinical effects were not evident. We identified 8 intronic variants in PLS3 in 33 patients. Five PLS3 variants (c.1511+82T&gt;C; c.748+130 G&gt;A; c.367+182C&gt;T; c.891-25T&gt;C (rs145269469); c.1355+17A&gt;G (rs150802596)) potentially alter exonic splice silencer or exonic splice enhancer sites. The variant c.367+182C&gt;T, but not RNA expression levels, corresponded with a more severe phenotype in 1 family. However, this variant or level of PLS3 expression did not consistently correspond with a milder or more severe phenotype in other families or the overall cohort. We found 3 heterozygous, intronic variants in PFN2 and TDP-43 with no correlation with clinical phenotype or effects on splicing.ConclusionsPLS3 and FUS sequence variants do not modify SMA severity at the population level. Specific variants in individual patients or families do not consistently correlate with disease severity.","author":[{"dropping-particle":"","family":"Wadman","given":"Renske I.","non-dropping-particle":"","parse-names":false,"suffix":""},{"dropping-particle":"","family":"Jansen","given":"Marc D.","non-dropping-particle":"","parse-names":false,"suffix":""},{"dropping-particle":"","family":"Curial","given":"Chantall A.D.","non-dropping-particle":"","parse-names":false,"suffix":""},{"dropping-particle":"","family":"Groen","given":"Ewout J.N.","non-dropping-particle":"","parse-names":false,"suffix":""},{"dropping-particle":"","family":"Stam","given":"Marloes","non-dropping-particle":"","parse-names":false,"suffix":""},{"dropping-particle":"","family":"Wijngaarde","given":"Camiel A.","non-dropping-particle":"","parse-names":false,"suffix":""},{"dropping-particle":"","family":"Medic","given":"Jelena","non-dropping-particle":"","parse-names":false,"suffix":""},{"dropping-particle":"","family":"Sodaar","given":"Peter","non-dropping-particle":"","parse-names":false,"suffix":""},{"dropping-particle":"","family":"Eijk","given":"Kristel R.","non-dropping-particle":"Van","parse-names":false,"suffix":""},{"dropping-particle":"","family":"Huibers","given":"Manon M.H.","non-dropping-particle":"","parse-names":false,"suffix":""},{"dropping-particle":"","family":"Kuik","given":"Joyce","non-dropping-particle":"Van","parse-names":false,"suffix":""},{"dropping-particle":"","family":"Lemmink","given":"Henny H.","non-dropping-particle":"","parse-names":false,"suffix":""},{"dropping-particle":"","family":"Rheenen","given":"Wouter","non-dropping-particle":"Van","parse-names":false,"suffix":""},{"dropping-particle":"","family":"Veldink","given":"Jan Herman","non-dropping-particle":"","parse-names":false,"suffix":""},{"dropping-particle":"","family":"Berg","given":"Leonard H.","non-dropping-particle":"Van Den","parse-names":false,"suffix":""},{"dropping-particle":"","family":"Pol","given":"W. Ludo","non-dropping-particle":"Van Der","parse-names":false,"suffix":""}],"container-title":"Neurology: Genetics","id":"ITEM-1","issue":"1","issued":{"date-parts":[["2020"]]},"page":"1-8","title":"Analysis of FUS, PFN2, TDP-43, and PLS3 as potential disease severity modifiers in spinal muscular atrophy","type":"article-journal","volume":"6"},"uris":["http://www.mendeley.com/documents/?uuid=c07a9577-f37e-4ef9-bfd5-885dc3de6cf3"]}],"mendeley":{"formattedCitation":"[36]","plainTextFormattedCitation":"[36]","previouslyFormattedCitation":"[36]"},"properties":{"noteIndex":0},"schema":"https://github.com/citation-style-language/schema/raw/master/csl-citation.json"}</w:instrText>
      </w:r>
      <w:r w:rsidRPr="006E6EE8">
        <w:fldChar w:fldCharType="separate"/>
      </w:r>
      <w:r w:rsidRPr="006E6EE8">
        <w:rPr>
          <w:noProof/>
        </w:rPr>
        <w:t>[36]</w:t>
      </w:r>
      <w:r w:rsidRPr="006E6EE8">
        <w:fldChar w:fldCharType="end"/>
      </w:r>
      <w:r w:rsidRPr="006E6EE8">
        <w:t xml:space="preserve">. Indeed, the mechanism for PLS3 overexpression or NCALD downregulation is still unknown and future work will be useful to determine the reason on genomic level as this may have implications for therapy development and biomarker studies. </w:t>
      </w:r>
    </w:p>
    <w:p w14:paraId="705BC926" w14:textId="77777777" w:rsidR="00786B93" w:rsidRPr="006E6EE8" w:rsidRDefault="00786B93" w:rsidP="00595196">
      <w:pPr>
        <w:pStyle w:val="MDPI31text"/>
      </w:pPr>
      <w:r w:rsidRPr="006E6EE8">
        <w:t xml:space="preserve">SMN levels, although reduced in each SMA type compared with age-matched controls, did not correlate with SMA severity. A small, earlier study </w:t>
      </w:r>
      <w:r w:rsidRPr="006E6EE8">
        <w:fldChar w:fldCharType="begin" w:fldLock="1"/>
      </w:r>
      <w:r w:rsidRPr="006E6EE8">
        <w:instrText>ADDIN CSL_CITATION {"citationItems":[{"id":"ITEM-1","itemData":{"DOI":"10.1038/ejhg.2011.89","ISSN":"10184813","PMID":"21610752","abstract":"Spinal muscular atrophy (SMA) is a genetic neuromuscular disorder caused by mutations in the SMN1 gene. The homologous copy (SMN2) is always present in SMA patients. SMN1 gene transcripts are usually full-length (FL), but exon 7 is spliced out in a high proportion of SMN2 transcripts (delta7) (Δ7). Advances in drug therapy for SMA have shown that an increase in SMN mRNA and protein levels can be achieved in vitro. We performed a systematic analysis of SMN expression in primary fibroblasts and EBV-transformed lymphoblasts from seven SMA patients with varying clinical severity and different SMN1 genotypes to determine expression differences in two accessible tissues (skin and blood). The basal expression of SMN mRNA FL and Δ7 in fibroblasts and lymphoblasts was analyzed by quantitative real-time PCR. The FL-SMN and FL/Δ7 SMN ratios were higher in control cells than in patients. Furthermore, we investigated the response of these cell lines to hydroxyurea, valproate and phenylbutyrate, drugs previously reported to upregulate SMN2. The response to treatments with these compounds was heterogeneous. We found both intra-patient and inter-patient variability even within haploidentical siblings, suggesting that tissue and individual factors may affect the response to these compounds. To optimize the stratification of patients in clinical trials, in vitro studies should be performed before enrolment so as to define each patient as a responder or non-responder to the compound under investigation. © 2011 Macmillan Publishers Limited All rights reserved.","author":[{"dropping-particle":"","family":"Also-Rallo","given":"Eva","non-dropping-particle":"","parse-names":false,"suffix":""},{"dropping-particle":"","family":"Alías","given":"Laura","non-dropping-particle":"","parse-names":false,"suffix":""},{"dropping-particle":"","family":"Martínez-Hernández","given":"Rebeca","non-dropping-particle":"","parse-names":false,"suffix":""},{"dropping-particle":"","family":"Caselles","given":"Lidia","non-dropping-particle":"","parse-names":false,"suffix":""},{"dropping-particle":"","family":"Barceló","given":"María J.","non-dropping-particle":"","parse-names":false,"suffix":""},{"dropping-particle":"","family":"Baiget","given":"Montserrat","non-dropping-particle":"","parse-names":false,"suffix":""},{"dropping-particle":"","family":"Bernal","given":"Sara","non-dropping-particle":"","parse-names":false,"suffix":""},{"dropping-particle":"","family":"Tizzano","given":"Eduardo F.","non-dropping-particle":"","parse-names":false,"suffix":""}],"container-title":"European Journal of Human Genetics","id":"ITEM-1","issue":"10","issued":{"date-parts":[["2011"]]},"page":"1059-1065","title":"Treatment of spinal muscular atrophy cells with drugs that upregulate SMN expression reveals inter- and intra-patient variability","type":"article-journal","volume":"19"},"uris":["http://www.mendeley.com/documents/?uuid=3c552a43-e96c-4a05-b383-cdfa00d91994"]}],"mendeley":{"formattedCitation":"[37]","plainTextFormattedCitation":"[37]","previouslyFormattedCitation":"[37]"},"properties":{"noteIndex":0},"schema":"https://github.com/citation-style-language/schema/raw/master/csl-citation.json"}</w:instrText>
      </w:r>
      <w:r w:rsidRPr="006E6EE8">
        <w:fldChar w:fldCharType="separate"/>
      </w:r>
      <w:r w:rsidRPr="006E6EE8">
        <w:rPr>
          <w:noProof/>
        </w:rPr>
        <w:t>[37]</w:t>
      </w:r>
      <w:r w:rsidRPr="006E6EE8">
        <w:fldChar w:fldCharType="end"/>
      </w:r>
      <w:r w:rsidRPr="006E6EE8">
        <w:t xml:space="preserve"> showed lower SMN protein levels in fibroblasts and lymphoblasts from one SMA I patient in comparison to those from SMA II and III patients (n=1 and 4 respectively), but our findings concur with a larger study of SMN protein expression in patient fibroblasts (SMA I, n=5; SMA II, n=19; SMA III, n=16) and blood (SMA I, n=18; SMA II, n=60; SMA III, n=52) </w:t>
      </w:r>
      <w:r w:rsidRPr="006E6EE8">
        <w:fldChar w:fldCharType="begin" w:fldLock="1"/>
      </w:r>
      <w:r w:rsidRPr="006E6EE8">
        <w:instrText>ADDIN CSL_CITATION {"citationItems":[{"id":"ITEM-1","itemData":{"DOI":"10.1371/journal.pone.0167087","ISBN":"1932-6203","ISSN":"19326203","PMID":"27893852","abstract":"Background Clinical trials to test safety and efficacy of drugs for patients with spinal muscular atrophy (SMA) are currently underway. Biomarkers that document treatment-induced effects are needed because disease progression in childhood forms of SMA is slow and clinical outcome measures may lack sensitivity to detect meaningful changes in motor function in the period of 1–2 years of follow-up during randomized clinical trials. Objective To determine and compare SMN protein and mRNA levels in two cell types (i.e. PBMCs and skin-derived fibroblasts) from patients with SMA types 1–4 and healthy controls in relation to clinical characteristics and SMN2 copy numbers. Materials and methods We determined SMN1, SMN2-full length (SMN2-FL), SMN2-delta7 (SMN2-Δ7), GAPDH and 18S mRNA levels and SMN protein levels in blood and fibroblasts from a total of 150 patients with SMA and 293 healthy controls using qPCR and ELISA. We analyzed the association with clinical characteristics including disease severity and duration, and SMN2 copy number. Results SMN protein levels in PBMCs and fibroblasts were higher in controls than in patients with SMA (p&lt;0.01). Stratification for SMA type did not show differences in SMN protein (p&gt;0.1) or mRNA levels (p&gt;0.05) in either cell type. SMN2 copy number was associated with SMN protein levels in fibroblasts (p = 0.01), but not in PBMCs (p = 0.06). Protein levels in PBMCs declined with age in patients (p&lt;0.01) and controls (p&lt;0.01)(power 1-beta = 0.7). Ratios of SMN2-Δ7/SMN2-FL showed a broad range, primarily explained by the variation in SMN2-Δ7 levels, even in patients with a comparable SMN2 copy number. Levels of SMN2 mRNA did not correlate with SMN2 copy number, SMA type or age in blood (p = 0.7) or fibroblasts (p = 0.09). Paired analysis between blood and fibroblasts did not show a correlation between the two different tissues with respect to the SMN protein or mRNA levels. Conclusions SMN protein levels differ considerably between tissues and activity is age dependent in patients and controls. SMN protein levels in fibroblasts correlate with SMN2 copy number and have potential as a biomarker for disease severity.","author":[{"dropping-particle":"","family":"Wadman","given":"Renske I.","non-dropping-particle":"","parse-names":false,"suffix":""},{"dropping-particle":"","family":"Stam","given":"Marloes","non-dropping-particle":"","parse-names":false,"suffix":""},{"dropping-particle":"","family":"Jansen","given":"Marc D.","non-dropping-particle":"","parse-names":false,"suffix":""},{"dropping-particle":"Der","family":"Weegen","given":"Yana","non-dropping-particle":"Van","parse-names":false,"suffix":""},{"dropping-particle":"","family":"Wijngaarde","given":"Camiel A.","non-dropping-particle":"","parse-names":false,"suffix":""},{"dropping-particle":"","family":"Harschnitz","given":"Oliver","non-dropping-particle":"","parse-names":false,"suffix":""},{"dropping-particle":"","family":"Sodaar","given":"Peter","non-dropping-particle":"","parse-names":false,"suffix":""},{"dropping-particle":"","family":"Braun","given":"Kees P.J.","non-dropping-particle":"","parse-names":false,"suffix":""},{"dropping-particle":"","family":"Dooijes","given":"Dennis","non-dropping-particle":"","parse-names":false,"suffix":""},{"dropping-particle":"","family":"Lemmink","given":"Henny H.","non-dropping-particle":"","parse-names":false,"suffix":""},{"dropping-particle":"","family":"Berg","given":"Leonard H.","non-dropping-particle":"Van Den","parse-names":false,"suffix":""},{"dropping-particle":"","family":"Ludo Der Pol","given":"W.","non-dropping-particle":"Van","parse-names":false,"suffix":""}],"container-title":"PLoS ONE","id":"ITEM-1","issue":"11","issued":{"date-parts":[["2016"]]},"page":"1-17","title":"A comparative study of SMN protein and mRNA in blood and fibroblasts in patients with spinal muscular atrophy and healthy controls","type":"article-journal","volume":"11"},"uris":["http://www.mendeley.com/documents/?uuid=2ca81c4b-33d1-487e-8bf6-7bd1dba0f03e"]}],"mendeley":{"formattedCitation":"[38]","plainTextFormattedCitation":"[38]","previouslyFormattedCitation":"[38]"},"properties":{"noteIndex":0},"schema":"https://github.com/citation-style-language/schema/raw/master/csl-citation.json"}</w:instrText>
      </w:r>
      <w:r w:rsidRPr="006E6EE8">
        <w:fldChar w:fldCharType="separate"/>
      </w:r>
      <w:r w:rsidRPr="006E6EE8">
        <w:rPr>
          <w:noProof/>
        </w:rPr>
        <w:t>[38]</w:t>
      </w:r>
      <w:r w:rsidRPr="006E6EE8">
        <w:fldChar w:fldCharType="end"/>
      </w:r>
      <w:r w:rsidRPr="006E6EE8">
        <w:t xml:space="preserve">, plus a biomarker study in which SMN levels in whole blood samples (SMA I, n=17; SMA II, n=49; SMA III, n=42) were determined </w:t>
      </w:r>
      <w:r w:rsidRPr="006E6EE8">
        <w:fldChar w:fldCharType="begin" w:fldLock="1"/>
      </w:r>
      <w:r w:rsidRPr="006E6EE8">
        <w:instrText>ADDIN CSL_CITATION {"citationItems":[{"id":"ITEM-1","itemData":{"DOI":"10.1371/journal.pone.0033572","ISSN":"19326203","PMID":"22558076","abstract":"Background: The universal presence of a gene (SMN2) nearly identical to the mutated SMN1 gene responsible for Spinal Muscular Atrophy (SMA) has proved an enticing incentive to therapeutics development. Early disappointments from putative SMN-enhancing agent clinical trials have increased interest in improving the assessment of SMN expression in blood as an early \"biomarker\" of treatment effect. Methods: A cross-sectional, single visit, multi-center design assessed SMN transcript and protein in 108 SMA and 22 age and gender-matched healthy control subjects, while motor function was assessed by the Modified Hammersmith Functional Motor Scale (MHFMS). Enrollment selectively targeted a broad range of SMA subjects that would permit maximum power to distinguish the relative influence of SMN2 copy number, SMA type, present motor function, and age. Results: SMN2 copy number and levels of full-length SMN2 transcripts correlated with SMA type, and like SMN protein levels, were lower in SMA subjects compared to controls. No measure of SMN expression correlated strongly with MHFMS. A key finding is that SMN2 copy number, levels of transcript and protein showed no correlation with each other. Conclusion: This is a prospective study that uses the most advanced techniques of SMN transcript and protein measurement in a large selectively-recruited cohort of individuals with SMA. There is a relationship between measures of SMN expression in blood and SMA type, but not a strong correlation to motor function as measured by the MHFMS. Low SMN transcript and protein levels in the SMA subjects relative to controls suggest that these measures of SMN in accessible tissues may be amenable to an \"early look\" for target engagement in clinical trials of putative SMN-enhancing agents. Full length SMN transcript abundance may provide insight into the molecular mechanism of phenotypic variation as a function of SMN2 copy number. Trial Registry: Clinicaltrials.gov NCT00756821.","author":[{"dropping-particle":"","family":"Crawford","given":"Thomas O.","non-dropping-particle":"","parse-names":false,"suffix":""},{"dropping-particle":"V.","family":"Paushkin","given":"Sergey","non-dropping-particle":"","parse-names":false,"suffix":""},{"dropping-particle":"","family":"Kobayashi","given":"Dione T.","non-dropping-particle":"","parse-names":false,"suffix":""},{"dropping-particle":"","family":"Forrest","given":"Suzanne J.","non-dropping-particle":"","parse-names":false,"suffix":""},{"dropping-particle":"","family":"Joyce","given":"Cynthia L.","non-dropping-particle":"","parse-names":false,"suffix":""},{"dropping-particle":"","family":"Finkel","given":"Richard S.","non-dropping-particle":"","parse-names":false,"suffix":""},{"dropping-particle":"","family":"Kaufmann","given":"Petra","non-dropping-particle":"","parse-names":false,"suffix":""},{"dropping-particle":"","family":"Swoboda","given":"Kathryn J.","non-dropping-particle":"","parse-names":false,"suffix":""},{"dropping-particle":"","family":"Tiziano","given":"Danilo","non-dropping-particle":"","parse-names":false,"suffix":""},{"dropping-particle":"","family":"Lomastro","given":"Rosa","non-dropping-particle":"","parse-names":false,"suffix":""},{"dropping-particle":"","family":"Li","given":"Rebecca H.","non-dropping-particle":"","parse-names":false,"suffix":""},{"dropping-particle":"","family":"Trachtenberg","given":"Felicia L.","non-dropping-particle":"","parse-names":false,"suffix":""},{"dropping-particle":"","family":"Plasterer","given":"Thomas","non-dropping-particle":"","parse-names":false,"suffix":""},{"dropping-particle":"","family":"Chen","given":"Karen S.","non-dropping-particle":"","parse-names":false,"suffix":""}],"container-title":"PLoS ONE","id":"ITEM-1","issue":"4","issued":{"date-parts":[["2012"]]},"title":"Evaluation of SMN protein, transcript, and copy number in the biomarkers for spinal muscular atrophy (BforSMA) clinical study","type":"article-journal","volume":"7"},"uris":["http://www.mendeley.com/documents/?uuid=c149a3c0-aee6-49ab-b597-1fcc95305d2e"]}],"mendeley":{"formattedCitation":"[26]","plainTextFormattedCitation":"[26]","previouslyFormattedCitation":"[26]"},"properties":{"noteIndex":0},"schema":"https://github.com/citation-style-language/schema/raw/master/csl-citation.json"}</w:instrText>
      </w:r>
      <w:r w:rsidRPr="006E6EE8">
        <w:fldChar w:fldCharType="separate"/>
      </w:r>
      <w:r w:rsidRPr="006E6EE8">
        <w:rPr>
          <w:noProof/>
        </w:rPr>
        <w:t>[26]</w:t>
      </w:r>
      <w:r w:rsidRPr="006E6EE8">
        <w:fldChar w:fldCharType="end"/>
      </w:r>
      <w:r w:rsidRPr="006E6EE8">
        <w:t xml:space="preserve">. Both studies found SMN levels to be decreased in SMA patients but were unable to stratify patients according to clinical SMA type based on these SMN levels. </w:t>
      </w:r>
    </w:p>
    <w:p w14:paraId="0C40A374" w14:textId="77777777" w:rsidR="00786B93" w:rsidRPr="006E6EE8" w:rsidRDefault="00786B93" w:rsidP="00595196">
      <w:pPr>
        <w:pStyle w:val="MDPI31text"/>
      </w:pPr>
      <w:r w:rsidRPr="006E6EE8">
        <w:t xml:space="preserve">Surprisingly, not a single protein was found to be significantly altered across all SMA types, and only a small proportion (14 out of 232) were significantly changed in two SMA types. Few studies have investigated the proteomic profile of cells from patients with differing SMA severity, but a previous transcriptional study did find 33 genes in muscles from SMA I patients (Type I; n=4;) and 10 genes in muscles from patients with SMA III (n=5) to be significantly altered when compared to control samples </w:t>
      </w:r>
      <w:r w:rsidRPr="006E6EE8">
        <w:fldChar w:fldCharType="begin" w:fldLock="1"/>
      </w:r>
      <w:r w:rsidRPr="006E6EE8">
        <w:instrText>ADDIN CSL_CITATION {"citationItems":[{"id":"ITEM-1","itemData":{"DOI":"10.1186/1741-7015-7-14","ISSN":"17417015","abstract":"Background: Spinal muscular atrophy (SMA) is a neurodegenerative disorder associated with mutations of the survival motor neuron gene SMN and is characterized by muscle weakness and atrophy caused by degeneration of spinal motor neurons. SMN has a role in neurons but its deficiency may have a direct effect on muscle tissue. Methods: We applied microarray and quantitative real-time PCR to study at transcriptional level the effects of a defective SMN gene in skeletal muscles affected by the two forms of SMA: the most severe type I and the mild type III. Results: The two forms of SMA generated distinct expression signatures: the SMA III muscle transcriptome is close to that found under normal conditions, whereas in SMA I there is strong alteration of gene expression. Genes implicated in signal transduction were up-regulated in SMA III whereas those of energy metabolism and muscle contraction were consistently down-regulated in SMA I. The expression pattern of gene networks involved in atrophy signaling was completed by qRT-PCR, showing that specific pathways are involved, namely IGF/PI3K/Akt, TNF-α/ p38 MAPK and Ras/ERK pathways. Conclusion: Our study suggests a different picture of atrophy pathways in each of the two forms of SMA. In particular, p38 may be the regulator of protein synthesis in SMA I. The SMA III profile appears as the result of the concurrent presence of atrophic and hypertrophic fibers. This more favorable condition might be due to the over-expression of MTOR that, given its role in the activation of protein synthesis, could lead to compensatory hypertrophy in SMA III muscle fibers. © 2009 Millino et al; licensee BioMed Central Ltd.","author":[{"dropping-particle":"","family":"Millino","given":"Caterina","non-dropping-particle":"","parse-names":false,"suffix":""},{"dropping-particle":"","family":"Fanin","given":"Marina","non-dropping-particle":"","parse-names":false,"suffix":""},{"dropping-particle":"","family":"Vettori","given":"Andrea","non-dropping-particle":"","parse-names":false,"suffix":""},{"dropping-particle":"","family":"Laveder","given":"Paolo","non-dropping-particle":"","parse-names":false,"suffix":""},{"dropping-particle":"","family":"Mostacciuolo","given":"Maria","non-dropping-particle":"","parse-names":false,"suffix":""},{"dropping-particle":"","family":"Angelini","given":"Corrado","non-dropping-particle":"","parse-names":false,"suffix":""},{"dropping-particle":"","family":"Lanfranchi","given":"Gerolamo","non-dropping-particle":"","parse-names":false,"suffix":""}],"container-title":"BMC Medicine","id":"ITEM-1","issued":{"date-parts":[["2009"]]},"page":"1-9","title":"Different atrophy-hypertrophy transcription pathways in muscles affected by severe and mild spinal muscular atrophy","type":"article-journal","volume":"7"},"uris":["http://www.mendeley.com/documents/?uuid=0276fb99-7288-4871-bab9-43698c73926e"]}],"mendeley":{"formattedCitation":"[39]","plainTextFormattedCitation":"[39]","previouslyFormattedCitation":"[39]"},"properties":{"noteIndex":0},"schema":"https://github.com/citation-style-language/schema/raw/master/csl-citation.json"}</w:instrText>
      </w:r>
      <w:r w:rsidRPr="006E6EE8">
        <w:fldChar w:fldCharType="separate"/>
      </w:r>
      <w:r w:rsidRPr="006E6EE8">
        <w:rPr>
          <w:noProof/>
        </w:rPr>
        <w:t>[39]</w:t>
      </w:r>
      <w:r w:rsidRPr="006E6EE8">
        <w:fldChar w:fldCharType="end"/>
      </w:r>
      <w:r w:rsidRPr="006E6EE8">
        <w:t xml:space="preserve">. Changes in gene expression do not always relate to altered protein expression </w:t>
      </w:r>
      <w:r w:rsidRPr="006E6EE8">
        <w:fldChar w:fldCharType="begin" w:fldLock="1"/>
      </w:r>
      <w:r w:rsidRPr="006E6EE8">
        <w:instrText>ADDIN CSL_CITATION {"citationItems":[{"id":"ITEM-1","itemData":{"DOI":"10.1371/journal.pgen.1001393","ISSN":"15537390","PMID":"21695224","abstract":"The relationships between the levels of transcripts and the levels of the proteins they encode have not been examined comprehensively in mammals, although previous work in plants and yeast suggest a surprisingly modest correlation. We have examined this issue using a genetic approach in which natural variations were used to perturb both transcript levels and protein levels among inbred strains of mice. We quantified over 5,000 peptides and over 22,000 transcripts in livers of 97 inbred and recombinant inbred strains and focused on the 7,185 most heritable transcripts and 486 most reliable proteins. The transcript levels were quantified by microarray analysis in three replicates and the proteins were quantified by Liquid Chromatography-Mass Spectrometry using O(18)-reference-based isotope labeling approach. We show that the levels of transcripts and proteins correlate significantly for only about half of the genes tested, with an average correlation of 0.27, and the correlations of transcripts and proteins varied depending on the cellular location and biological function of the gene. We examined technical and biological factors that could contribute to the modest correlation. For example, differential splicing clearly affects the analyses for certain genes; but, based on deep sequencing, this does not substantially contribute to the overall estimate of the correlation. We also employed genome-wide association analyses to map loci controlling both transcript and protein levels. Surprisingly, little overlap was observed between the protein- and transcript-mapped loci. We have typed numerous clinically relevant traits among the strains, including adiposity, lipoprotein levels, and tissue parameters. Using correlation analysis, we found that a low number of clinical trait relationships are preserved between the protein and mRNA gene products and that the majority of such relationships are specific to either the protein levels or transcript levels. Surprisingly, transcript levels were more strongly correlated with clinical traits than protein levels. In light of the widespread use of high-throughput technologies in both clinical and basic research, the results presented have practical as well as basic implications. © 2011 Ghazalpour et al.","author":[{"dropping-particle":"","family":"Ghazalpour","given":"Anatole","non-dropping-particle":"","parse-names":false,"suffix":""},{"dropping-particle":"","family":"Bennett","given":"Brian","non-dropping-particle":"","parse-names":false,"suffix":""},{"dropping-particle":"","family":"Petyuk","given":"Vladislav A.","non-dropping-particle":"","parse-names":false,"suffix":""},{"dropping-particle":"","family":"Orozco","given":"Luz","non-dropping-particle":"","parse-names":false,"suffix":""},{"dropping-particle":"","family":"Hagopian","given":"Raffi","non-dropping-particle":"","parse-names":false,"suffix":""},{"dropping-particle":"","family":"Mungrue","given":"Imran N.","non-dropping-particle":"","parse-names":false,"suffix":""},{"dropping-particle":"","family":"Farber","given":"Charles R.","non-dropping-particle":"","parse-names":false,"suffix":""},{"dropping-particle":"","family":"Sinsheimer","given":"Janet","non-dropping-particle":"","parse-names":false,"suffix":""},{"dropping-particle":"","family":"Kang","given":"Hyun M.","non-dropping-particle":"","parse-names":false,"suffix":""},{"dropping-particle":"","family":"Furlotte","given":"Nicholas","non-dropping-particle":"","parse-names":false,"suffix":""},{"dropping-particle":"","family":"Park","given":"Christopher C.","non-dropping-particle":"","parse-names":false,"suffix":""},{"dropping-particle":"","family":"Wen","given":"Ping Zi","non-dropping-particle":"","parse-names":false,"suffix":""},{"dropping-particle":"","family":"Brewer","given":"Heather","non-dropping-particle":"","parse-names":false,"suffix":""},{"dropping-particle":"","family":"Weitz","given":"Karl","non-dropping-particle":"","parse-names":false,"suffix":""},{"dropping-particle":"","family":"Camp","given":"David G.","non-dropping-particle":"","parse-names":false,"suffix":""},{"dropping-particle":"","family":"Pan","given":"Calvin","non-dropping-particle":"","parse-names":false,"suffix":""},{"dropping-particle":"","family":"Yordanova","given":"Roumyana","non-dropping-particle":"","parse-names":false,"suffix":""},{"dropping-particle":"","family":"Neuhaus","given":"Isaac","non-dropping-particle":"","parse-names":false,"suffix":""},{"dropping-particle":"","family":"Tilford","given":"Charles","non-dropping-particle":"","parse-names":false,"suffix":""},{"dropping-particle":"","family":"Siemers","given":"Nathan","non-dropping-particle":"","parse-names":false,"suffix":""},{"dropping-particle":"","family":"Gargalovic","given":"Peter","non-dropping-particle":"","parse-names":false,"suffix":""},{"dropping-particle":"","family":"Eskin","given":"Eleazar","non-dropping-particle":"","parse-names":false,"suffix":""},{"dropping-particle":"","family":"Kirchgessner","given":"Todd","non-dropping-particle":"","parse-names":false,"suffix":""},{"dropping-particle":"","family":"Smith","given":"Desmond J.","non-dropping-particle":"","parse-names":false,"suffix":""},{"dropping-particle":"","family":"Smith","given":"Richard D.","non-dropping-particle":"","parse-names":false,"suffix":""},{"dropping-particle":"","family":"Lusis","given":"Aldons J.","non-dropping-particle":"","parse-names":false,"suffix":""}],"container-title":"PLoS Genetics","id":"ITEM-1","issue":"6","issued":{"date-parts":[["2011"]]},"title":"Comparative analysis of proteome and transcriptome variation in mouse","type":"article-journal","volume":"7"},"uris":["http://www.mendeley.com/documents/?uuid=1c0a71fe-2c62-4763-b121-d3f5e4e0d57a"]}],"mendeley":{"formattedCitation":"[40]","plainTextFormattedCitation":"[40]","previouslyFormattedCitation":"[40]"},"properties":{"noteIndex":0},"schema":"https://github.com/citation-style-language/schema/raw/master/csl-citation.json"}</w:instrText>
      </w:r>
      <w:r w:rsidRPr="006E6EE8">
        <w:fldChar w:fldCharType="separate"/>
      </w:r>
      <w:r w:rsidRPr="006E6EE8">
        <w:rPr>
          <w:noProof/>
        </w:rPr>
        <w:t>[40]</w:t>
      </w:r>
      <w:r w:rsidRPr="006E6EE8">
        <w:fldChar w:fldCharType="end"/>
      </w:r>
      <w:r w:rsidRPr="006E6EE8">
        <w:t xml:space="preserve">, but one gene (S100A6) in the transcriptome study, found to be up-regulated in SMA III muscle </w:t>
      </w:r>
      <w:r w:rsidRPr="006E6EE8">
        <w:fldChar w:fldCharType="begin" w:fldLock="1"/>
      </w:r>
      <w:r w:rsidRPr="006E6EE8">
        <w:instrText>ADDIN CSL_CITATION {"citationItems":[{"id":"ITEM-1","itemData":{"DOI":"10.1186/1741-7015-7-14","ISSN":"17417015","abstract":"Background: Spinal muscular atrophy (SMA) is a neurodegenerative disorder associated with mutations of the survival motor neuron gene SMN and is characterized by muscle weakness and atrophy caused by degeneration of spinal motor neurons. SMN has a role in neurons but its deficiency may have a direct effect on muscle tissue. Methods: We applied microarray and quantitative real-time PCR to study at transcriptional level the effects of a defective SMN gene in skeletal muscles affected by the two forms of SMA: the most severe type I and the mild type III. Results: The two forms of SMA generated distinct expression signatures: the SMA III muscle transcriptome is close to that found under normal conditions, whereas in SMA I there is strong alteration of gene expression. Genes implicated in signal transduction were up-regulated in SMA III whereas those of energy metabolism and muscle contraction were consistently down-regulated in SMA I. The expression pattern of gene networks involved in atrophy signaling was completed by qRT-PCR, showing that specific pathways are involved, namely IGF/PI3K/Akt, TNF-α/ p38 MAPK and Ras/ERK pathways. Conclusion: Our study suggests a different picture of atrophy pathways in each of the two forms of SMA. In particular, p38 may be the regulator of protein synthesis in SMA I. The SMA III profile appears as the result of the concurrent presence of atrophic and hypertrophic fibers. This more favorable condition might be due to the over-expression of MTOR that, given its role in the activation of protein synthesis, could lead to compensatory hypertrophy in SMA III muscle fibers. © 2009 Millino et al; licensee BioMed Central Ltd.","author":[{"dropping-particle":"","family":"Millino","given":"Caterina","non-dropping-particle":"","parse-names":false,"suffix":""},{"dropping-particle":"","family":"Fanin","given":"Marina","non-dropping-particle":"","parse-names":false,"suffix":""},{"dropping-particle":"","family":"Vettori","given":"Andrea","non-dropping-particle":"","parse-names":false,"suffix":""},{"dropping-particle":"","family":"Laveder","given":"Paolo","non-dropping-particle":"","parse-names":false,"suffix":""},{"dropping-particle":"","family":"Mostacciuolo","given":"Maria","non-dropping-particle":"","parse-names":false,"suffix":""},{"dropping-particle":"","family":"Angelini","given":"Corrado","non-dropping-particle":"","parse-names":false,"suffix":""},{"dropping-particle":"","family":"Lanfranchi","given":"Gerolamo","non-dropping-particle":"","parse-names":false,"suffix":""}],"container-title":"BMC Medicine","id":"ITEM-1","issued":{"date-parts":[["2009"]]},"page":"1-9","title":"Different atrophy-hypertrophy transcription pathways in muscles affected by severe and mild spinal muscular atrophy","type":"article-journal","volume":"7"},"uris":["http://www.mendeley.com/documents/?uuid=0276fb99-7288-4871-bab9-43698c73926e"]}],"mendeley":{"formattedCitation":"[39]","plainTextFormattedCitation":"[39]","previouslyFormattedCitation":"[39]"},"properties":{"noteIndex":0},"schema":"https://github.com/citation-style-language/schema/raw/master/csl-citation.json"}</w:instrText>
      </w:r>
      <w:r w:rsidRPr="006E6EE8">
        <w:fldChar w:fldCharType="separate"/>
      </w:r>
      <w:r w:rsidRPr="006E6EE8">
        <w:rPr>
          <w:noProof/>
        </w:rPr>
        <w:t>[39]</w:t>
      </w:r>
      <w:r w:rsidRPr="006E6EE8">
        <w:fldChar w:fldCharType="end"/>
      </w:r>
      <w:r w:rsidRPr="006E6EE8">
        <w:t xml:space="preserve"> showed upregulation here in the SMA III fibroblast dataset (1.40-fold increase compared with control cells) with a </w:t>
      </w:r>
      <w:r w:rsidRPr="006E6EE8">
        <w:rPr>
          <w:i/>
          <w:iCs/>
        </w:rPr>
        <w:t>p-</w:t>
      </w:r>
      <w:r w:rsidRPr="006E6EE8">
        <w:t xml:space="preserve">value of 0.077. Other differentially expressed genes (NNMT, CYC1, DES, CHCHD3 &amp; ARL6IP5) in the transcriptome study were also detected in the fibroblast dataset, but none of the changes were statistically significant. </w:t>
      </w:r>
    </w:p>
    <w:p w14:paraId="26CB5B4E" w14:textId="77777777" w:rsidR="00786B93" w:rsidRPr="006E6EE8" w:rsidRDefault="00786B93" w:rsidP="00595196">
      <w:pPr>
        <w:pStyle w:val="MDPI31text"/>
      </w:pPr>
      <w:r w:rsidRPr="006E6EE8">
        <w:t xml:space="preserve">Enriched molecular and cellular processes with which the dysregulated proteins from each SMA type were associated also showed very little overlap, except for necrosis and autophagy for all three types and metabolism of protein for SMA I and III. Necrosis has been noted as a process that occurs in displaced motor neurons from SMA I and II patients in the later disease stages </w:t>
      </w:r>
      <w:r w:rsidRPr="006E6EE8">
        <w:fldChar w:fldCharType="begin" w:fldLock="1"/>
      </w:r>
      <w:r w:rsidRPr="006E6EE8">
        <w:instrText>ADDIN CSL_CITATION {"citationItems":[{"id":"ITEM-1","itemData":{"DOI":"10.1007/s00401-007-0327-1","ISSN":"00016322","PMID":"18075747","abstract":"The role of heterotopic (migratory) motoneurons (HMN) in the pathogenesis of spinal muscular atrophy (SMA) is still controversial. We examined the occurrence and amount of HMN in spinal cord tissue from eight children with SMA (six with SMA-I and two with SMA-II). All affected subjects were carrying a homozygous deletion of exon 7 in the SMN1 gene. Unlike controls, virtually free from HMN, all SMA subjects showed a significant number of HMN at all levels of the spinal cord. Heterotopic neurons were hyperchromatic, located mostly in the ventral white matter and had no axon or dendrites. More than half of the HMN were very undifferentiated, as judged from their lack of immunoreactivity for NeuN and MAP2 proteins. Small numbers of more differentiated heterotopic neurons were also found in the dorsal and lateral white matter region. As confirmed by ultrastructural analysis, in situ end labeling (ISEL) and CD68 immunoreactivity, HMN in the ventral outflow were found to have no synapses, to activate microglial cells, and to eventually die by necrosis. An unbiased quantitative analysis showed a significant negative correlation between age of SMA subjects (a reflection of the clinical severity) and the number of HMN. Subjects who died at older ages had increased number of GFAP-positive astrocytes. Complementing our previous report on motoneuron apoptosis within the ventral horns in SMA, we now propose that abnormal migration, differentiation, and lack of axonal outgrowth may induce motoneuron apoptosis predominantly during early stages, whereas a slower necrosis-like cell death of displaced motoneurons which \"escaped\" apoptosis characterizes later stages of SMA. © Springer-Verlag 2007.","author":[{"dropping-particle":"","family":"Simic","given":"Goran","non-dropping-particle":"","parse-names":false,"suffix":""},{"dropping-particle":"","family":"Mladinov","given":"Mihovil","non-dropping-particle":"","parse-names":false,"suffix":""},{"dropping-particle":"","family":"Simic","given":"Durdica Seso","non-dropping-particle":"","parse-names":false,"suffix":""},{"dropping-particle":"","family":"Milosevic","given":"Natasa Jovanov","non-dropping-particle":"","parse-names":false,"suffix":""},{"dropping-particle":"","family":"Islam","given":"Atiqul","non-dropping-particle":"","parse-names":false,"suffix":""},{"dropping-particle":"","family":"Pajtak","given":"Alen","non-dropping-particle":"","parse-names":false,"suffix":""},{"dropping-particle":"","family":"Barisic","given":"Nina","non-dropping-particle":"","parse-names":false,"suffix":""},{"dropping-particle":"","family":"Sertic","given":"Jadranka","non-dropping-particle":"","parse-names":false,"suffix":""},{"dropping-particle":"","family":"Lucassen","given":"Paul J.","non-dropping-particle":"","parse-names":false,"suffix":""},{"dropping-particle":"","family":"Hof","given":"Patrick R.","non-dropping-particle":"","parse-names":false,"suffix":""},{"dropping-particle":"","family":"Kruslin","given":"Bozo","non-dropping-particle":"","parse-names":false,"suffix":""}],"container-title":"Acta Neuropathologica","id":"ITEM-1","issue":"3","issued":{"date-parts":[["2008"]]},"page":"313-326","title":"Abnormal motoneuron migration, differentiation, and axon outgrowth in spinal muscular atrophy","type":"article-journal","volume":"115"},"uris":["http://www.mendeley.com/documents/?uuid=9e91d786-e9f6-44d0-9abd-7a93649311ee"]}],"mendeley":{"formattedCitation":"[41]","plainTextFormattedCitation":"[41]","previouslyFormattedCitation":"[41]"},"properties":{"noteIndex":0},"schema":"https://github.com/citation-style-language/schema/raw/master/csl-citation.json"}</w:instrText>
      </w:r>
      <w:r w:rsidRPr="006E6EE8">
        <w:fldChar w:fldCharType="separate"/>
      </w:r>
      <w:r w:rsidRPr="006E6EE8">
        <w:rPr>
          <w:noProof/>
        </w:rPr>
        <w:t>[41]</w:t>
      </w:r>
      <w:r w:rsidRPr="006E6EE8">
        <w:fldChar w:fldCharType="end"/>
      </w:r>
      <w:r w:rsidRPr="006E6EE8">
        <w:t xml:space="preserve"> whilst tissue necrosis was detected in a cohort of SMA patients </w:t>
      </w:r>
      <w:r w:rsidRPr="006E6EE8">
        <w:fldChar w:fldCharType="begin" w:fldLock="1"/>
      </w:r>
      <w:r w:rsidRPr="006E6EE8">
        <w:instrText>ADDIN CSL_CITATION {"citationItems":[{"id":"ITEM-1","itemData":{"DOI":"10.1016/j.jpeds.2009.01.071","ISBN":"6176321972","ISSN":"15378276","abstract":"Spinal muscular atrophy (SMA) is an important cause of death in children and SMA type I, also known as Werdnig-Hoffman disease, is the most severe form of this disease. We report 2 cases of infants with SMA I in whom a distal necrosis developed, a feature not previously reported. Poor perfusion, autonomic dysfunction, and position-dependent factors may all play a role in the development of this complication. Spinal","author":[{"dropping-particle":"","family":"Araujo","given":"Alexandra","non-dropping-particle":"","parse-names":false,"suffix":""},{"dropping-particle":"","family":"Araujo","given":"Mario","non-dropping-particle":"","parse-names":false,"suffix":""},{"dropping-particle":"","family":"Swoboda","given":"Kathryn J.","non-dropping-particle":"","parse-names":false,"suffix":""}],"container-title":"J Pediatr","id":"ITEM-1","issue":"2","issued":{"date-parts":[["2009"]]},"page":"292-294","title":"Vascular perfusion abnormalities in infants with Spinal Muscular Atrophy","type":"article-journal","volume":"155"},"uris":["http://www.mendeley.com/documents/?uuid=b8b005eb-9015-4e69-8284-470655badb29"]}],"mendeley":{"formattedCitation":"[42]","plainTextFormattedCitation":"[42]","previouslyFormattedCitation":"[42]"},"properties":{"noteIndex":0},"schema":"https://github.com/citation-style-language/schema/raw/master/csl-citation.json"}</w:instrText>
      </w:r>
      <w:r w:rsidRPr="006E6EE8">
        <w:fldChar w:fldCharType="separate"/>
      </w:r>
      <w:r w:rsidRPr="006E6EE8">
        <w:rPr>
          <w:noProof/>
        </w:rPr>
        <w:t>[42]</w:t>
      </w:r>
      <w:r w:rsidRPr="006E6EE8">
        <w:fldChar w:fldCharType="end"/>
      </w:r>
      <w:r w:rsidRPr="006E6EE8">
        <w:t xml:space="preserve"> and in the </w:t>
      </w:r>
      <w:r w:rsidRPr="006E6EE8">
        <w:rPr>
          <w:i/>
          <w:iCs/>
        </w:rPr>
        <w:t>Smn</w:t>
      </w:r>
      <w:r w:rsidRPr="006E6EE8">
        <w:rPr>
          <w:i/>
          <w:iCs/>
          <w:vertAlign w:val="superscript"/>
        </w:rPr>
        <w:t>2B/-</w:t>
      </w:r>
      <w:r w:rsidRPr="006E6EE8">
        <w:t xml:space="preserve"> mouse model of SMA </w:t>
      </w:r>
      <w:r w:rsidRPr="006E6EE8">
        <w:fldChar w:fldCharType="begin" w:fldLock="1"/>
      </w:r>
      <w:r w:rsidRPr="006E6EE8">
        <w:instrText>ADDIN CSL_CITATION {"citationItems":[{"id":"ITEM-1","itemData":{"DOI":"10.3233/jnd-200493","ISSN":"22143599","PMID":"32333548","abstract":"Spinal muscular atrophy (SMA) is a neuromuscular disorder affecting young children. While pre-clinical models of SMA show small spleens, the same is not true in humans. Here, we show by doppler ultrasonography decreased splenic blood flow in Smn2B/- mice. Further, AAV9-SMN gene therapy does not rescue the distal ear and tail necrosis nor the spleen size in these mice, suggesting that the latter is linked to a cardiovascular defect. Absence of smaller spleens in human patients is likely due to differences in presentation of defects in SMA between pre-clinical mouse models and human patients, particularly the susceptibility to cardiovascular issues.","author":[{"dropping-particle":"","family":"Deguise","given":"Marc-Olivier","non-dropping-particle":"","parse-names":false,"suffix":""},{"dropping-particle":"","family":"Beauvais","given":"Ariane","non-dropping-particle":"","parse-names":false,"suffix":""},{"dropping-particle":"","family":"Schneider","given":"Bernard L.","non-dropping-particle":"","parse-names":false,"suffix":""},{"dropping-particle":"","family":"Kothary","given":"Rashmi","non-dropping-particle":"","parse-names":false,"suffix":""}],"container-title":"Journal of Neuromuscular Diseases","id":"ITEM-1","issued":{"date-parts":[["2020"]]},"page":"1-8","title":"Blood Flow to the Spleen is Altered in a Mouse Model of Spinal Muscular Atrophy","type":"article-journal"},"uris":["http://www.mendeley.com/documents/?uuid=47ddfacf-533d-44c2-8f67-14f7846a0ff3"]}],"mendeley":{"formattedCitation":"[43]","plainTextFormattedCitation":"[43]","previouslyFormattedCitation":"[43]"},"properties":{"noteIndex":0},"schema":"https://github.com/citation-style-language/schema/raw/master/csl-citation.json"}</w:instrText>
      </w:r>
      <w:r w:rsidRPr="006E6EE8">
        <w:fldChar w:fldCharType="separate"/>
      </w:r>
      <w:r w:rsidRPr="006E6EE8">
        <w:rPr>
          <w:noProof/>
        </w:rPr>
        <w:t>[43]</w:t>
      </w:r>
      <w:r w:rsidRPr="006E6EE8">
        <w:fldChar w:fldCharType="end"/>
      </w:r>
      <w:r w:rsidRPr="006E6EE8">
        <w:t xml:space="preserve">. SMN is known to have a key role in protein homeostasis, and its role in autophagy has been scrutinized by several studies (reviewed in </w:t>
      </w:r>
      <w:r w:rsidRPr="006E6EE8">
        <w:fldChar w:fldCharType="begin" w:fldLock="1"/>
      </w:r>
      <w:r w:rsidRPr="006E6EE8">
        <w:instrText>ADDIN CSL_CITATION {"citationItems":[{"id":"ITEM-1","itemData":{"DOI":"10.1007/s00018-018-2849-1","ISBN":"0123456789","ISSN":"14209071","abstract":"Ever since loss of survival motor neuron (SMN) protein was identified as the direct cause of the childhood inherited neurodegenerative disorder spinal muscular atrophy, significant efforts have been made to reveal the molecular functions of this ubiquitously expressed protein. Resulting research demonstrated that SMN plays important roles in multiple fundamental cellular homeostatic pathways, including a well-characterised role in the assembly of the spliceosome and biogenesis of ribonucleoproteins. More recent studies have shown that SMN is also involved in other housekeeping processes, including mRNA trafficking and local translation, cytoskeletal dynamics, endocytosis and autophagy. Moreover, SMN has been shown to influence mitochondria and bioenergetic pathways as well as regulate function of the ubiquitin–proteasome system. In this review, we summarise these diverse functions of SMN, confirming its key role in maintenance of the homeostatic environment of the cell.","author":[{"dropping-particle":"","family":"Chaytow","given":"Helena","non-dropping-particle":"","parse-names":false,"suffix":""},{"dropping-particle":"","family":"Huang","given":"Yu Ting","non-dropping-particle":"","parse-names":false,"suffix":""},{"dropping-particle":"","family":"Gillingwater","given":"Thomas H.","non-dropping-particle":"","parse-names":false,"suffix":""},{"dropping-particle":"","family":"Faller","given":"Kiterie M.E.","non-dropping-particle":"","parse-names":false,"suffix":""}],"container-title":"Cellular and Molecular Life Sciences","id":"ITEM-1","issue":"21","issued":{"date-parts":[["2018"]]},"page":"3877-3894","publisher":"Springer International Publishing","title":"The role of survival motor neuron protein (SMN) in protein homeostasis","type":"article-journal","volume":"75"},"uris":["http://www.mendeley.com/documents/?uuid=2c1f2c50-9c5d-40b6-883d-4ec7e146ae9a"]}],"mendeley":{"formattedCitation":"[44]","plainTextFormattedCitation":"[44]","previouslyFormattedCitation":"[44]"},"properties":{"noteIndex":0},"schema":"https://github.com/citation-style-language/schema/raw/master/csl-citation.json"}</w:instrText>
      </w:r>
      <w:r w:rsidRPr="006E6EE8">
        <w:fldChar w:fldCharType="separate"/>
      </w:r>
      <w:r w:rsidRPr="006E6EE8">
        <w:rPr>
          <w:noProof/>
        </w:rPr>
        <w:t>[44]</w:t>
      </w:r>
      <w:r w:rsidRPr="006E6EE8">
        <w:fldChar w:fldCharType="end"/>
      </w:r>
      <w:r w:rsidRPr="006E6EE8">
        <w:t xml:space="preserve">), but the interaction between SMN and autophagy remains unresolved with current findings suggesting that autophagy can be increased or decreased in SMA. The biological processes of prominence in the SMA I fibroblasts are typical of those already associated with SMA, perhaps reflecting the focus of previous research on severe forms of SMA. Energy production is related to mitochondrial dysfunction which has been demonstrated in studies involving induced pluripotent stem cells (iPSCs) differentiated from the fibroblasts of SMA I patients into spinal motor neurons </w:t>
      </w:r>
      <w:r w:rsidRPr="006E6EE8">
        <w:fldChar w:fldCharType="begin" w:fldLock="1"/>
      </w:r>
      <w:r w:rsidRPr="006E6EE8">
        <w:instrText>ADDIN CSL_CITATION {"citationItems":[{"id":"ITEM-1","itemData":{"DOI":"10.1002/jnr.22106","ISSN":"03604012","PMID":"19437551","abstract":"Mutations of the survival motor neuron (SMN) gene in spinal muscular atrophy (SMA) lead to anterior horn cell death. The cause is unknown, but motor neurons depend substantially on mitochondrial oxidative phosphorylation (OxPhos) for normal function. Therefore, mitochondrial parameters were analyzed in an SMA cell culture model using small interfering RNA (siRNA) transfection that decreased Smn expression in NSC-34 cells to disease levels. Smn siRNA knock-down resulted in 35% and 66% reduced Smn protein levels 48 and 72 hr posttransfection, respectively. ATP levels were reduced by 14% and 26% at 48 and 72 hr posttransfection, respectively, suggesting decreased ATP production or increased energy demand in neural cells. Smn knock-down resulted in increased mitochondrial membrane potential and increased free radical production. Changes in activity of cytochrome c oxidase (CcO), a key OxPhos component, were observed at 72 hr with a 26% increase in oxygen consumption. This suggests a compensatory activation of the aerobic pathway, resulting in increased mitochondrial membrane potentials, a condition known to lead to the observed increase in free radical production. Further testing suggested that changes in ATP at 24 hr precede observable indices of cell injury at 48 hr. We propose that energy paucity and increased mitochondrial free radical production lead to accumulated cell damage and eventual cell death in Smn-depleted neural cells. Mitochondrial dysfunction may therefore be important in SMA pathology and may represent a new therapeutic target. © 2009 Wiley-Liss, Inc.","author":[{"dropping-particle":"","family":"Acsadi","given":"Gyula","non-dropping-particle":"","parse-names":false,"suffix":""},{"dropping-particle":"","family":"Lee","given":"Icksoo","non-dropping-particle":"","parse-names":false,"suffix":""},{"dropping-particle":"","family":"Li","given":"Xingli","non-dropping-particle":"","parse-names":false,"suffix":""},{"dropping-particle":"","family":"Khaidakov","given":"Magomed","non-dropping-particle":"","parse-names":false,"suffix":""},{"dropping-particle":"","family":"Pecinova","given":"Alena","non-dropping-particle":"","parse-names":false,"suffix":""},{"dropping-particle":"","family":"Parker","given":"Graham C.","non-dropping-particle":"","parse-names":false,"suffix":""},{"dropping-particle":"","family":"Hüttemann","given":"Maik","non-dropping-particle":"","parse-names":false,"suffix":""}],"container-title":"Journal of Neuroscience Research","id":"ITEM-1","issue":"12","issued":{"date-parts":[["2009"]]},"page":"2748-2756","title":"Mitochondrial dysfunction in a neural cell model of spinal muscular atrophy","type":"article-journal","volume":"87"},"uris":["http://www.mendeley.com/documents/?uuid=16159e8f-f443-41a9-89c4-81014b779818"]}],"mendeley":{"formattedCitation":"[45]","plainTextFormattedCitation":"[45]","previouslyFormattedCitation":"[45]"},"properties":{"noteIndex":0},"schema":"https://github.com/citation-style-language/schema/raw/master/csl-citation.json"}</w:instrText>
      </w:r>
      <w:r w:rsidRPr="006E6EE8">
        <w:fldChar w:fldCharType="separate"/>
      </w:r>
      <w:r w:rsidRPr="006E6EE8">
        <w:rPr>
          <w:noProof/>
        </w:rPr>
        <w:t>[45]</w:t>
      </w:r>
      <w:r w:rsidRPr="006E6EE8">
        <w:fldChar w:fldCharType="end"/>
      </w:r>
      <w:r w:rsidRPr="006E6EE8">
        <w:t xml:space="preserve">, primary murine motor neurons </w:t>
      </w:r>
      <w:r w:rsidRPr="006E6EE8">
        <w:fldChar w:fldCharType="begin" w:fldLock="1"/>
      </w:r>
      <w:r w:rsidRPr="006E6EE8">
        <w:instrText>ADDIN CSL_CITATION {"citationItems":[{"id":"ITEM-1","itemData":{"DOI":"10.1186/s40478-020-01101-6","ISSN":"20515960","PMID":"33353564","abstract":"Spinal muscular atrophy (SMA) is a neuromuscular disease characterized by loss of lower motor neurons, which leads to proximal muscle weakness and atrophy. SMA is caused by reduced survival motor neuron (SMN) protein levels due to biallelic deletions or mutations in the SMN1 gene. When SMN levels fall under a certain threshold, a plethora of cellular pathways are disturbed, including RNA processing, protein synthesis, metabolic defects, and mitochondrial function. Dysfunctional mitochondria can harm cells by decreased ATP production and increased oxidative stress due to elevated cellular levels of reactive oxygen species (ROS). Since neurons mainly produce energy via mitochondrial oxidative phosphorylation, restoring metabolic/oxidative homeostasis might rescue SMA pathology. Here, we report, based on proteome analysis, that SMA motor neurons show disturbed energy homeostasis due to dysfunction of mitochondrial complex I. This results in a lower basal ATP concentration and higher ROS production that causes an increase of protein carbonylation and impaired protein synthesis in SMA motor neurons. Counteracting these cellular impairments with pyruvate reduces elevated ROS levels, increases ATP and SMN protein levels in SMA motor neurons. Furthermore, we found that pyruvate-mediated SMN protein synthesis is mTOR-dependent. Most importantly, we showed that ROS regulates protein synthesis at the translational initiation step, which is impaired in SMA. As many neuropathies share pathological phenotypes such as dysfunctional mitochondria, excessive ROS, and impaired protein synthesis, our findings suggest new molecular interactions among these pathways. Additionally, counteracting these impairments by reducing ROS and increasing ATP might be beneficial for motor neuron survival in SMA patients.","author":[{"dropping-particle":"","family":"Thelen","given":"Maximilian Paul","non-dropping-particle":"","parse-names":false,"suffix":""},{"dropping-particle":"","family":"Wirth","given":"Brunhilde","non-dropping-particle":"","parse-names":false,"suffix":""},{"dropping-particle":"","family":"Kye","given":"Min Jeong","non-dropping-particle":"","parse-names":false,"suffix":""}],"container-title":"Acta Neuropathologica Communications","id":"ITEM-1","issue":"1","issued":{"date-parts":[["2020"]]},"page":"1-19","publisher":"BioMed Central","title":"Mitochondrial defects in the respiratory complex I contribute to impaired translational initiation via ROS and energy homeostasis in SMA motor neurons","type":"article-journal","volume":"8"},"uris":["http://www.mendeley.com/documents/?uuid=7fff7911-b532-44c2-9b9a-5e4170b72f07"]}],"mendeley":{"formattedCitation":"[46]","plainTextFormattedCitation":"[46]","previouslyFormattedCitation":"[46]"},"properties":{"noteIndex":0},"schema":"https://github.com/citation-style-language/schema/raw/master/csl-citation.json"}</w:instrText>
      </w:r>
      <w:r w:rsidRPr="006E6EE8">
        <w:fldChar w:fldCharType="separate"/>
      </w:r>
      <w:r w:rsidRPr="006E6EE8">
        <w:rPr>
          <w:noProof/>
        </w:rPr>
        <w:t>[46]</w:t>
      </w:r>
      <w:r w:rsidRPr="006E6EE8">
        <w:fldChar w:fldCharType="end"/>
      </w:r>
      <w:r w:rsidRPr="006E6EE8">
        <w:t xml:space="preserve">, SMA mouse models </w:t>
      </w:r>
      <w:r w:rsidRPr="006E6EE8">
        <w:fldChar w:fldCharType="begin" w:fldLock="1"/>
      </w:r>
      <w:r w:rsidRPr="006E6EE8">
        <w:instrText>ADDIN CSL_CITATION {"citationItems":[{"id":"ITEM-1","itemData":{"DOI":"10.1093/hmg/ddw262","ISBN":"1460-2083; 0964-6906","ISSN":"14602083","PMID":"27488123","abstract":"Spinal muscular atrophy (SMA), the leading genetic cause of infant mortality, predominantly affects high metabolic tissues including motor neurons, skeletal muscles and the heart. Although the genetic cause of SMA has been identified, mechanisms underlying tissue-specific vulnerability are not well understood. To study these mechanisms, we carried out a deep sequencing analysis of the transcriptome of spinal motor neurons in a SMA mouse model, in which we unexpectedly found changes in many genes associated with mitochondrial bioenergetics. Importantly, functional measurement of mitochondrial activities showed decreased basal and maximal mitochondrial respiration in motor neurons from SMA mice. Using a reduction-oxidation sensitive GFP and fluorescence sensors specifically targeted to mitochondria, we found increased oxidative stress level and impaired mitochondrial membrane potential in motor neurons affected by SMA. In addition, mitochondrial mobility was impaired in SMA disease conditions, with decreased retrograde transport but no effect on anterograde transport. We also found significantly increased fragmentation of mitochondrial network in primary motor neurons from SMA mice, with no change in mitochondria density. Electron microscopy study of SMA mouse spinal cord revealed mitochondria fragmentation, edema and concentric lamellar inclusions in motor neurons affected by the disease. Intriguingly, these functional and structural deficiencies in the SMA mouse model occur during the presymptomatic stage of disease, suggesting a role in initiating SMA. Altogether, our findings reveal a critical role for mitochondrial defects in SMA pathogenesis and suggest a novel target for improving tissue health in the disease.","author":[{"dropping-particle":"","family":"Miller","given":"Nimrod","non-dropping-particle":"","parse-names":false,"suffix":""},{"dropping-particle":"","family":"Shi","given":"Han","non-dropping-particle":"","parse-names":false,"suffix":""},{"dropping-particle":"","family":"Zelikovich","given":"Aaron S.","non-dropping-particle":"","parse-names":false,"suffix":""},{"dropping-particle":"","family":"Ma","given":"Yong Chao","non-dropping-particle":"","parse-names":false,"suffix":""}],"container-title":"Human Molecular Genetics","id":"ITEM-1","issue":"16","issued":{"date-parts":[["2016"]]},"page":"3395-3406","title":"Motor neuron mitochondrial dysfunction in spinal muscular atrophy","type":"article-journal","volume":"25"},"uris":["http://www.mendeley.com/documents/?uuid=22bdde97-00d1-43fc-bfd2-595a8e115389"]}],"mendeley":{"formattedCitation":"[47]","plainTextFormattedCitation":"[47]","previouslyFormattedCitation":"[47]"},"properties":{"noteIndex":0},"schema":"https://github.com/citation-style-language/schema/raw/master/csl-citation.json"}</w:instrText>
      </w:r>
      <w:r w:rsidRPr="006E6EE8">
        <w:fldChar w:fldCharType="separate"/>
      </w:r>
      <w:r w:rsidRPr="006E6EE8">
        <w:rPr>
          <w:noProof/>
        </w:rPr>
        <w:t>[47]</w:t>
      </w:r>
      <w:r w:rsidRPr="006E6EE8">
        <w:fldChar w:fldCharType="end"/>
      </w:r>
      <w:r w:rsidRPr="006E6EE8">
        <w:t xml:space="preserve"> and in muscle biopsies from SMA I, II and III patients </w:t>
      </w:r>
      <w:r w:rsidRPr="006E6EE8">
        <w:fldChar w:fldCharType="begin" w:fldLock="1"/>
      </w:r>
      <w:r w:rsidRPr="006E6EE8">
        <w:instrText>ADDIN CSL_CITATION {"citationItems":[{"id":"ITEM-1","itemData":{"DOI":"10.1001/jamaneurol.2015.0178","ISBN":"0000000000000","ISSN":"1527-5418","PMID":"24655651","author":[{"dropping-particle":"","family":"Ripolone","given":"M.","non-dropping-particle":"","parse-names":false,"suffix":""},{"dropping-particle":"","family":"Ronchi","given":"D.","non-dropping-particle":"","parse-names":false,"suffix":""},{"dropping-particle":"","family":"Violano","given":"R.","non-dropping-particle":"","parse-names":false,"suffix":""},{"dropping-particle":"","family":"Vallejo","given":"D.","non-dropping-particle":"","parse-names":false,"suffix":""},{"dropping-particle":"","family":"Fagiolari","given":"G.","non-dropping-particle":"","parse-names":false,"suffix":""},{"dropping-particle":"","family":"Barca","given":"E.","non-dropping-particle":"","parse-names":false,"suffix":""},{"dropping-particle":"","family":"Lucchini","given":"V.","non-dropping-particle":"","parse-names":false,"suffix":""},{"dropping-particle":"","family":"Colombo","given":"I.","non-dropping-particle":"","parse-names":false,"suffix":""},{"dropping-particle":"","family":"Villa","given":"L.","non-dropping-particle":"","parse-names":false,"suffix":""},{"dropping-particle":"","family":"Berardinelli","given":"A.","non-dropping-particle":"","parse-names":false,"suffix":""},{"dropping-particle":"","family":"Balottin","given":"U.","non-dropping-particle":"","parse-names":false,"suffix":""},{"dropping-particle":"","family":"Morandi","given":"L.","non-dropping-particle":"","parse-names":false,"suffix":""},{"dropping-particle":"","family":"Mora","given":"M.","non-dropping-particle":"","parse-names":false,"suffix":""},{"dropping-particle":"","family":"Bordoni","given":"A.","non-dropping-particle":"","parse-names":false,"suffix":""},{"dropping-particle":"","family":"Fortunato","given":"F.","non-dropping-particle":"","parse-names":false,"suffix":""},{"dropping-particle":"","family":"Corti","given":"Stefania","non-dropping-particle":"","parse-names":false,"suffix":""},{"dropping-particle":"","family":"Parisi","given":"D.","non-dropping-particle":"","parse-names":false,"suffix":""},{"dropping-particle":"","family":"Toscano","given":"A.","non-dropping-particle":"","parse-names":false,"suffix":""},{"dropping-particle":"","family":"Sciacco","given":"M.","non-dropping-particle":"","parse-names":false,"suffix":""},{"dropping-particle":"","family":"DiMauro","given":"S.","non-dropping-particle":"","parse-names":false,"suffix":""},{"dropping-particle":"","family":"Comi","given":"G.P.","non-dropping-particle":"","parse-names":false,"suffix":""},{"dropping-particle":"","family":"Moggio","given":"M","non-dropping-particle":"","parse-names":false,"suffix":""}],"container-title":"JAMA Neurology","id":"ITEM-1","issue":"6","issued":{"date-parts":[["2015"]]},"page":"666-675","title":"Impaired Muscle mitochondrial Biogenesis and Myogenesis in Spinal Muscular Atrophy","type":"article-journal","volume":"72"},"uris":["http://www.mendeley.com/documents/?uuid=0c4c346c-9f0c-4095-a04f-f41dfac00fd8"]}],"mendeley":{"formattedCitation":"[48]","plainTextFormattedCitation":"[48]","previouslyFormattedCitation":"[48]"},"properties":{"noteIndex":0},"schema":"https://github.com/citation-style-language/schema/raw/master/csl-citation.json"}</w:instrText>
      </w:r>
      <w:r w:rsidRPr="006E6EE8">
        <w:fldChar w:fldCharType="separate"/>
      </w:r>
      <w:r w:rsidRPr="006E6EE8">
        <w:rPr>
          <w:noProof/>
        </w:rPr>
        <w:t>[48]</w:t>
      </w:r>
      <w:r w:rsidRPr="006E6EE8">
        <w:fldChar w:fldCharType="end"/>
      </w:r>
      <w:r w:rsidRPr="006E6EE8">
        <w:t xml:space="preserve"> with impaired mitochondrial biogenesis being more prominent in the SMA I and least in the SMA III muscles. Ubiquitin-dependent pathways have been shown to be impaired in several models of SMA </w:t>
      </w:r>
      <w:r w:rsidRPr="006E6EE8">
        <w:fldChar w:fldCharType="begin" w:fldLock="1"/>
      </w:r>
      <w:r w:rsidRPr="006E6EE8">
        <w:instrText>ADDIN CSL_CITATION {"citationItems":[{"id":"ITEM-1","itemData":{"DOI":"10.1172/JCI71318DS1","ISBN":"1558-8238 (Electronic)\\r0021-9738 (Linking)","ISSN":"1558-8238","PMID":"24590288","abstract":"The autosomal recessive neurodegenerative disease spinal muscular atrophy (SMA) results from low levels of survival motor neuron (SMN) protein; however, it is unclear how reduced SMN promotes SMA develop- ment. Here, we determined that ubiquitin-dependent pathways regulate neuromuscular pathology in SMA. Using mouse models of SMA, we observed widespread perturbations in ubiquitin homeostasis, including reduced levels of ubiquitin-like modifier activating enzyme 1 (UBA1). SMN physically interacted with UBA1 in neurons, and disruption of Uba1 mRNA splicing was observed in the spinal cords of SMA mice exhibiting disease symptoms. Pharmacological or genetic suppression of UBA1 was sufficient to recapitulate an SMA- like neuromuscular pathology in zebrafish, suggesting that UBA1 directly contributes to disease pathogenesis. Dysregulation of UBA1 and subsequent ubiquitination pathways led to β-catenin accumulation, and pharma- cological inhibition of β-catenin robustly ameliorated neuromuscular pathology in zebrafish, Drosophila, and mouse models of SMA. UBA1-associated disruption of β-catenin was restricted to the neuromuscular system in SMA mice; therefore, pharmacological inhibition of β-catenin in these animals failed to prevent systemic pathology in peripheral tissues and organs, indicating fundamental molecular differences between neuromus- cular and systemic SMA pathology. Our data indicate that SMA-associated reduction of UBA1 contributes to neuromuscular pathogenesis through disruption of ubiquitin homeostasis and subsequent β-catenin signal- ing, highlighting ubiquitin homeostasis and β-catenin as potential therapeutic targets for SMA. Introduction","author":[{"dropping-particle":"","family":"Wishart","given":"T. M.","non-dropping-particle":"","parse-names":false,"suffix":""},{"dropping-particle":"","family":"Mutsaers","given":"C. A.","non-dropping-particle":"","parse-names":false,"suffix":""},{"dropping-particle":"","family":"Riessland","given":"M.","non-dropping-particle":"","parse-names":false,"suffix":""},{"dropping-particle":"","family":"Reimer","given":"M. M.","non-dropping-particle":"","parse-names":false,"suffix":""},{"dropping-particle":"","family":"Hunter","given":"G.","non-dropping-particle":"","parse-names":false,"suffix":""},{"dropping-particle":"","family":"Hannam","given":"M. L.","non-dropping-particle":"","parse-names":false,"suffix":""},{"dropping-particle":"","family":"Eaton","given":"S. L.","non-dropping-particle":"","parse-names":false,"suffix":""},{"dropping-particle":"","family":"Fuller","given":"H. R.","non-dropping-particle":"","parse-names":false,"suffix":""},{"dropping-particle":"","family":"Roche","given":"S. L.","non-dropping-particle":"","parse-names":false,"suffix":""},{"dropping-particle":"","family":"Somers","given":"E.","non-dropping-particle":"","parse-names":false,"suffix":""},{"dropping-particle":"","family":"Morse","given":"R.","non-dropping-particle":"","parse-names":false,"suffix":""},{"dropping-particle":"","family":"Young","given":"P. J.","non-dropping-particle":"","parse-names":false,"suffix":""},{"dropping-particle":"","family":"Lamont","given":"D. J.","non-dropping-particle":"","parse-names":false,"suffix":""},{"dropping-particle":"","family":"Hammerschmidt","given":"M.","non-dropping-particle":"","parse-names":false,"suffix":""},{"dropping-particle":"","family":"Joshi","given":"A.","non-dropping-particle":"","parse-names":false,"suffix":""},{"dropping-particle":"","family":"Hohenstein","given":"P.","non-dropping-particle":"","parse-names":false,"suffix":""},{"dropping-particle":"","family":"Morris","given":"G. E.","non-dropping-particle":"","parse-names":false,"suffix":""},{"dropping-particle":"","family":"Parson","given":"S. H.","non-dropping-particle":"","parse-names":false,"suffix":""},{"dropping-particle":"","family":"Skehel","given":"P. A.","non-dropping-particle":"","parse-names":false,"suffix":""},{"dropping-particle":"","family":"Becker","given":"T.","non-dropping-particle":"","parse-names":false,"suffix":""},{"dropping-particle":"","family":"Robinson","given":"I. M.","non-dropping-particle":"","parse-names":false,"suffix":""},{"dropping-particle":"","family":"Becker","given":"C. G.","non-dropping-particle":"","parse-names":false,"suffix":""},{"dropping-particle":"","family":"Wirth","given":"B.","non-dropping-particle":"","parse-names":false,"suffix":""},{"dropping-particle":"","family":"Gillingwater","given":"T.H.","non-dropping-particle":"","parse-names":false,"suffix":""}],"container-title":"The Journal of Clinical Investigation","id":"ITEM-1","issue":"4","issued":{"date-parts":[["2014"]]},"page":"1821-1834","title":"Dysregulation of ubiquitin homeostasis and beta-catenin signalling promote spinal muscular atrophy","type":"article-journal","volume":"124"},"uris":["http://www.mendeley.com/documents/?uuid=2828ae01-ffca-406d-b88c-391200407ecd"]}],"mendeley":{"formattedCitation":"[49]","plainTextFormattedCitation":"[49]","previouslyFormattedCitation":"[49]"},"properties":{"noteIndex":0},"schema":"https://github.com/citation-style-language/schema/raw/master/csl-citation.json"}</w:instrText>
      </w:r>
      <w:r w:rsidRPr="006E6EE8">
        <w:fldChar w:fldCharType="separate"/>
      </w:r>
      <w:r w:rsidRPr="006E6EE8">
        <w:rPr>
          <w:noProof/>
        </w:rPr>
        <w:t>[49]</w:t>
      </w:r>
      <w:r w:rsidRPr="006E6EE8">
        <w:fldChar w:fldCharType="end"/>
      </w:r>
      <w:r w:rsidRPr="006E6EE8">
        <w:t xml:space="preserve"> and although the mechanisms triggered by ubiquitination in RNA damage and repair are not yet fully understood, it is becoming clear that ubiquitination contributes to degradation of aberrant mRNA and nascent peptides, and to ribosome rescue (reviewed by </w:t>
      </w:r>
      <w:r w:rsidRPr="006E6EE8">
        <w:fldChar w:fldCharType="begin" w:fldLock="1"/>
      </w:r>
      <w:r w:rsidRPr="006E6EE8">
        <w:instrText>ADDIN CSL_CITATION {"citationItems":[{"id":"ITEM-1","itemData":{"DOI":"10.1074/jbc.REV119.006513","ISSN":"1083351X","PMID":"31439666","abstract":"Similar to many other biological molecules, RNA is vulnerable to chemical insults from endogenous and exogenous sources. Noxious agents such as reactive oxygen species or alkylating chemicals have the potential to profoundly affect the chemical properties and hence the function of RNA molecules in the cell. Given the central role of RNA in many fundamental biological processes, including translation and splicing, changes to its chemical composition can have a detrimental impact on cellular fitness, with some evidence suggesting that RNA damage has roles in diseases such as neurodegenerative disorders. We are only just beginning to learn about how cells cope with RNA damage, with recent studies revealing the existence of quality-control processes that are capable of recognizing and degrading or repairing damaged RNA. Here, we begin by reviewing the most abundant types of chemical damage to RNA, including oxidation and alkylation. Focusing on mRNA damage, we then discuss how alterations to this species of RNA affect its function and how cells respond to these challenges to maintain proteostasis. Finally, we briefly discuss how chemical damage to noncoding RNAs such as rRNA, tRNA, small nuclear RNA, and small nucleolar RNA is likely to affect their function.","author":[{"dropping-particle":"","family":"Yan","given":"Liewei L.","non-dropping-particle":"","parse-names":false,"suffix":""},{"dropping-particle":"","family":"Zaher","given":"Hani S.","non-dropping-particle":"","parse-names":false,"suffix":""}],"container-title":"Journal of Biological Chemistry","id":"ITEM-1","issue":"41","issued":{"date-parts":[["2019"]]},"page":"15158-15171","title":"How do cells cope with RNA damage and its consequences?","type":"article-journal","volume":"294"},"uris":["http://www.mendeley.com/documents/?uuid=490724ad-e636-4432-be15-7ac89447e15f"]}],"mendeley":{"formattedCitation":"[50]","plainTextFormattedCitation":"[50]","previouslyFormattedCitation":"[50]"},"properties":{"noteIndex":0},"schema":"https://github.com/citation-style-language/schema/raw/master/csl-citation.json"}</w:instrText>
      </w:r>
      <w:r w:rsidRPr="006E6EE8">
        <w:fldChar w:fldCharType="separate"/>
      </w:r>
      <w:r w:rsidRPr="006E6EE8">
        <w:rPr>
          <w:noProof/>
        </w:rPr>
        <w:t>[50]</w:t>
      </w:r>
      <w:r w:rsidRPr="006E6EE8">
        <w:fldChar w:fldCharType="end"/>
      </w:r>
      <w:r w:rsidRPr="006E6EE8">
        <w:t xml:space="preserve">). Evidence for altered gene expression in SMA which impacts on protein synthesis is substantial (reviewed in </w:t>
      </w:r>
      <w:r w:rsidRPr="006E6EE8">
        <w:fldChar w:fldCharType="begin" w:fldLock="1"/>
      </w:r>
      <w:r w:rsidRPr="006E6EE8">
        <w:instrText>ADDIN CSL_CITATION {"citationItems":[{"id":"ITEM-1","itemData":{"DOI":"10.1007/s00018-018-2849-1","ISBN":"0123456789","ISSN":"14209071","abstract":"Ever since loss of survival motor neuron (SMN) protein was identified as the direct cause of the childhood inherited neurodegenerative disorder spinal muscular atrophy, significant efforts have been made to reveal the molecular functions of this ubiquitously expressed protein. Resulting research demonstrated that SMN plays important roles in multiple fundamental cellular homeostatic pathways, including a well-characterised role in the assembly of the spliceosome and biogenesis of ribonucleoproteins. More recent studies have shown that SMN is also involved in other housekeeping processes, including mRNA trafficking and local translation, cytoskeletal dynamics, endocytosis and autophagy. Moreover, SMN has been shown to influence mitochondria and bioenergetic pathways as well as regulate function of the ubiquitin–proteasome system. In this review, we summarise these diverse functions of SMN, confirming its key role in maintenance of the homeostatic environment of the cell.","author":[{"dropping-particle":"","family":"Chaytow","given":"Helena","non-dropping-particle":"","parse-names":false,"suffix":""},{"dropping-particle":"","family":"Huang","given":"Yu Ting","non-dropping-particle":"","parse-names":false,"suffix":""},{"dropping-particle":"","family":"Gillingwater","given":"Thomas H.","non-dropping-particle":"","parse-names":false,"suffix":""},{"dropping-particle":"","family":"Faller","given":"Kiterie M.E.","non-dropping-particle":"","parse-names":false,"suffix":""}],"container-title":"Cellular and Molecular Life Sciences","id":"ITEM-1","issue":"21","issued":{"date-parts":[["2018"]]},"page":"3877-3894","publisher":"Springer International Publishing","title":"The role of survival motor neuron protein (SMN) in protein homeostasis","type":"article-journal","volume":"75"},"uris":["http://www.mendeley.com/documents/?uuid=2c1f2c50-9c5d-40b6-883d-4ec7e146ae9a"]}],"mendeley":{"formattedCitation":"[44]","plainTextFormattedCitation":"[44]","previouslyFormattedCitation":"[44]"},"properties":{"noteIndex":0},"schema":"https://github.com/citation-style-language/schema/raw/master/csl-citation.json"}</w:instrText>
      </w:r>
      <w:r w:rsidRPr="006E6EE8">
        <w:fldChar w:fldCharType="separate"/>
      </w:r>
      <w:r w:rsidRPr="006E6EE8">
        <w:rPr>
          <w:noProof/>
        </w:rPr>
        <w:t>[44]</w:t>
      </w:r>
      <w:r w:rsidRPr="006E6EE8">
        <w:fldChar w:fldCharType="end"/>
      </w:r>
      <w:r w:rsidRPr="006E6EE8">
        <w:t xml:space="preserve">). A </w:t>
      </w:r>
      <w:r w:rsidRPr="006E6EE8">
        <w:lastRenderedPageBreak/>
        <w:t xml:space="preserve">study using shRNA against </w:t>
      </w:r>
      <w:r w:rsidRPr="006E6EE8">
        <w:rPr>
          <w:i/>
          <w:iCs/>
        </w:rPr>
        <w:t xml:space="preserve">Smn </w:t>
      </w:r>
      <w:r w:rsidRPr="006E6EE8">
        <w:t>in rat primary neuron cultures, neurons from a severe mouse model of SMA (</w:t>
      </w:r>
      <w:r w:rsidRPr="006E6EE8">
        <w:rPr>
          <w:i/>
          <w:iCs/>
        </w:rPr>
        <w:t>Smn</w:t>
      </w:r>
      <w:r w:rsidRPr="006E6EE8">
        <w:rPr>
          <w:i/>
          <w:iCs/>
          <w:vertAlign w:val="superscript"/>
        </w:rPr>
        <w:t>-/-</w:t>
      </w:r>
      <w:r w:rsidRPr="006E6EE8">
        <w:rPr>
          <w:i/>
          <w:iCs/>
        </w:rPr>
        <w:t>;SMN2</w:t>
      </w:r>
      <w:r w:rsidRPr="006E6EE8">
        <w:rPr>
          <w:i/>
          <w:iCs/>
          <w:vertAlign w:val="superscript"/>
        </w:rPr>
        <w:t>tg/0</w:t>
      </w:r>
      <w:r w:rsidRPr="006E6EE8">
        <w:t xml:space="preserve">) and fibroblast cell lines derived from SMA I patients also provides evidence for impaired </w:t>
      </w:r>
      <w:r w:rsidRPr="006E6EE8">
        <w:rPr>
          <w:i/>
          <w:iCs/>
        </w:rPr>
        <w:t>de novo</w:t>
      </w:r>
      <w:r w:rsidRPr="006E6EE8">
        <w:t xml:space="preserve"> protein synthesis efficiency related to reduced mTOR activity in SMA </w:t>
      </w:r>
      <w:r w:rsidRPr="006E6EE8">
        <w:fldChar w:fldCharType="begin" w:fldLock="1"/>
      </w:r>
      <w:r w:rsidRPr="006E6EE8">
        <w:instrText>ADDIN CSL_CITATION {"citationItems":[{"id":"ITEM-1","itemData":{"DOI":"10.1093/hmg/ddu350","ISSN":"14602083","PMID":"25055867","abstract":"Reduced expression of SMN protein causes spinal muscular atrophy (SMA), a neurodegenerative disorder leading to motor neuron dysfunction and loss. However, the molecular mechanisms by which SMN regulates neuronal dysfunction are not fully understood. Here, we report that reduced SMN protein level alters miRNA expression and distribution in neurons. In particular, miR-183 levels are increased in neurites of SMN-deficient neurons. We demonstrate that miR-183 regulates translation of mTor via direct binding to its 3' UTR. Interestingly, local axonal translation of mTor is reduced in SMN-deficient neurons, and this can be recovered by miR-183 inhibition. Finally, inhibition of miR-183 expression in the spinal cord of an SMA mouse model prolongs survival and improves motor function of Smn-mutant mice. Together, these observations suggest that axonal miRNAs and the mTOR pathway are previously unidentified molecular mechanisms contributing to SMA pathology.","author":[{"dropping-particle":"","family":"Kye","given":"Min J.eong","non-dropping-particle":"","parse-names":false,"suffix":""},{"dropping-particle":"","family":"Niederst","given":"Emily D.","non-dropping-particle":"","parse-names":false,"suffix":""},{"dropping-particle":"","family":"Wertz","given":"Mary H.","non-dropping-particle":"","parse-names":false,"suffix":""},{"dropping-particle":"","family":"Gonçalves","given":"Inês do Carmo G.","non-dropping-particle":"","parse-names":false,"suffix":""},{"dropping-particle":"","family":"Akten","given":"Bikem","non-dropping-particle":"","parse-names":false,"suffix":""},{"dropping-particle":"","family":"Dover","given":"Katarzyna Z.","non-dropping-particle":"","parse-names":false,"suffix":""},{"dropping-particle":"","family":"Peters","given":"Miriam","non-dropping-particle":"","parse-names":false,"suffix":""},{"dropping-particle":"","family":"Riessland","given":"Markus","non-dropping-particle":"","parse-names":false,"suffix":""},{"dropping-particle":"","family":"Neveu","given":"Pierre","non-dropping-particle":"","parse-names":false,"suffix":""},{"dropping-particle":"","family":"Wirth","given":"Brunhilde","non-dropping-particle":"","parse-names":false,"suffix":""},{"dropping-particle":"","family":"Kosik","given":"Kenneth S.","non-dropping-particle":"","parse-names":false,"suffix":""},{"dropping-particle":"","family":"Sardi","given":"S. Pablo","non-dropping-particle":"","parse-names":false,"suffix":""},{"dropping-particle":"","family":"Monani","given":"Umrao R.","non-dropping-particle":"","parse-names":false,"suffix":""},{"dropping-particle":"","family":"Passini","given":"Marco A.","non-dropping-particle":"","parse-names":false,"suffix":""},{"dropping-particle":"","family":"Sahin","given":"Mustafa","non-dropping-particle":"","parse-names":false,"suffix":""}],"container-title":"Human molecular genetics","id":"ITEM-1","issue":"23","issued":{"date-parts":[["2014"]]},"page":"6318-6331","title":"SMN regulates axonal local translation via miR-183/mTOR pathway","type":"article-journal","volume":"23"},"uris":["http://www.mendeley.com/documents/?uuid=44199394-7f48-485a-a005-2d6e65d48bca"]}],"mendeley":{"formattedCitation":"[51]","plainTextFormattedCitation":"[51]","previouslyFormattedCitation":"[51]"},"properties":{"noteIndex":0},"schema":"https://github.com/citation-style-language/schema/raw/master/csl-citation.json"}</w:instrText>
      </w:r>
      <w:r w:rsidRPr="006E6EE8">
        <w:fldChar w:fldCharType="separate"/>
      </w:r>
      <w:r w:rsidRPr="006E6EE8">
        <w:rPr>
          <w:noProof/>
        </w:rPr>
        <w:t>[51]</w:t>
      </w:r>
      <w:r w:rsidRPr="006E6EE8">
        <w:fldChar w:fldCharType="end"/>
      </w:r>
      <w:r w:rsidRPr="006E6EE8">
        <w:t xml:space="preserve">. Evidence is also building for the role of SMN in small nucleolar ribonucleoproteins (snoRNPs) assembly and metabolism </w:t>
      </w:r>
      <w:r w:rsidRPr="006E6EE8">
        <w:fldChar w:fldCharType="begin" w:fldLock="1"/>
      </w:r>
      <w:r w:rsidRPr="006E6EE8">
        <w:instrText>ADDIN CSL_CITATION {"citationItems":[{"id":"ITEM-1","itemData":{"DOI":"10.1007/s00018-018-2849-1","ISBN":"0123456789","ISSN":"14209071","abstract":"Ever since loss of survival motor neuron (SMN) protein was identified as the direct cause of the childhood inherited neurodegenerative disorder spinal muscular atrophy, significant efforts have been made to reveal the molecular functions of this ubiquitously expressed protein. Resulting research demonstrated that SMN plays important roles in multiple fundamental cellular homeostatic pathways, including a well-characterised role in the assembly of the spliceosome and biogenesis of ribonucleoproteins. More recent studies have shown that SMN is also involved in other housekeeping processes, including mRNA trafficking and local translation, cytoskeletal dynamics, endocytosis and autophagy. Moreover, SMN has been shown to influence mitochondria and bioenergetic pathways as well as regulate function of the ubiquitin–proteasome system. In this review, we summarise these diverse functions of SMN, confirming its key role in maintenance of the homeostatic environment of the cell.","author":[{"dropping-particle":"","family":"Chaytow","given":"Helena","non-dropping-particle":"","parse-names":false,"suffix":""},{"dropping-particle":"","family":"Huang","given":"Yu Ting","non-dropping-particle":"","parse-names":false,"suffix":""},{"dropping-particle":"","family":"Gillingwater","given":"Thomas H.","non-dropping-particle":"","parse-names":false,"suffix":""},{"dropping-particle":"","family":"Faller","given":"Kiterie M.E.","non-dropping-particle":"","parse-names":false,"suffix":""}],"container-title":"Cellular and Molecular Life Sciences","id":"ITEM-1","issue":"21","issued":{"date-parts":[["2018"]]},"page":"3877-3894","publisher":"Springer International Publishing","title":"The role of survival motor neuron protein (SMN) in protein homeostasis","type":"article-journal","volume":"75"},"uris":["http://www.mendeley.com/documents/?uuid=2c1f2c50-9c5d-40b6-883d-4ec7e146ae9a"]}],"mendeley":{"formattedCitation":"[44]","plainTextFormattedCitation":"[44]","previouslyFormattedCitation":"[44]"},"properties":{"noteIndex":0},"schema":"https://github.com/citation-style-language/schema/raw/master/csl-citation.json"}</w:instrText>
      </w:r>
      <w:r w:rsidRPr="006E6EE8">
        <w:fldChar w:fldCharType="separate"/>
      </w:r>
      <w:r w:rsidRPr="006E6EE8">
        <w:rPr>
          <w:noProof/>
        </w:rPr>
        <w:t>[44]</w:t>
      </w:r>
      <w:r w:rsidRPr="006E6EE8">
        <w:fldChar w:fldCharType="end"/>
      </w:r>
      <w:r w:rsidRPr="006E6EE8">
        <w:t xml:space="preserve">, and as snoRNPs are associated with RNA post-transcriptional modification this may explain the presence of this biological process for the SMA I fibroblast dataset. </w:t>
      </w:r>
    </w:p>
    <w:p w14:paraId="627A81B8" w14:textId="77777777" w:rsidR="00786B93" w:rsidRPr="006E6EE8" w:rsidRDefault="00786B93" w:rsidP="00595196">
      <w:pPr>
        <w:pStyle w:val="MDPI31text"/>
      </w:pPr>
      <w:r w:rsidRPr="006E6EE8">
        <w:t xml:space="preserve">Biological processes impacted in the SMA II fibroblast dataset included carbohydrate metabolism, cellular assembly and organisation, cell morphology, small molecule biochemistry and nucleic acid metabolism. Carbohydrate metabolism has been highlighted in two recent reviews </w:t>
      </w:r>
      <w:r w:rsidRPr="006E6EE8">
        <w:fldChar w:fldCharType="begin" w:fldLock="1"/>
      </w:r>
      <w:r w:rsidRPr="006E6EE8">
        <w:instrText>ADDIN CSL_CITATION {"citationItems":[{"id":"ITEM-1","itemData":{"DOI":"10.3390/nu12123842","ISSN":"20726643","PMID":"33339220","abstract":"Spinal muscular atrophy (SMA), the main genetic cause of infant death, is a neurodegenerative disease characterized by the selective loss of motor neurons in the anterior horn of the spinal cord, accompanied by muscle wasting. Pathomechanically, SMA is caused by low levels of the survival motor neuron protein (SMN) resulting from the loss of the SMN1 gene. However, emerging research extends the pathogenic effect of SMN deficiency beyond motor neurons. A variety of metabolic abnormalities, especially altered fatty acid metabolism and impaired glucose tolerance, has been described in isolated cases of SMA; therefore, the impact of SMN deficiency in metabolic abnormalities has been speculated. Although the life expectancy of these patients has increased due to novel disease-modifying therapies and standardization of care, understanding of the involvement of metabolism and nutrition in SMA is still limited. Optimal nutrition support and metabolic monitoring are essential for patients with SMA, and a comprehensive nutritional assessment can guide personalized nutritional therapy for this vulnerable population. It has recently been suggested that metabolomics studies before and after the onset of SMA in patients can provide valuable information about the direct or indirect effects of SMN deficiency on metabolic abnormalities. Furthermore, identifying and quantifying the specific metabolites in SMA patients may serve as an authentic biomarker or therapeutic target for SMA. Here, we review the main epidemiological and mechanistic findings that link metabolic changes to SMA and further discuss the principles of metabolomics as a novel approach to seek biomarkers and therapeutic insights in SMA.","author":[{"dropping-particle":"","family":"Li","given":"Yang Jean","non-dropping-particle":"","parse-names":false,"suffix":""},{"dropping-particle":"","family":"Chen","given":"Tai Heng","non-dropping-particle":"","parse-names":false,"suffix":""},{"dropping-particle":"","family":"Wu","given":"Yan Zhang","non-dropping-particle":"","parse-names":false,"suffix":""},{"dropping-particle":"","family":"Tseng","given":"Yung Hao","non-dropping-particle":"","parse-names":false,"suffix":""}],"container-title":"Nutrients","id":"ITEM-1","issue":"12","issued":{"date-parts":[["2020"]]},"page":"1-18","title":"Metabolic and nutritional issues associated with spinal muscular atrophy","type":"article-journal","volume":"12"},"uris":["http://www.mendeley.com/documents/?uuid=6b703434-ba6c-490e-9c46-f63643c2bae6"]},{"id":"ITEM-2","itemData":{"DOI":"10.3390/ijms22115913","ISSN":"14220067","PMID":"34072857","abstract":"Spinal muscular atrophy (SMA) is an autosomal recessive genetic disorder leading to paralysis, muscle atrophy, and death. Significant advances in antisense oligonucleotide treatment and gene therapy have made it possible for SMA patients to benefit from improvements in many aspects of the once devastating natural history of the disease. How the depletion of survival motor neuron (SMN) protein, the product of the gene implicated in the disease, leads to the consequent pathogenic changes remains unresolved. Over the past few years, evidence toward a potential contribution of gastrointestinal, metabolic, and endocrine defects to disease phenotype has surfaced. These findings ranged from disrupted body composition, gastrointestinal tract, fatty acid, glucose, amino acid, and hormonal regulation. Together, these changes could have a meaningful clinical impact on disease traits. However, it is currently unclear whether these findings are secondary to widespread denervation or unique to the SMA phenotype. This review provides an in-depth account of metabolism-related research available to date, with a discussion of unique features compared to other motor neuron and related disorders.","author":[{"dropping-particle":"","family":"Deguise","given":"Marc Olivier","non-dropping-particle":"","parse-names":false,"suffix":""},{"dropping-particle":"","family":"Chehade","given":"Lucia","non-dropping-particle":"","parse-names":false,"suffix":""},{"dropping-particle":"","family":"Kothary","given":"Rashmi","non-dropping-particle":"","parse-names":false,"suffix":""}],"container-title":"International Journal of Molecular Sciences","id":"ITEM-2","issue":"11","issued":{"date-parts":[["2021"]]},"page":"1-29","title":"Metabolic dysfunction in spinal muscular atrophy","type":"article-journal","volume":"22"},"uris":["http://www.mendeley.com/documents/?uuid=5b99e70d-0a0b-4b1a-81f8-6688c24caca3"]}],"mendeley":{"formattedCitation":"[52,53]","plainTextFormattedCitation":"[52,53]","previouslyFormattedCitation":"[52,53]"},"properties":{"noteIndex":0},"schema":"https://github.com/citation-style-language/schema/raw/master/csl-citation.json"}</w:instrText>
      </w:r>
      <w:r w:rsidRPr="006E6EE8">
        <w:fldChar w:fldCharType="separate"/>
      </w:r>
      <w:r w:rsidRPr="006E6EE8">
        <w:rPr>
          <w:noProof/>
        </w:rPr>
        <w:t>[52,53]</w:t>
      </w:r>
      <w:r w:rsidRPr="006E6EE8">
        <w:fldChar w:fldCharType="end"/>
      </w:r>
      <w:r w:rsidRPr="006E6EE8">
        <w:t xml:space="preserve"> with the former highlighting that impairment of glucose metabolism was initially realised in SMA patients with mild to intermediate SMA. Both cellular assembly and organisation, and cell morphology have been shown to be impacted in SMA with evidence for defects in neurite extension, growth cone formation and microtubule formation (reviewed </w:t>
      </w:r>
      <w:r w:rsidRPr="006E6EE8">
        <w:fldChar w:fldCharType="begin" w:fldLock="1"/>
      </w:r>
      <w:r w:rsidRPr="006E6EE8">
        <w:instrText>ADDIN CSL_CITATION {"citationItems":[{"id":"ITEM-1","itemData":{"DOI":"10.1007/s00018-018-2849-1","ISBN":"0123456789","ISSN":"14209071","abstract":"Ever since loss of survival motor neuron (SMN) protein was identified as the direct cause of the childhood inherited neurodegenerative disorder spinal muscular atrophy, significant efforts have been made to reveal the molecular functions of this ubiquitously expressed protein. Resulting research demonstrated that SMN plays important roles in multiple fundamental cellular homeostatic pathways, including a well-characterised role in the assembly of the spliceosome and biogenesis of ribonucleoproteins. More recent studies have shown that SMN is also involved in other housekeeping processes, including mRNA trafficking and local translation, cytoskeletal dynamics, endocytosis and autophagy. Moreover, SMN has been shown to influence mitochondria and bioenergetic pathways as well as regulate function of the ubiquitin–proteasome system. In this review, we summarise these diverse functions of SMN, confirming its key role in maintenance of the homeostatic environment of the cell.","author":[{"dropping-particle":"","family":"Chaytow","given":"Helena","non-dropping-particle":"","parse-names":false,"suffix":""},{"dropping-particle":"","family":"Huang","given":"Yu Ting","non-dropping-particle":"","parse-names":false,"suffix":""},{"dropping-particle":"","family":"Gillingwater","given":"Thomas H.","non-dropping-particle":"","parse-names":false,"suffix":""},{"dropping-particle":"","family":"Faller","given":"Kiterie M.E.","non-dropping-particle":"","parse-names":false,"suffix":""}],"container-title":"Cellular and Molecular Life Sciences","id":"ITEM-1","issue":"21","issued":{"date-parts":[["2018"]]},"page":"3877-3894","publisher":"Springer International Publishing","title":"The role of survival motor neuron protein (SMN) in protein homeostasis","type":"article-journal","volume":"75"},"uris":["http://www.mendeley.com/documents/?uuid=2c1f2c50-9c5d-40b6-883d-4ec7e146ae9a"]}],"mendeley":{"formattedCitation":"[44]","plainTextFormattedCitation":"[44]","previouslyFormattedCitation":"[44]"},"properties":{"noteIndex":0},"schema":"https://github.com/citation-style-language/schema/raw/master/csl-citation.json"}</w:instrText>
      </w:r>
      <w:r w:rsidRPr="006E6EE8">
        <w:fldChar w:fldCharType="separate"/>
      </w:r>
      <w:r w:rsidRPr="006E6EE8">
        <w:rPr>
          <w:noProof/>
        </w:rPr>
        <w:t>[44]</w:t>
      </w:r>
      <w:r w:rsidRPr="006E6EE8">
        <w:fldChar w:fldCharType="end"/>
      </w:r>
      <w:r w:rsidRPr="006E6EE8">
        <w:t xml:space="preserve">). Nucleic acid metabolism and small molecule biochemistry share several functions, such as, synthesis of AMP, ADP-D-ribose and purine, and reflect the impact of SMN on metabolic processes </w:t>
      </w:r>
      <w:r w:rsidRPr="006E6EE8">
        <w:fldChar w:fldCharType="begin" w:fldLock="1"/>
      </w:r>
      <w:r w:rsidRPr="006E6EE8">
        <w:instrText>ADDIN CSL_CITATION {"citationItems":[{"id":"ITEM-1","itemData":{"DOI":"10.3390/ijms22115913","ISSN":"14220067","PMID":"34072857","abstract":"Spinal muscular atrophy (SMA) is an autosomal recessive genetic disorder leading to paralysis, muscle atrophy, and death. Significant advances in antisense oligonucleotide treatment and gene therapy have made it possible for SMA patients to benefit from improvements in many aspects of the once devastating natural history of the disease. How the depletion of survival motor neuron (SMN) protein, the product of the gene implicated in the disease, leads to the consequent pathogenic changes remains unresolved. Over the past few years, evidence toward a potential contribution of gastrointestinal, metabolic, and endocrine defects to disease phenotype has surfaced. These findings ranged from disrupted body composition, gastrointestinal tract, fatty acid, glucose, amino acid, and hormonal regulation. Together, these changes could have a meaningful clinical impact on disease traits. However, it is currently unclear whether these findings are secondary to widespread denervation or unique to the SMA phenotype. This review provides an in-depth account of metabolism-related research available to date, with a discussion of unique features compared to other motor neuron and related disorders.","author":[{"dropping-particle":"","family":"Deguise","given":"Marc Olivier","non-dropping-particle":"","parse-names":false,"suffix":""},{"dropping-particle":"","family":"Chehade","given":"Lucia","non-dropping-particle":"","parse-names":false,"suffix":""},{"dropping-particle":"","family":"Kothary","given":"Rashmi","non-dropping-particle":"","parse-names":false,"suffix":""}],"container-title":"International Journal of Molecular Sciences","id":"ITEM-1","issue":"11","issued":{"date-parts":[["2021"]]},"page":"1-29","title":"Metabolic dysfunction in spinal muscular atrophy","type":"article-journal","volume":"22"},"uris":["http://www.mendeley.com/documents/?uuid=5b99e70d-0a0b-4b1a-81f8-6688c24caca3"]}],"mendeley":{"formattedCitation":"[53]","plainTextFormattedCitation":"[53]","previouslyFormattedCitation":"[53]"},"properties":{"noteIndex":0},"schema":"https://github.com/citation-style-language/schema/raw/master/csl-citation.json"}</w:instrText>
      </w:r>
      <w:r w:rsidRPr="006E6EE8">
        <w:fldChar w:fldCharType="separate"/>
      </w:r>
      <w:r w:rsidRPr="006E6EE8">
        <w:rPr>
          <w:noProof/>
        </w:rPr>
        <w:t>[53]</w:t>
      </w:r>
      <w:r w:rsidRPr="006E6EE8">
        <w:fldChar w:fldCharType="end"/>
      </w:r>
      <w:r w:rsidRPr="006E6EE8">
        <w:t xml:space="preserve"> and spliceosome function </w:t>
      </w:r>
      <w:r w:rsidRPr="006E6EE8">
        <w:fldChar w:fldCharType="begin" w:fldLock="1"/>
      </w:r>
      <w:r w:rsidRPr="006E6EE8">
        <w:instrText>ADDIN CSL_CITATION {"citationItems":[{"id":"ITEM-1","itemData":{"DOI":"10.1016/S0092-8674(00)80367-0","ISSN":"00928674","PMID":"9323129","abstract":"Spinal muscular atrophy (SMA), one of the most common fatal autosomal recessive diseases, is characterized by degeneration of motor neurons and muscular atrophy. The SMA disease gene, termed Survival of Motor Neurons (SMN), is deleted or mutated in over 98% of SMA patients. The function of the SMN protein is unknown. We found that SMN is tightly associated with a novel protein, SIP1, and together they form a specific complex with several spliceosomal snRNP proteins. SMN interacts directly with several of the snRNP Sm core proteins, including B, D1-3, and E. Interestingly, SIP1 has significant sequence similarity with Brr1, a yeast protein critical for snRNP biogenesis. These findings suggest a role for SMN and SIP1 in spliceosomal snRNP biogenesis and function and provide a likely molecular mechanism for the cause of SMA.","author":[{"dropping-particle":"","family":"Liu","given":"Qing","non-dropping-particle":"","parse-names":false,"suffix":""},{"dropping-particle":"","family":"Fischer","given":"Utz","non-dropping-particle":"","parse-names":false,"suffix":""},{"dropping-particle":"","family":"Wang","given":"Fan","non-dropping-particle":"","parse-names":false,"suffix":""},{"dropping-particle":"","family":"Dreyfuss","given":"Gideon","non-dropping-particle":"","parse-names":false,"suffix":""}],"container-title":"Cell","id":"ITEM-1","issue":"6","issued":{"date-parts":[["1997"]]},"page":"1013-1021","title":"The spinal muscular atrophy disease gene product, SMN, and its associated protein SIP1 are in a complex with spliceosomal snRNP proteins","type":"article-journal","volume":"90"},"uris":["http://www.mendeley.com/documents/?uuid=ba37d2a9-a4c5-49af-b1b1-d9c9a0b6ca7e"]}],"mendeley":{"formattedCitation":"[54]","plainTextFormattedCitation":"[54]","previouslyFormattedCitation":"[54]"},"properties":{"noteIndex":0},"schema":"https://github.com/citation-style-language/schema/raw/master/csl-citation.json"}</w:instrText>
      </w:r>
      <w:r w:rsidRPr="006E6EE8">
        <w:fldChar w:fldCharType="separate"/>
      </w:r>
      <w:r w:rsidRPr="006E6EE8">
        <w:rPr>
          <w:noProof/>
        </w:rPr>
        <w:t>[54]</w:t>
      </w:r>
      <w:r w:rsidRPr="006E6EE8">
        <w:fldChar w:fldCharType="end"/>
      </w:r>
      <w:r w:rsidRPr="006E6EE8">
        <w:t>.</w:t>
      </w:r>
    </w:p>
    <w:p w14:paraId="10CF6D80" w14:textId="72CFC2D0" w:rsidR="00786B93" w:rsidRPr="006E6EE8" w:rsidRDefault="00786B93" w:rsidP="00595196">
      <w:pPr>
        <w:pStyle w:val="MDPI31text"/>
      </w:pPr>
      <w:r w:rsidRPr="006E6EE8">
        <w:t xml:space="preserve">From the SMA III dataset, cellular movement, development and function, and maintenance included some functions that were relatable to SMA, such as depolarization of mitochondria, cellular homeostasis and autophagy (reviewed in </w:t>
      </w:r>
      <w:r w:rsidRPr="006E6EE8">
        <w:fldChar w:fldCharType="begin" w:fldLock="1"/>
      </w:r>
      <w:r w:rsidRPr="006E6EE8">
        <w:instrText>ADDIN CSL_CITATION {"citationItems":[{"id":"ITEM-1","itemData":{"DOI":"10.1007/s00018-018-2849-1","ISBN":"0123456789","ISSN":"14209071","abstract":"Ever since loss of survival motor neuron (SMN) protein was identified as the direct cause of the childhood inherited neurodegenerative disorder spinal muscular atrophy, significant efforts have been made to reveal the molecular functions of this ubiquitously expressed protein. Resulting research demonstrated that SMN plays important roles in multiple fundamental cellular homeostatic pathways, including a well-characterised role in the assembly of the spliceosome and biogenesis of ribonucleoproteins. More recent studies have shown that SMN is also involved in other housekeeping processes, including mRNA trafficking and local translation, cytoskeletal dynamics, endocytosis and autophagy. Moreover, SMN has been shown to influence mitochondria and bioenergetic pathways as well as regulate function of the ubiquitin–proteasome system. In this review, we summarise these diverse functions of SMN, confirming its key role in maintenance of the homeostatic environment of the cell.","author":[{"dropping-particle":"","family":"Chaytow","given":"Helena","non-dropping-particle":"","parse-names":false,"suffix":""},{"dropping-particle":"","family":"Huang","given":"Yu Ting","non-dropping-particle":"","parse-names":false,"suffix":""},{"dropping-particle":"","family":"Gillingwater","given":"Thomas H.","non-dropping-particle":"","parse-names":false,"suffix":""},{"dropping-particle":"","family":"Faller","given":"Kiterie M.E.","non-dropping-particle":"","parse-names":false,"suffix":""}],"container-title":"Cellular and Molecular Life Sciences","id":"ITEM-1","issue":"21","issued":{"date-parts":[["2018"]]},"page":"3877-3894","publisher":"Springer International Publishing","title":"The role of survival motor neuron protein (SMN) in protein homeostasis","type":"article-journal","volume":"75"},"uris":["http://www.mendeley.com/documents/?uuid=2c1f2c50-9c5d-40b6-883d-4ec7e146ae9a"]}],"mendeley":{"formattedCitation":"[44]","plainTextFormattedCitation":"[44]","previouslyFormattedCitation":"[44]"},"properties":{"noteIndex":0},"schema":"https://github.com/citation-style-language/schema/raw/master/csl-citation.json"}</w:instrText>
      </w:r>
      <w:r w:rsidRPr="006E6EE8">
        <w:fldChar w:fldCharType="separate"/>
      </w:r>
      <w:r w:rsidRPr="006E6EE8">
        <w:rPr>
          <w:noProof/>
        </w:rPr>
        <w:t>[44]</w:t>
      </w:r>
      <w:r w:rsidRPr="006E6EE8">
        <w:fldChar w:fldCharType="end"/>
      </w:r>
      <w:r w:rsidRPr="006E6EE8">
        <w:t>), but these functions had a tendency to be upregulated. In contrast, post-translational modification included functions not typically associated with SMA, such as, phosphorylation of L-tyrosine and both cleavage and activation of glycoprotein. Cell death and survival included functions such as necrosis and apoptosis, but also an overall positive z-score for cell viability.</w:t>
      </w:r>
    </w:p>
    <w:p w14:paraId="00A8926F" w14:textId="77777777" w:rsidR="00786B93" w:rsidRPr="006E6EE8" w:rsidRDefault="00786B93" w:rsidP="00595196">
      <w:pPr>
        <w:pStyle w:val="MDPI31text"/>
      </w:pPr>
      <w:r w:rsidRPr="006E6EE8">
        <w:t xml:space="preserve">The set of networks identified for each SMA type are reflective of the functions and pathways already highlighted above for the different SMA severities. Networks associated with the SMA I fibroblasts show the greatest similarity to findings from other SMA studies and include the network with the terms hereditary disorder and neurological disease. Networks associated with SMA II fibroblasts have a greater emphasis on connective tissue disorders and include nephrosis, which has previously been described in SMA I patients </w:t>
      </w:r>
      <w:r w:rsidRPr="006E6EE8">
        <w:fldChar w:fldCharType="begin" w:fldLock="1"/>
      </w:r>
      <w:r w:rsidRPr="006E6EE8">
        <w:instrText>ADDIN CSL_CITATION {"citationItems":[{"id":"ITEM-1","itemData":{"DOI":"10.1212/NXG.0000000000000353","ISBN":"0000000000000","ISSN":"23767839","abstract":"ObjectiveTo determine changes in serum profiles and kidney tissues from patients with spinal muscular atrophy (SMA) type 1 compared with age-and sex-matched controls.MethodsIn this cohort study, we investigated renal structure and function in infants and children with SMA type 1 in comparison with age-and sex-matched controls.ResultsPatients with SMA had alterations in serum creatinine, cystatin C, sodium, glucose, and calcium concentrations, granular casts and crystals in urine, and nephrocalcinosis and fibrosis. Nephrotoxicity and polycystic kidney disease PCR arrays revealed multiple differentially expressed genes, and immunoblot analysis showed decreased calcium-sensing receptors and calbindin and increased insulin-like growth factor-binding proteins in kidneys from patients with SMA.ConclusionsThese findings demonstrate that patients with SMA type 1, in the absence of disease-modifying therapies, frequently manifest impaired renal function as a primary or secondary consequence of their disease. This study provides new insights into systemic contributions to SMA disease pathogenesis and the need to identify coadjuvant therapies.","author":[{"dropping-particle":"","family":"Nery","given":"Flávia C.","non-dropping-particle":"","parse-names":false,"suffix":""},{"dropping-particle":"","family":"Siranosian","given":"Jennifer J.","non-dropping-particle":"","parse-names":false,"suffix":""},{"dropping-particle":"","family":"Rosales","given":"Ivy","non-dropping-particle":"","parse-names":false,"suffix":""},{"dropping-particle":"","family":"Deguise","given":"Marc Olivier","non-dropping-particle":"","parse-names":false,"suffix":""},{"dropping-particle":"","family":"Sharma","given":"Amita","non-dropping-particle":"","parse-names":false,"suffix":""},{"dropping-particle":"","family":"Muhtaseb","given":"Abdurrahman W.","non-dropping-particle":"","parse-names":false,"suffix":""},{"dropping-particle":"","family":"Nwe","given":"Pann","non-dropping-particle":"","parse-names":false,"suffix":""},{"dropping-particle":"","family":"Johnstone","given":"Alec J.","non-dropping-particle":"","parse-names":false,"suffix":""},{"dropping-particle":"","family":"Zhang","given":"Ren","non-dropping-particle":"","parse-names":false,"suffix":""},{"dropping-particle":"","family":"Fatouraei","given":"Maryam","non-dropping-particle":"","parse-names":false,"suffix":""},{"dropping-particle":"","family":"Huemer","given":"Natassja","non-dropping-particle":"","parse-names":false,"suffix":""},{"dropping-particle":"","family":"Alves","given":"Christiano R.R.","non-dropping-particle":"","parse-names":false,"suffix":""},{"dropping-particle":"","family":"Kothary","given":"Rashmi","non-dropping-particle":"","parse-names":false,"suffix":""},{"dropping-particle":"","family":"Swoboda","given":"Kathryn J.","non-dropping-particle":"","parse-names":false,"suffix":""}],"container-title":"Neurology: Genetics","id":"ITEM-1","issue":"5","issued":{"date-parts":[["2019"]]},"title":"Impaired kidney structure and function in spinal muscular atrophy","type":"article-journal","volume":"5"},"uris":["http://www.mendeley.com/documents/?uuid=a505a947-f14c-4d5f-913c-98ee07208fe6"]}],"mendeley":{"formattedCitation":"[10]","plainTextFormattedCitation":"[10]","previouslyFormattedCitation":"[10]"},"properties":{"noteIndex":0},"schema":"https://github.com/citation-style-language/schema/raw/master/csl-citation.json"}</w:instrText>
      </w:r>
      <w:r w:rsidRPr="006E6EE8">
        <w:fldChar w:fldCharType="separate"/>
      </w:r>
      <w:r w:rsidRPr="006E6EE8">
        <w:rPr>
          <w:noProof/>
        </w:rPr>
        <w:t>[10]</w:t>
      </w:r>
      <w:r w:rsidRPr="006E6EE8">
        <w:fldChar w:fldCharType="end"/>
      </w:r>
      <w:r w:rsidRPr="006E6EE8">
        <w:t>. The networks for the SMA III fibroblasts have a greater emphasis on cellular functions. Although few molecular and cellular pathways and processes are common to all three SMA types, some distinct pathways and processes were identified, especially in the SMA III fibroblasts, that may prove suitable for further investigation to enhance treatment outcome for these patients. Even though there was greater variation in the data from SMA II fibroblasts, there was still some overlap with the SMA I dataset, indicating that the biological processes in the two more severe forms of SMA may be more closely linked.</w:t>
      </w:r>
    </w:p>
    <w:p w14:paraId="5E065203" w14:textId="77777777" w:rsidR="00786B93" w:rsidRPr="006E6EE8" w:rsidRDefault="00786B93" w:rsidP="00595196">
      <w:pPr>
        <w:pStyle w:val="MDPI31text"/>
      </w:pPr>
      <w:r w:rsidRPr="006E6EE8">
        <w:t xml:space="preserve">None of the enriched canonical pathways identified were statistically significant across each of the three SMA datasets, but several were significantly enriched across two of three datasets with at least one differentially expressed protein from the third having been associated, including mTOR signaling, regulation of eIF4 and p70S6K signaling, and eIF2 signaling, and protein ubiquitination. Association of these pathways with SMA is supported by findings from previous studies where low levels of SMN have been implicated in mTOR signaling </w:t>
      </w:r>
      <w:r w:rsidRPr="006E6EE8">
        <w:fldChar w:fldCharType="begin" w:fldLock="1"/>
      </w:r>
      <w:r w:rsidRPr="006E6EE8">
        <w:instrText>ADDIN CSL_CITATION {"citationItems":[{"id":"ITEM-1","itemData":{"DOI":"10.1093/hmg/ddq226","ISSN":"09646906","PMID":"20525971","abstract":"Phosphatase and tensin homolog (PTEN), a negative regulator of the mammalian target of rapamycin (mTOR) pathway, is widely involved in the regulation of protein synthesis. Here we show that the PTEN protein is enriched in cell bodies and axon terminals of purified motor neurons. We explored the role of the PTEN pathway by manipulating PTEN expression in healthy and diseased motor neurons. PTEN depletion led to an increase in growth cone size, promotion of axonal elongation and increased survival of these cells. These changes were associated with alterations of downstream signaling pathways for local protein synthesis as revealed by an increase in pAKT and p70S6. Most notably, this treatment also restores β-actin protein levels in axonal growth cones of SMN-deficient motor neurons. Furthermore, we report here that a single injection of adeno-associated virus serotype 6 (AAV6) expressing siPTEN into hind limb muscles at postnatal day 1 in SMNΔ7 mice leads to a significant PTEN depletion and robust improvement in motor neuron survival. Taken together, these data indicate that PTEN-mediated regulation of protein synthesis in motor neurons could represent a target for therapy in spinal muscular atrophy. © The Author 2010. Published by Oxford University Press. All rights reserved.","author":[{"dropping-particle":"","family":"Ning","given":"Ke","non-dropping-particle":"","parse-names":false,"suffix":""},{"dropping-particle":"","family":"Drepper","given":"Carsten","non-dropping-particle":"","parse-names":false,"suffix":""},{"dropping-particle":"","family":"Valori","given":"Chiara F.","non-dropping-particle":"","parse-names":false,"suffix":""},{"dropping-particle":"","family":"Ahsan","given":"Mansoor","non-dropping-particle":"","parse-names":false,"suffix":""},{"dropping-particle":"","family":"Wyles","given":"Matthew","non-dropping-particle":"","parse-names":false,"suffix":""},{"dropping-particle":"","family":"Higginbottom","given":"Adrian","non-dropping-particle":"","parse-names":false,"suffix":""},{"dropping-particle":"","family":"Herrmann","given":"Thomas","non-dropping-particle":"","parse-names":false,"suffix":""},{"dropping-particle":"","family":"Shaw","given":"Pamela","non-dropping-particle":"","parse-names":false,"suffix":""},{"dropping-particle":"","family":"Azzouz","given":"Mimoun","non-dropping-particle":"","parse-names":false,"suffix":""},{"dropping-particle":"","family":"Sendtner","given":"Michael","non-dropping-particle":"","parse-names":false,"suffix":""}],"container-title":"Human Molecular Genetics","id":"ITEM-1","issue":"16","issued":{"date-parts":[["2010"]]},"page":"3159-3168","title":"PTEN depletion rescues axonal growth defect and improves survival in SMN-deficient motor neurons","type":"article-journal","volume":"19"},"uris":["http://www.mendeley.com/documents/?uuid=0d3aefbe-deb7-4fc9-83ec-ef6404bc11ed"]},{"id":"ITEM-2","itemData":{"DOI":"10.1093/hmg/ddu350","ISSN":"14602083","PMID":"25055867","abstract":"Reduced expression of SMN protein causes spinal muscular atrophy (SMA), a neurodegenerative disorder leading to motor neuron dysfunction and loss. However, the molecular mechanisms by which SMN regulates neuronal dysfunction are not fully understood. Here, we report that reduced SMN protein level alters miRNA expression and distribution in neurons. In particular, miR-183 levels are increased in neurites of SMN-deficient neurons. We demonstrate that miR-183 regulates translation of mTor via direct binding to its 3' UTR. Interestingly, local axonal translation of mTor is reduced in SMN-deficient neurons, and this can be recovered by miR-183 inhibition. Finally, inhibition of miR-183 expression in the spinal cord of an SMA mouse model prolongs survival and improves motor function of Smn-mutant mice. Together, these observations suggest that axonal miRNAs and the mTOR pathway are previously unidentified molecular mechanisms contributing to SMA pathology.","author":[{"dropping-particle":"","family":"Kye","given":"Min J.eong","non-dropping-particle":"","parse-names":false,"suffix":""},{"dropping-particle":"","family":"Niederst","given":"Emily D.","non-dropping-particle":"","parse-names":false,"suffix":""},{"dropping-particle":"","family":"Wertz","given":"Mary H.","non-dropping-particle":"","parse-names":false,"suffix":""},{"dropping-particle":"","family":"Gonçalves","given":"Inês do Carmo G.","non-dropping-particle":"","parse-names":false,"suffix":""},{"dropping-particle":"","family":"Akten","given":"Bikem","non-dropping-particle":"","parse-names":false,"suffix":""},{"dropping-particle":"","family":"Dover","given":"Katarzyna Z.","non-dropping-particle":"","parse-names":false,"suffix":""},{"dropping-particle":"","family":"Peters","given":"Miriam","non-dropping-particle":"","parse-names":false,"suffix":""},{"dropping-particle":"","family":"Riessland","given":"Markus","non-dropping-particle":"","parse-names":false,"suffix":""},{"dropping-particle":"","family":"Neveu","given":"Pierre","non-dropping-particle":"","parse-names":false,"suffix":""},{"dropping-particle":"","family":"Wirth","given":"Brunhilde","non-dropping-particle":"","parse-names":false,"suffix":""},{"dropping-particle":"","family":"Kosik","given":"Kenneth S.","non-dropping-particle":"","parse-names":false,"suffix":""},{"dropping-particle":"","family":"Sardi","given":"S. Pablo","non-dropping-particle":"","parse-names":false,"suffix":""},{"dropping-particle":"","family":"Monani","given":"Umrao R.","non-dropping-particle":"","parse-names":false,"suffix":""},{"dropping-particle":"","family":"Passini","given":"Marco A.","non-dropping-particle":"","parse-names":false,"suffix":""},{"dropping-particle":"","family":"Sahin","given":"Mustafa","non-dropping-particle":"","parse-names":false,"suffix":""}],"container-title":"Human molecular genetics","id":"ITEM-2","issue":"23","issued":{"date-parts":[["2014"]]},"page":"6318-6331","title":"SMN regulates axonal local translation via miR-183/mTOR pathway","type":"article-journal","volume":"23"},"uris":["http://www.mendeley.com/documents/?uuid=44199394-7f48-485a-a005-2d6e65d48bca"]},{"id":"ITEM-3","itemData":{"abstract":"Increasing evidence points to the Survival Motor Neuron (SMN) protein as a key de- terminant of translation pathway. Besides its role in RNA processing and sorting, several works support a critical implication of SMN in ribosome biogenesis. We previously showed that SMN binds ribosomal proteins (RPs) as well as their encoding transcripts, ensuring an appropriate level of locally synthesized RPs. SMN impacts the translation machinery in both neural and non-neural cells, in agreement with the concept that SMN is an essential protein in all cell types. Here, we further assessed the relationship between SMN and translation-related factors in immortalized hu- man fibroblasts. We focused on SMN-nucleolin interaction, keeping in mind that nucleolin is an RNA-binding protein, highly abundant within the nucleolus, that exhibits a central role in ribosomes production. Nucleolin may also affects translation network by binding the mammalian target of rapamycin (mTOR) mRNA and promoting its local synthesis. In this regard, for the first time we provided evidence that SMN protein itself associates with mTOR transcript. Collectively, we found that: (1) SMN coexists with nucleolin–mTOR mRNA complexes at subcellular level; (2) SMN defi- ciency impairs nucleolar compartmentalization of nucleolin, and (3) this event correlates with the nuclear retention of mTOR mRNA. These findings suggest that SMN may regulate not only structural components of translation machinery, but also their upstream regulating factors.","author":[{"dropping-particle":"","family":"Gabanella","given":"Francesca","non-dropping-particle":"","parse-names":false,"suffix":""},{"dropping-particle":"","family":"Barbato","given":"Christian","non-dropping-particle":"","parse-names":false,"suffix":""},{"dropping-particle":"","family":"Fiore","given":"Marco","non-dropping-particle":"","parse-names":false,"suffix":""},{"dropping-particle":"","family":"Petrella","given":"Carla","non-dropping-particle":"","parse-names":false,"suffix":""},{"dropping-particle":"De","family":"Vincentiis","given":"Marco","non-dropping-particle":"","parse-names":false,"suffix":""},{"dropping-particle":"","family":"Greco","given":"Antonio","non-dropping-particle":"","parse-names":false,"suffix":""},{"dropping-particle":"","family":"Minni","given":"Antonio","non-dropping-particle":"","parse-names":false,"suffix":""},{"dropping-particle":"","family":"Corbi","given":"Nicoletta","non-dropping-particle":"","parse-names":false,"suffix":""},{"dropping-particle":"","family":"Passananti","given":"Claudio","non-dropping-particle":"","parse-names":false,"suffix":""},{"dropping-particle":"","family":"Grazia Di Certo","given":"Maria","non-dropping-particle":"","parse-names":false,"suffix":""},{"dropping-particle":"","family":"Certo","given":"Di","non-dropping-particle":"","parse-names":false,"suffix":""}],"container-title":"Cells","id":"ITEM-3","issue":"11","issued":{"date-parts":[["2021"]]},"page":"1-16","title":"Fine-tuning of mTOR mRNA and nucleolin complexes by SMN","type":"article-journal","volume":"10"},"uris":["http://www.mendeley.com/documents/?uuid=e0db1da7-5a59-4e40-a909-72b2beaa8e0d"]}],"mendeley":{"formattedCitation":"[51,55,56]","plainTextFormattedCitation":"[51,55,56]","previouslyFormattedCitation":"[51,55,56]"},"properties":{"noteIndex":0},"schema":"https://github.com/citation-style-language/schema/raw/master/csl-citation.json"}</w:instrText>
      </w:r>
      <w:r w:rsidRPr="006E6EE8">
        <w:fldChar w:fldCharType="separate"/>
      </w:r>
      <w:r w:rsidRPr="006E6EE8">
        <w:rPr>
          <w:noProof/>
        </w:rPr>
        <w:t>[51,55,56]</w:t>
      </w:r>
      <w:r w:rsidRPr="006E6EE8">
        <w:fldChar w:fldCharType="end"/>
      </w:r>
      <w:r w:rsidRPr="006E6EE8">
        <w:t xml:space="preserve">, regulation of eIF2 </w:t>
      </w:r>
      <w:r w:rsidRPr="006E6EE8">
        <w:fldChar w:fldCharType="begin" w:fldLock="1"/>
      </w:r>
      <w:r w:rsidRPr="006E6EE8">
        <w:instrText>ADDIN CSL_CITATION {"citationItems":[{"id":"ITEM-1","itemData":{"DOI":"10.1007/s10571-011-9647-8","ISSN":"02724340","PMID":"21234798","abstract":"Spinal Muscular Atrophy (SMA) is a neurodegenerative disease that is caused by deletion of the SMN (Survival of Motor Neuron) gene. The SMN protein is essential for cell survival and co-localized with TIA-1/R and G3BP, two characteristic markers of stress granules (SGs). To further study the SMN function in stress granules and in response to stress, we generated stable cell lines with SMN knockdown. Our data indicate that suppression of SMN drastically reduces cellular ability to form stress granules in response to stress treatment. In addition, we show that SMN deficiency sensitizes cells to sodium arsenite and H2O2, two well-known stress inducers, leading to cell death at a much lower concentration of inducers in SMN knockdown cells than in control cells. Interestingly, the cell death is correlated with formation of stress granules, suggesting that involvement of SMN in formation of stress granules may play an important role in cell survival. Furthermore, rescue of SGs formation by overexpression of G3BP can reverse the defective formation of stress granules and results in partial abrogation of cell death against SMN deficiency. We deduce that modulation of stress response may be useful for potential SMN treatment. © 2011 Springer Science+Business Media, LLC.","author":[{"dropping-particle":"","family":"Zou","given":"Tie","non-dropping-particle":"","parse-names":false,"suffix":""},{"dropping-particle":"","family":"Yang","given":"Xianming","non-dropping-particle":"","parse-names":false,"suffix":""},{"dropping-particle":"","family":"Pan","given":"Danmin","non-dropping-particle":"","parse-names":false,"suffix":""},{"dropping-particle":"","family":"Huang","given":"Jia","non-dropping-particle":"","parse-names":false,"suffix":""},{"dropping-particle":"","family":"Sahin","given":"Mustafa","non-dropping-particle":"","parse-names":false,"suffix":""},{"dropping-particle":"","family":"Zhou","given":"Jianhua","non-dropping-particle":"","parse-names":false,"suffix":""}],"container-title":"Cellular and Molecular Neurobiology","id":"ITEM-1","issue":"4","issued":{"date-parts":[["2011"]]},"page":"541-550","title":"SMN deficiency reduces cellular ability to form stress granules, sensitizing cells to stress","type":"article-journal","volume":"31"},"uris":["http://www.mendeley.com/documents/?uuid=3314d121-1b2c-4273-8cc2-940066ee4dbb"]}],"mendeley":{"formattedCitation":"[57]","plainTextFormattedCitation":"[57]","previouslyFormattedCitation":"[57]"},"properties":{"noteIndex":0},"schema":"https://github.com/citation-style-language/schema/raw/master/csl-citation.json"}</w:instrText>
      </w:r>
      <w:r w:rsidRPr="006E6EE8">
        <w:fldChar w:fldCharType="separate"/>
      </w:r>
      <w:r w:rsidRPr="006E6EE8">
        <w:rPr>
          <w:noProof/>
        </w:rPr>
        <w:t>[57]</w:t>
      </w:r>
      <w:r w:rsidRPr="006E6EE8">
        <w:fldChar w:fldCharType="end"/>
      </w:r>
      <w:r w:rsidRPr="006E6EE8">
        <w:t xml:space="preserve"> and eIF4 signaling </w:t>
      </w:r>
      <w:r w:rsidRPr="006E6EE8">
        <w:fldChar w:fldCharType="begin" w:fldLock="1"/>
      </w:r>
      <w:r w:rsidRPr="006E6EE8">
        <w:instrText>ADDIN CSL_CITATION {"citationItems":[{"id":"ITEM-1","itemData":{"DOI":"10.1186/1741-7015-7-14","ISSN":"17417015","abstract":"Background: Spinal muscular atrophy (SMA) is a neurodegenerative disorder associated with mutations of the survival motor neuron gene SMN and is characterized by muscle weakness and atrophy caused by degeneration of spinal motor neurons. SMN has a role in neurons but its deficiency may have a direct effect on muscle tissue. Methods: We applied microarray and quantitative real-time PCR to study at transcriptional level the effects of a defective SMN gene in skeletal muscles affected by the two forms of SMA: the most severe type I and the mild type III. Results: The two forms of SMA generated distinct expression signatures: the SMA III muscle transcriptome is close to that found under normal conditions, whereas in SMA I there is strong alteration of gene expression. Genes implicated in signal transduction were up-regulated in SMA III whereas those of energy metabolism and muscle contraction were consistently down-regulated in SMA I. The expression pattern of gene networks involved in atrophy signaling was completed by qRT-PCR, showing that specific pathways are involved, namely IGF/PI3K/Akt, TNF-α/ p38 MAPK and Ras/ERK pathways. Conclusion: Our study suggests a different picture of atrophy pathways in each of the two forms of SMA. In particular, p38 may be the regulator of protein synthesis in SMA I. The SMA III profile appears as the result of the concurrent presence of atrophic and hypertrophic fibers. This more favorable condition might be due to the over-expression of MTOR that, given its role in the activation of protein synthesis, could lead to compensatory hypertrophy in SMA III muscle fibers. © 2009 Millino et al; licensee BioMed Central Ltd.","author":[{"dropping-particle":"","family":"Millino","given":"Caterina","non-dropping-particle":"","parse-names":false,"suffix":""},{"dropping-particle":"","family":"Fanin","given":"Marina","non-dropping-particle":"","parse-names":false,"suffix":""},{"dropping-particle":"","family":"Vettori","given":"Andrea","non-dropping-particle":"","parse-names":false,"suffix":""},{"dropping-particle":"","family":"Laveder","given":"Paolo","non-dropping-particle":"","parse-names":false,"suffix":""},{"dropping-particle":"","family":"Mostacciuolo","given":"Maria","non-dropping-particle":"","parse-names":false,"suffix":""},{"dropping-particle":"","family":"Angelini","given":"Corrado","non-dropping-particle":"","parse-names":false,"suffix":""},{"dropping-particle":"","family":"Lanfranchi","given":"Gerolamo","non-dropping-particle":"","parse-names":false,"suffix":""}],"container-title":"BMC Medicine","id":"ITEM-1","issued":{"date-parts":[["2009"]]},"page":"1-9","title":"Different atrophy-hypertrophy transcription pathways in muscles affected by severe and mild spinal muscular atrophy","type":"article-journal","volume":"7"},"uris":["http://www.mendeley.com/documents/?uuid=0276fb99-7288-4871-bab9-43698c73926e"]}],"mendeley":{"formattedCitation":"[39]","plainTextFormattedCitation":"[39]","previouslyFormattedCitation":"[39]"},"properties":{"noteIndex":0},"schema":"https://github.com/citation-style-language/schema/raw/master/csl-citation.json"}</w:instrText>
      </w:r>
      <w:r w:rsidRPr="006E6EE8">
        <w:fldChar w:fldCharType="separate"/>
      </w:r>
      <w:r w:rsidRPr="006E6EE8">
        <w:rPr>
          <w:noProof/>
        </w:rPr>
        <w:t>[39]</w:t>
      </w:r>
      <w:r w:rsidRPr="006E6EE8">
        <w:fldChar w:fldCharType="end"/>
      </w:r>
      <w:r w:rsidRPr="006E6EE8">
        <w:t xml:space="preserve">, protein ubiquitination </w:t>
      </w:r>
      <w:r w:rsidRPr="006E6EE8">
        <w:fldChar w:fldCharType="begin" w:fldLock="1"/>
      </w:r>
      <w:r w:rsidRPr="006E6EE8">
        <w:instrText>ADDIN CSL_CITATION {"citationItems":[{"id":"ITEM-1","itemData":{"DOI":"10.1172/JCI71318DS1","ISBN":"1558-8238 (Electronic)\\r0021-9738 (Linking)","ISSN":"1558-8238","PMID":"24590288","abstract":"The autosomal recessive neurodegenerative disease spinal muscular atrophy (SMA) results from low levels of survival motor neuron (SMN) protein; however, it is unclear how reduced SMN promotes SMA develop- ment. Here, we determined that ubiquitin-dependent pathways regulate neuromuscular pathology in SMA. Using mouse models of SMA, we observed widespread perturbations in ubiquitin homeostasis, including reduced levels of ubiquitin-like modifier activating enzyme 1 (UBA1). SMN physically interacted with UBA1 in neurons, and disruption of Uba1 mRNA splicing was observed in the spinal cords of SMA mice exhibiting disease symptoms. Pharmacological or genetic suppression of UBA1 was sufficient to recapitulate an SMA- like neuromuscular pathology in zebrafish, suggesting that UBA1 directly contributes to disease pathogenesis. Dysregulation of UBA1 and subsequent ubiquitination pathways led to β-catenin accumulation, and pharma- cological inhibition of β-catenin robustly ameliorated neuromuscular pathology in zebrafish, Drosophila, and mouse models of SMA. UBA1-associated disruption of β-catenin was restricted to the neuromuscular system in SMA mice; therefore, pharmacological inhibition of β-catenin in these animals failed to prevent systemic pathology in peripheral tissues and organs, indicating fundamental molecular differences between neuromus- cular and systemic SMA pathology. Our data indicate that SMA-associated reduction of UBA1 contributes to neuromuscular pathogenesis through disruption of ubiquitin homeostasis and subsequent β-catenin signal- ing, highlighting ubiquitin homeostasis and β-catenin as potential therapeutic targets for SMA. Introduction","author":[{"dropping-particle":"","family":"Wishart","given":"T. M.","non-dropping-particle":"","parse-names":false,"suffix":""},{"dropping-particle":"","family":"Mutsaers","given":"C. A.","non-dropping-particle":"","parse-names":false,"suffix":""},{"dropping-particle":"","family":"Riessland","given":"M.","non-dropping-particle":"","parse-names":false,"suffix":""},{"dropping-particle":"","family":"Reimer","given":"M. M.","non-dropping-particle":"","parse-names":false,"suffix":""},{"dropping-particle":"","family":"Hunter","given":"G.","non-dropping-particle":"","parse-names":false,"suffix":""},{"dropping-particle":"","family":"Hannam","given":"M. L.","non-dropping-particle":"","parse-names":false,"suffix":""},{"dropping-particle":"","family":"Eaton","given":"S. L.","non-dropping-particle":"","parse-names":false,"suffix":""},{"dropping-particle":"","family":"Fuller","given":"H. R.","non-dropping-particle":"","parse-names":false,"suffix":""},{"dropping-particle":"","family":"Roche","given":"S. L.","non-dropping-particle":"","parse-names":false,"suffix":""},{"dropping-particle":"","family":"Somers","given":"E.","non-dropping-particle":"","parse-names":false,"suffix":""},{"dropping-particle":"","family":"Morse","given":"R.","non-dropping-particle":"","parse-names":false,"suffix":""},{"dropping-particle":"","family":"Young","given":"P. J.","non-dropping-particle":"","parse-names":false,"suffix":""},{"dropping-particle":"","family":"Lamont","given":"D. J.","non-dropping-particle":"","parse-names":false,"suffix":""},{"dropping-particle":"","family":"Hammerschmidt","given":"M.","non-dropping-particle":"","parse-names":false,"suffix":""},{"dropping-particle":"","family":"Joshi","given":"A.","non-dropping-particle":"","parse-names":false,"suffix":""},{"dropping-particle":"","family":"Hohenstein","given":"P.","non-dropping-particle":"","parse-names":false,"suffix":""},{"dropping-particle":"","family":"Morris","given":"G. E.","non-dropping-particle":"","parse-names":false,"suffix":""},{"dropping-particle":"","family":"Parson","given":"S. H.","non-dropping-particle":"","parse-names":false,"suffix":""},{"dropping-particle":"","family":"Skehel","given":"P. A.","non-dropping-particle":"","parse-names":false,"suffix":""},{"dropping-particle":"","family":"Becker","given":"T.","non-dropping-particle":"","parse-names":false,"suffix":""},{"dropping-particle":"","family":"Robinson","given":"I. M.","non-dropping-particle":"","parse-names":false,"suffix":""},{"dropping-particle":"","family":"Becker","given":"C. G.","non-dropping-particle":"","parse-names":false,"suffix":""},{"dropping-particle":"","family":"Wirth","given":"B.","non-dropping-particle":"","parse-names":false,"suffix":""},{"dropping-particle":"","family":"Gillingwater","given":"T.H.","non-dropping-particle":"","parse-names":false,"suffix":""}],"container-title":"The Journal of Clinical Investigation","id":"ITEM-1","issue":"4","issued":{"date-parts":[["2014"]]},"page":"1821-1834","title":"Dysregulation of ubiquitin homeostasis and beta-catenin signalling promote spinal muscular atrophy","type":"article-journal","volume":"124"},"uris":["http://www.mendeley.com/documents/?uuid=2828ae01-ffca-406d-b88c-391200407ecd"]}],"mendeley":{"formattedCitation":"[49]","plainTextFormattedCitation":"[49]","previouslyFormattedCitation":"[49]"},"properties":{"noteIndex":0},"schema":"https://github.com/citation-style-language/schema/raw/master/csl-citation.json"}</w:instrText>
      </w:r>
      <w:r w:rsidRPr="006E6EE8">
        <w:fldChar w:fldCharType="separate"/>
      </w:r>
      <w:r w:rsidRPr="006E6EE8">
        <w:rPr>
          <w:noProof/>
        </w:rPr>
        <w:t>[49]</w:t>
      </w:r>
      <w:r w:rsidRPr="006E6EE8">
        <w:fldChar w:fldCharType="end"/>
      </w:r>
      <w:r w:rsidRPr="006E6EE8">
        <w:t xml:space="preserve">, mitochondrial dysfunction </w:t>
      </w:r>
      <w:r w:rsidRPr="006E6EE8">
        <w:fldChar w:fldCharType="begin" w:fldLock="1"/>
      </w:r>
      <w:r w:rsidRPr="006E6EE8">
        <w:instrText>ADDIN CSL_CITATION {"citationItems":[{"id":"ITEM-1","itemData":{"DOI":"10.1002/jnr.22106","ISSN":"03604012","PMID":"19437551","abstract":"Mutations of the survival motor neuron (SMN) gene in spinal muscular atrophy (SMA) lead to anterior horn cell death. The cause is unknown, but motor neurons depend substantially on mitochondrial oxidative phosphorylation (OxPhos) for normal function. Therefore, mitochondrial parameters were analyzed in an SMA cell culture model using small interfering RNA (siRNA) transfection that decreased Smn expression in NSC-34 cells to disease levels. Smn siRNA knock-down resulted in 35% and 66% reduced Smn protein levels 48 and 72 hr posttransfection, respectively. ATP levels were reduced by 14% and 26% at 48 and 72 hr posttransfection, respectively, suggesting decreased ATP production or increased energy demand in neural cells. Smn knock-down resulted in increased mitochondrial membrane potential and increased free radical production. Changes in activity of cytochrome c oxidase (CcO), a key OxPhos component, were observed at 72 hr with a 26% increase in oxygen consumption. This suggests a compensatory activation of the aerobic pathway, resulting in increased mitochondrial membrane potentials, a condition known to lead to the observed increase in free radical production. Further testing suggested that changes in ATP at 24 hr precede observable indices of cell injury at 48 hr. We propose that energy paucity and increased mitochondrial free radical production lead to accumulated cell damage and eventual cell death in Smn-depleted neural cells. Mitochondrial dysfunction may therefore be important in SMA pathology and may represent a new therapeutic target. © 2009 Wiley-Liss, Inc.","author":[{"dropping-particle":"","family":"Acsadi","given":"Gyula","non-dropping-particle":"","parse-names":false,"suffix":""},{"dropping-particle":"","family":"Lee","given":"Icksoo","non-dropping-particle":"","parse-names":false,"suffix":""},{"dropping-particle":"","family":"Li","given":"Xingli","non-dropping-particle":"","parse-names":false,"suffix":""},{"dropping-particle":"","family":"Khaidakov","given":"Magomed","non-dropping-particle":"","parse-names":false,"suffix":""},{"dropping-particle":"","family":"Pecinova","given":"Alena","non-dropping-particle":"","parse-names":false,"suffix":""},{"dropping-particle":"","family":"Parker","given":"Graham C.","non-dropping-particle":"","parse-names":false,"suffix":""},{"dropping-particle":"","family":"Hüttemann","given":"Maik","non-dropping-particle":"","parse-names":false,"suffix":""}],"container-title":"Journal of Neuroscience Research","id":"ITEM-1","issue":"12","issued":{"date-parts":[["2009"]]},"page":"2748-2756","title":"Mitochondrial dysfunction in a neural cell model of spinal muscular atrophy","type":"article-journal","volume":"87"},"uris":["http://www.mendeley.com/documents/?uuid=16159e8f-f443-41a9-89c4-81014b779818"]},{"id":"ITEM-2","itemData":{"DOI":"10.1186/s40478-020-01101-6","ISSN":"20515960","PMID":"33353564","abstract":"Spinal muscular atrophy (SMA) is a neuromuscular disease characterized by loss of lower motor neurons, which leads to proximal muscle weakness and atrophy. SMA is caused by reduced survival motor neuron (SMN) protein levels due to biallelic deletions or mutations in the SMN1 gene. When SMN levels fall under a certain threshold, a plethora of cellular pathways are disturbed, including RNA processing, protein synthesis, metabolic defects, and mitochondrial function. Dysfunctional mitochondria can harm cells by decreased ATP production and increased oxidative stress due to elevated cellular levels of reactive oxygen species (ROS). Since neurons mainly produce energy via mitochondrial oxidative phosphorylation, restoring metabolic/oxidative homeostasis might rescue SMA pathology. Here, we report, based on proteome analysis, that SMA motor neurons show disturbed energy homeostasis due to dysfunction of mitochondrial complex I. This results in a lower basal ATP concentration and higher ROS production that causes an increase of protein carbonylation and impaired protein synthesis in SMA motor neurons. Counteracting these cellular impairments with pyruvate reduces elevated ROS levels, increases ATP and SMN protein levels in SMA motor neurons. Furthermore, we found that pyruvate-mediated SMN protein synthesis is mTOR-dependent. Most importantly, we showed that ROS regulates protein synthesis at the translational initiation step, which is impaired in SMA. As many neuropathies share pathological phenotypes such as dysfunctional mitochondria, excessive ROS, and impaired protein synthesis, our findings suggest new molecular interactions among these pathways. Additionally, counteracting these impairments by reducing ROS and increasing ATP might be beneficial for motor neuron survival in SMA patients.","author":[{"dropping-particle":"","family":"Thelen","given":"Maximilian Paul","non-dropping-particle":"","parse-names":false,"suffix":""},{"dropping-particle":"","family":"Wirth","given":"Brunhilde","non-dropping-particle":"","parse-names":false,"suffix":""},{"dropping-particle":"","family":"Kye","given":"Min Jeong","non-dropping-particle":"","parse-names":false,"suffix":""}],"container-title":"Acta Neuropathologica Communications","id":"ITEM-2","issue":"1","issued":{"date-parts":[["2020"]]},"page":"1-19","publisher":"BioMed Central","title":"Mitochondrial defects in the respiratory complex I contribute to impaired translational initiation via ROS and energy homeostasis in SMA motor neurons","type":"article-journal","volume":"8"},"uris":["http://www.mendeley.com/documents/?uuid=7fff7911-b532-44c2-9b9a-5e4170b72f07"]},{"id":"ITEM-3","itemData":{"DOI":"10.1093/hmg/ddw262","ISBN":"1460-2083; 0964-6906","ISSN":"14602083","PMID":"27488123","abstract":"Spinal muscular atrophy (SMA), the leading genetic cause of infant mortality, predominantly affects high metabolic tissues including motor neurons, skeletal muscles and the heart. Although the genetic cause of SMA has been identified, mechanisms underlying tissue-specific vulnerability are not well understood. To study these mechanisms, we carried out a deep sequencing analysis of the transcriptome of spinal motor neurons in a SMA mouse model, in which we unexpectedly found changes in many genes associated with mitochondrial bioenergetics. Importantly, functional measurement of mitochondrial activities showed decreased basal and maximal mitochondrial respiration in motor neurons from SMA mice. Using a reduction-oxidation sensitive GFP and fluorescence sensors specifically targeted to mitochondria, we found increased oxidative stress level and impaired mitochondrial membrane potential in motor neurons affected by SMA. In addition, mitochondrial mobility was impaired in SMA disease conditions, with decreased retrograde transport but no effect on anterograde transport. We also found significantly increased fragmentation of mitochondrial network in primary motor neurons from SMA mice, with no change in mitochondria density. Electron microscopy study of SMA mouse spinal cord revealed mitochondria fragmentation, edema and concentric lamellar inclusions in motor neurons affected by the disease. Intriguingly, these functional and structural deficiencies in the SMA mouse model occur during the presymptomatic stage of disease, suggesting a role in initiating SMA. Altogether, our findings reveal a critical role for mitochondrial defects in SMA pathogenesis and suggest a novel target for improving tissue health in the disease.","author":[{"dropping-particle":"","family":"Miller","given":"Nimrod","non-dropping-particle":"","parse-names":false,"suffix":""},{"dropping-particle":"","family":"Shi","given":"Han","non-dropping-particle":"","parse-names":false,"suffix":""},{"dropping-particle":"","family":"Zelikovich","given":"Aaron S.","non-dropping-particle":"","parse-names":false,"suffix":""},{"dropping-particle":"","family":"Ma","given":"Yong Chao","non-dropping-particle":"","parse-names":false,"suffix":""}],"container-title":"Human Molecular Genetics","id":"ITEM-3","issue":"16","issued":{"date-parts":[["2016"]]},"page":"3395-3406","title":"Motor neuron mitochondrial dysfunction in spinal muscular atrophy","type":"article-journal","volume":"25"},"uris":["http://www.mendeley.com/documents/?uuid=22bdde97-00d1-43fc-bfd2-595a8e115389"]},{"id":"ITEM-4","itemData":{"DOI":"10.1001/jamaneurol.2015.0178","ISBN":"0000000000000","ISSN":"1527-5418","PMID":"24655651","author":[{"dropping-particle":"","family":"Ripolone","given":"M.","non-dropping-particle":"","parse-names":false,"suffix":""},{"dropping-particle":"","family":"Ronchi","given":"D.","non-dropping-particle":"","parse-names":false,"suffix":""},{"dropping-particle":"","family":"Violano","given":"R.","non-dropping-particle":"","parse-names":false,"suffix":""},{"dropping-particle":"","family":"Vallejo","given":"D.","non-dropping-particle":"","parse-names":false,"suffix":""},{"dropping-particle":"","family":"Fagiolari","given":"G.","non-dropping-particle":"","parse-names":false,"suffix":""},{"dropping-particle":"","family":"Barca","given":"E.","non-dropping-particle":"","parse-names":false,"suffix":""},{"dropping-particle":"","family":"Lucchini","given":"V.","non-dropping-particle":"","parse-names":false,"suffix":""},{"dropping-particle":"","family":"Colombo","given":"I.","non-dropping-particle":"","parse-names":false,"suffix":""},{"dropping-particle":"","family":"Villa","given":"L.","non-dropping-particle":"","parse-names":false,"suffix":""},{"dropping-particle":"","family":"Berardinelli","given":"A.","non-dropping-particle":"","parse-names":false,"suffix":""},{"dropping-particle":"","family":"Balottin","given":"U.","non-dropping-particle":"","parse-names":false,"suffix":""},{"dropping-particle":"","family":"Morandi","given":"L.","non-dropping-particle":"","parse-names":false,"suffix":""},{"dropping-particle":"","family":"Mora","given":"M.","non-dropping-particle":"","parse-names":false,"suffix":""},{"dropping-particle":"","family":"Bordoni","given":"A.","non-dropping-particle":"","parse-names":false,"suffix":""},{"dropping-particle":"","family":"Fortunato","given":"F.","non-dropping-particle":"","parse-names":false,"suffix":""},{"dropping-particle":"","family":"Corti","given":"Stefania","non-dropping-particle":"","parse-names":false,"suffix":""},{"dropping-particle":"","family":"Parisi","given":"D.","non-dropping-particle":"","parse-names":false,"suffix":""},{"dropping-particle":"","family":"Toscano","given":"A.","non-dropping-particle":"","parse-names":false,"suffix":""},{"dropping-particle":"","family":"Sciacco","given":"M.","non-dropping-particle":"","parse-names":false,"suffix":""},{"dropping-particle":"","family":"DiMauro","given":"S.","non-dropping-particle":"","parse-names":false,"suffix":""},{"dropping-particle":"","family":"Comi","given":"G.P.","non-dropping-particle":"","parse-names":false,"suffix":""},{"dropping-particle":"","family":"Moggio","given":"M","non-dropping-particle":"","parse-names":false,"suffix":""}],"container-title":"JAMA Neurology","id":"ITEM-4","issue":"6","issued":{"date-parts":[["2015"]]},"page":"666-675","title":"Impaired Muscle mitochondrial Biogenesis and Myogenesis in Spinal Muscular Atrophy","type":"article-journal","volume":"72"},"uris":["http://www.mendeley.com/documents/?uuid=0c4c346c-9f0c-4095-a04f-f41dfac00fd8"]}],"mendeley":{"formattedCitation":"[45–48]","plainTextFormattedCitation":"[45–48]","previouslyFormattedCitation":"[45–48]"},"properties":{"noteIndex":0},"schema":"https://github.com/citation-style-language/schema/raw/master/csl-citation.json"}</w:instrText>
      </w:r>
      <w:r w:rsidRPr="006E6EE8">
        <w:fldChar w:fldCharType="separate"/>
      </w:r>
      <w:r w:rsidRPr="006E6EE8">
        <w:rPr>
          <w:noProof/>
        </w:rPr>
        <w:t>[45–48]</w:t>
      </w:r>
      <w:r w:rsidRPr="006E6EE8">
        <w:fldChar w:fldCharType="end"/>
      </w:r>
      <w:r w:rsidRPr="006E6EE8">
        <w:t xml:space="preserve">, signaling by Rho family GTPases </w:t>
      </w:r>
      <w:r w:rsidRPr="006E6EE8">
        <w:fldChar w:fldCharType="begin" w:fldLock="1"/>
      </w:r>
      <w:r w:rsidRPr="006E6EE8">
        <w:instrText>ADDIN CSL_CITATION {"citationItems":[{"id":"ITEM-1","itemData":{"DOI":"10.1093/hmg/ddq021","ISSN":"09646906","abstract":"Spinal muscular atrophy (SMA) is an inherited disease resulting in the highest mortality of children under the age of two. SMA is caused by mutations or deletions in the survival motor neuron 1 (SMN1) gene, leading to aberrant neuromuscular junction (NMJ) development and the loss of spinal cord alpha-motor neurons. Here, we show that Smn depletion leads to increased activation of RhoA, a major regulator of actin dynamics, in the spinal cord of an intermediate SMA mouse model. Treating these mice with Y-27632, which inhibits ROCK, a direct downstream effector of RhoA, dramatically improves their survival. This lifespan rescue is independent of Smn expression and is accompanied by an improvement in the maturation of the NMJs and an increase in muscle fiber size in the SMA mice. Our study presents evidence linking disruption of actin cytoskeletal dynamics to SMA pathogenesis and, for the first time, identifies RhoA effectors as viable targets for therapeutic intervention in the disease.","author":[{"dropping-particle":"","family":"Bowerman","given":"Mélissa","non-dropping-particle":"","parse-names":false,"suffix":""},{"dropping-particle":"","family":"Beauvais","given":"Ariane","non-dropping-particle":"","parse-names":false,"suffix":""},{"dropping-particle":"","family":"Anderson","given":"Carrie L.","non-dropping-particle":"","parse-names":false,"suffix":""},{"dropping-particle":"","family":"Kothary","given":"Rashmi","non-dropping-particle":"","parse-names":false,"suffix":""}],"container-title":"Human Molecular Genetics","id":"ITEM-1","issue":"8","issued":{"date-parts":[["2010"]]},"page":"1468-1478","title":"Rho-kinase inactivation prolongs survival of an intermediate SMA mouse model","type":"article-journal","volume":"19"},"uris":["http://www.mendeley.com/documents/?uuid=f662ab8e-67e9-4a4c-9a0c-112487e48b4e"]},{"id":"ITEM-2","itemData":{"DOI":"10.1016/j.mcn.2011.12.003","ISSN":"10447431","PMID":"22197680","abstract":"Spinal muscular atrophy (SMA) is a neurodegenerative disease that affects alpha motoneurons in the spinal cord caused by homozygous deletion or specific mutations in the survival motoneuron-1 (SMN1) gene. Cell migration is critical at many stages of nervous system development; to investigate the role of SMN in cell migration, U87MG astroglioma cells were transduced with shSMN lentivectors and about 60% reduction in SMN expression was achieved. In a monolayer wound-healing assay, U87MG SMN-depleted cells exhibit reduced cell migration. In these cells, RhoA was activated and phosphorylated levels of myosin regulatory light chain (MLC), a substrate of the Rho kinase (ROCK), were found increased. The decrease in cell motility was related to activation of RhoA/Rho kinase (ROCK) signaling pathway as treatment with the ROCK inhibitor Y-27632 abrogated both the motility defects and MLC phosphorylation in SMN-depleted cells. As cell migration is regulated by continuous remodeling of the actin cytoskeleton, the actin distribution was studied in SMN-depleted cells. A shift from filamentous to monomeric (globular) actin, involving the disappearance of stress fibers, was observed. In addition, profilin I, an actin-sequestering protein showed an increased expression in SMN-depleted cells. SMN is known to physically interact with profilin, reducing its actin-sequestering activity. The present results suggest that in SMN-depleted cells, the increase in profilin I expression and the reduction in SMN inhibitory action on profilin could lead to reduced filamentous actin polymerization, thus decreasing cell motility. We propose that the alterations reported here in migratory activity in SMN-depleted cells, related to abnormal activation of RhoA/ROCK pathway and increased profilin I expression could have a role in developing nervous system by impairing normal neuron and glial cell migration and thus contributing to disease pathogenesis in SMA. © 2011 Elsevier Inc.","author":[{"dropping-particle":"","family":"Caraballo-Miralles","given":"Víctor","non-dropping-particle":"","parse-names":false,"suffix":""},{"dropping-particle":"","family":"Cardona-Rossinyol","given":"Andrea","non-dropping-particle":"","parse-names":false,"suffix":""},{"dropping-particle":"","family":"Garcera","given":"Ana","non-dropping-particle":"","parse-names":false,"suffix":""},{"dropping-particle":"","family":"Villalonga","given":"Priam","non-dropping-particle":"","parse-names":false,"suffix":""},{"dropping-particle":"","family":"Soler","given":"Rosa M.","non-dropping-particle":"","parse-names":false,"suffix":""},{"dropping-particle":"","family":"Olmos","given":"Gabriel","non-dropping-particle":"","parse-names":false,"suffix":""},{"dropping-particle":"","family":"Lladó","given":"Jerònia","non-dropping-particle":"","parse-names":false,"suffix":""}],"container-title":"Molecular and Cellular Neuroscience","id":"ITEM-2","issue":"3","issued":{"date-parts":[["2012"]]},"page":"282-289","publisher":"Elsevier Inc.","title":"SMN deficiency attenuates migration of U87MG astroglioma cells through the activation of RhoA","type":"article-journal","volume":"49"},"uris":["http://www.mendeley.com/documents/?uuid=c721d0de-dd96-4f45-889d-df5bd4440608"]}],"mendeley":{"formattedCitation":"[58,59]","plainTextFormattedCitation":"[58,59]"},"properties":{"noteIndex":0},"schema":"https://github.com/citation-style-language/schema/raw/master/csl-citation.json"}</w:instrText>
      </w:r>
      <w:r w:rsidRPr="006E6EE8">
        <w:fldChar w:fldCharType="separate"/>
      </w:r>
      <w:r w:rsidRPr="006E6EE8">
        <w:rPr>
          <w:noProof/>
        </w:rPr>
        <w:t>[58,59]</w:t>
      </w:r>
      <w:r w:rsidRPr="006E6EE8">
        <w:fldChar w:fldCharType="end"/>
      </w:r>
      <w:r w:rsidRPr="006E6EE8">
        <w:t xml:space="preserve"> and in semaphorin signaling in neurons via increased cleavage of PlexinD1 in SMA </w:t>
      </w:r>
      <w:r w:rsidRPr="006E6EE8">
        <w:fldChar w:fldCharType="begin" w:fldLock="1"/>
      </w:r>
      <w:r w:rsidRPr="006E6EE8">
        <w:instrText>ADDIN CSL_CITATION {"citationItems":[{"id":"ITEM-1","itemData":{"DOI":"10.1093/hmg/ddx282","ISSN":"14602083","PMID":"29016853","abstract":"Cytoskeletal rearrangement during axon growth is mediated by guidance receptors and their ligands which act either as repellent, attractant or both. Regulation of the actin cytoskeleton is disturbed in Spinal Muscular Atrophy (SMA), a devastating neurodegenerative disease affecting mainly motoneurons, but receptor-ligand interactions leading to the dysregulation causing SMA are poorly understood. In this study, we analysed the role of the guidance receptor PlexinD1 in SMA pathogenesis. We showed that PlexinD1 is cleaved by metalloproteases in SMA and that this cleavage switches its function from an attractant to repellent. Moreover, we found that the PlexinD1 cleavage product binds to actin rods, pathological aggregate-like structures which had so far been described for age-related neurodegenerative diseases. Our data suggest a novel disease mechanism for SMA involving formation of actin rods as a molecular sink for a cleaved PlexinD1 fragment leading to dysregulation of receptor signaling.","author":[{"dropping-particle":"","family":"Rademacher","given":"Sebastian","non-dropping-particle":"","parse-names":false,"suffix":""},{"dropping-particle":"","family":"Verheijen","given":"Bert M.","non-dropping-particle":"","parse-names":false,"suffix":""},{"dropping-particle":"","family":"Hensel","given":"Niko","non-dropping-particle":"","parse-names":false,"suffix":""},{"dropping-particle":"","family":"Peters","given":"Miriam","non-dropping-particle":"","parse-names":false,"suffix":""},{"dropping-particle":"","family":"Bora","given":"Gamze","non-dropping-particle":"","parse-names":false,"suffix":""},{"dropping-particle":"","family":"Brandes","given":"Gudrun","non-dropping-particle":"","parse-names":false,"suffix":""},{"dropping-particle":"","family":"Sá","given":"Renata Vieira","non-dropping-particle":"de","parse-names":false,"suffix":""},{"dropping-particle":"","family":"Heidrich","given":"Natascha","non-dropping-particle":"","parse-names":false,"suffix":""},{"dropping-particle":"","family":"Fischer","given":"Silke","non-dropping-particle":"","parse-names":false,"suffix":""},{"dropping-particle":"","family":"Brinkmann","given":"Hella","non-dropping-particle":"","parse-names":false,"suffix":""},{"dropping-particle":"","family":"Pol","given":"W. Ludo","non-dropping-particle":"van der","parse-names":false,"suffix":""},{"dropping-particle":"","family":"Wirth","given":"Brunhilde","non-dropping-particle":"","parse-names":false,"suffix":""},{"dropping-particle":"","family":"Pasterkamp","given":"R. Jeroen","non-dropping-particle":"","parse-names":false,"suffix":""},{"dropping-particle":"","family":"Claus","given":"Peter","non-dropping-particle":"","parse-names":false,"suffix":""}],"container-title":"Human Molecular Genetics","id":"ITEM-1","issue":"20","issued":{"date-parts":[["2017"]]},"page":"3946-3959","title":"Metalloprotease-mediated cleavage of PlexinD1 and its sequestration to actin rods in the motoneuron disease spinal muscular atrophy (SMA)","type":"article-journal","volume":"26"},"uris":["http://www.mendeley.com/documents/?uuid=b9bb3636-1a5d-4065-b78a-e4c1e5dbf8de"]}],"mendeley":{"formattedCitation":"[60]","plainTextFormattedCitation":"[60]","previouslyFormattedCitation":"[58]"},"properties":{"noteIndex":0},"schema":"https://github.com/citation-style-language/schema/raw/master/csl-citation.json"}</w:instrText>
      </w:r>
      <w:r w:rsidRPr="006E6EE8">
        <w:fldChar w:fldCharType="separate"/>
      </w:r>
      <w:r w:rsidRPr="006E6EE8">
        <w:rPr>
          <w:noProof/>
        </w:rPr>
        <w:t>[60]</w:t>
      </w:r>
      <w:r w:rsidRPr="006E6EE8">
        <w:fldChar w:fldCharType="end"/>
      </w:r>
      <w:r w:rsidRPr="006E6EE8">
        <w:t xml:space="preserve">. Future targeted experiments will be required, however, to verify and understand involvement of specific proteins and pathways in less severe forms of SMA. In addition, knowledge of which pathways are implicated throughout stages of disease development in different SMA severities will be important for the development of non-SMN focused therapies. The lack of molecular and pathway overlap identified across SMA I, II and III in this study further highlights the importance of these considerations, which may lead towards the requirement for a tailored approach to therapy design. </w:t>
      </w:r>
    </w:p>
    <w:p w14:paraId="338524F1" w14:textId="3C197640" w:rsidR="00786B93" w:rsidRPr="006E6EE8" w:rsidRDefault="00786B93" w:rsidP="00595196">
      <w:pPr>
        <w:pStyle w:val="MDPI31text"/>
      </w:pPr>
      <w:r w:rsidRPr="006E6EE8">
        <w:lastRenderedPageBreak/>
        <w:t xml:space="preserve">To further investigate the relevance of the current datasets, and to determine the possible utility of the proteomic changes as prognostic or treatment efficacy biomarkers, the datasets were compared to other published studies of SMA or similar neurological conditions using Analysis Match within IPA. Only studies of skin (fibroblasts) or peripheral blood were included, as obtaining these tissues is less invasive than taking CSF samples or biopsies of internal organs for patients. The finding of a substantial overlap in canonical pathways between the current SMA I fibroblast dataset and that of a previous study of SMA Type I fibroblasts </w:t>
      </w:r>
      <w:r w:rsidRPr="006E6EE8">
        <w:fldChar w:fldCharType="begin" w:fldLock="1"/>
      </w:r>
      <w:r w:rsidRPr="006E6EE8">
        <w:instrText>ADDIN CSL_CITATION {"citationItems":[{"id":"ITEM-1","itemData":{"DOI":"10.1038/s41467-017-01559-4","ISBN":"4146701701559","ISSN":"20411723","PMID":"29133793","abstract":"Small molecule splicing modifiers have been previously described that target the general splicing machinery and thus have low specificity for individual genes. Several potent molecules correcting the splicing deficit of the SMN2 (survival of motor neuron 2) gene have been identified and these molecules are moving towards a potential therapy for spinal muscular atrophy (SMA). Here by using a combination of RNA splicing, transcription, and protein chemistry techniques, we show that these molecules directly bind to two distinct sites of the SMN2 pre-mRNA, thereby stabilizing a yet unidentified ribonucleoprotein (RNP) complex that is critical to the specificity of these small molecules for SMN2 over other genes. In addition to the therapeutic potential of these molecules for treatment of SMA, our work has wide-ranging implications in understanding how small molecules can interact with specific quaternary RNA structures.","author":[{"dropping-particle":"","family":"Sivaramakrishnan","given":"Manaswini","non-dropping-particle":"","parse-names":false,"suffix":""},{"dropping-particle":"","family":"McCarthy","given":"Kathleen D.","non-dropping-particle":"","parse-names":false,"suffix":""},{"dropping-particle":"","family":"Campagne","given":"Sébastien","non-dropping-particle":"","parse-names":false,"suffix":""},{"dropping-particle":"","family":"Huber","given":"Sylwia","non-dropping-particle":"","parse-names":false,"suffix":""},{"dropping-particle":"","family":"Meier","given":"Sonja","non-dropping-particle":"","parse-names":false,"suffix":""},{"dropping-particle":"","family":"Augustin","given":"Angélique","non-dropping-particle":"","parse-names":false,"suffix":""},{"dropping-particle":"","family":"Heckel","given":"Tobias","non-dropping-particle":"","parse-names":false,"suffix":""},{"dropping-particle":"","family":"Meistermann","given":"Hélène","non-dropping-particle":"","parse-names":false,"suffix":""},{"dropping-particle":"","family":"Hug","given":"Melanie N.","non-dropping-particle":"","parse-names":false,"suffix":""},{"dropping-particle":"","family":"Birrer","given":"Pascale","non-dropping-particle":"","parse-names":false,"suffix":""},{"dropping-particle":"","family":"Moursy","given":"Ahmed","non-dropping-particle":"","parse-names":false,"suffix":""},{"dropping-particle":"","family":"Khawaja","given":"Sarah","non-dropping-particle":"","parse-names":false,"suffix":""},{"dropping-particle":"","family":"Schmucki","given":"Roland","non-dropping-particle":"","parse-names":false,"suffix":""},{"dropping-particle":"","family":"Berntenis","given":"Nikos","non-dropping-particle":"","parse-names":false,"suffix":""},{"dropping-particle":"","family":"Giroud","given":"Nicolas","non-dropping-particle":"","parse-names":false,"suffix":""},{"dropping-particle":"","family":"Golling","given":"Sabrina","non-dropping-particle":"","parse-names":false,"suffix":""},{"dropping-particle":"","family":"Tzouros","given":"Manuel","non-dropping-particle":"","parse-names":false,"suffix":""},{"dropping-particle":"","family":"Banfai","given":"Balazs","non-dropping-particle":"","parse-names":false,"suffix":""},{"dropping-particle":"","family":"Duran-Pacheco","given":"Gonzalo","non-dropping-particle":"","parse-names":false,"suffix":""},{"dropping-particle":"","family":"Lamerz","given":"Jens","non-dropping-particle":"","parse-names":false,"suffix":""},{"dropping-particle":"","family":"Hsiu Liu","given":"Ying","non-dropping-particle":"","parse-names":false,"suffix":""},{"dropping-particle":"","family":"Luebbers","given":"Thomas","non-dropping-particle":"","parse-names":false,"suffix":""},{"dropping-particle":"","family":"Ratni","given":"Hasane","non-dropping-particle":"","parse-names":false,"suffix":""},{"dropping-particle":"","family":"Ebeling","given":"Martin","non-dropping-particle":"","parse-names":false,"suffix":""},{"dropping-particle":"","family":"Cléry","given":"Antoine","non-dropping-particle":"","parse-names":false,"suffix":""},{"dropping-particle":"","family":"Paushkin","given":"Sergey","non-dropping-particle":"","parse-names":false,"suffix":""},{"dropping-particle":"","family":"Krainer","given":"Adrian R.","non-dropping-particle":"","parse-names":false,"suffix":""},{"dropping-particle":"","family":"Allain","given":"Frédéric H.T.","non-dropping-particle":"","parse-names":false,"suffix":""},{"dropping-particle":"","family":"Metzger","given":"Friedrich","non-dropping-particle":"","parse-names":false,"suffix":""}],"container-title":"Nature Communications","id":"ITEM-1","issue":"1","issued":{"date-parts":[["2017"]]},"publisher":"Springer US","title":"Binding to SMN2 pre-mRNA-protein complex elicits specificity for small molecule splicing modifiers","type":"article-journal","volume":"8"},"uris":["http://www.mendeley.com/documents/?uuid=532ebada-cc30-4ae6-addb-61e443ddf508"]}],"mendeley":{"formattedCitation":"[27]","plainTextFormattedCitation":"[27]","previouslyFormattedCitation":"[27]"},"properties":{"noteIndex":0},"schema":"https://github.com/citation-style-language/schema/raw/master/csl-citation.json"}</w:instrText>
      </w:r>
      <w:r w:rsidRPr="006E6EE8">
        <w:fldChar w:fldCharType="separate"/>
      </w:r>
      <w:r w:rsidRPr="006E6EE8">
        <w:rPr>
          <w:noProof/>
        </w:rPr>
        <w:t>[27]</w:t>
      </w:r>
      <w:r w:rsidRPr="006E6EE8">
        <w:fldChar w:fldCharType="end"/>
      </w:r>
      <w:r w:rsidRPr="006E6EE8">
        <w:t xml:space="preserve"> and a further 11 datasets (for Diseases &amp; Functions) also meeting the filtering criteria provided validation for the SWATH-MS technique used to generate the Type I dataset. Analysis Match was unable to find any similar studies to the SMA II dataset that met the required criteria. This is probably a result of the greater heterogeneity within this dataset, in contrast, Analysis Match</w:t>
      </w:r>
      <w:r w:rsidR="000F774C">
        <w:t xml:space="preserve"> of the current SMA III dataset</w:t>
      </w:r>
      <w:r w:rsidRPr="006E6EE8">
        <w:t xml:space="preserve"> identified a study with a positive overlap </w:t>
      </w:r>
      <w:r w:rsidRPr="006E6EE8">
        <w:fldChar w:fldCharType="begin" w:fldLock="1"/>
      </w:r>
      <w:r w:rsidRPr="006E6EE8">
        <w:instrText>ADDIN CSL_CITATION {"citationItems":[{"id":"ITEM-1","itemData":{"DOI":"10.1016/j.stem.2017.04.002","ISSN":"18759777","PMID":"28526555","abstract":"Inactivating mutations in the thyroid hormone (TH) transporter Monocarboxylate transporter 8 (MCT8) cause severe psychomotor retardation in children. Animal models do not reflect the biology of the human disease. Using patient-specific induced pluripotent stem cells (iPSCs), we generated MCT8-deficient neural cells that showed normal TH-dependent neuronal properties and maturation. However, the blood-brain barrier (BBB) controls TH entry into the brain, and reduced TH availability to neural cells could instead underlie the diseased phenotype. To test potential BBB involvement, we generated an iPSC-based BBB model of MCT8 deficiency, and we found that MCT8 was necessary for polarized influx of the active form of TH across the BBB. We also found that a candidate drug did not appreciably cross the mutant BBB. Our results therefore clarify the underlying physiological basis of this disorder, and they suggest that circumventing the diseased BBB to deliver active TH to the brain could be a viable therapeutic strategy. Vatine et al. show that human iPSC-based modeling can pinpoint the origin of a neuronal disorder in the brain as a defect in transport of thyroid hormone across the blood-brain barrier, rather than in the neurons themselves.","author":[{"dropping-particle":"","family":"Vatine","given":"Gad D.","non-dropping-particle":"","parse-names":false,"suffix":""},{"dropping-particle":"","family":"Al-Ahmad","given":"Abraham","non-dropping-particle":"","parse-names":false,"suffix":""},{"dropping-particle":"","family":"Barriga","given":"Bianca K.","non-dropping-particle":"","parse-names":false,"suffix":""},{"dropping-particle":"","family":"Svendsen","given":"Soshana","non-dropping-particle":"","parse-names":false,"suffix":""},{"dropping-particle":"","family":"Salim","given":"Ariel","non-dropping-particle":"","parse-names":false,"suffix":""},{"dropping-particle":"","family":"Garcia","given":"Leslie","non-dropping-particle":"","parse-names":false,"suffix":""},{"dropping-particle":"","family":"Garcia","given":"Veronica J.","non-dropping-particle":"","parse-names":false,"suffix":""},{"dropping-particle":"","family":"Ho","given":"Ritchie","non-dropping-particle":"","parse-names":false,"suffix":""},{"dropping-particle":"","family":"Yucer","given":"Nur","non-dropping-particle":"","parse-names":false,"suffix":""},{"dropping-particle":"","family":"Qian","given":"Tongcheng","non-dropping-particle":"","parse-names":false,"suffix":""},{"dropping-particle":"","family":"Lim","given":"Ryan G.","non-dropping-particle":"","parse-names":false,"suffix":""},{"dropping-particle":"","family":"Wu","given":"Jie","non-dropping-particle":"","parse-names":false,"suffix":""},{"dropping-particle":"","family":"Thompson","given":"Leslie M.","non-dropping-particle":"","parse-names":false,"suffix":""},{"dropping-particle":"","family":"Spivia","given":"Weston R.","non-dropping-particle":"","parse-names":false,"suffix":""},{"dropping-particle":"","family":"Chen","given":"Zhaohui","non-dropping-particle":"","parse-names":false,"suffix":""},{"dropping-particle":"","family":"Eyk","given":"Jennifer","non-dropping-particle":"Van","parse-names":false,"suffix":""},{"dropping-particle":"","family":"Palecek","given":"Sean P.","non-dropping-particle":"","parse-names":false,"suffix":""},{"dropping-particle":"","family":"Refetoff","given":"Samuel","non-dropping-particle":"","parse-names":false,"suffix":""},{"dropping-particle":"V.","family":"Shusta","given":"Eric","non-dropping-particle":"","parse-names":false,"suffix":""},{"dropping-particle":"","family":"Svendsen","given":"Clive N.","non-dropping-particle":"","parse-names":false,"suffix":""}],"container-title":"Cell Stem Cell","id":"ITEM-1","issue":"6","issued":{"date-parts":[["2017"]]},"page":"831-843.e5","title":"Modeling Psychomotor Retardation using iPSCs from MCT8-Deficient Patients Indicates a Prominent Role for the Blood-Brain Barrier","type":"article-journal","volume":"20"},"uris":["http://www.mendeley.com/documents/?uuid=365faba8-84c5-4b38-bf0f-edcb638a2c88"]}],"mendeley":{"formattedCitation":"[28]","plainTextFormattedCitation":"[28]","previouslyFormattedCitation":"[28]"},"properties":{"noteIndex":0},"schema":"https://github.com/citation-style-language/schema/raw/master/csl-citation.json"}</w:instrText>
      </w:r>
      <w:r w:rsidRPr="006E6EE8">
        <w:fldChar w:fldCharType="separate"/>
      </w:r>
      <w:r w:rsidRPr="006E6EE8">
        <w:rPr>
          <w:noProof/>
        </w:rPr>
        <w:t>[28]</w:t>
      </w:r>
      <w:r w:rsidRPr="006E6EE8">
        <w:fldChar w:fldCharType="end"/>
      </w:r>
      <w:r w:rsidRPr="006E6EE8">
        <w:t xml:space="preserve"> in which fibroblasts were used to investigate neurologic manifestations, and a further 26 datasets that made the cut-off when Disease &amp; Functions were considered, of which two involved fibroblasts from SMA patients. These findings further support the use of SMA fibroblasts as a biologically relevant source of material to aid identification of disease biomarkers, since their proteome profiles overlap with profiles detected in studies of peripherally accessible tissue and biofluids from SMA and other neurological conditions.</w:t>
      </w:r>
    </w:p>
    <w:p w14:paraId="15E70D6A" w14:textId="77777777" w:rsidR="00786B93" w:rsidRPr="006E6EE8" w:rsidRDefault="00786B93" w:rsidP="00595196">
      <w:pPr>
        <w:pStyle w:val="MDPI31text"/>
      </w:pPr>
      <w:r w:rsidRPr="006E6EE8">
        <w:t xml:space="preserve">From the BioLayout Express3D analysis IMP1 was chosen as a candidate for discriminating both Type I and III SMA fibroblasts as the SWATH-MS data showed an increase in Type I fibroblasts and a decrease in Type III, with western blots confirming the latter. IMP1 is involved in various biological processes including nervous system development, neuronal stem cell maintenance and mRNA stabilization and transport. It is actively transported in motor neuron axons where it associates with SMN in individual granules </w:t>
      </w:r>
      <w:r w:rsidRPr="006E6EE8">
        <w:fldChar w:fldCharType="begin" w:fldLock="1"/>
      </w:r>
      <w:r w:rsidRPr="006E6EE8">
        <w:instrText>ADDIN CSL_CITATION {"citationItems":[{"id":"ITEM-1","itemData":{"DOI":"10.1002/dneu.22111","ISSN":"19328451","PMID":"23897586","abstract":"Spinal muscular atrophy (SMA) is a lethal neurodegenerative disease specifically affecting spinal motor neurons. SMA is caused by the homozygous deletion or mutation of the survival of motor neuron 1 (SMN1) gene. The SMN protein plays an essential role in the assembly of spliceosomal ribonucleoproteins. However, it is still unclear how low levels of the ubiquitously expressed SMN protein lead to the selective degeneration of motor neurons. An additional role for SMN in the regulation of the axonal transport of mRNA-binding proteins (mRBPs) and their target mRNAs has been proposed. Indeed, several mRBPs have been shown to interact with SMN, and the axonal levels of few mRNAs, such as the β-actin mRNA, are reduced in SMA motor neurons. In this study we have identified the β-actin mRNA-binding protein IMP1/ZBP1 as a novel SMN-interacting protein. Using a combination of biochemical assays and quantitative imaging techniques in primary motor neurons, we show that IMP1 associates with SMN in individual granules that are actively transported in motor neuron axons. Furthermore, we demonstrate that IMP1 axonal localization depends on SMN levels, and that SMN deficiency in SMA motor neurons leads to a dramatic reduction of IMP1 protein levels. In contrast, no difference in IMP1 protein levels was detected in whole brain lysates from SMA mice, further suggesting neuron specific roles of SMN in IMP1 expression and localization. Taken together, our data support a role for SMN in the regulation of mRNA localization and axonal transport through its interaction with mRBPs such as IMP1. © 2013 Wiley Periodicals, Inc.","author":[{"dropping-particle":"","family":"Fallini","given":"Claudia","non-dropping-particle":"","parse-names":false,"suffix":""},{"dropping-particle":"","family":"Rouanet","given":"Jeremy P.","non-dropping-particle":"","parse-names":false,"suffix":""},{"dropping-particle":"","family":"Donlin-Asp","given":"Paul G.","non-dropping-particle":"","parse-names":false,"suffix":""},{"dropping-particle":"","family":"Guo","given":"Peng","non-dropping-particle":"","parse-names":false,"suffix":""},{"dropping-particle":"","family":"Zhang","given":"Honglai","non-dropping-particle":"","parse-names":false,"suffix":""},{"dropping-particle":"","family":"Singer","given":"Robert H.","non-dropping-particle":"","parse-names":false,"suffix":""},{"dropping-particle":"","family":"Rossoll","given":"Wilfried","non-dropping-particle":"","parse-names":false,"suffix":""},{"dropping-particle":"","family":"Bassell","given":"Gary J.","non-dropping-particle":"","parse-names":false,"suffix":""}],"container-title":"Developmental Neurobiology","id":"ITEM-1","issue":"3","issued":{"date-parts":[["2014"]]},"page":"319-332","title":"Dynamics of survival of motor neuron (SMN) protein interaction with the mRNA-binding protein IMP1 facilitates its trafficking into motor neuron axons","type":"article-journal","volume":"74"},"uris":["http://www.mendeley.com/documents/?uuid=331fcb4f-fa31-4320-aa09-da8b284dcfbd"]}],"mendeley":{"formattedCitation":"[63]","plainTextFormattedCitation":"[63]","previouslyFormattedCitation":"[61]"},"properties":{"noteIndex":0},"schema":"https://github.com/citation-style-language/schema/raw/master/csl-citation.json"}</w:instrText>
      </w:r>
      <w:r w:rsidRPr="006E6EE8">
        <w:fldChar w:fldCharType="separate"/>
      </w:r>
      <w:r w:rsidRPr="006E6EE8">
        <w:rPr>
          <w:noProof/>
        </w:rPr>
        <w:t>[61]</w:t>
      </w:r>
      <w:r w:rsidRPr="006E6EE8">
        <w:fldChar w:fldCharType="end"/>
      </w:r>
      <w:r w:rsidRPr="006E6EE8">
        <w:t xml:space="preserve">. When SMN levels are low, IMP1 is also reduced, and it is suggested that over time deficient levels of SMN may result in IMP1 instability and degradation </w:t>
      </w:r>
      <w:r w:rsidRPr="006E6EE8">
        <w:fldChar w:fldCharType="begin" w:fldLock="1"/>
      </w:r>
      <w:r w:rsidRPr="006E6EE8">
        <w:instrText>ADDIN CSL_CITATION {"citationItems":[{"id":"ITEM-1","itemData":{"DOI":"10.1002/dneu.22111","ISSN":"19328451","PMID":"23897586","abstract":"Spinal muscular atrophy (SMA) is a lethal neurodegenerative disease specifically affecting spinal motor neurons. SMA is caused by the homozygous deletion or mutation of the survival of motor neuron 1 (SMN1) gene. The SMN protein plays an essential role in the assembly of spliceosomal ribonucleoproteins. However, it is still unclear how low levels of the ubiquitously expressed SMN protein lead to the selective degeneration of motor neurons. An additional role for SMN in the regulation of the axonal transport of mRNA-binding proteins (mRBPs) and their target mRNAs has been proposed. Indeed, several mRBPs have been shown to interact with SMN, and the axonal levels of few mRNAs, such as the β-actin mRNA, are reduced in SMA motor neurons. In this study we have identified the β-actin mRNA-binding protein IMP1/ZBP1 as a novel SMN-interacting protein. Using a combination of biochemical assays and quantitative imaging techniques in primary motor neurons, we show that IMP1 associates with SMN in individual granules that are actively transported in motor neuron axons. Furthermore, we demonstrate that IMP1 axonal localization depends on SMN levels, and that SMN deficiency in SMA motor neurons leads to a dramatic reduction of IMP1 protein levels. In contrast, no difference in IMP1 protein levels was detected in whole brain lysates from SMA mice, further suggesting neuron specific roles of SMN in IMP1 expression and localization. Taken together, our data support a role for SMN in the regulation of mRNA localization and axonal transport through its interaction with mRBPs such as IMP1. © 2013 Wiley Periodicals, Inc.","author":[{"dropping-particle":"","family":"Fallini","given":"Claudia","non-dropping-particle":"","parse-names":false,"suffix":""},{"dropping-particle":"","family":"Rouanet","given":"Jeremy P.","non-dropping-particle":"","parse-names":false,"suffix":""},{"dropping-particle":"","family":"Donlin-Asp","given":"Paul G.","non-dropping-particle":"","parse-names":false,"suffix":""},{"dropping-particle":"","family":"Guo","given":"Peng","non-dropping-particle":"","parse-names":false,"suffix":""},{"dropping-particle":"","family":"Zhang","given":"Honglai","non-dropping-particle":"","parse-names":false,"suffix":""},{"dropping-particle":"","family":"Singer","given":"Robert H.","non-dropping-particle":"","parse-names":false,"suffix":""},{"dropping-particle":"","family":"Rossoll","given":"Wilfried","non-dropping-particle":"","parse-names":false,"suffix":""},{"dropping-particle":"","family":"Bassell","given":"Gary J.","non-dropping-particle":"","parse-names":false,"suffix":""}],"container-title":"Developmental Neurobiology","id":"ITEM-1","issue":"3","issued":{"date-parts":[["2014"]]},"page":"319-332","title":"Dynamics of survival of motor neuron (SMN) protein interaction with the mRNA-binding protein IMP1 facilitates its trafficking into motor neuron axons","type":"article-journal","volume":"74"},"uris":["http://www.mendeley.com/documents/?uuid=331fcb4f-fa31-4320-aa09-da8b284dcfbd"]}],"mendeley":{"formattedCitation":"[63]","plainTextFormattedCitation":"[63]","previouslyFormattedCitation":"[61]"},"properties":{"noteIndex":0},"schema":"https://github.com/citation-style-language/schema/raw/master/csl-citation.json"}</w:instrText>
      </w:r>
      <w:r w:rsidRPr="006E6EE8">
        <w:fldChar w:fldCharType="separate"/>
      </w:r>
      <w:r w:rsidRPr="006E6EE8">
        <w:rPr>
          <w:noProof/>
        </w:rPr>
        <w:t>[61]</w:t>
      </w:r>
      <w:r w:rsidRPr="006E6EE8">
        <w:fldChar w:fldCharType="end"/>
      </w:r>
      <w:r w:rsidRPr="006E6EE8">
        <w:t xml:space="preserve">. PYGB was significantly increased in just the Type I SMA fibroblasts, and is a cytoplasmic enzyme involved in glycogen mobilization and metabolism. RAB3B is another cytoplasmic enzyme involved in neurotransmitter regulation, exocytosis and protein transport </w:t>
      </w:r>
      <w:r w:rsidRPr="006E6EE8">
        <w:fldChar w:fldCharType="begin" w:fldLock="1"/>
      </w:r>
      <w:r w:rsidRPr="006E6EE8">
        <w:instrText>ADDIN CSL_CITATION {"citationItems":[{"id":"ITEM-1","itemData":{"DOI":"10.1073/pnas.0912193106","ISSN":"00278424","PMID":"20007772","abstract":"In Parkinson's disease (PD), dopaminergic (DA) neurons in the substantia nigra (SN, A9) are particularly vulnerable, compared to adjacent DA neurons within the ventral tegmental area (VTA, A10). Here, weshow that in rat and human, one RAB3 isoform, RAB3B, has higher expression levels in A10 compared to A9 neurons. RAB3 is a monomeric GTPase protein that is highly enriched in synaptic vesicles and is involved in synaptic vesicle trafficking and synaptic transmission, disturbances of which have been implicated in several neurodegenerative diseases, including PD. These findings prompted us to further investigate the biology and neuroprotective capacity of RAB3B both in vitro and in vivo. RAB3B overexpression in human dopaminergic BE (2)-M17 cells increased neurotransmitter content, [3H] dopamine uptake, and levels of presynaptic proteins. AAV-mediated RAB3B overexpression in A9DAneurons of the rat SN increased striatal dopamine content, number and size of synaptic vesicles, and levels of the presynaptic proteins, confirming in vitro findings. Measurement of extracellular DOPAC, a dopamine metabolite, following L-DOPA injection supported a role for RAB3B in enhancing the dopamine storage capacity of synaptic terminals. RAB3B overexpression in BE (2)-M17 cells was protective against toxins that simulate aspects of PD in vitro, including an oxidative stressor 6-hydroxydopamine (6-OHDA) and a proteasome inhibitor MG-132. Furthermore, RAB3B overexpression in rat SN both protected A9 DA neurons and resulted in behavioral improvement in a 6-OHDA retrograde lesion model of PD. These results suggest that RAB3B improves dopamine handling and storage capacity at presynaptic terminals, and confers protection to vulnerable DA neurons.","author":[{"dropping-particle":"","family":"Chung","given":"Chee Yeun","non-dropping-particle":"","parse-names":false,"suffix":""},{"dropping-particle":"","family":"Koprich","given":"James B.","non-dropping-particle":"","parse-names":false,"suffix":""},{"dropping-particle":"","family":"Hallett","given":"Penelope J.","non-dropping-particle":"","parse-names":false,"suffix":""},{"dropping-particle":"","family":"Isacson","given":"Ole","non-dropping-particle":"","parse-names":false,"suffix":""}],"container-title":"Proceedings of the National Academy of Sciences of the United States of America","id":"ITEM-1","issue":"52","issued":{"date-parts":[["2009"]]},"page":"22474-22479","title":"Functional enhancement and protection of dopaminergic terminals by RAB3B overexpression","type":"article-journal","volume":"106"},"uris":["http://www.mendeley.com/documents/?uuid=2900083a-d66d-42b7-8465-5f843bbbad8d"]}],"mendeley":{"formattedCitation":"[64]","plainTextFormattedCitation":"[64]","previouslyFormattedCitation":"[62]"},"properties":{"noteIndex":0},"schema":"https://github.com/citation-style-language/schema/raw/master/csl-citation.json"}</w:instrText>
      </w:r>
      <w:r w:rsidRPr="006E6EE8">
        <w:fldChar w:fldCharType="separate"/>
      </w:r>
      <w:r w:rsidRPr="006E6EE8">
        <w:rPr>
          <w:noProof/>
        </w:rPr>
        <w:t>[62]</w:t>
      </w:r>
      <w:r w:rsidRPr="006E6EE8">
        <w:fldChar w:fldCharType="end"/>
      </w:r>
      <w:r w:rsidRPr="006E6EE8">
        <w:t xml:space="preserve"> and was found to be significantly increased in just the Type II fibroblasts. The final candidate biomarker was STAT1, a latent transcription factor that translocates to the nucleus when activated following phosphorylation </w:t>
      </w:r>
      <w:r w:rsidRPr="006E6EE8">
        <w:fldChar w:fldCharType="begin" w:fldLock="1"/>
      </w:r>
      <w:r w:rsidRPr="006E6EE8">
        <w:instrText>ADDIN CSL_CITATION {"citationItems":[{"id":"ITEM-1","itemData":{"DOI":"10.1039/b606246f","ISSN":"1742206X","PMID":"17216035","abstract":"The Signal Transducer and Activator of Transcription (STAT) family of proteins was first discovered in the 1990's as key proteins in cytokine signaling. Since then, the field has greatly advanced in the past 15 years, providing significant insight into the structure, function, and regulation of STATs. STATs are latent cytoplasmic transcription factors consisting of seven mammalian members. They are Tyr phosphorylated upon activation, a post-translational modification critical for dimerization, nuclear import, DNA binding, and transcriptional activation. In recent years, unphosphorylated STATs have also been observed to dimerize and drive transcription, albeit by yet an obscure mechanism. In addition, the function of cytoplasmic STATs is beginning to emerge. Here, we describe the structure, function, and regulation of both unphosphorylated and phosphorylated STATs. STAT isoforms from alternative splicing or proteolytic processing, and post-translational modifications affecting STAT activities are also discussed. © The Royal Society of Chemistry 2006.","author":[{"dropping-particle":"","family":"Lim","given":"Cheh Peng","non-dropping-particle":"","parse-names":false,"suffix":""},{"dropping-particle":"","family":"Cao","given":"Xinmin","non-dropping-particle":"","parse-names":false,"suffix":""}],"container-title":"Molecular BioSystems","id":"ITEM-1","issue":"11","issued":{"date-parts":[["2006"]]},"page":"536-550","title":"Structure, function, and regulation of STAT proteins","type":"article-journal","volume":"2"},"uris":["http://www.mendeley.com/documents/?uuid=a01493f1-43c1-4ddc-b784-eb68cbb473ea"]}],"mendeley":{"formattedCitation":"[65]","plainTextFormattedCitation":"[65]","previouslyFormattedCitation":"[63]"},"properties":{"noteIndex":0},"schema":"https://github.com/citation-style-language/schema/raw/master/csl-citation.json"}</w:instrText>
      </w:r>
      <w:r w:rsidRPr="006E6EE8">
        <w:fldChar w:fldCharType="separate"/>
      </w:r>
      <w:r w:rsidRPr="006E6EE8">
        <w:rPr>
          <w:noProof/>
        </w:rPr>
        <w:t>[63]</w:t>
      </w:r>
      <w:r w:rsidRPr="006E6EE8">
        <w:fldChar w:fldCharType="end"/>
      </w:r>
      <w:r w:rsidRPr="006E6EE8">
        <w:t xml:space="preserve"> which is involved in processes such as apoptosis, proliferation, differentiation, cell death and growth. STAT1 was found to be significantly increased in Type III fibroblasts, and along with IMP1 and PYGB, is found within axons. Of the four proteins, however, only RAB3B showed a response to increased SMN levels, suggesting that RAB3B expression is SMN-dependent. Although all the SMA fibroblasts were successfully transfected, the transfection was only carried out at one DNA concentration and the cells harvested at one timepoint. It is therefore possible that alternate transfection conditions may produce different outcomes for the proteins under investigation.  It is also quite plausible that dysregulated proteins identified here could be pathologically relevant and / or suitable as putative biomarkers even if their expression is not SMN-dependent. Although </w:t>
      </w:r>
      <w:r w:rsidRPr="006E6EE8">
        <w:rPr>
          <w:i/>
          <w:iCs/>
        </w:rPr>
        <w:t>SMN2</w:t>
      </w:r>
      <w:r w:rsidRPr="006E6EE8">
        <w:t xml:space="preserve"> copy number sometimes correlates with SMA phenotype, this is not the case for all SMA patients </w:t>
      </w:r>
      <w:r w:rsidRPr="006E6EE8">
        <w:fldChar w:fldCharType="begin" w:fldLock="1"/>
      </w:r>
      <w:r w:rsidRPr="006E6EE8">
        <w:instrText>ADDIN CSL_CITATION {"citationItems":[{"id":"ITEM-1","itemData":{"DOI":"10.1146/annurev-genom-102319-103602","ISSN":"1545293X","PMID":"32004094","abstract":"Twenty-five years ago, the underlying genetic cause for one of the most common and devastating inherited diseases in humans, spinal muscular atrophy (SMA), was identified. Homozygous deletions or, rarely, subtle mutations of SMN1 cause SMA, and the copy number of the nearly identical copy gene SMN2 inversely correlates with disease severity. SMA has become a paradigm and a prime example of a monogenic neurological disorder that can be efficiently ameliorated or nearly cured by novel therapeutic strategies, such as antisense oligonucleotide or gene replacement therapy. These therapies enable infants to survive who might otherwise have died before the age of two and allow individuals who have never been able to sit or walk to do both. The major milestones on the road to these therapies were to understand the genetic cause and splice regulation of SMN genes, the disease's phenotype-genotype variability, the function of the protein and the main affected cellular pathways and tissues, the disease's pathophysiology through research on animal models, the windows of opportunity for efficient treatment, and how and when to treat patients most effectively.This review aims to bridge our knowledge from phenotype to genotype to therapy, not only highlighting the significant advances so far but also speculating about the future of SMA screening and treatment.","author":[{"dropping-particle":"","family":"Wirth","given":"Brunhilde","non-dropping-particle":"","parse-names":false,"suffix":""},{"dropping-particle":"","family":"Karakaya","given":"Mert","non-dropping-particle":"","parse-names":false,"suffix":""},{"dropping-particle":"","family":"Kye","given":"Min Jeong","non-dropping-particle":"","parse-names":false,"suffix":""},{"dropping-particle":"","family":"Mendoza-Ferreira","given":"Natalia","non-dropping-particle":"","parse-names":false,"suffix":""}],"container-title":"Annual Review of Genomics and Human Genetics","id":"ITEM-1","issued":{"date-parts":[["2020"]]},"page":"231-261","title":"Twenty-Five Years of Spinal Muscular Atrophy Research: From Phenotype to Genotype to Therapy, and What Comes Next","type":"article-journal","volume":"21"},"uris":["http://www.mendeley.com/documents/?uuid=218513b4-375b-4fac-a4c4-702b66cbbb92"]},{"id":"ITEM-2","itemData":{"DOI":"10.1016/j.nmd.2018.01.003","ISSN":"18732364","PMID":"29433793","abstract":"Spinal muscular atrophy (SMA) is a neuromuscular disorder caused by loss or mutations in SMN1. According to age of onset, achieved motor abilities, and life span, SMA patients are classified into type I (never sit), II (never walk unaided) or III (achieve independent walking abilities). SMN2, the highly homologous copy of SMN1, is considered the most important phenotypic modifier of the disease. Determination of SMN2 copy number is essential to establish careful genotype–phenotype correlations, predict disease evolution, and to stratify patients for clinical trials. We have determined SMN2 copy numbers in 625 unrelated Spanish SMA patients with loss or mutation of both copies of SMN1 and a clear assignation of the SMA type by clinical criteria. Furthermore, we compiled data from relevant worldwide reports that link SMN2 copy number with SMA severity published from 1999 to date (2834 patients with different ethnic and geographic backgrounds). Altogether, we have assembled a database with a total of 3459 patients to delineate more universal prognostic rules regarding the influence of SMN2 copy number on SMA phenotype. This issue is crucial in the present scenario of therapeutic advances with the perspective of SMA neonatal screening and early diagnosis to initiate treatments.","author":[{"dropping-particle":"","family":"Calucho","given":"Maite","non-dropping-particle":"","parse-names":false,"suffix":""},{"dropping-particle":"","family":"Bernal","given":"Sara","non-dropping-particle":"","parse-names":false,"suffix":""},{"dropping-particle":"","family":"Alías","given":"Laura","non-dropping-particle":"","parse-names":false,"suffix":""},{"dropping-particle":"","family":"March","given":"Francesca","non-dropping-particle":"","parse-names":false,"suffix":""},{"dropping-particle":"","family":"Venceslá","given":"Adoración","non-dropping-particle":"","parse-names":false,"suffix":""},{"dropping-particle":"","family":"Rodríguez-Álvarez","given":"Francisco J.","non-dropping-particle":"","parse-names":false,"suffix":""},{"dropping-particle":"","family":"Aller","given":"Elena","non-dropping-particle":"","parse-names":false,"suffix":""},{"dropping-particle":"","family":"Fernández","given":"Raquel M.","non-dropping-particle":"","parse-names":false,"suffix":""},{"dropping-particle":"","family":"Borrego","given":"Salud","non-dropping-particle":"","parse-names":false,"suffix":""},{"dropping-particle":"","family":"Millán","given":"José M.","non-dropping-particle":"","parse-names":false,"suffix":""},{"dropping-particle":"","family":"Hernández-Chico","given":"Concepción","non-dropping-particle":"","parse-names":false,"suffix":""},{"dropping-particle":"","family":"Cuscó","given":"Ivon","non-dropping-particle":"","parse-names":false,"suffix":""},{"dropping-particle":"","family":"Fuentes-Prior","given":"Pablo","non-dropping-particle":"","parse-names":false,"suffix":""},{"dropping-particle":"","family":"Tizzano","given":"Eduardo F.","non-dropping-particle":"","parse-names":false,"suffix":""}],"container-title":"Neuromuscular Disorders","id":"ITEM-2","issue":"3","issued":{"date-parts":[["2018"]]},"page":"208-215","publisher":"Elsevier B.V.","title":"Correlation between SMA type and SMN2 copy number revisited: An analysis of 625 unrelated Spanish patients and a compilation of 2834 reported cases","type":"article-journal","volume":"28"},"uris":["http://www.mendeley.com/documents/?uuid=4933b594-8a61-49ef-884f-5ae33d1ee0e8"]}],"mendeley":{"formattedCitation":"[14,15]","plainTextFormattedCitation":"[14,15]","previouslyFormattedCitation":"[14,15]"},"properties":{"noteIndex":0},"schema":"https://github.com/citation-style-language/schema/raw/master/csl-citation.json"}</w:instrText>
      </w:r>
      <w:r w:rsidRPr="006E6EE8">
        <w:fldChar w:fldCharType="separate"/>
      </w:r>
      <w:r w:rsidRPr="006E6EE8">
        <w:rPr>
          <w:noProof/>
        </w:rPr>
        <w:t>[14,15]</w:t>
      </w:r>
      <w:r w:rsidRPr="006E6EE8">
        <w:fldChar w:fldCharType="end"/>
      </w:r>
      <w:r w:rsidRPr="006E6EE8">
        <w:t xml:space="preserve">, as supported by findings here that there were SMA patients in each severity classification (Type I, II and III) with three copies of SMN2, while a Type III SMA patient was identified with only two copies of SMN2. This raises a question of how other molecules, which may be unrelated to SMN levels or activity, might modify SMA severity. Considerable support for this notion comes from knowledge of the well-characterised SMA disease modifier, PLS3, as described above. </w:t>
      </w:r>
    </w:p>
    <w:p w14:paraId="5BFA6982" w14:textId="0F00EAA7" w:rsidR="00786B93" w:rsidRPr="006E6EE8" w:rsidRDefault="00786B93" w:rsidP="00595196">
      <w:pPr>
        <w:pStyle w:val="MDPI31text"/>
      </w:pPr>
      <w:r w:rsidRPr="006E6EE8">
        <w:t xml:space="preserve">Overall, this study has highlighted the utility of using fibroblasts to identify the molecular profiles and pathways associated with different SMA severities. With further work to verify findings, some of these proteins and pathways may form the foundation to elicit biomarkers for SMA research and treatment monitoring or alternative pathways to target for severity-specific treatments. Although the main degradative process in SMA is loss of </w:t>
      </w:r>
      <w:r w:rsidRPr="006E6EE8">
        <w:lastRenderedPageBreak/>
        <w:t xml:space="preserve">motor neurons and muscle wasting, SMN is ubiquitously expressed in all cells, and in this and other studies, there is a clear decrease in SMN levels in fibroblasts. This study has highlighted proteomic, and consequently, altered biological processes that can be attributed to a specific SMA severity. In addition, using IPA, findings in the current study were matched to other research data, demonstrating robust findings that were not only carried out on other fibroblasts, but could be matched to peripheral blood analyses. A study in which SMA fibroblasts were used to generate induced pluripotent stem (iPS) cells which were subsequently used to generate motor neurons, enabled specific analysis of motor neurons affected by SMA </w:t>
      </w:r>
      <w:r w:rsidRPr="006E6EE8">
        <w:fldChar w:fldCharType="begin" w:fldLock="1"/>
      </w:r>
      <w:r w:rsidRPr="006E6EE8">
        <w:instrText>ADDIN CSL_CITATION {"citationItems":[{"id":"ITEM-1","itemData":{"DOI":"10.1038/nature07677.Induced","abstract":"Spinal muscular atrophy (SMA) is one of the most common inherited forms of neurological disease leading to infant mortality. Patients exhibit selective loss of lower motor neurons resulting in muscle weakness, paralysis, and often death. Although patient fibroblasts have been used extensively to study SMA, motor neurons have a unique anatomy and physiology which may underlie their vulnerability to the disease process. Here we report the generation of induced pluripotent stem (iPS) cells from skin fibroblast samples taken from a child with SMA. These cells expanded robustly in culture, maintained the disease genotype, and generated motor neurons that showed selective deficits compared to those derived from the child's unaffected mother. This is the first study to show human iPS cells can be used to model the specific pathology seen in a genetically inherited disease. As such, it represents a promising resource to study disease mechanisms, screen novel drug compounds, and develop new therapies.","author":[{"dropping-particle":"","family":"Ebert","given":"Allison D","non-dropping-particle":"","parse-names":false,"suffix":""},{"dropping-particle":"","family":"Yu","given":"Junying","non-dropping-particle":"","parse-names":false,"suffix":""},{"dropping-particle":"","family":"Rose Jr","given":"Ferrill F","non-dropping-particle":"","parse-names":false,"suffix":""},{"dropping-particle":"","family":"Mattis","given":"Virginia B","non-dropping-particle":"","parse-names":false,"suffix":""},{"dropping-particle":"","family":"Lorson","given":"Christian L","non-dropping-particle":"","parse-names":false,"suffix":""},{"dropping-particle":"","family":"Thomson","given":"James A","non-dropping-particle":"","parse-names":false,"suffix":""},{"dropping-particle":"","family":"Svendsen","given":"Clive N","non-dropping-particle":"","parse-names":false,"suffix":""}],"id":"ITEM-1","issue":"7227","issued":{"date-parts":[["2009"]]},"page":"277-280","title":"Induced pluripotent stem cells from a spinal muscular atrophy patient","type":"article-journal","volume":"457"},"uris":["http://www.mendeley.com/documents/?uuid=72d638dd-3728-4c39-b371-d0e9785b9aa1"]}],"mendeley":{"formattedCitation":"[66]","plainTextFormattedCitation":"[66]","previouslyFormattedCitation":"[64]"},"properties":{"noteIndex":0},"schema":"https://github.com/citation-style-language/schema/raw/master/csl-citation.json"}</w:instrText>
      </w:r>
      <w:r w:rsidRPr="006E6EE8">
        <w:fldChar w:fldCharType="separate"/>
      </w:r>
      <w:r w:rsidRPr="006E6EE8">
        <w:rPr>
          <w:noProof/>
        </w:rPr>
        <w:t>[64]</w:t>
      </w:r>
      <w:r w:rsidRPr="006E6EE8">
        <w:fldChar w:fldCharType="end"/>
      </w:r>
      <w:r w:rsidRPr="006E6EE8">
        <w:t xml:space="preserve">. The aim of this study was to establish whether differentially expressed proteins are detectable in each SMA Type. Future studies are now warranted to verify the potential of the dysregulated proteins to act as biomarkers to monitor treatment efficacy, similarly to a recent study where the proteomic profile of fibroblasts from human skin were used to study the molecular aetiology of rare neurological diseases </w:t>
      </w:r>
      <w:r w:rsidRPr="006E6EE8">
        <w:fldChar w:fldCharType="begin" w:fldLock="1"/>
      </w:r>
      <w:r w:rsidRPr="006E6EE8">
        <w:instrText>ADDIN CSL_CITATION {"citationItems":[{"id":"ITEM-1","itemData":{"DOI":"10.1186/s13023-020-01669-1","ISSN":"17501172","PMID":"33563298","abstract":"Background: The elucidation of pathomechanisms leading to the manifestation of rare (genetically caused) neurological diseases including neuromuscular diseases (NMD) represents an important step toward the understanding of the genesis of the respective disease and might help to define starting points for (new) therapeutic intervention concepts. However, these “discovery studies” are often limited by the availability of human biomaterial. Moreover, given that results of next-generation-sequencing approaches frequently result in the identification of ambiguous variants, testing of their pathogenicity is crucial but also depending on patient-derived material. Methods: Human skin fibroblasts were used to generate a spectral library using pH8-fractionation of followed by nano LC-MS/MS. Afterwards, Allgrove-patient derived fibroblasts were subjected to a data independent acquisition approach. In addition, proteomic signature of an enriched nuclear protein fraction was studied. Proteomic findings were confirmed by immunofluorescence in a muscle biopsy derived from the same patient and cellular lipid homeostasis in the cause of Allgrove syndrome was analysed by fluorescence (BODIPY-staining) and coherent anti-Stokes Raman scattering (CARS) microscopy. Results: To systematically address the question if human skin fibroblasts might serve as valuable biomaterial for (molecular) studies of NMD, we generated a protein library cataloguing 8280 proteins including a variety of such linked to genetic forms of motoneuron diseases, congenital myasthenic syndromes, neuropathies and muscle disorders. In silico-based pathway analyses revealed expression of a diversity of proteins involved in muscle contraction and such decisive for neuronal function and maintenance suggesting the suitability of human skin fibroblasts to study the etiology of NMD. Based on these findings, next we aimed to further demonstrate the suitability of this in vitro model to study NMD by a use case: the proteomic signature of fibroblasts derived from an Allgrove-patient was studied. Dysregulation of paradigmatic proteins could be confirmed in muscle biopsy of the patient and protein-functions could be linked to neurological symptoms known for this disease. Moreover, proteomic investigation of nuclear protein composition allowed the identification of protein-dysregulations according with structural perturbations observed in the muscle biopsy. BODIPY-staining on fibroblasts and CARS microscopy on muscle…","author":[{"dropping-particle":"","family":"Hentschel","given":"Andreas","non-dropping-particle":"","parse-names":false,"suffix":""},{"dropping-particle":"","family":"Czech","given":"Artur","non-dropping-particle":"","parse-names":false,"suffix":""},{"dropping-particle":"","family":"Münchberg","given":"Ute","non-dropping-particle":"","parse-names":false,"suffix":""},{"dropping-particle":"","family":"Freier","given":"Erik","non-dropping-particle":"","parse-names":false,"suffix":""},{"dropping-particle":"","family":"Schara-Schmidt","given":"Ulrike","non-dropping-particle":"","parse-names":false,"suffix":""},{"dropping-particle":"","family":"Sickmann","given":"Albert","non-dropping-particle":"","parse-names":false,"suffix":""},{"dropping-particle":"","family":"Reimann","given":"Jens","non-dropping-particle":"","parse-names":false,"suffix":""},{"dropping-particle":"","family":"Roos","given":"Andreas","non-dropping-particle":"","parse-names":false,"suffix":""}],"container-title":"Orphanet Journal of Rare Diseases","id":"ITEM-1","issue":"1","issued":{"date-parts":[["2021"]]},"page":"1-18","publisher":"BioMed Central","title":"Protein signature of human skin fibroblasts allows the study of the molecular etiology of rare neurological diseases","type":"article-journal","volume":"16"},"uris":["http://www.mendeley.com/documents/?uuid=20be2b8e-2488-419d-86d2-486a90d547d6"]}],"mendeley":{"formattedCitation":"[67]","plainTextFormattedCitation":"[67]","previouslyFormattedCitation":"[65]"},"properties":{"noteIndex":0},"schema":"https://github.com/citation-style-language/schema/raw/master/csl-citation.json"}</w:instrText>
      </w:r>
      <w:r w:rsidRPr="006E6EE8">
        <w:fldChar w:fldCharType="separate"/>
      </w:r>
      <w:r w:rsidRPr="006E6EE8">
        <w:rPr>
          <w:noProof/>
        </w:rPr>
        <w:t>[65]</w:t>
      </w:r>
      <w:r w:rsidRPr="006E6EE8">
        <w:fldChar w:fldCharType="end"/>
      </w:r>
      <w:r w:rsidRPr="006E6EE8">
        <w:t>.</w:t>
      </w:r>
    </w:p>
    <w:p w14:paraId="30AE7D70" w14:textId="77777777" w:rsidR="00786B93" w:rsidRPr="006E6EE8" w:rsidRDefault="00786B93" w:rsidP="00595196">
      <w:pPr>
        <w:pStyle w:val="MDPI31text"/>
      </w:pPr>
      <w:r w:rsidRPr="006E6EE8">
        <w:t xml:space="preserve">In conclusion, this work demonstrates that there is a limited core molecular response to reduced SMN levels across the different severities of SMA and opens the ‘field’ up for a more targeted approach to SMA treatment with respect to SMA type. While four proteins from the datasets were verified, and the impact of increasing SMN levels on these proteins determined, there remains considerable potential from the remaining candidates found within this study to be explored as specific SMA type biosignatures and/or as biomarkers of both SMN-dependent and SMN-independent SMA treatment efficacy. </w:t>
      </w:r>
    </w:p>
    <w:p w14:paraId="310F0A07" w14:textId="77777777" w:rsidR="00786B93" w:rsidRPr="006E6EE8" w:rsidRDefault="00786B93" w:rsidP="00595196">
      <w:pPr>
        <w:pStyle w:val="MDPI21heading1"/>
      </w:pPr>
      <w:r w:rsidRPr="006E6EE8">
        <w:t>Materials and Methods</w:t>
      </w:r>
    </w:p>
    <w:p w14:paraId="29008E4E" w14:textId="77777777" w:rsidR="00786B93" w:rsidRPr="006E6EE8" w:rsidRDefault="00786B93" w:rsidP="00595196">
      <w:pPr>
        <w:pStyle w:val="MDPI22heading2"/>
      </w:pPr>
      <w:r w:rsidRPr="006E6EE8">
        <w:t>Patient cell lines</w:t>
      </w:r>
    </w:p>
    <w:p w14:paraId="155FFF0F" w14:textId="77777777" w:rsidR="00786B93" w:rsidRPr="006E6EE8" w:rsidRDefault="00786B93" w:rsidP="00595196">
      <w:pPr>
        <w:pStyle w:val="MDPI31text"/>
      </w:pPr>
      <w:r w:rsidRPr="006E6EE8">
        <w:t>Fibroblast cell lines with GM prefixes were obtained from the Coriell Cell Repository (Camden, NJ) whilst those with the prefix F were acquired from the Newcastle MRC Centre Biobank for Rare &amp; Neuromuscular Diseases (Supplementary File (Table 1)). Available information was limited to age, gender, and clinical phenotype of SMA severity.</w:t>
      </w:r>
    </w:p>
    <w:p w14:paraId="1EC8A92F" w14:textId="77777777" w:rsidR="00786B93" w:rsidRPr="006E6EE8" w:rsidRDefault="00786B93" w:rsidP="00595196">
      <w:pPr>
        <w:pStyle w:val="MDPI22heading2"/>
        <w:spacing w:before="240"/>
      </w:pPr>
      <w:r w:rsidRPr="006E6EE8">
        <w:t>Cell culture</w:t>
      </w:r>
    </w:p>
    <w:p w14:paraId="130F3589" w14:textId="77777777" w:rsidR="00786B93" w:rsidRPr="006E6EE8" w:rsidRDefault="00786B93" w:rsidP="00595196">
      <w:pPr>
        <w:pStyle w:val="MDPI31text"/>
      </w:pPr>
      <w:r w:rsidRPr="006E6EE8">
        <w:t>Fibroblast cell lines (five SMA Type I, five SMA Type II, four SMA Type III, and nine age-matched controls) were expanded in cell culture (all reagents from Gibco). Cells were seeded at 5 x 10</w:t>
      </w:r>
      <w:r w:rsidRPr="006E6EE8">
        <w:rPr>
          <w:vertAlign w:val="superscript"/>
        </w:rPr>
        <w:t>3</w:t>
      </w:r>
      <w:r w:rsidRPr="006E6EE8">
        <w:t xml:space="preserve"> per cm</w:t>
      </w:r>
      <w:r w:rsidRPr="006E6EE8">
        <w:rPr>
          <w:vertAlign w:val="superscript"/>
        </w:rPr>
        <w:t>2</w:t>
      </w:r>
      <w:r w:rsidRPr="006E6EE8">
        <w:t xml:space="preserve"> and grown to 70-80% confluency in standard fibroblast medium (Dulbecco’s modified eagle medium (DMEM; 31966-021) containing 10% foetal bovine serum (FBS;10270-098); 1% minimum essential medium non-essential amino acids (MEM NEAA; 11140-035); 1% Penicillin-Streptomycin (PEN-STREP; 15140-122)) in a humified incubator at 37°C and 5% CO</w:t>
      </w:r>
      <w:r w:rsidRPr="006E6EE8">
        <w:rPr>
          <w:vertAlign w:val="subscript"/>
        </w:rPr>
        <w:t>2</w:t>
      </w:r>
      <w:r w:rsidRPr="006E6EE8">
        <w:t xml:space="preserve">. Cells were passaged using trypsin/EDTA solution (25200-056; Gibco) for 5 min at 37°C. Cell pellets for mass spectrometry, western blotting or </w:t>
      </w:r>
      <w:r w:rsidRPr="006E6EE8">
        <w:rPr>
          <w:i/>
          <w:iCs/>
        </w:rPr>
        <w:t>SMN2</w:t>
      </w:r>
      <w:r w:rsidRPr="006E6EE8">
        <w:t xml:space="preserve"> copy number analysis were stored at -80°C until required.</w:t>
      </w:r>
    </w:p>
    <w:p w14:paraId="49858ADB" w14:textId="77777777" w:rsidR="00786B93" w:rsidRPr="006E6EE8" w:rsidRDefault="00786B93" w:rsidP="00595196">
      <w:pPr>
        <w:pStyle w:val="MDPI22heading2"/>
        <w:spacing w:before="240"/>
      </w:pPr>
      <w:r w:rsidRPr="006E6EE8">
        <w:t>Transient transfection of fibroblasts cells</w:t>
      </w:r>
    </w:p>
    <w:p w14:paraId="232CD558" w14:textId="77777777" w:rsidR="00786B93" w:rsidRPr="006E6EE8" w:rsidRDefault="00786B93" w:rsidP="00595196">
      <w:pPr>
        <w:pStyle w:val="MDPI31text"/>
        <w:rPr>
          <w:i/>
          <w:iCs/>
        </w:rPr>
      </w:pPr>
      <w:r w:rsidRPr="006E6EE8">
        <w:t xml:space="preserve">Plasmids containing full-length human SMN </w:t>
      </w:r>
      <w:r w:rsidRPr="006E6EE8">
        <w:fldChar w:fldCharType="begin" w:fldLock="1"/>
      </w:r>
      <w:r w:rsidRPr="006E6EE8">
        <w:instrText>ADDIN CSL_CITATION {"citationItems":[{"id":"ITEM-1","itemData":{"DOI":"10.1096/fj.06-7136com","ISSN":"0892-6638","PMID":"17317728","abstract":"Spinal muscular atrophy is a neurodegenerative disease accompanied by a loss of motoneurons. Either mutations or deletions in the survival of motoneuron (SMN) gene are responsible for this defect. SMN is an assembly protein for RNA-protein complexes in the nucleus and is also found in axons of neurons. However, it is unclear which dysfunctions of SMN are important for disease progression. In this study we analyzed the contributions of different SMN regions for localization and neuronal differentiation associated with outgrowth of neurites. Suppression of endogenous SMN protein levels significantly decreased the growth of neurites. Down-regulation of the interacting protein gemin2 had the opposite effect. Surprisingly, selective overexpression of the SMN C-terminal domain promoted neurite outgrowth similar to full-length protein and could rescue the SMN knock-down effects. The knock-down led to a significant change in the G-/F-actin ratio, indicating a role for SMN in actin dynamics. Therefore, our data suggest a functional role for SMN in microfilament metabolism in axons of motoneurons. © FASEB.","author":[{"dropping-particle":"","family":"Bergeijk","given":"Jeroen","non-dropping-particle":"","parse-names":false,"suffix":""},{"dropping-particle":"","family":"Rydel‐Könecke","given":"Katharina","non-dropping-particle":"","parse-names":false,"suffix":""},{"dropping-particle":"","family":"Grothe","given":"Claudia","non-dropping-particle":"","parse-names":false,"suffix":""},{"dropping-particle":"","family":"Claus","given":"Peter","non-dropping-particle":"","parse-names":false,"suffix":""}],"container-title":"The FASEB Journal","id":"ITEM-1","issue":"7","issued":{"date-parts":[["2007"]]},"page":"1492-1502","title":"The spinal muscular atrophy gene product regulates neurite outgrowth: importance of the C terminus","type":"article-journal","volume":"21"},"uris":["http://www.mendeley.com/documents/?uuid=a65b19bf-3c64-4834-b721-010455099efe"]}],"mendeley":{"formattedCitation":"[68]","plainTextFormattedCitation":"[68]","previouslyFormattedCitation":"[66]"},"properties":{"noteIndex":0},"schema":"https://github.com/citation-style-language/schema/raw/master/csl-citation.json"}</w:instrText>
      </w:r>
      <w:r w:rsidRPr="006E6EE8">
        <w:fldChar w:fldCharType="separate"/>
      </w:r>
      <w:r w:rsidRPr="006E6EE8">
        <w:rPr>
          <w:noProof/>
        </w:rPr>
        <w:t>[66]</w:t>
      </w:r>
      <w:r w:rsidRPr="006E6EE8">
        <w:fldChar w:fldCharType="end"/>
      </w:r>
      <w:r w:rsidRPr="006E6EE8">
        <w:t xml:space="preserve"> fused to a pEGFP-N2 vector backbone (pSMN1-294EGFP; Clontech, 2002) and empty plasmids (pEGFP-N2) were kindly donated by Professor Peter Claus. The plasmids were grown in </w:t>
      </w:r>
      <w:r w:rsidRPr="006E6EE8">
        <w:rPr>
          <w:i/>
          <w:iCs/>
        </w:rPr>
        <w:t>E. coli</w:t>
      </w:r>
      <w:r w:rsidRPr="006E6EE8">
        <w:t xml:space="preserve"> NovaBlue cells, and following purification using an EndoFree Plasmid Maxi Kit (QIAGEN), the resulting plasmid preparations were analysed by agarose gel electrophoresis and quantified via UV spectrophotometry </w:t>
      </w:r>
      <w:r w:rsidRPr="006E6EE8">
        <w:fldChar w:fldCharType="begin" w:fldLock="1"/>
      </w:r>
      <w:r w:rsidRPr="006E6EE8">
        <w:instrText>ADDIN CSL_CITATION {"citationItems":[{"id":"ITEM-1","itemData":{"DOI":"10.1038/sj.ejhg.5200609","ISSN":"10184813","PMID":"11313760","abstract":"Most pathogenic missense mutations in the lamin A/C gene identified so far cause autosomal-dominant dilated cardiomyopathy and/or Emery-Dreifuss muscular dystrophy. A few specific mutations, however, cause a disease with remarkably different clinical features: FPLD, or familial partial lipodystrophy (Dunnigan-type), which mainly affects adipose tissue. We have prepared lamin A with a known FPLD mutation (R482Q) by in vitro mutagenesis. Nuclear targeting of lamin A in transfected COS cells, human skeletal muscle cells or mouse adipocyte cell cultures (pre- and post-differentiation) was not detectably affected by the mutation. Quantitative in vitro measurements of lamin A interaction with emerin using a biosensor also showed no effect of the mutation. The results show that the loss of function of R482 in lamin A/C in FPLD does not involve loss of ability to form a nuclear lamina or to interact with the nuclear membrane protein, emerin.","author":[{"dropping-particle":"","family":"Holt","given":"Ian","non-dropping-particle":"","parse-names":false,"suffix":""},{"dropping-particle":"","family":"Clements","given":"Lisa","non-dropping-particle":"","parse-names":false,"suffix":""},{"dropping-particle":"","family":"Manilal","given":"Sushila","non-dropping-particle":"","parse-names":false,"suffix":""},{"dropping-particle":"","family":"Brown","given":"Susan C.","non-dropping-particle":"","parse-names":false,"suffix":""},{"dropping-particle":"","family":"Morris","given":"Glenn E.","non-dropping-particle":"","parse-names":false,"suffix":""}],"container-title":"European Journal of Human Genetics","id":"ITEM-1","issue":"3","issued":{"date-parts":[["2001"]]},"page":"204-208","title":"The R482Q lamin A/C mutation that causes lipodystrophy does not prevent nuclear targeting of lamin A in adipocytes or its interaction with emerin","type":"article-journal","volume":"9"},"uris":["http://www.mendeley.com/documents/?uuid=ec2ff4a0-da05-4b74-afc6-153e41000a82"]}],"mendeley":{"formattedCitation":"[69]","plainTextFormattedCitation":"[69]","previouslyFormattedCitation":"[67]"},"properties":{"noteIndex":0},"schema":"https://github.com/citation-style-language/schema/raw/master/csl-citation.json"}</w:instrText>
      </w:r>
      <w:r w:rsidRPr="006E6EE8">
        <w:fldChar w:fldCharType="separate"/>
      </w:r>
      <w:r w:rsidRPr="006E6EE8">
        <w:rPr>
          <w:noProof/>
        </w:rPr>
        <w:t>[67]</w:t>
      </w:r>
      <w:r w:rsidRPr="006E6EE8">
        <w:fldChar w:fldCharType="end"/>
      </w:r>
      <w:r w:rsidRPr="006E6EE8">
        <w:t>. Transfection was carried out using an Ingenio</w:t>
      </w:r>
      <w:r w:rsidRPr="006E6EE8">
        <w:rPr>
          <w:vertAlign w:val="superscript"/>
        </w:rPr>
        <w:t>®</w:t>
      </w:r>
      <w:r w:rsidRPr="006E6EE8">
        <w:t xml:space="preserve"> Ezporator</w:t>
      </w:r>
      <w:r w:rsidRPr="006E6EE8">
        <w:rPr>
          <w:vertAlign w:val="superscript"/>
        </w:rPr>
        <w:t>®</w:t>
      </w:r>
      <w:r w:rsidRPr="006E6EE8">
        <w:t xml:space="preserve"> Electroporation System (MIR 51000; Mirus) and adhering to the manufacturer’s instructions. In brief, the fibroblasts were harvested (approximately 1 x 10</w:t>
      </w:r>
      <w:r w:rsidRPr="006E6EE8">
        <w:rPr>
          <w:vertAlign w:val="superscript"/>
        </w:rPr>
        <w:t>6</w:t>
      </w:r>
      <w:r w:rsidRPr="006E6EE8">
        <w:t xml:space="preserve"> cells ml</w:t>
      </w:r>
      <w:r w:rsidRPr="006E6EE8">
        <w:rPr>
          <w:vertAlign w:val="superscript"/>
        </w:rPr>
        <w:t>-1</w:t>
      </w:r>
      <w:r w:rsidRPr="006E6EE8">
        <w:t>) and mixed with 250 µl Ingenio</w:t>
      </w:r>
      <w:r w:rsidRPr="006E6EE8">
        <w:rPr>
          <w:vertAlign w:val="superscript"/>
        </w:rPr>
        <w:t>®</w:t>
      </w:r>
      <w:r w:rsidRPr="006E6EE8">
        <w:t xml:space="preserve"> Electroporation solution containing 5 µg of plasmid DNA and then placed into a 4mm electroporation cuvette. The fibroblasts and plasmids were electroporated at 220 V LV (capacitance = 1,050 µF) with the actual peak voltage ranging from 200 – 222 V and the time constant for the delivered pulse varying from 28 – 38 ms. Following </w:t>
      </w:r>
      <w:r w:rsidRPr="006E6EE8">
        <w:lastRenderedPageBreak/>
        <w:t>transfection, the fibroblasts were returned and maintained in standard fibroblast medium for 24 h prior to protein extraction.</w:t>
      </w:r>
    </w:p>
    <w:p w14:paraId="0A014606" w14:textId="77777777" w:rsidR="00786B93" w:rsidRPr="006E6EE8" w:rsidRDefault="00786B93" w:rsidP="00595196">
      <w:pPr>
        <w:pStyle w:val="MDPI22heading2"/>
        <w:spacing w:before="240"/>
      </w:pPr>
      <w:r w:rsidRPr="006E6EE8">
        <w:t>DNA extraction</w:t>
      </w:r>
    </w:p>
    <w:p w14:paraId="6DE7F85E" w14:textId="77777777" w:rsidR="00786B93" w:rsidRPr="006E6EE8" w:rsidRDefault="00786B93" w:rsidP="00595196">
      <w:pPr>
        <w:pStyle w:val="MDPI31text"/>
      </w:pPr>
      <w:r w:rsidRPr="006E6EE8">
        <w:t xml:space="preserve">Genomic DNA was extracted from thawed fibroblast cell pellets resuspended in phosphate buffered saline (PBS) using the DNeasy® Tissue Kit (QIAGEN) protocol for cultured animal cells.  In brief, cells were lysed with proteinase K (19131; QIAGEN; &gt;600 mAU/ml) for 10 min at 70°C. Ethanol (96-100%) was added to each sample and the mixture then applied to a DNeasy spin column. Following centrifugation steps of ≥6000 x </w:t>
      </w:r>
      <w:r w:rsidRPr="006E6EE8">
        <w:rPr>
          <w:i/>
          <w:iCs/>
        </w:rPr>
        <w:t>g</w:t>
      </w:r>
      <w:r w:rsidRPr="006E6EE8">
        <w:t xml:space="preserve"> and subsequent buffer washes to remove contaminants from the bound DNA, DNA was eluted in the buffer provided. dsDNA concentration and purity were determined using the LVis Plate on a FLUOstar Omega microplate reader (BMG LABTECH).</w:t>
      </w:r>
    </w:p>
    <w:p w14:paraId="77302415" w14:textId="77777777" w:rsidR="00786B93" w:rsidRPr="006E6EE8" w:rsidRDefault="00786B93" w:rsidP="00595196">
      <w:pPr>
        <w:pStyle w:val="MDPI22heading2"/>
        <w:spacing w:before="240"/>
      </w:pPr>
      <w:r w:rsidRPr="006E6EE8">
        <w:rPr>
          <w:iCs/>
        </w:rPr>
        <w:t>SMN2</w:t>
      </w:r>
      <w:r w:rsidRPr="006E6EE8">
        <w:t xml:space="preserve"> copy number determination using Droplet Digital</w:t>
      </w:r>
      <w:r w:rsidRPr="006E6EE8">
        <w:rPr>
          <w:vertAlign w:val="superscript"/>
        </w:rPr>
        <w:t>TM</w:t>
      </w:r>
      <w:r w:rsidRPr="006E6EE8">
        <w:t xml:space="preserve"> PCR (ddPCR</w:t>
      </w:r>
      <w:r w:rsidRPr="006E6EE8">
        <w:rPr>
          <w:vertAlign w:val="superscript"/>
        </w:rPr>
        <w:t>TM</w:t>
      </w:r>
      <w:r w:rsidRPr="006E6EE8">
        <w:t>)</w:t>
      </w:r>
    </w:p>
    <w:p w14:paraId="0CE5363D" w14:textId="77777777" w:rsidR="00786B93" w:rsidRPr="006E6EE8" w:rsidRDefault="00786B93" w:rsidP="00595196">
      <w:pPr>
        <w:pStyle w:val="MDPI31text"/>
      </w:pPr>
      <w:r w:rsidRPr="006E6EE8">
        <w:rPr>
          <w:i/>
          <w:iCs/>
        </w:rPr>
        <w:t>SMN2</w:t>
      </w:r>
      <w:r w:rsidRPr="006E6EE8">
        <w:t xml:space="preserve"> copy number was determined from gDNA extracted from the SMA fibroblast cells using ddPCR</w:t>
      </w:r>
      <w:r w:rsidRPr="006E6EE8">
        <w:rPr>
          <w:vertAlign w:val="superscript"/>
        </w:rPr>
        <w:t>TM</w:t>
      </w:r>
      <w:r w:rsidRPr="006E6EE8">
        <w:t xml:space="preserve"> technology and the ddPCR </w:t>
      </w:r>
      <w:r w:rsidRPr="006E6EE8">
        <w:rPr>
          <w:i/>
          <w:iCs/>
        </w:rPr>
        <w:t>SMN2</w:t>
      </w:r>
      <w:r w:rsidRPr="006E6EE8">
        <w:t xml:space="preserve"> Copy Number Kit (1863503; BioRad). Briefly, a master ddPCR reaction mix was prepared as per kit instructions with HaeIII restriction enzyme (10000 U/ml;(New England BioLabs (NEB)) and nuclease-free water (NEB). Each gDNA sample was diluted to a concentration ranging between 6 and 35 ng/µl and 4 µl added to the ddPCR reaction mix (total 22 µl), as were the positive (2, 3, and 4 copy </w:t>
      </w:r>
      <w:r w:rsidRPr="006E6EE8">
        <w:rPr>
          <w:i/>
          <w:iCs/>
        </w:rPr>
        <w:t>SMN2</w:t>
      </w:r>
      <w:r w:rsidRPr="006E6EE8">
        <w:t>) and no template controls (NTC). Reaction mixtures were then loaded into an Automated Droplet Generator (10043138) to produce up to 20,000 droplets per well, which were dispensed in a fresh 96-well plate and subsequently sealed using foil seals and a PX1 plate sealer (1814000). PCR was carried out using the following steps: 10 min at 95°C; 40 cycles of 30 sec at 94°C then 1 min at 55°C; 10 min at 98°C then a hold at 12°C. The sealed ddPCR plate was then placed into a QX100 Droplet Reader (Bio-Rad) and using QuantaSoft</w:t>
      </w:r>
      <w:r w:rsidRPr="006E6EE8">
        <w:rPr>
          <w:vertAlign w:val="superscript"/>
        </w:rPr>
        <w:t>TM</w:t>
      </w:r>
      <w:r w:rsidRPr="006E6EE8">
        <w:t xml:space="preserve"> Software CNV application, </w:t>
      </w:r>
      <w:r w:rsidRPr="006E6EE8">
        <w:rPr>
          <w:i/>
          <w:iCs/>
        </w:rPr>
        <w:t>SMN2</w:t>
      </w:r>
      <w:r w:rsidRPr="006E6EE8">
        <w:t xml:space="preserve"> copy number was determined using </w:t>
      </w:r>
      <w:r w:rsidRPr="006E6EE8">
        <w:rPr>
          <w:i/>
          <w:iCs/>
        </w:rPr>
        <w:t xml:space="preserve">RPP30 </w:t>
      </w:r>
      <w:r w:rsidRPr="006E6EE8">
        <w:t>as the reference gene. Thresholds were set manually between positive and negative droplets for each well.</w:t>
      </w:r>
    </w:p>
    <w:p w14:paraId="505E7855" w14:textId="77777777" w:rsidR="00786B93" w:rsidRPr="006E6EE8" w:rsidRDefault="00786B93" w:rsidP="00595196">
      <w:pPr>
        <w:pStyle w:val="MDPI22heading2"/>
        <w:spacing w:before="240"/>
      </w:pPr>
      <w:r w:rsidRPr="006E6EE8">
        <w:t>Protein extraction for mass spectrometry and western blot analysis</w:t>
      </w:r>
    </w:p>
    <w:p w14:paraId="533B3B3B" w14:textId="77777777" w:rsidR="00786B93" w:rsidRPr="006E6EE8" w:rsidRDefault="00786B93" w:rsidP="00595196">
      <w:pPr>
        <w:pStyle w:val="MDPI31text"/>
      </w:pPr>
      <w:r w:rsidRPr="006E6EE8">
        <w:t>Following passage, cell pellets were washed with PBS. Cell pellets for mass spectrometry (MS) analysis were lysed in 8 M urea dissolved in 100 mM ammonium bicarbonate in sterile distilled water plus 2% sodium deoxycholate. Cell pellets for western blot (WB) analyses were lysed on ice for 15-20 min with an equivalent volume of RIPA buffer (1% tergitol-type NP-40 (NP40; 9016-45-9, ICN Biomedicals), 0.25% deoxycholic acid (D6750; Sigma), 1mM ethylenediaminetetraacetic acid (EDTA; 104245S, BDH), 150 mM sodium chloride (NaCl; BP358-212, Fisher Scientific) and 50 mM Tris-HCl b, pH 7.4 (Tris; BP152-1, Fisher Scientific). All samples were sonicated for 10 sec, then centrifugated at 13,000 RPM (MSE, Heathfield, UK; MSB010.CX2.5 Micro Centaur) for 5 min at 4 °C to pellet any insoluble material and their protein concentrations determined via Pierce</w:t>
      </w:r>
      <w:r w:rsidRPr="006E6EE8">
        <w:rPr>
          <w:vertAlign w:val="superscript"/>
        </w:rPr>
        <w:t>TM</w:t>
      </w:r>
      <w:r w:rsidRPr="006E6EE8">
        <w:t xml:space="preserve"> BCA Protein Assay Kit (23227; ThermoScientific). Absorbance was measured at 562 nm with a FLUOstar Omega microplate reader (BMG LABTECH) and a standard curve generated from a plot of the average-blank corrected absorbance for each standard versus its concentration.</w:t>
      </w:r>
    </w:p>
    <w:p w14:paraId="225C24EC" w14:textId="77777777" w:rsidR="00786B93" w:rsidRPr="006E6EE8" w:rsidRDefault="00786B93" w:rsidP="00595196">
      <w:pPr>
        <w:pStyle w:val="MDPI22heading2"/>
        <w:spacing w:before="240"/>
      </w:pPr>
      <w:r w:rsidRPr="006E6EE8">
        <w:t>Preparation of samples for IDA and SWATH mass spectrometry</w:t>
      </w:r>
    </w:p>
    <w:p w14:paraId="44012715" w14:textId="77777777" w:rsidR="00786B93" w:rsidRPr="006E6EE8" w:rsidRDefault="00786B93" w:rsidP="00595196">
      <w:pPr>
        <w:pStyle w:val="MDPI31text"/>
      </w:pPr>
      <w:r w:rsidRPr="006E6EE8">
        <w:t>A 30 μg aliquot of each sample in 8 M urea/100 mM Ammonium Bicarbonate/2% sodium deoxycholate was reduced with Tris (2-carboxyethyl) phosphine (5 mM) at 30</w:t>
      </w:r>
      <w:r w:rsidRPr="006E6EE8">
        <w:rPr>
          <w:vertAlign w:val="superscript"/>
        </w:rPr>
        <w:t>o</w:t>
      </w:r>
      <w:r w:rsidRPr="006E6EE8">
        <w:t>C for 1 h followed by alkylation with iodoacetamide (10 mM) at room temperature (RT) for 30 min in the dark. The reaction was quenched with 20mM DTT. Prior to trypsin digestion, each sample was diluted to 1.5 M urea and then digested with trypsin (1:50; protease:protein) overnight. Samples were acidified to 0.05% trifluoroacetic acid (TFA).</w:t>
      </w:r>
    </w:p>
    <w:p w14:paraId="7B45370D" w14:textId="77777777" w:rsidR="00786B93" w:rsidRPr="006E6EE8" w:rsidRDefault="00786B93" w:rsidP="00595196">
      <w:pPr>
        <w:pStyle w:val="MDPI31text"/>
      </w:pPr>
      <w:r w:rsidRPr="006E6EE8">
        <w:lastRenderedPageBreak/>
        <w:t>Peptides were desalted by reversed phase C-18 and then dried, then resuspended to a concentration of 1 µg/µl in loading buffer (2% acetonitrile, 0.05% TFA). SWATH-MS was performed on individual samples. In addition, a pool of all samples was prepared and subjected to nanoLC MS/MS analysis (Information dependent acquisition (IDA)-LC-MS/MS). Remaining peptides were pooled and fractionated on high pH Reverse Phase (XBridge C18 5µm 4.6x100mm column, Waters) into 12 fractions which were analysed individually in IDA mode.</w:t>
      </w:r>
    </w:p>
    <w:p w14:paraId="295DF98A" w14:textId="77777777" w:rsidR="00786B93" w:rsidRPr="006E6EE8" w:rsidRDefault="00786B93" w:rsidP="00595196">
      <w:pPr>
        <w:pStyle w:val="MDPI22heading2"/>
        <w:spacing w:before="240"/>
      </w:pPr>
      <w:r w:rsidRPr="006E6EE8">
        <w:t xml:space="preserve">Mass spectrometry data acquisition </w:t>
      </w:r>
    </w:p>
    <w:p w14:paraId="153AFAE0" w14:textId="77777777" w:rsidR="00786B93" w:rsidRPr="006E6EE8" w:rsidRDefault="00786B93" w:rsidP="00595196">
      <w:pPr>
        <w:pStyle w:val="MDPI31text"/>
      </w:pPr>
      <w:r w:rsidRPr="006E6EE8">
        <w:t xml:space="preserve">For IDA, a combined sample (1 μg) or a high pH RP fraction was injected onto a reverse-phase trap (Acclaim Pepmap 100 μm × 2 cm, Thermo Fisher) for pre-concentration and desalted with loading buffer, at 5 μL/min for 10 min on a nanoLC-MS system (Eksigent nanoLC AS-2/2Dplus system coupled to a Triple TOF 5600+ mass spectrometer, both Sciex). The peptide trap was then switched into line with the analytical column (Acclaim Pepmap RSLC 75 μm × 15 cm, Thermo Fisher). Peptides were eluted from the column at a flow rate of 300 nl/min using a linear solvent gradient: linear 2–20% of buffer B (Mobile phase A: 2% acetonitrile, 98% water, 0.1% formic acid; Mobile phase B: 98% acetonitrile, 0.1% formic acid) over 90 min, linear 20–40% of buffer B for 30 min, linear 40–98% of buffer B for 10 min, isocratic 98% of buffer B for 5 min, linear 98-2% of buffer B for 2.5 min and isocratic 2% solvent buffer B for 12.5 min. The mass spectrometer was operated in IDA top 20 positive ion mode, with 250 and 150 ms acquisition time for the MS1 (m/z 400–1250) and MS2 (m/z 230–1800) scans respectively, and 15 s dynamic exclusion. Rolling collision energy with a collision energy spread of 5 eV was used for fragmentation. The data files were searched using Mascot against the </w:t>
      </w:r>
      <w:hyperlink r:id="rId13">
        <w:r w:rsidRPr="006E6EE8">
          <w:rPr>
            <w:rStyle w:val="Hyperlink"/>
            <w:rFonts w:ascii="Times New Roman" w:hAnsi="Times New Roman"/>
            <w:color w:val="auto"/>
            <w:sz w:val="24"/>
            <w:szCs w:val="24"/>
          </w:rPr>
          <w:t>Swissprot</w:t>
        </w:r>
      </w:hyperlink>
      <w:r w:rsidRPr="006E6EE8">
        <w:t xml:space="preserve"> database (January 2019), restricted only to proteins from humans, with trypsin as the cleavage enzyme and carbamidomethylation as a fixed modification of </w:t>
      </w:r>
      <w:hyperlink r:id="rId14">
        <w:r w:rsidRPr="006E6EE8">
          <w:rPr>
            <w:rStyle w:val="Hyperlink"/>
            <w:rFonts w:ascii="Times New Roman" w:hAnsi="Times New Roman"/>
            <w:color w:val="auto"/>
            <w:sz w:val="24"/>
            <w:szCs w:val="24"/>
          </w:rPr>
          <w:t>cysteines</w:t>
        </w:r>
      </w:hyperlink>
      <w:r w:rsidRPr="006E6EE8">
        <w:t>. Note that the iRT peptides were added to this database.</w:t>
      </w:r>
    </w:p>
    <w:p w14:paraId="12B731C1" w14:textId="77777777" w:rsidR="00786B93" w:rsidRPr="006E6EE8" w:rsidRDefault="00786B93" w:rsidP="00595196">
      <w:pPr>
        <w:pStyle w:val="MDPI31text"/>
      </w:pPr>
      <w:r w:rsidRPr="006E6EE8">
        <w:t xml:space="preserve">For SWATH-MS, each sample (1 μg) was injected onto the same LCMS set up as above with the same gradient, except that data acquisition was done in SWATH mode. The method uses 100 variable windows width with a 1 Da overlap as developed and optimized by Sciex on plasma. Each window has a </w:t>
      </w:r>
      <w:hyperlink r:id="rId15">
        <w:r w:rsidRPr="006E6EE8">
          <w:rPr>
            <w:rStyle w:val="Hyperlink"/>
            <w:rFonts w:ascii="Times New Roman" w:hAnsi="Times New Roman"/>
            <w:color w:val="auto"/>
            <w:sz w:val="24"/>
            <w:szCs w:val="24"/>
          </w:rPr>
          <w:t>dwell time</w:t>
        </w:r>
      </w:hyperlink>
      <w:r w:rsidRPr="006E6EE8">
        <w:t xml:space="preserve"> of 150 ms to cover the mass range of 400–1250 m/z in </w:t>
      </w:r>
      <w:hyperlink r:id="rId16">
        <w:r w:rsidRPr="006E6EE8">
          <w:rPr>
            <w:rStyle w:val="Hyperlink"/>
            <w:rFonts w:ascii="Times New Roman" w:hAnsi="Times New Roman"/>
            <w:color w:val="auto"/>
            <w:sz w:val="24"/>
            <w:szCs w:val="24"/>
          </w:rPr>
          <w:t>TOF-MS</w:t>
        </w:r>
      </w:hyperlink>
      <w:r w:rsidRPr="006E6EE8">
        <w:t xml:space="preserve"> mode and MS/MS data is acquired over a range of 230–1800 m/z with high sensitivity setting and a dwell time of 35 ms, resulting in a cycle time of 3.7 s. The collision energy for each window was set using the collision energy of a 2</w:t>
      </w:r>
      <w:r w:rsidRPr="006E6EE8">
        <w:rPr>
          <w:vertAlign w:val="superscript"/>
        </w:rPr>
        <w:t>+</w:t>
      </w:r>
      <w:r w:rsidRPr="006E6EE8">
        <w:t xml:space="preserve"> ion centred in the middle of the window with a spread of 5 eV. All Mascot searches using the IDA data were exported as .dat file and assembled to a spectral library in Skyline by associating each peptide to its respective protein. After the SWATH spectra were imported, peaks were reintegrated using the mProphet peak scoring model </w:t>
      </w:r>
      <w:r w:rsidRPr="006E6EE8">
        <w:fldChar w:fldCharType="begin" w:fldLock="1"/>
      </w:r>
      <w:r w:rsidRPr="006E6EE8">
        <w:instrText>ADDIN CSL_CITATION {"citationItems":[{"id":"ITEM-1","itemData":{"abstract":"Selected reaction monitoring (SRM 1) is a targeted mass spectrometric method that is increasingly used in proteomics for the detection and quantification of sets of pre-selected proteins at high sensitivity, reproducibility and accuracy. Currently data from SRM measurements are mostly evaluated subjectively by manual inspection based on ad hoc criteria, precluding the consistent analysis of different datasets and an objective assessment of their error rates. Here we present mProphet, a fully automated system that computes accurate error rates of the identification of the signals correctly identifying the targeted peptide in SRM data sets and maximizes specificity and sensitivity by combining relevant features in the data into a statistical model. The presented method and software tool will be of critical importance for the full exploitation of the unique potential of SRM measurements in quantitative proteomics, a prerequisite for the meaningful comparison of data across studies and laboratories.","author":[{"dropping-particle":"","family":"Reiter","given":"Lukas","non-dropping-particle":"","parse-names":false,"suffix":""},{"dropping-particle":"","family":"Rinner","given":"Oliver","non-dropping-particle":"","parse-names":false,"suffix":""},{"dropping-particle":"","family":"Picotti","given":"Paola","non-dropping-particle":"","parse-names":false,"suffix":""},{"dropping-particle":"","family":"Hüttenhain","given":"Ruth","non-dropping-particle":"","parse-names":false,"suffix":""},{"dropping-particle":"","family":"Beck","given":"Martin","non-dropping-particle":"","parse-names":false,"suffix":""},{"dropping-particle":"","family":"Brusniak","given":"Mi-Youn","non-dropping-particle":"","parse-names":false,"suffix":""},{"dropping-particle":"","family":"Hengartner","given":"Michael O","non-dropping-particle":"","parse-names":false,"suffix":""},{"dropping-particle":"","family":"Aebersold","given":"Ruedi","non-dropping-particle":"","parse-names":false,"suffix":""}],"container-title":"Nat Methods","id":"ITEM-1","issue":"5","issued":{"date-parts":[["2011"]]},"page":"430-435","title":"mProphet : A general and flexible data model and algorithm for automated SRM data processing and statistical error estimation","type":"article-journal","volume":"8"},"uris":["http://www.mendeley.com/documents/?uuid=86521d39-6729-4565-9be6-7b442d6d2f49"]}],"mendeley":{"formattedCitation":"[70]","plainTextFormattedCitation":"[70]","previouslyFormattedCitation":"[68]"},"properties":{"noteIndex":0},"schema":"https://github.com/citation-style-language/schema/raw/master/csl-citation.json"}</w:instrText>
      </w:r>
      <w:r w:rsidRPr="006E6EE8">
        <w:fldChar w:fldCharType="separate"/>
      </w:r>
      <w:r w:rsidRPr="006E6EE8">
        <w:rPr>
          <w:noProof/>
        </w:rPr>
        <w:t>[68]</w:t>
      </w:r>
      <w:r w:rsidRPr="006E6EE8">
        <w:fldChar w:fldCharType="end"/>
      </w:r>
      <w:r w:rsidRPr="006E6EE8">
        <w:t xml:space="preserve">. Sum total area </w:t>
      </w:r>
      <w:r w:rsidRPr="006E6EE8">
        <w:fldChar w:fldCharType="begin" w:fldLock="1"/>
      </w:r>
      <w:r w:rsidRPr="006E6EE8">
        <w:instrText>ADDIN CSL_CITATION {"citationItems":[{"id":"ITEM-1","itemData":{"DOI":"10.15252/msb.20178126","ISBN":"1471-2164 (Electronic)\\r1471-2164 (Linking)","ISSN":"1744-4292","PMID":"30104418","abstract":"Many research questions in fields such as personalized medicine, drug screens or systems biology depend on obtaining consistent and quantitatively accurate proteomics data from many samples. SWATH‐MS is a specific variant of data‐independent acquisition (DIA) methods and is emerging as a technology that combines deep proteome coverage capabilities with quantitative consistency and accuracy. In a SWATH‐MS measurement, all ionized peptides of a given sample that fall within a specified mass range are fragmented in a systematic and unbiased fashion using rather large precursor isolation windows. To analyse SWATH‐MS data, a strategy based on peptide‐centric scoring has been established, which typically requires prior knowledge about the chromatographic and mass spectrometric behaviour of peptides of interest in the form of spectral libraries and peptide query parameters. This tutorial provides guidelines on how to set up and plan a SWATH‐MS experiment, how to perform the mass spectrometric measurement and how to analyse SWATH‐MS data using peptide‐centric scoring. Furthermore, concepts on how to improve SWATH‐MS data acquisition, potential trade‐offs of parameter settings and alternative data analysis strategies are discussed.\n\nMol Syst Biol. (2018) 14: e8126","author":[{"dropping-particle":"","family":"Ludwig","given":"Christina","non-dropping-particle":"","parse-names":false,"suffix":""},{"dropping-particle":"","family":"Gillet","given":"Ludovic","non-dropping-particle":"","parse-names":false,"suffix":""},{"dropping-particle":"","family":"Rosenberger","given":"George","non-dropping-particle":"","parse-names":false,"suffix":""},{"dropping-particle":"","family":"Amon","given":"Sabine","non-dropping-particle":"","parse-names":false,"suffix":""},{"dropping-particle":"","family":"Collins","given":"Ben C","non-dropping-particle":"","parse-names":false,"suffix":""},{"dropping-particle":"","family":"Aebersold","given":"Ruedi","non-dropping-particle":"","parse-names":false,"suffix":""}],"container-title":"Molecular Systems Biology","id":"ITEM-1","issue":"8","issued":{"date-parts":[["2018"]]},"page":"e8126","title":"Data‐independent acquisition‐based SWATH‐MS for quantitative proteomics: a tutorial","type":"article-journal","volume":"14"},"uris":["http://www.mendeley.com/documents/?uuid=b21a7931-73a8-4b42-a4db-5a704b760786"]}],"mendeley":{"formattedCitation":"[71]","plainTextFormattedCitation":"[71]","previouslyFormattedCitation":"[69]"},"properties":{"noteIndex":0},"schema":"https://github.com/citation-style-language/schema/raw/master/csl-citation.json"}</w:instrText>
      </w:r>
      <w:r w:rsidRPr="006E6EE8">
        <w:fldChar w:fldCharType="separate"/>
      </w:r>
      <w:r w:rsidRPr="006E6EE8">
        <w:rPr>
          <w:noProof/>
        </w:rPr>
        <w:t>[69]</w:t>
      </w:r>
      <w:r w:rsidRPr="006E6EE8">
        <w:fldChar w:fldCharType="end"/>
      </w:r>
      <w:r w:rsidRPr="006E6EE8">
        <w:t xml:space="preserve"> was then used to determine fold differences in the protein expression of proteins identified by ≥2 peptides between each SMA Type and their respective age-matched controls. </w:t>
      </w:r>
    </w:p>
    <w:p w14:paraId="18FC6C71" w14:textId="77777777" w:rsidR="00786B93" w:rsidRPr="006E6EE8" w:rsidRDefault="00786B93" w:rsidP="00595196">
      <w:pPr>
        <w:pStyle w:val="MDPI22heading2"/>
        <w:spacing w:before="240"/>
      </w:pPr>
      <w:r w:rsidRPr="006E6EE8">
        <w:t>Bioinformatics analysis</w:t>
      </w:r>
    </w:p>
    <w:p w14:paraId="26D8EECA" w14:textId="77777777" w:rsidR="00786B93" w:rsidRPr="006E6EE8" w:rsidRDefault="00786B93" w:rsidP="00595196">
      <w:pPr>
        <w:pStyle w:val="MDPI31text"/>
        <w:rPr>
          <w:rFonts w:ascii="Arial" w:eastAsia="Arial" w:hAnsi="Arial" w:cs="Arial"/>
          <w:color w:val="222222"/>
        </w:rPr>
      </w:pPr>
      <w:r w:rsidRPr="006E6EE8">
        <w:t xml:space="preserve">Only proteins with a fold-change ≥1.25 or ≤0.80 and a p-value ≤0.05 were included in further analyses. Venn diagrams were generated with </w:t>
      </w:r>
      <w:r w:rsidRPr="006E6EE8">
        <w:rPr>
          <w:color w:val="201F1E"/>
        </w:rPr>
        <w:t xml:space="preserve">InteractiVenn </w:t>
      </w:r>
      <w:r w:rsidRPr="006E6EE8">
        <w:rPr>
          <w:color w:val="201F1E"/>
        </w:rPr>
        <w:fldChar w:fldCharType="begin" w:fldLock="1"/>
      </w:r>
      <w:r w:rsidRPr="006E6EE8">
        <w:rPr>
          <w:color w:val="201F1E"/>
        </w:rPr>
        <w:instrText>ADDIN CSL_CITATION {"citationItems":[{"id":"ITEM-1","itemData":{"DOI":"10.1186/s12859-015-0611-3","ISBN":"1285901506113","ISSN":"14712105","PMID":"25994840","abstract":"Background: Set comparisons permeate a large number of data analysis workflows, in particular workflows in biological sciences. Venn diagrams are frequently employed for such analysis but current tools are limited. Results: We have developed InteractiVenn, a more flexible tool for interacting with Venn diagrams including up to six sets. It offers a clean interface for Venn diagram construction and enables analysis of set unions while preserving the shape of the diagram. Set unions are useful to reveal differences and similarities among sets and may be guided in our tool by a tree or by a list of set unions. The tool also allows obtaining subsets' elements, saving and loading sets for further analyses, and exporting the diagram in vector and image formats. InteractiVenn has been used to analyze two biological datasets, but it may serve set analysis in a broad range of domains. Conclusions: InteractiVenn allows set unions in Venn diagrams to be explored thoroughly, by consequence extending the ability to analyze combinations of sets with additional observations, yielded by novel interactions between joined sets. InteractiVenn is freely available online at: www.interactivenn.net.","author":[{"dropping-particle":"","family":"Heberle","given":"Henry","non-dropping-particle":"","parse-names":false,"suffix":""},{"dropping-particle":"","family":"Meirelles","given":"Vaz G.","non-dropping-particle":"","parse-names":false,"suffix":""},{"dropping-particle":"","family":"Silva","given":"Felipe R.","non-dropping-particle":"da","parse-names":false,"suffix":""},{"dropping-particle":"","family":"Telles","given":"Guilherme P.","non-dropping-particle":"","parse-names":false,"suffix":""},{"dropping-particle":"","family":"Minghim","given":"Rosane","non-dropping-particle":"","parse-names":false,"suffix":""}],"container-title":"BMC Bioinformatics","id":"ITEM-1","issue":"1","issued":{"date-parts":[["2015"]]},"page":"1-7","title":"InteractiVenn: A web-based tool for the analysis of sets through Venn diagrams","type":"article-journal","volume":"16"},"uris":["http://www.mendeley.com/documents/?uuid=f2fad2ca-e9da-42b0-a88d-9c9738236120"]}],"mendeley":{"formattedCitation":"[72]","plainTextFormattedCitation":"[72]","previouslyFormattedCitation":"[70]"},"properties":{"noteIndex":0},"schema":"https://github.com/citation-style-language/schema/raw/master/csl-citation.json"}</w:instrText>
      </w:r>
      <w:r w:rsidRPr="006E6EE8">
        <w:rPr>
          <w:color w:val="201F1E"/>
        </w:rPr>
        <w:fldChar w:fldCharType="separate"/>
      </w:r>
      <w:r w:rsidRPr="006E6EE8">
        <w:rPr>
          <w:noProof/>
          <w:color w:val="201F1E"/>
        </w:rPr>
        <w:t>[70]</w:t>
      </w:r>
      <w:r w:rsidRPr="006E6EE8">
        <w:rPr>
          <w:color w:val="201F1E"/>
        </w:rPr>
        <w:fldChar w:fldCharType="end"/>
      </w:r>
      <w:r w:rsidRPr="006E6EE8">
        <w:rPr>
          <w:color w:val="201F1E"/>
        </w:rPr>
        <w:t xml:space="preserve"> and heat maps with Prism Version 8.4.3. Differentially expressed </w:t>
      </w:r>
      <w:r w:rsidRPr="006E6EE8">
        <w:t xml:space="preserve">proteins that met the criteria specified above were analysed using Ingenuity Pathway Analysis (IPA) software (Ingenuity Systems, Silicon Valley, CA; </w:t>
      </w:r>
      <w:r w:rsidRPr="006E6EE8">
        <w:fldChar w:fldCharType="begin" w:fldLock="1"/>
      </w:r>
      <w:r w:rsidRPr="006E6EE8">
        <w:instrText>ADDIN CSL_CITATION {"citationItems":[{"id":"ITEM-1","itemData":{"DOI":"10.1093/bioinformatics/btt703","ISSN":"13674803","PMID":"24336805","abstract":"Motivation: Prior biological knowledge greatly facilitates the meaningful interpretation of gene-expression data. Causal networks constructed from individual relationships curated from the literature are particularly suited for this task, since they create mechanistic hypotheses that explain the expression changes observed in datasets.Results: We present and discuss a suite of algorithms and tools for inferring and scoring regulator networks upstream of gene-expression data based on a large-scale causal network derived from the Ingenuity Knowledge Base. We extend the method to predict downstream effects on biological functions and diseases and demonstrate the validity of our approach by applying it to example datasets.Availability: The causal analytics tools 'Upstream Regulator Analysis', 'Mechanistic Networks', 'Causal Network Analysis' and 'Downstream Effects Analysis' are implemented and available within Ingenuity Pathway Analysis (IPA, http://www.ingenuity.com).Supplementary information: Supplementary material is available at Bioinformatics online. © 2013 The Author.","author":[{"dropping-particle":"","family":"Krämer","given":"Andreas","non-dropping-particle":"","parse-names":false,"suffix":""},{"dropping-particle":"","family":"Green","given":"Jeff","non-dropping-particle":"","parse-names":false,"suffix":""},{"dropping-particle":"","family":"Pollard","given":"Jack","non-dropping-particle":"","parse-names":false,"suffix":""},{"dropping-particle":"","family":"Tugendreich","given":"Stuart","non-dropping-particle":"","parse-names":false,"suffix":""}],"container-title":"Bioinformatics","id":"ITEM-1","issue":"4","issued":{"date-parts":[["2014"]]},"page":"523-530","title":"Causal analysis approaches in ingenuity pathway analysis","type":"article-journal","volume":"30"},"uris":["http://www.mendeley.com/documents/?uuid=78819ccb-ed66-481f-9178-70164b2c9b9d"]}],"mendeley":{"formattedCitation":"[73]","plainTextFormattedCitation":"[73]","previouslyFormattedCitation":"[71]"},"properties":{"noteIndex":0},"schema":"https://github.com/citation-style-language/schema/raw/master/csl-citation.json"}</w:instrText>
      </w:r>
      <w:r w:rsidRPr="006E6EE8">
        <w:fldChar w:fldCharType="separate"/>
      </w:r>
      <w:r w:rsidRPr="006E6EE8">
        <w:rPr>
          <w:noProof/>
        </w:rPr>
        <w:t>[71]</w:t>
      </w:r>
      <w:r w:rsidRPr="006E6EE8">
        <w:fldChar w:fldCharType="end"/>
      </w:r>
      <w:r w:rsidRPr="006E6EE8">
        <w:t>) to explore the cellular and molecular pathways that may have been altered because of expression changes in SMA I-III fibroblasts versus their age-matched controls. A right-tailed Fisher’s Exact Test was used to calculate a p-value determining the probability that each cellular and molecular function or canonical pathway assigned to that data set is due to chance alone and the final list of functions and pathways were ranked accordingly to the resulting p-value.</w:t>
      </w:r>
    </w:p>
    <w:p w14:paraId="6B4D76A6" w14:textId="77777777" w:rsidR="00786B93" w:rsidRPr="006E6EE8" w:rsidRDefault="00786B93" w:rsidP="00595196">
      <w:pPr>
        <w:pStyle w:val="MDPI31text"/>
      </w:pPr>
      <w:r w:rsidRPr="006E6EE8">
        <w:lastRenderedPageBreak/>
        <w:t xml:space="preserve">The same datasets of proteins were used for network generation in IPA. Each identifier was mapped to its corresponding entry in Ingenuity's Knowledge Base and these proteins were overlaid onto a global molecular network developed from information contained in the Ingenuity Knowledge Base. Networks were then algorithmically generated based on their connectivity. The Functional Analysis of a network identified the biological functions and/or diseases that were most significant to the proteins in the network. A right-tailed Fisher’s Exact Test was used to calculate a p-value representing the probability that the overlaps reported between the input dataset and the base pathway/network (e.g., all the constituent components of RhoGD signalling) is due to chance alone. The resulting networks are a graphical representation of the molecular relationships between proteins, where proteins are represented as nodes, and the biological relationship between two nodes is represented as an edge (line). All edges are supported by at least one reference from the literature, from a textbook, or from canonical information stored in the Ingenuity Knowledge Base, all supporting an </w:t>
      </w:r>
      <w:r w:rsidRPr="006E6EE8">
        <w:rPr>
          <w:i/>
          <w:iCs/>
        </w:rPr>
        <w:t xml:space="preserve">in vivo </w:t>
      </w:r>
      <w:r w:rsidRPr="006E6EE8">
        <w:t xml:space="preserve">or </w:t>
      </w:r>
      <w:r w:rsidRPr="006E6EE8">
        <w:rPr>
          <w:i/>
          <w:iCs/>
        </w:rPr>
        <w:t xml:space="preserve">in vitro </w:t>
      </w:r>
      <w:r w:rsidRPr="006E6EE8">
        <w:t xml:space="preserve">observation of a protein:protein or protein:DNA interaction (as opposed to a merely predicted interaction from </w:t>
      </w:r>
      <w:r w:rsidRPr="006E6EE8">
        <w:rPr>
          <w:i/>
          <w:iCs/>
        </w:rPr>
        <w:t xml:space="preserve">in silico </w:t>
      </w:r>
      <w:r w:rsidRPr="006E6EE8">
        <w:t>experimentation)..</w:t>
      </w:r>
    </w:p>
    <w:p w14:paraId="15CDB226" w14:textId="77777777" w:rsidR="00786B93" w:rsidRPr="006E6EE8" w:rsidRDefault="00786B93" w:rsidP="00595196">
      <w:pPr>
        <w:pStyle w:val="MDPI31text"/>
      </w:pPr>
      <w:r w:rsidRPr="006E6EE8">
        <w:t xml:space="preserve">Analysis Match builds a signature from the highest confidence predictions for a set of data and compares it with those of other analyses generated from public gene expression datasets within IPA’s compendium </w:t>
      </w:r>
      <w:r w:rsidRPr="006E6EE8">
        <w:fldChar w:fldCharType="begin" w:fldLock="1"/>
      </w:r>
      <w:r w:rsidRPr="006E6EE8">
        <w:instrText>ADDIN CSL_CITATION {"citationItems":[{"id":"ITEM-1","itemData":{"abstract":"Analyzing large transcriptomics or proteomics datasets typi\u0002cally involves answering two broad questions regarding the set of differentially-expressed genes or proteins: 1) What does the data reveal about the underlying biology in the sampled cells or tissues; and 2) What relevance does that biological information have with respect to other biological samples? We want to understand whether the phenomenon is unusual or commonplace, and whether there are informative similarities to other areas of biology.","author":[{"dropping-particle":"","family":"Tugendreich","given":"Stuart M.","non-dropping-particle":"","parse-names":false,"suffix":""}],"container-title":"Qiagen white paper","id":"ITEM-1","issue":"January","issued":{"date-parts":[["2019"]]},"title":"Understanding biological mechanisms in transcriptomics or proteomics datasets with Ingenuity Pathway Analysis ( IPA ) and Analysis Match","type":"article-journal"},"uris":["http://www.mendeley.com/documents/?uuid=3908b722-74dd-45ae-a26e-67d99bef5823"]}],"mendeley":{"formattedCitation":"[74]","plainTextFormattedCitation":"[74]","previouslyFormattedCitation":"[72]"},"properties":{"noteIndex":0},"schema":"https://github.com/citation-style-language/schema/raw/master/csl-citation.json"}</w:instrText>
      </w:r>
      <w:r w:rsidRPr="006E6EE8">
        <w:fldChar w:fldCharType="separate"/>
      </w:r>
      <w:r w:rsidRPr="006E6EE8">
        <w:rPr>
          <w:noProof/>
        </w:rPr>
        <w:t>[72]</w:t>
      </w:r>
      <w:r w:rsidRPr="006E6EE8">
        <w:fldChar w:fldCharType="end"/>
      </w:r>
      <w:r w:rsidRPr="006E6EE8">
        <w:t xml:space="preserve">. A signature is generated for Canonical Pathways, Upstream Regulators, Causal Networks, and Diseases and Functions. If the activated and inhibited entities (proteins in this study) strongly overlap, the generated z-scores will approach 100, whilst analyses that are strongly dissimilar will approach –100. Each signature is created through filtering of all predicted entities of a single type (e.g., Canonical Pathways) so that only those with Fisher’s Exact Test p-values ≤0.05 and absolute z-scores ≥2 are included </w:t>
      </w:r>
      <w:r w:rsidRPr="006E6EE8">
        <w:fldChar w:fldCharType="begin" w:fldLock="1"/>
      </w:r>
      <w:r w:rsidRPr="006E6EE8">
        <w:instrText>ADDIN CSL_CITATION {"citationItems":[{"id":"ITEM-1","itemData":{"DOI":"10.1093/bioinformatics/btt703","ISSN":"13674803","PMID":"24336805","abstract":"Motivation: Prior biological knowledge greatly facilitates the meaningful interpretation of gene-expression data. Causal networks constructed from individual relationships curated from the literature are particularly suited for this task, since they create mechanistic hypotheses that explain the expression changes observed in datasets.Results: We present and discuss a suite of algorithms and tools for inferring and scoring regulator networks upstream of gene-expression data based on a large-scale causal network derived from the Ingenuity Knowledge Base. We extend the method to predict downstream effects on biological functions and diseases and demonstrate the validity of our approach by applying it to example datasets.Availability: The causal analytics tools 'Upstream Regulator Analysis', 'Mechanistic Networks', 'Causal Network Analysis' and 'Downstream Effects Analysis' are implemented and available within Ingenuity Pathway Analysis (IPA, http://www.ingenuity.com).Supplementary information: Supplementary material is available at Bioinformatics online. © 2013 The Author.","author":[{"dropping-particle":"","family":"Krämer","given":"Andreas","non-dropping-particle":"","parse-names":false,"suffix":""},{"dropping-particle":"","family":"Green","given":"Jeff","non-dropping-particle":"","parse-names":false,"suffix":""},{"dropping-particle":"","family":"Pollard","given":"Jack","non-dropping-particle":"","parse-names":false,"suffix":""},{"dropping-particle":"","family":"Tugendreich","given":"Stuart","non-dropping-particle":"","parse-names":false,"suffix":""}],"container-title":"Bioinformatics","id":"ITEM-1","issue":"4","issued":{"date-parts":[["2014"]]},"page":"523-530","title":"Causal analysis approaches in ingenuity pathway analysis","type":"article-journal","volume":"30"},"uris":["http://www.mendeley.com/documents/?uuid=78819ccb-ed66-481f-9178-70164b2c9b9d"]}],"mendeley":{"formattedCitation":"[73]","plainTextFormattedCitation":"[73]","previouslyFormattedCitation":"[71]"},"properties":{"noteIndex":0},"schema":"https://github.com/citation-style-language/schema/raw/master/csl-citation.json"}</w:instrText>
      </w:r>
      <w:r w:rsidRPr="006E6EE8">
        <w:fldChar w:fldCharType="separate"/>
      </w:r>
      <w:r w:rsidRPr="006E6EE8">
        <w:rPr>
          <w:noProof/>
        </w:rPr>
        <w:t>[71]</w:t>
      </w:r>
      <w:r w:rsidRPr="006E6EE8">
        <w:fldChar w:fldCharType="end"/>
      </w:r>
      <w:r w:rsidRPr="006E6EE8">
        <w:t xml:space="preserve"> with entities with the largest positive and negative z-scores being combined to form the signature. Each entity is assigned a sign, depending on the match, and a scoring algorithm evaluates how well the analyses match. IPA also tests whether the overlap between any two signatures is statistically significant by calculating a p-value with Fisher’s Exact Test, which takes into account the number of overlapping entities, the number of non-overlapping entities in both sets of datasets, and the total number of entities in all signatures across all analyses that are not in the two signatures being assessed.</w:t>
      </w:r>
    </w:p>
    <w:p w14:paraId="0F380864" w14:textId="77777777" w:rsidR="00786B93" w:rsidRPr="006E6EE8" w:rsidRDefault="00786B93" w:rsidP="00595196">
      <w:pPr>
        <w:pStyle w:val="MDPI22heading2"/>
        <w:spacing w:before="240"/>
      </w:pPr>
      <w:r w:rsidRPr="006E6EE8">
        <w:t>BioLayout Express3D</w:t>
      </w:r>
    </w:p>
    <w:p w14:paraId="73A69AB9" w14:textId="77777777" w:rsidR="00786B93" w:rsidRPr="006E6EE8" w:rsidRDefault="00786B93" w:rsidP="00595196">
      <w:pPr>
        <w:pStyle w:val="MDPI31text"/>
      </w:pPr>
      <w:r w:rsidRPr="006E6EE8">
        <w:t xml:space="preserve">Protein levels across all three SMA types in which proteins met the criteria for differential expression (i.e., identified from more than one peptide and with a statistically significant (p-value of &lt;0.05) fold-change of ≤1.25 or ≥0.80) in one or more of the SMA types compared to respective age-matched control fibroblasts were imported separately into BioLayout Express3D </w:t>
      </w:r>
      <w:r w:rsidRPr="006E6EE8">
        <w:fldChar w:fldCharType="begin" w:fldLock="1"/>
      </w:r>
      <w:r w:rsidRPr="006E6EE8">
        <w:instrText>ADDIN CSL_CITATION {"citationItems":[{"id":"ITEM-1","itemData":{"DOI":"10.1038/nprot.2009.177","ISSN":"17502799","PMID":"19798086","abstract":"Network analysis has an increasing role in our effort to understand the complexity of biological systems. This is because of our ability to generate large data sets, where the interaction or distance between biological components can be either measured experimentally or calculated. Here we describe the use of BioLayout Express(3D), an application that has been specifically designed for the integration, visualization and analysis of large network graphs derived from biological data. We describe the basic functionality of the program and its ability to display and cluster large graphs in two- and three-dimensional space, thereby rendering graphs in a highly interactive format. Although the program supports the import and display of various data formats, we provide a detailed protocol for one of its unique capabilities, the network analysis of gene expression data and a more general guide to the manipulation of graphs generated from various other data types.","author":[{"dropping-particle":"","family":"Theocharidis","given":"Athanasios","non-dropping-particle":"","parse-names":false,"suffix":""},{"dropping-particle":"","family":"Dongen","given":"Stjin","non-dropping-particle":"van","parse-names":false,"suffix":""},{"dropping-particle":"","family":"Enright","given":"Anton J.","non-dropping-particle":"","parse-names":false,"suffix":""},{"dropping-particle":"","family":"Freeman","given":"Tom C.","non-dropping-particle":"","parse-names":false,"suffix":""}],"container-title":"Nature protocols","id":"ITEM-1","issue":"10","issued":{"date-parts":[["2009"]]},"page":"1535-1550","publisher":"Nature Publishing Group","title":"Network visualization and analysis of gene expression data using BioLayout Express(3D).","type":"article-journal","volume":"4"},"uris":["http://www.mendeley.com/documents/?uuid=b23a5345-3937-4bd7-9ae3-b30c406d0247"]}],"mendeley":{"formattedCitation":"[29]","plainTextFormattedCitation":"[29]","previouslyFormattedCitation":"[29]"},"properties":{"noteIndex":0},"schema":"https://github.com/citation-style-language/schema/raw/master/csl-citation.json"}</w:instrText>
      </w:r>
      <w:r w:rsidRPr="006E6EE8">
        <w:fldChar w:fldCharType="separate"/>
      </w:r>
      <w:r w:rsidRPr="006E6EE8">
        <w:rPr>
          <w:noProof/>
        </w:rPr>
        <w:t>[29]</w:t>
      </w:r>
      <w:r w:rsidRPr="006E6EE8">
        <w:fldChar w:fldCharType="end"/>
      </w:r>
      <w:r w:rsidRPr="006E6EE8">
        <w:t xml:space="preserve"> and clustered based on relative expression profile across SMA I, II and III. Algorithms in BioLayout Express3D generate a visual network by extrapolating individual protein identifications in the form of separate data points through their relative expression status in SMA I, II and III fibroblasts compared to age-matched controls. This network uses spatial proximity to represent the similarity in expression profile of individual proteins across disease types, whereby proteins that follow a similar expression profile, such as a steady decrease in expression from SMA I/control to SMA II/control to SMA III/control, will be clustered together. The resultant visual networks were utilized firstly to distinguish expression clusters that followed either a general upward or downward trend in expression from SMA I to II to III/control (i.e., clusters closely correlated with clinical severity). Secondly, expression clusters which “peaked” or “troughed” in a particular SMA type/control compared to both other types were isolated as SMA type-specific trends. </w:t>
      </w:r>
    </w:p>
    <w:p w14:paraId="598AA676" w14:textId="77777777" w:rsidR="00786B93" w:rsidRPr="006E6EE8" w:rsidRDefault="00786B93" w:rsidP="00595196">
      <w:pPr>
        <w:pStyle w:val="MDPI22heading2"/>
        <w:spacing w:before="240"/>
      </w:pPr>
      <w:r w:rsidRPr="006E6EE8">
        <w:t xml:space="preserve">Western blot analysis </w:t>
      </w:r>
    </w:p>
    <w:p w14:paraId="3720F56D" w14:textId="77777777" w:rsidR="00786B93" w:rsidRPr="006E6EE8" w:rsidRDefault="00786B93" w:rsidP="00595196">
      <w:pPr>
        <w:pStyle w:val="MDPI31text"/>
        <w:rPr>
          <w:b/>
          <w:bCs/>
        </w:rPr>
      </w:pPr>
      <w:r w:rsidRPr="006E6EE8">
        <w:lastRenderedPageBreak/>
        <w:t xml:space="preserve">SDS-PAGE, western blot and immunodetection were carried out as previously described </w:t>
      </w:r>
      <w:r w:rsidRPr="006E6EE8">
        <w:fldChar w:fldCharType="begin" w:fldLock="1"/>
      </w:r>
      <w:r w:rsidRPr="006E6EE8">
        <w:instrText>ADDIN CSL_CITATION {"citationItems":[{"id":"ITEM-1","itemData":{"DOI":"10.3390/brainsci8120212","ISBN":"4416914040","ISSN":"2076-3425","PMID":"30518112","abstract":"&lt;p&gt;Unravelling the complex molecular pathways responsible for motor neuron degeneration in amyotrophic lateral sclerosis (ALS) and spinal muscular atrophy (SMA) remains a persistent challenge. Interest is growing in the potential molecular similarities between these two diseases, with the hope of better understanding disease pathology for the guidance of therapeutic development. The aim of this study was to conduct a comparative analysis of published proteomic studies of ALS and SMA, seeking commonly dysregulated molecules to be prioritized as future therapeutic targets. Fifteen proteins were found to be differentially expressed in two or more proteomic studies of both ALS and SMA, and bioinformatics analysis identified over-representation of proteins known to associate in vesicles and molecular pathways, including metabolism of proteins and vesicle-mediated transport—both of which converge on endoplasmic reticulum (ER)-Golgi trafficking processes. Calreticulin, a calcium-binding chaperone found in the ER, was associated with both pathways and we independently confirm that its expression was decreased in spinal cords from SMA and increased in spinal cords from ALS mice. Together, these findings offer significant insights into potential common targets that may help to guide the development of new therapies for both diseases.&lt;/p&gt;","author":[{"dropping-particle":"","family":"Šoltić","given":"Darija","non-dropping-particle":"","parse-names":false,"suffix":""},{"dropping-particle":"","family":"Bowerman","given":"Melissa","non-dropping-particle":"","parse-names":false,"suffix":""},{"dropping-particle":"","family":"Stock","given":"Joanne","non-dropping-particle":"","parse-names":false,"suffix":""},{"dropping-particle":"","family":"Shorrock","given":"Hannah","non-dropping-particle":"","parse-names":false,"suffix":""},{"dropping-particle":"","family":"Gillingwater","given":"Thomas","non-dropping-particle":"","parse-names":false,"suffix":""},{"dropping-particle":"","family":"Fuller","given":"Heidi","non-dropping-particle":"","parse-names":false,"suffix":""}],"container-title":"Brain Sciences","id":"ITEM-1","issue":"12","issued":{"date-parts":[["2018"]]},"page":"212","title":"Multi-Study Proteomic and Bioinformatic Identification of Molecular Overlap between Amyotrophic Lateral Sclerosis (ALS) and Spinal Muscular Atrophy (SMA)","type":"article-journal","volume":"8"},"uris":["http://www.mendeley.com/documents/?uuid=6fe72229-b26a-4225-a729-9f95f7cf6c4f"]}],"mendeley":{"formattedCitation":"[61]","plainTextFormattedCitation":"[61]","previouslyFormattedCitation":"[59]"},"properties":{"noteIndex":0},"schema":"https://github.com/citation-style-language/schema/raw/master/csl-citation.json"}</w:instrText>
      </w:r>
      <w:r w:rsidRPr="006E6EE8">
        <w:fldChar w:fldCharType="separate"/>
      </w:r>
      <w:r w:rsidRPr="006E6EE8">
        <w:rPr>
          <w:noProof/>
        </w:rPr>
        <w:t>[73]</w:t>
      </w:r>
      <w:r w:rsidRPr="006E6EE8">
        <w:fldChar w:fldCharType="end"/>
      </w:r>
      <w:r w:rsidRPr="006E6EE8">
        <w:t xml:space="preserve">. Protein extracts from each fibroblast cell line were diluted with 2x Laemmli sample buffer (4% sodium dodecyl sulfate (SDS; l4509, Sigma) 10% 2-mercaptoethanol (M3148; Sigma), 20% glycerol (G9012, Sigma), 0.125 M Tris-HCl, bromophenol blue) and adjusted in concentration to match the sample with the lowest protein concentration as determined from the BCA protein assay. Samples were heated for 3 min at 95°C and subjected to SDS-PAGE electrophoresis using 4-12% Bis-Tris gels (Invitrogen). Gels were stained with Coomassie blue and protein loading determined via densitometry measurements using Image J software (1.52a) </w:t>
      </w:r>
      <w:r w:rsidRPr="006E6EE8">
        <w:fldChar w:fldCharType="begin" w:fldLock="1"/>
      </w:r>
      <w:r w:rsidRPr="006E6EE8">
        <w:instrText>ADDIN CSL_CITATION {"citationItems":[{"id":"ITEM-1","itemData":{"DOI":"10.1201/9781420005615.ax4","ISSN":"10818693","author":[{"dropping-particle":"","family":"Abràmoff","given":"Michael D.","non-dropping-particle":"","parse-names":false,"suffix":""},{"dropping-particle":"","family":"Magalhães","given":"Paulo J.","non-dropping-particle":"","parse-names":false,"suffix":""},{"dropping-particle":"","family":"Ram","given":"Sunanda J.","non-dropping-particle":"","parse-names":false,"suffix":""}],"container-title":"Biophotonics International","id":"ITEM-1","issue":"7","issued":{"date-parts":[["2004"]]},"page":"36-41","title":"Image processing with imageJ","type":"article-journal","volume":"11"},"uris":["http://www.mendeley.com/documents/?uuid=492c043a-2cff-453f-ad41-d803b86c9a31"]}],"mendeley":{"formattedCitation":"[75]","plainTextFormattedCitation":"[75]","previouslyFormattedCitation":"[73]"},"properties":{"noteIndex":0},"schema":"https://github.com/citation-style-language/schema/raw/master/csl-citation.json"}</w:instrText>
      </w:r>
      <w:r w:rsidRPr="006E6EE8">
        <w:fldChar w:fldCharType="separate"/>
      </w:r>
      <w:r w:rsidRPr="006E6EE8">
        <w:rPr>
          <w:noProof/>
        </w:rPr>
        <w:t>[74]</w:t>
      </w:r>
      <w:r w:rsidRPr="006E6EE8">
        <w:fldChar w:fldCharType="end"/>
      </w:r>
      <w:r w:rsidRPr="006E6EE8">
        <w:t xml:space="preserve">. If necessary, sample concentrations were further adjusted to ensure both individual and combined groups of SMA type and age-matched control protein extracts contributed equally to the WB analysis. Samples were subject to separation by SDS-PAGE; after which, a portion of the gel was excised and stained with Coomassie blue as an internal loading control for each sample or group of combined samples. Proteins in the remaining gel were transferred to nitrocellulose membranes overnight, blocked with 4% semi-skimmed powdered milk in PBS for 1 h then incubated with primary antibodies (Supplementary File (Table 2)) for 2 h, washed and incubated with the appropriate HRP-labeled secondary antibody (rabbit anti-mouse Ig (DAKO; P0260) or goat anti-rabbit Ig (DAKO; P0488) diluted 1:1000 (at 0.25 ng/mL) for 1 h. Antibodies were diluted as described in (Supplementary File (Table 2)) in dilution buffer (1% foetal bovine serum, 1% horse serum, 0.1% BSA in PBS with 0.05% Triton X-100), all steps were carried out at RT and PBS was used for washes. Following incubation with either West Pico or Femto (ThermoFisher), membranes were visualised using a Gel Image Documentation system (Bio-Rad, Deeside, UK). Detected bands were analysed using Fiji software (v1.51) </w:t>
      </w:r>
      <w:r w:rsidRPr="006E6EE8">
        <w:fldChar w:fldCharType="begin" w:fldLock="1"/>
      </w:r>
      <w:r w:rsidRPr="006E6EE8">
        <w:instrText>ADDIN CSL_CITATION {"citationItems":[{"id":"ITEM-1","itemData":{"DOI":"10.1038/nmeth.2019","ISSN":"15487091","PMID":"22743772","abstract":"Fiji is a distribution of the popular open-source software ImageJ focused on biological-image analysis. Fiji uses modern software engineering practices to combine powerful software libraries with a broad range of scripting languages to enable rapid prototyping of image-processing algorithms. Fiji facilitates the transformation of new algorithms into ImageJ plugins that can be shared with end users through an integrated update system. We propose Fiji as a platform for productive collaboration between computer science and biology research communities. © 2012 Nature America, Inc. All rights reserved.","author":[{"dropping-particle":"","family":"Schindelin","given":"Johannes","non-dropping-particle":"","parse-names":false,"suffix":""},{"dropping-particle":"","family":"Arganda-Carreras","given":"Ignacio","non-dropping-particle":"","parse-names":false,"suffix":""},{"dropping-particle":"","family":"Frise","given":"Erwin","non-dropping-particle":"","parse-names":false,"suffix":""},{"dropping-particle":"","family":"Kaynig","given":"Verena","non-dropping-particle":"","parse-names":false,"suffix":""},{"dropping-particle":"","family":"Longair","given":"Mark","non-dropping-particle":"","parse-names":false,"suffix":""},{"dropping-particle":"","family":"Pietzsch","given":"Tobias","non-dropping-particle":"","parse-names":false,"suffix":""},{"dropping-particle":"","family":"Preibisch","given":"Stephan","non-dropping-particle":"","parse-names":false,"suffix":""},{"dropping-particle":"","family":"Rueden","given":"Curtis","non-dropping-particle":"","parse-names":false,"suffix":""},{"dropping-particle":"","family":"Saalfeld","given":"Stephan","non-dropping-particle":"","parse-names":false,"suffix":""},{"dropping-particle":"","family":"Schmid","given":"Benjamin","non-dropping-particle":"","parse-names":false,"suffix":""},{"dropping-particle":"","family":"Tinevez","given":"Jean Yves","non-dropping-particle":"","parse-names":false,"suffix":""},{"dropping-particle":"","family":"White","given":"Daniel James","non-dropping-particle":"","parse-names":false,"suffix":""},{"dropping-particle":"","family":"Hartenstein","given":"Volker","non-dropping-particle":"","parse-names":false,"suffix":""},{"dropping-particle":"","family":"Eliceiri","given":"Kevin","non-dropping-particle":"","parse-names":false,"suffix":""},{"dropping-particle":"","family":"Tomancak","given":"Pavel","non-dropping-particle":"","parse-names":false,"suffix":""},{"dropping-particle":"","family":"Cardona","given":"Albert","non-dropping-particle":"","parse-names":false,"suffix":""}],"container-title":"Nature Methods","id":"ITEM-1","issue":"7","issued":{"date-parts":[["2012"]]},"page":"676-682","title":"Fiji: An open-source platform for biological-image analysis","type":"article-journal","volume":"9"},"uris":["http://www.mendeley.com/documents/?uuid=e8e0676c-e2fb-4bfe-a94a-0751d8d266b0"]}],"mendeley":{"formattedCitation":"[76]","plainTextFormattedCitation":"[76]","previouslyFormattedCitation":"[74]"},"properties":{"noteIndex":0},"schema":"https://github.com/citation-style-language/schema/raw/master/csl-citation.json"}</w:instrText>
      </w:r>
      <w:r w:rsidRPr="006E6EE8">
        <w:fldChar w:fldCharType="separate"/>
      </w:r>
      <w:r w:rsidRPr="006E6EE8">
        <w:rPr>
          <w:noProof/>
        </w:rPr>
        <w:t>[75]</w:t>
      </w:r>
      <w:r w:rsidRPr="006E6EE8">
        <w:fldChar w:fldCharType="end"/>
      </w:r>
      <w:r w:rsidRPr="006E6EE8">
        <w:t xml:space="preserve"> and normalised to the densitometry measurements observed on the Coomassie stained gel. </w:t>
      </w:r>
    </w:p>
    <w:p w14:paraId="06743A68" w14:textId="77777777" w:rsidR="00786B93" w:rsidRPr="006E6EE8" w:rsidRDefault="00786B93" w:rsidP="00595196">
      <w:pPr>
        <w:pStyle w:val="MDPI22heading2"/>
        <w:spacing w:before="240"/>
      </w:pPr>
      <w:r w:rsidRPr="006E6EE8">
        <w:t>Statistical analysis</w:t>
      </w:r>
    </w:p>
    <w:p w14:paraId="33F15929" w14:textId="77777777" w:rsidR="00786B93" w:rsidRPr="006E6EE8" w:rsidRDefault="00786B93" w:rsidP="00595196">
      <w:pPr>
        <w:pStyle w:val="MDPI31text"/>
      </w:pPr>
      <w:r w:rsidRPr="006E6EE8">
        <w:t xml:space="preserve">All statistical analyses were carried out using GraphPad Prism version 9.0.0 (121) for Windows, GraphPad Software, San Diego, California USA, www.graphpad.com. The coefficient of variance (CV) was calculated for each protein identified by 2 peptides or more for each SMA type and associated control group, The CV data of each group was checked for normality using the </w:t>
      </w:r>
      <w:r w:rsidRPr="006E6EE8">
        <w:rPr>
          <w:color w:val="201F1E"/>
        </w:rPr>
        <w:t xml:space="preserve">Anderson-Darling, D’Agostino &amp; Pearson, Shapiro-Wilk and Kolmogorov-Smirov tests, and Kruskal-Wallis with Dunn’s multiple comparisons test used to establish any significant differences between the CVs of the groups. </w:t>
      </w:r>
      <w:r w:rsidRPr="006E6EE8">
        <w:t xml:space="preserve">To determine whether changes in protein expression of SMA types were significantly different to age-matched controls following SWATH-MS analysis, multiple unpaired t-tests with Welch correction were carried out assuming individual variance for each group and applying no correction for multiple comparisons. Western blot densitometry measurements were assessed using unpaired, two-tailed or one-tailed t-tests (as appropriate) with Welch’s correction. Equal standard deviations were not assumed, and significant differences determined between age-matched controls and their corresponding SMA type. For comparison of the western blots of non-transfected and transiently transfected cells, paired t-tests were used. For clusters generated from the BioLayout analysis, Kruskal-Wallis incorporating multiple comparisons and corrected with Dunn’s was used to determine significant differences between groups whilst Spearman Rank was used to identify any significant correlations.  </w:t>
      </w:r>
    </w:p>
    <w:p w14:paraId="4CF64845" w14:textId="77777777" w:rsidR="00786B93" w:rsidRPr="006E6EE8" w:rsidRDefault="00786B93" w:rsidP="00595196">
      <w:pPr>
        <w:pStyle w:val="MDPI62BackMatter"/>
        <w:spacing w:before="240"/>
        <w:rPr>
          <w:b/>
          <w:bCs/>
          <w:u w:val="single"/>
        </w:rPr>
      </w:pPr>
      <w:r w:rsidRPr="006E6EE8">
        <w:rPr>
          <w:b/>
        </w:rPr>
        <w:t>Funding</w:t>
      </w:r>
      <w:r w:rsidR="00595196" w:rsidRPr="006E6EE8">
        <w:rPr>
          <w:b/>
        </w:rPr>
        <w:t>:</w:t>
      </w:r>
      <w:r w:rsidR="00595196" w:rsidRPr="006E6EE8">
        <w:t xml:space="preserve"> </w:t>
      </w:r>
      <w:r w:rsidRPr="006E6EE8">
        <w:t xml:space="preserve">This work was supported by Great Ormond Street Hospital Charity (GOSH) and SPARKS Children’s Medical Research Charity (Grant No. V5018 to HRF). Electroporator funded by the Orthopaedic Institute Ltd (One liner fund). RAK was funded by the Euan Macdonald Centre for Motor Neuron Disease Research PhD studentship, and the University of Edinburgh's Principal's Career Development and Global Research scholarships. TMW is supported by funding from the Biotechnology and Biological Sciences Research Council (BBSRC) Institute Strategic Grant (BBS/E/D/10002071). BW research on spinal muscular atrophy and generation of cell line was </w:t>
      </w:r>
      <w:r w:rsidRPr="006E6EE8">
        <w:lastRenderedPageBreak/>
        <w:t>supported by the German Research Foundation [Wi 945/17-1 (project-ID 398410809); SFB1451 (project-ID 431549029 – A01)] and the European Research Council (ERC) under the European Union’s Horizon 2020 research and innovation program under the Marie Skłodowska-Curie grant agreement No 956185 (SMABEYOND).</w:t>
      </w:r>
    </w:p>
    <w:p w14:paraId="1F3F58C2" w14:textId="77777777" w:rsidR="00786B93" w:rsidRPr="006E6EE8" w:rsidRDefault="00595196" w:rsidP="00595196">
      <w:pPr>
        <w:pStyle w:val="MDPI62BackMatter"/>
      </w:pPr>
      <w:r w:rsidRPr="006E6EE8">
        <w:rPr>
          <w:b/>
        </w:rPr>
        <w:t>Acknowledgments:</w:t>
      </w:r>
      <w:r w:rsidRPr="006E6EE8">
        <w:t xml:space="preserve"> </w:t>
      </w:r>
      <w:r w:rsidR="00786B93" w:rsidRPr="006E6EE8">
        <w:t>The authors are grateful to the Newcastle MRC Centre Biobank for Rare &amp; Neuromuscular Diseases for supplying patient fibroblast lines as designated in the main manuscript. The mass spectrometry proteomics data have been deposited to the ProteomeXchange Consortium via the PRIDE [76] partner repository with the dataset identifier PXD034596. (Submission details:  Project Name: Proteomic profiling of fibroblasts differentiates patients with severe, intermediate and mild spinal muscular atrophy; Project accession: PXD034596; Reviewer account details: Username: reviewer_pxd034596@ebi.ac.uk; Password: XcRWhSod).</w:t>
      </w:r>
    </w:p>
    <w:p w14:paraId="5C3CCE36" w14:textId="77777777" w:rsidR="00786B93" w:rsidRPr="006E6EE8" w:rsidRDefault="00595196" w:rsidP="00595196">
      <w:pPr>
        <w:pStyle w:val="MDPI62BackMatter"/>
      </w:pPr>
      <w:r w:rsidRPr="006E6EE8">
        <w:rPr>
          <w:b/>
          <w:bCs/>
          <w:u w:val="single"/>
        </w:rPr>
        <w:t>Conflicts of Interest</w:t>
      </w:r>
      <w:r w:rsidR="00786B93" w:rsidRPr="006E6EE8">
        <w:rPr>
          <w:b/>
          <w:bCs/>
          <w:u w:val="single"/>
        </w:rPr>
        <w:t xml:space="preserve"> Statement</w:t>
      </w:r>
      <w:r w:rsidRPr="006E6EE8">
        <w:rPr>
          <w:b/>
          <w:bCs/>
          <w:u w:val="single"/>
        </w:rPr>
        <w:t xml:space="preserve">: </w:t>
      </w:r>
      <w:r w:rsidR="00786B93" w:rsidRPr="006E6EE8">
        <w:t>The authors declare no conflicts of interest.</w:t>
      </w:r>
    </w:p>
    <w:p w14:paraId="23BFCF40" w14:textId="77777777" w:rsidR="00786B93" w:rsidRPr="006E6EE8" w:rsidRDefault="00595196" w:rsidP="00595196">
      <w:pPr>
        <w:pStyle w:val="MDPI62BackMatter"/>
      </w:pPr>
      <w:r w:rsidRPr="006E6EE8">
        <w:rPr>
          <w:b/>
          <w:bCs/>
          <w:u w:val="single"/>
        </w:rPr>
        <w:t>Author Contribution</w:t>
      </w:r>
      <w:r w:rsidR="00786B93" w:rsidRPr="006E6EE8">
        <w:rPr>
          <w:b/>
          <w:bCs/>
          <w:u w:val="single"/>
        </w:rPr>
        <w:t>s</w:t>
      </w:r>
      <w:r w:rsidRPr="006E6EE8">
        <w:rPr>
          <w:b/>
          <w:bCs/>
          <w:u w:val="single"/>
        </w:rPr>
        <w:t xml:space="preserve">: </w:t>
      </w:r>
      <w:r w:rsidR="00786B93" w:rsidRPr="006E6EE8">
        <w:t>Conceptualization, SJB and HRF; Methodology, SJB, HRF, SAS, SLS, IH, KAS, PC, TMW, RAK; Software, RAK, SAS, SLS, TMW, HRF, SJAB; Validation, SJB and HRF; Formal Analysis, SJB, RAK, SAS, SLS, IH, KAS, TMW, HRF; Investigation, SJB, RAK, SAS, SLS, IH, KAS, TMW, HRF; Resources, SJB, KAS, PC, BW, HRF; Data Curation, SJB, RAK, SAS, SLS, HRF; Writing – Original Draft Preparation, SJB, RAK, SAS, HRF; Writing – Review &amp; Editing, SJB, RAK, SAS, SLS, IH, KAS, PC, BW, TMW, HRF; Visualization, SJB, RAK, SAS, SLS, IH, KAS, PC, BW, TMW, HRF; Supervision, HRF; Project Administration, HRF; Funding Acquisition, HRF.</w:t>
      </w:r>
    </w:p>
    <w:p w14:paraId="107E97BB" w14:textId="77777777" w:rsidR="00786B93" w:rsidRPr="006E6EE8" w:rsidRDefault="00595196" w:rsidP="00595196">
      <w:pPr>
        <w:pStyle w:val="MDPI62BackMatter"/>
        <w:spacing w:before="240"/>
        <w:rPr>
          <w:rFonts w:ascii="Times New Roman" w:hAnsi="Times New Roman"/>
          <w:sz w:val="24"/>
          <w:szCs w:val="24"/>
        </w:rPr>
      </w:pPr>
      <w:r w:rsidRPr="006E6EE8">
        <w:rPr>
          <w:b/>
          <w:bCs/>
          <w:u w:val="single"/>
        </w:rPr>
        <w:t>Supplementary Materials</w:t>
      </w:r>
      <w:r w:rsidR="00786B93" w:rsidRPr="006E6EE8">
        <w:rPr>
          <w:b/>
          <w:bCs/>
          <w:u w:val="single"/>
        </w:rPr>
        <w:t>:</w:t>
      </w:r>
      <w:r w:rsidRPr="006E6EE8">
        <w:rPr>
          <w:b/>
          <w:bCs/>
          <w:u w:val="single"/>
        </w:rPr>
        <w:t xml:space="preserve"> </w:t>
      </w:r>
      <w:r w:rsidR="00786B93" w:rsidRPr="006E6EE8">
        <w:t xml:space="preserve">Supplementary File (Word document containing Tables 1-3, and Figures </w:t>
      </w:r>
      <w:r w:rsidR="00786B93" w:rsidRPr="006E6EE8">
        <w:rPr>
          <w:szCs w:val="18"/>
        </w:rPr>
        <w:t>1 and 2)</w:t>
      </w:r>
      <w:r w:rsidRPr="006E6EE8">
        <w:rPr>
          <w:szCs w:val="18"/>
        </w:rPr>
        <w:t xml:space="preserve">, </w:t>
      </w:r>
      <w:r w:rsidR="00786B93" w:rsidRPr="006E6EE8">
        <w:rPr>
          <w:rFonts w:ascii="Times New Roman" w:hAnsi="Times New Roman"/>
          <w:szCs w:val="18"/>
        </w:rPr>
        <w:t>Supplementary Tables (Excel document containing supplementary Tables 1-4)</w:t>
      </w:r>
    </w:p>
    <w:p w14:paraId="638F8D5D" w14:textId="77777777" w:rsidR="00786B93" w:rsidRPr="006E6EE8" w:rsidRDefault="00786B93" w:rsidP="00595196">
      <w:pPr>
        <w:pStyle w:val="MDPI21heading1"/>
        <w:ind w:left="0"/>
      </w:pPr>
      <w:r w:rsidRPr="006E6EE8">
        <w:t>References</w:t>
      </w:r>
    </w:p>
    <w:p w14:paraId="152F1DFA"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b/>
          <w:bCs/>
          <w:color w:val="2B579A"/>
          <w:sz w:val="24"/>
          <w:szCs w:val="24"/>
          <w:u w:val="single"/>
          <w:shd w:val="clear" w:color="auto" w:fill="E6E6E6"/>
        </w:rPr>
        <w:fldChar w:fldCharType="begin" w:fldLock="1"/>
      </w:r>
      <w:r w:rsidRPr="006E6EE8">
        <w:rPr>
          <w:rFonts w:ascii="Times New Roman" w:hAnsi="Times New Roman"/>
          <w:b/>
          <w:bCs/>
          <w:sz w:val="24"/>
          <w:szCs w:val="24"/>
          <w:u w:val="single"/>
        </w:rPr>
        <w:instrText xml:space="preserve">ADDIN Mendeley Bibliography CSL_BIBLIOGRAPHY </w:instrText>
      </w:r>
      <w:r w:rsidRPr="006E6EE8">
        <w:rPr>
          <w:rFonts w:ascii="Times New Roman" w:hAnsi="Times New Roman"/>
          <w:b/>
          <w:bCs/>
          <w:color w:val="2B579A"/>
          <w:sz w:val="24"/>
          <w:szCs w:val="24"/>
          <w:u w:val="single"/>
          <w:shd w:val="clear" w:color="auto" w:fill="E6E6E6"/>
        </w:rPr>
        <w:fldChar w:fldCharType="separate"/>
      </w:r>
      <w:r w:rsidRPr="006E6EE8">
        <w:rPr>
          <w:rFonts w:ascii="Times New Roman" w:hAnsi="Times New Roman"/>
          <w:sz w:val="24"/>
          <w:szCs w:val="24"/>
        </w:rPr>
        <w:t xml:space="preserve">1. </w:t>
      </w:r>
      <w:r w:rsidRPr="006E6EE8">
        <w:rPr>
          <w:rFonts w:ascii="Times New Roman" w:hAnsi="Times New Roman"/>
          <w:sz w:val="24"/>
          <w:szCs w:val="24"/>
        </w:rPr>
        <w:tab/>
        <w:t xml:space="preserve">Mercuri, E.; Finkel, R.S.; Muntoni, F.; Wirth, B.; Montes, J.; Main, M.; Mazzone, E.; Vitale, M.; Snyder, B.; Quijano-Roy, S.; et al. Diagnosis and Management of Spinal Muscular Atrophy: Part 1: Recommendations for Diagnosis, Rehabilitation, Orthopedic and Nutritional Care. </w:t>
      </w:r>
      <w:r w:rsidRPr="006E6EE8">
        <w:rPr>
          <w:rFonts w:ascii="Times New Roman" w:hAnsi="Times New Roman"/>
          <w:i/>
          <w:iCs/>
          <w:sz w:val="24"/>
          <w:szCs w:val="24"/>
        </w:rPr>
        <w:t>Neuromuscul. Disord.</w:t>
      </w:r>
      <w:r w:rsidRPr="006E6EE8">
        <w:rPr>
          <w:rFonts w:ascii="Times New Roman" w:hAnsi="Times New Roman"/>
          <w:sz w:val="24"/>
          <w:szCs w:val="24"/>
        </w:rPr>
        <w:t xml:space="preserve"> </w:t>
      </w:r>
      <w:r w:rsidRPr="006E6EE8">
        <w:rPr>
          <w:rFonts w:ascii="Times New Roman" w:hAnsi="Times New Roman"/>
          <w:b/>
          <w:bCs/>
          <w:sz w:val="24"/>
          <w:szCs w:val="24"/>
        </w:rPr>
        <w:t>2018</w:t>
      </w:r>
      <w:r w:rsidRPr="006E6EE8">
        <w:rPr>
          <w:rFonts w:ascii="Times New Roman" w:hAnsi="Times New Roman"/>
          <w:sz w:val="24"/>
          <w:szCs w:val="24"/>
        </w:rPr>
        <w:t xml:space="preserve">, </w:t>
      </w:r>
      <w:r w:rsidRPr="006E6EE8">
        <w:rPr>
          <w:rFonts w:ascii="Times New Roman" w:hAnsi="Times New Roman"/>
          <w:i/>
          <w:iCs/>
          <w:sz w:val="24"/>
          <w:szCs w:val="24"/>
        </w:rPr>
        <w:t>28</w:t>
      </w:r>
      <w:r w:rsidRPr="006E6EE8">
        <w:rPr>
          <w:rFonts w:ascii="Times New Roman" w:hAnsi="Times New Roman"/>
          <w:sz w:val="24"/>
          <w:szCs w:val="24"/>
        </w:rPr>
        <w:t>, 103–115, doi:10.1016/j.nmd.2017.11.005.</w:t>
      </w:r>
    </w:p>
    <w:p w14:paraId="4B9DB698"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2. </w:t>
      </w:r>
      <w:r w:rsidRPr="006E6EE8">
        <w:rPr>
          <w:rFonts w:ascii="Times New Roman" w:hAnsi="Times New Roman"/>
          <w:sz w:val="24"/>
          <w:szCs w:val="24"/>
        </w:rPr>
        <w:tab/>
        <w:t xml:space="preserve">Finkel, R.S.; Mercuri, E.; Meyer, O.H.; Simonds, A.K.; Schroth, M.K.; Graham, R.J.; Kirschner, J.; Iannaccone, S.T.; Crawford, T.O.; Woods, S.; et al. Diagnosis and Management of Spinal Muscular Atrophy: Part 2: Pulmonary and Acute Care; Medications, Supplements and Immunizations; Other Organ Systems; and Ethics. </w:t>
      </w:r>
      <w:r w:rsidRPr="006E6EE8">
        <w:rPr>
          <w:rFonts w:ascii="Times New Roman" w:hAnsi="Times New Roman"/>
          <w:i/>
          <w:iCs/>
          <w:sz w:val="24"/>
          <w:szCs w:val="24"/>
        </w:rPr>
        <w:t>Neuromuscul. Disord.</w:t>
      </w:r>
      <w:r w:rsidRPr="006E6EE8">
        <w:rPr>
          <w:rFonts w:ascii="Times New Roman" w:hAnsi="Times New Roman"/>
          <w:sz w:val="24"/>
          <w:szCs w:val="24"/>
        </w:rPr>
        <w:t xml:space="preserve"> </w:t>
      </w:r>
      <w:r w:rsidRPr="006E6EE8">
        <w:rPr>
          <w:rFonts w:ascii="Times New Roman" w:hAnsi="Times New Roman"/>
          <w:b/>
          <w:bCs/>
          <w:sz w:val="24"/>
          <w:szCs w:val="24"/>
        </w:rPr>
        <w:t>2018</w:t>
      </w:r>
      <w:r w:rsidRPr="006E6EE8">
        <w:rPr>
          <w:rFonts w:ascii="Times New Roman" w:hAnsi="Times New Roman"/>
          <w:sz w:val="24"/>
          <w:szCs w:val="24"/>
        </w:rPr>
        <w:t xml:space="preserve">, </w:t>
      </w:r>
      <w:r w:rsidRPr="006E6EE8">
        <w:rPr>
          <w:rFonts w:ascii="Times New Roman" w:hAnsi="Times New Roman"/>
          <w:i/>
          <w:iCs/>
          <w:sz w:val="24"/>
          <w:szCs w:val="24"/>
        </w:rPr>
        <w:t>28</w:t>
      </w:r>
      <w:r w:rsidRPr="006E6EE8">
        <w:rPr>
          <w:rFonts w:ascii="Times New Roman" w:hAnsi="Times New Roman"/>
          <w:sz w:val="24"/>
          <w:szCs w:val="24"/>
        </w:rPr>
        <w:t>, 197–207, doi:10.1016/j.nmd.2017.11.004.</w:t>
      </w:r>
    </w:p>
    <w:p w14:paraId="7C72B696"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3. </w:t>
      </w:r>
      <w:r w:rsidRPr="006E6EE8">
        <w:rPr>
          <w:rFonts w:ascii="Times New Roman" w:hAnsi="Times New Roman"/>
          <w:sz w:val="24"/>
          <w:szCs w:val="24"/>
        </w:rPr>
        <w:tab/>
        <w:t xml:space="preserve">Yeo, C.J.J.; Darras, B.T. Overturning the Paradigm of Spinal Muscular Atrophy as Just a Motor Neuron Disease. </w:t>
      </w:r>
      <w:r w:rsidRPr="006E6EE8">
        <w:rPr>
          <w:rFonts w:ascii="Times New Roman" w:hAnsi="Times New Roman"/>
          <w:i/>
          <w:iCs/>
          <w:sz w:val="24"/>
          <w:szCs w:val="24"/>
        </w:rPr>
        <w:t>Pediatr. Neurol.</w:t>
      </w:r>
      <w:r w:rsidRPr="006E6EE8">
        <w:rPr>
          <w:rFonts w:ascii="Times New Roman" w:hAnsi="Times New Roman"/>
          <w:sz w:val="24"/>
          <w:szCs w:val="24"/>
        </w:rPr>
        <w:t xml:space="preserve"> </w:t>
      </w:r>
      <w:r w:rsidRPr="006E6EE8">
        <w:rPr>
          <w:rFonts w:ascii="Times New Roman" w:hAnsi="Times New Roman"/>
          <w:b/>
          <w:bCs/>
          <w:sz w:val="24"/>
          <w:szCs w:val="24"/>
        </w:rPr>
        <w:t>2020</w:t>
      </w:r>
      <w:r w:rsidRPr="006E6EE8">
        <w:rPr>
          <w:rFonts w:ascii="Times New Roman" w:hAnsi="Times New Roman"/>
          <w:sz w:val="24"/>
          <w:szCs w:val="24"/>
        </w:rPr>
        <w:t xml:space="preserve">, </w:t>
      </w:r>
      <w:r w:rsidRPr="006E6EE8">
        <w:rPr>
          <w:rFonts w:ascii="Times New Roman" w:hAnsi="Times New Roman"/>
          <w:i/>
          <w:iCs/>
          <w:sz w:val="24"/>
          <w:szCs w:val="24"/>
        </w:rPr>
        <w:t>109</w:t>
      </w:r>
      <w:r w:rsidRPr="006E6EE8">
        <w:rPr>
          <w:rFonts w:ascii="Times New Roman" w:hAnsi="Times New Roman"/>
          <w:sz w:val="24"/>
          <w:szCs w:val="24"/>
        </w:rPr>
        <w:t>, 12–19, doi:10.1016/j.pediatrneurol.2020.01.003.</w:t>
      </w:r>
    </w:p>
    <w:p w14:paraId="57D3A2BC"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4. </w:t>
      </w:r>
      <w:r w:rsidRPr="006E6EE8">
        <w:rPr>
          <w:rFonts w:ascii="Times New Roman" w:hAnsi="Times New Roman"/>
          <w:sz w:val="24"/>
          <w:szCs w:val="24"/>
        </w:rPr>
        <w:tab/>
        <w:t xml:space="preserve">Kim, J.K.; Jha, N.N.; Feng, Z.; Faleiro, M.R.; Chiriboga, C.A.; Wei-Lapierre, L.; Dirksen, R.T.; Ko, C.P.; Monani, U.R. Muscle-Specific SMN Reduction Reveals Motor Neuron–Independent Disease in </w:t>
      </w:r>
      <w:r w:rsidRPr="006E6EE8">
        <w:rPr>
          <w:rFonts w:ascii="Times New Roman" w:hAnsi="Times New Roman"/>
          <w:sz w:val="24"/>
          <w:szCs w:val="24"/>
        </w:rPr>
        <w:lastRenderedPageBreak/>
        <w:t xml:space="preserve">Spinal Muscular Atrophy Models. </w:t>
      </w:r>
      <w:r w:rsidRPr="006E6EE8">
        <w:rPr>
          <w:rFonts w:ascii="Times New Roman" w:hAnsi="Times New Roman"/>
          <w:i/>
          <w:iCs/>
          <w:sz w:val="24"/>
          <w:szCs w:val="24"/>
        </w:rPr>
        <w:t>J. Clin. Invest.</w:t>
      </w:r>
      <w:r w:rsidRPr="006E6EE8">
        <w:rPr>
          <w:rFonts w:ascii="Times New Roman" w:hAnsi="Times New Roman"/>
          <w:sz w:val="24"/>
          <w:szCs w:val="24"/>
        </w:rPr>
        <w:t xml:space="preserve"> </w:t>
      </w:r>
      <w:r w:rsidRPr="006E6EE8">
        <w:rPr>
          <w:rFonts w:ascii="Times New Roman" w:hAnsi="Times New Roman"/>
          <w:b/>
          <w:bCs/>
          <w:sz w:val="24"/>
          <w:szCs w:val="24"/>
        </w:rPr>
        <w:t>2020</w:t>
      </w:r>
      <w:r w:rsidRPr="006E6EE8">
        <w:rPr>
          <w:rFonts w:ascii="Times New Roman" w:hAnsi="Times New Roman"/>
          <w:sz w:val="24"/>
          <w:szCs w:val="24"/>
        </w:rPr>
        <w:t xml:space="preserve">, </w:t>
      </w:r>
      <w:r w:rsidRPr="006E6EE8">
        <w:rPr>
          <w:rFonts w:ascii="Times New Roman" w:hAnsi="Times New Roman"/>
          <w:i/>
          <w:iCs/>
          <w:sz w:val="24"/>
          <w:szCs w:val="24"/>
        </w:rPr>
        <w:t>130</w:t>
      </w:r>
      <w:r w:rsidRPr="006E6EE8">
        <w:rPr>
          <w:rFonts w:ascii="Times New Roman" w:hAnsi="Times New Roman"/>
          <w:sz w:val="24"/>
          <w:szCs w:val="24"/>
        </w:rPr>
        <w:t>, 1271–1287, doi:10.1172/JCI131989.</w:t>
      </w:r>
    </w:p>
    <w:p w14:paraId="6D16E514"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5. </w:t>
      </w:r>
      <w:r w:rsidRPr="006E6EE8">
        <w:rPr>
          <w:rFonts w:ascii="Times New Roman" w:hAnsi="Times New Roman"/>
          <w:sz w:val="24"/>
          <w:szCs w:val="24"/>
        </w:rPr>
        <w:tab/>
        <w:t xml:space="preserve">Wijngaarde, C.A.; Blank, A.C.; Stam, M.; Wadman, R.I.; Van Den Berg, L.H.; Van Der Pol, W.L. Cardiac Pathology in Spinal Muscular Atrophy: A Systematic Review. </w:t>
      </w:r>
      <w:r w:rsidRPr="006E6EE8">
        <w:rPr>
          <w:rFonts w:ascii="Times New Roman" w:hAnsi="Times New Roman"/>
          <w:i/>
          <w:iCs/>
          <w:sz w:val="24"/>
          <w:szCs w:val="24"/>
        </w:rPr>
        <w:t>Orphanet J. Rare Dis.</w:t>
      </w:r>
      <w:r w:rsidRPr="006E6EE8">
        <w:rPr>
          <w:rFonts w:ascii="Times New Roman" w:hAnsi="Times New Roman"/>
          <w:sz w:val="24"/>
          <w:szCs w:val="24"/>
        </w:rPr>
        <w:t xml:space="preserve"> </w:t>
      </w:r>
      <w:r w:rsidRPr="006E6EE8">
        <w:rPr>
          <w:rFonts w:ascii="Times New Roman" w:hAnsi="Times New Roman"/>
          <w:b/>
          <w:bCs/>
          <w:sz w:val="24"/>
          <w:szCs w:val="24"/>
        </w:rPr>
        <w:t>2017</w:t>
      </w:r>
      <w:r w:rsidRPr="006E6EE8">
        <w:rPr>
          <w:rFonts w:ascii="Times New Roman" w:hAnsi="Times New Roman"/>
          <w:sz w:val="24"/>
          <w:szCs w:val="24"/>
        </w:rPr>
        <w:t xml:space="preserve">, </w:t>
      </w:r>
      <w:r w:rsidRPr="006E6EE8">
        <w:rPr>
          <w:rFonts w:ascii="Times New Roman" w:hAnsi="Times New Roman"/>
          <w:i/>
          <w:iCs/>
          <w:sz w:val="24"/>
          <w:szCs w:val="24"/>
        </w:rPr>
        <w:t>12</w:t>
      </w:r>
      <w:r w:rsidRPr="006E6EE8">
        <w:rPr>
          <w:rFonts w:ascii="Times New Roman" w:hAnsi="Times New Roman"/>
          <w:sz w:val="24"/>
          <w:szCs w:val="24"/>
        </w:rPr>
        <w:t>, 1–10, doi:10.1186/s13023-017-0613-5.</w:t>
      </w:r>
    </w:p>
    <w:p w14:paraId="225F27DA"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6. </w:t>
      </w:r>
      <w:r w:rsidRPr="006E6EE8">
        <w:rPr>
          <w:rFonts w:ascii="Times New Roman" w:hAnsi="Times New Roman"/>
          <w:sz w:val="24"/>
          <w:szCs w:val="24"/>
        </w:rPr>
        <w:tab/>
        <w:t xml:space="preserve">Šoltić, D.; Shorrock, H.K.; Allardyce, H.; Wilson, E.L.; Holt, I.; Synowsky, S.A.; Shirran, S.L.; Parson, S.H.; Gillingwater, T.H.; Fuller, H.R. Lamin A/C Dysregulation Contributes to Cardiac Pathology in a Mouse Model of Severe Spinal Muscular Atrophy. </w:t>
      </w:r>
      <w:r w:rsidRPr="006E6EE8">
        <w:rPr>
          <w:rFonts w:ascii="Times New Roman" w:hAnsi="Times New Roman"/>
          <w:i/>
          <w:iCs/>
          <w:sz w:val="24"/>
          <w:szCs w:val="24"/>
        </w:rPr>
        <w:t>Hum. Mol. Genet.</w:t>
      </w:r>
      <w:r w:rsidRPr="006E6EE8">
        <w:rPr>
          <w:rFonts w:ascii="Times New Roman" w:hAnsi="Times New Roman"/>
          <w:sz w:val="24"/>
          <w:szCs w:val="24"/>
        </w:rPr>
        <w:t xml:space="preserve"> </w:t>
      </w:r>
      <w:r w:rsidRPr="006E6EE8">
        <w:rPr>
          <w:rFonts w:ascii="Times New Roman" w:hAnsi="Times New Roman"/>
          <w:b/>
          <w:bCs/>
          <w:sz w:val="24"/>
          <w:szCs w:val="24"/>
        </w:rPr>
        <w:t>2019</w:t>
      </w:r>
      <w:r w:rsidRPr="006E6EE8">
        <w:rPr>
          <w:rFonts w:ascii="Times New Roman" w:hAnsi="Times New Roman"/>
          <w:sz w:val="24"/>
          <w:szCs w:val="24"/>
        </w:rPr>
        <w:t>, 1–13, doi:10.1093/hmg/ddz195.</w:t>
      </w:r>
    </w:p>
    <w:p w14:paraId="3788AC24"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7. </w:t>
      </w:r>
      <w:r w:rsidRPr="006E6EE8">
        <w:rPr>
          <w:rFonts w:ascii="Times New Roman" w:hAnsi="Times New Roman"/>
          <w:sz w:val="24"/>
          <w:szCs w:val="24"/>
        </w:rPr>
        <w:tab/>
        <w:t xml:space="preserve">Somers, E.; Lees, R.D.; Hoban, K.; Sleigh, J.N.; Zhou, H.; Muntoni, F.; Talbot, K.; Gillingwater, T.H.; Parson, S.H. Vascular Defects and Spinal Cord Hypoxia in Spinal Muscular Atrophy. </w:t>
      </w:r>
      <w:r w:rsidRPr="006E6EE8">
        <w:rPr>
          <w:rFonts w:ascii="Times New Roman" w:hAnsi="Times New Roman"/>
          <w:i/>
          <w:iCs/>
          <w:sz w:val="24"/>
          <w:szCs w:val="24"/>
        </w:rPr>
        <w:t>Ann. Neurol.</w:t>
      </w:r>
      <w:r w:rsidRPr="006E6EE8">
        <w:rPr>
          <w:rFonts w:ascii="Times New Roman" w:hAnsi="Times New Roman"/>
          <w:sz w:val="24"/>
          <w:szCs w:val="24"/>
        </w:rPr>
        <w:t xml:space="preserve"> </w:t>
      </w:r>
      <w:r w:rsidRPr="006E6EE8">
        <w:rPr>
          <w:rFonts w:ascii="Times New Roman" w:hAnsi="Times New Roman"/>
          <w:b/>
          <w:bCs/>
          <w:sz w:val="24"/>
          <w:szCs w:val="24"/>
        </w:rPr>
        <w:t>2016</w:t>
      </w:r>
      <w:r w:rsidRPr="006E6EE8">
        <w:rPr>
          <w:rFonts w:ascii="Times New Roman" w:hAnsi="Times New Roman"/>
          <w:sz w:val="24"/>
          <w:szCs w:val="24"/>
        </w:rPr>
        <w:t xml:space="preserve">, </w:t>
      </w:r>
      <w:r w:rsidRPr="006E6EE8">
        <w:rPr>
          <w:rFonts w:ascii="Times New Roman" w:hAnsi="Times New Roman"/>
          <w:i/>
          <w:iCs/>
          <w:sz w:val="24"/>
          <w:szCs w:val="24"/>
        </w:rPr>
        <w:t>79</w:t>
      </w:r>
      <w:r w:rsidRPr="006E6EE8">
        <w:rPr>
          <w:rFonts w:ascii="Times New Roman" w:hAnsi="Times New Roman"/>
          <w:sz w:val="24"/>
          <w:szCs w:val="24"/>
        </w:rPr>
        <w:t>, 217–230, doi:10.1002/ana.24549.</w:t>
      </w:r>
    </w:p>
    <w:p w14:paraId="1140A1AB"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8. </w:t>
      </w:r>
      <w:r w:rsidRPr="006E6EE8">
        <w:rPr>
          <w:rFonts w:ascii="Times New Roman" w:hAnsi="Times New Roman"/>
          <w:sz w:val="24"/>
          <w:szCs w:val="24"/>
        </w:rPr>
        <w:tab/>
        <w:t xml:space="preserve">Deguise, M.; Baranello, G.; Mastella, C.; Beauvais, A.; Michaud, J.; Leone, A.; De Amicis, R.; Battezzati, A.; Dunham, C.; Selby, K.; et al. Abnormal Fatty Acid Metabolism Is a Core Component of Spinal Muscular Atrophy. </w:t>
      </w:r>
      <w:r w:rsidRPr="006E6EE8">
        <w:rPr>
          <w:rFonts w:ascii="Times New Roman" w:hAnsi="Times New Roman"/>
          <w:i/>
          <w:iCs/>
          <w:sz w:val="24"/>
          <w:szCs w:val="24"/>
        </w:rPr>
        <w:t>Ann. Clin. Transl. Neurol.</w:t>
      </w:r>
      <w:r w:rsidRPr="006E6EE8">
        <w:rPr>
          <w:rFonts w:ascii="Times New Roman" w:hAnsi="Times New Roman"/>
          <w:sz w:val="24"/>
          <w:szCs w:val="24"/>
        </w:rPr>
        <w:t xml:space="preserve"> </w:t>
      </w:r>
      <w:r w:rsidRPr="006E6EE8">
        <w:rPr>
          <w:rFonts w:ascii="Times New Roman" w:hAnsi="Times New Roman"/>
          <w:b/>
          <w:bCs/>
          <w:sz w:val="24"/>
          <w:szCs w:val="24"/>
        </w:rPr>
        <w:t>2019</w:t>
      </w:r>
      <w:r w:rsidRPr="006E6EE8">
        <w:rPr>
          <w:rFonts w:ascii="Times New Roman" w:hAnsi="Times New Roman"/>
          <w:sz w:val="24"/>
          <w:szCs w:val="24"/>
        </w:rPr>
        <w:t xml:space="preserve">, </w:t>
      </w:r>
      <w:r w:rsidRPr="006E6EE8">
        <w:rPr>
          <w:rFonts w:ascii="Times New Roman" w:hAnsi="Times New Roman"/>
          <w:i/>
          <w:iCs/>
          <w:sz w:val="24"/>
          <w:szCs w:val="24"/>
        </w:rPr>
        <w:t>6</w:t>
      </w:r>
      <w:r w:rsidRPr="006E6EE8">
        <w:rPr>
          <w:rFonts w:ascii="Times New Roman" w:hAnsi="Times New Roman"/>
          <w:sz w:val="24"/>
          <w:szCs w:val="24"/>
        </w:rPr>
        <w:t>, 1519–1532, doi:10.1002/acn3.50855.</w:t>
      </w:r>
    </w:p>
    <w:p w14:paraId="7786E69F"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9. </w:t>
      </w:r>
      <w:r w:rsidRPr="006E6EE8">
        <w:rPr>
          <w:rFonts w:ascii="Times New Roman" w:hAnsi="Times New Roman"/>
          <w:sz w:val="24"/>
          <w:szCs w:val="24"/>
        </w:rPr>
        <w:tab/>
        <w:t xml:space="preserve">Allardyce, H.; Kuhn, D.; Hernandez-Gerez, E.; Hensel, N.; Huang, Y.-T.; Faller, K.; Gillingwater, T.H.; Quondamatteo, F.; Claus, P.; Parson, S.H. Renal Pathology in a Mouse Model of Severe Spinal Muscular Atrophy Is Associated with Downregulation of Glial Cell-Line Derived Neurotrophic Factor (GDNF). </w:t>
      </w:r>
      <w:r w:rsidRPr="006E6EE8">
        <w:rPr>
          <w:rFonts w:ascii="Times New Roman" w:hAnsi="Times New Roman"/>
          <w:i/>
          <w:iCs/>
          <w:sz w:val="24"/>
          <w:szCs w:val="24"/>
        </w:rPr>
        <w:t>Hum. Mol. Genet.</w:t>
      </w:r>
      <w:r w:rsidRPr="006E6EE8">
        <w:rPr>
          <w:rFonts w:ascii="Times New Roman" w:hAnsi="Times New Roman"/>
          <w:sz w:val="24"/>
          <w:szCs w:val="24"/>
        </w:rPr>
        <w:t xml:space="preserve"> </w:t>
      </w:r>
      <w:r w:rsidRPr="006E6EE8">
        <w:rPr>
          <w:rFonts w:ascii="Times New Roman" w:hAnsi="Times New Roman"/>
          <w:b/>
          <w:bCs/>
          <w:sz w:val="24"/>
          <w:szCs w:val="24"/>
        </w:rPr>
        <w:t>2020</w:t>
      </w:r>
      <w:r w:rsidRPr="006E6EE8">
        <w:rPr>
          <w:rFonts w:ascii="Times New Roman" w:hAnsi="Times New Roman"/>
          <w:sz w:val="24"/>
          <w:szCs w:val="24"/>
        </w:rPr>
        <w:t xml:space="preserve">, </w:t>
      </w:r>
      <w:r w:rsidRPr="006E6EE8">
        <w:rPr>
          <w:rFonts w:ascii="Times New Roman" w:hAnsi="Times New Roman"/>
          <w:i/>
          <w:iCs/>
          <w:sz w:val="24"/>
          <w:szCs w:val="24"/>
        </w:rPr>
        <w:t>00</w:t>
      </w:r>
      <w:r w:rsidRPr="006E6EE8">
        <w:rPr>
          <w:rFonts w:ascii="Times New Roman" w:hAnsi="Times New Roman"/>
          <w:sz w:val="24"/>
          <w:szCs w:val="24"/>
        </w:rPr>
        <w:t>, 1–14, doi:10.1093/hmg/ddaa126.</w:t>
      </w:r>
    </w:p>
    <w:p w14:paraId="0D4A693C"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10. </w:t>
      </w:r>
      <w:r w:rsidRPr="006E6EE8">
        <w:rPr>
          <w:rFonts w:ascii="Times New Roman" w:hAnsi="Times New Roman"/>
          <w:sz w:val="24"/>
          <w:szCs w:val="24"/>
        </w:rPr>
        <w:tab/>
        <w:t xml:space="preserve">Nery, F.C.; Siranosian, J.J.; Rosales, I.; Deguise, M.O.; Sharma, A.; Muhtaseb, A.W.; Nwe, P.; Johnstone, A.J.; Zhang, R.; Fatouraei, M.; et al. Impaired Kidney Structure and Function in Spinal Muscular Atrophy. </w:t>
      </w:r>
      <w:r w:rsidRPr="006E6EE8">
        <w:rPr>
          <w:rFonts w:ascii="Times New Roman" w:hAnsi="Times New Roman"/>
          <w:i/>
          <w:iCs/>
          <w:sz w:val="24"/>
          <w:szCs w:val="24"/>
        </w:rPr>
        <w:t>Neurol. Genet.</w:t>
      </w:r>
      <w:r w:rsidRPr="006E6EE8">
        <w:rPr>
          <w:rFonts w:ascii="Times New Roman" w:hAnsi="Times New Roman"/>
          <w:sz w:val="24"/>
          <w:szCs w:val="24"/>
        </w:rPr>
        <w:t xml:space="preserve"> </w:t>
      </w:r>
      <w:r w:rsidRPr="006E6EE8">
        <w:rPr>
          <w:rFonts w:ascii="Times New Roman" w:hAnsi="Times New Roman"/>
          <w:b/>
          <w:bCs/>
          <w:sz w:val="24"/>
          <w:szCs w:val="24"/>
        </w:rPr>
        <w:t>2019</w:t>
      </w:r>
      <w:r w:rsidRPr="006E6EE8">
        <w:rPr>
          <w:rFonts w:ascii="Times New Roman" w:hAnsi="Times New Roman"/>
          <w:sz w:val="24"/>
          <w:szCs w:val="24"/>
        </w:rPr>
        <w:t xml:space="preserve">, </w:t>
      </w:r>
      <w:r w:rsidRPr="006E6EE8">
        <w:rPr>
          <w:rFonts w:ascii="Times New Roman" w:hAnsi="Times New Roman"/>
          <w:i/>
          <w:iCs/>
          <w:sz w:val="24"/>
          <w:szCs w:val="24"/>
        </w:rPr>
        <w:t>5</w:t>
      </w:r>
      <w:r w:rsidRPr="006E6EE8">
        <w:rPr>
          <w:rFonts w:ascii="Times New Roman" w:hAnsi="Times New Roman"/>
          <w:sz w:val="24"/>
          <w:szCs w:val="24"/>
        </w:rPr>
        <w:t>, doi:10.1212/NXG.0000000000000353.</w:t>
      </w:r>
    </w:p>
    <w:p w14:paraId="7AB3E5DB"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lastRenderedPageBreak/>
        <w:t xml:space="preserve">11. </w:t>
      </w:r>
      <w:r w:rsidRPr="006E6EE8">
        <w:rPr>
          <w:rFonts w:ascii="Times New Roman" w:hAnsi="Times New Roman"/>
          <w:sz w:val="24"/>
          <w:szCs w:val="24"/>
        </w:rPr>
        <w:tab/>
        <w:t xml:space="preserve">Lefebvre, S.; Bürglen, L.; Reboullet, S.; Clermont, O.; Burlet, P.; Viollet, L.; Benichou, B.; Cruaud, C.; Millasseau, P.; Zeviani, M.; et al. Identification and Characterization of a Spinal Muscular Atrophy-Determining Gene. </w:t>
      </w:r>
      <w:r w:rsidRPr="006E6EE8">
        <w:rPr>
          <w:rFonts w:ascii="Times New Roman" w:hAnsi="Times New Roman"/>
          <w:i/>
          <w:iCs/>
          <w:sz w:val="24"/>
          <w:szCs w:val="24"/>
        </w:rPr>
        <w:t>Cell</w:t>
      </w:r>
      <w:r w:rsidRPr="006E6EE8">
        <w:rPr>
          <w:rFonts w:ascii="Times New Roman" w:hAnsi="Times New Roman"/>
          <w:sz w:val="24"/>
          <w:szCs w:val="24"/>
        </w:rPr>
        <w:t xml:space="preserve"> </w:t>
      </w:r>
      <w:r w:rsidRPr="006E6EE8">
        <w:rPr>
          <w:rFonts w:ascii="Times New Roman" w:hAnsi="Times New Roman"/>
          <w:b/>
          <w:bCs/>
          <w:sz w:val="24"/>
          <w:szCs w:val="24"/>
        </w:rPr>
        <w:t>1995</w:t>
      </w:r>
      <w:r w:rsidRPr="006E6EE8">
        <w:rPr>
          <w:rFonts w:ascii="Times New Roman" w:hAnsi="Times New Roman"/>
          <w:sz w:val="24"/>
          <w:szCs w:val="24"/>
        </w:rPr>
        <w:t xml:space="preserve">, </w:t>
      </w:r>
      <w:r w:rsidRPr="006E6EE8">
        <w:rPr>
          <w:rFonts w:ascii="Times New Roman" w:hAnsi="Times New Roman"/>
          <w:i/>
          <w:iCs/>
          <w:sz w:val="24"/>
          <w:szCs w:val="24"/>
        </w:rPr>
        <w:t>80</w:t>
      </w:r>
      <w:r w:rsidRPr="006E6EE8">
        <w:rPr>
          <w:rFonts w:ascii="Times New Roman" w:hAnsi="Times New Roman"/>
          <w:sz w:val="24"/>
          <w:szCs w:val="24"/>
        </w:rPr>
        <w:t>, 155–165, doi:10.1016/0092-8674(95)90460-3.</w:t>
      </w:r>
    </w:p>
    <w:p w14:paraId="6285F233"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12. </w:t>
      </w:r>
      <w:r w:rsidRPr="006E6EE8">
        <w:rPr>
          <w:rFonts w:ascii="Times New Roman" w:hAnsi="Times New Roman"/>
          <w:sz w:val="24"/>
          <w:szCs w:val="24"/>
        </w:rPr>
        <w:tab/>
        <w:t xml:space="preserve">Lorson, C.L.; Strasswimmer, J.; Yao, J.-M.; Baleja, J.D.; Hahnen, E.; Wirth, B.; Le, T.; Burghes, A.H.M.; Androphy, E.J. SMN Oligomerization Defect Correlates with Spinal Muscular Atrophy Severity. </w:t>
      </w:r>
      <w:r w:rsidRPr="006E6EE8">
        <w:rPr>
          <w:rFonts w:ascii="Times New Roman" w:hAnsi="Times New Roman"/>
          <w:i/>
          <w:iCs/>
          <w:sz w:val="24"/>
          <w:szCs w:val="24"/>
        </w:rPr>
        <w:t>Nat. Genet.</w:t>
      </w:r>
      <w:r w:rsidRPr="006E6EE8">
        <w:rPr>
          <w:rFonts w:ascii="Times New Roman" w:hAnsi="Times New Roman"/>
          <w:sz w:val="24"/>
          <w:szCs w:val="24"/>
        </w:rPr>
        <w:t xml:space="preserve"> </w:t>
      </w:r>
      <w:r w:rsidRPr="006E6EE8">
        <w:rPr>
          <w:rFonts w:ascii="Times New Roman" w:hAnsi="Times New Roman"/>
          <w:b/>
          <w:bCs/>
          <w:sz w:val="24"/>
          <w:szCs w:val="24"/>
        </w:rPr>
        <w:t>1998</w:t>
      </w:r>
      <w:r w:rsidRPr="006E6EE8">
        <w:rPr>
          <w:rFonts w:ascii="Times New Roman" w:hAnsi="Times New Roman"/>
          <w:sz w:val="24"/>
          <w:szCs w:val="24"/>
        </w:rPr>
        <w:t xml:space="preserve">, </w:t>
      </w:r>
      <w:r w:rsidRPr="006E6EE8">
        <w:rPr>
          <w:rFonts w:ascii="Times New Roman" w:hAnsi="Times New Roman"/>
          <w:i/>
          <w:iCs/>
          <w:sz w:val="24"/>
          <w:szCs w:val="24"/>
        </w:rPr>
        <w:t>19</w:t>
      </w:r>
      <w:r w:rsidRPr="006E6EE8">
        <w:rPr>
          <w:rFonts w:ascii="Times New Roman" w:hAnsi="Times New Roman"/>
          <w:sz w:val="24"/>
          <w:szCs w:val="24"/>
        </w:rPr>
        <w:t>, 63–66, doi:10.1038/ng0598-51.</w:t>
      </w:r>
    </w:p>
    <w:p w14:paraId="47A9813E"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13. </w:t>
      </w:r>
      <w:r w:rsidRPr="006E6EE8">
        <w:rPr>
          <w:rFonts w:ascii="Times New Roman" w:hAnsi="Times New Roman"/>
          <w:sz w:val="24"/>
          <w:szCs w:val="24"/>
        </w:rPr>
        <w:tab/>
        <w:t xml:space="preserve">Pellizzoni, L.; Charroux, B.; Dreyfuss, G. SMN Mutants of Spinal Muscular Atrophy Patients Are Defective in Binding to SnRNP Proteins. </w:t>
      </w:r>
      <w:r w:rsidRPr="006E6EE8">
        <w:rPr>
          <w:rFonts w:ascii="Times New Roman" w:hAnsi="Times New Roman"/>
          <w:i/>
          <w:iCs/>
          <w:sz w:val="24"/>
          <w:szCs w:val="24"/>
        </w:rPr>
        <w:t>Proc. Natl. Acad. Sci. U. S. A.</w:t>
      </w:r>
      <w:r w:rsidRPr="006E6EE8">
        <w:rPr>
          <w:rFonts w:ascii="Times New Roman" w:hAnsi="Times New Roman"/>
          <w:sz w:val="24"/>
          <w:szCs w:val="24"/>
        </w:rPr>
        <w:t xml:space="preserve"> </w:t>
      </w:r>
      <w:r w:rsidRPr="006E6EE8">
        <w:rPr>
          <w:rFonts w:ascii="Times New Roman" w:hAnsi="Times New Roman"/>
          <w:b/>
          <w:bCs/>
          <w:sz w:val="24"/>
          <w:szCs w:val="24"/>
        </w:rPr>
        <w:t>1999</w:t>
      </w:r>
      <w:r w:rsidRPr="006E6EE8">
        <w:rPr>
          <w:rFonts w:ascii="Times New Roman" w:hAnsi="Times New Roman"/>
          <w:sz w:val="24"/>
          <w:szCs w:val="24"/>
        </w:rPr>
        <w:t xml:space="preserve">, </w:t>
      </w:r>
      <w:r w:rsidRPr="006E6EE8">
        <w:rPr>
          <w:rFonts w:ascii="Times New Roman" w:hAnsi="Times New Roman"/>
          <w:i/>
          <w:iCs/>
          <w:sz w:val="24"/>
          <w:szCs w:val="24"/>
        </w:rPr>
        <w:t>96</w:t>
      </w:r>
      <w:r w:rsidRPr="006E6EE8">
        <w:rPr>
          <w:rFonts w:ascii="Times New Roman" w:hAnsi="Times New Roman"/>
          <w:sz w:val="24"/>
          <w:szCs w:val="24"/>
        </w:rPr>
        <w:t>, 11167–11172, doi:10.1073/pnas.96.20.11167.</w:t>
      </w:r>
    </w:p>
    <w:p w14:paraId="4CD004E2"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14. </w:t>
      </w:r>
      <w:r w:rsidRPr="006E6EE8">
        <w:rPr>
          <w:rFonts w:ascii="Times New Roman" w:hAnsi="Times New Roman"/>
          <w:sz w:val="24"/>
          <w:szCs w:val="24"/>
        </w:rPr>
        <w:tab/>
        <w:t xml:space="preserve">Wirth, B.; Karakaya, M.; Kye, M.J.; Mendoza-Ferreira, N. Twenty-Five Years of Spinal Muscular Atrophy Research: From Phenotype to Genotype to Therapy, and What Comes Next. </w:t>
      </w:r>
      <w:r w:rsidRPr="006E6EE8">
        <w:rPr>
          <w:rFonts w:ascii="Times New Roman" w:hAnsi="Times New Roman"/>
          <w:i/>
          <w:iCs/>
          <w:sz w:val="24"/>
          <w:szCs w:val="24"/>
        </w:rPr>
        <w:t>Annu. Rev. Genomics Hum. Genet.</w:t>
      </w:r>
      <w:r w:rsidRPr="006E6EE8">
        <w:rPr>
          <w:rFonts w:ascii="Times New Roman" w:hAnsi="Times New Roman"/>
          <w:sz w:val="24"/>
          <w:szCs w:val="24"/>
        </w:rPr>
        <w:t xml:space="preserve"> </w:t>
      </w:r>
      <w:r w:rsidRPr="006E6EE8">
        <w:rPr>
          <w:rFonts w:ascii="Times New Roman" w:hAnsi="Times New Roman"/>
          <w:b/>
          <w:bCs/>
          <w:sz w:val="24"/>
          <w:szCs w:val="24"/>
        </w:rPr>
        <w:t>2020</w:t>
      </w:r>
      <w:r w:rsidRPr="006E6EE8">
        <w:rPr>
          <w:rFonts w:ascii="Times New Roman" w:hAnsi="Times New Roman"/>
          <w:sz w:val="24"/>
          <w:szCs w:val="24"/>
        </w:rPr>
        <w:t xml:space="preserve">, </w:t>
      </w:r>
      <w:r w:rsidRPr="006E6EE8">
        <w:rPr>
          <w:rFonts w:ascii="Times New Roman" w:hAnsi="Times New Roman"/>
          <w:i/>
          <w:iCs/>
          <w:sz w:val="24"/>
          <w:szCs w:val="24"/>
        </w:rPr>
        <w:t>21</w:t>
      </w:r>
      <w:r w:rsidRPr="006E6EE8">
        <w:rPr>
          <w:rFonts w:ascii="Times New Roman" w:hAnsi="Times New Roman"/>
          <w:sz w:val="24"/>
          <w:szCs w:val="24"/>
        </w:rPr>
        <w:t>, 231–261, doi:10.1146/annurev-genom-102319-103602.</w:t>
      </w:r>
    </w:p>
    <w:p w14:paraId="63583860"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15. </w:t>
      </w:r>
      <w:r w:rsidRPr="006E6EE8">
        <w:rPr>
          <w:rFonts w:ascii="Times New Roman" w:hAnsi="Times New Roman"/>
          <w:sz w:val="24"/>
          <w:szCs w:val="24"/>
        </w:rPr>
        <w:tab/>
        <w:t xml:space="preserve">Calucho, M.; Bernal, S.; Alías, L.; March, F.; Venceslá, A.; Rodríguez-Álvarez, F.J.; Aller, E.; Fernández, R.M.; Borrego, S.; Millán, J.M.; et al. Correlation between SMA Type and SMN2 Copy Number Revisited: An Analysis of 625 Unrelated Spanish Patients and a Compilation of 2834 Reported Cases. </w:t>
      </w:r>
      <w:r w:rsidRPr="006E6EE8">
        <w:rPr>
          <w:rFonts w:ascii="Times New Roman" w:hAnsi="Times New Roman"/>
          <w:i/>
          <w:iCs/>
          <w:sz w:val="24"/>
          <w:szCs w:val="24"/>
        </w:rPr>
        <w:t>Neuromuscul. Disord.</w:t>
      </w:r>
      <w:r w:rsidRPr="006E6EE8">
        <w:rPr>
          <w:rFonts w:ascii="Times New Roman" w:hAnsi="Times New Roman"/>
          <w:sz w:val="24"/>
          <w:szCs w:val="24"/>
        </w:rPr>
        <w:t xml:space="preserve"> </w:t>
      </w:r>
      <w:r w:rsidRPr="006E6EE8">
        <w:rPr>
          <w:rFonts w:ascii="Times New Roman" w:hAnsi="Times New Roman"/>
          <w:b/>
          <w:bCs/>
          <w:sz w:val="24"/>
          <w:szCs w:val="24"/>
        </w:rPr>
        <w:t>2018</w:t>
      </w:r>
      <w:r w:rsidRPr="006E6EE8">
        <w:rPr>
          <w:rFonts w:ascii="Times New Roman" w:hAnsi="Times New Roman"/>
          <w:sz w:val="24"/>
          <w:szCs w:val="24"/>
        </w:rPr>
        <w:t xml:space="preserve">, </w:t>
      </w:r>
      <w:r w:rsidRPr="006E6EE8">
        <w:rPr>
          <w:rFonts w:ascii="Times New Roman" w:hAnsi="Times New Roman"/>
          <w:i/>
          <w:iCs/>
          <w:sz w:val="24"/>
          <w:szCs w:val="24"/>
        </w:rPr>
        <w:t>28</w:t>
      </w:r>
      <w:r w:rsidRPr="006E6EE8">
        <w:rPr>
          <w:rFonts w:ascii="Times New Roman" w:hAnsi="Times New Roman"/>
          <w:sz w:val="24"/>
          <w:szCs w:val="24"/>
        </w:rPr>
        <w:t>, 208–215, doi:10.1016/j.nmd.2018.01.003.</w:t>
      </w:r>
    </w:p>
    <w:p w14:paraId="4A77B8C1"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16. </w:t>
      </w:r>
      <w:r w:rsidRPr="006E6EE8">
        <w:rPr>
          <w:rFonts w:ascii="Times New Roman" w:hAnsi="Times New Roman"/>
          <w:sz w:val="24"/>
          <w:szCs w:val="24"/>
        </w:rPr>
        <w:tab/>
        <w:t xml:space="preserve">Ramdas, S.; Servais, L. New Treatments in Spinal Muscular Atrophy: An Overview of Currently Available Data. </w:t>
      </w:r>
      <w:r w:rsidRPr="006E6EE8">
        <w:rPr>
          <w:rFonts w:ascii="Times New Roman" w:hAnsi="Times New Roman"/>
          <w:i/>
          <w:iCs/>
          <w:sz w:val="24"/>
          <w:szCs w:val="24"/>
        </w:rPr>
        <w:t>Expert Opin. Pharmacother.</w:t>
      </w:r>
      <w:r w:rsidRPr="006E6EE8">
        <w:rPr>
          <w:rFonts w:ascii="Times New Roman" w:hAnsi="Times New Roman"/>
          <w:sz w:val="24"/>
          <w:szCs w:val="24"/>
        </w:rPr>
        <w:t xml:space="preserve"> </w:t>
      </w:r>
      <w:r w:rsidRPr="006E6EE8">
        <w:rPr>
          <w:rFonts w:ascii="Times New Roman" w:hAnsi="Times New Roman"/>
          <w:b/>
          <w:bCs/>
          <w:sz w:val="24"/>
          <w:szCs w:val="24"/>
        </w:rPr>
        <w:t>2020</w:t>
      </w:r>
      <w:r w:rsidRPr="006E6EE8">
        <w:rPr>
          <w:rFonts w:ascii="Times New Roman" w:hAnsi="Times New Roman"/>
          <w:sz w:val="24"/>
          <w:szCs w:val="24"/>
        </w:rPr>
        <w:t xml:space="preserve">, </w:t>
      </w:r>
      <w:r w:rsidRPr="006E6EE8">
        <w:rPr>
          <w:rFonts w:ascii="Times New Roman" w:hAnsi="Times New Roman"/>
          <w:i/>
          <w:iCs/>
          <w:sz w:val="24"/>
          <w:szCs w:val="24"/>
        </w:rPr>
        <w:t>21</w:t>
      </w:r>
      <w:r w:rsidRPr="006E6EE8">
        <w:rPr>
          <w:rFonts w:ascii="Times New Roman" w:hAnsi="Times New Roman"/>
          <w:sz w:val="24"/>
          <w:szCs w:val="24"/>
        </w:rPr>
        <w:t>, 307–315, doi:10.1080/14656566.2019.1704732.</w:t>
      </w:r>
    </w:p>
    <w:p w14:paraId="6DF7A3F2"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17. </w:t>
      </w:r>
      <w:r w:rsidRPr="006E6EE8">
        <w:rPr>
          <w:rFonts w:ascii="Times New Roman" w:hAnsi="Times New Roman"/>
          <w:sz w:val="24"/>
          <w:szCs w:val="24"/>
        </w:rPr>
        <w:tab/>
        <w:t xml:space="preserve">Schorling, D.C.; Pechmann, A.; Kirschner, J. Advances in Treatment of Spinal Muscular Atrophy - New Phenotypes, New Challenges, New Implications for Care. </w:t>
      </w:r>
      <w:r w:rsidRPr="006E6EE8">
        <w:rPr>
          <w:rFonts w:ascii="Times New Roman" w:hAnsi="Times New Roman"/>
          <w:i/>
          <w:iCs/>
          <w:sz w:val="24"/>
          <w:szCs w:val="24"/>
        </w:rPr>
        <w:t>J. Neuromuscul. Dis.</w:t>
      </w:r>
      <w:r w:rsidRPr="006E6EE8">
        <w:rPr>
          <w:rFonts w:ascii="Times New Roman" w:hAnsi="Times New Roman"/>
          <w:sz w:val="24"/>
          <w:szCs w:val="24"/>
        </w:rPr>
        <w:t xml:space="preserve"> </w:t>
      </w:r>
      <w:r w:rsidRPr="006E6EE8">
        <w:rPr>
          <w:rFonts w:ascii="Times New Roman" w:hAnsi="Times New Roman"/>
          <w:b/>
          <w:bCs/>
          <w:sz w:val="24"/>
          <w:szCs w:val="24"/>
        </w:rPr>
        <w:t>2020</w:t>
      </w:r>
      <w:r w:rsidRPr="006E6EE8">
        <w:rPr>
          <w:rFonts w:ascii="Times New Roman" w:hAnsi="Times New Roman"/>
          <w:sz w:val="24"/>
          <w:szCs w:val="24"/>
        </w:rPr>
        <w:t xml:space="preserve">, </w:t>
      </w:r>
      <w:r w:rsidRPr="006E6EE8">
        <w:rPr>
          <w:rFonts w:ascii="Times New Roman" w:hAnsi="Times New Roman"/>
          <w:i/>
          <w:iCs/>
          <w:sz w:val="24"/>
          <w:szCs w:val="24"/>
        </w:rPr>
        <w:t>7</w:t>
      </w:r>
      <w:r w:rsidRPr="006E6EE8">
        <w:rPr>
          <w:rFonts w:ascii="Times New Roman" w:hAnsi="Times New Roman"/>
          <w:sz w:val="24"/>
          <w:szCs w:val="24"/>
        </w:rPr>
        <w:t>, 1–13, doi:10.3233/JND-190424.</w:t>
      </w:r>
    </w:p>
    <w:p w14:paraId="505960F7"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lastRenderedPageBreak/>
        <w:t xml:space="preserve">18. </w:t>
      </w:r>
      <w:r w:rsidRPr="006E6EE8">
        <w:rPr>
          <w:rFonts w:ascii="Times New Roman" w:hAnsi="Times New Roman"/>
          <w:sz w:val="24"/>
          <w:szCs w:val="24"/>
        </w:rPr>
        <w:tab/>
        <w:t xml:space="preserve">Le, T.T.; McGovern, V.L.; Alwine, I.E.; Wang, X.; Massoni-Laporte, A.; Rich, M.M.; Burghes, A.H.M. Temporal Requirement for High SMN Expression in SMA Mice. </w:t>
      </w:r>
      <w:r w:rsidRPr="006E6EE8">
        <w:rPr>
          <w:rFonts w:ascii="Times New Roman" w:hAnsi="Times New Roman"/>
          <w:i/>
          <w:iCs/>
          <w:sz w:val="24"/>
          <w:szCs w:val="24"/>
        </w:rPr>
        <w:t>Hum. Mol. Genet.</w:t>
      </w:r>
      <w:r w:rsidRPr="006E6EE8">
        <w:rPr>
          <w:rFonts w:ascii="Times New Roman" w:hAnsi="Times New Roman"/>
          <w:sz w:val="24"/>
          <w:szCs w:val="24"/>
        </w:rPr>
        <w:t xml:space="preserve"> </w:t>
      </w:r>
      <w:r w:rsidRPr="006E6EE8">
        <w:rPr>
          <w:rFonts w:ascii="Times New Roman" w:hAnsi="Times New Roman"/>
          <w:b/>
          <w:bCs/>
          <w:sz w:val="24"/>
          <w:szCs w:val="24"/>
        </w:rPr>
        <w:t>2011</w:t>
      </w:r>
      <w:r w:rsidRPr="006E6EE8">
        <w:rPr>
          <w:rFonts w:ascii="Times New Roman" w:hAnsi="Times New Roman"/>
          <w:sz w:val="24"/>
          <w:szCs w:val="24"/>
        </w:rPr>
        <w:t xml:space="preserve">, </w:t>
      </w:r>
      <w:r w:rsidRPr="006E6EE8">
        <w:rPr>
          <w:rFonts w:ascii="Times New Roman" w:hAnsi="Times New Roman"/>
          <w:i/>
          <w:iCs/>
          <w:sz w:val="24"/>
          <w:szCs w:val="24"/>
        </w:rPr>
        <w:t>20</w:t>
      </w:r>
      <w:r w:rsidRPr="006E6EE8">
        <w:rPr>
          <w:rFonts w:ascii="Times New Roman" w:hAnsi="Times New Roman"/>
          <w:sz w:val="24"/>
          <w:szCs w:val="24"/>
        </w:rPr>
        <w:t>, 3578–3591, doi:10.1093/hmg/ddr275.</w:t>
      </w:r>
    </w:p>
    <w:p w14:paraId="0FE9CCDC"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19. </w:t>
      </w:r>
      <w:r w:rsidRPr="006E6EE8">
        <w:rPr>
          <w:rFonts w:ascii="Times New Roman" w:hAnsi="Times New Roman"/>
          <w:sz w:val="24"/>
          <w:szCs w:val="24"/>
        </w:rPr>
        <w:tab/>
        <w:t xml:space="preserve">Kariya, S.; Obis, T.; Garone, C.; Akay, T.; Sera, F.; Iwata, S.; Homma, S.; Monani, U.R. Requirement of Enhanced Survival Motoneuron Protein Imposed during Neuromuscular Junction Maturation. </w:t>
      </w:r>
      <w:r w:rsidRPr="006E6EE8">
        <w:rPr>
          <w:rFonts w:ascii="Times New Roman" w:hAnsi="Times New Roman"/>
          <w:i/>
          <w:iCs/>
          <w:sz w:val="24"/>
          <w:szCs w:val="24"/>
        </w:rPr>
        <w:t>J. Clin. Invest.</w:t>
      </w:r>
      <w:r w:rsidRPr="006E6EE8">
        <w:rPr>
          <w:rFonts w:ascii="Times New Roman" w:hAnsi="Times New Roman"/>
          <w:sz w:val="24"/>
          <w:szCs w:val="24"/>
        </w:rPr>
        <w:t xml:space="preserve"> </w:t>
      </w:r>
      <w:r w:rsidRPr="006E6EE8">
        <w:rPr>
          <w:rFonts w:ascii="Times New Roman" w:hAnsi="Times New Roman"/>
          <w:b/>
          <w:bCs/>
          <w:sz w:val="24"/>
          <w:szCs w:val="24"/>
        </w:rPr>
        <w:t>2014</w:t>
      </w:r>
      <w:r w:rsidRPr="006E6EE8">
        <w:rPr>
          <w:rFonts w:ascii="Times New Roman" w:hAnsi="Times New Roman"/>
          <w:sz w:val="24"/>
          <w:szCs w:val="24"/>
        </w:rPr>
        <w:t xml:space="preserve">, </w:t>
      </w:r>
      <w:r w:rsidRPr="006E6EE8">
        <w:rPr>
          <w:rFonts w:ascii="Times New Roman" w:hAnsi="Times New Roman"/>
          <w:i/>
          <w:iCs/>
          <w:sz w:val="24"/>
          <w:szCs w:val="24"/>
        </w:rPr>
        <w:t>124</w:t>
      </w:r>
      <w:r w:rsidRPr="006E6EE8">
        <w:rPr>
          <w:rFonts w:ascii="Times New Roman" w:hAnsi="Times New Roman"/>
          <w:sz w:val="24"/>
          <w:szCs w:val="24"/>
        </w:rPr>
        <w:t>, 785–800, doi:10.1172/JCI72017.</w:t>
      </w:r>
    </w:p>
    <w:p w14:paraId="1764C155"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20. </w:t>
      </w:r>
      <w:r w:rsidRPr="006E6EE8">
        <w:rPr>
          <w:rFonts w:ascii="Times New Roman" w:hAnsi="Times New Roman"/>
          <w:sz w:val="24"/>
          <w:szCs w:val="24"/>
        </w:rPr>
        <w:tab/>
        <w:t xml:space="preserve">Lutz, C.M.; Kariya, S.; Patruni, S.; Osborne, M.A.; Liu, D.; Henderson, C.E.; Li, D.K.; Pellizzoni, L.; Rojas, J.; Valenzuela, D.M.; et al. Postsymptomatic Restoration of SMN Rescues the Disease Phenotype in a Mouse Model of Severe Spinal Muscular Atrophy. </w:t>
      </w:r>
      <w:r w:rsidRPr="006E6EE8">
        <w:rPr>
          <w:rFonts w:ascii="Times New Roman" w:hAnsi="Times New Roman"/>
          <w:i/>
          <w:iCs/>
          <w:sz w:val="24"/>
          <w:szCs w:val="24"/>
        </w:rPr>
        <w:t>J. Clin. Invest.</w:t>
      </w:r>
      <w:r w:rsidRPr="006E6EE8">
        <w:rPr>
          <w:rFonts w:ascii="Times New Roman" w:hAnsi="Times New Roman"/>
          <w:sz w:val="24"/>
          <w:szCs w:val="24"/>
        </w:rPr>
        <w:t xml:space="preserve"> </w:t>
      </w:r>
      <w:r w:rsidRPr="006E6EE8">
        <w:rPr>
          <w:rFonts w:ascii="Times New Roman" w:hAnsi="Times New Roman"/>
          <w:b/>
          <w:bCs/>
          <w:sz w:val="24"/>
          <w:szCs w:val="24"/>
        </w:rPr>
        <w:t>2011</w:t>
      </w:r>
      <w:r w:rsidRPr="006E6EE8">
        <w:rPr>
          <w:rFonts w:ascii="Times New Roman" w:hAnsi="Times New Roman"/>
          <w:sz w:val="24"/>
          <w:szCs w:val="24"/>
        </w:rPr>
        <w:t xml:space="preserve">, </w:t>
      </w:r>
      <w:r w:rsidRPr="006E6EE8">
        <w:rPr>
          <w:rFonts w:ascii="Times New Roman" w:hAnsi="Times New Roman"/>
          <w:i/>
          <w:iCs/>
          <w:sz w:val="24"/>
          <w:szCs w:val="24"/>
        </w:rPr>
        <w:t>121</w:t>
      </w:r>
      <w:r w:rsidRPr="006E6EE8">
        <w:rPr>
          <w:rFonts w:ascii="Times New Roman" w:hAnsi="Times New Roman"/>
          <w:sz w:val="24"/>
          <w:szCs w:val="24"/>
        </w:rPr>
        <w:t>, 3029–3041, doi:10.1172/JCI57291.</w:t>
      </w:r>
    </w:p>
    <w:p w14:paraId="0F599035"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21. </w:t>
      </w:r>
      <w:r w:rsidRPr="006E6EE8">
        <w:rPr>
          <w:rFonts w:ascii="Times New Roman" w:hAnsi="Times New Roman"/>
          <w:sz w:val="24"/>
          <w:szCs w:val="24"/>
        </w:rPr>
        <w:tab/>
        <w:t xml:space="preserve">Foust, K.D.; Wang, X.; McGovern, V.L.; Braun, L.; Bevan, A.K.; Haidet, A.M.; Le, T.T.; Morales, P.R.; Rich, M.M.; Burghes, A.H.M.; et al. Rescue of the Spinal Muscular Atrophy Phenotype in a Mouse Model by Early Postnatal Delivery of SMN. </w:t>
      </w:r>
      <w:r w:rsidRPr="006E6EE8">
        <w:rPr>
          <w:rFonts w:ascii="Times New Roman" w:hAnsi="Times New Roman"/>
          <w:i/>
          <w:iCs/>
          <w:sz w:val="24"/>
          <w:szCs w:val="24"/>
        </w:rPr>
        <w:t>Nat. Biotechnol.</w:t>
      </w:r>
      <w:r w:rsidRPr="006E6EE8">
        <w:rPr>
          <w:rFonts w:ascii="Times New Roman" w:hAnsi="Times New Roman"/>
          <w:sz w:val="24"/>
          <w:szCs w:val="24"/>
        </w:rPr>
        <w:t xml:space="preserve"> </w:t>
      </w:r>
      <w:r w:rsidRPr="006E6EE8">
        <w:rPr>
          <w:rFonts w:ascii="Times New Roman" w:hAnsi="Times New Roman"/>
          <w:b/>
          <w:bCs/>
          <w:sz w:val="24"/>
          <w:szCs w:val="24"/>
        </w:rPr>
        <w:t>2010</w:t>
      </w:r>
      <w:r w:rsidRPr="006E6EE8">
        <w:rPr>
          <w:rFonts w:ascii="Times New Roman" w:hAnsi="Times New Roman"/>
          <w:sz w:val="24"/>
          <w:szCs w:val="24"/>
        </w:rPr>
        <w:t xml:space="preserve">, </w:t>
      </w:r>
      <w:r w:rsidRPr="006E6EE8">
        <w:rPr>
          <w:rFonts w:ascii="Times New Roman" w:hAnsi="Times New Roman"/>
          <w:i/>
          <w:iCs/>
          <w:sz w:val="24"/>
          <w:szCs w:val="24"/>
        </w:rPr>
        <w:t>28</w:t>
      </w:r>
      <w:r w:rsidRPr="006E6EE8">
        <w:rPr>
          <w:rFonts w:ascii="Times New Roman" w:hAnsi="Times New Roman"/>
          <w:sz w:val="24"/>
          <w:szCs w:val="24"/>
        </w:rPr>
        <w:t>, 271–274, doi:10.1038/nbt.1610.</w:t>
      </w:r>
    </w:p>
    <w:p w14:paraId="79FDE8D0"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22. </w:t>
      </w:r>
      <w:r w:rsidRPr="006E6EE8">
        <w:rPr>
          <w:rFonts w:ascii="Times New Roman" w:hAnsi="Times New Roman"/>
          <w:sz w:val="24"/>
          <w:szCs w:val="24"/>
        </w:rPr>
        <w:tab/>
        <w:t xml:space="preserve">Bowerman, M.; Murray, L.M.; Beauvais, A.; Pinheiro, B.; Kothary, R. A Critical Smn Threshold in Mice Dictates Onset of an Intermediate Spinal Muscular Atrophy Phenotype Associated with a Distinct Neuromuscular Junction Pathology. </w:t>
      </w:r>
      <w:r w:rsidRPr="006E6EE8">
        <w:rPr>
          <w:rFonts w:ascii="Times New Roman" w:hAnsi="Times New Roman"/>
          <w:i/>
          <w:iCs/>
          <w:sz w:val="24"/>
          <w:szCs w:val="24"/>
        </w:rPr>
        <w:t>Neuromuscul. Disord.</w:t>
      </w:r>
      <w:r w:rsidRPr="006E6EE8">
        <w:rPr>
          <w:rFonts w:ascii="Times New Roman" w:hAnsi="Times New Roman"/>
          <w:sz w:val="24"/>
          <w:szCs w:val="24"/>
        </w:rPr>
        <w:t xml:space="preserve"> </w:t>
      </w:r>
      <w:r w:rsidRPr="006E6EE8">
        <w:rPr>
          <w:rFonts w:ascii="Times New Roman" w:hAnsi="Times New Roman"/>
          <w:b/>
          <w:bCs/>
          <w:sz w:val="24"/>
          <w:szCs w:val="24"/>
        </w:rPr>
        <w:t>2012</w:t>
      </w:r>
      <w:r w:rsidRPr="006E6EE8">
        <w:rPr>
          <w:rFonts w:ascii="Times New Roman" w:hAnsi="Times New Roman"/>
          <w:sz w:val="24"/>
          <w:szCs w:val="24"/>
        </w:rPr>
        <w:t xml:space="preserve">, </w:t>
      </w:r>
      <w:r w:rsidRPr="006E6EE8">
        <w:rPr>
          <w:rFonts w:ascii="Times New Roman" w:hAnsi="Times New Roman"/>
          <w:i/>
          <w:iCs/>
          <w:sz w:val="24"/>
          <w:szCs w:val="24"/>
        </w:rPr>
        <w:t>22</w:t>
      </w:r>
      <w:r w:rsidRPr="006E6EE8">
        <w:rPr>
          <w:rFonts w:ascii="Times New Roman" w:hAnsi="Times New Roman"/>
          <w:sz w:val="24"/>
          <w:szCs w:val="24"/>
        </w:rPr>
        <w:t>, 263–276, doi:10.1016/j.nmd.2011.09.007.</w:t>
      </w:r>
    </w:p>
    <w:p w14:paraId="1CD9702C"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23. </w:t>
      </w:r>
      <w:r w:rsidRPr="006E6EE8">
        <w:rPr>
          <w:rFonts w:ascii="Times New Roman" w:hAnsi="Times New Roman"/>
          <w:sz w:val="24"/>
          <w:szCs w:val="24"/>
        </w:rPr>
        <w:tab/>
        <w:t xml:space="preserve">Hensel, N.; Brickwedde, H.; Tsaknakis, K.; Grages, A.; Braunschweig, L.; Lüders, K.A.; Lorenz, H.M.; Lippross, S.; Walter, L.M.; Tavassol, F.; et al. Altered Bone Development with Impaired Cartilage Formation Precedes Neuromuscular Symptoms in Spinal Muscular Atrophy. </w:t>
      </w:r>
      <w:r w:rsidRPr="006E6EE8">
        <w:rPr>
          <w:rFonts w:ascii="Times New Roman" w:hAnsi="Times New Roman"/>
          <w:i/>
          <w:iCs/>
          <w:sz w:val="24"/>
          <w:szCs w:val="24"/>
        </w:rPr>
        <w:t>Hum. Mol. Genet.</w:t>
      </w:r>
      <w:r w:rsidRPr="006E6EE8">
        <w:rPr>
          <w:rFonts w:ascii="Times New Roman" w:hAnsi="Times New Roman"/>
          <w:sz w:val="24"/>
          <w:szCs w:val="24"/>
        </w:rPr>
        <w:t xml:space="preserve"> </w:t>
      </w:r>
      <w:r w:rsidRPr="006E6EE8">
        <w:rPr>
          <w:rFonts w:ascii="Times New Roman" w:hAnsi="Times New Roman"/>
          <w:b/>
          <w:bCs/>
          <w:sz w:val="24"/>
          <w:szCs w:val="24"/>
        </w:rPr>
        <w:t>2020</w:t>
      </w:r>
      <w:r w:rsidRPr="006E6EE8">
        <w:rPr>
          <w:rFonts w:ascii="Times New Roman" w:hAnsi="Times New Roman"/>
          <w:sz w:val="24"/>
          <w:szCs w:val="24"/>
        </w:rPr>
        <w:t xml:space="preserve">, </w:t>
      </w:r>
      <w:r w:rsidRPr="006E6EE8">
        <w:rPr>
          <w:rFonts w:ascii="Times New Roman" w:hAnsi="Times New Roman"/>
          <w:i/>
          <w:iCs/>
          <w:sz w:val="24"/>
          <w:szCs w:val="24"/>
        </w:rPr>
        <w:lastRenderedPageBreak/>
        <w:t>29</w:t>
      </w:r>
      <w:r w:rsidRPr="006E6EE8">
        <w:rPr>
          <w:rFonts w:ascii="Times New Roman" w:hAnsi="Times New Roman"/>
          <w:sz w:val="24"/>
          <w:szCs w:val="24"/>
        </w:rPr>
        <w:t>, 2662–2673, doi:10.1093/hmg/ddaa145.</w:t>
      </w:r>
    </w:p>
    <w:p w14:paraId="5CB0FE28"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24. </w:t>
      </w:r>
      <w:r w:rsidRPr="006E6EE8">
        <w:rPr>
          <w:rFonts w:ascii="Times New Roman" w:hAnsi="Times New Roman"/>
          <w:sz w:val="24"/>
          <w:szCs w:val="24"/>
        </w:rPr>
        <w:tab/>
        <w:t xml:space="preserve">Sheng, L.; Wan, B.; Feng, P.; Sun, J.; Rigo, F.; Frank Bennett, C.; Akerman, M.; Krainer, A.R.; Hua, Y. Downregulation of Survivin Contributes to Cell-Cycle Arrest during Postnatal Cardiac Development in a Severe Spinal Muscular Atrophy Mouse Model. </w:t>
      </w:r>
      <w:r w:rsidRPr="006E6EE8">
        <w:rPr>
          <w:rFonts w:ascii="Times New Roman" w:hAnsi="Times New Roman"/>
          <w:i/>
          <w:iCs/>
          <w:sz w:val="24"/>
          <w:szCs w:val="24"/>
        </w:rPr>
        <w:t>Hum. Mol. Genet.</w:t>
      </w:r>
      <w:r w:rsidRPr="006E6EE8">
        <w:rPr>
          <w:rFonts w:ascii="Times New Roman" w:hAnsi="Times New Roman"/>
          <w:sz w:val="24"/>
          <w:szCs w:val="24"/>
        </w:rPr>
        <w:t xml:space="preserve"> </w:t>
      </w:r>
      <w:r w:rsidRPr="006E6EE8">
        <w:rPr>
          <w:rFonts w:ascii="Times New Roman" w:hAnsi="Times New Roman"/>
          <w:b/>
          <w:bCs/>
          <w:sz w:val="24"/>
          <w:szCs w:val="24"/>
        </w:rPr>
        <w:t>2018</w:t>
      </w:r>
      <w:r w:rsidRPr="006E6EE8">
        <w:rPr>
          <w:rFonts w:ascii="Times New Roman" w:hAnsi="Times New Roman"/>
          <w:sz w:val="24"/>
          <w:szCs w:val="24"/>
        </w:rPr>
        <w:t xml:space="preserve">, </w:t>
      </w:r>
      <w:r w:rsidRPr="006E6EE8">
        <w:rPr>
          <w:rFonts w:ascii="Times New Roman" w:hAnsi="Times New Roman"/>
          <w:i/>
          <w:iCs/>
          <w:sz w:val="24"/>
          <w:szCs w:val="24"/>
        </w:rPr>
        <w:t>27</w:t>
      </w:r>
      <w:r w:rsidRPr="006E6EE8">
        <w:rPr>
          <w:rFonts w:ascii="Times New Roman" w:hAnsi="Times New Roman"/>
          <w:sz w:val="24"/>
          <w:szCs w:val="24"/>
        </w:rPr>
        <w:t>, 486–498, doi:10.1093/hmg/ddx418.</w:t>
      </w:r>
    </w:p>
    <w:p w14:paraId="0D132AE3"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25. </w:t>
      </w:r>
      <w:r w:rsidRPr="006E6EE8">
        <w:rPr>
          <w:rFonts w:ascii="Times New Roman" w:hAnsi="Times New Roman"/>
          <w:sz w:val="24"/>
          <w:szCs w:val="24"/>
        </w:rPr>
        <w:tab/>
        <w:t xml:space="preserve">Schreml, J.; Riessland, M.; Paterno, M.; Garbes, L.; Robach, K.; Ackermann, B.; Krämer, J.; Somers, E.; Parson, S.H.; Heller, R.; et al. Severe SMA Mice Show Organ Impairment That Cannot Be Rescued by Therapy with the HDACi JNJ-26481585. </w:t>
      </w:r>
      <w:r w:rsidRPr="006E6EE8">
        <w:rPr>
          <w:rFonts w:ascii="Times New Roman" w:hAnsi="Times New Roman"/>
          <w:i/>
          <w:iCs/>
          <w:sz w:val="24"/>
          <w:szCs w:val="24"/>
        </w:rPr>
        <w:t>Eur. J. Hum. Genet.</w:t>
      </w:r>
      <w:r w:rsidRPr="006E6EE8">
        <w:rPr>
          <w:rFonts w:ascii="Times New Roman" w:hAnsi="Times New Roman"/>
          <w:sz w:val="24"/>
          <w:szCs w:val="24"/>
        </w:rPr>
        <w:t xml:space="preserve"> </w:t>
      </w:r>
      <w:r w:rsidRPr="006E6EE8">
        <w:rPr>
          <w:rFonts w:ascii="Times New Roman" w:hAnsi="Times New Roman"/>
          <w:b/>
          <w:bCs/>
          <w:sz w:val="24"/>
          <w:szCs w:val="24"/>
        </w:rPr>
        <w:t>2013</w:t>
      </w:r>
      <w:r w:rsidRPr="006E6EE8">
        <w:rPr>
          <w:rFonts w:ascii="Times New Roman" w:hAnsi="Times New Roman"/>
          <w:sz w:val="24"/>
          <w:szCs w:val="24"/>
        </w:rPr>
        <w:t xml:space="preserve">, </w:t>
      </w:r>
      <w:r w:rsidRPr="006E6EE8">
        <w:rPr>
          <w:rFonts w:ascii="Times New Roman" w:hAnsi="Times New Roman"/>
          <w:i/>
          <w:iCs/>
          <w:sz w:val="24"/>
          <w:szCs w:val="24"/>
        </w:rPr>
        <w:t>21</w:t>
      </w:r>
      <w:r w:rsidRPr="006E6EE8">
        <w:rPr>
          <w:rFonts w:ascii="Times New Roman" w:hAnsi="Times New Roman"/>
          <w:sz w:val="24"/>
          <w:szCs w:val="24"/>
        </w:rPr>
        <w:t>, 643–652, doi:10.1038/ejhg.2012.222.</w:t>
      </w:r>
    </w:p>
    <w:p w14:paraId="3360FE96"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26. </w:t>
      </w:r>
      <w:r w:rsidRPr="006E6EE8">
        <w:rPr>
          <w:rFonts w:ascii="Times New Roman" w:hAnsi="Times New Roman"/>
          <w:sz w:val="24"/>
          <w:szCs w:val="24"/>
        </w:rPr>
        <w:tab/>
        <w:t xml:space="preserve">Crawford, T.O.; Paushkin, S. V.; Kobayashi, D.T.; Forrest, S.J.; Joyce, C.L.; Finkel, R.S.; Kaufmann, P.; Swoboda, K.J.; Tiziano, D.; Lomastro, R.; et al. Evaluation of SMN Protein, Transcript, and Copy Number in the Biomarkers for Spinal Muscular Atrophy (BforSMA) Clinical Study. </w:t>
      </w:r>
      <w:r w:rsidRPr="006E6EE8">
        <w:rPr>
          <w:rFonts w:ascii="Times New Roman" w:hAnsi="Times New Roman"/>
          <w:i/>
          <w:iCs/>
          <w:sz w:val="24"/>
          <w:szCs w:val="24"/>
        </w:rPr>
        <w:t>PLoS One</w:t>
      </w:r>
      <w:r w:rsidRPr="006E6EE8">
        <w:rPr>
          <w:rFonts w:ascii="Times New Roman" w:hAnsi="Times New Roman"/>
          <w:sz w:val="24"/>
          <w:szCs w:val="24"/>
        </w:rPr>
        <w:t xml:space="preserve"> </w:t>
      </w:r>
      <w:r w:rsidRPr="006E6EE8">
        <w:rPr>
          <w:rFonts w:ascii="Times New Roman" w:hAnsi="Times New Roman"/>
          <w:b/>
          <w:bCs/>
          <w:sz w:val="24"/>
          <w:szCs w:val="24"/>
        </w:rPr>
        <w:t>2012</w:t>
      </w:r>
      <w:r w:rsidRPr="006E6EE8">
        <w:rPr>
          <w:rFonts w:ascii="Times New Roman" w:hAnsi="Times New Roman"/>
          <w:sz w:val="24"/>
          <w:szCs w:val="24"/>
        </w:rPr>
        <w:t xml:space="preserve">, </w:t>
      </w:r>
      <w:r w:rsidRPr="006E6EE8">
        <w:rPr>
          <w:rFonts w:ascii="Times New Roman" w:hAnsi="Times New Roman"/>
          <w:i/>
          <w:iCs/>
          <w:sz w:val="24"/>
          <w:szCs w:val="24"/>
        </w:rPr>
        <w:t>7</w:t>
      </w:r>
      <w:r w:rsidRPr="006E6EE8">
        <w:rPr>
          <w:rFonts w:ascii="Times New Roman" w:hAnsi="Times New Roman"/>
          <w:sz w:val="24"/>
          <w:szCs w:val="24"/>
        </w:rPr>
        <w:t>, doi:10.1371/journal.pone.0033572.</w:t>
      </w:r>
    </w:p>
    <w:p w14:paraId="2B139C35"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27. </w:t>
      </w:r>
      <w:r w:rsidRPr="006E6EE8">
        <w:rPr>
          <w:rFonts w:ascii="Times New Roman" w:hAnsi="Times New Roman"/>
          <w:sz w:val="24"/>
          <w:szCs w:val="24"/>
        </w:rPr>
        <w:tab/>
        <w:t xml:space="preserve">Sivaramakrishnan, M.; McCarthy, K.D.; Campagne, S.; Huber, S.; Meier, S.; Augustin, A.; Heckel, T.; Meistermann, H.; Hug, M.N.; Birrer, P.; et al. Binding to SMN2 Pre-MRNA-Protein Complex Elicits Specificity for Small Molecule Splicing Modifiers. </w:t>
      </w:r>
      <w:r w:rsidRPr="006E6EE8">
        <w:rPr>
          <w:rFonts w:ascii="Times New Roman" w:hAnsi="Times New Roman"/>
          <w:i/>
          <w:iCs/>
          <w:sz w:val="24"/>
          <w:szCs w:val="24"/>
        </w:rPr>
        <w:t>Nat. Commun.</w:t>
      </w:r>
      <w:r w:rsidRPr="006E6EE8">
        <w:rPr>
          <w:rFonts w:ascii="Times New Roman" w:hAnsi="Times New Roman"/>
          <w:sz w:val="24"/>
          <w:szCs w:val="24"/>
        </w:rPr>
        <w:t xml:space="preserve"> </w:t>
      </w:r>
      <w:r w:rsidRPr="006E6EE8">
        <w:rPr>
          <w:rFonts w:ascii="Times New Roman" w:hAnsi="Times New Roman"/>
          <w:b/>
          <w:bCs/>
          <w:sz w:val="24"/>
          <w:szCs w:val="24"/>
        </w:rPr>
        <w:t>2017</w:t>
      </w:r>
      <w:r w:rsidRPr="006E6EE8">
        <w:rPr>
          <w:rFonts w:ascii="Times New Roman" w:hAnsi="Times New Roman"/>
          <w:sz w:val="24"/>
          <w:szCs w:val="24"/>
        </w:rPr>
        <w:t xml:space="preserve">, </w:t>
      </w:r>
      <w:r w:rsidRPr="006E6EE8">
        <w:rPr>
          <w:rFonts w:ascii="Times New Roman" w:hAnsi="Times New Roman"/>
          <w:i/>
          <w:iCs/>
          <w:sz w:val="24"/>
          <w:szCs w:val="24"/>
        </w:rPr>
        <w:t>8</w:t>
      </w:r>
      <w:r w:rsidRPr="006E6EE8">
        <w:rPr>
          <w:rFonts w:ascii="Times New Roman" w:hAnsi="Times New Roman"/>
          <w:sz w:val="24"/>
          <w:szCs w:val="24"/>
        </w:rPr>
        <w:t>, doi:10.1038/s41467-017-01559-4.</w:t>
      </w:r>
    </w:p>
    <w:p w14:paraId="2A5C5D52"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28. </w:t>
      </w:r>
      <w:r w:rsidRPr="006E6EE8">
        <w:rPr>
          <w:rFonts w:ascii="Times New Roman" w:hAnsi="Times New Roman"/>
          <w:sz w:val="24"/>
          <w:szCs w:val="24"/>
        </w:rPr>
        <w:tab/>
        <w:t xml:space="preserve">Vatine, G.D.; Al-Ahmad, A.; Barriga, B.K.; Svendsen, S.; Salim, A.; Garcia, L.; Garcia, V.J.; Ho, R.; Yucer, N.; Qian, T.; et al. Modeling Psychomotor Retardation Using IPSCs from MCT8-Deficient Patients Indicates a Prominent Role for the Blood-Brain Barrier. </w:t>
      </w:r>
      <w:r w:rsidRPr="006E6EE8">
        <w:rPr>
          <w:rFonts w:ascii="Times New Roman" w:hAnsi="Times New Roman"/>
          <w:i/>
          <w:iCs/>
          <w:sz w:val="24"/>
          <w:szCs w:val="24"/>
        </w:rPr>
        <w:t>Cell Stem Cell</w:t>
      </w:r>
      <w:r w:rsidRPr="006E6EE8">
        <w:rPr>
          <w:rFonts w:ascii="Times New Roman" w:hAnsi="Times New Roman"/>
          <w:sz w:val="24"/>
          <w:szCs w:val="24"/>
        </w:rPr>
        <w:t xml:space="preserve"> </w:t>
      </w:r>
      <w:r w:rsidRPr="006E6EE8">
        <w:rPr>
          <w:rFonts w:ascii="Times New Roman" w:hAnsi="Times New Roman"/>
          <w:b/>
          <w:bCs/>
          <w:sz w:val="24"/>
          <w:szCs w:val="24"/>
        </w:rPr>
        <w:t>2017</w:t>
      </w:r>
      <w:r w:rsidRPr="006E6EE8">
        <w:rPr>
          <w:rFonts w:ascii="Times New Roman" w:hAnsi="Times New Roman"/>
          <w:sz w:val="24"/>
          <w:szCs w:val="24"/>
        </w:rPr>
        <w:t xml:space="preserve">, </w:t>
      </w:r>
      <w:r w:rsidRPr="006E6EE8">
        <w:rPr>
          <w:rFonts w:ascii="Times New Roman" w:hAnsi="Times New Roman"/>
          <w:i/>
          <w:iCs/>
          <w:sz w:val="24"/>
          <w:szCs w:val="24"/>
        </w:rPr>
        <w:t>20</w:t>
      </w:r>
      <w:r w:rsidRPr="006E6EE8">
        <w:rPr>
          <w:rFonts w:ascii="Times New Roman" w:hAnsi="Times New Roman"/>
          <w:sz w:val="24"/>
          <w:szCs w:val="24"/>
        </w:rPr>
        <w:t>, 831-843.e5, doi:10.1016/j.stem.2017.04.002.</w:t>
      </w:r>
    </w:p>
    <w:p w14:paraId="3474D1E1"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lastRenderedPageBreak/>
        <w:t xml:space="preserve">29. </w:t>
      </w:r>
      <w:r w:rsidRPr="006E6EE8">
        <w:rPr>
          <w:rFonts w:ascii="Times New Roman" w:hAnsi="Times New Roman"/>
          <w:sz w:val="24"/>
          <w:szCs w:val="24"/>
        </w:rPr>
        <w:tab/>
        <w:t xml:space="preserve">Theocharidis, A.; van Dongen, S.; Enright, A.J.; Freeman, T.C. Network Visualization and Analysis of Gene Expression Data Using BioLayout Express(3D). </w:t>
      </w:r>
      <w:r w:rsidRPr="006E6EE8">
        <w:rPr>
          <w:rFonts w:ascii="Times New Roman" w:hAnsi="Times New Roman"/>
          <w:i/>
          <w:iCs/>
          <w:sz w:val="24"/>
          <w:szCs w:val="24"/>
        </w:rPr>
        <w:t>Nat. Protoc.</w:t>
      </w:r>
      <w:r w:rsidRPr="006E6EE8">
        <w:rPr>
          <w:rFonts w:ascii="Times New Roman" w:hAnsi="Times New Roman"/>
          <w:sz w:val="24"/>
          <w:szCs w:val="24"/>
        </w:rPr>
        <w:t xml:space="preserve"> </w:t>
      </w:r>
      <w:r w:rsidRPr="006E6EE8">
        <w:rPr>
          <w:rFonts w:ascii="Times New Roman" w:hAnsi="Times New Roman"/>
          <w:b/>
          <w:bCs/>
          <w:sz w:val="24"/>
          <w:szCs w:val="24"/>
        </w:rPr>
        <w:t>2009</w:t>
      </w:r>
      <w:r w:rsidRPr="006E6EE8">
        <w:rPr>
          <w:rFonts w:ascii="Times New Roman" w:hAnsi="Times New Roman"/>
          <w:sz w:val="24"/>
          <w:szCs w:val="24"/>
        </w:rPr>
        <w:t xml:space="preserve">, </w:t>
      </w:r>
      <w:r w:rsidRPr="006E6EE8">
        <w:rPr>
          <w:rFonts w:ascii="Times New Roman" w:hAnsi="Times New Roman"/>
          <w:i/>
          <w:iCs/>
          <w:sz w:val="24"/>
          <w:szCs w:val="24"/>
        </w:rPr>
        <w:t>4</w:t>
      </w:r>
      <w:r w:rsidRPr="006E6EE8">
        <w:rPr>
          <w:rFonts w:ascii="Times New Roman" w:hAnsi="Times New Roman"/>
          <w:sz w:val="24"/>
          <w:szCs w:val="24"/>
        </w:rPr>
        <w:t>, 1535–1550, doi:10.1038/nprot.2009.177.</w:t>
      </w:r>
    </w:p>
    <w:p w14:paraId="00A47C55"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30. </w:t>
      </w:r>
      <w:r w:rsidRPr="006E6EE8">
        <w:rPr>
          <w:rFonts w:ascii="Times New Roman" w:hAnsi="Times New Roman"/>
          <w:sz w:val="24"/>
          <w:szCs w:val="24"/>
        </w:rPr>
        <w:tab/>
        <w:t xml:space="preserve">Boraldi, F.; Bini, L.; Liberatori, S.; Armini, A.; Pallini, V.; Tiozzo, R.; Pasquali-Ronchetti, I.; Quaglino, D. Proteome Analysis of Dermal Fibroblasts Cultured in Vitro from Human Healthy Subjects of Different Ages. </w:t>
      </w:r>
      <w:r w:rsidRPr="006E6EE8">
        <w:rPr>
          <w:rFonts w:ascii="Times New Roman" w:hAnsi="Times New Roman"/>
          <w:i/>
          <w:iCs/>
          <w:sz w:val="24"/>
          <w:szCs w:val="24"/>
        </w:rPr>
        <w:t>Proteomics</w:t>
      </w:r>
      <w:r w:rsidRPr="006E6EE8">
        <w:rPr>
          <w:rFonts w:ascii="Times New Roman" w:hAnsi="Times New Roman"/>
          <w:sz w:val="24"/>
          <w:szCs w:val="24"/>
        </w:rPr>
        <w:t xml:space="preserve"> </w:t>
      </w:r>
      <w:r w:rsidRPr="006E6EE8">
        <w:rPr>
          <w:rFonts w:ascii="Times New Roman" w:hAnsi="Times New Roman"/>
          <w:b/>
          <w:bCs/>
          <w:sz w:val="24"/>
          <w:szCs w:val="24"/>
        </w:rPr>
        <w:t>2003</w:t>
      </w:r>
      <w:r w:rsidRPr="006E6EE8">
        <w:rPr>
          <w:rFonts w:ascii="Times New Roman" w:hAnsi="Times New Roman"/>
          <w:sz w:val="24"/>
          <w:szCs w:val="24"/>
        </w:rPr>
        <w:t xml:space="preserve">, </w:t>
      </w:r>
      <w:r w:rsidRPr="006E6EE8">
        <w:rPr>
          <w:rFonts w:ascii="Times New Roman" w:hAnsi="Times New Roman"/>
          <w:i/>
          <w:iCs/>
          <w:sz w:val="24"/>
          <w:szCs w:val="24"/>
        </w:rPr>
        <w:t>3</w:t>
      </w:r>
      <w:r w:rsidRPr="006E6EE8">
        <w:rPr>
          <w:rFonts w:ascii="Times New Roman" w:hAnsi="Times New Roman"/>
          <w:sz w:val="24"/>
          <w:szCs w:val="24"/>
        </w:rPr>
        <w:t>, 917–929, doi:10.1002/pmic.200300386.</w:t>
      </w:r>
    </w:p>
    <w:p w14:paraId="41428951"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31. </w:t>
      </w:r>
      <w:r w:rsidRPr="006E6EE8">
        <w:rPr>
          <w:rFonts w:ascii="Times New Roman" w:hAnsi="Times New Roman"/>
          <w:sz w:val="24"/>
          <w:szCs w:val="24"/>
        </w:rPr>
        <w:tab/>
        <w:t xml:space="preserve">Ignjatovic, V.; Lai, C.; Summerhayes, R.; Mathesius, U.; Tawfilis, S.; Perugini, M.A.; Monagle, P. Age-Related Differences in Plasma Proteins: How Plasma Proteins Change from Neonates to Adults. </w:t>
      </w:r>
      <w:r w:rsidRPr="006E6EE8">
        <w:rPr>
          <w:rFonts w:ascii="Times New Roman" w:hAnsi="Times New Roman"/>
          <w:i/>
          <w:iCs/>
          <w:sz w:val="24"/>
          <w:szCs w:val="24"/>
        </w:rPr>
        <w:t>PLoS One</w:t>
      </w:r>
      <w:r w:rsidRPr="006E6EE8">
        <w:rPr>
          <w:rFonts w:ascii="Times New Roman" w:hAnsi="Times New Roman"/>
          <w:sz w:val="24"/>
          <w:szCs w:val="24"/>
        </w:rPr>
        <w:t xml:space="preserve"> </w:t>
      </w:r>
      <w:r w:rsidRPr="006E6EE8">
        <w:rPr>
          <w:rFonts w:ascii="Times New Roman" w:hAnsi="Times New Roman"/>
          <w:b/>
          <w:bCs/>
          <w:sz w:val="24"/>
          <w:szCs w:val="24"/>
        </w:rPr>
        <w:t>2011</w:t>
      </w:r>
      <w:r w:rsidRPr="006E6EE8">
        <w:rPr>
          <w:rFonts w:ascii="Times New Roman" w:hAnsi="Times New Roman"/>
          <w:sz w:val="24"/>
          <w:szCs w:val="24"/>
        </w:rPr>
        <w:t xml:space="preserve">, </w:t>
      </w:r>
      <w:r w:rsidRPr="006E6EE8">
        <w:rPr>
          <w:rFonts w:ascii="Times New Roman" w:hAnsi="Times New Roman"/>
          <w:i/>
          <w:iCs/>
          <w:sz w:val="24"/>
          <w:szCs w:val="24"/>
        </w:rPr>
        <w:t>6</w:t>
      </w:r>
      <w:r w:rsidRPr="006E6EE8">
        <w:rPr>
          <w:rFonts w:ascii="Times New Roman" w:hAnsi="Times New Roman"/>
          <w:sz w:val="24"/>
          <w:szCs w:val="24"/>
        </w:rPr>
        <w:t>, doi:10.1371/journal.pone.0017213.</w:t>
      </w:r>
    </w:p>
    <w:p w14:paraId="309ACA5C"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32. </w:t>
      </w:r>
      <w:r w:rsidRPr="006E6EE8">
        <w:rPr>
          <w:rFonts w:ascii="Times New Roman" w:hAnsi="Times New Roman"/>
          <w:sz w:val="24"/>
          <w:szCs w:val="24"/>
        </w:rPr>
        <w:tab/>
        <w:t xml:space="preserve">Bjelosevic, S.; Pascovici, D.; Ping, H.; Karlaftis, V.; Zaw, T.; Song, X.; Molloy, M.P.; Monagle, P.; Ignjatovic, V. Quantitative Age-Specific Variability of Plasma Proteins in Healthy Neonates, Children and Adults. </w:t>
      </w:r>
      <w:r w:rsidRPr="006E6EE8">
        <w:rPr>
          <w:rFonts w:ascii="Times New Roman" w:hAnsi="Times New Roman"/>
          <w:i/>
          <w:iCs/>
          <w:sz w:val="24"/>
          <w:szCs w:val="24"/>
        </w:rPr>
        <w:t>Mol. Cell. Proteomics</w:t>
      </w:r>
      <w:r w:rsidRPr="006E6EE8">
        <w:rPr>
          <w:rFonts w:ascii="Times New Roman" w:hAnsi="Times New Roman"/>
          <w:sz w:val="24"/>
          <w:szCs w:val="24"/>
        </w:rPr>
        <w:t xml:space="preserve"> </w:t>
      </w:r>
      <w:r w:rsidRPr="006E6EE8">
        <w:rPr>
          <w:rFonts w:ascii="Times New Roman" w:hAnsi="Times New Roman"/>
          <w:b/>
          <w:bCs/>
          <w:sz w:val="24"/>
          <w:szCs w:val="24"/>
        </w:rPr>
        <w:t>2017</w:t>
      </w:r>
      <w:r w:rsidRPr="006E6EE8">
        <w:rPr>
          <w:rFonts w:ascii="Times New Roman" w:hAnsi="Times New Roman"/>
          <w:sz w:val="24"/>
          <w:szCs w:val="24"/>
        </w:rPr>
        <w:t xml:space="preserve">, </w:t>
      </w:r>
      <w:r w:rsidRPr="006E6EE8">
        <w:rPr>
          <w:rFonts w:ascii="Times New Roman" w:hAnsi="Times New Roman"/>
          <w:i/>
          <w:iCs/>
          <w:sz w:val="24"/>
          <w:szCs w:val="24"/>
        </w:rPr>
        <w:t>16</w:t>
      </w:r>
      <w:r w:rsidRPr="006E6EE8">
        <w:rPr>
          <w:rFonts w:ascii="Times New Roman" w:hAnsi="Times New Roman"/>
          <w:sz w:val="24"/>
          <w:szCs w:val="24"/>
        </w:rPr>
        <w:t>, 924–935, doi:10.1074/mcp.M116.066720.</w:t>
      </w:r>
    </w:p>
    <w:p w14:paraId="3D51F9DF"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33. </w:t>
      </w:r>
      <w:r w:rsidRPr="006E6EE8">
        <w:rPr>
          <w:rFonts w:ascii="Times New Roman" w:hAnsi="Times New Roman"/>
          <w:sz w:val="24"/>
          <w:szCs w:val="24"/>
        </w:rPr>
        <w:tab/>
        <w:t xml:space="preserve">Wirth, B.; Mendoza-Ferreira, N.; Torres-Benito, L. Spinal Muscular Atrophy Disease Modifiers. In </w:t>
      </w:r>
      <w:r w:rsidRPr="006E6EE8">
        <w:rPr>
          <w:rFonts w:ascii="Times New Roman" w:hAnsi="Times New Roman"/>
          <w:i/>
          <w:iCs/>
          <w:sz w:val="24"/>
          <w:szCs w:val="24"/>
        </w:rPr>
        <w:t>Spinal Muscular Atrophy: Disease Mechanisms and Therapy</w:t>
      </w:r>
      <w:r w:rsidRPr="006E6EE8">
        <w:rPr>
          <w:rFonts w:ascii="Times New Roman" w:hAnsi="Times New Roman"/>
          <w:sz w:val="24"/>
          <w:szCs w:val="24"/>
        </w:rPr>
        <w:t>; Sumner, C.J., Paushkin, S., Ko, C.P., Eds.; Academic Press, 2017; pp. 191–210 ISBN 9780128036853.</w:t>
      </w:r>
    </w:p>
    <w:p w14:paraId="0CEBC0AC"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34. </w:t>
      </w:r>
      <w:r w:rsidRPr="006E6EE8">
        <w:rPr>
          <w:rFonts w:ascii="Times New Roman" w:hAnsi="Times New Roman"/>
          <w:sz w:val="24"/>
          <w:szCs w:val="24"/>
        </w:rPr>
        <w:tab/>
        <w:t xml:space="preserve">Oprea, G.E.; Krober, S.; McWhorter, M.L.; Rossoll, W.; Muller, S.; Krawczak, M.; Bassell, G.J.; Beattie, C.E.; Wirth, B. Plastin 3 Is a Protective Modifier of Autosomal Recessive Spinal Muscular Atrophy. </w:t>
      </w:r>
      <w:r w:rsidRPr="006E6EE8">
        <w:rPr>
          <w:rFonts w:ascii="Times New Roman" w:hAnsi="Times New Roman"/>
          <w:i/>
          <w:iCs/>
          <w:sz w:val="24"/>
          <w:szCs w:val="24"/>
        </w:rPr>
        <w:t>Science (80-. ).</w:t>
      </w:r>
      <w:r w:rsidRPr="006E6EE8">
        <w:rPr>
          <w:rFonts w:ascii="Times New Roman" w:hAnsi="Times New Roman"/>
          <w:sz w:val="24"/>
          <w:szCs w:val="24"/>
        </w:rPr>
        <w:t xml:space="preserve"> </w:t>
      </w:r>
      <w:r w:rsidRPr="006E6EE8">
        <w:rPr>
          <w:rFonts w:ascii="Times New Roman" w:hAnsi="Times New Roman"/>
          <w:b/>
          <w:bCs/>
          <w:sz w:val="24"/>
          <w:szCs w:val="24"/>
        </w:rPr>
        <w:t>2008</w:t>
      </w:r>
      <w:r w:rsidRPr="006E6EE8">
        <w:rPr>
          <w:rFonts w:ascii="Times New Roman" w:hAnsi="Times New Roman"/>
          <w:sz w:val="24"/>
          <w:szCs w:val="24"/>
        </w:rPr>
        <w:t xml:space="preserve">, </w:t>
      </w:r>
      <w:r w:rsidRPr="006E6EE8">
        <w:rPr>
          <w:rFonts w:ascii="Times New Roman" w:hAnsi="Times New Roman"/>
          <w:i/>
          <w:iCs/>
          <w:sz w:val="24"/>
          <w:szCs w:val="24"/>
        </w:rPr>
        <w:t>320</w:t>
      </w:r>
      <w:r w:rsidRPr="006E6EE8">
        <w:rPr>
          <w:rFonts w:ascii="Times New Roman" w:hAnsi="Times New Roman"/>
          <w:sz w:val="24"/>
          <w:szCs w:val="24"/>
        </w:rPr>
        <w:t>, 524–527, doi:10.1126/science.1155085.Plastin.</w:t>
      </w:r>
    </w:p>
    <w:p w14:paraId="4B4B4619"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35. </w:t>
      </w:r>
      <w:r w:rsidRPr="006E6EE8">
        <w:rPr>
          <w:rFonts w:ascii="Times New Roman" w:hAnsi="Times New Roman"/>
          <w:sz w:val="24"/>
          <w:szCs w:val="24"/>
        </w:rPr>
        <w:tab/>
        <w:t xml:space="preserve">Riessland, M.; Kaczmarek, A.; Schneider, S.; Swoboda, K.J.; Löhr, H.; Bradler, C.; Grysko, V.; Dimitriadi, M.; Hosseinibarkooie, S.; Torres-Benito, L.; et al. Neurocalcin Delta Suppression Protects against Spinal Muscular Atrophy in Humans and across Species by Restoring Impaired Endocytosis. </w:t>
      </w:r>
      <w:r w:rsidRPr="006E6EE8">
        <w:rPr>
          <w:rFonts w:ascii="Times New Roman" w:hAnsi="Times New Roman"/>
          <w:i/>
          <w:iCs/>
          <w:sz w:val="24"/>
          <w:szCs w:val="24"/>
        </w:rPr>
        <w:lastRenderedPageBreak/>
        <w:t>Am. J. Hum. Genet.</w:t>
      </w:r>
      <w:r w:rsidRPr="006E6EE8">
        <w:rPr>
          <w:rFonts w:ascii="Times New Roman" w:hAnsi="Times New Roman"/>
          <w:sz w:val="24"/>
          <w:szCs w:val="24"/>
        </w:rPr>
        <w:t xml:space="preserve"> </w:t>
      </w:r>
      <w:r w:rsidRPr="006E6EE8">
        <w:rPr>
          <w:rFonts w:ascii="Times New Roman" w:hAnsi="Times New Roman"/>
          <w:b/>
          <w:bCs/>
          <w:sz w:val="24"/>
          <w:szCs w:val="24"/>
        </w:rPr>
        <w:t>2017</w:t>
      </w:r>
      <w:r w:rsidRPr="006E6EE8">
        <w:rPr>
          <w:rFonts w:ascii="Times New Roman" w:hAnsi="Times New Roman"/>
          <w:sz w:val="24"/>
          <w:szCs w:val="24"/>
        </w:rPr>
        <w:t xml:space="preserve">, </w:t>
      </w:r>
      <w:r w:rsidRPr="006E6EE8">
        <w:rPr>
          <w:rFonts w:ascii="Times New Roman" w:hAnsi="Times New Roman"/>
          <w:i/>
          <w:iCs/>
          <w:sz w:val="24"/>
          <w:szCs w:val="24"/>
        </w:rPr>
        <w:t>100</w:t>
      </w:r>
      <w:r w:rsidRPr="006E6EE8">
        <w:rPr>
          <w:rFonts w:ascii="Times New Roman" w:hAnsi="Times New Roman"/>
          <w:sz w:val="24"/>
          <w:szCs w:val="24"/>
        </w:rPr>
        <w:t>, 297–315, doi:10.1016/j.ajhg.2017.01.005.</w:t>
      </w:r>
    </w:p>
    <w:p w14:paraId="21CD0F17"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36. </w:t>
      </w:r>
      <w:r w:rsidRPr="006E6EE8">
        <w:rPr>
          <w:rFonts w:ascii="Times New Roman" w:hAnsi="Times New Roman"/>
          <w:sz w:val="24"/>
          <w:szCs w:val="24"/>
        </w:rPr>
        <w:tab/>
        <w:t xml:space="preserve">Wadman, R.I.; Jansen, M.D.; Curial, C.A.D.; Groen, E.J.N.; Stam, M.; Wijngaarde, C.A.; Medic, J.; Sodaar, P.; Van Eijk, K.R.; Huibers, M.M.H.; et al. Analysis of FUS, PFN2, TDP-43, and PLS3 as Potential Disease Severity Modifiers in Spinal Muscular Atrophy. </w:t>
      </w:r>
      <w:r w:rsidRPr="006E6EE8">
        <w:rPr>
          <w:rFonts w:ascii="Times New Roman" w:hAnsi="Times New Roman"/>
          <w:i/>
          <w:iCs/>
          <w:sz w:val="24"/>
          <w:szCs w:val="24"/>
        </w:rPr>
        <w:t>Neurol. Genet.</w:t>
      </w:r>
      <w:r w:rsidRPr="006E6EE8">
        <w:rPr>
          <w:rFonts w:ascii="Times New Roman" w:hAnsi="Times New Roman"/>
          <w:sz w:val="24"/>
          <w:szCs w:val="24"/>
        </w:rPr>
        <w:t xml:space="preserve"> </w:t>
      </w:r>
      <w:r w:rsidRPr="006E6EE8">
        <w:rPr>
          <w:rFonts w:ascii="Times New Roman" w:hAnsi="Times New Roman"/>
          <w:b/>
          <w:bCs/>
          <w:sz w:val="24"/>
          <w:szCs w:val="24"/>
        </w:rPr>
        <w:t>2020</w:t>
      </w:r>
      <w:r w:rsidRPr="006E6EE8">
        <w:rPr>
          <w:rFonts w:ascii="Times New Roman" w:hAnsi="Times New Roman"/>
          <w:sz w:val="24"/>
          <w:szCs w:val="24"/>
        </w:rPr>
        <w:t xml:space="preserve">, </w:t>
      </w:r>
      <w:r w:rsidRPr="006E6EE8">
        <w:rPr>
          <w:rFonts w:ascii="Times New Roman" w:hAnsi="Times New Roman"/>
          <w:i/>
          <w:iCs/>
          <w:sz w:val="24"/>
          <w:szCs w:val="24"/>
        </w:rPr>
        <w:t>6</w:t>
      </w:r>
      <w:r w:rsidRPr="006E6EE8">
        <w:rPr>
          <w:rFonts w:ascii="Times New Roman" w:hAnsi="Times New Roman"/>
          <w:sz w:val="24"/>
          <w:szCs w:val="24"/>
        </w:rPr>
        <w:t>, 1–8, doi:10.1212/NXG.0000000000000386.</w:t>
      </w:r>
    </w:p>
    <w:p w14:paraId="52C8AF4F"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37. </w:t>
      </w:r>
      <w:r w:rsidRPr="006E6EE8">
        <w:rPr>
          <w:rFonts w:ascii="Times New Roman" w:hAnsi="Times New Roman"/>
          <w:sz w:val="24"/>
          <w:szCs w:val="24"/>
        </w:rPr>
        <w:tab/>
        <w:t xml:space="preserve">Also-Rallo, E.; Alías, L.; Martínez-Hernández, R.; Caselles, L.; Barceló, M.J.; Baiget, M.; Bernal, S.; Tizzano, E.F. Treatment of Spinal Muscular Atrophy Cells with Drugs That Upregulate SMN Expression Reveals Inter- and Intra-Patient Variability. </w:t>
      </w:r>
      <w:r w:rsidRPr="006E6EE8">
        <w:rPr>
          <w:rFonts w:ascii="Times New Roman" w:hAnsi="Times New Roman"/>
          <w:i/>
          <w:iCs/>
          <w:sz w:val="24"/>
          <w:szCs w:val="24"/>
        </w:rPr>
        <w:t>Eur. J. Hum. Genet.</w:t>
      </w:r>
      <w:r w:rsidRPr="006E6EE8">
        <w:rPr>
          <w:rFonts w:ascii="Times New Roman" w:hAnsi="Times New Roman"/>
          <w:sz w:val="24"/>
          <w:szCs w:val="24"/>
        </w:rPr>
        <w:t xml:space="preserve"> </w:t>
      </w:r>
      <w:r w:rsidRPr="006E6EE8">
        <w:rPr>
          <w:rFonts w:ascii="Times New Roman" w:hAnsi="Times New Roman"/>
          <w:b/>
          <w:bCs/>
          <w:sz w:val="24"/>
          <w:szCs w:val="24"/>
        </w:rPr>
        <w:t>2011</w:t>
      </w:r>
      <w:r w:rsidRPr="006E6EE8">
        <w:rPr>
          <w:rFonts w:ascii="Times New Roman" w:hAnsi="Times New Roman"/>
          <w:sz w:val="24"/>
          <w:szCs w:val="24"/>
        </w:rPr>
        <w:t xml:space="preserve">, </w:t>
      </w:r>
      <w:r w:rsidRPr="006E6EE8">
        <w:rPr>
          <w:rFonts w:ascii="Times New Roman" w:hAnsi="Times New Roman"/>
          <w:i/>
          <w:iCs/>
          <w:sz w:val="24"/>
          <w:szCs w:val="24"/>
        </w:rPr>
        <w:t>19</w:t>
      </w:r>
      <w:r w:rsidRPr="006E6EE8">
        <w:rPr>
          <w:rFonts w:ascii="Times New Roman" w:hAnsi="Times New Roman"/>
          <w:sz w:val="24"/>
          <w:szCs w:val="24"/>
        </w:rPr>
        <w:t>, 1059–1065, doi:10.1038/ejhg.2011.89.</w:t>
      </w:r>
    </w:p>
    <w:p w14:paraId="77FA4E40"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38. </w:t>
      </w:r>
      <w:r w:rsidRPr="006E6EE8">
        <w:rPr>
          <w:rFonts w:ascii="Times New Roman" w:hAnsi="Times New Roman"/>
          <w:sz w:val="24"/>
          <w:szCs w:val="24"/>
        </w:rPr>
        <w:tab/>
        <w:t xml:space="preserve">Wadman, R.I.; Stam, M.; Jansen, M.D.; Van Weegen, Y. Der; Wijngaarde, C.A.; Harschnitz, O.; Sodaar, P.; Braun, K.P.J.; Dooijes, D.; Lemmink, H.H.; et al. A Comparative Study of SMN Protein and MRNA in Blood and Fibroblasts in Patients with Spinal Muscular Atrophy and Healthy Controls. </w:t>
      </w:r>
      <w:r w:rsidRPr="006E6EE8">
        <w:rPr>
          <w:rFonts w:ascii="Times New Roman" w:hAnsi="Times New Roman"/>
          <w:i/>
          <w:iCs/>
          <w:sz w:val="24"/>
          <w:szCs w:val="24"/>
        </w:rPr>
        <w:t>PLoS One</w:t>
      </w:r>
      <w:r w:rsidRPr="006E6EE8">
        <w:rPr>
          <w:rFonts w:ascii="Times New Roman" w:hAnsi="Times New Roman"/>
          <w:sz w:val="24"/>
          <w:szCs w:val="24"/>
        </w:rPr>
        <w:t xml:space="preserve"> </w:t>
      </w:r>
      <w:r w:rsidRPr="006E6EE8">
        <w:rPr>
          <w:rFonts w:ascii="Times New Roman" w:hAnsi="Times New Roman"/>
          <w:b/>
          <w:bCs/>
          <w:sz w:val="24"/>
          <w:szCs w:val="24"/>
        </w:rPr>
        <w:t>2016</w:t>
      </w:r>
      <w:r w:rsidRPr="006E6EE8">
        <w:rPr>
          <w:rFonts w:ascii="Times New Roman" w:hAnsi="Times New Roman"/>
          <w:sz w:val="24"/>
          <w:szCs w:val="24"/>
        </w:rPr>
        <w:t xml:space="preserve">, </w:t>
      </w:r>
      <w:r w:rsidRPr="006E6EE8">
        <w:rPr>
          <w:rFonts w:ascii="Times New Roman" w:hAnsi="Times New Roman"/>
          <w:i/>
          <w:iCs/>
          <w:sz w:val="24"/>
          <w:szCs w:val="24"/>
        </w:rPr>
        <w:t>11</w:t>
      </w:r>
      <w:r w:rsidRPr="006E6EE8">
        <w:rPr>
          <w:rFonts w:ascii="Times New Roman" w:hAnsi="Times New Roman"/>
          <w:sz w:val="24"/>
          <w:szCs w:val="24"/>
        </w:rPr>
        <w:t>, 1–17, doi:10.1371/journal.pone.0167087.</w:t>
      </w:r>
    </w:p>
    <w:p w14:paraId="5898E44F"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39. </w:t>
      </w:r>
      <w:r w:rsidRPr="006E6EE8">
        <w:rPr>
          <w:rFonts w:ascii="Times New Roman" w:hAnsi="Times New Roman"/>
          <w:sz w:val="24"/>
          <w:szCs w:val="24"/>
        </w:rPr>
        <w:tab/>
        <w:t xml:space="preserve">Millino, C.; Fanin, M.; Vettori, A.; Laveder, P.; Mostacciuolo, M.; Angelini, C.; Lanfranchi, G. Different Atrophy-Hypertrophy Transcription Pathways in Muscles Affected by Severe and Mild Spinal Muscular Atrophy. </w:t>
      </w:r>
      <w:r w:rsidRPr="006E6EE8">
        <w:rPr>
          <w:rFonts w:ascii="Times New Roman" w:hAnsi="Times New Roman"/>
          <w:i/>
          <w:iCs/>
          <w:sz w:val="24"/>
          <w:szCs w:val="24"/>
        </w:rPr>
        <w:t>BMC Med.</w:t>
      </w:r>
      <w:r w:rsidRPr="006E6EE8">
        <w:rPr>
          <w:rFonts w:ascii="Times New Roman" w:hAnsi="Times New Roman"/>
          <w:sz w:val="24"/>
          <w:szCs w:val="24"/>
        </w:rPr>
        <w:t xml:space="preserve"> </w:t>
      </w:r>
      <w:r w:rsidRPr="006E6EE8">
        <w:rPr>
          <w:rFonts w:ascii="Times New Roman" w:hAnsi="Times New Roman"/>
          <w:b/>
          <w:bCs/>
          <w:sz w:val="24"/>
          <w:szCs w:val="24"/>
        </w:rPr>
        <w:t>2009</w:t>
      </w:r>
      <w:r w:rsidRPr="006E6EE8">
        <w:rPr>
          <w:rFonts w:ascii="Times New Roman" w:hAnsi="Times New Roman"/>
          <w:sz w:val="24"/>
          <w:szCs w:val="24"/>
        </w:rPr>
        <w:t xml:space="preserve">, </w:t>
      </w:r>
      <w:r w:rsidRPr="006E6EE8">
        <w:rPr>
          <w:rFonts w:ascii="Times New Roman" w:hAnsi="Times New Roman"/>
          <w:i/>
          <w:iCs/>
          <w:sz w:val="24"/>
          <w:szCs w:val="24"/>
        </w:rPr>
        <w:t>7</w:t>
      </w:r>
      <w:r w:rsidRPr="006E6EE8">
        <w:rPr>
          <w:rFonts w:ascii="Times New Roman" w:hAnsi="Times New Roman"/>
          <w:sz w:val="24"/>
          <w:szCs w:val="24"/>
        </w:rPr>
        <w:t>, 1–9, doi:10.1186/1741-7015-7-14.</w:t>
      </w:r>
    </w:p>
    <w:p w14:paraId="7C7B9CA9"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40. </w:t>
      </w:r>
      <w:r w:rsidRPr="006E6EE8">
        <w:rPr>
          <w:rFonts w:ascii="Times New Roman" w:hAnsi="Times New Roman"/>
          <w:sz w:val="24"/>
          <w:szCs w:val="24"/>
        </w:rPr>
        <w:tab/>
        <w:t xml:space="preserve">Ghazalpour, A.; Bennett, B.; Petyuk, V.A.; Orozco, L.; Hagopian, R.; Mungrue, I.N.; Farber, C.R.; Sinsheimer, J.; Kang, H.M.; Furlotte, N.; et al. Comparative Analysis of Proteome and Transcriptome Variation in Mouse. </w:t>
      </w:r>
      <w:r w:rsidRPr="006E6EE8">
        <w:rPr>
          <w:rFonts w:ascii="Times New Roman" w:hAnsi="Times New Roman"/>
          <w:i/>
          <w:iCs/>
          <w:sz w:val="24"/>
          <w:szCs w:val="24"/>
        </w:rPr>
        <w:t>PLoS Genet.</w:t>
      </w:r>
      <w:r w:rsidRPr="006E6EE8">
        <w:rPr>
          <w:rFonts w:ascii="Times New Roman" w:hAnsi="Times New Roman"/>
          <w:sz w:val="24"/>
          <w:szCs w:val="24"/>
        </w:rPr>
        <w:t xml:space="preserve"> </w:t>
      </w:r>
      <w:r w:rsidRPr="006E6EE8">
        <w:rPr>
          <w:rFonts w:ascii="Times New Roman" w:hAnsi="Times New Roman"/>
          <w:b/>
          <w:bCs/>
          <w:sz w:val="24"/>
          <w:szCs w:val="24"/>
        </w:rPr>
        <w:t>2011</w:t>
      </w:r>
      <w:r w:rsidRPr="006E6EE8">
        <w:rPr>
          <w:rFonts w:ascii="Times New Roman" w:hAnsi="Times New Roman"/>
          <w:sz w:val="24"/>
          <w:szCs w:val="24"/>
        </w:rPr>
        <w:t xml:space="preserve">, </w:t>
      </w:r>
      <w:r w:rsidRPr="006E6EE8">
        <w:rPr>
          <w:rFonts w:ascii="Times New Roman" w:hAnsi="Times New Roman"/>
          <w:i/>
          <w:iCs/>
          <w:sz w:val="24"/>
          <w:szCs w:val="24"/>
        </w:rPr>
        <w:t>7</w:t>
      </w:r>
      <w:r w:rsidRPr="006E6EE8">
        <w:rPr>
          <w:rFonts w:ascii="Times New Roman" w:hAnsi="Times New Roman"/>
          <w:sz w:val="24"/>
          <w:szCs w:val="24"/>
        </w:rPr>
        <w:t>, doi:10.1371/journal.pgen.1001393.</w:t>
      </w:r>
    </w:p>
    <w:p w14:paraId="2D360A2A"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41. </w:t>
      </w:r>
      <w:r w:rsidRPr="006E6EE8">
        <w:rPr>
          <w:rFonts w:ascii="Times New Roman" w:hAnsi="Times New Roman"/>
          <w:sz w:val="24"/>
          <w:szCs w:val="24"/>
        </w:rPr>
        <w:tab/>
        <w:t xml:space="preserve">Simic, G.; Mladinov, M.; Simic, D.S.; Milosevic, N.J.; Islam, A.; Pajtak, A.; Barisic, N.; Sertic, J.; Lucassen, P.J.; Hof, P.R.; et al. Abnormal Motoneuron Migration, Differentiation, and Axon Outgrowth </w:t>
      </w:r>
      <w:r w:rsidRPr="006E6EE8">
        <w:rPr>
          <w:rFonts w:ascii="Times New Roman" w:hAnsi="Times New Roman"/>
          <w:sz w:val="24"/>
          <w:szCs w:val="24"/>
        </w:rPr>
        <w:lastRenderedPageBreak/>
        <w:t xml:space="preserve">in Spinal Muscular Atrophy. </w:t>
      </w:r>
      <w:r w:rsidRPr="006E6EE8">
        <w:rPr>
          <w:rFonts w:ascii="Times New Roman" w:hAnsi="Times New Roman"/>
          <w:i/>
          <w:iCs/>
          <w:sz w:val="24"/>
          <w:szCs w:val="24"/>
        </w:rPr>
        <w:t>Acta Neuropathol.</w:t>
      </w:r>
      <w:r w:rsidRPr="006E6EE8">
        <w:rPr>
          <w:rFonts w:ascii="Times New Roman" w:hAnsi="Times New Roman"/>
          <w:sz w:val="24"/>
          <w:szCs w:val="24"/>
        </w:rPr>
        <w:t xml:space="preserve"> </w:t>
      </w:r>
      <w:r w:rsidRPr="006E6EE8">
        <w:rPr>
          <w:rFonts w:ascii="Times New Roman" w:hAnsi="Times New Roman"/>
          <w:b/>
          <w:bCs/>
          <w:sz w:val="24"/>
          <w:szCs w:val="24"/>
        </w:rPr>
        <w:t>2008</w:t>
      </w:r>
      <w:r w:rsidRPr="006E6EE8">
        <w:rPr>
          <w:rFonts w:ascii="Times New Roman" w:hAnsi="Times New Roman"/>
          <w:sz w:val="24"/>
          <w:szCs w:val="24"/>
        </w:rPr>
        <w:t xml:space="preserve">, </w:t>
      </w:r>
      <w:r w:rsidRPr="006E6EE8">
        <w:rPr>
          <w:rFonts w:ascii="Times New Roman" w:hAnsi="Times New Roman"/>
          <w:i/>
          <w:iCs/>
          <w:sz w:val="24"/>
          <w:szCs w:val="24"/>
        </w:rPr>
        <w:t>115</w:t>
      </w:r>
      <w:r w:rsidRPr="006E6EE8">
        <w:rPr>
          <w:rFonts w:ascii="Times New Roman" w:hAnsi="Times New Roman"/>
          <w:sz w:val="24"/>
          <w:szCs w:val="24"/>
        </w:rPr>
        <w:t>, 313–326, doi:10.1007/s00401-007-0327-1.</w:t>
      </w:r>
    </w:p>
    <w:p w14:paraId="0D30B006"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42. </w:t>
      </w:r>
      <w:r w:rsidRPr="006E6EE8">
        <w:rPr>
          <w:rFonts w:ascii="Times New Roman" w:hAnsi="Times New Roman"/>
          <w:sz w:val="24"/>
          <w:szCs w:val="24"/>
        </w:rPr>
        <w:tab/>
        <w:t xml:space="preserve">Araujo, A.; Araujo, M.; Swoboda, K.J. Vascular Perfusion Abnormalities in Infants with Spinal Muscular Atrophy. </w:t>
      </w:r>
      <w:r w:rsidRPr="006E6EE8">
        <w:rPr>
          <w:rFonts w:ascii="Times New Roman" w:hAnsi="Times New Roman"/>
          <w:i/>
          <w:iCs/>
          <w:sz w:val="24"/>
          <w:szCs w:val="24"/>
        </w:rPr>
        <w:t>J Pediatr</w:t>
      </w:r>
      <w:r w:rsidRPr="006E6EE8">
        <w:rPr>
          <w:rFonts w:ascii="Times New Roman" w:hAnsi="Times New Roman"/>
          <w:sz w:val="24"/>
          <w:szCs w:val="24"/>
        </w:rPr>
        <w:t xml:space="preserve"> </w:t>
      </w:r>
      <w:r w:rsidRPr="006E6EE8">
        <w:rPr>
          <w:rFonts w:ascii="Times New Roman" w:hAnsi="Times New Roman"/>
          <w:b/>
          <w:bCs/>
          <w:sz w:val="24"/>
          <w:szCs w:val="24"/>
        </w:rPr>
        <w:t>2009</w:t>
      </w:r>
      <w:r w:rsidRPr="006E6EE8">
        <w:rPr>
          <w:rFonts w:ascii="Times New Roman" w:hAnsi="Times New Roman"/>
          <w:sz w:val="24"/>
          <w:szCs w:val="24"/>
        </w:rPr>
        <w:t xml:space="preserve">, </w:t>
      </w:r>
      <w:r w:rsidRPr="006E6EE8">
        <w:rPr>
          <w:rFonts w:ascii="Times New Roman" w:hAnsi="Times New Roman"/>
          <w:i/>
          <w:iCs/>
          <w:sz w:val="24"/>
          <w:szCs w:val="24"/>
        </w:rPr>
        <w:t>155</w:t>
      </w:r>
      <w:r w:rsidRPr="006E6EE8">
        <w:rPr>
          <w:rFonts w:ascii="Times New Roman" w:hAnsi="Times New Roman"/>
          <w:sz w:val="24"/>
          <w:szCs w:val="24"/>
        </w:rPr>
        <w:t>, 292–294, doi:10.1016/j.jpeds.2009.01.071.</w:t>
      </w:r>
    </w:p>
    <w:p w14:paraId="1FDD8397"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43. </w:t>
      </w:r>
      <w:r w:rsidRPr="006E6EE8">
        <w:rPr>
          <w:rFonts w:ascii="Times New Roman" w:hAnsi="Times New Roman"/>
          <w:sz w:val="24"/>
          <w:szCs w:val="24"/>
        </w:rPr>
        <w:tab/>
        <w:t xml:space="preserve">Deguise, M.-O.; Beauvais, A.; Schneider, B.L.; Kothary, R. Blood Flow to the Spleen Is Altered in a Mouse Model of Spinal Muscular Atrophy. </w:t>
      </w:r>
      <w:r w:rsidRPr="006E6EE8">
        <w:rPr>
          <w:rFonts w:ascii="Times New Roman" w:hAnsi="Times New Roman"/>
          <w:i/>
          <w:iCs/>
          <w:sz w:val="24"/>
          <w:szCs w:val="24"/>
        </w:rPr>
        <w:t>J. Neuromuscul. Dis.</w:t>
      </w:r>
      <w:r w:rsidRPr="006E6EE8">
        <w:rPr>
          <w:rFonts w:ascii="Times New Roman" w:hAnsi="Times New Roman"/>
          <w:sz w:val="24"/>
          <w:szCs w:val="24"/>
        </w:rPr>
        <w:t xml:space="preserve"> </w:t>
      </w:r>
      <w:r w:rsidRPr="006E6EE8">
        <w:rPr>
          <w:rFonts w:ascii="Times New Roman" w:hAnsi="Times New Roman"/>
          <w:b/>
          <w:bCs/>
          <w:sz w:val="24"/>
          <w:szCs w:val="24"/>
        </w:rPr>
        <w:t>2020</w:t>
      </w:r>
      <w:r w:rsidRPr="006E6EE8">
        <w:rPr>
          <w:rFonts w:ascii="Times New Roman" w:hAnsi="Times New Roman"/>
          <w:sz w:val="24"/>
          <w:szCs w:val="24"/>
        </w:rPr>
        <w:t>, 1–8, doi:10.3233/jnd-200493.</w:t>
      </w:r>
    </w:p>
    <w:p w14:paraId="100DEE2F"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44. </w:t>
      </w:r>
      <w:r w:rsidRPr="006E6EE8">
        <w:rPr>
          <w:rFonts w:ascii="Times New Roman" w:hAnsi="Times New Roman"/>
          <w:sz w:val="24"/>
          <w:szCs w:val="24"/>
        </w:rPr>
        <w:tab/>
        <w:t xml:space="preserve">Chaytow, H.; Huang, Y.T.; Gillingwater, T.H.; Faller, K.M.E. The Role of Survival Motor Neuron Protein (SMN) in Protein Homeostasis. </w:t>
      </w:r>
      <w:r w:rsidRPr="006E6EE8">
        <w:rPr>
          <w:rFonts w:ascii="Times New Roman" w:hAnsi="Times New Roman"/>
          <w:i/>
          <w:iCs/>
          <w:sz w:val="24"/>
          <w:szCs w:val="24"/>
        </w:rPr>
        <w:t>Cell. Mol. Life Sci.</w:t>
      </w:r>
      <w:r w:rsidRPr="006E6EE8">
        <w:rPr>
          <w:rFonts w:ascii="Times New Roman" w:hAnsi="Times New Roman"/>
          <w:sz w:val="24"/>
          <w:szCs w:val="24"/>
        </w:rPr>
        <w:t xml:space="preserve"> </w:t>
      </w:r>
      <w:r w:rsidRPr="006E6EE8">
        <w:rPr>
          <w:rFonts w:ascii="Times New Roman" w:hAnsi="Times New Roman"/>
          <w:b/>
          <w:bCs/>
          <w:sz w:val="24"/>
          <w:szCs w:val="24"/>
        </w:rPr>
        <w:t>2018</w:t>
      </w:r>
      <w:r w:rsidRPr="006E6EE8">
        <w:rPr>
          <w:rFonts w:ascii="Times New Roman" w:hAnsi="Times New Roman"/>
          <w:sz w:val="24"/>
          <w:szCs w:val="24"/>
        </w:rPr>
        <w:t xml:space="preserve">, </w:t>
      </w:r>
      <w:r w:rsidRPr="006E6EE8">
        <w:rPr>
          <w:rFonts w:ascii="Times New Roman" w:hAnsi="Times New Roman"/>
          <w:i/>
          <w:iCs/>
          <w:sz w:val="24"/>
          <w:szCs w:val="24"/>
        </w:rPr>
        <w:t>75</w:t>
      </w:r>
      <w:r w:rsidRPr="006E6EE8">
        <w:rPr>
          <w:rFonts w:ascii="Times New Roman" w:hAnsi="Times New Roman"/>
          <w:sz w:val="24"/>
          <w:szCs w:val="24"/>
        </w:rPr>
        <w:t>, 3877–3894, doi:10.1007/s00018-018-2849-1.</w:t>
      </w:r>
    </w:p>
    <w:p w14:paraId="017728A4"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45. </w:t>
      </w:r>
      <w:r w:rsidRPr="006E6EE8">
        <w:rPr>
          <w:rFonts w:ascii="Times New Roman" w:hAnsi="Times New Roman"/>
          <w:sz w:val="24"/>
          <w:szCs w:val="24"/>
        </w:rPr>
        <w:tab/>
        <w:t xml:space="preserve">Acsadi, G.; Lee, I.; Li, X.; Khaidakov, M.; Pecinova, A.; Parker, G.C.; Hüttemann, M. Mitochondrial Dysfunction in a Neural Cell Model of Spinal Muscular Atrophy. </w:t>
      </w:r>
      <w:r w:rsidRPr="006E6EE8">
        <w:rPr>
          <w:rFonts w:ascii="Times New Roman" w:hAnsi="Times New Roman"/>
          <w:i/>
          <w:iCs/>
          <w:sz w:val="24"/>
          <w:szCs w:val="24"/>
        </w:rPr>
        <w:t>J. Neurosci. Res.</w:t>
      </w:r>
      <w:r w:rsidRPr="006E6EE8">
        <w:rPr>
          <w:rFonts w:ascii="Times New Roman" w:hAnsi="Times New Roman"/>
          <w:sz w:val="24"/>
          <w:szCs w:val="24"/>
        </w:rPr>
        <w:t xml:space="preserve"> </w:t>
      </w:r>
      <w:r w:rsidRPr="006E6EE8">
        <w:rPr>
          <w:rFonts w:ascii="Times New Roman" w:hAnsi="Times New Roman"/>
          <w:b/>
          <w:bCs/>
          <w:sz w:val="24"/>
          <w:szCs w:val="24"/>
        </w:rPr>
        <w:t>2009</w:t>
      </w:r>
      <w:r w:rsidRPr="006E6EE8">
        <w:rPr>
          <w:rFonts w:ascii="Times New Roman" w:hAnsi="Times New Roman"/>
          <w:sz w:val="24"/>
          <w:szCs w:val="24"/>
        </w:rPr>
        <w:t xml:space="preserve">, </w:t>
      </w:r>
      <w:r w:rsidRPr="006E6EE8">
        <w:rPr>
          <w:rFonts w:ascii="Times New Roman" w:hAnsi="Times New Roman"/>
          <w:i/>
          <w:iCs/>
          <w:sz w:val="24"/>
          <w:szCs w:val="24"/>
        </w:rPr>
        <w:t>87</w:t>
      </w:r>
      <w:r w:rsidRPr="006E6EE8">
        <w:rPr>
          <w:rFonts w:ascii="Times New Roman" w:hAnsi="Times New Roman"/>
          <w:sz w:val="24"/>
          <w:szCs w:val="24"/>
        </w:rPr>
        <w:t>, 2748–2756, doi:10.1002/jnr.22106.</w:t>
      </w:r>
    </w:p>
    <w:p w14:paraId="535ECB75"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46. </w:t>
      </w:r>
      <w:r w:rsidRPr="006E6EE8">
        <w:rPr>
          <w:rFonts w:ascii="Times New Roman" w:hAnsi="Times New Roman"/>
          <w:sz w:val="24"/>
          <w:szCs w:val="24"/>
        </w:rPr>
        <w:tab/>
        <w:t xml:space="preserve">Thelen, M.P.; Wirth, B.; Kye, M.J. Mitochondrial Defects in the Respiratory Complex I Contribute to Impaired Translational Initiation via ROS and Energy Homeostasis in SMA Motor Neurons. </w:t>
      </w:r>
      <w:r w:rsidRPr="006E6EE8">
        <w:rPr>
          <w:rFonts w:ascii="Times New Roman" w:hAnsi="Times New Roman"/>
          <w:i/>
          <w:iCs/>
          <w:sz w:val="24"/>
          <w:szCs w:val="24"/>
        </w:rPr>
        <w:t>Acta Neuropathol. Commun.</w:t>
      </w:r>
      <w:r w:rsidRPr="006E6EE8">
        <w:rPr>
          <w:rFonts w:ascii="Times New Roman" w:hAnsi="Times New Roman"/>
          <w:sz w:val="24"/>
          <w:szCs w:val="24"/>
        </w:rPr>
        <w:t xml:space="preserve"> </w:t>
      </w:r>
      <w:r w:rsidRPr="006E6EE8">
        <w:rPr>
          <w:rFonts w:ascii="Times New Roman" w:hAnsi="Times New Roman"/>
          <w:b/>
          <w:bCs/>
          <w:sz w:val="24"/>
          <w:szCs w:val="24"/>
        </w:rPr>
        <w:t>2020</w:t>
      </w:r>
      <w:r w:rsidRPr="006E6EE8">
        <w:rPr>
          <w:rFonts w:ascii="Times New Roman" w:hAnsi="Times New Roman"/>
          <w:sz w:val="24"/>
          <w:szCs w:val="24"/>
        </w:rPr>
        <w:t xml:space="preserve">, </w:t>
      </w:r>
      <w:r w:rsidRPr="006E6EE8">
        <w:rPr>
          <w:rFonts w:ascii="Times New Roman" w:hAnsi="Times New Roman"/>
          <w:i/>
          <w:iCs/>
          <w:sz w:val="24"/>
          <w:szCs w:val="24"/>
        </w:rPr>
        <w:t>8</w:t>
      </w:r>
      <w:r w:rsidRPr="006E6EE8">
        <w:rPr>
          <w:rFonts w:ascii="Times New Roman" w:hAnsi="Times New Roman"/>
          <w:sz w:val="24"/>
          <w:szCs w:val="24"/>
        </w:rPr>
        <w:t>, 1–19, doi:10.1186/s40478-020-01101-6.</w:t>
      </w:r>
    </w:p>
    <w:p w14:paraId="76B023F7"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47. </w:t>
      </w:r>
      <w:r w:rsidRPr="006E6EE8">
        <w:rPr>
          <w:rFonts w:ascii="Times New Roman" w:hAnsi="Times New Roman"/>
          <w:sz w:val="24"/>
          <w:szCs w:val="24"/>
        </w:rPr>
        <w:tab/>
        <w:t xml:space="preserve">Miller, N.; Shi, H.; Zelikovich, A.S.; Ma, Y.C. Motor Neuron Mitochondrial Dysfunction in Spinal Muscular Atrophy. </w:t>
      </w:r>
      <w:r w:rsidRPr="006E6EE8">
        <w:rPr>
          <w:rFonts w:ascii="Times New Roman" w:hAnsi="Times New Roman"/>
          <w:i/>
          <w:iCs/>
          <w:sz w:val="24"/>
          <w:szCs w:val="24"/>
        </w:rPr>
        <w:t>Hum. Mol. Genet.</w:t>
      </w:r>
      <w:r w:rsidRPr="006E6EE8">
        <w:rPr>
          <w:rFonts w:ascii="Times New Roman" w:hAnsi="Times New Roman"/>
          <w:sz w:val="24"/>
          <w:szCs w:val="24"/>
        </w:rPr>
        <w:t xml:space="preserve"> </w:t>
      </w:r>
      <w:r w:rsidRPr="006E6EE8">
        <w:rPr>
          <w:rFonts w:ascii="Times New Roman" w:hAnsi="Times New Roman"/>
          <w:b/>
          <w:bCs/>
          <w:sz w:val="24"/>
          <w:szCs w:val="24"/>
        </w:rPr>
        <w:t>2016</w:t>
      </w:r>
      <w:r w:rsidRPr="006E6EE8">
        <w:rPr>
          <w:rFonts w:ascii="Times New Roman" w:hAnsi="Times New Roman"/>
          <w:sz w:val="24"/>
          <w:szCs w:val="24"/>
        </w:rPr>
        <w:t xml:space="preserve">, </w:t>
      </w:r>
      <w:r w:rsidRPr="006E6EE8">
        <w:rPr>
          <w:rFonts w:ascii="Times New Roman" w:hAnsi="Times New Roman"/>
          <w:i/>
          <w:iCs/>
          <w:sz w:val="24"/>
          <w:szCs w:val="24"/>
        </w:rPr>
        <w:t>25</w:t>
      </w:r>
      <w:r w:rsidRPr="006E6EE8">
        <w:rPr>
          <w:rFonts w:ascii="Times New Roman" w:hAnsi="Times New Roman"/>
          <w:sz w:val="24"/>
          <w:szCs w:val="24"/>
        </w:rPr>
        <w:t>, 3395–3406, doi:10.1093/hmg/ddw262.</w:t>
      </w:r>
    </w:p>
    <w:p w14:paraId="5E60A594"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48. </w:t>
      </w:r>
      <w:r w:rsidRPr="006E6EE8">
        <w:rPr>
          <w:rFonts w:ascii="Times New Roman" w:hAnsi="Times New Roman"/>
          <w:sz w:val="24"/>
          <w:szCs w:val="24"/>
        </w:rPr>
        <w:tab/>
        <w:t xml:space="preserve">Ripolone, M.; Ronchi, D.; Violano, R.; Vallejo, D.; Fagiolari, G.; Barca, E.; Lucchini, V.; Colombo, I.; Villa, L.; Berardinelli, A.; et al. Impaired Muscle Mitochondrial Biogenesis and Myogenesis in Spinal Muscular Atrophy. </w:t>
      </w:r>
      <w:r w:rsidRPr="006E6EE8">
        <w:rPr>
          <w:rFonts w:ascii="Times New Roman" w:hAnsi="Times New Roman"/>
          <w:i/>
          <w:iCs/>
          <w:sz w:val="24"/>
          <w:szCs w:val="24"/>
        </w:rPr>
        <w:t>JAMA Neurol.</w:t>
      </w:r>
      <w:r w:rsidRPr="006E6EE8">
        <w:rPr>
          <w:rFonts w:ascii="Times New Roman" w:hAnsi="Times New Roman"/>
          <w:sz w:val="24"/>
          <w:szCs w:val="24"/>
        </w:rPr>
        <w:t xml:space="preserve"> </w:t>
      </w:r>
      <w:r w:rsidRPr="006E6EE8">
        <w:rPr>
          <w:rFonts w:ascii="Times New Roman" w:hAnsi="Times New Roman"/>
          <w:b/>
          <w:bCs/>
          <w:sz w:val="24"/>
          <w:szCs w:val="24"/>
        </w:rPr>
        <w:t>2015</w:t>
      </w:r>
      <w:r w:rsidRPr="006E6EE8">
        <w:rPr>
          <w:rFonts w:ascii="Times New Roman" w:hAnsi="Times New Roman"/>
          <w:sz w:val="24"/>
          <w:szCs w:val="24"/>
        </w:rPr>
        <w:t xml:space="preserve">, </w:t>
      </w:r>
      <w:r w:rsidRPr="006E6EE8">
        <w:rPr>
          <w:rFonts w:ascii="Times New Roman" w:hAnsi="Times New Roman"/>
          <w:i/>
          <w:iCs/>
          <w:sz w:val="24"/>
          <w:szCs w:val="24"/>
        </w:rPr>
        <w:t>72</w:t>
      </w:r>
      <w:r w:rsidRPr="006E6EE8">
        <w:rPr>
          <w:rFonts w:ascii="Times New Roman" w:hAnsi="Times New Roman"/>
          <w:sz w:val="24"/>
          <w:szCs w:val="24"/>
        </w:rPr>
        <w:t>, 666–675, doi:10.1001/jamaneurol.2015.0178.</w:t>
      </w:r>
    </w:p>
    <w:p w14:paraId="3CBCF981"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49. </w:t>
      </w:r>
      <w:r w:rsidRPr="006E6EE8">
        <w:rPr>
          <w:rFonts w:ascii="Times New Roman" w:hAnsi="Times New Roman"/>
          <w:sz w:val="24"/>
          <w:szCs w:val="24"/>
        </w:rPr>
        <w:tab/>
        <w:t xml:space="preserve">Wishart, T.M.; Mutsaers, C.A.; Riessland, M.; Reimer, M.M.; Hunter, G.; Hannam, M.L.; Eaton, S.L.; Fuller, H.R.; Roche, S.L.; Somers, E.; et al. Dysregulation of Ubiquitin Homeostasis and Beta-Catenin </w:t>
      </w:r>
      <w:r w:rsidRPr="006E6EE8">
        <w:rPr>
          <w:rFonts w:ascii="Times New Roman" w:hAnsi="Times New Roman"/>
          <w:sz w:val="24"/>
          <w:szCs w:val="24"/>
        </w:rPr>
        <w:lastRenderedPageBreak/>
        <w:t xml:space="preserve">Signalling Promote Spinal Muscular Atrophy. </w:t>
      </w:r>
      <w:r w:rsidRPr="006E6EE8">
        <w:rPr>
          <w:rFonts w:ascii="Times New Roman" w:hAnsi="Times New Roman"/>
          <w:i/>
          <w:iCs/>
          <w:sz w:val="24"/>
          <w:szCs w:val="24"/>
        </w:rPr>
        <w:t>J. Clin. Invest.</w:t>
      </w:r>
      <w:r w:rsidRPr="006E6EE8">
        <w:rPr>
          <w:rFonts w:ascii="Times New Roman" w:hAnsi="Times New Roman"/>
          <w:sz w:val="24"/>
          <w:szCs w:val="24"/>
        </w:rPr>
        <w:t xml:space="preserve"> </w:t>
      </w:r>
      <w:r w:rsidRPr="006E6EE8">
        <w:rPr>
          <w:rFonts w:ascii="Times New Roman" w:hAnsi="Times New Roman"/>
          <w:b/>
          <w:bCs/>
          <w:sz w:val="24"/>
          <w:szCs w:val="24"/>
        </w:rPr>
        <w:t>2014</w:t>
      </w:r>
      <w:r w:rsidRPr="006E6EE8">
        <w:rPr>
          <w:rFonts w:ascii="Times New Roman" w:hAnsi="Times New Roman"/>
          <w:sz w:val="24"/>
          <w:szCs w:val="24"/>
        </w:rPr>
        <w:t xml:space="preserve">, </w:t>
      </w:r>
      <w:r w:rsidRPr="006E6EE8">
        <w:rPr>
          <w:rFonts w:ascii="Times New Roman" w:hAnsi="Times New Roman"/>
          <w:i/>
          <w:iCs/>
          <w:sz w:val="24"/>
          <w:szCs w:val="24"/>
        </w:rPr>
        <w:t>124</w:t>
      </w:r>
      <w:r w:rsidRPr="006E6EE8">
        <w:rPr>
          <w:rFonts w:ascii="Times New Roman" w:hAnsi="Times New Roman"/>
          <w:sz w:val="24"/>
          <w:szCs w:val="24"/>
        </w:rPr>
        <w:t>, 1821–1834, doi:10.1172/JCI71318DS1.</w:t>
      </w:r>
    </w:p>
    <w:p w14:paraId="38BCA26E"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50. </w:t>
      </w:r>
      <w:r w:rsidRPr="006E6EE8">
        <w:rPr>
          <w:rFonts w:ascii="Times New Roman" w:hAnsi="Times New Roman"/>
          <w:sz w:val="24"/>
          <w:szCs w:val="24"/>
        </w:rPr>
        <w:tab/>
        <w:t xml:space="preserve">Yan, L.L.; Zaher, H.S. How Do Cells Cope with RNA Damage and Its Consequences? </w:t>
      </w:r>
      <w:r w:rsidRPr="006E6EE8">
        <w:rPr>
          <w:rFonts w:ascii="Times New Roman" w:hAnsi="Times New Roman"/>
          <w:i/>
          <w:iCs/>
          <w:sz w:val="24"/>
          <w:szCs w:val="24"/>
        </w:rPr>
        <w:t>J. Biol. Chem.</w:t>
      </w:r>
      <w:r w:rsidRPr="006E6EE8">
        <w:rPr>
          <w:rFonts w:ascii="Times New Roman" w:hAnsi="Times New Roman"/>
          <w:sz w:val="24"/>
          <w:szCs w:val="24"/>
        </w:rPr>
        <w:t xml:space="preserve"> </w:t>
      </w:r>
      <w:r w:rsidRPr="006E6EE8">
        <w:rPr>
          <w:rFonts w:ascii="Times New Roman" w:hAnsi="Times New Roman"/>
          <w:b/>
          <w:bCs/>
          <w:sz w:val="24"/>
          <w:szCs w:val="24"/>
        </w:rPr>
        <w:t>2019</w:t>
      </w:r>
      <w:r w:rsidRPr="006E6EE8">
        <w:rPr>
          <w:rFonts w:ascii="Times New Roman" w:hAnsi="Times New Roman"/>
          <w:sz w:val="24"/>
          <w:szCs w:val="24"/>
        </w:rPr>
        <w:t xml:space="preserve">, </w:t>
      </w:r>
      <w:r w:rsidRPr="006E6EE8">
        <w:rPr>
          <w:rFonts w:ascii="Times New Roman" w:hAnsi="Times New Roman"/>
          <w:i/>
          <w:iCs/>
          <w:sz w:val="24"/>
          <w:szCs w:val="24"/>
        </w:rPr>
        <w:t>294</w:t>
      </w:r>
      <w:r w:rsidRPr="006E6EE8">
        <w:rPr>
          <w:rFonts w:ascii="Times New Roman" w:hAnsi="Times New Roman"/>
          <w:sz w:val="24"/>
          <w:szCs w:val="24"/>
        </w:rPr>
        <w:t>, 15158–15171, doi:10.1074/jbc.REV119.006513.</w:t>
      </w:r>
    </w:p>
    <w:p w14:paraId="37B02443"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51. </w:t>
      </w:r>
      <w:r w:rsidRPr="006E6EE8">
        <w:rPr>
          <w:rFonts w:ascii="Times New Roman" w:hAnsi="Times New Roman"/>
          <w:sz w:val="24"/>
          <w:szCs w:val="24"/>
        </w:rPr>
        <w:tab/>
        <w:t xml:space="preserve">Kye, M.J. eon.; Niederst, E.D.; Wertz, M.H.; Gonçalves, I. do C.G.; Akten, B.; Dover, K.Z.; Peters, M.; Riessland, M.; Neveu, P.; Wirth, B.; et al. SMN Regulates Axonal Local Translation via MiR-183/MTOR Pathway. </w:t>
      </w:r>
      <w:r w:rsidRPr="006E6EE8">
        <w:rPr>
          <w:rFonts w:ascii="Times New Roman" w:hAnsi="Times New Roman"/>
          <w:i/>
          <w:iCs/>
          <w:sz w:val="24"/>
          <w:szCs w:val="24"/>
        </w:rPr>
        <w:t>Hum. Mol. Genet.</w:t>
      </w:r>
      <w:r w:rsidRPr="006E6EE8">
        <w:rPr>
          <w:rFonts w:ascii="Times New Roman" w:hAnsi="Times New Roman"/>
          <w:sz w:val="24"/>
          <w:szCs w:val="24"/>
        </w:rPr>
        <w:t xml:space="preserve"> </w:t>
      </w:r>
      <w:r w:rsidRPr="006E6EE8">
        <w:rPr>
          <w:rFonts w:ascii="Times New Roman" w:hAnsi="Times New Roman"/>
          <w:b/>
          <w:bCs/>
          <w:sz w:val="24"/>
          <w:szCs w:val="24"/>
        </w:rPr>
        <w:t>2014</w:t>
      </w:r>
      <w:r w:rsidRPr="006E6EE8">
        <w:rPr>
          <w:rFonts w:ascii="Times New Roman" w:hAnsi="Times New Roman"/>
          <w:sz w:val="24"/>
          <w:szCs w:val="24"/>
        </w:rPr>
        <w:t xml:space="preserve">, </w:t>
      </w:r>
      <w:r w:rsidRPr="006E6EE8">
        <w:rPr>
          <w:rFonts w:ascii="Times New Roman" w:hAnsi="Times New Roman"/>
          <w:i/>
          <w:iCs/>
          <w:sz w:val="24"/>
          <w:szCs w:val="24"/>
        </w:rPr>
        <w:t>23</w:t>
      </w:r>
      <w:r w:rsidRPr="006E6EE8">
        <w:rPr>
          <w:rFonts w:ascii="Times New Roman" w:hAnsi="Times New Roman"/>
          <w:sz w:val="24"/>
          <w:szCs w:val="24"/>
        </w:rPr>
        <w:t>, 6318–6331, doi:10.1093/hmg/ddu350.</w:t>
      </w:r>
    </w:p>
    <w:p w14:paraId="7B6BF10F"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52. </w:t>
      </w:r>
      <w:r w:rsidRPr="006E6EE8">
        <w:rPr>
          <w:rFonts w:ascii="Times New Roman" w:hAnsi="Times New Roman"/>
          <w:sz w:val="24"/>
          <w:szCs w:val="24"/>
        </w:rPr>
        <w:tab/>
        <w:t xml:space="preserve">Li, Y.J.; Chen, T.H.; Wu, Y.Z.; Tseng, Y.H. Metabolic and Nutritional Issues Associated with Spinal Muscular Atrophy. </w:t>
      </w:r>
      <w:r w:rsidRPr="006E6EE8">
        <w:rPr>
          <w:rFonts w:ascii="Times New Roman" w:hAnsi="Times New Roman"/>
          <w:i/>
          <w:iCs/>
          <w:sz w:val="24"/>
          <w:szCs w:val="24"/>
        </w:rPr>
        <w:t>Nutrients</w:t>
      </w:r>
      <w:r w:rsidRPr="006E6EE8">
        <w:rPr>
          <w:rFonts w:ascii="Times New Roman" w:hAnsi="Times New Roman"/>
          <w:sz w:val="24"/>
          <w:szCs w:val="24"/>
        </w:rPr>
        <w:t xml:space="preserve"> </w:t>
      </w:r>
      <w:r w:rsidRPr="006E6EE8">
        <w:rPr>
          <w:rFonts w:ascii="Times New Roman" w:hAnsi="Times New Roman"/>
          <w:b/>
          <w:bCs/>
          <w:sz w:val="24"/>
          <w:szCs w:val="24"/>
        </w:rPr>
        <w:t>2020</w:t>
      </w:r>
      <w:r w:rsidRPr="006E6EE8">
        <w:rPr>
          <w:rFonts w:ascii="Times New Roman" w:hAnsi="Times New Roman"/>
          <w:sz w:val="24"/>
          <w:szCs w:val="24"/>
        </w:rPr>
        <w:t xml:space="preserve">, </w:t>
      </w:r>
      <w:r w:rsidRPr="006E6EE8">
        <w:rPr>
          <w:rFonts w:ascii="Times New Roman" w:hAnsi="Times New Roman"/>
          <w:i/>
          <w:iCs/>
          <w:sz w:val="24"/>
          <w:szCs w:val="24"/>
        </w:rPr>
        <w:t>12</w:t>
      </w:r>
      <w:r w:rsidRPr="006E6EE8">
        <w:rPr>
          <w:rFonts w:ascii="Times New Roman" w:hAnsi="Times New Roman"/>
          <w:sz w:val="24"/>
          <w:szCs w:val="24"/>
        </w:rPr>
        <w:t>, 1–18, doi:10.3390/nu12123842.</w:t>
      </w:r>
    </w:p>
    <w:p w14:paraId="770BBAAA"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53. </w:t>
      </w:r>
      <w:r w:rsidRPr="006E6EE8">
        <w:rPr>
          <w:rFonts w:ascii="Times New Roman" w:hAnsi="Times New Roman"/>
          <w:sz w:val="24"/>
          <w:szCs w:val="24"/>
        </w:rPr>
        <w:tab/>
        <w:t xml:space="preserve">Deguise, M.O.; Chehade, L.; Kothary, R. Metabolic Dysfunction in Spinal Muscular Atrophy. </w:t>
      </w:r>
      <w:r w:rsidRPr="006E6EE8">
        <w:rPr>
          <w:rFonts w:ascii="Times New Roman" w:hAnsi="Times New Roman"/>
          <w:i/>
          <w:iCs/>
          <w:sz w:val="24"/>
          <w:szCs w:val="24"/>
        </w:rPr>
        <w:t>Int. J. Mol. Sci.</w:t>
      </w:r>
      <w:r w:rsidRPr="006E6EE8">
        <w:rPr>
          <w:rFonts w:ascii="Times New Roman" w:hAnsi="Times New Roman"/>
          <w:sz w:val="24"/>
          <w:szCs w:val="24"/>
        </w:rPr>
        <w:t xml:space="preserve"> </w:t>
      </w:r>
      <w:r w:rsidRPr="006E6EE8">
        <w:rPr>
          <w:rFonts w:ascii="Times New Roman" w:hAnsi="Times New Roman"/>
          <w:b/>
          <w:bCs/>
          <w:sz w:val="24"/>
          <w:szCs w:val="24"/>
        </w:rPr>
        <w:t>2021</w:t>
      </w:r>
      <w:r w:rsidRPr="006E6EE8">
        <w:rPr>
          <w:rFonts w:ascii="Times New Roman" w:hAnsi="Times New Roman"/>
          <w:sz w:val="24"/>
          <w:szCs w:val="24"/>
        </w:rPr>
        <w:t xml:space="preserve">, </w:t>
      </w:r>
      <w:r w:rsidRPr="006E6EE8">
        <w:rPr>
          <w:rFonts w:ascii="Times New Roman" w:hAnsi="Times New Roman"/>
          <w:i/>
          <w:iCs/>
          <w:sz w:val="24"/>
          <w:szCs w:val="24"/>
        </w:rPr>
        <w:t>22</w:t>
      </w:r>
      <w:r w:rsidRPr="006E6EE8">
        <w:rPr>
          <w:rFonts w:ascii="Times New Roman" w:hAnsi="Times New Roman"/>
          <w:sz w:val="24"/>
          <w:szCs w:val="24"/>
        </w:rPr>
        <w:t>, 1–29, doi:10.3390/ijms22115913.</w:t>
      </w:r>
    </w:p>
    <w:p w14:paraId="18051375"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54. </w:t>
      </w:r>
      <w:r w:rsidRPr="006E6EE8">
        <w:rPr>
          <w:rFonts w:ascii="Times New Roman" w:hAnsi="Times New Roman"/>
          <w:sz w:val="24"/>
          <w:szCs w:val="24"/>
        </w:rPr>
        <w:tab/>
        <w:t xml:space="preserve">Liu, Q.; Fischer, U.; Wang, F.; Dreyfuss, G. The Spinal Muscular Atrophy Disease Gene Product, SMN, and Its Associated Protein SIP1 Are in a Complex with Spliceosomal SnRNP Proteins. </w:t>
      </w:r>
      <w:r w:rsidRPr="006E6EE8">
        <w:rPr>
          <w:rFonts w:ascii="Times New Roman" w:hAnsi="Times New Roman"/>
          <w:i/>
          <w:iCs/>
          <w:sz w:val="24"/>
          <w:szCs w:val="24"/>
        </w:rPr>
        <w:t>Cell</w:t>
      </w:r>
      <w:r w:rsidRPr="006E6EE8">
        <w:rPr>
          <w:rFonts w:ascii="Times New Roman" w:hAnsi="Times New Roman"/>
          <w:sz w:val="24"/>
          <w:szCs w:val="24"/>
        </w:rPr>
        <w:t xml:space="preserve"> </w:t>
      </w:r>
      <w:r w:rsidRPr="006E6EE8">
        <w:rPr>
          <w:rFonts w:ascii="Times New Roman" w:hAnsi="Times New Roman"/>
          <w:b/>
          <w:bCs/>
          <w:sz w:val="24"/>
          <w:szCs w:val="24"/>
        </w:rPr>
        <w:t>1997</w:t>
      </w:r>
      <w:r w:rsidRPr="006E6EE8">
        <w:rPr>
          <w:rFonts w:ascii="Times New Roman" w:hAnsi="Times New Roman"/>
          <w:sz w:val="24"/>
          <w:szCs w:val="24"/>
        </w:rPr>
        <w:t xml:space="preserve">, </w:t>
      </w:r>
      <w:r w:rsidRPr="006E6EE8">
        <w:rPr>
          <w:rFonts w:ascii="Times New Roman" w:hAnsi="Times New Roman"/>
          <w:i/>
          <w:iCs/>
          <w:sz w:val="24"/>
          <w:szCs w:val="24"/>
        </w:rPr>
        <w:t>90</w:t>
      </w:r>
      <w:r w:rsidRPr="006E6EE8">
        <w:rPr>
          <w:rFonts w:ascii="Times New Roman" w:hAnsi="Times New Roman"/>
          <w:sz w:val="24"/>
          <w:szCs w:val="24"/>
        </w:rPr>
        <w:t>, 1013–1021, doi:10.1016/S0092-8674(00)80367-0.</w:t>
      </w:r>
    </w:p>
    <w:p w14:paraId="15C8212F"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55. </w:t>
      </w:r>
      <w:r w:rsidRPr="006E6EE8">
        <w:rPr>
          <w:rFonts w:ascii="Times New Roman" w:hAnsi="Times New Roman"/>
          <w:sz w:val="24"/>
          <w:szCs w:val="24"/>
        </w:rPr>
        <w:tab/>
        <w:t xml:space="preserve">Ning, K.; Drepper, C.; Valori, C.F.; Ahsan, M.; Wyles, M.; Higginbottom, A.; Herrmann, T.; Shaw, P.; Azzouz, M.; Sendtner, M. PTEN Depletion Rescues Axonal Growth Defect and Improves Survival in SMN-Deficient Motor Neurons. </w:t>
      </w:r>
      <w:r w:rsidRPr="006E6EE8">
        <w:rPr>
          <w:rFonts w:ascii="Times New Roman" w:hAnsi="Times New Roman"/>
          <w:i/>
          <w:iCs/>
          <w:sz w:val="24"/>
          <w:szCs w:val="24"/>
        </w:rPr>
        <w:t>Hum. Mol. Genet.</w:t>
      </w:r>
      <w:r w:rsidRPr="006E6EE8">
        <w:rPr>
          <w:rFonts w:ascii="Times New Roman" w:hAnsi="Times New Roman"/>
          <w:sz w:val="24"/>
          <w:szCs w:val="24"/>
        </w:rPr>
        <w:t xml:space="preserve"> </w:t>
      </w:r>
      <w:r w:rsidRPr="006E6EE8">
        <w:rPr>
          <w:rFonts w:ascii="Times New Roman" w:hAnsi="Times New Roman"/>
          <w:b/>
          <w:bCs/>
          <w:sz w:val="24"/>
          <w:szCs w:val="24"/>
        </w:rPr>
        <w:t>2010</w:t>
      </w:r>
      <w:r w:rsidRPr="006E6EE8">
        <w:rPr>
          <w:rFonts w:ascii="Times New Roman" w:hAnsi="Times New Roman"/>
          <w:sz w:val="24"/>
          <w:szCs w:val="24"/>
        </w:rPr>
        <w:t xml:space="preserve">, </w:t>
      </w:r>
      <w:r w:rsidRPr="006E6EE8">
        <w:rPr>
          <w:rFonts w:ascii="Times New Roman" w:hAnsi="Times New Roman"/>
          <w:i/>
          <w:iCs/>
          <w:sz w:val="24"/>
          <w:szCs w:val="24"/>
        </w:rPr>
        <w:t>19</w:t>
      </w:r>
      <w:r w:rsidRPr="006E6EE8">
        <w:rPr>
          <w:rFonts w:ascii="Times New Roman" w:hAnsi="Times New Roman"/>
          <w:sz w:val="24"/>
          <w:szCs w:val="24"/>
        </w:rPr>
        <w:t>, 3159–3168, doi:10.1093/hmg/ddq226.</w:t>
      </w:r>
    </w:p>
    <w:p w14:paraId="39ADCBF6"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56. </w:t>
      </w:r>
      <w:r w:rsidRPr="006E6EE8">
        <w:rPr>
          <w:rFonts w:ascii="Times New Roman" w:hAnsi="Times New Roman"/>
          <w:sz w:val="24"/>
          <w:szCs w:val="24"/>
        </w:rPr>
        <w:tab/>
        <w:t xml:space="preserve">Gabanella, F.; Barbato, C.; Fiore, M.; Petrella, C.; Vincentiis, M. De; Greco, A.; Minni, A.; Corbi, N.; Passananti, C.; Grazia Di Certo, M.; et al. Fine-Tuning of MTOR MRNA and Nucleolin Complexes by SMN. </w:t>
      </w:r>
      <w:r w:rsidRPr="006E6EE8">
        <w:rPr>
          <w:rFonts w:ascii="Times New Roman" w:hAnsi="Times New Roman"/>
          <w:i/>
          <w:iCs/>
          <w:sz w:val="24"/>
          <w:szCs w:val="24"/>
        </w:rPr>
        <w:t>Cells</w:t>
      </w:r>
      <w:r w:rsidRPr="006E6EE8">
        <w:rPr>
          <w:rFonts w:ascii="Times New Roman" w:hAnsi="Times New Roman"/>
          <w:sz w:val="24"/>
          <w:szCs w:val="24"/>
        </w:rPr>
        <w:t xml:space="preserve"> </w:t>
      </w:r>
      <w:r w:rsidRPr="006E6EE8">
        <w:rPr>
          <w:rFonts w:ascii="Times New Roman" w:hAnsi="Times New Roman"/>
          <w:b/>
          <w:bCs/>
          <w:sz w:val="24"/>
          <w:szCs w:val="24"/>
        </w:rPr>
        <w:t>2021</w:t>
      </w:r>
      <w:r w:rsidRPr="006E6EE8">
        <w:rPr>
          <w:rFonts w:ascii="Times New Roman" w:hAnsi="Times New Roman"/>
          <w:sz w:val="24"/>
          <w:szCs w:val="24"/>
        </w:rPr>
        <w:t xml:space="preserve">, </w:t>
      </w:r>
      <w:r w:rsidRPr="006E6EE8">
        <w:rPr>
          <w:rFonts w:ascii="Times New Roman" w:hAnsi="Times New Roman"/>
          <w:i/>
          <w:iCs/>
          <w:sz w:val="24"/>
          <w:szCs w:val="24"/>
        </w:rPr>
        <w:t>10</w:t>
      </w:r>
      <w:r w:rsidRPr="006E6EE8">
        <w:rPr>
          <w:rFonts w:ascii="Times New Roman" w:hAnsi="Times New Roman"/>
          <w:sz w:val="24"/>
          <w:szCs w:val="24"/>
        </w:rPr>
        <w:t>, 1–16.</w:t>
      </w:r>
    </w:p>
    <w:p w14:paraId="5B766592"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57. </w:t>
      </w:r>
      <w:r w:rsidRPr="006E6EE8">
        <w:rPr>
          <w:rFonts w:ascii="Times New Roman" w:hAnsi="Times New Roman"/>
          <w:sz w:val="24"/>
          <w:szCs w:val="24"/>
        </w:rPr>
        <w:tab/>
        <w:t xml:space="preserve">Zou, T.; Yang, X.; Pan, D.; Huang, J.; Sahin, M.; Zhou, J. SMN Deficiency Reduces Cellular Ability </w:t>
      </w:r>
      <w:r w:rsidRPr="006E6EE8">
        <w:rPr>
          <w:rFonts w:ascii="Times New Roman" w:hAnsi="Times New Roman"/>
          <w:sz w:val="24"/>
          <w:szCs w:val="24"/>
        </w:rPr>
        <w:lastRenderedPageBreak/>
        <w:t xml:space="preserve">to Form Stress Granules, Sensitizing Cells to Stress. </w:t>
      </w:r>
      <w:r w:rsidRPr="006E6EE8">
        <w:rPr>
          <w:rFonts w:ascii="Times New Roman" w:hAnsi="Times New Roman"/>
          <w:i/>
          <w:iCs/>
          <w:sz w:val="24"/>
          <w:szCs w:val="24"/>
        </w:rPr>
        <w:t>Cell. Mol. Neurobiol.</w:t>
      </w:r>
      <w:r w:rsidRPr="006E6EE8">
        <w:rPr>
          <w:rFonts w:ascii="Times New Roman" w:hAnsi="Times New Roman"/>
          <w:sz w:val="24"/>
          <w:szCs w:val="24"/>
        </w:rPr>
        <w:t xml:space="preserve"> </w:t>
      </w:r>
      <w:r w:rsidRPr="006E6EE8">
        <w:rPr>
          <w:rFonts w:ascii="Times New Roman" w:hAnsi="Times New Roman"/>
          <w:b/>
          <w:bCs/>
          <w:sz w:val="24"/>
          <w:szCs w:val="24"/>
        </w:rPr>
        <w:t>2011</w:t>
      </w:r>
      <w:r w:rsidRPr="006E6EE8">
        <w:rPr>
          <w:rFonts w:ascii="Times New Roman" w:hAnsi="Times New Roman"/>
          <w:sz w:val="24"/>
          <w:szCs w:val="24"/>
        </w:rPr>
        <w:t xml:space="preserve">, </w:t>
      </w:r>
      <w:r w:rsidRPr="006E6EE8">
        <w:rPr>
          <w:rFonts w:ascii="Times New Roman" w:hAnsi="Times New Roman"/>
          <w:i/>
          <w:iCs/>
          <w:sz w:val="24"/>
          <w:szCs w:val="24"/>
        </w:rPr>
        <w:t>31</w:t>
      </w:r>
      <w:r w:rsidRPr="006E6EE8">
        <w:rPr>
          <w:rFonts w:ascii="Times New Roman" w:hAnsi="Times New Roman"/>
          <w:sz w:val="24"/>
          <w:szCs w:val="24"/>
        </w:rPr>
        <w:t>, 541–550, doi:10.1007/s10571-011-9647-8.</w:t>
      </w:r>
    </w:p>
    <w:p w14:paraId="68237DA2"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58. </w:t>
      </w:r>
      <w:r w:rsidRPr="006E6EE8">
        <w:rPr>
          <w:rFonts w:ascii="Times New Roman" w:hAnsi="Times New Roman"/>
          <w:sz w:val="24"/>
          <w:szCs w:val="24"/>
        </w:rPr>
        <w:tab/>
        <w:t xml:space="preserve">Bowerman, M.; Beauvais, A.; Anderson, C.L.; Kothary, R. Rho-Kinase Inactivation Prolongs Survival of an Intermediate SMA Mouse Model. </w:t>
      </w:r>
      <w:r w:rsidRPr="006E6EE8">
        <w:rPr>
          <w:rFonts w:ascii="Times New Roman" w:hAnsi="Times New Roman"/>
          <w:i/>
          <w:iCs/>
          <w:sz w:val="24"/>
          <w:szCs w:val="24"/>
        </w:rPr>
        <w:t>Hum. Mol. Genet.</w:t>
      </w:r>
      <w:r w:rsidRPr="006E6EE8">
        <w:rPr>
          <w:rFonts w:ascii="Times New Roman" w:hAnsi="Times New Roman"/>
          <w:sz w:val="24"/>
          <w:szCs w:val="24"/>
        </w:rPr>
        <w:t xml:space="preserve"> </w:t>
      </w:r>
      <w:r w:rsidRPr="006E6EE8">
        <w:rPr>
          <w:rFonts w:ascii="Times New Roman" w:hAnsi="Times New Roman"/>
          <w:b/>
          <w:bCs/>
          <w:sz w:val="24"/>
          <w:szCs w:val="24"/>
        </w:rPr>
        <w:t>2010</w:t>
      </w:r>
      <w:r w:rsidRPr="006E6EE8">
        <w:rPr>
          <w:rFonts w:ascii="Times New Roman" w:hAnsi="Times New Roman"/>
          <w:sz w:val="24"/>
          <w:szCs w:val="24"/>
        </w:rPr>
        <w:t xml:space="preserve">, </w:t>
      </w:r>
      <w:r w:rsidRPr="006E6EE8">
        <w:rPr>
          <w:rFonts w:ascii="Times New Roman" w:hAnsi="Times New Roman"/>
          <w:i/>
          <w:iCs/>
          <w:sz w:val="24"/>
          <w:szCs w:val="24"/>
        </w:rPr>
        <w:t>19</w:t>
      </w:r>
      <w:r w:rsidRPr="006E6EE8">
        <w:rPr>
          <w:rFonts w:ascii="Times New Roman" w:hAnsi="Times New Roman"/>
          <w:sz w:val="24"/>
          <w:szCs w:val="24"/>
        </w:rPr>
        <w:t>, 1468–1478, doi:10.1093/hmg/ddq021.</w:t>
      </w:r>
    </w:p>
    <w:p w14:paraId="3497A9C3"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59. </w:t>
      </w:r>
      <w:r w:rsidRPr="006E6EE8">
        <w:rPr>
          <w:rFonts w:ascii="Times New Roman" w:hAnsi="Times New Roman"/>
          <w:sz w:val="24"/>
          <w:szCs w:val="24"/>
        </w:rPr>
        <w:tab/>
        <w:t xml:space="preserve">Caraballo-Miralles, V.; Cardona-Rossinyol, A.; Garcera, A.; Villalonga, P.; Soler, R.M.; Olmos, G.; Lladó, J. SMN Deficiency Attenuates Migration of U87MG Astroglioma Cells through the Activation of RhoA. </w:t>
      </w:r>
      <w:r w:rsidRPr="006E6EE8">
        <w:rPr>
          <w:rFonts w:ascii="Times New Roman" w:hAnsi="Times New Roman"/>
          <w:i/>
          <w:iCs/>
          <w:sz w:val="24"/>
          <w:szCs w:val="24"/>
        </w:rPr>
        <w:t>Mol. Cell. Neurosci.</w:t>
      </w:r>
      <w:r w:rsidRPr="006E6EE8">
        <w:rPr>
          <w:rFonts w:ascii="Times New Roman" w:hAnsi="Times New Roman"/>
          <w:sz w:val="24"/>
          <w:szCs w:val="24"/>
        </w:rPr>
        <w:t xml:space="preserve"> </w:t>
      </w:r>
      <w:r w:rsidRPr="006E6EE8">
        <w:rPr>
          <w:rFonts w:ascii="Times New Roman" w:hAnsi="Times New Roman"/>
          <w:b/>
          <w:bCs/>
          <w:sz w:val="24"/>
          <w:szCs w:val="24"/>
        </w:rPr>
        <w:t>2012</w:t>
      </w:r>
      <w:r w:rsidRPr="006E6EE8">
        <w:rPr>
          <w:rFonts w:ascii="Times New Roman" w:hAnsi="Times New Roman"/>
          <w:sz w:val="24"/>
          <w:szCs w:val="24"/>
        </w:rPr>
        <w:t xml:space="preserve">, </w:t>
      </w:r>
      <w:r w:rsidRPr="006E6EE8">
        <w:rPr>
          <w:rFonts w:ascii="Times New Roman" w:hAnsi="Times New Roman"/>
          <w:i/>
          <w:iCs/>
          <w:sz w:val="24"/>
          <w:szCs w:val="24"/>
        </w:rPr>
        <w:t>49</w:t>
      </w:r>
      <w:r w:rsidRPr="006E6EE8">
        <w:rPr>
          <w:rFonts w:ascii="Times New Roman" w:hAnsi="Times New Roman"/>
          <w:sz w:val="24"/>
          <w:szCs w:val="24"/>
        </w:rPr>
        <w:t>, 282–289, doi:10.1016/j.mcn.2011.12.003.</w:t>
      </w:r>
    </w:p>
    <w:p w14:paraId="3958659F"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60. </w:t>
      </w:r>
      <w:r w:rsidRPr="006E6EE8">
        <w:rPr>
          <w:rFonts w:ascii="Times New Roman" w:hAnsi="Times New Roman"/>
          <w:sz w:val="24"/>
          <w:szCs w:val="24"/>
        </w:rPr>
        <w:tab/>
        <w:t xml:space="preserve">Rademacher, S.; Verheijen, B.M.; Hensel, N.; Peters, M.; Bora, G.; Brandes, G.; de Sá, R.V.; Heidrich, N.; Fischer, S.; Brinkmann, H.; et al. Metalloprotease-Mediated Cleavage of PlexinD1 and Its Sequestration to Actin Rods in the Motoneuron Disease Spinal Muscular Atrophy (SMA). </w:t>
      </w:r>
      <w:r w:rsidRPr="006E6EE8">
        <w:rPr>
          <w:rFonts w:ascii="Times New Roman" w:hAnsi="Times New Roman"/>
          <w:i/>
          <w:iCs/>
          <w:sz w:val="24"/>
          <w:szCs w:val="24"/>
        </w:rPr>
        <w:t>Hum. Mol. Genet.</w:t>
      </w:r>
      <w:r w:rsidRPr="006E6EE8">
        <w:rPr>
          <w:rFonts w:ascii="Times New Roman" w:hAnsi="Times New Roman"/>
          <w:sz w:val="24"/>
          <w:szCs w:val="24"/>
        </w:rPr>
        <w:t xml:space="preserve"> </w:t>
      </w:r>
      <w:r w:rsidRPr="006E6EE8">
        <w:rPr>
          <w:rFonts w:ascii="Times New Roman" w:hAnsi="Times New Roman"/>
          <w:b/>
          <w:bCs/>
          <w:sz w:val="24"/>
          <w:szCs w:val="24"/>
        </w:rPr>
        <w:t>2017</w:t>
      </w:r>
      <w:r w:rsidRPr="006E6EE8">
        <w:rPr>
          <w:rFonts w:ascii="Times New Roman" w:hAnsi="Times New Roman"/>
          <w:sz w:val="24"/>
          <w:szCs w:val="24"/>
        </w:rPr>
        <w:t xml:space="preserve">, </w:t>
      </w:r>
      <w:r w:rsidRPr="006E6EE8">
        <w:rPr>
          <w:rFonts w:ascii="Times New Roman" w:hAnsi="Times New Roman"/>
          <w:i/>
          <w:iCs/>
          <w:sz w:val="24"/>
          <w:szCs w:val="24"/>
        </w:rPr>
        <w:t>26</w:t>
      </w:r>
      <w:r w:rsidRPr="006E6EE8">
        <w:rPr>
          <w:rFonts w:ascii="Times New Roman" w:hAnsi="Times New Roman"/>
          <w:sz w:val="24"/>
          <w:szCs w:val="24"/>
        </w:rPr>
        <w:t>, 3946–3959, doi:10.1093/hmg/ddx282.</w:t>
      </w:r>
    </w:p>
    <w:p w14:paraId="0F3F5F0E"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61. </w:t>
      </w:r>
      <w:r w:rsidRPr="006E6EE8">
        <w:rPr>
          <w:rFonts w:ascii="Times New Roman" w:hAnsi="Times New Roman"/>
          <w:sz w:val="24"/>
          <w:szCs w:val="24"/>
        </w:rPr>
        <w:tab/>
        <w:t xml:space="preserve">Fallini, C.; Rouanet, J.P.; Donlin-Asp, P.G.; Guo, P.; Zhang, H.; Singer, R.H.; Rossoll, W.; Bassell, G.J. Dynamics of Survival of Motor Neuron (SMN) Protein Interaction with the MRNA-Binding Protein IMP1 Facilitates Its Trafficking into Motor Neuron Axons. </w:t>
      </w:r>
      <w:r w:rsidRPr="006E6EE8">
        <w:rPr>
          <w:rFonts w:ascii="Times New Roman" w:hAnsi="Times New Roman"/>
          <w:i/>
          <w:iCs/>
          <w:sz w:val="24"/>
          <w:szCs w:val="24"/>
        </w:rPr>
        <w:t>Dev. Neurobiol.</w:t>
      </w:r>
      <w:r w:rsidRPr="006E6EE8">
        <w:rPr>
          <w:rFonts w:ascii="Times New Roman" w:hAnsi="Times New Roman"/>
          <w:sz w:val="24"/>
          <w:szCs w:val="24"/>
        </w:rPr>
        <w:t xml:space="preserve"> </w:t>
      </w:r>
      <w:r w:rsidRPr="006E6EE8">
        <w:rPr>
          <w:rFonts w:ascii="Times New Roman" w:hAnsi="Times New Roman"/>
          <w:b/>
          <w:bCs/>
          <w:sz w:val="24"/>
          <w:szCs w:val="24"/>
        </w:rPr>
        <w:t>2014</w:t>
      </w:r>
      <w:r w:rsidRPr="006E6EE8">
        <w:rPr>
          <w:rFonts w:ascii="Times New Roman" w:hAnsi="Times New Roman"/>
          <w:sz w:val="24"/>
          <w:szCs w:val="24"/>
        </w:rPr>
        <w:t xml:space="preserve">, </w:t>
      </w:r>
      <w:r w:rsidRPr="006E6EE8">
        <w:rPr>
          <w:rFonts w:ascii="Times New Roman" w:hAnsi="Times New Roman"/>
          <w:i/>
          <w:iCs/>
          <w:sz w:val="24"/>
          <w:szCs w:val="24"/>
        </w:rPr>
        <w:t>74</w:t>
      </w:r>
      <w:r w:rsidRPr="006E6EE8">
        <w:rPr>
          <w:rFonts w:ascii="Times New Roman" w:hAnsi="Times New Roman"/>
          <w:sz w:val="24"/>
          <w:szCs w:val="24"/>
        </w:rPr>
        <w:t>, 319–332, doi:10.1002/dneu.22111.</w:t>
      </w:r>
    </w:p>
    <w:p w14:paraId="0D2E4AD8"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62. </w:t>
      </w:r>
      <w:r w:rsidRPr="006E6EE8">
        <w:rPr>
          <w:rFonts w:ascii="Times New Roman" w:hAnsi="Times New Roman"/>
          <w:sz w:val="24"/>
          <w:szCs w:val="24"/>
        </w:rPr>
        <w:tab/>
        <w:t xml:space="preserve">Chung, C.Y.; Koprich, J.B.; Hallett, P.J.; Isacson, O. Functional Enhancement and Protection of Dopaminergic Terminals by RAB3B Overexpression. </w:t>
      </w:r>
      <w:r w:rsidRPr="006E6EE8">
        <w:rPr>
          <w:rFonts w:ascii="Times New Roman" w:hAnsi="Times New Roman"/>
          <w:i/>
          <w:iCs/>
          <w:sz w:val="24"/>
          <w:szCs w:val="24"/>
        </w:rPr>
        <w:t>Proc. Natl. Acad. Sci. U. S. A.</w:t>
      </w:r>
      <w:r w:rsidRPr="006E6EE8">
        <w:rPr>
          <w:rFonts w:ascii="Times New Roman" w:hAnsi="Times New Roman"/>
          <w:sz w:val="24"/>
          <w:szCs w:val="24"/>
        </w:rPr>
        <w:t xml:space="preserve"> </w:t>
      </w:r>
      <w:r w:rsidRPr="006E6EE8">
        <w:rPr>
          <w:rFonts w:ascii="Times New Roman" w:hAnsi="Times New Roman"/>
          <w:b/>
          <w:bCs/>
          <w:sz w:val="24"/>
          <w:szCs w:val="24"/>
        </w:rPr>
        <w:t>2009</w:t>
      </w:r>
      <w:r w:rsidRPr="006E6EE8">
        <w:rPr>
          <w:rFonts w:ascii="Times New Roman" w:hAnsi="Times New Roman"/>
          <w:sz w:val="24"/>
          <w:szCs w:val="24"/>
        </w:rPr>
        <w:t xml:space="preserve">, </w:t>
      </w:r>
      <w:r w:rsidRPr="006E6EE8">
        <w:rPr>
          <w:rFonts w:ascii="Times New Roman" w:hAnsi="Times New Roman"/>
          <w:i/>
          <w:iCs/>
          <w:sz w:val="24"/>
          <w:szCs w:val="24"/>
        </w:rPr>
        <w:t>106</w:t>
      </w:r>
      <w:r w:rsidRPr="006E6EE8">
        <w:rPr>
          <w:rFonts w:ascii="Times New Roman" w:hAnsi="Times New Roman"/>
          <w:sz w:val="24"/>
          <w:szCs w:val="24"/>
        </w:rPr>
        <w:t>, 22474–22479, doi:10.1073/pnas.0912193106.</w:t>
      </w:r>
    </w:p>
    <w:p w14:paraId="43FA0122"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63. </w:t>
      </w:r>
      <w:r w:rsidRPr="006E6EE8">
        <w:rPr>
          <w:rFonts w:ascii="Times New Roman" w:hAnsi="Times New Roman"/>
          <w:sz w:val="24"/>
          <w:szCs w:val="24"/>
        </w:rPr>
        <w:tab/>
        <w:t xml:space="preserve">Lim, C.P.; Cao, X. Structure, Function, and Regulation of STAT Proteins. </w:t>
      </w:r>
      <w:r w:rsidRPr="006E6EE8">
        <w:rPr>
          <w:rFonts w:ascii="Times New Roman" w:hAnsi="Times New Roman"/>
          <w:i/>
          <w:iCs/>
          <w:sz w:val="24"/>
          <w:szCs w:val="24"/>
        </w:rPr>
        <w:t>Mol. Biosyst.</w:t>
      </w:r>
      <w:r w:rsidRPr="006E6EE8">
        <w:rPr>
          <w:rFonts w:ascii="Times New Roman" w:hAnsi="Times New Roman"/>
          <w:sz w:val="24"/>
          <w:szCs w:val="24"/>
        </w:rPr>
        <w:t xml:space="preserve"> </w:t>
      </w:r>
      <w:r w:rsidRPr="006E6EE8">
        <w:rPr>
          <w:rFonts w:ascii="Times New Roman" w:hAnsi="Times New Roman"/>
          <w:b/>
          <w:bCs/>
          <w:sz w:val="24"/>
          <w:szCs w:val="24"/>
        </w:rPr>
        <w:t>2006</w:t>
      </w:r>
      <w:r w:rsidRPr="006E6EE8">
        <w:rPr>
          <w:rFonts w:ascii="Times New Roman" w:hAnsi="Times New Roman"/>
          <w:sz w:val="24"/>
          <w:szCs w:val="24"/>
        </w:rPr>
        <w:t xml:space="preserve">, </w:t>
      </w:r>
      <w:r w:rsidRPr="006E6EE8">
        <w:rPr>
          <w:rFonts w:ascii="Times New Roman" w:hAnsi="Times New Roman"/>
          <w:i/>
          <w:iCs/>
          <w:sz w:val="24"/>
          <w:szCs w:val="24"/>
        </w:rPr>
        <w:t>2</w:t>
      </w:r>
      <w:r w:rsidRPr="006E6EE8">
        <w:rPr>
          <w:rFonts w:ascii="Times New Roman" w:hAnsi="Times New Roman"/>
          <w:sz w:val="24"/>
          <w:szCs w:val="24"/>
        </w:rPr>
        <w:t>, 536–550, doi:10.1039/b606246f.</w:t>
      </w:r>
    </w:p>
    <w:p w14:paraId="690A45D3"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lastRenderedPageBreak/>
        <w:t xml:space="preserve">64. </w:t>
      </w:r>
      <w:r w:rsidRPr="006E6EE8">
        <w:rPr>
          <w:rFonts w:ascii="Times New Roman" w:hAnsi="Times New Roman"/>
          <w:sz w:val="24"/>
          <w:szCs w:val="24"/>
        </w:rPr>
        <w:tab/>
        <w:t xml:space="preserve">Ebert, A.D.; Yu, J.; Rose Jr, F.F.; Mattis, V.B.; Lorson, C.L.; Thomson, J.A.; Svendsen, C.N. Induced Pluripotent Stem Cells from a Spinal Muscular Atrophy Patient. </w:t>
      </w:r>
      <w:r w:rsidRPr="006E6EE8">
        <w:rPr>
          <w:rFonts w:ascii="Times New Roman" w:hAnsi="Times New Roman"/>
          <w:b/>
          <w:bCs/>
          <w:sz w:val="24"/>
          <w:szCs w:val="24"/>
        </w:rPr>
        <w:t>2009</w:t>
      </w:r>
      <w:r w:rsidRPr="006E6EE8">
        <w:rPr>
          <w:rFonts w:ascii="Times New Roman" w:hAnsi="Times New Roman"/>
          <w:sz w:val="24"/>
          <w:szCs w:val="24"/>
        </w:rPr>
        <w:t xml:space="preserve">, </w:t>
      </w:r>
      <w:r w:rsidRPr="006E6EE8">
        <w:rPr>
          <w:rFonts w:ascii="Times New Roman" w:hAnsi="Times New Roman"/>
          <w:i/>
          <w:iCs/>
          <w:sz w:val="24"/>
          <w:szCs w:val="24"/>
        </w:rPr>
        <w:t>457</w:t>
      </w:r>
      <w:r w:rsidRPr="006E6EE8">
        <w:rPr>
          <w:rFonts w:ascii="Times New Roman" w:hAnsi="Times New Roman"/>
          <w:sz w:val="24"/>
          <w:szCs w:val="24"/>
        </w:rPr>
        <w:t>, 277–280, doi:10.1038/nature07677.Induced.</w:t>
      </w:r>
    </w:p>
    <w:p w14:paraId="4A258CA3"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65. </w:t>
      </w:r>
      <w:r w:rsidRPr="006E6EE8">
        <w:rPr>
          <w:rFonts w:ascii="Times New Roman" w:hAnsi="Times New Roman"/>
          <w:sz w:val="24"/>
          <w:szCs w:val="24"/>
        </w:rPr>
        <w:tab/>
        <w:t xml:space="preserve">Hentschel, A.; Czech, A.; Münchberg, U.; Freier, E.; Schara-Schmidt, U.; Sickmann, A.; Reimann, J.; Roos, A. Protein Signature of Human Skin Fibroblasts Allows the Study of the Molecular Etiology of Rare Neurological Diseases. </w:t>
      </w:r>
      <w:r w:rsidRPr="006E6EE8">
        <w:rPr>
          <w:rFonts w:ascii="Times New Roman" w:hAnsi="Times New Roman"/>
          <w:i/>
          <w:iCs/>
          <w:sz w:val="24"/>
          <w:szCs w:val="24"/>
        </w:rPr>
        <w:t>Orphanet J. Rare Dis.</w:t>
      </w:r>
      <w:r w:rsidRPr="006E6EE8">
        <w:rPr>
          <w:rFonts w:ascii="Times New Roman" w:hAnsi="Times New Roman"/>
          <w:sz w:val="24"/>
          <w:szCs w:val="24"/>
        </w:rPr>
        <w:t xml:space="preserve"> </w:t>
      </w:r>
      <w:r w:rsidRPr="006E6EE8">
        <w:rPr>
          <w:rFonts w:ascii="Times New Roman" w:hAnsi="Times New Roman"/>
          <w:b/>
          <w:bCs/>
          <w:sz w:val="24"/>
          <w:szCs w:val="24"/>
        </w:rPr>
        <w:t>2021</w:t>
      </w:r>
      <w:r w:rsidRPr="006E6EE8">
        <w:rPr>
          <w:rFonts w:ascii="Times New Roman" w:hAnsi="Times New Roman"/>
          <w:sz w:val="24"/>
          <w:szCs w:val="24"/>
        </w:rPr>
        <w:t xml:space="preserve">, </w:t>
      </w:r>
      <w:r w:rsidRPr="006E6EE8">
        <w:rPr>
          <w:rFonts w:ascii="Times New Roman" w:hAnsi="Times New Roman"/>
          <w:i/>
          <w:iCs/>
          <w:sz w:val="24"/>
          <w:szCs w:val="24"/>
        </w:rPr>
        <w:t>16</w:t>
      </w:r>
      <w:r w:rsidRPr="006E6EE8">
        <w:rPr>
          <w:rFonts w:ascii="Times New Roman" w:hAnsi="Times New Roman"/>
          <w:sz w:val="24"/>
          <w:szCs w:val="24"/>
        </w:rPr>
        <w:t>, 1–18, doi:10.1186/s13023-020-01669-1.</w:t>
      </w:r>
    </w:p>
    <w:p w14:paraId="1D913304"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66. </w:t>
      </w:r>
      <w:r w:rsidRPr="006E6EE8">
        <w:rPr>
          <w:rFonts w:ascii="Times New Roman" w:hAnsi="Times New Roman"/>
          <w:sz w:val="24"/>
          <w:szCs w:val="24"/>
        </w:rPr>
        <w:tab/>
        <w:t xml:space="preserve">Bergeijk, J.; Rydel‐Könecke, K.; Grothe, C.; Claus, P. The Spinal Muscular Atrophy Gene Product Regulates Neurite Outgrowth: Importance of the C Terminus. </w:t>
      </w:r>
      <w:r w:rsidRPr="006E6EE8">
        <w:rPr>
          <w:rFonts w:ascii="Times New Roman" w:hAnsi="Times New Roman"/>
          <w:i/>
          <w:iCs/>
          <w:sz w:val="24"/>
          <w:szCs w:val="24"/>
        </w:rPr>
        <w:t>FASEB J.</w:t>
      </w:r>
      <w:r w:rsidRPr="006E6EE8">
        <w:rPr>
          <w:rFonts w:ascii="Times New Roman" w:hAnsi="Times New Roman"/>
          <w:sz w:val="24"/>
          <w:szCs w:val="24"/>
        </w:rPr>
        <w:t xml:space="preserve"> </w:t>
      </w:r>
      <w:r w:rsidRPr="006E6EE8">
        <w:rPr>
          <w:rFonts w:ascii="Times New Roman" w:hAnsi="Times New Roman"/>
          <w:b/>
          <w:bCs/>
          <w:sz w:val="24"/>
          <w:szCs w:val="24"/>
        </w:rPr>
        <w:t>2007</w:t>
      </w:r>
      <w:r w:rsidRPr="006E6EE8">
        <w:rPr>
          <w:rFonts w:ascii="Times New Roman" w:hAnsi="Times New Roman"/>
          <w:sz w:val="24"/>
          <w:szCs w:val="24"/>
        </w:rPr>
        <w:t xml:space="preserve">, </w:t>
      </w:r>
      <w:r w:rsidRPr="006E6EE8">
        <w:rPr>
          <w:rFonts w:ascii="Times New Roman" w:hAnsi="Times New Roman"/>
          <w:i/>
          <w:iCs/>
          <w:sz w:val="24"/>
          <w:szCs w:val="24"/>
        </w:rPr>
        <w:t>21</w:t>
      </w:r>
      <w:r w:rsidRPr="006E6EE8">
        <w:rPr>
          <w:rFonts w:ascii="Times New Roman" w:hAnsi="Times New Roman"/>
          <w:sz w:val="24"/>
          <w:szCs w:val="24"/>
        </w:rPr>
        <w:t>, 1492–1502, doi:10.1096/fj.06-7136com.</w:t>
      </w:r>
    </w:p>
    <w:p w14:paraId="665EE636"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67. </w:t>
      </w:r>
      <w:r w:rsidRPr="006E6EE8">
        <w:rPr>
          <w:rFonts w:ascii="Times New Roman" w:hAnsi="Times New Roman"/>
          <w:sz w:val="24"/>
          <w:szCs w:val="24"/>
        </w:rPr>
        <w:tab/>
        <w:t xml:space="preserve">Holt, I.; Clements, L.; Manilal, S.; Brown, S.C.; Morris, G.E. The R482Q Lamin A/C Mutation That Causes Lipodystrophy Does Not Prevent Nuclear Targeting of Lamin A in Adipocytes or Its Interaction with Emerin. </w:t>
      </w:r>
      <w:r w:rsidRPr="006E6EE8">
        <w:rPr>
          <w:rFonts w:ascii="Times New Roman" w:hAnsi="Times New Roman"/>
          <w:i/>
          <w:iCs/>
          <w:sz w:val="24"/>
          <w:szCs w:val="24"/>
        </w:rPr>
        <w:t>Eur. J. Hum. Genet.</w:t>
      </w:r>
      <w:r w:rsidRPr="006E6EE8">
        <w:rPr>
          <w:rFonts w:ascii="Times New Roman" w:hAnsi="Times New Roman"/>
          <w:sz w:val="24"/>
          <w:szCs w:val="24"/>
        </w:rPr>
        <w:t xml:space="preserve"> </w:t>
      </w:r>
      <w:r w:rsidRPr="006E6EE8">
        <w:rPr>
          <w:rFonts w:ascii="Times New Roman" w:hAnsi="Times New Roman"/>
          <w:b/>
          <w:bCs/>
          <w:sz w:val="24"/>
          <w:szCs w:val="24"/>
        </w:rPr>
        <w:t>2001</w:t>
      </w:r>
      <w:r w:rsidRPr="006E6EE8">
        <w:rPr>
          <w:rFonts w:ascii="Times New Roman" w:hAnsi="Times New Roman"/>
          <w:sz w:val="24"/>
          <w:szCs w:val="24"/>
        </w:rPr>
        <w:t xml:space="preserve">, </w:t>
      </w:r>
      <w:r w:rsidRPr="006E6EE8">
        <w:rPr>
          <w:rFonts w:ascii="Times New Roman" w:hAnsi="Times New Roman"/>
          <w:i/>
          <w:iCs/>
          <w:sz w:val="24"/>
          <w:szCs w:val="24"/>
        </w:rPr>
        <w:t>9</w:t>
      </w:r>
      <w:r w:rsidRPr="006E6EE8">
        <w:rPr>
          <w:rFonts w:ascii="Times New Roman" w:hAnsi="Times New Roman"/>
          <w:sz w:val="24"/>
          <w:szCs w:val="24"/>
        </w:rPr>
        <w:t>, 204–208, doi:10.1038/sj.ejhg.5200609.</w:t>
      </w:r>
    </w:p>
    <w:p w14:paraId="61B28393"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68. </w:t>
      </w:r>
      <w:r w:rsidRPr="006E6EE8">
        <w:rPr>
          <w:rFonts w:ascii="Times New Roman" w:hAnsi="Times New Roman"/>
          <w:sz w:val="24"/>
          <w:szCs w:val="24"/>
        </w:rPr>
        <w:tab/>
        <w:t xml:space="preserve">Reiter, L.; Rinner, O.; Picotti, P.; Hüttenhain, R.; Beck, M.; Brusniak, M.-Y.; Hengartner, M.O.; Aebersold, R. MProphet : A General and Flexible Data Model and Algorithm for Automated SRM Data Processing and Statistical Error Estimation. </w:t>
      </w:r>
      <w:r w:rsidRPr="006E6EE8">
        <w:rPr>
          <w:rFonts w:ascii="Times New Roman" w:hAnsi="Times New Roman"/>
          <w:i/>
          <w:iCs/>
          <w:sz w:val="24"/>
          <w:szCs w:val="24"/>
        </w:rPr>
        <w:t>Nat Methods</w:t>
      </w:r>
      <w:r w:rsidRPr="006E6EE8">
        <w:rPr>
          <w:rFonts w:ascii="Times New Roman" w:hAnsi="Times New Roman"/>
          <w:sz w:val="24"/>
          <w:szCs w:val="24"/>
        </w:rPr>
        <w:t xml:space="preserve"> </w:t>
      </w:r>
      <w:r w:rsidRPr="006E6EE8">
        <w:rPr>
          <w:rFonts w:ascii="Times New Roman" w:hAnsi="Times New Roman"/>
          <w:b/>
          <w:bCs/>
          <w:sz w:val="24"/>
          <w:szCs w:val="24"/>
        </w:rPr>
        <w:t>2011</w:t>
      </w:r>
      <w:r w:rsidRPr="006E6EE8">
        <w:rPr>
          <w:rFonts w:ascii="Times New Roman" w:hAnsi="Times New Roman"/>
          <w:sz w:val="24"/>
          <w:szCs w:val="24"/>
        </w:rPr>
        <w:t xml:space="preserve">, </w:t>
      </w:r>
      <w:r w:rsidRPr="006E6EE8">
        <w:rPr>
          <w:rFonts w:ascii="Times New Roman" w:hAnsi="Times New Roman"/>
          <w:i/>
          <w:iCs/>
          <w:sz w:val="24"/>
          <w:szCs w:val="24"/>
        </w:rPr>
        <w:t>8</w:t>
      </w:r>
      <w:r w:rsidRPr="006E6EE8">
        <w:rPr>
          <w:rFonts w:ascii="Times New Roman" w:hAnsi="Times New Roman"/>
          <w:sz w:val="24"/>
          <w:szCs w:val="24"/>
        </w:rPr>
        <w:t>, 430–435.</w:t>
      </w:r>
    </w:p>
    <w:p w14:paraId="186E9611"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69. </w:t>
      </w:r>
      <w:r w:rsidRPr="006E6EE8">
        <w:rPr>
          <w:rFonts w:ascii="Times New Roman" w:hAnsi="Times New Roman"/>
          <w:sz w:val="24"/>
          <w:szCs w:val="24"/>
        </w:rPr>
        <w:tab/>
        <w:t xml:space="preserve">Ludwig, C.; Gillet, L.; Rosenberger, G.; Amon, S.; Collins, B.C.; Aebersold, R. Data‐independent Acquisition‐based SWATH‐MS for Quantitative Proteomics: A Tutorial. </w:t>
      </w:r>
      <w:r w:rsidRPr="006E6EE8">
        <w:rPr>
          <w:rFonts w:ascii="Times New Roman" w:hAnsi="Times New Roman"/>
          <w:i/>
          <w:iCs/>
          <w:sz w:val="24"/>
          <w:szCs w:val="24"/>
        </w:rPr>
        <w:t>Mol. Syst. Biol.</w:t>
      </w:r>
      <w:r w:rsidRPr="006E6EE8">
        <w:rPr>
          <w:rFonts w:ascii="Times New Roman" w:hAnsi="Times New Roman"/>
          <w:sz w:val="24"/>
          <w:szCs w:val="24"/>
        </w:rPr>
        <w:t xml:space="preserve"> </w:t>
      </w:r>
      <w:r w:rsidRPr="006E6EE8">
        <w:rPr>
          <w:rFonts w:ascii="Times New Roman" w:hAnsi="Times New Roman"/>
          <w:b/>
          <w:bCs/>
          <w:sz w:val="24"/>
          <w:szCs w:val="24"/>
        </w:rPr>
        <w:t>2018</w:t>
      </w:r>
      <w:r w:rsidRPr="006E6EE8">
        <w:rPr>
          <w:rFonts w:ascii="Times New Roman" w:hAnsi="Times New Roman"/>
          <w:sz w:val="24"/>
          <w:szCs w:val="24"/>
        </w:rPr>
        <w:t xml:space="preserve">, </w:t>
      </w:r>
      <w:r w:rsidRPr="006E6EE8">
        <w:rPr>
          <w:rFonts w:ascii="Times New Roman" w:hAnsi="Times New Roman"/>
          <w:i/>
          <w:iCs/>
          <w:sz w:val="24"/>
          <w:szCs w:val="24"/>
        </w:rPr>
        <w:t>14</w:t>
      </w:r>
      <w:r w:rsidRPr="006E6EE8">
        <w:rPr>
          <w:rFonts w:ascii="Times New Roman" w:hAnsi="Times New Roman"/>
          <w:sz w:val="24"/>
          <w:szCs w:val="24"/>
        </w:rPr>
        <w:t>, e8126, doi:10.15252/msb.20178126.</w:t>
      </w:r>
    </w:p>
    <w:p w14:paraId="657FC0B9"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70. </w:t>
      </w:r>
      <w:r w:rsidRPr="006E6EE8">
        <w:rPr>
          <w:rFonts w:ascii="Times New Roman" w:hAnsi="Times New Roman"/>
          <w:sz w:val="24"/>
          <w:szCs w:val="24"/>
        </w:rPr>
        <w:tab/>
        <w:t xml:space="preserve">Heberle, H.; Meirelles, V.G.; da Silva, F.R.; Telles, G.P.; Minghim, R. InteractiVenn: A Web-Based Tool for the Analysis of Sets through Venn Diagrams. </w:t>
      </w:r>
      <w:r w:rsidRPr="006E6EE8">
        <w:rPr>
          <w:rFonts w:ascii="Times New Roman" w:hAnsi="Times New Roman"/>
          <w:i/>
          <w:iCs/>
          <w:sz w:val="24"/>
          <w:szCs w:val="24"/>
        </w:rPr>
        <w:t>BMC Bioinformatics</w:t>
      </w:r>
      <w:r w:rsidRPr="006E6EE8">
        <w:rPr>
          <w:rFonts w:ascii="Times New Roman" w:hAnsi="Times New Roman"/>
          <w:sz w:val="24"/>
          <w:szCs w:val="24"/>
        </w:rPr>
        <w:t xml:space="preserve"> </w:t>
      </w:r>
      <w:r w:rsidRPr="006E6EE8">
        <w:rPr>
          <w:rFonts w:ascii="Times New Roman" w:hAnsi="Times New Roman"/>
          <w:b/>
          <w:bCs/>
          <w:sz w:val="24"/>
          <w:szCs w:val="24"/>
        </w:rPr>
        <w:t>2015</w:t>
      </w:r>
      <w:r w:rsidRPr="006E6EE8">
        <w:rPr>
          <w:rFonts w:ascii="Times New Roman" w:hAnsi="Times New Roman"/>
          <w:sz w:val="24"/>
          <w:szCs w:val="24"/>
        </w:rPr>
        <w:t xml:space="preserve">, </w:t>
      </w:r>
      <w:r w:rsidRPr="006E6EE8">
        <w:rPr>
          <w:rFonts w:ascii="Times New Roman" w:hAnsi="Times New Roman"/>
          <w:i/>
          <w:iCs/>
          <w:sz w:val="24"/>
          <w:szCs w:val="24"/>
        </w:rPr>
        <w:t>16</w:t>
      </w:r>
      <w:r w:rsidRPr="006E6EE8">
        <w:rPr>
          <w:rFonts w:ascii="Times New Roman" w:hAnsi="Times New Roman"/>
          <w:sz w:val="24"/>
          <w:szCs w:val="24"/>
        </w:rPr>
        <w:t>, 1–7, doi:10.1186/s12859-015-0611-3.</w:t>
      </w:r>
    </w:p>
    <w:p w14:paraId="71115C09"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lastRenderedPageBreak/>
        <w:t xml:space="preserve">71. </w:t>
      </w:r>
      <w:r w:rsidRPr="006E6EE8">
        <w:rPr>
          <w:rFonts w:ascii="Times New Roman" w:hAnsi="Times New Roman"/>
          <w:sz w:val="24"/>
          <w:szCs w:val="24"/>
        </w:rPr>
        <w:tab/>
        <w:t xml:space="preserve">Krämer, A.; Green, J.; Pollard, J.; Tugendreich, S. Causal Analysis Approaches in Ingenuity Pathway Analysis. </w:t>
      </w:r>
      <w:r w:rsidRPr="006E6EE8">
        <w:rPr>
          <w:rFonts w:ascii="Times New Roman" w:hAnsi="Times New Roman"/>
          <w:i/>
          <w:iCs/>
          <w:sz w:val="24"/>
          <w:szCs w:val="24"/>
        </w:rPr>
        <w:t>Bioinformatics</w:t>
      </w:r>
      <w:r w:rsidRPr="006E6EE8">
        <w:rPr>
          <w:rFonts w:ascii="Times New Roman" w:hAnsi="Times New Roman"/>
          <w:sz w:val="24"/>
          <w:szCs w:val="24"/>
        </w:rPr>
        <w:t xml:space="preserve"> </w:t>
      </w:r>
      <w:r w:rsidRPr="006E6EE8">
        <w:rPr>
          <w:rFonts w:ascii="Times New Roman" w:hAnsi="Times New Roman"/>
          <w:b/>
          <w:bCs/>
          <w:sz w:val="24"/>
          <w:szCs w:val="24"/>
        </w:rPr>
        <w:t>2014</w:t>
      </w:r>
      <w:r w:rsidRPr="006E6EE8">
        <w:rPr>
          <w:rFonts w:ascii="Times New Roman" w:hAnsi="Times New Roman"/>
          <w:sz w:val="24"/>
          <w:szCs w:val="24"/>
        </w:rPr>
        <w:t xml:space="preserve">, </w:t>
      </w:r>
      <w:r w:rsidRPr="006E6EE8">
        <w:rPr>
          <w:rFonts w:ascii="Times New Roman" w:hAnsi="Times New Roman"/>
          <w:i/>
          <w:iCs/>
          <w:sz w:val="24"/>
          <w:szCs w:val="24"/>
        </w:rPr>
        <w:t>30</w:t>
      </w:r>
      <w:r w:rsidRPr="006E6EE8">
        <w:rPr>
          <w:rFonts w:ascii="Times New Roman" w:hAnsi="Times New Roman"/>
          <w:sz w:val="24"/>
          <w:szCs w:val="24"/>
        </w:rPr>
        <w:t>, 523–530, doi:10.1093/bioinformatics/btt703.</w:t>
      </w:r>
    </w:p>
    <w:p w14:paraId="4204B583"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72. </w:t>
      </w:r>
      <w:r w:rsidRPr="006E6EE8">
        <w:rPr>
          <w:rFonts w:ascii="Times New Roman" w:hAnsi="Times New Roman"/>
          <w:sz w:val="24"/>
          <w:szCs w:val="24"/>
        </w:rPr>
        <w:tab/>
        <w:t xml:space="preserve">Tugendreich, S.M. Understanding Biological Mechanisms in Transcriptomics or Proteomics Datasets with Ingenuity Pathway Analysis ( IPA ) and Analysis Match. </w:t>
      </w:r>
      <w:r w:rsidRPr="006E6EE8">
        <w:rPr>
          <w:rFonts w:ascii="Times New Roman" w:hAnsi="Times New Roman"/>
          <w:i/>
          <w:iCs/>
          <w:sz w:val="24"/>
          <w:szCs w:val="24"/>
        </w:rPr>
        <w:t>Qiagen white Pap.</w:t>
      </w:r>
      <w:r w:rsidRPr="006E6EE8">
        <w:rPr>
          <w:rFonts w:ascii="Times New Roman" w:hAnsi="Times New Roman"/>
          <w:sz w:val="24"/>
          <w:szCs w:val="24"/>
        </w:rPr>
        <w:t xml:space="preserve"> </w:t>
      </w:r>
      <w:r w:rsidRPr="006E6EE8">
        <w:rPr>
          <w:rFonts w:ascii="Times New Roman" w:hAnsi="Times New Roman"/>
          <w:b/>
          <w:bCs/>
          <w:sz w:val="24"/>
          <w:szCs w:val="24"/>
        </w:rPr>
        <w:t>2019</w:t>
      </w:r>
      <w:r w:rsidRPr="006E6EE8">
        <w:rPr>
          <w:rFonts w:ascii="Times New Roman" w:hAnsi="Times New Roman"/>
          <w:sz w:val="24"/>
          <w:szCs w:val="24"/>
        </w:rPr>
        <w:t>.</w:t>
      </w:r>
    </w:p>
    <w:p w14:paraId="49B44053"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73.</w:t>
      </w:r>
      <w:r w:rsidRPr="006E6EE8">
        <w:rPr>
          <w:rFonts w:ascii="Times New Roman" w:hAnsi="Times New Roman"/>
          <w:sz w:val="24"/>
          <w:szCs w:val="24"/>
        </w:rPr>
        <w:tab/>
        <w:t>Šoltić, D.; Bowerman, M.; Stock, J.; Shorrock, H.; Gillingwater, T.; Fuller, H. Multi-Study Proteomic and Bioinformatic Identification of Molecular Overlap between Amyotrophic Lateral Sclerosis (ALS) and Spinal Muscular Atrophy (SMA). Brain Sci. 2018, 8, 212, doi:10.3390/brainsci8120212.</w:t>
      </w:r>
    </w:p>
    <w:p w14:paraId="231492E9"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74. </w:t>
      </w:r>
      <w:r w:rsidRPr="006E6EE8">
        <w:rPr>
          <w:rFonts w:ascii="Times New Roman" w:hAnsi="Times New Roman"/>
          <w:sz w:val="24"/>
          <w:szCs w:val="24"/>
        </w:rPr>
        <w:tab/>
        <w:t xml:space="preserve">Abràmoff, M.D.; Magalhães, P.J.; Ram, S.J. Image Processing with ImageJ. </w:t>
      </w:r>
      <w:r w:rsidRPr="006E6EE8">
        <w:rPr>
          <w:rFonts w:ascii="Times New Roman" w:hAnsi="Times New Roman"/>
          <w:i/>
          <w:iCs/>
          <w:sz w:val="24"/>
          <w:szCs w:val="24"/>
        </w:rPr>
        <w:t>Biophotonics Int.</w:t>
      </w:r>
      <w:r w:rsidRPr="006E6EE8">
        <w:rPr>
          <w:rFonts w:ascii="Times New Roman" w:hAnsi="Times New Roman"/>
          <w:sz w:val="24"/>
          <w:szCs w:val="24"/>
        </w:rPr>
        <w:t xml:space="preserve"> </w:t>
      </w:r>
      <w:r w:rsidRPr="006E6EE8">
        <w:rPr>
          <w:rFonts w:ascii="Times New Roman" w:hAnsi="Times New Roman"/>
          <w:b/>
          <w:bCs/>
          <w:sz w:val="24"/>
          <w:szCs w:val="24"/>
        </w:rPr>
        <w:t>2004</w:t>
      </w:r>
      <w:r w:rsidRPr="006E6EE8">
        <w:rPr>
          <w:rFonts w:ascii="Times New Roman" w:hAnsi="Times New Roman"/>
          <w:sz w:val="24"/>
          <w:szCs w:val="24"/>
        </w:rPr>
        <w:t xml:space="preserve">, </w:t>
      </w:r>
      <w:r w:rsidRPr="006E6EE8">
        <w:rPr>
          <w:rFonts w:ascii="Times New Roman" w:hAnsi="Times New Roman"/>
          <w:i/>
          <w:iCs/>
          <w:sz w:val="24"/>
          <w:szCs w:val="24"/>
        </w:rPr>
        <w:t>11</w:t>
      </w:r>
      <w:r w:rsidRPr="006E6EE8">
        <w:rPr>
          <w:rFonts w:ascii="Times New Roman" w:hAnsi="Times New Roman"/>
          <w:sz w:val="24"/>
          <w:szCs w:val="24"/>
        </w:rPr>
        <w:t>, 36–41, doi:10.1201/9781420005615.ax4.</w:t>
      </w:r>
    </w:p>
    <w:p w14:paraId="6754B78E"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sz w:val="24"/>
          <w:szCs w:val="24"/>
        </w:rPr>
        <w:t xml:space="preserve">75. </w:t>
      </w:r>
      <w:r w:rsidRPr="006E6EE8">
        <w:tab/>
      </w:r>
      <w:r w:rsidRPr="006E6EE8">
        <w:rPr>
          <w:rFonts w:ascii="Times New Roman" w:hAnsi="Times New Roman"/>
          <w:sz w:val="24"/>
          <w:szCs w:val="24"/>
        </w:rPr>
        <w:t xml:space="preserve">Schindelin, J.; Arganda-Carreras, I.; Frise, E.; Kaynig, V.; Longair, M.; Pietzsch, T.; Preibisch, S.; Rueden, C.; Saalfeld, S.; Schmid, B.; et al. Fiji: An Open-Source Platform for Biological-Image Analysis. </w:t>
      </w:r>
      <w:r w:rsidRPr="006E6EE8">
        <w:rPr>
          <w:rFonts w:ascii="Times New Roman" w:hAnsi="Times New Roman"/>
          <w:i/>
          <w:iCs/>
          <w:sz w:val="24"/>
          <w:szCs w:val="24"/>
        </w:rPr>
        <w:t>Nat. Methods</w:t>
      </w:r>
      <w:r w:rsidRPr="006E6EE8">
        <w:rPr>
          <w:rFonts w:ascii="Times New Roman" w:hAnsi="Times New Roman"/>
          <w:sz w:val="24"/>
          <w:szCs w:val="24"/>
        </w:rPr>
        <w:t xml:space="preserve"> </w:t>
      </w:r>
      <w:r w:rsidRPr="006E6EE8">
        <w:rPr>
          <w:rFonts w:ascii="Times New Roman" w:hAnsi="Times New Roman"/>
          <w:b/>
          <w:bCs/>
          <w:sz w:val="24"/>
          <w:szCs w:val="24"/>
        </w:rPr>
        <w:t>2012</w:t>
      </w:r>
      <w:r w:rsidRPr="006E6EE8">
        <w:rPr>
          <w:rFonts w:ascii="Times New Roman" w:hAnsi="Times New Roman"/>
          <w:sz w:val="24"/>
          <w:szCs w:val="24"/>
        </w:rPr>
        <w:t xml:space="preserve">, </w:t>
      </w:r>
      <w:r w:rsidRPr="006E6EE8">
        <w:rPr>
          <w:rFonts w:ascii="Times New Roman" w:hAnsi="Times New Roman"/>
          <w:i/>
          <w:iCs/>
          <w:sz w:val="24"/>
          <w:szCs w:val="24"/>
        </w:rPr>
        <w:t>9</w:t>
      </w:r>
      <w:r w:rsidRPr="006E6EE8">
        <w:rPr>
          <w:rFonts w:ascii="Times New Roman" w:hAnsi="Times New Roman"/>
          <w:sz w:val="24"/>
          <w:szCs w:val="24"/>
        </w:rPr>
        <w:t>, 676–682, doi:10.1038/nmeth.2019.</w:t>
      </w:r>
    </w:p>
    <w:p w14:paraId="3812A44B" w14:textId="77777777" w:rsidR="00786B93" w:rsidRPr="006E6EE8" w:rsidRDefault="00786B93" w:rsidP="00786B93">
      <w:pPr>
        <w:widowControl w:val="0"/>
        <w:autoSpaceDE w:val="0"/>
        <w:autoSpaceDN w:val="0"/>
        <w:adjustRightInd w:val="0"/>
        <w:spacing w:line="480" w:lineRule="auto"/>
        <w:ind w:left="640" w:hanging="640"/>
        <w:rPr>
          <w:rFonts w:ascii="Times New Roman" w:hAnsi="Times New Roman"/>
          <w:sz w:val="24"/>
          <w:szCs w:val="24"/>
        </w:rPr>
      </w:pPr>
      <w:r w:rsidRPr="006E6EE8">
        <w:rPr>
          <w:rFonts w:ascii="Times New Roman" w:hAnsi="Times New Roman"/>
          <w:b/>
          <w:bCs/>
          <w:color w:val="2B579A"/>
          <w:sz w:val="24"/>
          <w:szCs w:val="24"/>
          <w:u w:val="single"/>
        </w:rPr>
        <w:fldChar w:fldCharType="end"/>
      </w:r>
      <w:r w:rsidRPr="006E6EE8">
        <w:rPr>
          <w:rFonts w:ascii="Times New Roman" w:hAnsi="Times New Roman"/>
          <w:sz w:val="24"/>
          <w:szCs w:val="24"/>
        </w:rPr>
        <w:t>76.</w:t>
      </w:r>
      <w:r w:rsidRPr="006E6EE8">
        <w:tab/>
      </w:r>
      <w:r w:rsidRPr="006E6EE8">
        <w:rPr>
          <w:rFonts w:ascii="Times New Roman" w:hAnsi="Times New Roman"/>
          <w:sz w:val="24"/>
          <w:szCs w:val="24"/>
        </w:rPr>
        <w:t xml:space="preserve">Perez-Riverol, Y.; Bai1, J.; Bandla, C.; García-Seisdedos, D.; Hewapathirana, S.; Kamatchinathan, S.; Kundu, D.J.; Prakash, A.; Frericks-Zipper, A.; Eisenacher, M.; et al. The PRIDE database resources in 2022: A hub for mass spectrometry-based proteomics evidences. </w:t>
      </w:r>
      <w:r w:rsidRPr="006E6EE8">
        <w:rPr>
          <w:rFonts w:ascii="Times New Roman" w:hAnsi="Times New Roman"/>
          <w:i/>
          <w:iCs/>
          <w:sz w:val="24"/>
          <w:szCs w:val="24"/>
        </w:rPr>
        <w:t>Nucleic Acids Res.</w:t>
      </w:r>
      <w:r w:rsidRPr="006E6EE8">
        <w:rPr>
          <w:rFonts w:ascii="Times New Roman" w:hAnsi="Times New Roman"/>
          <w:sz w:val="24"/>
          <w:szCs w:val="24"/>
        </w:rPr>
        <w:t xml:space="preserve"> </w:t>
      </w:r>
      <w:r w:rsidRPr="006E6EE8">
        <w:rPr>
          <w:rFonts w:ascii="Times New Roman" w:hAnsi="Times New Roman"/>
          <w:b/>
          <w:bCs/>
          <w:sz w:val="24"/>
          <w:szCs w:val="24"/>
        </w:rPr>
        <w:t>2022</w:t>
      </w:r>
      <w:r w:rsidRPr="006E6EE8">
        <w:rPr>
          <w:rFonts w:ascii="Times New Roman" w:hAnsi="Times New Roman"/>
          <w:sz w:val="24"/>
          <w:szCs w:val="24"/>
        </w:rPr>
        <w:t>,</w:t>
      </w:r>
      <w:r w:rsidRPr="006E6EE8">
        <w:rPr>
          <w:rFonts w:ascii="Times New Roman" w:hAnsi="Times New Roman"/>
          <w:i/>
          <w:iCs/>
          <w:sz w:val="24"/>
          <w:szCs w:val="24"/>
          <w:u w:val="single"/>
        </w:rPr>
        <w:t xml:space="preserve"> </w:t>
      </w:r>
      <w:r w:rsidRPr="006E6EE8">
        <w:rPr>
          <w:rFonts w:ascii="Times New Roman" w:hAnsi="Times New Roman"/>
          <w:i/>
          <w:iCs/>
          <w:sz w:val="24"/>
          <w:szCs w:val="24"/>
        </w:rPr>
        <w:t>50</w:t>
      </w:r>
      <w:r w:rsidRPr="006E6EE8">
        <w:rPr>
          <w:rFonts w:ascii="Times New Roman" w:hAnsi="Times New Roman"/>
          <w:sz w:val="24"/>
          <w:szCs w:val="24"/>
        </w:rPr>
        <w:t>, D543-D552, doi:10.1093/nar/gkab1038.</w:t>
      </w:r>
    </w:p>
    <w:p w14:paraId="3E35A5B1" w14:textId="77777777" w:rsidR="00786B93" w:rsidRPr="006E6EE8" w:rsidRDefault="00786B93" w:rsidP="00595196">
      <w:pPr>
        <w:pStyle w:val="MDPI21heading1"/>
      </w:pPr>
      <w:bookmarkStart w:id="12" w:name="_Hlk109744606"/>
      <w:r w:rsidRPr="006E6EE8">
        <w:t>Abbreviations</w:t>
      </w:r>
    </w:p>
    <w:p w14:paraId="2B2245FA" w14:textId="77777777" w:rsidR="00786B93" w:rsidRPr="006E6EE8" w:rsidRDefault="00786B93" w:rsidP="00595196">
      <w:pPr>
        <w:pStyle w:val="MDPI31text"/>
      </w:pPr>
      <w:r w:rsidRPr="006E6EE8">
        <w:t xml:space="preserve">eIF2 &amp; eIF4 – Eukaryotic initiation factor 2 &amp; 4 </w:t>
      </w:r>
    </w:p>
    <w:p w14:paraId="5CE35705" w14:textId="77777777" w:rsidR="00786B93" w:rsidRPr="006E6EE8" w:rsidRDefault="00786B93" w:rsidP="00595196">
      <w:pPr>
        <w:pStyle w:val="MDPI31text"/>
      </w:pPr>
      <w:r w:rsidRPr="006E6EE8">
        <w:t xml:space="preserve">IMP1 - Insulin-like growth factor 2 mRNA-binding protein 1 </w:t>
      </w:r>
    </w:p>
    <w:p w14:paraId="188E346F" w14:textId="77777777" w:rsidR="00786B93" w:rsidRPr="006E6EE8" w:rsidRDefault="00786B93" w:rsidP="00595196">
      <w:pPr>
        <w:pStyle w:val="MDPI31text"/>
      </w:pPr>
      <w:r w:rsidRPr="006E6EE8">
        <w:t>IPA – Ingenuity Pathway Analysis</w:t>
      </w:r>
    </w:p>
    <w:p w14:paraId="227E4318" w14:textId="77777777" w:rsidR="00786B93" w:rsidRPr="006E6EE8" w:rsidRDefault="00786B93" w:rsidP="00595196">
      <w:pPr>
        <w:pStyle w:val="MDPI31text"/>
      </w:pPr>
      <w:r w:rsidRPr="006E6EE8">
        <w:t>mTOR – Mammalian target of rapamycin</w:t>
      </w:r>
    </w:p>
    <w:p w14:paraId="78BA5DBE" w14:textId="73770E38" w:rsidR="00786B93" w:rsidRPr="006E6EE8" w:rsidRDefault="00786B93" w:rsidP="00595196">
      <w:pPr>
        <w:pStyle w:val="MDPI31text"/>
      </w:pPr>
      <w:r w:rsidRPr="006E6EE8">
        <w:t>PYGB – Glycogen phosphorylase, brain form</w:t>
      </w:r>
    </w:p>
    <w:p w14:paraId="20AB4BD2" w14:textId="77777777" w:rsidR="00786B93" w:rsidRPr="006E6EE8" w:rsidRDefault="00786B93" w:rsidP="00595196">
      <w:pPr>
        <w:pStyle w:val="MDPI31text"/>
      </w:pPr>
      <w:r w:rsidRPr="006E6EE8">
        <w:t>RAB3B – Ras-related protein Rab-3B</w:t>
      </w:r>
    </w:p>
    <w:p w14:paraId="66886C43" w14:textId="77777777" w:rsidR="00786B93" w:rsidRPr="006E6EE8" w:rsidRDefault="00786B93" w:rsidP="00595196">
      <w:pPr>
        <w:pStyle w:val="MDPI31text"/>
      </w:pPr>
      <w:r w:rsidRPr="006E6EE8">
        <w:t>RHO – Ras homologous protein family</w:t>
      </w:r>
    </w:p>
    <w:p w14:paraId="1AAE304B" w14:textId="77777777" w:rsidR="00786B93" w:rsidRPr="006E6EE8" w:rsidRDefault="00786B93" w:rsidP="00595196">
      <w:pPr>
        <w:pStyle w:val="MDPI31text"/>
      </w:pPr>
      <w:r w:rsidRPr="006E6EE8">
        <w:t>SMA – Spinal Muscular Atrophy</w:t>
      </w:r>
    </w:p>
    <w:p w14:paraId="277F5A94" w14:textId="77777777" w:rsidR="00786B93" w:rsidRPr="006E6EE8" w:rsidRDefault="00786B93" w:rsidP="00595196">
      <w:pPr>
        <w:pStyle w:val="MDPI31text"/>
      </w:pPr>
      <w:r w:rsidRPr="006E6EE8">
        <w:t>SMN – Survival of Motor Neurone</w:t>
      </w:r>
    </w:p>
    <w:p w14:paraId="5BC2B57B" w14:textId="77777777" w:rsidR="00786B93" w:rsidRPr="006E6EE8" w:rsidRDefault="00786B93" w:rsidP="00595196">
      <w:pPr>
        <w:pStyle w:val="MDPI31text"/>
      </w:pPr>
      <w:r w:rsidRPr="006E6EE8">
        <w:t xml:space="preserve">STAT1 - Signal transducer and activator of transcription 1-alpha/beta </w:t>
      </w:r>
    </w:p>
    <w:p w14:paraId="57B92818" w14:textId="77777777" w:rsidR="00786B93" w:rsidRPr="00EC451D" w:rsidRDefault="00786B93" w:rsidP="00595196">
      <w:pPr>
        <w:pStyle w:val="MDPI31text"/>
      </w:pPr>
      <w:r w:rsidRPr="006E6EE8">
        <w:t>SWATH-MS - Sequential Window Acquisition of all Theoretical mass spectra</w:t>
      </w:r>
      <w:bookmarkEnd w:id="12"/>
    </w:p>
    <w:p w14:paraId="7543F695" w14:textId="77777777" w:rsidR="00480258" w:rsidRPr="00786B93" w:rsidRDefault="00480258" w:rsidP="00786B93"/>
    <w:sectPr w:rsidR="00480258" w:rsidRPr="00786B93" w:rsidSect="00595196">
      <w:headerReference w:type="even" r:id="rId17"/>
      <w:headerReference w:type="default" r:id="rId18"/>
      <w:footerReference w:type="default" r:id="rId19"/>
      <w:headerReference w:type="first" r:id="rId20"/>
      <w:footerReference w:type="first" r:id="rId21"/>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0F574" w14:textId="77777777" w:rsidR="002C07B9" w:rsidRDefault="002C07B9">
      <w:pPr>
        <w:spacing w:line="240" w:lineRule="auto"/>
      </w:pPr>
      <w:r>
        <w:separator/>
      </w:r>
    </w:p>
  </w:endnote>
  <w:endnote w:type="continuationSeparator" w:id="0">
    <w:p w14:paraId="5BE8952A" w14:textId="77777777" w:rsidR="002C07B9" w:rsidRDefault="002C07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54B5F" w14:textId="77777777" w:rsidR="00971111" w:rsidRPr="00F2034D" w:rsidRDefault="00971111" w:rsidP="00971111">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0D28E" w14:textId="77777777" w:rsidR="00BA1073" w:rsidRDefault="00BA1073" w:rsidP="00C248F9">
    <w:pPr>
      <w:pBdr>
        <w:top w:val="single" w:sz="4" w:space="0" w:color="000000"/>
      </w:pBdr>
      <w:tabs>
        <w:tab w:val="right" w:pos="8844"/>
      </w:tabs>
      <w:adjustRightInd w:val="0"/>
      <w:snapToGrid w:val="0"/>
      <w:spacing w:before="480" w:line="100" w:lineRule="exact"/>
      <w:jc w:val="left"/>
      <w:rPr>
        <w:i/>
        <w:sz w:val="16"/>
        <w:szCs w:val="16"/>
      </w:rPr>
    </w:pPr>
  </w:p>
  <w:p w14:paraId="075A5F97" w14:textId="77777777" w:rsidR="00971111" w:rsidRPr="00372FCD" w:rsidRDefault="00971111" w:rsidP="00154913">
    <w:pPr>
      <w:tabs>
        <w:tab w:val="right" w:pos="10466"/>
      </w:tabs>
      <w:adjustRightInd w:val="0"/>
      <w:snapToGrid w:val="0"/>
      <w:spacing w:line="240" w:lineRule="auto"/>
      <w:rPr>
        <w:sz w:val="16"/>
        <w:szCs w:val="16"/>
        <w:lang w:val="fr-CH"/>
      </w:rPr>
    </w:pPr>
    <w:r w:rsidRPr="00547466">
      <w:rPr>
        <w:i/>
        <w:sz w:val="16"/>
        <w:szCs w:val="16"/>
      </w:rPr>
      <w:t>Cells</w:t>
    </w:r>
    <w:r>
      <w:rPr>
        <w:i/>
        <w:sz w:val="16"/>
        <w:szCs w:val="16"/>
      </w:rPr>
      <w:t xml:space="preserve"> </w:t>
    </w:r>
    <w:r w:rsidR="000F3D7C">
      <w:rPr>
        <w:b/>
        <w:bCs/>
        <w:iCs/>
        <w:sz w:val="16"/>
        <w:szCs w:val="16"/>
      </w:rPr>
      <w:t>2022</w:t>
    </w:r>
    <w:r w:rsidR="005C3BB4" w:rsidRPr="005C3BB4">
      <w:rPr>
        <w:bCs/>
        <w:iCs/>
        <w:sz w:val="16"/>
        <w:szCs w:val="16"/>
      </w:rPr>
      <w:t>,</w:t>
    </w:r>
    <w:r w:rsidR="000F3D7C">
      <w:rPr>
        <w:bCs/>
        <w:i/>
        <w:iCs/>
        <w:sz w:val="16"/>
        <w:szCs w:val="16"/>
      </w:rPr>
      <w:t xml:space="preserve"> 11</w:t>
    </w:r>
    <w:r w:rsidR="005C3BB4" w:rsidRPr="005C3BB4">
      <w:rPr>
        <w:bCs/>
        <w:iCs/>
        <w:sz w:val="16"/>
        <w:szCs w:val="16"/>
      </w:rPr>
      <w:t xml:space="preserve">, </w:t>
    </w:r>
    <w:r w:rsidR="003F6859">
      <w:rPr>
        <w:bCs/>
        <w:iCs/>
        <w:sz w:val="16"/>
        <w:szCs w:val="16"/>
      </w:rPr>
      <w:t>x</w:t>
    </w:r>
    <w:r w:rsidR="00BA1073">
      <w:rPr>
        <w:bCs/>
        <w:iCs/>
        <w:sz w:val="16"/>
        <w:szCs w:val="16"/>
      </w:rPr>
      <w:t>. https://doi.org/10.3390/xxxxx</w:t>
    </w:r>
    <w:r w:rsidR="00154913" w:rsidRPr="00372FCD">
      <w:rPr>
        <w:sz w:val="16"/>
        <w:szCs w:val="16"/>
        <w:lang w:val="fr-CH"/>
      </w:rPr>
      <w:tab/>
    </w:r>
    <w:r w:rsidRPr="00372FCD">
      <w:rPr>
        <w:sz w:val="16"/>
        <w:szCs w:val="16"/>
        <w:lang w:val="fr-CH"/>
      </w:rPr>
      <w:t>www.mdpi.com/journal/</w:t>
    </w:r>
    <w:r w:rsidRPr="00547466">
      <w:rPr>
        <w:sz w:val="16"/>
        <w:szCs w:val="16"/>
      </w:rPr>
      <w:t>cells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E18F4" w14:textId="77777777" w:rsidR="002C07B9" w:rsidRDefault="002C07B9">
      <w:pPr>
        <w:spacing w:line="240" w:lineRule="auto"/>
      </w:pPr>
      <w:r>
        <w:separator/>
      </w:r>
    </w:p>
  </w:footnote>
  <w:footnote w:type="continuationSeparator" w:id="0">
    <w:p w14:paraId="20EE51F2" w14:textId="77777777" w:rsidR="002C07B9" w:rsidRDefault="002C07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17A2" w14:textId="77777777" w:rsidR="00971111" w:rsidRDefault="00971111" w:rsidP="00971111">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34836" w14:textId="77777777" w:rsidR="00BA1073" w:rsidRDefault="00971111" w:rsidP="00154913">
    <w:pPr>
      <w:tabs>
        <w:tab w:val="right" w:pos="10466"/>
      </w:tabs>
      <w:adjustRightInd w:val="0"/>
      <w:snapToGrid w:val="0"/>
      <w:spacing w:line="240" w:lineRule="auto"/>
      <w:rPr>
        <w:sz w:val="16"/>
      </w:rPr>
    </w:pPr>
    <w:r>
      <w:rPr>
        <w:i/>
        <w:sz w:val="16"/>
      </w:rPr>
      <w:t xml:space="preserve">Cells </w:t>
    </w:r>
    <w:r w:rsidR="000F3D7C">
      <w:rPr>
        <w:b/>
        <w:sz w:val="16"/>
      </w:rPr>
      <w:t>2022</w:t>
    </w:r>
    <w:r w:rsidR="005C3BB4" w:rsidRPr="005C3BB4">
      <w:rPr>
        <w:sz w:val="16"/>
      </w:rPr>
      <w:t>,</w:t>
    </w:r>
    <w:r w:rsidR="000F3D7C">
      <w:rPr>
        <w:i/>
        <w:sz w:val="16"/>
      </w:rPr>
      <w:t xml:space="preserve"> 11</w:t>
    </w:r>
    <w:r w:rsidR="003F6859">
      <w:rPr>
        <w:sz w:val="16"/>
      </w:rPr>
      <w:t>, x FOR PEER REVIEW</w:t>
    </w:r>
    <w:r w:rsidR="00154913">
      <w:rPr>
        <w:sz w:val="16"/>
      </w:rPr>
      <w:tab/>
    </w:r>
    <w:r w:rsidR="003F6859">
      <w:rPr>
        <w:sz w:val="16"/>
      </w:rPr>
      <w:fldChar w:fldCharType="begin"/>
    </w:r>
    <w:r w:rsidR="003F6859">
      <w:rPr>
        <w:sz w:val="16"/>
      </w:rPr>
      <w:instrText xml:space="preserve"> PAGE   \* MERGEFORMAT </w:instrText>
    </w:r>
    <w:r w:rsidR="003F6859">
      <w:rPr>
        <w:sz w:val="16"/>
      </w:rPr>
      <w:fldChar w:fldCharType="separate"/>
    </w:r>
    <w:r w:rsidR="00724E98">
      <w:rPr>
        <w:sz w:val="16"/>
      </w:rPr>
      <w:t>5</w:t>
    </w:r>
    <w:r w:rsidR="003F6859">
      <w:rPr>
        <w:sz w:val="16"/>
      </w:rPr>
      <w:fldChar w:fldCharType="end"/>
    </w:r>
    <w:r w:rsidR="003F6859">
      <w:rPr>
        <w:sz w:val="16"/>
      </w:rPr>
      <w:t xml:space="preserve"> of </w:t>
    </w:r>
    <w:r w:rsidR="003F6859">
      <w:rPr>
        <w:sz w:val="16"/>
      </w:rPr>
      <w:fldChar w:fldCharType="begin"/>
    </w:r>
    <w:r w:rsidR="003F6859">
      <w:rPr>
        <w:sz w:val="16"/>
      </w:rPr>
      <w:instrText xml:space="preserve"> NUMPAGES   \* MERGEFORMAT </w:instrText>
    </w:r>
    <w:r w:rsidR="003F6859">
      <w:rPr>
        <w:sz w:val="16"/>
      </w:rPr>
      <w:fldChar w:fldCharType="separate"/>
    </w:r>
    <w:r w:rsidR="00724E98">
      <w:rPr>
        <w:sz w:val="16"/>
      </w:rPr>
      <w:t>5</w:t>
    </w:r>
    <w:r w:rsidR="003F6859">
      <w:rPr>
        <w:sz w:val="16"/>
      </w:rPr>
      <w:fldChar w:fldCharType="end"/>
    </w:r>
  </w:p>
  <w:p w14:paraId="088609F3" w14:textId="77777777" w:rsidR="00971111" w:rsidRPr="0013498B" w:rsidRDefault="00971111" w:rsidP="00C248F9">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BA1073" w:rsidRPr="00154913" w14:paraId="349E8BEC" w14:textId="77777777" w:rsidTr="00154913">
      <w:trPr>
        <w:trHeight w:val="686"/>
      </w:trPr>
      <w:tc>
        <w:tcPr>
          <w:tcW w:w="3679" w:type="dxa"/>
          <w:shd w:val="clear" w:color="auto" w:fill="auto"/>
          <w:vAlign w:val="center"/>
        </w:tcPr>
        <w:p w14:paraId="0F1F04D7" w14:textId="77777777" w:rsidR="00BA1073" w:rsidRPr="00910C8D" w:rsidRDefault="00933314" w:rsidP="00154913">
          <w:pPr>
            <w:pStyle w:val="Header"/>
            <w:pBdr>
              <w:bottom w:val="none" w:sz="0" w:space="0" w:color="auto"/>
            </w:pBdr>
            <w:jc w:val="left"/>
            <w:rPr>
              <w:rFonts w:eastAsia="DengXian"/>
              <w:b/>
              <w:bCs/>
            </w:rPr>
          </w:pPr>
          <w:r w:rsidRPr="00910C8D">
            <w:rPr>
              <w:rFonts w:eastAsia="DengXian"/>
              <w:b/>
              <w:bCs/>
              <w:noProof/>
            </w:rPr>
            <w:drawing>
              <wp:inline distT="0" distB="0" distL="0" distR="0" wp14:anchorId="106E9603" wp14:editId="7D7D9BB8">
                <wp:extent cx="1198245" cy="429260"/>
                <wp:effectExtent l="0" t="0" r="0" b="0"/>
                <wp:docPr id="1" name="Picture 5" descr="C:\Users\home\Desktop\logos\带白边的logo\Biology-Data\Cells\Cells_high-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带白边的logo\Biology-Data\Cells\Cells_high-01.png"/>
                        <pic:cNvPicPr>
                          <a:picLocks noChangeAspect="1" noChangeArrowheads="1"/>
                        </pic:cNvPicPr>
                      </pic:nvPicPr>
                      <pic:blipFill>
                        <a:blip r:embed="rId1">
                          <a:extLst>
                            <a:ext uri="{28A0092B-C50C-407E-A947-70E740481C1C}">
                              <a14:useLocalDpi xmlns:a14="http://schemas.microsoft.com/office/drawing/2010/main" val="0"/>
                            </a:ext>
                          </a:extLst>
                        </a:blip>
                        <a:srcRect l="4626" t="10658" b="9895"/>
                        <a:stretch>
                          <a:fillRect/>
                        </a:stretch>
                      </pic:blipFill>
                      <pic:spPr bwMode="auto">
                        <a:xfrm>
                          <a:off x="0" y="0"/>
                          <a:ext cx="1198245" cy="429260"/>
                        </a:xfrm>
                        <a:prstGeom prst="rect">
                          <a:avLst/>
                        </a:prstGeom>
                        <a:noFill/>
                        <a:ln>
                          <a:noFill/>
                        </a:ln>
                      </pic:spPr>
                    </pic:pic>
                  </a:graphicData>
                </a:graphic>
              </wp:inline>
            </w:drawing>
          </w:r>
        </w:p>
      </w:tc>
      <w:tc>
        <w:tcPr>
          <w:tcW w:w="4535" w:type="dxa"/>
          <w:shd w:val="clear" w:color="auto" w:fill="auto"/>
          <w:vAlign w:val="center"/>
        </w:tcPr>
        <w:p w14:paraId="340958B0" w14:textId="77777777" w:rsidR="00BA1073" w:rsidRPr="00910C8D" w:rsidRDefault="00BA1073" w:rsidP="00154913">
          <w:pPr>
            <w:pStyle w:val="Header"/>
            <w:pBdr>
              <w:bottom w:val="none" w:sz="0" w:space="0" w:color="auto"/>
            </w:pBdr>
            <w:rPr>
              <w:rFonts w:eastAsia="DengXian"/>
              <w:b/>
              <w:bCs/>
            </w:rPr>
          </w:pPr>
        </w:p>
      </w:tc>
      <w:tc>
        <w:tcPr>
          <w:tcW w:w="2273" w:type="dxa"/>
          <w:shd w:val="clear" w:color="auto" w:fill="auto"/>
          <w:vAlign w:val="center"/>
        </w:tcPr>
        <w:p w14:paraId="659C34B2" w14:textId="77777777" w:rsidR="00BA1073" w:rsidRPr="00910C8D" w:rsidRDefault="00933314" w:rsidP="00154913">
          <w:pPr>
            <w:pStyle w:val="Header"/>
            <w:pBdr>
              <w:bottom w:val="none" w:sz="0" w:space="0" w:color="auto"/>
            </w:pBdr>
            <w:jc w:val="right"/>
            <w:rPr>
              <w:rFonts w:eastAsia="DengXian"/>
              <w:b/>
              <w:bCs/>
            </w:rPr>
          </w:pPr>
          <w:r w:rsidRPr="00910C8D">
            <w:rPr>
              <w:rFonts w:eastAsia="DengXian"/>
              <w:b/>
              <w:bCs/>
              <w:noProof/>
            </w:rPr>
            <w:drawing>
              <wp:inline distT="0" distB="0" distL="0" distR="0" wp14:anchorId="56CBEF9B" wp14:editId="68B4009F">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416AAEDB" w14:textId="77777777" w:rsidR="00971111" w:rsidRPr="00BA1073" w:rsidRDefault="00971111" w:rsidP="00C248F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6105"/>
    <w:multiLevelType w:val="hybridMultilevel"/>
    <w:tmpl w:val="98742ED4"/>
    <w:lvl w:ilvl="0" w:tplc="78BE6ECA">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12A57"/>
    <w:multiLevelType w:val="multilevel"/>
    <w:tmpl w:val="2B048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B468F5"/>
    <w:multiLevelType w:val="hybridMultilevel"/>
    <w:tmpl w:val="79B0AFE2"/>
    <w:lvl w:ilvl="0" w:tplc="B85E74A0">
      <w:start w:val="1"/>
      <w:numFmt w:val="decimal"/>
      <w:lvlRestart w:val="0"/>
      <w:pStyle w:val="MDPI71Referenc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D008A1"/>
    <w:multiLevelType w:val="hybridMultilevel"/>
    <w:tmpl w:val="007850F4"/>
    <w:lvl w:ilvl="0" w:tplc="896219D2">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6F5D"/>
    <w:multiLevelType w:val="hybridMultilevel"/>
    <w:tmpl w:val="E17ABB1E"/>
    <w:lvl w:ilvl="0" w:tplc="2B523C5C">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892F8D"/>
    <w:multiLevelType w:val="hybridMultilevel"/>
    <w:tmpl w:val="DD64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38FB39D2"/>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AB41C5D"/>
    <w:multiLevelType w:val="hybridMultilevel"/>
    <w:tmpl w:val="B9F69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075B53"/>
    <w:multiLevelType w:val="hybridMultilevel"/>
    <w:tmpl w:val="CF2AF3F6"/>
    <w:lvl w:ilvl="0" w:tplc="8B5CC5CC">
      <w:start w:val="1"/>
      <w:numFmt w:val="decimal"/>
      <w:lvlRestart w:val="0"/>
      <w:pStyle w:val="MDPI37itemize"/>
      <w:lvlText w:val="%1."/>
      <w:lvlJc w:val="left"/>
      <w:pPr>
        <w:ind w:left="3033" w:hanging="425"/>
      </w:pPr>
      <w:rPr>
        <w:vertAlign w:val="superscript"/>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4" w15:restartNumberingAfterBreak="0">
    <w:nsid w:val="54FF027B"/>
    <w:multiLevelType w:val="multilevel"/>
    <w:tmpl w:val="934EAC0A"/>
    <w:lvl w:ilvl="0">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64E4265"/>
    <w:multiLevelType w:val="multilevel"/>
    <w:tmpl w:val="B9CA1194"/>
    <w:lvl w:ilvl="0">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EA5AA7"/>
    <w:multiLevelType w:val="multilevel"/>
    <w:tmpl w:val="1FC66240"/>
    <w:lvl w:ilvl="0">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7A444CD"/>
    <w:multiLevelType w:val="multilevel"/>
    <w:tmpl w:val="65B89D74"/>
    <w:lvl w:ilvl="0">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E3951D9"/>
    <w:multiLevelType w:val="hybridMultilevel"/>
    <w:tmpl w:val="8AB6F21E"/>
    <w:lvl w:ilvl="0" w:tplc="F878BDA4">
      <w:start w:val="1"/>
      <w:numFmt w:val="bullet"/>
      <w:lvlText w:val="•"/>
      <w:lvlJc w:val="left"/>
      <w:pPr>
        <w:tabs>
          <w:tab w:val="num" w:pos="720"/>
        </w:tabs>
        <w:ind w:left="720" w:hanging="360"/>
      </w:pPr>
      <w:rPr>
        <w:rFonts w:ascii="Arial" w:hAnsi="Arial" w:hint="default"/>
      </w:rPr>
    </w:lvl>
    <w:lvl w:ilvl="1" w:tplc="FFFFFFFF">
      <w:numFmt w:val="decimal"/>
      <w:lvlText w:val=""/>
      <w:lvlJc w:val="left"/>
      <w:pPr>
        <w:tabs>
          <w:tab w:val="num" w:pos="360"/>
        </w:tabs>
      </w:pPr>
    </w:lvl>
    <w:lvl w:ilvl="2" w:tplc="DE0C1406" w:tentative="1">
      <w:start w:val="1"/>
      <w:numFmt w:val="bullet"/>
      <w:lvlText w:val="•"/>
      <w:lvlJc w:val="left"/>
      <w:pPr>
        <w:tabs>
          <w:tab w:val="num" w:pos="2160"/>
        </w:tabs>
        <w:ind w:left="2160" w:hanging="360"/>
      </w:pPr>
      <w:rPr>
        <w:rFonts w:ascii="Arial" w:hAnsi="Arial" w:hint="default"/>
      </w:rPr>
    </w:lvl>
    <w:lvl w:ilvl="3" w:tplc="97B22FF0" w:tentative="1">
      <w:start w:val="1"/>
      <w:numFmt w:val="bullet"/>
      <w:lvlText w:val="•"/>
      <w:lvlJc w:val="left"/>
      <w:pPr>
        <w:tabs>
          <w:tab w:val="num" w:pos="2880"/>
        </w:tabs>
        <w:ind w:left="2880" w:hanging="360"/>
      </w:pPr>
      <w:rPr>
        <w:rFonts w:ascii="Arial" w:hAnsi="Arial" w:hint="default"/>
      </w:rPr>
    </w:lvl>
    <w:lvl w:ilvl="4" w:tplc="91946DF8" w:tentative="1">
      <w:start w:val="1"/>
      <w:numFmt w:val="bullet"/>
      <w:lvlText w:val="•"/>
      <w:lvlJc w:val="left"/>
      <w:pPr>
        <w:tabs>
          <w:tab w:val="num" w:pos="3600"/>
        </w:tabs>
        <w:ind w:left="3600" w:hanging="360"/>
      </w:pPr>
      <w:rPr>
        <w:rFonts w:ascii="Arial" w:hAnsi="Arial" w:hint="default"/>
      </w:rPr>
    </w:lvl>
    <w:lvl w:ilvl="5" w:tplc="35961396" w:tentative="1">
      <w:start w:val="1"/>
      <w:numFmt w:val="bullet"/>
      <w:lvlText w:val="•"/>
      <w:lvlJc w:val="left"/>
      <w:pPr>
        <w:tabs>
          <w:tab w:val="num" w:pos="4320"/>
        </w:tabs>
        <w:ind w:left="4320" w:hanging="360"/>
      </w:pPr>
      <w:rPr>
        <w:rFonts w:ascii="Arial" w:hAnsi="Arial" w:hint="default"/>
      </w:rPr>
    </w:lvl>
    <w:lvl w:ilvl="6" w:tplc="DCF88F0E" w:tentative="1">
      <w:start w:val="1"/>
      <w:numFmt w:val="bullet"/>
      <w:lvlText w:val="•"/>
      <w:lvlJc w:val="left"/>
      <w:pPr>
        <w:tabs>
          <w:tab w:val="num" w:pos="5040"/>
        </w:tabs>
        <w:ind w:left="5040" w:hanging="360"/>
      </w:pPr>
      <w:rPr>
        <w:rFonts w:ascii="Arial" w:hAnsi="Arial" w:hint="default"/>
      </w:rPr>
    </w:lvl>
    <w:lvl w:ilvl="7" w:tplc="90768DE2" w:tentative="1">
      <w:start w:val="1"/>
      <w:numFmt w:val="bullet"/>
      <w:lvlText w:val="•"/>
      <w:lvlJc w:val="left"/>
      <w:pPr>
        <w:tabs>
          <w:tab w:val="num" w:pos="5760"/>
        </w:tabs>
        <w:ind w:left="5760" w:hanging="360"/>
      </w:pPr>
      <w:rPr>
        <w:rFonts w:ascii="Arial" w:hAnsi="Arial" w:hint="default"/>
      </w:rPr>
    </w:lvl>
    <w:lvl w:ilvl="8" w:tplc="B5F6140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934B56"/>
    <w:multiLevelType w:val="hybridMultilevel"/>
    <w:tmpl w:val="CE02A670"/>
    <w:lvl w:ilvl="0" w:tplc="07ACB6A8">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num w:numId="1">
    <w:abstractNumId w:val="7"/>
  </w:num>
  <w:num w:numId="2">
    <w:abstractNumId w:val="9"/>
  </w:num>
  <w:num w:numId="3">
    <w:abstractNumId w:val="5"/>
  </w:num>
  <w:num w:numId="4">
    <w:abstractNumId w:val="8"/>
  </w:num>
  <w:num w:numId="5">
    <w:abstractNumId w:val="13"/>
  </w:num>
  <w:num w:numId="6">
    <w:abstractNumId w:val="4"/>
  </w:num>
  <w:num w:numId="7">
    <w:abstractNumId w:val="13"/>
  </w:num>
  <w:num w:numId="8">
    <w:abstractNumId w:val="4"/>
  </w:num>
  <w:num w:numId="9">
    <w:abstractNumId w:val="13"/>
  </w:num>
  <w:num w:numId="10">
    <w:abstractNumId w:val="4"/>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0"/>
  </w:num>
  <w:num w:numId="14">
    <w:abstractNumId w:val="13"/>
  </w:num>
  <w:num w:numId="15">
    <w:abstractNumId w:val="4"/>
  </w:num>
  <w:num w:numId="16">
    <w:abstractNumId w:val="2"/>
  </w:num>
  <w:num w:numId="17">
    <w:abstractNumId w:val="12"/>
  </w:num>
  <w:num w:numId="18">
    <w:abstractNumId w:val="2"/>
  </w:num>
  <w:num w:numId="19">
    <w:abstractNumId w:val="13"/>
  </w:num>
  <w:num w:numId="20">
    <w:abstractNumId w:val="4"/>
  </w:num>
  <w:num w:numId="21">
    <w:abstractNumId w:val="2"/>
  </w:num>
  <w:num w:numId="22">
    <w:abstractNumId w:val="21"/>
  </w:num>
  <w:num w:numId="23">
    <w:abstractNumId w:val="3"/>
  </w:num>
  <w:num w:numId="24">
    <w:abstractNumId w:val="14"/>
  </w:num>
  <w:num w:numId="25">
    <w:abstractNumId w:val="15"/>
  </w:num>
  <w:num w:numId="26">
    <w:abstractNumId w:val="17"/>
  </w:num>
  <w:num w:numId="27">
    <w:abstractNumId w:val="18"/>
  </w:num>
  <w:num w:numId="28">
    <w:abstractNumId w:val="6"/>
  </w:num>
  <w:num w:numId="29">
    <w:abstractNumId w:val="11"/>
  </w:num>
  <w:num w:numId="30">
    <w:abstractNumId w:val="1"/>
  </w:num>
  <w:num w:numId="31">
    <w:abstractNumId w:val="10"/>
  </w:num>
  <w:num w:numId="32">
    <w:abstractNumId w:val="19"/>
  </w:num>
  <w:num w:numId="33">
    <w:abstractNumId w:val="13"/>
  </w:num>
  <w:num w:numId="34">
    <w:abstractNumId w:val="4"/>
  </w:num>
  <w:num w:numId="35">
    <w:abstractNumId w:val="0"/>
  </w:num>
  <w:num w:numId="36">
    <w:abstractNumId w:val="2"/>
  </w:num>
  <w:num w:numId="37">
    <w:abstractNumId w:val="13"/>
  </w:num>
  <w:num w:numId="38">
    <w:abstractNumId w:val="4"/>
  </w:num>
  <w:num w:numId="39">
    <w:abstractNumId w:val="0"/>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93"/>
    <w:rsid w:val="000077D0"/>
    <w:rsid w:val="00014B2D"/>
    <w:rsid w:val="000305D3"/>
    <w:rsid w:val="00035B8D"/>
    <w:rsid w:val="00036FA8"/>
    <w:rsid w:val="00056CB1"/>
    <w:rsid w:val="0007350A"/>
    <w:rsid w:val="00076226"/>
    <w:rsid w:val="0008004C"/>
    <w:rsid w:val="000B6527"/>
    <w:rsid w:val="000C0D7C"/>
    <w:rsid w:val="000C31B9"/>
    <w:rsid w:val="000E4397"/>
    <w:rsid w:val="000F3D7C"/>
    <w:rsid w:val="000F774C"/>
    <w:rsid w:val="0010080C"/>
    <w:rsid w:val="001330A9"/>
    <w:rsid w:val="00141264"/>
    <w:rsid w:val="00146297"/>
    <w:rsid w:val="00154913"/>
    <w:rsid w:val="00156246"/>
    <w:rsid w:val="00173C7D"/>
    <w:rsid w:val="001A27D0"/>
    <w:rsid w:val="001C0209"/>
    <w:rsid w:val="001E2AEB"/>
    <w:rsid w:val="001E2C02"/>
    <w:rsid w:val="001E69A6"/>
    <w:rsid w:val="002108BB"/>
    <w:rsid w:val="00222C4C"/>
    <w:rsid w:val="002230EE"/>
    <w:rsid w:val="00236BEF"/>
    <w:rsid w:val="00264A8B"/>
    <w:rsid w:val="002718E3"/>
    <w:rsid w:val="00292B87"/>
    <w:rsid w:val="00293B61"/>
    <w:rsid w:val="002A7CBF"/>
    <w:rsid w:val="002C07B9"/>
    <w:rsid w:val="002E0674"/>
    <w:rsid w:val="0032364D"/>
    <w:rsid w:val="00325235"/>
    <w:rsid w:val="00326141"/>
    <w:rsid w:val="003531E5"/>
    <w:rsid w:val="00363CEF"/>
    <w:rsid w:val="00374F45"/>
    <w:rsid w:val="00385063"/>
    <w:rsid w:val="0039076D"/>
    <w:rsid w:val="003A7FD6"/>
    <w:rsid w:val="003B25B0"/>
    <w:rsid w:val="003B5FC2"/>
    <w:rsid w:val="003D0897"/>
    <w:rsid w:val="003D13B3"/>
    <w:rsid w:val="003F5D54"/>
    <w:rsid w:val="003F6859"/>
    <w:rsid w:val="00401D30"/>
    <w:rsid w:val="00411346"/>
    <w:rsid w:val="004377F7"/>
    <w:rsid w:val="00442299"/>
    <w:rsid w:val="00445E9E"/>
    <w:rsid w:val="0046597E"/>
    <w:rsid w:val="00480258"/>
    <w:rsid w:val="00480683"/>
    <w:rsid w:val="004A0E15"/>
    <w:rsid w:val="004A1646"/>
    <w:rsid w:val="004A3674"/>
    <w:rsid w:val="004B2B04"/>
    <w:rsid w:val="004E10F3"/>
    <w:rsid w:val="004E6A47"/>
    <w:rsid w:val="004F4CA8"/>
    <w:rsid w:val="005228A4"/>
    <w:rsid w:val="0053202B"/>
    <w:rsid w:val="005665FF"/>
    <w:rsid w:val="00571B42"/>
    <w:rsid w:val="00577C42"/>
    <w:rsid w:val="00587467"/>
    <w:rsid w:val="00587A2B"/>
    <w:rsid w:val="00594844"/>
    <w:rsid w:val="00595196"/>
    <w:rsid w:val="005A13A0"/>
    <w:rsid w:val="005B101F"/>
    <w:rsid w:val="005C3BB4"/>
    <w:rsid w:val="005E28D6"/>
    <w:rsid w:val="005F77B7"/>
    <w:rsid w:val="006115E5"/>
    <w:rsid w:val="00614122"/>
    <w:rsid w:val="00617902"/>
    <w:rsid w:val="006208D1"/>
    <w:rsid w:val="00632A1C"/>
    <w:rsid w:val="006573CF"/>
    <w:rsid w:val="00657CE6"/>
    <w:rsid w:val="00670A10"/>
    <w:rsid w:val="0067316F"/>
    <w:rsid w:val="006736B6"/>
    <w:rsid w:val="00674463"/>
    <w:rsid w:val="006834F1"/>
    <w:rsid w:val="00687DF5"/>
    <w:rsid w:val="00692393"/>
    <w:rsid w:val="006C3737"/>
    <w:rsid w:val="006E6EE8"/>
    <w:rsid w:val="0072010E"/>
    <w:rsid w:val="0072289F"/>
    <w:rsid w:val="00723F43"/>
    <w:rsid w:val="00724E98"/>
    <w:rsid w:val="0073548A"/>
    <w:rsid w:val="007726AA"/>
    <w:rsid w:val="00786B93"/>
    <w:rsid w:val="007A27D9"/>
    <w:rsid w:val="007A78F7"/>
    <w:rsid w:val="007C091E"/>
    <w:rsid w:val="007E144A"/>
    <w:rsid w:val="007E4849"/>
    <w:rsid w:val="007E5152"/>
    <w:rsid w:val="007E6D36"/>
    <w:rsid w:val="007F1156"/>
    <w:rsid w:val="007F25EE"/>
    <w:rsid w:val="00807953"/>
    <w:rsid w:val="00813CEC"/>
    <w:rsid w:val="00816234"/>
    <w:rsid w:val="0084424D"/>
    <w:rsid w:val="0084461E"/>
    <w:rsid w:val="00846311"/>
    <w:rsid w:val="008727EF"/>
    <w:rsid w:val="008B18B2"/>
    <w:rsid w:val="008B18F3"/>
    <w:rsid w:val="008C7F0C"/>
    <w:rsid w:val="008D2579"/>
    <w:rsid w:val="008E26F8"/>
    <w:rsid w:val="008F3BB4"/>
    <w:rsid w:val="00900C00"/>
    <w:rsid w:val="00904204"/>
    <w:rsid w:val="00910C8D"/>
    <w:rsid w:val="00933314"/>
    <w:rsid w:val="00935E3B"/>
    <w:rsid w:val="00937D64"/>
    <w:rsid w:val="0096110B"/>
    <w:rsid w:val="00967A38"/>
    <w:rsid w:val="00971111"/>
    <w:rsid w:val="00973720"/>
    <w:rsid w:val="00976E36"/>
    <w:rsid w:val="0098588A"/>
    <w:rsid w:val="009933DC"/>
    <w:rsid w:val="009A4447"/>
    <w:rsid w:val="009C29A6"/>
    <w:rsid w:val="009E2540"/>
    <w:rsid w:val="009F6ED9"/>
    <w:rsid w:val="009F70E6"/>
    <w:rsid w:val="00A055AA"/>
    <w:rsid w:val="00A05BC8"/>
    <w:rsid w:val="00A259C2"/>
    <w:rsid w:val="00A34BA1"/>
    <w:rsid w:val="00A42885"/>
    <w:rsid w:val="00A56ACA"/>
    <w:rsid w:val="00A61C5F"/>
    <w:rsid w:val="00A74472"/>
    <w:rsid w:val="00A80672"/>
    <w:rsid w:val="00A86B56"/>
    <w:rsid w:val="00AC754B"/>
    <w:rsid w:val="00AD0033"/>
    <w:rsid w:val="00AD0A91"/>
    <w:rsid w:val="00B02203"/>
    <w:rsid w:val="00B12FA5"/>
    <w:rsid w:val="00B613D5"/>
    <w:rsid w:val="00B72B40"/>
    <w:rsid w:val="00B913E8"/>
    <w:rsid w:val="00BA1073"/>
    <w:rsid w:val="00BE3C93"/>
    <w:rsid w:val="00BE4865"/>
    <w:rsid w:val="00C00F51"/>
    <w:rsid w:val="00C044CC"/>
    <w:rsid w:val="00C15C91"/>
    <w:rsid w:val="00C248F9"/>
    <w:rsid w:val="00C47469"/>
    <w:rsid w:val="00C47582"/>
    <w:rsid w:val="00C7286F"/>
    <w:rsid w:val="00C7546E"/>
    <w:rsid w:val="00CA6A09"/>
    <w:rsid w:val="00CB1BF7"/>
    <w:rsid w:val="00CC5A41"/>
    <w:rsid w:val="00CC7C3B"/>
    <w:rsid w:val="00CF2280"/>
    <w:rsid w:val="00D34717"/>
    <w:rsid w:val="00D465C1"/>
    <w:rsid w:val="00D516E3"/>
    <w:rsid w:val="00D5322D"/>
    <w:rsid w:val="00D54FEE"/>
    <w:rsid w:val="00D665CD"/>
    <w:rsid w:val="00D72347"/>
    <w:rsid w:val="00DA2491"/>
    <w:rsid w:val="00DB138D"/>
    <w:rsid w:val="00DB372E"/>
    <w:rsid w:val="00DD4557"/>
    <w:rsid w:val="00DD5693"/>
    <w:rsid w:val="00DE7946"/>
    <w:rsid w:val="00E23E98"/>
    <w:rsid w:val="00E240B0"/>
    <w:rsid w:val="00E311B4"/>
    <w:rsid w:val="00E41345"/>
    <w:rsid w:val="00E47DDF"/>
    <w:rsid w:val="00E50BC4"/>
    <w:rsid w:val="00E61489"/>
    <w:rsid w:val="00E63514"/>
    <w:rsid w:val="00E67E18"/>
    <w:rsid w:val="00E84202"/>
    <w:rsid w:val="00E949D7"/>
    <w:rsid w:val="00EC0DEB"/>
    <w:rsid w:val="00ED2822"/>
    <w:rsid w:val="00ED68ED"/>
    <w:rsid w:val="00EF6F5F"/>
    <w:rsid w:val="00F22108"/>
    <w:rsid w:val="00F22117"/>
    <w:rsid w:val="00F52C2C"/>
    <w:rsid w:val="00F53871"/>
    <w:rsid w:val="00F618E4"/>
    <w:rsid w:val="00FA27CB"/>
    <w:rsid w:val="00FB4DB4"/>
    <w:rsid w:val="00FB7F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8C281"/>
  <w15:chartTrackingRefBased/>
  <w15:docId w15:val="{28D14ABA-F038-498A-A0B9-2B30CC110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196"/>
    <w:pPr>
      <w:spacing w:line="260" w:lineRule="atLeast"/>
      <w:jc w:val="both"/>
    </w:pPr>
    <w:rPr>
      <w:rFonts w:ascii="Palatino Linotype" w:eastAsiaTheme="minorEastAsia" w:hAnsi="Palatino Linotype"/>
      <w:color w:val="000000"/>
    </w:rPr>
  </w:style>
  <w:style w:type="paragraph" w:styleId="Heading1">
    <w:name w:val="heading 1"/>
    <w:basedOn w:val="Normal"/>
    <w:next w:val="Normal"/>
    <w:link w:val="Heading1Char"/>
    <w:uiPriority w:val="9"/>
    <w:qFormat/>
    <w:rsid w:val="00786B93"/>
    <w:pPr>
      <w:keepNext/>
      <w:keepLines/>
      <w:spacing w:before="240" w:line="259" w:lineRule="auto"/>
      <w:jc w:val="left"/>
      <w:outlineLvl w:val="0"/>
    </w:pPr>
    <w:rPr>
      <w:rFonts w:asciiTheme="majorHAnsi" w:eastAsiaTheme="majorEastAsia" w:hAnsiTheme="majorHAnsi" w:cstheme="majorBidi"/>
      <w:color w:val="2F5496" w:themeColor="accent1" w:themeShade="BF"/>
      <w:sz w:val="32"/>
      <w:szCs w:val="32"/>
      <w:lang w:val="en-GB" w:eastAsia="en-US"/>
    </w:rPr>
  </w:style>
  <w:style w:type="paragraph" w:styleId="Heading2">
    <w:name w:val="heading 2"/>
    <w:basedOn w:val="Normal"/>
    <w:next w:val="Normal"/>
    <w:link w:val="Heading2Char"/>
    <w:uiPriority w:val="9"/>
    <w:unhideWhenUsed/>
    <w:qFormat/>
    <w:rsid w:val="00786B93"/>
    <w:pPr>
      <w:keepNext/>
      <w:keepLines/>
      <w:spacing w:before="100" w:beforeAutospacing="1" w:line="276" w:lineRule="auto"/>
      <w:outlineLvl w:val="1"/>
    </w:pPr>
    <w:rPr>
      <w:rFonts w:asciiTheme="minorHAnsi" w:eastAsiaTheme="majorEastAsia" w:hAnsiTheme="minorHAnsi" w:cstheme="majorBidi"/>
      <w:b/>
      <w:color w:val="auto"/>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595196"/>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595196"/>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595196"/>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595196"/>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595196"/>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595196"/>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595196"/>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595196"/>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657CE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95196"/>
    <w:pPr>
      <w:spacing w:line="260" w:lineRule="atLeast"/>
      <w:jc w:val="both"/>
    </w:pPr>
    <w:rPr>
      <w:rFonts w:ascii="Palatino Linotype" w:eastAsiaTheme="minorEastAsia"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95196"/>
    <w:pPr>
      <w:tabs>
        <w:tab w:val="center" w:pos="4153"/>
        <w:tab w:val="right" w:pos="8306"/>
      </w:tabs>
      <w:snapToGrid w:val="0"/>
      <w:spacing w:line="240" w:lineRule="atLeast"/>
    </w:pPr>
    <w:rPr>
      <w:szCs w:val="18"/>
    </w:rPr>
  </w:style>
  <w:style w:type="character" w:customStyle="1" w:styleId="FooterChar">
    <w:name w:val="Footer Char"/>
    <w:basedOn w:val="DefaultParagraphFont"/>
    <w:link w:val="Footer"/>
    <w:uiPriority w:val="99"/>
    <w:rsid w:val="00595196"/>
    <w:rPr>
      <w:rFonts w:ascii="Palatino Linotype" w:eastAsiaTheme="minorEastAsia" w:hAnsi="Palatino Linotype"/>
      <w:noProof/>
      <w:color w:val="000000"/>
      <w:szCs w:val="18"/>
    </w:rPr>
  </w:style>
  <w:style w:type="paragraph" w:styleId="Header">
    <w:name w:val="header"/>
    <w:basedOn w:val="Normal"/>
    <w:link w:val="HeaderChar"/>
    <w:uiPriority w:val="99"/>
    <w:rsid w:val="00595196"/>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basedOn w:val="DefaultParagraphFont"/>
    <w:link w:val="Header"/>
    <w:uiPriority w:val="99"/>
    <w:rsid w:val="00595196"/>
    <w:rPr>
      <w:rFonts w:ascii="Palatino Linotype" w:eastAsiaTheme="minorEastAsia" w:hAnsi="Palatino Linotype"/>
      <w:noProof/>
      <w:color w:val="000000"/>
      <w:szCs w:val="18"/>
    </w:rPr>
  </w:style>
  <w:style w:type="paragraph" w:customStyle="1" w:styleId="MDPIheaderjournallogo">
    <w:name w:val="MDPI_header_journal_logo"/>
    <w:qFormat/>
    <w:rsid w:val="00595196"/>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595196"/>
    <w:pPr>
      <w:ind w:firstLine="0"/>
    </w:pPr>
  </w:style>
  <w:style w:type="paragraph" w:customStyle="1" w:styleId="MDPI31text">
    <w:name w:val="MDPI_3.1_text"/>
    <w:qFormat/>
    <w:rsid w:val="00595196"/>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595196"/>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595196"/>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595196"/>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95196"/>
    <w:pPr>
      <w:numPr>
        <w:numId w:val="37"/>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95196"/>
    <w:pPr>
      <w:numPr>
        <w:numId w:val="38"/>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595196"/>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595196"/>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595196"/>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595196"/>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595196"/>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595196"/>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595196"/>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595196"/>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595196"/>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595196"/>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95196"/>
    <w:pPr>
      <w:numPr>
        <w:numId w:val="40"/>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595196"/>
    <w:rPr>
      <w:rFonts w:cs="Tahoma"/>
      <w:szCs w:val="18"/>
    </w:rPr>
  </w:style>
  <w:style w:type="character" w:customStyle="1" w:styleId="BalloonTextChar">
    <w:name w:val="Balloon Text Char"/>
    <w:basedOn w:val="DefaultParagraphFont"/>
    <w:link w:val="BalloonText"/>
    <w:uiPriority w:val="99"/>
    <w:rsid w:val="00595196"/>
    <w:rPr>
      <w:rFonts w:ascii="Palatino Linotype" w:eastAsiaTheme="minorEastAsia" w:hAnsi="Palatino Linotype" w:cs="Tahoma"/>
      <w:noProof/>
      <w:color w:val="000000"/>
      <w:szCs w:val="18"/>
    </w:rPr>
  </w:style>
  <w:style w:type="character" w:styleId="LineNumber">
    <w:name w:val="line number"/>
    <w:uiPriority w:val="99"/>
    <w:rsid w:val="00595196"/>
    <w:rPr>
      <w:rFonts w:ascii="Palatino Linotype" w:hAnsi="Palatino Linotype"/>
      <w:sz w:val="16"/>
    </w:rPr>
  </w:style>
  <w:style w:type="table" w:customStyle="1" w:styleId="MDPI41threelinetable">
    <w:name w:val="MDPI_4.1_three_line_table"/>
    <w:basedOn w:val="TableNormal"/>
    <w:uiPriority w:val="99"/>
    <w:rsid w:val="00595196"/>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95196"/>
    <w:rPr>
      <w:color w:val="0000FF"/>
      <w:u w:val="single"/>
    </w:rPr>
  </w:style>
  <w:style w:type="character" w:styleId="UnresolvedMention">
    <w:name w:val="Unresolved Mention"/>
    <w:uiPriority w:val="99"/>
    <w:semiHidden/>
    <w:unhideWhenUsed/>
    <w:rsid w:val="00D465C1"/>
    <w:rPr>
      <w:color w:val="605E5C"/>
      <w:shd w:val="clear" w:color="auto" w:fill="E1DFDD"/>
    </w:rPr>
  </w:style>
  <w:style w:type="table" w:styleId="PlainTable4">
    <w:name w:val="Plain Table 4"/>
    <w:basedOn w:val="TableNormal"/>
    <w:uiPriority w:val="44"/>
    <w:rsid w:val="005C3B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595196"/>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595196"/>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595196"/>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595196"/>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95196"/>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595196"/>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595196"/>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595196"/>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595196"/>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595196"/>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595196"/>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595196"/>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595196"/>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595196"/>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595196"/>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595196"/>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595196"/>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595196"/>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595196"/>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595196"/>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595196"/>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basedOn w:val="DefaultParagraphFont"/>
    <w:rsid w:val="00595196"/>
  </w:style>
  <w:style w:type="paragraph" w:styleId="Bibliography">
    <w:name w:val="Bibliography"/>
    <w:basedOn w:val="Normal"/>
    <w:next w:val="Normal"/>
    <w:uiPriority w:val="37"/>
    <w:semiHidden/>
    <w:unhideWhenUsed/>
    <w:rsid w:val="00595196"/>
  </w:style>
  <w:style w:type="paragraph" w:styleId="BodyText">
    <w:name w:val="Body Text"/>
    <w:link w:val="BodyTextChar"/>
    <w:rsid w:val="00595196"/>
    <w:pPr>
      <w:spacing w:after="120" w:line="340" w:lineRule="atLeast"/>
      <w:jc w:val="both"/>
    </w:pPr>
    <w:rPr>
      <w:rFonts w:ascii="Palatino Linotype" w:eastAsiaTheme="minorEastAsia" w:hAnsi="Palatino Linotype"/>
      <w:color w:val="000000"/>
      <w:sz w:val="24"/>
      <w:lang w:eastAsia="de-DE"/>
    </w:rPr>
  </w:style>
  <w:style w:type="character" w:customStyle="1" w:styleId="BodyTextChar">
    <w:name w:val="Body Text Char"/>
    <w:basedOn w:val="DefaultParagraphFont"/>
    <w:link w:val="BodyText"/>
    <w:rsid w:val="00595196"/>
    <w:rPr>
      <w:rFonts w:ascii="Palatino Linotype" w:eastAsiaTheme="minorEastAsia" w:hAnsi="Palatino Linotype"/>
      <w:color w:val="000000"/>
      <w:sz w:val="24"/>
      <w:lang w:eastAsia="de-DE"/>
    </w:rPr>
  </w:style>
  <w:style w:type="character" w:styleId="CommentReference">
    <w:name w:val="annotation reference"/>
    <w:basedOn w:val="DefaultParagraphFont"/>
    <w:rsid w:val="00595196"/>
    <w:rPr>
      <w:sz w:val="21"/>
      <w:szCs w:val="21"/>
    </w:rPr>
  </w:style>
  <w:style w:type="paragraph" w:styleId="CommentText">
    <w:name w:val="annotation text"/>
    <w:basedOn w:val="Normal"/>
    <w:link w:val="CommentTextChar"/>
    <w:uiPriority w:val="99"/>
    <w:rsid w:val="00595196"/>
  </w:style>
  <w:style w:type="character" w:customStyle="1" w:styleId="CommentTextChar">
    <w:name w:val="Comment Text Char"/>
    <w:basedOn w:val="DefaultParagraphFont"/>
    <w:link w:val="CommentText"/>
    <w:uiPriority w:val="99"/>
    <w:rsid w:val="00595196"/>
    <w:rPr>
      <w:rFonts w:ascii="Palatino Linotype" w:eastAsiaTheme="minorEastAsia" w:hAnsi="Palatino Linotype"/>
      <w:noProof/>
      <w:color w:val="000000"/>
    </w:rPr>
  </w:style>
  <w:style w:type="paragraph" w:styleId="CommentSubject">
    <w:name w:val="annotation subject"/>
    <w:basedOn w:val="CommentText"/>
    <w:next w:val="CommentText"/>
    <w:link w:val="CommentSubjectChar"/>
    <w:rsid w:val="00595196"/>
    <w:rPr>
      <w:b/>
      <w:bCs/>
    </w:rPr>
  </w:style>
  <w:style w:type="character" w:customStyle="1" w:styleId="CommentSubjectChar">
    <w:name w:val="Comment Subject Char"/>
    <w:basedOn w:val="CommentTextChar"/>
    <w:link w:val="CommentSubject"/>
    <w:rsid w:val="00595196"/>
    <w:rPr>
      <w:rFonts w:ascii="Palatino Linotype" w:eastAsiaTheme="minorEastAsia" w:hAnsi="Palatino Linotype"/>
      <w:b/>
      <w:bCs/>
      <w:noProof/>
      <w:color w:val="000000"/>
    </w:rPr>
  </w:style>
  <w:style w:type="character" w:styleId="EndnoteReference">
    <w:name w:val="endnote reference"/>
    <w:basedOn w:val="DefaultParagraphFont"/>
    <w:rsid w:val="00595196"/>
    <w:rPr>
      <w:vertAlign w:val="superscript"/>
    </w:rPr>
  </w:style>
  <w:style w:type="paragraph" w:styleId="EndnoteText">
    <w:name w:val="endnote text"/>
    <w:basedOn w:val="Normal"/>
    <w:link w:val="EndnoteTextChar"/>
    <w:semiHidden/>
    <w:unhideWhenUsed/>
    <w:rsid w:val="00595196"/>
    <w:pPr>
      <w:spacing w:line="240" w:lineRule="auto"/>
    </w:pPr>
  </w:style>
  <w:style w:type="character" w:customStyle="1" w:styleId="EndnoteTextChar">
    <w:name w:val="Endnote Text Char"/>
    <w:basedOn w:val="DefaultParagraphFont"/>
    <w:link w:val="EndnoteText"/>
    <w:semiHidden/>
    <w:rsid w:val="00595196"/>
    <w:rPr>
      <w:rFonts w:ascii="Palatino Linotype" w:eastAsiaTheme="minorEastAsia" w:hAnsi="Palatino Linotype"/>
      <w:noProof/>
      <w:color w:val="000000"/>
    </w:rPr>
  </w:style>
  <w:style w:type="character" w:styleId="FollowedHyperlink">
    <w:name w:val="FollowedHyperlink"/>
    <w:basedOn w:val="DefaultParagraphFont"/>
    <w:rsid w:val="00595196"/>
    <w:rPr>
      <w:color w:val="954F72" w:themeColor="followedHyperlink"/>
      <w:u w:val="single"/>
    </w:rPr>
  </w:style>
  <w:style w:type="paragraph" w:styleId="FootnoteText">
    <w:name w:val="footnote text"/>
    <w:basedOn w:val="Normal"/>
    <w:link w:val="FootnoteTextChar"/>
    <w:semiHidden/>
    <w:unhideWhenUsed/>
    <w:rsid w:val="00595196"/>
    <w:pPr>
      <w:spacing w:line="240" w:lineRule="auto"/>
    </w:pPr>
  </w:style>
  <w:style w:type="character" w:customStyle="1" w:styleId="FootnoteTextChar">
    <w:name w:val="Footnote Text Char"/>
    <w:basedOn w:val="DefaultParagraphFont"/>
    <w:link w:val="FootnoteText"/>
    <w:semiHidden/>
    <w:rsid w:val="00595196"/>
    <w:rPr>
      <w:rFonts w:ascii="Palatino Linotype" w:eastAsiaTheme="minorEastAsia" w:hAnsi="Palatino Linotype"/>
      <w:noProof/>
      <w:color w:val="000000"/>
    </w:rPr>
  </w:style>
  <w:style w:type="paragraph" w:styleId="NormalWeb">
    <w:name w:val="Normal (Web)"/>
    <w:basedOn w:val="Normal"/>
    <w:uiPriority w:val="99"/>
    <w:rsid w:val="00595196"/>
    <w:rPr>
      <w:szCs w:val="24"/>
    </w:rPr>
  </w:style>
  <w:style w:type="paragraph" w:customStyle="1" w:styleId="MsoFootnoteText0">
    <w:name w:val="MsoFootnoteText"/>
    <w:basedOn w:val="NormalWeb"/>
    <w:qFormat/>
    <w:rsid w:val="00595196"/>
    <w:rPr>
      <w:rFonts w:ascii="Times New Roman" w:hAnsi="Times New Roman"/>
    </w:rPr>
  </w:style>
  <w:style w:type="character" w:styleId="PageNumber">
    <w:name w:val="page number"/>
    <w:basedOn w:val="DefaultParagraphFont"/>
    <w:rsid w:val="00595196"/>
  </w:style>
  <w:style w:type="character" w:styleId="PlaceholderText">
    <w:name w:val="Placeholder Text"/>
    <w:basedOn w:val="DefaultParagraphFont"/>
    <w:uiPriority w:val="99"/>
    <w:semiHidden/>
    <w:rsid w:val="00595196"/>
    <w:rPr>
      <w:color w:val="808080"/>
    </w:rPr>
  </w:style>
  <w:style w:type="paragraph" w:customStyle="1" w:styleId="MDPI71FootNotes">
    <w:name w:val="MDPI_7.1_FootNotes"/>
    <w:qFormat/>
    <w:rsid w:val="00595196"/>
    <w:pPr>
      <w:numPr>
        <w:numId w:val="39"/>
      </w:numPr>
      <w:adjustRightInd w:val="0"/>
      <w:snapToGrid w:val="0"/>
      <w:spacing w:line="228" w:lineRule="auto"/>
    </w:pPr>
    <w:rPr>
      <w:rFonts w:ascii="Palatino Linotype" w:eastAsiaTheme="minorEastAsia" w:hAnsi="Palatino Linotype"/>
      <w:noProof/>
      <w:color w:val="000000"/>
      <w:sz w:val="18"/>
    </w:rPr>
  </w:style>
  <w:style w:type="character" w:customStyle="1" w:styleId="Heading1Char">
    <w:name w:val="Heading 1 Char"/>
    <w:basedOn w:val="DefaultParagraphFont"/>
    <w:link w:val="Heading1"/>
    <w:uiPriority w:val="9"/>
    <w:rsid w:val="00786B93"/>
    <w:rPr>
      <w:rFonts w:asciiTheme="majorHAnsi" w:eastAsiaTheme="majorEastAsia" w:hAnsiTheme="majorHAnsi" w:cstheme="majorBidi"/>
      <w:color w:val="2F5496" w:themeColor="accent1" w:themeShade="BF"/>
      <w:sz w:val="32"/>
      <w:szCs w:val="32"/>
      <w:lang w:val="en-GB" w:eastAsia="en-US"/>
    </w:rPr>
  </w:style>
  <w:style w:type="character" w:customStyle="1" w:styleId="Heading2Char">
    <w:name w:val="Heading 2 Char"/>
    <w:basedOn w:val="DefaultParagraphFont"/>
    <w:link w:val="Heading2"/>
    <w:uiPriority w:val="9"/>
    <w:rsid w:val="00786B93"/>
    <w:rPr>
      <w:rFonts w:asciiTheme="minorHAnsi" w:eastAsiaTheme="majorEastAsia" w:hAnsiTheme="minorHAnsi" w:cstheme="majorBidi"/>
      <w:b/>
      <w:sz w:val="26"/>
      <w:szCs w:val="26"/>
      <w:lang w:val="en-GB" w:eastAsia="en-US"/>
    </w:rPr>
  </w:style>
  <w:style w:type="paragraph" w:styleId="ListParagraph">
    <w:name w:val="List Paragraph"/>
    <w:basedOn w:val="Normal"/>
    <w:uiPriority w:val="34"/>
    <w:qFormat/>
    <w:rsid w:val="00786B93"/>
    <w:pPr>
      <w:spacing w:after="160" w:line="259" w:lineRule="auto"/>
      <w:ind w:left="720"/>
      <w:contextualSpacing/>
      <w:jc w:val="left"/>
    </w:pPr>
    <w:rPr>
      <w:rFonts w:asciiTheme="minorHAnsi" w:eastAsiaTheme="minorHAnsi" w:hAnsiTheme="minorHAnsi" w:cstheme="minorBidi"/>
      <w:color w:val="auto"/>
      <w:sz w:val="22"/>
      <w:szCs w:val="22"/>
      <w:lang w:val="en-GB" w:eastAsia="en-US"/>
    </w:rPr>
  </w:style>
  <w:style w:type="paragraph" w:customStyle="1" w:styleId="xmsonormal">
    <w:name w:val="x_msonormal"/>
    <w:basedOn w:val="Normal"/>
    <w:rsid w:val="00786B93"/>
    <w:pPr>
      <w:spacing w:before="100" w:beforeAutospacing="1" w:after="100" w:afterAutospacing="1" w:line="240" w:lineRule="auto"/>
      <w:jc w:val="left"/>
    </w:pPr>
    <w:rPr>
      <w:rFonts w:ascii="Times New Roman" w:eastAsia="Times New Roman" w:hAnsi="Times New Roman"/>
      <w:color w:val="auto"/>
      <w:sz w:val="24"/>
      <w:szCs w:val="24"/>
      <w:lang w:val="en-GB" w:eastAsia="en-GB"/>
    </w:rPr>
  </w:style>
  <w:style w:type="paragraph" w:customStyle="1" w:styleId="Default">
    <w:name w:val="Default"/>
    <w:rsid w:val="00786B93"/>
    <w:pPr>
      <w:autoSpaceDE w:val="0"/>
      <w:autoSpaceDN w:val="0"/>
      <w:adjustRightInd w:val="0"/>
    </w:pPr>
    <w:rPr>
      <w:rFonts w:ascii="Arial" w:eastAsiaTheme="minorHAnsi" w:hAnsi="Arial" w:cs="Arial"/>
      <w:color w:val="000000"/>
      <w:sz w:val="24"/>
      <w:szCs w:val="24"/>
      <w:lang w:val="en-GB" w:eastAsia="en-US"/>
    </w:rPr>
  </w:style>
  <w:style w:type="character" w:styleId="Emphasis">
    <w:name w:val="Emphasis"/>
    <w:basedOn w:val="DefaultParagraphFont"/>
    <w:uiPriority w:val="20"/>
    <w:qFormat/>
    <w:rsid w:val="00786B93"/>
    <w:rPr>
      <w:i/>
      <w:iCs/>
    </w:rPr>
  </w:style>
  <w:style w:type="character" w:styleId="Mention">
    <w:name w:val="Mention"/>
    <w:basedOn w:val="DefaultParagraphFont"/>
    <w:uiPriority w:val="99"/>
    <w:unhideWhenUsed/>
    <w:rsid w:val="00786B93"/>
    <w:rPr>
      <w:color w:val="2B579A"/>
      <w:shd w:val="clear" w:color="auto" w:fill="E6E6E6"/>
    </w:rPr>
  </w:style>
  <w:style w:type="paragraph" w:styleId="Revision">
    <w:name w:val="Revision"/>
    <w:hidden/>
    <w:uiPriority w:val="99"/>
    <w:semiHidden/>
    <w:rsid w:val="00786B93"/>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www.sciencedirect.com/topics/immunology-and-microbiology/swiss-prot"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ciencedirect.com/topics/medicine-and-dentistry/time-of-flight-mass-spectrometry"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https://www.sciencedirect.com/topics/immunology-and-microbiology/dwell-time" TargetMode="External"/><Relationship Id="rId23"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www.sciencedirect.com/topics/medicine-and-dentistry/cysteine"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lfsonCIND\Downloads\cell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cells-template</Template>
  <TotalTime>1</TotalTime>
  <Pages>34</Pages>
  <Words>63664</Words>
  <Characters>362887</Characters>
  <Application>Microsoft Office Word</Application>
  <DocSecurity>0</DocSecurity>
  <Lines>3024</Lines>
  <Paragraphs>851</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425700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Heidi Fuller</cp:lastModifiedBy>
  <cp:revision>2</cp:revision>
  <cp:lastPrinted>2022-08-02T01:49:00Z</cp:lastPrinted>
  <dcterms:created xsi:type="dcterms:W3CDTF">2022-08-17T08:58:00Z</dcterms:created>
  <dcterms:modified xsi:type="dcterms:W3CDTF">2022-08-17T08:58:00Z</dcterms:modified>
</cp:coreProperties>
</file>