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B790E" w14:textId="77777777" w:rsidR="00826B07" w:rsidRPr="00C91EF0" w:rsidRDefault="00826B07" w:rsidP="00826B07">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T</w:t>
      </w:r>
      <w:r w:rsidR="000363B5">
        <w:rPr>
          <w:rFonts w:asciiTheme="minorHAnsi" w:hAnsiTheme="minorHAnsi" w:cstheme="minorHAnsi"/>
          <w:b/>
          <w:sz w:val="22"/>
          <w:szCs w:val="22"/>
          <w:lang w:val="en-GB"/>
        </w:rPr>
        <w:t>ITLE</w:t>
      </w:r>
    </w:p>
    <w:p w14:paraId="774FEB12" w14:textId="700415D0" w:rsidR="00826B07" w:rsidRPr="00C91EF0" w:rsidRDefault="00C978C3" w:rsidP="00826B07">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O</w:t>
      </w:r>
      <w:r w:rsidR="00826B07" w:rsidRPr="00C91EF0">
        <w:rPr>
          <w:rFonts w:asciiTheme="minorHAnsi" w:hAnsiTheme="minorHAnsi" w:cstheme="minorHAnsi"/>
          <w:sz w:val="22"/>
          <w:szCs w:val="22"/>
          <w:lang w:val="en-GB"/>
        </w:rPr>
        <w:t xml:space="preserve">lder patients at risk of </w:t>
      </w:r>
      <w:r w:rsidR="006C3410">
        <w:rPr>
          <w:rFonts w:asciiTheme="minorHAnsi" w:hAnsiTheme="minorHAnsi" w:cstheme="minorHAnsi"/>
          <w:sz w:val="22"/>
          <w:szCs w:val="22"/>
          <w:lang w:val="en-GB"/>
        </w:rPr>
        <w:t xml:space="preserve">deterioration in </w:t>
      </w:r>
      <w:r w:rsidR="00826B07" w:rsidRPr="00C91EF0">
        <w:rPr>
          <w:rFonts w:asciiTheme="minorHAnsi" w:hAnsiTheme="minorHAnsi" w:cstheme="minorHAnsi"/>
          <w:sz w:val="22"/>
          <w:szCs w:val="22"/>
          <w:lang w:val="en-GB"/>
        </w:rPr>
        <w:t>health-related quality of life</w:t>
      </w:r>
      <w:r w:rsidR="007D2B0E" w:rsidRPr="00C91EF0">
        <w:rPr>
          <w:rFonts w:asciiTheme="minorHAnsi" w:hAnsiTheme="minorHAnsi" w:cstheme="minorHAnsi"/>
          <w:sz w:val="22"/>
          <w:szCs w:val="22"/>
          <w:lang w:val="en-GB"/>
        </w:rPr>
        <w:t xml:space="preserve"> </w:t>
      </w:r>
      <w:r w:rsidR="005E3FD6">
        <w:rPr>
          <w:rFonts w:asciiTheme="minorHAnsi" w:hAnsiTheme="minorHAnsi" w:cstheme="minorHAnsi"/>
          <w:sz w:val="22"/>
          <w:szCs w:val="22"/>
          <w:lang w:val="en-GB"/>
        </w:rPr>
        <w:t>were</w:t>
      </w:r>
      <w:r>
        <w:rPr>
          <w:rFonts w:asciiTheme="minorHAnsi" w:hAnsiTheme="minorHAnsi" w:cstheme="minorHAnsi"/>
          <w:sz w:val="22"/>
          <w:szCs w:val="22"/>
          <w:lang w:val="en-GB"/>
        </w:rPr>
        <w:t xml:space="preserve"> accurately identified by a prognostic model developed and validated </w:t>
      </w:r>
      <w:r w:rsidR="00786E88">
        <w:rPr>
          <w:rFonts w:asciiTheme="minorHAnsi" w:hAnsiTheme="minorHAnsi" w:cstheme="minorHAnsi"/>
          <w:sz w:val="22"/>
          <w:szCs w:val="22"/>
          <w:lang w:val="en-GB"/>
        </w:rPr>
        <w:t xml:space="preserve">based on </w:t>
      </w:r>
      <w:r>
        <w:rPr>
          <w:rFonts w:asciiTheme="minorHAnsi" w:hAnsiTheme="minorHAnsi" w:cstheme="minorHAnsi"/>
          <w:sz w:val="22"/>
          <w:szCs w:val="22"/>
          <w:lang w:val="en-GB"/>
        </w:rPr>
        <w:t xml:space="preserve">the PROPERmed </w:t>
      </w:r>
      <w:r w:rsidR="00826B07" w:rsidRPr="00C91EF0">
        <w:rPr>
          <w:rFonts w:asciiTheme="minorHAnsi" w:hAnsiTheme="minorHAnsi" w:cstheme="minorHAnsi"/>
          <w:sz w:val="22"/>
          <w:szCs w:val="22"/>
          <w:lang w:val="en-GB"/>
        </w:rPr>
        <w:t xml:space="preserve">individual participant </w:t>
      </w:r>
      <w:r w:rsidR="004C04BE">
        <w:rPr>
          <w:rFonts w:asciiTheme="minorHAnsi" w:hAnsiTheme="minorHAnsi" w:cstheme="minorHAnsi"/>
          <w:sz w:val="22"/>
          <w:szCs w:val="22"/>
          <w:lang w:val="en-GB"/>
        </w:rPr>
        <w:t xml:space="preserve">data </w:t>
      </w:r>
      <w:r w:rsidR="00826B07" w:rsidRPr="00C91EF0">
        <w:rPr>
          <w:rFonts w:asciiTheme="minorHAnsi" w:hAnsiTheme="minorHAnsi" w:cstheme="minorHAnsi"/>
          <w:sz w:val="22"/>
          <w:szCs w:val="22"/>
          <w:lang w:val="en-GB"/>
        </w:rPr>
        <w:t>data</w:t>
      </w:r>
      <w:r>
        <w:rPr>
          <w:rFonts w:asciiTheme="minorHAnsi" w:hAnsiTheme="minorHAnsi" w:cstheme="minorHAnsi"/>
          <w:sz w:val="22"/>
          <w:szCs w:val="22"/>
          <w:lang w:val="en-GB"/>
        </w:rPr>
        <w:t>base</w:t>
      </w:r>
      <w:r w:rsidR="00826B07" w:rsidRPr="00C91EF0">
        <w:rPr>
          <w:rFonts w:asciiTheme="minorHAnsi" w:hAnsiTheme="minorHAnsi" w:cstheme="minorHAnsi"/>
          <w:sz w:val="22"/>
          <w:szCs w:val="22"/>
          <w:lang w:val="en-GB"/>
        </w:rPr>
        <w:t>.</w:t>
      </w:r>
    </w:p>
    <w:p w14:paraId="4FF9FB56" w14:textId="77777777" w:rsidR="00875C0D" w:rsidRPr="00C91EF0" w:rsidRDefault="00875C0D" w:rsidP="00875C0D">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A</w:t>
      </w:r>
      <w:r w:rsidR="000363B5">
        <w:rPr>
          <w:rFonts w:asciiTheme="minorHAnsi" w:hAnsiTheme="minorHAnsi" w:cstheme="minorHAnsi"/>
          <w:b/>
          <w:sz w:val="22"/>
          <w:szCs w:val="22"/>
          <w:lang w:val="en-GB"/>
        </w:rPr>
        <w:t>UTHOR NAMES</w:t>
      </w:r>
    </w:p>
    <w:p w14:paraId="442BFE5D" w14:textId="144ADCE8" w:rsidR="00875C0D" w:rsidRPr="00C91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w:t>
      </w:r>
      <w:r w:rsidR="00F9007E" w:rsidRPr="00C91EF0">
        <w:rPr>
          <w:rFonts w:cstheme="minorHAnsi"/>
          <w:vertAlign w:val="superscript"/>
          <w:lang w:val="en-GB"/>
        </w:rPr>
        <w:t>‡</w:t>
      </w:r>
      <w:r w:rsidRPr="00C91EF0">
        <w:rPr>
          <w:rFonts w:asciiTheme="minorHAnsi" w:hAnsiTheme="minorHAnsi" w:cstheme="minorHAnsi"/>
          <w:sz w:val="22"/>
          <w:szCs w:val="22"/>
          <w:lang w:val="en-GB"/>
        </w:rPr>
        <w:t>Ana I González-González</w:t>
      </w:r>
      <w:r w:rsidRPr="00C91EF0">
        <w:rPr>
          <w:rFonts w:asciiTheme="minorHAnsi" w:hAnsiTheme="minorHAnsi" w:cstheme="minorHAnsi"/>
          <w:sz w:val="22"/>
          <w:szCs w:val="22"/>
          <w:vertAlign w:val="superscript"/>
          <w:lang w:val="en-GB"/>
        </w:rPr>
        <w:t>1,2</w:t>
      </w:r>
      <w:r w:rsidR="001244D0" w:rsidRPr="00C91EF0">
        <w:rPr>
          <w:rFonts w:asciiTheme="minorHAnsi" w:hAnsiTheme="minorHAnsi" w:cstheme="minorHAnsi"/>
          <w:sz w:val="22"/>
          <w:szCs w:val="22"/>
          <w:vertAlign w:val="superscript"/>
          <w:lang w:val="en-GB"/>
        </w:rPr>
        <w:t xml:space="preserve"> </w:t>
      </w:r>
      <w:r w:rsidR="001244D0" w:rsidRPr="00C91EF0">
        <w:rPr>
          <w:rFonts w:asciiTheme="minorHAnsi" w:hAnsiTheme="minorHAnsi" w:cstheme="minorHAnsi"/>
          <w:sz w:val="22"/>
          <w:szCs w:val="22"/>
          <w:lang w:val="en-GB"/>
        </w:rPr>
        <w:t>(</w:t>
      </w:r>
      <w:r w:rsidR="00D735A4" w:rsidRPr="00C91EF0">
        <w:rPr>
          <w:rFonts w:asciiTheme="minorHAnsi" w:hAnsiTheme="minorHAnsi" w:cstheme="minorHAnsi"/>
          <w:sz w:val="22"/>
          <w:szCs w:val="22"/>
          <w:lang w:val="en-GB"/>
        </w:rPr>
        <w:t>0000-0002-1707-0596</w:t>
      </w:r>
      <w:r w:rsidR="001244D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*Andreas </w:t>
      </w:r>
      <w:r w:rsidR="00806DF8" w:rsidRPr="00C91EF0">
        <w:rPr>
          <w:rFonts w:asciiTheme="minorHAnsi" w:hAnsiTheme="minorHAnsi" w:cstheme="minorHAnsi"/>
          <w:sz w:val="22"/>
          <w:szCs w:val="22"/>
          <w:lang w:val="en-GB"/>
        </w:rPr>
        <w:t xml:space="preserve">D. </w:t>
      </w:r>
      <w:r w:rsidRPr="00C91EF0">
        <w:rPr>
          <w:rFonts w:asciiTheme="minorHAnsi" w:hAnsiTheme="minorHAnsi" w:cstheme="minorHAnsi"/>
          <w:sz w:val="22"/>
          <w:szCs w:val="22"/>
          <w:lang w:val="en-GB"/>
        </w:rPr>
        <w:t>Meid</w:t>
      </w:r>
      <w:r w:rsidRPr="00C91EF0">
        <w:rPr>
          <w:rFonts w:asciiTheme="minorHAnsi" w:hAnsiTheme="minorHAnsi" w:cstheme="minorHAnsi"/>
          <w:sz w:val="22"/>
          <w:szCs w:val="22"/>
          <w:vertAlign w:val="superscript"/>
          <w:lang w:val="en-GB"/>
        </w:rPr>
        <w:t>3</w:t>
      </w:r>
      <w:r w:rsidR="001244D0" w:rsidRPr="00C91EF0">
        <w:rPr>
          <w:rFonts w:asciiTheme="minorHAnsi" w:hAnsiTheme="minorHAnsi" w:cstheme="minorHAnsi"/>
          <w:sz w:val="22"/>
          <w:szCs w:val="22"/>
          <w:vertAlign w:val="superscript"/>
          <w:lang w:val="en-GB"/>
        </w:rPr>
        <w:t xml:space="preserve"> </w:t>
      </w:r>
      <w:r w:rsidR="001244D0" w:rsidRPr="00C91EF0">
        <w:rPr>
          <w:rFonts w:asciiTheme="minorHAnsi" w:hAnsiTheme="minorHAnsi" w:cstheme="minorHAnsi"/>
          <w:sz w:val="22"/>
          <w:szCs w:val="22"/>
          <w:lang w:val="en-GB"/>
        </w:rPr>
        <w:t>(</w:t>
      </w:r>
      <w:r w:rsidR="00E5331A" w:rsidRPr="00C91EF0">
        <w:rPr>
          <w:rFonts w:asciiTheme="minorHAnsi" w:hAnsiTheme="minorHAnsi" w:cstheme="minorHAnsi"/>
          <w:sz w:val="22"/>
          <w:szCs w:val="22"/>
          <w:lang w:val="en-GB"/>
        </w:rPr>
        <w:t>0000-0003-3537-3205</w:t>
      </w:r>
      <w:r w:rsidR="001244D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Truc S </w:t>
      </w:r>
      <w:r w:rsidR="00A65EEE">
        <w:rPr>
          <w:rFonts w:asciiTheme="minorHAnsi" w:hAnsiTheme="minorHAnsi" w:cstheme="minorHAnsi"/>
          <w:sz w:val="22"/>
          <w:szCs w:val="22"/>
          <w:lang w:val="en-GB"/>
        </w:rPr>
        <w:t>Dinh</w:t>
      </w:r>
      <w:r w:rsidRPr="00C91EF0">
        <w:rPr>
          <w:rFonts w:asciiTheme="minorHAnsi" w:hAnsiTheme="minorHAnsi" w:cstheme="minorHAnsi"/>
          <w:sz w:val="22"/>
          <w:szCs w:val="22"/>
          <w:vertAlign w:val="superscript"/>
          <w:lang w:val="en-GB"/>
        </w:rPr>
        <w:t>1</w:t>
      </w:r>
      <w:r w:rsidR="008310F0" w:rsidRPr="00C91EF0">
        <w:rPr>
          <w:rFonts w:asciiTheme="minorHAnsi" w:hAnsiTheme="minorHAnsi" w:cstheme="minorHAnsi"/>
          <w:sz w:val="22"/>
          <w:szCs w:val="22"/>
          <w:vertAlign w:val="superscript"/>
          <w:lang w:val="en-GB"/>
        </w:rPr>
        <w:t xml:space="preserve"> </w:t>
      </w:r>
      <w:r w:rsidR="008310F0" w:rsidRPr="00C91EF0">
        <w:rPr>
          <w:rFonts w:asciiTheme="minorHAnsi" w:hAnsiTheme="minorHAnsi" w:cstheme="minorHAnsi"/>
          <w:sz w:val="22"/>
          <w:szCs w:val="22"/>
          <w:lang w:val="en-GB"/>
        </w:rPr>
        <w:t>(</w:t>
      </w:r>
      <w:r w:rsidR="00A80B48" w:rsidRPr="00C91EF0">
        <w:rPr>
          <w:rFonts w:asciiTheme="minorHAnsi" w:hAnsiTheme="minorHAnsi" w:cstheme="minorHAnsi"/>
          <w:sz w:val="22"/>
          <w:szCs w:val="22"/>
          <w:lang w:val="en-GB"/>
        </w:rPr>
        <w:t>0000-0002-9774-6751</w:t>
      </w:r>
      <w:r w:rsidR="008310F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proofErr w:type="spellStart"/>
      <w:r w:rsidRPr="00C91EF0">
        <w:rPr>
          <w:rFonts w:asciiTheme="minorHAnsi" w:hAnsiTheme="minorHAnsi" w:cstheme="minorHAnsi"/>
          <w:sz w:val="22"/>
          <w:szCs w:val="22"/>
          <w:lang w:val="en-GB"/>
        </w:rPr>
        <w:t>Jeanet</w:t>
      </w:r>
      <w:proofErr w:type="spellEnd"/>
      <w:r w:rsidRPr="00C91EF0">
        <w:rPr>
          <w:rFonts w:asciiTheme="minorHAnsi" w:hAnsiTheme="minorHAnsi" w:cstheme="minorHAnsi"/>
          <w:sz w:val="22"/>
          <w:szCs w:val="22"/>
          <w:lang w:val="en-GB"/>
        </w:rPr>
        <w:t xml:space="preserve"> W Blom</w:t>
      </w:r>
      <w:r w:rsidRPr="00C91EF0">
        <w:rPr>
          <w:rFonts w:asciiTheme="minorHAnsi" w:hAnsiTheme="minorHAnsi" w:cstheme="minorHAnsi"/>
          <w:sz w:val="22"/>
          <w:szCs w:val="22"/>
          <w:vertAlign w:val="superscript"/>
          <w:lang w:val="en-GB"/>
        </w:rPr>
        <w:t>4</w:t>
      </w:r>
      <w:r w:rsidR="008310F0" w:rsidRPr="00C91EF0">
        <w:rPr>
          <w:rFonts w:asciiTheme="minorHAnsi" w:hAnsiTheme="minorHAnsi" w:cstheme="minorHAnsi"/>
          <w:sz w:val="22"/>
          <w:szCs w:val="22"/>
          <w:vertAlign w:val="superscript"/>
          <w:lang w:val="en-GB"/>
        </w:rPr>
        <w:t xml:space="preserve"> </w:t>
      </w:r>
      <w:r w:rsidR="008310F0" w:rsidRPr="00C91EF0">
        <w:rPr>
          <w:rFonts w:asciiTheme="minorHAnsi" w:hAnsiTheme="minorHAnsi" w:cstheme="minorHAnsi"/>
          <w:sz w:val="22"/>
          <w:szCs w:val="22"/>
          <w:lang w:val="en-GB"/>
        </w:rPr>
        <w:t>(</w:t>
      </w:r>
      <w:r w:rsidR="00E5331A" w:rsidRPr="00C91EF0">
        <w:rPr>
          <w:rFonts w:asciiTheme="minorHAnsi" w:hAnsiTheme="minorHAnsi" w:cstheme="minorHAnsi"/>
          <w:sz w:val="22"/>
          <w:szCs w:val="22"/>
          <w:lang w:val="en-GB"/>
        </w:rPr>
        <w:t>0000-0001-9989-4937</w:t>
      </w:r>
      <w:r w:rsidR="008310F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Marjan van den Akker</w:t>
      </w:r>
      <w:r w:rsidRPr="00C91EF0">
        <w:rPr>
          <w:rFonts w:asciiTheme="minorHAnsi" w:hAnsiTheme="minorHAnsi" w:cstheme="minorHAnsi"/>
          <w:sz w:val="22"/>
          <w:szCs w:val="22"/>
          <w:vertAlign w:val="superscript"/>
          <w:lang w:val="en-GB"/>
        </w:rPr>
        <w:t>1,5</w:t>
      </w:r>
      <w:r w:rsidR="00690626" w:rsidRPr="00C91EF0">
        <w:rPr>
          <w:rFonts w:asciiTheme="minorHAnsi" w:hAnsiTheme="minorHAnsi" w:cstheme="minorHAnsi"/>
          <w:sz w:val="22"/>
          <w:szCs w:val="22"/>
          <w:vertAlign w:val="superscript"/>
          <w:lang w:val="en-GB"/>
        </w:rPr>
        <w:t>,1</w:t>
      </w:r>
      <w:r w:rsidR="00DA4EF0">
        <w:rPr>
          <w:rFonts w:asciiTheme="minorHAnsi" w:hAnsiTheme="minorHAnsi" w:cstheme="minorHAnsi"/>
          <w:sz w:val="22"/>
          <w:szCs w:val="22"/>
          <w:vertAlign w:val="superscript"/>
          <w:lang w:val="en-GB"/>
        </w:rPr>
        <w:t>5</w:t>
      </w:r>
      <w:r w:rsidR="008310F0" w:rsidRPr="00C91EF0">
        <w:rPr>
          <w:rFonts w:asciiTheme="minorHAnsi" w:hAnsiTheme="minorHAnsi" w:cstheme="minorHAnsi"/>
          <w:sz w:val="22"/>
          <w:szCs w:val="22"/>
          <w:vertAlign w:val="superscript"/>
          <w:lang w:val="en-GB"/>
        </w:rPr>
        <w:t xml:space="preserve"> </w:t>
      </w:r>
      <w:r w:rsidR="008310F0" w:rsidRPr="00C91EF0">
        <w:rPr>
          <w:rFonts w:asciiTheme="minorHAnsi" w:hAnsiTheme="minorHAnsi" w:cstheme="minorHAnsi"/>
          <w:sz w:val="22"/>
          <w:szCs w:val="22"/>
          <w:lang w:val="en-GB"/>
        </w:rPr>
        <w:t>(</w:t>
      </w:r>
      <w:r w:rsidR="00E5331A" w:rsidRPr="00C91EF0">
        <w:rPr>
          <w:rFonts w:asciiTheme="minorHAnsi" w:hAnsiTheme="minorHAnsi" w:cstheme="minorHAnsi"/>
          <w:sz w:val="22"/>
          <w:szCs w:val="22"/>
          <w:lang w:val="en-GB"/>
        </w:rPr>
        <w:t>0000-0002-1022-8637</w:t>
      </w:r>
      <w:r w:rsidR="008310F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Petra JM Elders</w:t>
      </w:r>
      <w:r w:rsidRPr="00C91EF0">
        <w:rPr>
          <w:rFonts w:asciiTheme="minorHAnsi" w:hAnsiTheme="minorHAnsi" w:cstheme="minorHAnsi"/>
          <w:sz w:val="22"/>
          <w:szCs w:val="22"/>
          <w:vertAlign w:val="superscript"/>
          <w:lang w:val="en-GB"/>
        </w:rPr>
        <w:t>6</w:t>
      </w:r>
      <w:r w:rsidR="008310F0" w:rsidRPr="00C91EF0">
        <w:rPr>
          <w:rFonts w:asciiTheme="minorHAnsi" w:hAnsiTheme="minorHAnsi" w:cstheme="minorHAnsi"/>
          <w:sz w:val="22"/>
          <w:szCs w:val="22"/>
          <w:vertAlign w:val="superscript"/>
          <w:lang w:val="en-GB"/>
        </w:rPr>
        <w:t xml:space="preserve"> </w:t>
      </w:r>
      <w:r w:rsidR="008310F0" w:rsidRPr="00C91EF0">
        <w:rPr>
          <w:rFonts w:asciiTheme="minorHAnsi" w:hAnsiTheme="minorHAnsi" w:cstheme="minorHAnsi"/>
          <w:sz w:val="22"/>
          <w:szCs w:val="22"/>
          <w:lang w:val="en-GB"/>
        </w:rPr>
        <w:t>(</w:t>
      </w:r>
      <w:r w:rsidR="00E5331A" w:rsidRPr="00C91EF0">
        <w:rPr>
          <w:rFonts w:asciiTheme="minorHAnsi" w:hAnsiTheme="minorHAnsi" w:cstheme="minorHAnsi"/>
          <w:sz w:val="22"/>
          <w:szCs w:val="22"/>
          <w:lang w:val="en-GB"/>
        </w:rPr>
        <w:t>0000-0002-5907-7219</w:t>
      </w:r>
      <w:r w:rsidR="008310F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Ulrich Thiem</w:t>
      </w:r>
      <w:r w:rsidRPr="00C91EF0">
        <w:rPr>
          <w:rFonts w:asciiTheme="minorHAnsi" w:hAnsiTheme="minorHAnsi" w:cstheme="minorHAnsi"/>
          <w:sz w:val="22"/>
          <w:szCs w:val="22"/>
          <w:vertAlign w:val="superscript"/>
          <w:lang w:val="en-GB"/>
        </w:rPr>
        <w:t>7</w:t>
      </w:r>
      <w:r w:rsidRPr="00C91EF0">
        <w:rPr>
          <w:rFonts w:asciiTheme="minorHAnsi" w:hAnsiTheme="minorHAnsi" w:cstheme="minorHAnsi"/>
          <w:sz w:val="22"/>
          <w:szCs w:val="22"/>
          <w:lang w:val="en-GB"/>
        </w:rPr>
        <w:t xml:space="preserve">, Daniela </w:t>
      </w:r>
      <w:proofErr w:type="spellStart"/>
      <w:r w:rsidRPr="00C91EF0">
        <w:rPr>
          <w:rFonts w:asciiTheme="minorHAnsi" w:hAnsiTheme="minorHAnsi" w:cstheme="minorHAnsi"/>
          <w:sz w:val="22"/>
          <w:szCs w:val="22"/>
          <w:lang w:val="en-GB"/>
        </w:rPr>
        <w:t>Küllenberg</w:t>
      </w:r>
      <w:proofErr w:type="spellEnd"/>
      <w:r w:rsidRPr="00C91EF0">
        <w:rPr>
          <w:rFonts w:asciiTheme="minorHAnsi" w:hAnsiTheme="minorHAnsi" w:cstheme="minorHAnsi"/>
          <w:sz w:val="22"/>
          <w:szCs w:val="22"/>
          <w:lang w:val="en-GB"/>
        </w:rPr>
        <w:t xml:space="preserve"> De Gaudry</w:t>
      </w:r>
      <w:r w:rsidRPr="00C91EF0">
        <w:rPr>
          <w:rFonts w:asciiTheme="minorHAnsi" w:hAnsiTheme="minorHAnsi" w:cstheme="minorHAnsi"/>
          <w:sz w:val="22"/>
          <w:szCs w:val="22"/>
          <w:vertAlign w:val="superscript"/>
          <w:lang w:val="en-GB"/>
        </w:rPr>
        <w:t>8</w:t>
      </w:r>
      <w:r w:rsidR="008310F0" w:rsidRPr="00C91EF0">
        <w:rPr>
          <w:rFonts w:asciiTheme="minorHAnsi" w:hAnsiTheme="minorHAnsi" w:cstheme="minorHAnsi"/>
          <w:sz w:val="22"/>
          <w:szCs w:val="22"/>
          <w:vertAlign w:val="superscript"/>
          <w:lang w:val="en-GB"/>
        </w:rPr>
        <w:t xml:space="preserve"> </w:t>
      </w:r>
      <w:r w:rsidR="008310F0" w:rsidRPr="00C91EF0">
        <w:rPr>
          <w:rFonts w:asciiTheme="minorHAnsi" w:hAnsiTheme="minorHAnsi" w:cstheme="minorHAnsi"/>
          <w:sz w:val="22"/>
          <w:szCs w:val="22"/>
          <w:lang w:val="en-GB"/>
        </w:rPr>
        <w:t>(</w:t>
      </w:r>
      <w:r w:rsidR="00E5331A" w:rsidRPr="00C91EF0">
        <w:rPr>
          <w:rFonts w:asciiTheme="minorHAnsi" w:hAnsiTheme="minorHAnsi" w:cstheme="minorHAnsi"/>
          <w:sz w:val="22"/>
          <w:szCs w:val="22"/>
          <w:lang w:val="en-GB"/>
        </w:rPr>
        <w:t>0000-0003-4289-5853</w:t>
      </w:r>
      <w:r w:rsidR="008310F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Karin </w:t>
      </w:r>
      <w:r w:rsidR="00985080" w:rsidRPr="00C91EF0">
        <w:rPr>
          <w:rFonts w:asciiTheme="minorHAnsi" w:hAnsiTheme="minorHAnsi" w:cstheme="minorHAnsi"/>
          <w:sz w:val="22"/>
          <w:szCs w:val="22"/>
          <w:lang w:val="en-GB"/>
        </w:rPr>
        <w:t xml:space="preserve">MA </w:t>
      </w:r>
      <w:r w:rsidRPr="00C91EF0">
        <w:rPr>
          <w:rFonts w:asciiTheme="minorHAnsi" w:hAnsiTheme="minorHAnsi" w:cstheme="minorHAnsi"/>
          <w:sz w:val="22"/>
          <w:szCs w:val="22"/>
          <w:lang w:val="en-GB"/>
        </w:rPr>
        <w:t>Swart</w:t>
      </w:r>
      <w:r w:rsidRPr="00C91EF0">
        <w:rPr>
          <w:rFonts w:asciiTheme="minorHAnsi" w:hAnsiTheme="minorHAnsi" w:cstheme="minorHAnsi"/>
          <w:sz w:val="22"/>
          <w:szCs w:val="22"/>
          <w:vertAlign w:val="superscript"/>
          <w:lang w:val="en-GB"/>
        </w:rPr>
        <w:t>6</w:t>
      </w:r>
      <w:r w:rsidR="00985080" w:rsidRPr="00C91EF0">
        <w:rPr>
          <w:rFonts w:asciiTheme="minorHAnsi" w:hAnsiTheme="minorHAnsi" w:cstheme="minorHAnsi"/>
          <w:sz w:val="22"/>
          <w:szCs w:val="22"/>
          <w:vertAlign w:val="superscript"/>
          <w:lang w:val="en-GB"/>
        </w:rPr>
        <w:t xml:space="preserve"> </w:t>
      </w:r>
      <w:r w:rsidR="00985080" w:rsidRPr="00C91EF0">
        <w:rPr>
          <w:rFonts w:asciiTheme="minorHAnsi" w:hAnsiTheme="minorHAnsi" w:cstheme="minorHAnsi"/>
          <w:sz w:val="22"/>
          <w:szCs w:val="22"/>
          <w:lang w:val="en-GB"/>
        </w:rPr>
        <w:t>(0</w:t>
      </w:r>
      <w:r w:rsidR="00964DC8">
        <w:rPr>
          <w:rFonts w:asciiTheme="minorHAnsi" w:hAnsiTheme="minorHAnsi" w:cstheme="minorHAnsi"/>
          <w:sz w:val="22"/>
          <w:szCs w:val="22"/>
          <w:lang w:val="en-GB"/>
        </w:rPr>
        <w:t>0</w:t>
      </w:r>
      <w:r w:rsidR="00985080" w:rsidRPr="00C91EF0">
        <w:rPr>
          <w:rFonts w:asciiTheme="minorHAnsi" w:hAnsiTheme="minorHAnsi" w:cstheme="minorHAnsi"/>
          <w:sz w:val="22"/>
          <w:szCs w:val="22"/>
          <w:lang w:val="en-GB"/>
        </w:rPr>
        <w:t>00-0003-2521-5780)</w:t>
      </w:r>
      <w:r w:rsidRPr="00C91EF0">
        <w:rPr>
          <w:rFonts w:asciiTheme="minorHAnsi" w:hAnsiTheme="minorHAnsi" w:cstheme="minorHAnsi"/>
          <w:sz w:val="22"/>
          <w:szCs w:val="22"/>
          <w:lang w:val="en-GB"/>
        </w:rPr>
        <w:t>, Henrik Rudolf</w:t>
      </w:r>
      <w:r w:rsidR="00DA4EF0">
        <w:rPr>
          <w:rFonts w:asciiTheme="minorHAnsi" w:hAnsiTheme="minorHAnsi" w:cstheme="minorHAnsi"/>
          <w:sz w:val="22"/>
          <w:szCs w:val="22"/>
          <w:vertAlign w:val="superscript"/>
          <w:lang w:val="en-GB"/>
        </w:rPr>
        <w:t>10</w:t>
      </w:r>
      <w:r w:rsidR="008310F0" w:rsidRPr="00C91EF0">
        <w:rPr>
          <w:rFonts w:asciiTheme="minorHAnsi" w:hAnsiTheme="minorHAnsi" w:cstheme="minorHAnsi"/>
          <w:sz w:val="22"/>
          <w:szCs w:val="22"/>
          <w:vertAlign w:val="superscript"/>
          <w:lang w:val="en-GB"/>
        </w:rPr>
        <w:t xml:space="preserve"> </w:t>
      </w:r>
      <w:r w:rsidR="00E61940" w:rsidRPr="00C91EF0">
        <w:rPr>
          <w:rFonts w:asciiTheme="minorHAnsi" w:hAnsiTheme="minorHAnsi" w:cstheme="minorHAnsi"/>
          <w:sz w:val="22"/>
          <w:szCs w:val="22"/>
          <w:lang w:val="en-GB"/>
        </w:rPr>
        <w:t>(0000-0001-9114-</w:t>
      </w:r>
      <w:r w:rsidR="00E61940" w:rsidRPr="000043F5">
        <w:rPr>
          <w:rFonts w:asciiTheme="minorHAnsi" w:hAnsiTheme="minorHAnsi" w:cstheme="minorHAnsi"/>
          <w:sz w:val="22"/>
          <w:szCs w:val="22"/>
          <w:lang w:val="en-GB"/>
        </w:rPr>
        <w:t>3805)</w:t>
      </w:r>
      <w:r w:rsidRPr="000043F5">
        <w:rPr>
          <w:rFonts w:asciiTheme="minorHAnsi" w:hAnsiTheme="minorHAnsi" w:cstheme="minorHAnsi"/>
          <w:sz w:val="22"/>
          <w:szCs w:val="22"/>
          <w:lang w:val="en-GB"/>
        </w:rPr>
        <w:t xml:space="preserve">, </w:t>
      </w:r>
      <w:r w:rsidR="000B5E74" w:rsidRPr="000043F5">
        <w:rPr>
          <w:rFonts w:asciiTheme="minorHAnsi" w:hAnsiTheme="minorHAnsi" w:cstheme="minorHAnsi"/>
          <w:sz w:val="22"/>
          <w:szCs w:val="22"/>
          <w:lang w:val="en-GB"/>
        </w:rPr>
        <w:t>Donna Bosch-Lenders</w:t>
      </w:r>
      <w:r w:rsidR="000B5E74" w:rsidRPr="000043F5">
        <w:rPr>
          <w:rFonts w:asciiTheme="minorHAnsi" w:hAnsiTheme="minorHAnsi" w:cstheme="minorHAnsi"/>
          <w:sz w:val="22"/>
          <w:szCs w:val="22"/>
          <w:vertAlign w:val="superscript"/>
          <w:lang w:val="en-GB"/>
        </w:rPr>
        <w:t>5</w:t>
      </w:r>
      <w:r w:rsidR="000B5E74" w:rsidRPr="000043F5">
        <w:rPr>
          <w:rFonts w:asciiTheme="minorHAnsi" w:hAnsiTheme="minorHAnsi" w:cstheme="minorHAnsi"/>
          <w:sz w:val="22"/>
          <w:szCs w:val="22"/>
          <w:lang w:val="en-GB"/>
        </w:rPr>
        <w:t xml:space="preserve">, </w:t>
      </w:r>
      <w:r w:rsidRPr="000043F5">
        <w:rPr>
          <w:rFonts w:asciiTheme="minorHAnsi" w:hAnsiTheme="minorHAnsi" w:cstheme="minorHAnsi"/>
          <w:sz w:val="22"/>
          <w:szCs w:val="22"/>
          <w:lang w:val="en-GB"/>
        </w:rPr>
        <w:t>Hans-</w:t>
      </w:r>
      <w:r w:rsidRPr="00C91EF0">
        <w:rPr>
          <w:rFonts w:asciiTheme="minorHAnsi" w:hAnsiTheme="minorHAnsi" w:cstheme="minorHAnsi"/>
          <w:sz w:val="22"/>
          <w:szCs w:val="22"/>
          <w:lang w:val="en-GB"/>
        </w:rPr>
        <w:t>Joachi</w:t>
      </w:r>
      <w:r w:rsidR="003260FD" w:rsidRPr="00C91EF0">
        <w:rPr>
          <w:rFonts w:asciiTheme="minorHAnsi" w:hAnsiTheme="minorHAnsi" w:cstheme="minorHAnsi"/>
          <w:sz w:val="22"/>
          <w:szCs w:val="22"/>
          <w:lang w:val="en-GB"/>
        </w:rPr>
        <w:t>m</w:t>
      </w:r>
      <w:r w:rsidRPr="00C91EF0">
        <w:rPr>
          <w:rFonts w:asciiTheme="minorHAnsi" w:hAnsiTheme="minorHAnsi" w:cstheme="minorHAnsi"/>
          <w:sz w:val="22"/>
          <w:szCs w:val="22"/>
          <w:lang w:val="en-GB"/>
        </w:rPr>
        <w:t xml:space="preserve"> Trampis</w:t>
      </w:r>
      <w:r w:rsidR="003130FF">
        <w:rPr>
          <w:rFonts w:asciiTheme="minorHAnsi" w:hAnsiTheme="minorHAnsi" w:cstheme="minorHAnsi"/>
          <w:sz w:val="22"/>
          <w:szCs w:val="22"/>
          <w:lang w:val="en-GB"/>
        </w:rPr>
        <w:t>c</w:t>
      </w:r>
      <w:r w:rsidRPr="00C91EF0">
        <w:rPr>
          <w:rFonts w:asciiTheme="minorHAnsi" w:hAnsiTheme="minorHAnsi" w:cstheme="minorHAnsi"/>
          <w:sz w:val="22"/>
          <w:szCs w:val="22"/>
          <w:lang w:val="en-GB"/>
        </w:rPr>
        <w:t>h</w:t>
      </w:r>
      <w:r w:rsidR="00DA4EF0">
        <w:rPr>
          <w:rFonts w:asciiTheme="minorHAnsi" w:hAnsiTheme="minorHAnsi" w:cstheme="minorHAnsi"/>
          <w:sz w:val="22"/>
          <w:szCs w:val="22"/>
          <w:vertAlign w:val="superscript"/>
          <w:lang w:val="en-GB"/>
        </w:rPr>
        <w:t>10</w:t>
      </w:r>
      <w:r w:rsidR="003E62F8" w:rsidRPr="00C91EF0">
        <w:rPr>
          <w:rFonts w:asciiTheme="minorHAnsi" w:hAnsiTheme="minorHAnsi" w:cstheme="minorHAnsi"/>
          <w:sz w:val="22"/>
          <w:szCs w:val="22"/>
          <w:lang w:val="en-GB"/>
        </w:rPr>
        <w:t xml:space="preserve"> </w:t>
      </w:r>
      <w:r w:rsidR="00A53155" w:rsidRPr="00C91EF0">
        <w:rPr>
          <w:rFonts w:asciiTheme="minorHAnsi" w:hAnsiTheme="minorHAnsi" w:cstheme="minorHAnsi"/>
          <w:sz w:val="22"/>
          <w:szCs w:val="22"/>
          <w:lang w:val="en-GB"/>
        </w:rPr>
        <w:t xml:space="preserve">(0000-0001-9136-1079), </w:t>
      </w:r>
      <w:r w:rsidRPr="00C91EF0">
        <w:rPr>
          <w:rFonts w:asciiTheme="minorHAnsi" w:hAnsiTheme="minorHAnsi" w:cstheme="minorHAnsi"/>
          <w:sz w:val="22"/>
          <w:szCs w:val="22"/>
          <w:lang w:val="en-GB"/>
        </w:rPr>
        <w:t>Joerg J Meerpohl</w:t>
      </w:r>
      <w:r w:rsidRPr="00C91EF0">
        <w:rPr>
          <w:rFonts w:asciiTheme="minorHAnsi" w:hAnsiTheme="minorHAnsi" w:cstheme="minorHAnsi"/>
          <w:sz w:val="22"/>
          <w:szCs w:val="22"/>
          <w:vertAlign w:val="superscript"/>
          <w:lang w:val="en-GB"/>
        </w:rPr>
        <w:t>8</w:t>
      </w:r>
      <w:r w:rsidR="00CA69D0">
        <w:rPr>
          <w:rFonts w:asciiTheme="minorHAnsi" w:hAnsiTheme="minorHAnsi" w:cstheme="minorHAnsi"/>
          <w:sz w:val="22"/>
          <w:szCs w:val="22"/>
          <w:vertAlign w:val="superscript"/>
          <w:lang w:val="en-GB"/>
        </w:rPr>
        <w:t>,9</w:t>
      </w:r>
      <w:r w:rsidR="008310F0" w:rsidRPr="00C91EF0">
        <w:rPr>
          <w:rFonts w:asciiTheme="minorHAnsi" w:hAnsiTheme="minorHAnsi" w:cstheme="minorHAnsi"/>
          <w:sz w:val="22"/>
          <w:szCs w:val="22"/>
          <w:vertAlign w:val="superscript"/>
          <w:lang w:val="en-GB"/>
        </w:rPr>
        <w:t xml:space="preserve"> </w:t>
      </w:r>
      <w:r w:rsidR="008310F0" w:rsidRPr="00C91EF0">
        <w:rPr>
          <w:rFonts w:asciiTheme="minorHAnsi" w:hAnsiTheme="minorHAnsi" w:cstheme="minorHAnsi"/>
          <w:sz w:val="22"/>
          <w:szCs w:val="22"/>
          <w:lang w:val="en-GB"/>
        </w:rPr>
        <w:t>(</w:t>
      </w:r>
      <w:r w:rsidR="00E5331A" w:rsidRPr="00C91EF0">
        <w:rPr>
          <w:rFonts w:asciiTheme="minorHAnsi" w:hAnsiTheme="minorHAnsi" w:cstheme="minorHAnsi"/>
          <w:sz w:val="22"/>
          <w:szCs w:val="22"/>
          <w:lang w:val="en-GB"/>
        </w:rPr>
        <w:t>0000-0002-1333-5403</w:t>
      </w:r>
      <w:r w:rsidR="008310F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62338E" w:rsidRPr="00C91EF0">
        <w:rPr>
          <w:rFonts w:asciiTheme="minorHAnsi" w:hAnsiTheme="minorHAnsi" w:cstheme="minorHAnsi"/>
          <w:sz w:val="22"/>
          <w:szCs w:val="22"/>
          <w:lang w:val="en-GB"/>
        </w:rPr>
        <w:t>Ferdinand M Gerlach</w:t>
      </w:r>
      <w:r w:rsidR="0062338E" w:rsidRPr="00C91EF0">
        <w:rPr>
          <w:rFonts w:asciiTheme="minorHAnsi" w:hAnsiTheme="minorHAnsi" w:cstheme="minorHAnsi"/>
          <w:sz w:val="22"/>
          <w:szCs w:val="22"/>
          <w:vertAlign w:val="superscript"/>
          <w:lang w:val="en-GB"/>
        </w:rPr>
        <w:t>1</w:t>
      </w:r>
      <w:r w:rsidR="0062338E" w:rsidRPr="00C91EF0">
        <w:rPr>
          <w:rFonts w:asciiTheme="minorHAnsi" w:hAnsiTheme="minorHAnsi" w:cstheme="minorHAnsi"/>
          <w:sz w:val="22"/>
          <w:szCs w:val="22"/>
          <w:lang w:val="en-GB"/>
        </w:rPr>
        <w:t xml:space="preserve">, </w:t>
      </w:r>
      <w:r w:rsidR="00995946" w:rsidRPr="00C91EF0">
        <w:rPr>
          <w:rFonts w:asciiTheme="minorHAnsi" w:hAnsiTheme="minorHAnsi" w:cstheme="minorHAnsi"/>
          <w:sz w:val="22"/>
          <w:szCs w:val="22"/>
          <w:lang w:val="en-GB"/>
        </w:rPr>
        <w:t>Benno Flaig</w:t>
      </w:r>
      <w:r w:rsidR="00995946" w:rsidRPr="00C91EF0">
        <w:rPr>
          <w:rFonts w:asciiTheme="minorHAnsi" w:hAnsiTheme="minorHAnsi" w:cstheme="minorHAnsi"/>
          <w:sz w:val="22"/>
          <w:szCs w:val="22"/>
          <w:vertAlign w:val="superscript"/>
          <w:lang w:val="en-GB"/>
        </w:rPr>
        <w:t>1</w:t>
      </w:r>
      <w:r w:rsidR="00995946" w:rsidRPr="00C91EF0">
        <w:rPr>
          <w:rFonts w:asciiTheme="minorHAnsi" w:hAnsiTheme="minorHAnsi" w:cstheme="minorHAnsi"/>
          <w:sz w:val="22"/>
          <w:szCs w:val="22"/>
          <w:lang w:val="en-GB"/>
        </w:rPr>
        <w:t xml:space="preserve">, </w:t>
      </w:r>
      <w:proofErr w:type="spellStart"/>
      <w:r w:rsidRPr="00C91EF0">
        <w:rPr>
          <w:rFonts w:asciiTheme="minorHAnsi" w:hAnsiTheme="minorHAnsi" w:cstheme="minorHAnsi"/>
          <w:sz w:val="22"/>
          <w:szCs w:val="22"/>
          <w:lang w:val="en-GB"/>
        </w:rPr>
        <w:t>Ghainsom</w:t>
      </w:r>
      <w:proofErr w:type="spellEnd"/>
      <w:r w:rsidRPr="00C91EF0">
        <w:rPr>
          <w:rFonts w:asciiTheme="minorHAnsi" w:hAnsiTheme="minorHAnsi" w:cstheme="minorHAnsi"/>
          <w:sz w:val="22"/>
          <w:szCs w:val="22"/>
          <w:lang w:val="en-GB"/>
        </w:rPr>
        <w:t xml:space="preserve"> Kom</w:t>
      </w:r>
      <w:r w:rsidRPr="00C91EF0">
        <w:rPr>
          <w:rFonts w:asciiTheme="minorHAnsi" w:hAnsiTheme="minorHAnsi" w:cstheme="minorHAnsi"/>
          <w:sz w:val="22"/>
          <w:szCs w:val="22"/>
          <w:vertAlign w:val="superscript"/>
          <w:lang w:val="en-GB"/>
        </w:rPr>
        <w:t>1</w:t>
      </w:r>
      <w:r w:rsidR="00DA4EF0">
        <w:rPr>
          <w:rFonts w:asciiTheme="minorHAnsi" w:hAnsiTheme="minorHAnsi" w:cstheme="minorHAnsi"/>
          <w:sz w:val="22"/>
          <w:szCs w:val="22"/>
          <w:vertAlign w:val="superscript"/>
          <w:lang w:val="en-GB"/>
        </w:rPr>
        <w:t>1</w:t>
      </w:r>
      <w:r w:rsidRPr="00C91EF0">
        <w:rPr>
          <w:rFonts w:asciiTheme="minorHAnsi" w:hAnsiTheme="minorHAnsi" w:cstheme="minorHAnsi"/>
          <w:sz w:val="22"/>
          <w:szCs w:val="22"/>
          <w:lang w:val="en-GB"/>
        </w:rPr>
        <w:t xml:space="preserve">, </w:t>
      </w:r>
      <w:r w:rsidR="009C4619" w:rsidRPr="00C91EF0">
        <w:rPr>
          <w:rFonts w:asciiTheme="minorHAnsi" w:hAnsiTheme="minorHAnsi" w:cstheme="minorHAnsi"/>
          <w:sz w:val="22"/>
          <w:szCs w:val="22"/>
          <w:lang w:val="en-GB"/>
        </w:rPr>
        <w:t xml:space="preserve">Kym </w:t>
      </w:r>
      <w:r w:rsidR="009B3E47" w:rsidRPr="00C91EF0">
        <w:rPr>
          <w:rFonts w:asciiTheme="minorHAnsi" w:hAnsiTheme="minorHAnsi" w:cstheme="minorHAnsi"/>
          <w:sz w:val="22"/>
          <w:szCs w:val="22"/>
          <w:lang w:val="en-GB"/>
        </w:rPr>
        <w:t xml:space="preserve">IE </w:t>
      </w:r>
      <w:r w:rsidR="009C4619" w:rsidRPr="00C91EF0">
        <w:rPr>
          <w:rFonts w:asciiTheme="minorHAnsi" w:hAnsiTheme="minorHAnsi" w:cstheme="minorHAnsi"/>
          <w:sz w:val="22"/>
          <w:szCs w:val="22"/>
          <w:lang w:val="en-GB"/>
        </w:rPr>
        <w:t>Snell</w:t>
      </w:r>
      <w:r w:rsidR="009C4619" w:rsidRPr="00C91EF0">
        <w:rPr>
          <w:rFonts w:asciiTheme="minorHAnsi" w:hAnsiTheme="minorHAnsi" w:cstheme="minorHAnsi"/>
          <w:sz w:val="22"/>
          <w:szCs w:val="22"/>
          <w:vertAlign w:val="superscript"/>
          <w:lang w:val="en-GB"/>
        </w:rPr>
        <w:t xml:space="preserve">11 </w:t>
      </w:r>
      <w:r w:rsidR="009C4619" w:rsidRPr="00C91EF0">
        <w:rPr>
          <w:rFonts w:asciiTheme="minorHAnsi" w:hAnsiTheme="minorHAnsi" w:cstheme="minorHAnsi"/>
          <w:sz w:val="22"/>
          <w:szCs w:val="22"/>
          <w:lang w:val="en-GB"/>
        </w:rPr>
        <w:t>(0000-0001-9373-6591), Rafael Perera</w:t>
      </w:r>
      <w:r w:rsidR="009C4619" w:rsidRPr="00C91EF0">
        <w:rPr>
          <w:rFonts w:asciiTheme="minorHAnsi" w:hAnsiTheme="minorHAnsi" w:cstheme="minorHAnsi"/>
          <w:sz w:val="22"/>
          <w:szCs w:val="22"/>
          <w:vertAlign w:val="superscript"/>
          <w:lang w:val="en-GB"/>
        </w:rPr>
        <w:t>1</w:t>
      </w:r>
      <w:r w:rsidR="00DA4EF0">
        <w:rPr>
          <w:rFonts w:asciiTheme="minorHAnsi" w:hAnsiTheme="minorHAnsi" w:cstheme="minorHAnsi"/>
          <w:sz w:val="22"/>
          <w:szCs w:val="22"/>
          <w:vertAlign w:val="superscript"/>
          <w:lang w:val="en-GB"/>
        </w:rPr>
        <w:t>3</w:t>
      </w:r>
      <w:r w:rsidR="009C4619" w:rsidRPr="00C91EF0">
        <w:rPr>
          <w:rFonts w:asciiTheme="minorHAnsi" w:hAnsiTheme="minorHAnsi" w:cstheme="minorHAnsi"/>
          <w:sz w:val="22"/>
          <w:szCs w:val="22"/>
          <w:vertAlign w:val="superscript"/>
          <w:lang w:val="en-GB"/>
        </w:rPr>
        <w:t xml:space="preserve"> </w:t>
      </w:r>
      <w:r w:rsidR="009C4619" w:rsidRPr="00C91EF0">
        <w:rPr>
          <w:rFonts w:asciiTheme="minorHAnsi" w:hAnsiTheme="minorHAnsi" w:cstheme="minorHAnsi"/>
          <w:sz w:val="22"/>
          <w:szCs w:val="22"/>
          <w:lang w:val="en-GB"/>
        </w:rPr>
        <w:t xml:space="preserve">(0000-0003-24182091), </w:t>
      </w:r>
      <w:r w:rsidRPr="00C91EF0">
        <w:rPr>
          <w:rFonts w:asciiTheme="minorHAnsi" w:hAnsiTheme="minorHAnsi" w:cstheme="minorHAnsi"/>
          <w:sz w:val="22"/>
          <w:szCs w:val="22"/>
          <w:lang w:val="en-GB"/>
        </w:rPr>
        <w:t>Walter E Haefeli</w:t>
      </w:r>
      <w:r w:rsidRPr="00C91EF0">
        <w:rPr>
          <w:rFonts w:asciiTheme="minorHAnsi" w:hAnsiTheme="minorHAnsi" w:cstheme="minorHAnsi"/>
          <w:sz w:val="22"/>
          <w:szCs w:val="22"/>
          <w:vertAlign w:val="superscript"/>
          <w:lang w:val="en-GB"/>
        </w:rPr>
        <w:t>3</w:t>
      </w:r>
      <w:r w:rsidR="006A1349" w:rsidRPr="00C91EF0">
        <w:rPr>
          <w:rFonts w:asciiTheme="minorHAnsi" w:hAnsiTheme="minorHAnsi" w:cstheme="minorHAnsi"/>
          <w:sz w:val="22"/>
          <w:szCs w:val="22"/>
          <w:lang w:val="en-GB"/>
        </w:rPr>
        <w:t xml:space="preserve"> (0000-0003-0672-6876)</w:t>
      </w:r>
      <w:r w:rsidRPr="00C91EF0">
        <w:rPr>
          <w:rFonts w:asciiTheme="minorHAnsi" w:hAnsiTheme="minorHAnsi" w:cstheme="minorHAnsi"/>
          <w:sz w:val="22"/>
          <w:szCs w:val="22"/>
          <w:lang w:val="en-GB"/>
        </w:rPr>
        <w:t>, Paul P Glasziou</w:t>
      </w:r>
      <w:r w:rsidRPr="00C91EF0">
        <w:rPr>
          <w:rFonts w:asciiTheme="minorHAnsi" w:hAnsiTheme="minorHAnsi" w:cstheme="minorHAnsi"/>
          <w:sz w:val="22"/>
          <w:szCs w:val="22"/>
          <w:vertAlign w:val="superscript"/>
          <w:lang w:val="en-GB"/>
        </w:rPr>
        <w:t>1</w:t>
      </w:r>
      <w:r w:rsidR="00DA4EF0">
        <w:rPr>
          <w:rFonts w:asciiTheme="minorHAnsi" w:hAnsiTheme="minorHAnsi" w:cstheme="minorHAnsi"/>
          <w:sz w:val="22"/>
          <w:szCs w:val="22"/>
          <w:vertAlign w:val="superscript"/>
          <w:lang w:val="en-GB"/>
        </w:rPr>
        <w:t>4</w:t>
      </w:r>
      <w:r w:rsidR="008310F0" w:rsidRPr="00C91EF0">
        <w:rPr>
          <w:rFonts w:asciiTheme="minorHAnsi" w:hAnsiTheme="minorHAnsi" w:cstheme="minorHAnsi"/>
          <w:sz w:val="22"/>
          <w:szCs w:val="22"/>
          <w:vertAlign w:val="superscript"/>
          <w:lang w:val="en-GB"/>
        </w:rPr>
        <w:t xml:space="preserve"> </w:t>
      </w:r>
      <w:r w:rsidR="008310F0" w:rsidRPr="00C91EF0">
        <w:rPr>
          <w:rFonts w:asciiTheme="minorHAnsi" w:hAnsiTheme="minorHAnsi" w:cstheme="minorHAnsi"/>
          <w:sz w:val="22"/>
          <w:szCs w:val="22"/>
          <w:lang w:val="en-GB"/>
        </w:rPr>
        <w:t>(</w:t>
      </w:r>
      <w:r w:rsidR="00E5331A" w:rsidRPr="00C91EF0">
        <w:rPr>
          <w:rFonts w:asciiTheme="minorHAnsi" w:hAnsiTheme="minorHAnsi" w:cstheme="minorHAnsi"/>
          <w:sz w:val="22"/>
          <w:szCs w:val="22"/>
          <w:lang w:val="en-GB"/>
        </w:rPr>
        <w:t>0000-0001-7564-073X</w:t>
      </w:r>
      <w:r w:rsidR="008310F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Christiane Muth</w:t>
      </w:r>
      <w:r w:rsidRPr="00C91EF0">
        <w:rPr>
          <w:rFonts w:asciiTheme="minorHAnsi" w:hAnsiTheme="minorHAnsi" w:cstheme="minorHAnsi"/>
          <w:sz w:val="22"/>
          <w:szCs w:val="22"/>
          <w:vertAlign w:val="superscript"/>
          <w:lang w:val="en-GB"/>
        </w:rPr>
        <w:t>1</w:t>
      </w:r>
      <w:r w:rsidR="008310F0" w:rsidRPr="00C91EF0">
        <w:rPr>
          <w:rFonts w:asciiTheme="minorHAnsi" w:hAnsiTheme="minorHAnsi" w:cstheme="minorHAnsi"/>
          <w:sz w:val="22"/>
          <w:szCs w:val="22"/>
          <w:vertAlign w:val="superscript"/>
          <w:lang w:val="en-GB"/>
        </w:rPr>
        <w:t xml:space="preserve"> </w:t>
      </w:r>
      <w:r w:rsidR="008310F0" w:rsidRPr="00C91EF0">
        <w:rPr>
          <w:rFonts w:asciiTheme="minorHAnsi" w:hAnsiTheme="minorHAnsi" w:cstheme="minorHAnsi"/>
          <w:sz w:val="22"/>
          <w:szCs w:val="22"/>
          <w:lang w:val="en-GB"/>
        </w:rPr>
        <w:t>(</w:t>
      </w:r>
      <w:r w:rsidR="00A80B48" w:rsidRPr="00C91EF0">
        <w:rPr>
          <w:rFonts w:asciiTheme="minorHAnsi" w:hAnsiTheme="minorHAnsi" w:cstheme="minorHAnsi"/>
          <w:sz w:val="22"/>
          <w:szCs w:val="22"/>
          <w:lang w:val="en-GB"/>
        </w:rPr>
        <w:t>0000-0001-8987-182X</w:t>
      </w:r>
      <w:r w:rsidR="008310F0" w:rsidRPr="00C91EF0">
        <w:rPr>
          <w:rFonts w:asciiTheme="minorHAnsi" w:hAnsiTheme="minorHAnsi" w:cstheme="minorHAnsi"/>
          <w:sz w:val="22"/>
          <w:szCs w:val="22"/>
          <w:lang w:val="en-GB"/>
        </w:rPr>
        <w:t>)</w:t>
      </w:r>
    </w:p>
    <w:p w14:paraId="66CA13BE" w14:textId="77777777" w:rsidR="00875C0D" w:rsidRPr="00C91EF0" w:rsidRDefault="00875C0D" w:rsidP="00875C0D">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A</w:t>
      </w:r>
      <w:r w:rsidR="000363B5">
        <w:rPr>
          <w:rFonts w:asciiTheme="minorHAnsi" w:hAnsiTheme="minorHAnsi" w:cstheme="minorHAnsi"/>
          <w:b/>
          <w:sz w:val="22"/>
          <w:szCs w:val="22"/>
          <w:lang w:val="en-GB"/>
        </w:rPr>
        <w:t>FFILIATIONS</w:t>
      </w:r>
    </w:p>
    <w:p w14:paraId="716457AE" w14:textId="67676B31" w:rsidR="00875C0D" w:rsidRPr="00C91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1</w:t>
      </w:r>
      <w:r w:rsidRPr="00C91EF0">
        <w:rPr>
          <w:rFonts w:asciiTheme="minorHAnsi" w:hAnsiTheme="minorHAnsi" w:cstheme="minorHAnsi"/>
          <w:sz w:val="22"/>
          <w:szCs w:val="22"/>
          <w:lang w:val="en-GB"/>
        </w:rPr>
        <w:t xml:space="preserve"> Institute of General Practice, Goethe University</w:t>
      </w:r>
      <w:r w:rsidR="001244D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7C4BEC" w:rsidRPr="00C91EF0">
        <w:rPr>
          <w:rFonts w:asciiTheme="minorHAnsi" w:hAnsiTheme="minorHAnsi" w:cstheme="minorHAnsi"/>
          <w:sz w:val="22"/>
          <w:szCs w:val="22"/>
          <w:lang w:val="en-GB"/>
        </w:rPr>
        <w:t xml:space="preserve">60590 </w:t>
      </w:r>
      <w:r w:rsidRPr="00C91EF0">
        <w:rPr>
          <w:rFonts w:asciiTheme="minorHAnsi" w:hAnsiTheme="minorHAnsi" w:cstheme="minorHAnsi"/>
          <w:sz w:val="22"/>
          <w:szCs w:val="22"/>
          <w:lang w:val="en-GB"/>
        </w:rPr>
        <w:t>Frankfurt am Main</w:t>
      </w:r>
      <w:r w:rsidR="001244D0"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Germany</w:t>
      </w:r>
    </w:p>
    <w:p w14:paraId="3184B17D" w14:textId="77777777" w:rsidR="00875C0D" w:rsidRPr="001B26ED" w:rsidRDefault="00875C0D" w:rsidP="00875C0D">
      <w:pPr>
        <w:spacing w:line="480" w:lineRule="auto"/>
        <w:rPr>
          <w:rFonts w:asciiTheme="minorHAnsi" w:hAnsiTheme="minorHAnsi" w:cstheme="minorHAnsi"/>
          <w:sz w:val="22"/>
          <w:szCs w:val="22"/>
        </w:rPr>
      </w:pPr>
      <w:r w:rsidRPr="001B26ED">
        <w:rPr>
          <w:rFonts w:asciiTheme="minorHAnsi" w:hAnsiTheme="minorHAnsi" w:cstheme="minorHAnsi"/>
          <w:sz w:val="22"/>
          <w:szCs w:val="22"/>
          <w:vertAlign w:val="superscript"/>
        </w:rPr>
        <w:t xml:space="preserve">2 </w:t>
      </w:r>
      <w:proofErr w:type="gramStart"/>
      <w:r w:rsidRPr="001B26ED">
        <w:rPr>
          <w:rFonts w:asciiTheme="minorHAnsi" w:hAnsiTheme="minorHAnsi" w:cstheme="minorHAnsi"/>
          <w:sz w:val="22"/>
          <w:szCs w:val="22"/>
        </w:rPr>
        <w:t>Red</w:t>
      </w:r>
      <w:proofErr w:type="gramEnd"/>
      <w:r w:rsidRPr="001B26ED">
        <w:rPr>
          <w:rFonts w:asciiTheme="minorHAnsi" w:hAnsiTheme="minorHAnsi" w:cstheme="minorHAnsi"/>
          <w:sz w:val="22"/>
          <w:szCs w:val="22"/>
        </w:rPr>
        <w:t xml:space="preserve"> de Investigación en Servicios de Salud en Enfermedades Crónicas (REDISSEC)</w:t>
      </w:r>
      <w:r w:rsidR="005756D2" w:rsidRPr="001B26ED">
        <w:rPr>
          <w:rFonts w:asciiTheme="minorHAnsi" w:hAnsiTheme="minorHAnsi" w:cstheme="minorHAnsi"/>
          <w:sz w:val="22"/>
          <w:szCs w:val="22"/>
        </w:rPr>
        <w:t>,</w:t>
      </w:r>
      <w:r w:rsidRPr="001B26ED">
        <w:rPr>
          <w:rFonts w:asciiTheme="minorHAnsi" w:hAnsiTheme="minorHAnsi" w:cstheme="minorHAnsi"/>
          <w:sz w:val="22"/>
          <w:szCs w:val="22"/>
        </w:rPr>
        <w:t xml:space="preserve"> Madrid</w:t>
      </w:r>
      <w:r w:rsidR="005756D2" w:rsidRPr="001B26ED">
        <w:rPr>
          <w:rFonts w:asciiTheme="minorHAnsi" w:hAnsiTheme="minorHAnsi" w:cstheme="minorHAnsi"/>
          <w:sz w:val="22"/>
          <w:szCs w:val="22"/>
        </w:rPr>
        <w:t>,</w:t>
      </w:r>
      <w:r w:rsidRPr="001B26ED">
        <w:rPr>
          <w:rFonts w:asciiTheme="minorHAnsi" w:hAnsiTheme="minorHAnsi" w:cstheme="minorHAnsi"/>
          <w:sz w:val="22"/>
          <w:szCs w:val="22"/>
        </w:rPr>
        <w:t xml:space="preserve"> </w:t>
      </w:r>
      <w:proofErr w:type="spellStart"/>
      <w:r w:rsidRPr="001B26ED">
        <w:rPr>
          <w:rFonts w:asciiTheme="minorHAnsi" w:hAnsiTheme="minorHAnsi" w:cstheme="minorHAnsi"/>
          <w:sz w:val="22"/>
          <w:szCs w:val="22"/>
        </w:rPr>
        <w:t>Spain</w:t>
      </w:r>
      <w:proofErr w:type="spellEnd"/>
      <w:r w:rsidRPr="001B26ED">
        <w:rPr>
          <w:rFonts w:asciiTheme="minorHAnsi" w:hAnsiTheme="minorHAnsi" w:cstheme="minorHAnsi"/>
          <w:sz w:val="22"/>
          <w:szCs w:val="22"/>
        </w:rPr>
        <w:t>.</w:t>
      </w:r>
    </w:p>
    <w:p w14:paraId="4A99C4E1" w14:textId="77777777" w:rsidR="00875C0D" w:rsidRPr="00C91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3</w:t>
      </w:r>
      <w:r w:rsidRPr="00C91EF0">
        <w:rPr>
          <w:rFonts w:asciiTheme="minorHAnsi" w:hAnsiTheme="minorHAnsi" w:cstheme="minorHAnsi"/>
          <w:sz w:val="22"/>
          <w:szCs w:val="22"/>
          <w:lang w:val="en-GB"/>
        </w:rPr>
        <w:t xml:space="preserve"> Department of Clinical Pharmacology and Pharmacoepidemiology, University Hospital</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5756D2" w:rsidRPr="00C91EF0">
        <w:rPr>
          <w:rFonts w:asciiTheme="minorHAnsi" w:hAnsiTheme="minorHAnsi" w:cstheme="minorHAnsi"/>
          <w:sz w:val="22"/>
          <w:szCs w:val="22"/>
          <w:lang w:val="en-GB"/>
        </w:rPr>
        <w:t xml:space="preserve">69120 </w:t>
      </w:r>
      <w:r w:rsidRPr="00C91EF0">
        <w:rPr>
          <w:rFonts w:asciiTheme="minorHAnsi" w:hAnsiTheme="minorHAnsi" w:cstheme="minorHAnsi"/>
          <w:sz w:val="22"/>
          <w:szCs w:val="22"/>
          <w:lang w:val="en-GB"/>
        </w:rPr>
        <w:t>Heidelberg</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Germany </w:t>
      </w:r>
    </w:p>
    <w:p w14:paraId="0822B59F" w14:textId="77777777" w:rsidR="00875C0D" w:rsidRPr="00C91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4</w:t>
      </w:r>
      <w:r w:rsidRPr="00C91EF0">
        <w:rPr>
          <w:rFonts w:asciiTheme="minorHAnsi" w:hAnsiTheme="minorHAnsi" w:cstheme="minorHAnsi"/>
          <w:sz w:val="22"/>
          <w:szCs w:val="22"/>
          <w:lang w:val="en-GB"/>
        </w:rPr>
        <w:t xml:space="preserve"> Department of Public Health and Primary Care, Leiden University Medical </w:t>
      </w:r>
      <w:proofErr w:type="spellStart"/>
      <w:r w:rsidRPr="00C91EF0">
        <w:rPr>
          <w:rFonts w:asciiTheme="minorHAnsi" w:hAnsiTheme="minorHAnsi" w:cstheme="minorHAnsi"/>
          <w:sz w:val="22"/>
          <w:szCs w:val="22"/>
          <w:lang w:val="en-GB"/>
        </w:rPr>
        <w:t>Center</w:t>
      </w:r>
      <w:proofErr w:type="spellEnd"/>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5756D2" w:rsidRPr="00C91EF0">
        <w:rPr>
          <w:rFonts w:asciiTheme="minorHAnsi" w:hAnsiTheme="minorHAnsi" w:cstheme="minorHAnsi"/>
          <w:sz w:val="22"/>
          <w:szCs w:val="22"/>
          <w:lang w:val="en-GB"/>
        </w:rPr>
        <w:t>23</w:t>
      </w:r>
      <w:r w:rsidR="001F1373" w:rsidRPr="00C91EF0">
        <w:rPr>
          <w:rFonts w:asciiTheme="minorHAnsi" w:hAnsiTheme="minorHAnsi" w:cstheme="minorHAnsi"/>
          <w:sz w:val="22"/>
          <w:szCs w:val="22"/>
          <w:lang w:val="en-GB"/>
        </w:rPr>
        <w:t>00RC</w:t>
      </w:r>
      <w:r w:rsidR="005756D2"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Leiden</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The Netherlands</w:t>
      </w:r>
    </w:p>
    <w:p w14:paraId="369E4BFC" w14:textId="77777777" w:rsidR="00875C0D" w:rsidRPr="00C91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5</w:t>
      </w:r>
      <w:r w:rsidRPr="00C91EF0">
        <w:rPr>
          <w:rFonts w:asciiTheme="minorHAnsi" w:hAnsiTheme="minorHAnsi" w:cstheme="minorHAnsi"/>
          <w:sz w:val="22"/>
          <w:szCs w:val="22"/>
          <w:lang w:val="en-GB"/>
        </w:rPr>
        <w:t xml:space="preserve"> School of CAPHRI, Department of Family Medicine, Maastricht University</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5756D2" w:rsidRPr="00C91EF0">
        <w:rPr>
          <w:rFonts w:asciiTheme="minorHAnsi" w:hAnsiTheme="minorHAnsi" w:cstheme="minorHAnsi"/>
          <w:sz w:val="22"/>
          <w:szCs w:val="22"/>
          <w:lang w:val="en-GB"/>
        </w:rPr>
        <w:t>62</w:t>
      </w:r>
      <w:r w:rsidR="000B5E74" w:rsidRPr="00C91EF0">
        <w:rPr>
          <w:rFonts w:asciiTheme="minorHAnsi" w:hAnsiTheme="minorHAnsi" w:cstheme="minorHAnsi"/>
          <w:sz w:val="22"/>
          <w:szCs w:val="22"/>
          <w:lang w:val="en-GB"/>
        </w:rPr>
        <w:t>00</w:t>
      </w:r>
      <w:r w:rsidR="005756D2" w:rsidRPr="00C91EF0">
        <w:rPr>
          <w:rFonts w:asciiTheme="minorHAnsi" w:hAnsiTheme="minorHAnsi" w:cstheme="minorHAnsi"/>
          <w:sz w:val="22"/>
          <w:szCs w:val="22"/>
          <w:lang w:val="en-GB"/>
        </w:rPr>
        <w:t xml:space="preserve"> </w:t>
      </w:r>
      <w:r w:rsidR="000B5E74" w:rsidRPr="00C91EF0">
        <w:rPr>
          <w:rFonts w:asciiTheme="minorHAnsi" w:hAnsiTheme="minorHAnsi" w:cstheme="minorHAnsi"/>
          <w:sz w:val="22"/>
          <w:szCs w:val="22"/>
          <w:lang w:val="en-GB"/>
        </w:rPr>
        <w:t>MD</w:t>
      </w:r>
      <w:r w:rsidR="005756D2"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Maastricht</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The Netherlands</w:t>
      </w:r>
    </w:p>
    <w:p w14:paraId="71D5D75D" w14:textId="77777777" w:rsidR="00875C0D" w:rsidRPr="00C91EF0" w:rsidRDefault="00875C0D" w:rsidP="00875C0D">
      <w:pPr>
        <w:spacing w:line="480" w:lineRule="auto"/>
        <w:rPr>
          <w:rFonts w:asciiTheme="minorHAnsi" w:hAnsiTheme="minorHAnsi" w:cstheme="minorHAnsi"/>
          <w:color w:val="4472C4" w:themeColor="accent1"/>
          <w:sz w:val="22"/>
          <w:szCs w:val="22"/>
          <w:lang w:val="en-GB"/>
        </w:rPr>
      </w:pPr>
      <w:r w:rsidRPr="00C91EF0">
        <w:rPr>
          <w:rFonts w:asciiTheme="minorHAnsi" w:hAnsiTheme="minorHAnsi" w:cstheme="minorHAnsi"/>
          <w:sz w:val="22"/>
          <w:szCs w:val="22"/>
          <w:vertAlign w:val="superscript"/>
          <w:lang w:val="en-GB"/>
        </w:rPr>
        <w:lastRenderedPageBreak/>
        <w:t>6</w:t>
      </w:r>
      <w:r w:rsidRPr="00C91EF0">
        <w:rPr>
          <w:rFonts w:asciiTheme="minorHAnsi" w:hAnsiTheme="minorHAnsi" w:cstheme="minorHAnsi"/>
          <w:sz w:val="22"/>
          <w:szCs w:val="22"/>
          <w:lang w:val="en-GB"/>
        </w:rPr>
        <w:t xml:space="preserve"> Department of General Practice and Elderly Care Medicine, Amsterdam UMC, Vrije Universiteit, Amsterdam Public Health Research Institute</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5756D2" w:rsidRPr="00C91EF0">
        <w:rPr>
          <w:rFonts w:asciiTheme="minorHAnsi" w:hAnsiTheme="minorHAnsi" w:cstheme="minorHAnsi"/>
          <w:sz w:val="22"/>
          <w:szCs w:val="22"/>
          <w:lang w:val="en-GB"/>
        </w:rPr>
        <w:t xml:space="preserve">1007 MB </w:t>
      </w:r>
      <w:r w:rsidRPr="00C91EF0">
        <w:rPr>
          <w:rFonts w:asciiTheme="minorHAnsi" w:hAnsiTheme="minorHAnsi" w:cstheme="minorHAnsi"/>
          <w:sz w:val="22"/>
          <w:szCs w:val="22"/>
          <w:lang w:val="en-GB"/>
        </w:rPr>
        <w:t>Amsterdam</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The Netherlands</w:t>
      </w:r>
    </w:p>
    <w:p w14:paraId="33B3FC4D" w14:textId="5339BBED" w:rsidR="00875C0D" w:rsidRPr="00C91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7</w:t>
      </w:r>
      <w:r w:rsidRPr="00C91EF0">
        <w:rPr>
          <w:rFonts w:asciiTheme="minorHAnsi" w:hAnsiTheme="minorHAnsi" w:cstheme="minorHAnsi"/>
          <w:sz w:val="22"/>
          <w:szCs w:val="22"/>
          <w:lang w:val="en-GB"/>
        </w:rPr>
        <w:t xml:space="preserve"> </w:t>
      </w:r>
      <w:r w:rsidR="00436940">
        <w:rPr>
          <w:rFonts w:asciiTheme="minorHAnsi" w:hAnsiTheme="minorHAnsi" w:cstheme="minorHAnsi"/>
          <w:sz w:val="22"/>
          <w:szCs w:val="22"/>
          <w:lang w:val="en-GB"/>
        </w:rPr>
        <w:t xml:space="preserve">Chair of Geriatrics and Gerontology, </w:t>
      </w:r>
      <w:r w:rsidR="006D66DE">
        <w:rPr>
          <w:rFonts w:asciiTheme="minorHAnsi" w:hAnsiTheme="minorHAnsi" w:cstheme="minorHAnsi"/>
          <w:sz w:val="22"/>
          <w:szCs w:val="22"/>
          <w:lang w:val="en-GB"/>
        </w:rPr>
        <w:t>University Clinic Eppendorf</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5756D2" w:rsidRPr="00C91EF0">
        <w:rPr>
          <w:rFonts w:asciiTheme="minorHAnsi" w:hAnsiTheme="minorHAnsi" w:cstheme="minorHAnsi"/>
          <w:sz w:val="22"/>
          <w:szCs w:val="22"/>
          <w:lang w:val="en-GB"/>
        </w:rPr>
        <w:t>2</w:t>
      </w:r>
      <w:r w:rsidR="00436940">
        <w:rPr>
          <w:rFonts w:asciiTheme="minorHAnsi" w:hAnsiTheme="minorHAnsi" w:cstheme="minorHAnsi"/>
          <w:sz w:val="22"/>
          <w:szCs w:val="22"/>
          <w:lang w:val="en-GB"/>
        </w:rPr>
        <w:t>0246</w:t>
      </w:r>
      <w:r w:rsidR="005756D2"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Hamburg</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Germany</w:t>
      </w:r>
    </w:p>
    <w:p w14:paraId="1AE2F702" w14:textId="77777777" w:rsidR="00875C0D" w:rsidRPr="00C91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8</w:t>
      </w:r>
      <w:r w:rsidRPr="00C91EF0">
        <w:rPr>
          <w:rFonts w:asciiTheme="minorHAnsi" w:hAnsiTheme="minorHAnsi" w:cstheme="minorHAnsi"/>
          <w:sz w:val="22"/>
          <w:szCs w:val="22"/>
          <w:lang w:val="en-GB"/>
        </w:rPr>
        <w:t xml:space="preserve"> </w:t>
      </w:r>
      <w:bookmarkStart w:id="0" w:name="OLE_LINK3"/>
      <w:bookmarkStart w:id="1" w:name="OLE_LINK4"/>
      <w:r w:rsidRPr="00C91EF0">
        <w:rPr>
          <w:rFonts w:asciiTheme="minorHAnsi" w:hAnsiTheme="minorHAnsi" w:cstheme="minorHAnsi"/>
          <w:sz w:val="22"/>
          <w:szCs w:val="22"/>
          <w:lang w:val="en-GB"/>
        </w:rPr>
        <w:t>Institute for Evidence in Medicine (for Cochrane Germany Foundation)</w:t>
      </w:r>
      <w:bookmarkEnd w:id="0"/>
      <w:bookmarkEnd w:id="1"/>
      <w:r w:rsidRPr="00C91EF0">
        <w:rPr>
          <w:rFonts w:asciiTheme="minorHAnsi" w:hAnsiTheme="minorHAnsi" w:cstheme="minorHAnsi"/>
          <w:sz w:val="22"/>
          <w:szCs w:val="22"/>
          <w:lang w:val="en-GB"/>
        </w:rPr>
        <w:t xml:space="preserve">, Medical </w:t>
      </w:r>
      <w:proofErr w:type="spellStart"/>
      <w:r w:rsidRPr="00C91EF0">
        <w:rPr>
          <w:rFonts w:asciiTheme="minorHAnsi" w:hAnsiTheme="minorHAnsi" w:cstheme="minorHAnsi"/>
          <w:sz w:val="22"/>
          <w:szCs w:val="22"/>
          <w:lang w:val="en-GB"/>
        </w:rPr>
        <w:t>Center</w:t>
      </w:r>
      <w:proofErr w:type="spellEnd"/>
      <w:r w:rsidR="007D2B0E" w:rsidRPr="00C91EF0">
        <w:rPr>
          <w:rFonts w:asciiTheme="minorHAnsi" w:hAnsiTheme="minorHAnsi" w:cstheme="minorHAnsi"/>
          <w:sz w:val="22"/>
          <w:szCs w:val="22"/>
          <w:lang w:val="en-GB"/>
        </w:rPr>
        <w:t xml:space="preserve"> – University of Freiburg</w:t>
      </w:r>
      <w:r w:rsidRPr="00C91EF0">
        <w:rPr>
          <w:rFonts w:asciiTheme="minorHAnsi" w:hAnsiTheme="minorHAnsi" w:cstheme="minorHAnsi"/>
          <w:sz w:val="22"/>
          <w:szCs w:val="22"/>
          <w:lang w:val="en-GB"/>
        </w:rPr>
        <w:t>, Faculty of Medicine, University of Freiburg</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proofErr w:type="spellStart"/>
      <w:r w:rsidR="007D2B0E" w:rsidRPr="00C91EF0">
        <w:rPr>
          <w:rFonts w:asciiTheme="minorHAnsi" w:hAnsiTheme="minorHAnsi" w:cstheme="minorHAnsi"/>
          <w:sz w:val="22"/>
          <w:szCs w:val="22"/>
          <w:lang w:val="en-GB"/>
        </w:rPr>
        <w:t>Breisacher</w:t>
      </w:r>
      <w:proofErr w:type="spellEnd"/>
      <w:r w:rsidR="007D2B0E" w:rsidRPr="00C91EF0">
        <w:rPr>
          <w:rFonts w:asciiTheme="minorHAnsi" w:hAnsiTheme="minorHAnsi" w:cstheme="minorHAnsi"/>
          <w:sz w:val="22"/>
          <w:szCs w:val="22"/>
          <w:lang w:val="en-GB"/>
        </w:rPr>
        <w:t xml:space="preserve"> Strasse 153, </w:t>
      </w:r>
      <w:r w:rsidR="005756D2" w:rsidRPr="00C91EF0">
        <w:rPr>
          <w:rFonts w:asciiTheme="minorHAnsi" w:hAnsiTheme="minorHAnsi" w:cstheme="minorHAnsi"/>
          <w:sz w:val="22"/>
          <w:szCs w:val="22"/>
          <w:lang w:val="en-GB"/>
        </w:rPr>
        <w:t>79</w:t>
      </w:r>
      <w:r w:rsidR="007D2B0E" w:rsidRPr="00C91EF0">
        <w:rPr>
          <w:rFonts w:asciiTheme="minorHAnsi" w:hAnsiTheme="minorHAnsi" w:cstheme="minorHAnsi"/>
          <w:sz w:val="22"/>
          <w:szCs w:val="22"/>
          <w:lang w:val="en-GB"/>
        </w:rPr>
        <w:t>110</w:t>
      </w:r>
      <w:r w:rsidR="005756D2"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Freiburg</w:t>
      </w:r>
      <w:r w:rsidR="005756D2"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Germany</w:t>
      </w:r>
    </w:p>
    <w:p w14:paraId="353C258F" w14:textId="5E514E94" w:rsidR="00DA4EF0" w:rsidRDefault="00875C0D" w:rsidP="00875C0D">
      <w:pPr>
        <w:spacing w:line="480" w:lineRule="auto"/>
        <w:rPr>
          <w:rFonts w:asciiTheme="minorHAnsi" w:hAnsiTheme="minorHAnsi" w:cstheme="minorHAnsi"/>
          <w:sz w:val="22"/>
          <w:szCs w:val="22"/>
          <w:vertAlign w:val="superscript"/>
          <w:lang w:val="de-DE"/>
        </w:rPr>
      </w:pPr>
      <w:r w:rsidRPr="00C978C3">
        <w:rPr>
          <w:rFonts w:asciiTheme="minorHAnsi" w:hAnsiTheme="minorHAnsi" w:cstheme="minorHAnsi"/>
          <w:sz w:val="22"/>
          <w:szCs w:val="22"/>
          <w:vertAlign w:val="superscript"/>
          <w:lang w:val="de-DE"/>
        </w:rPr>
        <w:t xml:space="preserve">9 </w:t>
      </w:r>
      <w:r w:rsidR="00DA4EF0">
        <w:rPr>
          <w:rFonts w:asciiTheme="minorHAnsi" w:hAnsiTheme="minorHAnsi" w:cstheme="minorHAnsi"/>
          <w:sz w:val="22"/>
          <w:szCs w:val="22"/>
          <w:lang w:val="en-GB"/>
        </w:rPr>
        <w:t xml:space="preserve">Cochrane Germany, Cochrane Germany Foundation, </w:t>
      </w:r>
      <w:proofErr w:type="spellStart"/>
      <w:r w:rsidR="00DA4EF0">
        <w:rPr>
          <w:rFonts w:asciiTheme="minorHAnsi" w:hAnsiTheme="minorHAnsi" w:cstheme="minorHAnsi"/>
          <w:sz w:val="22"/>
          <w:szCs w:val="22"/>
          <w:lang w:val="en-GB"/>
        </w:rPr>
        <w:t>Breisacher</w:t>
      </w:r>
      <w:proofErr w:type="spellEnd"/>
      <w:r w:rsidR="00DA4EF0">
        <w:rPr>
          <w:rFonts w:asciiTheme="minorHAnsi" w:hAnsiTheme="minorHAnsi" w:cstheme="minorHAnsi"/>
          <w:sz w:val="22"/>
          <w:szCs w:val="22"/>
          <w:lang w:val="en-GB"/>
        </w:rPr>
        <w:t xml:space="preserve"> Strasse 153, 79110 Freiburg, Germany</w:t>
      </w:r>
    </w:p>
    <w:p w14:paraId="53A71CB0" w14:textId="583626D9" w:rsidR="009C4619" w:rsidRPr="00C978C3" w:rsidRDefault="00875C0D" w:rsidP="00875C0D">
      <w:pPr>
        <w:spacing w:line="480" w:lineRule="auto"/>
        <w:rPr>
          <w:rFonts w:asciiTheme="minorHAnsi" w:hAnsiTheme="minorHAnsi" w:cstheme="minorHAnsi"/>
          <w:sz w:val="22"/>
          <w:szCs w:val="22"/>
          <w:lang w:val="de-DE"/>
        </w:rPr>
      </w:pPr>
      <w:r w:rsidRPr="00C978C3">
        <w:rPr>
          <w:rFonts w:asciiTheme="minorHAnsi" w:hAnsiTheme="minorHAnsi" w:cstheme="minorHAnsi"/>
          <w:sz w:val="22"/>
          <w:szCs w:val="22"/>
          <w:vertAlign w:val="superscript"/>
          <w:lang w:val="de-DE"/>
        </w:rPr>
        <w:t>10</w:t>
      </w:r>
      <w:r w:rsidRPr="00C978C3">
        <w:rPr>
          <w:rFonts w:asciiTheme="minorHAnsi" w:hAnsiTheme="minorHAnsi" w:cstheme="minorHAnsi"/>
          <w:sz w:val="22"/>
          <w:szCs w:val="22"/>
          <w:lang w:val="de-DE"/>
        </w:rPr>
        <w:t xml:space="preserve"> </w:t>
      </w:r>
      <w:r w:rsidR="00DA4EF0" w:rsidRPr="00C978C3">
        <w:rPr>
          <w:rFonts w:asciiTheme="minorHAnsi" w:hAnsiTheme="minorHAnsi" w:cstheme="minorHAnsi"/>
          <w:sz w:val="22"/>
          <w:szCs w:val="22"/>
          <w:lang w:val="de-DE"/>
        </w:rPr>
        <w:t>AMIB, Ruhr University, 44780 Bochum, Germany</w:t>
      </w:r>
      <w:r w:rsidR="00DA4EF0" w:rsidRPr="00C978C3" w:rsidDel="009C4619">
        <w:rPr>
          <w:rFonts w:asciiTheme="minorHAnsi" w:hAnsiTheme="minorHAnsi" w:cstheme="minorHAnsi"/>
          <w:sz w:val="22"/>
          <w:szCs w:val="22"/>
          <w:lang w:val="de-DE"/>
        </w:rPr>
        <w:t xml:space="preserve"> </w:t>
      </w:r>
    </w:p>
    <w:p w14:paraId="74882562" w14:textId="70C80A49" w:rsidR="00DA4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11</w:t>
      </w:r>
      <w:r w:rsidRPr="00C91EF0">
        <w:rPr>
          <w:rFonts w:asciiTheme="minorHAnsi" w:hAnsiTheme="minorHAnsi" w:cstheme="minorHAnsi"/>
          <w:sz w:val="22"/>
          <w:szCs w:val="22"/>
          <w:lang w:val="en-GB"/>
        </w:rPr>
        <w:t xml:space="preserve"> </w:t>
      </w:r>
      <w:r w:rsidR="00DA4EF0" w:rsidRPr="00C978C3">
        <w:rPr>
          <w:rFonts w:asciiTheme="minorHAnsi" w:hAnsiTheme="minorHAnsi" w:cstheme="minorHAnsi"/>
          <w:sz w:val="22"/>
          <w:szCs w:val="22"/>
          <w:lang w:val="de-DE"/>
        </w:rPr>
        <w:t>Techniker Krankenkasse (TK), 22765 Hamburg, Germany</w:t>
      </w:r>
    </w:p>
    <w:p w14:paraId="4178A5CD" w14:textId="1FA85158" w:rsidR="00DA4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12</w:t>
      </w:r>
      <w:r w:rsidRPr="00C91EF0">
        <w:rPr>
          <w:rFonts w:asciiTheme="minorHAnsi" w:hAnsiTheme="minorHAnsi" w:cstheme="minorHAnsi"/>
          <w:sz w:val="22"/>
          <w:szCs w:val="22"/>
          <w:lang w:val="en-GB"/>
        </w:rPr>
        <w:t xml:space="preserve"> </w:t>
      </w:r>
      <w:r w:rsidR="00DA4EF0" w:rsidRPr="00C91EF0">
        <w:rPr>
          <w:rFonts w:asciiTheme="minorHAnsi" w:hAnsiTheme="minorHAnsi" w:cstheme="minorHAnsi"/>
          <w:sz w:val="22"/>
          <w:szCs w:val="22"/>
          <w:lang w:val="en-GB"/>
        </w:rPr>
        <w:t>Centre for Prognosis Research, School of Primary, Community and Social Care, Keele University, Staffordshire ST5 5BG, United Kingdom</w:t>
      </w:r>
    </w:p>
    <w:p w14:paraId="35252B37" w14:textId="2C027679" w:rsidR="00DA4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13</w:t>
      </w:r>
      <w:r w:rsidRPr="00C91EF0">
        <w:rPr>
          <w:rFonts w:asciiTheme="minorHAnsi" w:hAnsiTheme="minorHAnsi" w:cstheme="minorHAnsi"/>
          <w:sz w:val="22"/>
          <w:szCs w:val="22"/>
          <w:lang w:val="en-GB"/>
        </w:rPr>
        <w:t xml:space="preserve"> </w:t>
      </w:r>
      <w:r w:rsidR="00DA4EF0" w:rsidRPr="00C91EF0">
        <w:rPr>
          <w:rFonts w:asciiTheme="minorHAnsi" w:hAnsiTheme="minorHAnsi" w:cstheme="minorHAnsi"/>
          <w:sz w:val="22"/>
          <w:szCs w:val="22"/>
          <w:lang w:val="en-GB"/>
        </w:rPr>
        <w:t>Nuffield Department of Primary Care, University of Oxford, Oxford OX2 6GG, United Kingdom</w:t>
      </w:r>
    </w:p>
    <w:p w14:paraId="779A3341" w14:textId="77777777" w:rsidR="00DA4EF0" w:rsidRPr="00C91EF0" w:rsidRDefault="00690626" w:rsidP="00DA4EF0">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14</w:t>
      </w:r>
      <w:r w:rsidRPr="00C91EF0">
        <w:rPr>
          <w:rFonts w:asciiTheme="minorHAnsi" w:hAnsiTheme="minorHAnsi" w:cstheme="minorHAnsi"/>
          <w:sz w:val="22"/>
          <w:szCs w:val="22"/>
          <w:lang w:val="en-GB"/>
        </w:rPr>
        <w:t xml:space="preserve"> </w:t>
      </w:r>
      <w:r w:rsidR="00DA4EF0" w:rsidRPr="00C91EF0">
        <w:rPr>
          <w:rFonts w:asciiTheme="minorHAnsi" w:hAnsiTheme="minorHAnsi" w:cstheme="minorHAnsi"/>
          <w:sz w:val="22"/>
          <w:szCs w:val="22"/>
          <w:lang w:val="en-GB"/>
        </w:rPr>
        <w:t>Centre for Research in Evidence-Based Practice, Bond University, Robina QLD 4226, Australia</w:t>
      </w:r>
    </w:p>
    <w:p w14:paraId="2DAD8263" w14:textId="0F2A45EF" w:rsidR="00690626" w:rsidRPr="00C91EF0" w:rsidRDefault="00DA4EF0"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vertAlign w:val="superscript"/>
          <w:lang w:val="en-GB"/>
        </w:rPr>
        <w:t>1</w:t>
      </w:r>
      <w:r>
        <w:rPr>
          <w:rFonts w:asciiTheme="minorHAnsi" w:hAnsiTheme="minorHAnsi" w:cstheme="minorHAnsi"/>
          <w:sz w:val="22"/>
          <w:szCs w:val="22"/>
          <w:vertAlign w:val="superscript"/>
          <w:lang w:val="en-GB"/>
        </w:rPr>
        <w:t>5</w:t>
      </w:r>
      <w:r>
        <w:rPr>
          <w:rFonts w:asciiTheme="minorHAnsi" w:hAnsiTheme="minorHAnsi" w:cstheme="minorHAnsi"/>
          <w:sz w:val="22"/>
          <w:szCs w:val="22"/>
          <w:lang w:val="en-GB"/>
        </w:rPr>
        <w:t xml:space="preserve"> </w:t>
      </w:r>
      <w:r w:rsidR="00690626" w:rsidRPr="00C91EF0">
        <w:rPr>
          <w:rFonts w:asciiTheme="minorHAnsi" w:hAnsiTheme="minorHAnsi" w:cstheme="minorHAnsi"/>
          <w:sz w:val="22"/>
          <w:szCs w:val="22"/>
          <w:lang w:val="en-GB"/>
        </w:rPr>
        <w:t>Academic Centre for General Practice / Department of Public Health and Primary Care, KU Leuven, Leuven, Belgium</w:t>
      </w:r>
    </w:p>
    <w:p w14:paraId="746FE215" w14:textId="77777777" w:rsidR="00875C0D" w:rsidRPr="00C91EF0" w:rsidRDefault="00875C0D" w:rsidP="00875C0D">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both authors contributed equally</w:t>
      </w:r>
    </w:p>
    <w:p w14:paraId="034142D5" w14:textId="77777777" w:rsidR="00875C0D" w:rsidRPr="00C91EF0" w:rsidRDefault="00AC7D29" w:rsidP="00875C0D">
      <w:pPr>
        <w:spacing w:line="480" w:lineRule="auto"/>
        <w:rPr>
          <w:rFonts w:asciiTheme="minorHAnsi" w:hAnsiTheme="minorHAnsi" w:cstheme="minorHAnsi"/>
          <w:b/>
          <w:sz w:val="22"/>
          <w:szCs w:val="22"/>
          <w:lang w:val="en-GB"/>
        </w:rPr>
      </w:pPr>
      <w:r w:rsidRPr="00C91EF0">
        <w:rPr>
          <w:rFonts w:cstheme="minorHAnsi"/>
          <w:vertAlign w:val="superscript"/>
          <w:lang w:val="en-GB"/>
        </w:rPr>
        <w:t>‡</w:t>
      </w:r>
      <w:r w:rsidR="00875C0D" w:rsidRPr="00C91EF0">
        <w:rPr>
          <w:rFonts w:asciiTheme="minorHAnsi" w:hAnsiTheme="minorHAnsi" w:cstheme="minorHAnsi"/>
          <w:b/>
          <w:sz w:val="22"/>
          <w:szCs w:val="22"/>
          <w:lang w:val="en-GB"/>
        </w:rPr>
        <w:t>C</w:t>
      </w:r>
      <w:r w:rsidR="000363B5">
        <w:rPr>
          <w:rFonts w:asciiTheme="minorHAnsi" w:hAnsiTheme="minorHAnsi" w:cstheme="minorHAnsi"/>
          <w:b/>
          <w:sz w:val="22"/>
          <w:szCs w:val="22"/>
          <w:lang w:val="en-GB"/>
        </w:rPr>
        <w:t>ORRESPONDING AUTHOR</w:t>
      </w:r>
    </w:p>
    <w:p w14:paraId="79AD9AF3" w14:textId="77777777" w:rsidR="004A05A9" w:rsidRPr="00C91EF0" w:rsidRDefault="00F9007E" w:rsidP="004A0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Ana I. González-González</w:t>
      </w:r>
      <w:r w:rsidR="00875C0D" w:rsidRPr="00C91EF0">
        <w:rPr>
          <w:rFonts w:asciiTheme="minorHAnsi" w:hAnsiTheme="minorHAnsi" w:cstheme="minorHAnsi"/>
          <w:sz w:val="22"/>
          <w:szCs w:val="22"/>
          <w:lang w:val="en-GB"/>
        </w:rPr>
        <w:t xml:space="preserve">, Institute of General Practice, Johann Wolfgang Goethe University, Theodor-Stern-Kai 7, 60590 Frankfurt / Main, GERMANY, </w:t>
      </w:r>
      <w:r w:rsidR="004A05A9" w:rsidRPr="00C91EF0">
        <w:rPr>
          <w:rFonts w:asciiTheme="minorHAnsi" w:hAnsiTheme="minorHAnsi" w:cstheme="minorHAnsi"/>
          <w:sz w:val="22"/>
          <w:szCs w:val="22"/>
          <w:lang w:val="en-GB"/>
        </w:rPr>
        <w:t>Tel.: ++49-(0)69-6301-4149/-5687</w:t>
      </w:r>
    </w:p>
    <w:p w14:paraId="141E579D" w14:textId="77777777" w:rsidR="00875C0D" w:rsidRPr="00C91EF0" w:rsidRDefault="00875C0D" w:rsidP="00526374">
      <w:pPr>
        <w:spacing w:line="480" w:lineRule="auto"/>
        <w:jc w:val="both"/>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email: </w:t>
      </w:r>
      <w:r w:rsidR="00F9007E" w:rsidRPr="00C91EF0">
        <w:rPr>
          <w:rFonts w:asciiTheme="minorHAnsi" w:hAnsiTheme="minorHAnsi" w:cstheme="minorHAnsi"/>
          <w:sz w:val="22"/>
          <w:szCs w:val="22"/>
          <w:lang w:val="en-GB"/>
        </w:rPr>
        <w:t>gonzalez-gonzalez@allgemeinmedizin.uni-frankfurt.de</w:t>
      </w:r>
      <w:r w:rsidRPr="00C91EF0">
        <w:rPr>
          <w:rFonts w:asciiTheme="minorHAnsi" w:hAnsiTheme="minorHAnsi" w:cstheme="minorHAnsi"/>
          <w:sz w:val="22"/>
          <w:szCs w:val="22"/>
          <w:lang w:val="en-GB"/>
        </w:rPr>
        <w:br w:type="page"/>
      </w:r>
    </w:p>
    <w:p w14:paraId="58C05058" w14:textId="4DD515A6" w:rsidR="007C4BEC" w:rsidRPr="0036437F" w:rsidRDefault="007C4BEC" w:rsidP="0036437F">
      <w:pPr>
        <w:spacing w:line="480" w:lineRule="auto"/>
        <w:rPr>
          <w:rFonts w:asciiTheme="minorHAnsi" w:hAnsiTheme="minorHAnsi" w:cstheme="minorHAnsi"/>
          <w:bCs/>
          <w:sz w:val="22"/>
          <w:szCs w:val="22"/>
          <w:lang w:val="en-GB"/>
        </w:rPr>
      </w:pPr>
      <w:r w:rsidRPr="0036437F">
        <w:rPr>
          <w:rFonts w:asciiTheme="minorHAnsi" w:hAnsiTheme="minorHAnsi" w:cstheme="minorHAnsi"/>
          <w:b/>
          <w:sz w:val="22"/>
          <w:szCs w:val="22"/>
          <w:lang w:val="en-GB"/>
        </w:rPr>
        <w:lastRenderedPageBreak/>
        <w:t>A</w:t>
      </w:r>
      <w:r w:rsidR="000363B5" w:rsidRPr="0036437F">
        <w:rPr>
          <w:rFonts w:asciiTheme="minorHAnsi" w:hAnsiTheme="minorHAnsi" w:cstheme="minorHAnsi"/>
          <w:b/>
          <w:sz w:val="22"/>
          <w:szCs w:val="22"/>
          <w:lang w:val="en-GB"/>
        </w:rPr>
        <w:t>BSTRACT</w:t>
      </w:r>
    </w:p>
    <w:p w14:paraId="64D72079" w14:textId="6C7DCF5A" w:rsidR="007C4BEC" w:rsidRPr="00C91EF0" w:rsidRDefault="007C4BEC" w:rsidP="007C4BEC">
      <w:pPr>
        <w:spacing w:line="480" w:lineRule="auto"/>
        <w:rPr>
          <w:rFonts w:asciiTheme="minorHAnsi" w:hAnsiTheme="minorHAnsi" w:cstheme="minorHAnsi"/>
          <w:sz w:val="22"/>
          <w:szCs w:val="22"/>
          <w:lang w:val="en-GB"/>
        </w:rPr>
      </w:pPr>
      <w:r w:rsidRPr="00C91EF0">
        <w:rPr>
          <w:rFonts w:asciiTheme="minorHAnsi" w:hAnsiTheme="minorHAnsi" w:cstheme="minorHAnsi"/>
          <w:b/>
          <w:sz w:val="22"/>
          <w:szCs w:val="22"/>
          <w:lang w:val="en-GB"/>
        </w:rPr>
        <w:t>Objective</w:t>
      </w:r>
      <w:r w:rsidR="00392ABA" w:rsidRPr="00C91EF0">
        <w:rPr>
          <w:rFonts w:asciiTheme="minorHAnsi" w:hAnsiTheme="minorHAnsi" w:cstheme="minorHAnsi"/>
          <w:b/>
          <w:sz w:val="22"/>
          <w:szCs w:val="22"/>
          <w:lang w:val="en-GB"/>
        </w:rPr>
        <w:t xml:space="preserve"> </w:t>
      </w:r>
      <w:r w:rsidR="00392ABA"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 xml:space="preserve">To develop and validate a prognostic model to predict </w:t>
      </w:r>
      <w:r w:rsidR="00786E88">
        <w:rPr>
          <w:rFonts w:asciiTheme="minorHAnsi" w:hAnsiTheme="minorHAnsi" w:cstheme="minorHAnsi"/>
          <w:sz w:val="22"/>
          <w:szCs w:val="22"/>
          <w:lang w:val="en-GB"/>
        </w:rPr>
        <w:t xml:space="preserve">deterioration in </w:t>
      </w:r>
      <w:r w:rsidR="00CA35DB" w:rsidRPr="00C91EF0">
        <w:rPr>
          <w:rFonts w:asciiTheme="minorHAnsi" w:hAnsiTheme="minorHAnsi" w:cstheme="minorHAnsi"/>
          <w:sz w:val="22"/>
          <w:szCs w:val="22"/>
          <w:lang w:val="en-GB"/>
        </w:rPr>
        <w:t>health-related quality of life</w:t>
      </w:r>
      <w:r w:rsidRPr="00C91EF0">
        <w:rPr>
          <w:rFonts w:asciiTheme="minorHAnsi" w:hAnsiTheme="minorHAnsi" w:cstheme="minorHAnsi"/>
          <w:sz w:val="22"/>
          <w:szCs w:val="22"/>
          <w:lang w:val="en-GB"/>
        </w:rPr>
        <w:t xml:space="preserve"> </w:t>
      </w:r>
      <w:r w:rsidR="00597626" w:rsidRPr="00C91EF0">
        <w:rPr>
          <w:rFonts w:asciiTheme="minorHAnsi" w:hAnsiTheme="minorHAnsi" w:cstheme="minorHAnsi"/>
          <w:sz w:val="22"/>
          <w:szCs w:val="22"/>
          <w:lang w:val="en-GB"/>
        </w:rPr>
        <w:t>(</w:t>
      </w:r>
      <w:proofErr w:type="spellStart"/>
      <w:r w:rsidR="00786E88">
        <w:rPr>
          <w:rFonts w:asciiTheme="minorHAnsi" w:hAnsiTheme="minorHAnsi" w:cstheme="minorHAnsi"/>
          <w:sz w:val="22"/>
          <w:szCs w:val="22"/>
          <w:lang w:val="en-GB"/>
        </w:rPr>
        <w:t>d</w:t>
      </w:r>
      <w:r w:rsidR="00597626" w:rsidRPr="00C91EF0">
        <w:rPr>
          <w:rFonts w:asciiTheme="minorHAnsi" w:hAnsiTheme="minorHAnsi" w:cstheme="minorHAnsi"/>
          <w:sz w:val="22"/>
          <w:szCs w:val="22"/>
          <w:lang w:val="en-GB"/>
        </w:rPr>
        <w:t>HRQoL</w:t>
      </w:r>
      <w:proofErr w:type="spellEnd"/>
      <w:r w:rsidR="00597626"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 xml:space="preserve">in older </w:t>
      </w:r>
      <w:r w:rsidR="00665D92" w:rsidRPr="00C91EF0">
        <w:rPr>
          <w:rFonts w:asciiTheme="minorHAnsi" w:hAnsiTheme="minorHAnsi" w:cstheme="minorHAnsi"/>
          <w:sz w:val="22"/>
          <w:szCs w:val="22"/>
          <w:lang w:val="en-GB"/>
        </w:rPr>
        <w:t xml:space="preserve">general practice </w:t>
      </w:r>
      <w:r w:rsidRPr="00C91EF0">
        <w:rPr>
          <w:rFonts w:asciiTheme="minorHAnsi" w:hAnsiTheme="minorHAnsi" w:cstheme="minorHAnsi"/>
          <w:sz w:val="22"/>
          <w:szCs w:val="22"/>
          <w:lang w:val="en-GB"/>
        </w:rPr>
        <w:t xml:space="preserve">patients with </w:t>
      </w:r>
      <w:r w:rsidR="00392ABA" w:rsidRPr="00C91EF0">
        <w:rPr>
          <w:rFonts w:asciiTheme="minorHAnsi" w:hAnsiTheme="minorHAnsi" w:cstheme="minorHAnsi"/>
          <w:sz w:val="22"/>
          <w:szCs w:val="22"/>
          <w:lang w:val="en-GB"/>
        </w:rPr>
        <w:t>at least one</w:t>
      </w:r>
      <w:r w:rsidRPr="00C91EF0">
        <w:rPr>
          <w:rFonts w:asciiTheme="minorHAnsi" w:hAnsiTheme="minorHAnsi" w:cstheme="minorHAnsi"/>
          <w:sz w:val="22"/>
          <w:szCs w:val="22"/>
          <w:lang w:val="en-GB"/>
        </w:rPr>
        <w:t xml:space="preserve"> chronic </w:t>
      </w:r>
      <w:r w:rsidR="00C93DC3" w:rsidRPr="00C91EF0">
        <w:rPr>
          <w:rFonts w:asciiTheme="minorHAnsi" w:hAnsiTheme="minorHAnsi" w:cstheme="minorHAnsi"/>
          <w:sz w:val="22"/>
          <w:szCs w:val="22"/>
          <w:lang w:val="en-GB"/>
        </w:rPr>
        <w:t>condition</w:t>
      </w:r>
      <w:r w:rsidRPr="00C91EF0">
        <w:rPr>
          <w:rFonts w:asciiTheme="minorHAnsi" w:hAnsiTheme="minorHAnsi" w:cstheme="minorHAnsi"/>
          <w:sz w:val="22"/>
          <w:szCs w:val="22"/>
          <w:lang w:val="en-GB"/>
        </w:rPr>
        <w:t xml:space="preserve"> and </w:t>
      </w:r>
      <w:r w:rsidR="00392ABA" w:rsidRPr="00C91EF0">
        <w:rPr>
          <w:rFonts w:asciiTheme="minorHAnsi" w:hAnsiTheme="minorHAnsi" w:cstheme="minorHAnsi"/>
          <w:sz w:val="22"/>
          <w:szCs w:val="22"/>
          <w:lang w:val="en-GB"/>
        </w:rPr>
        <w:t>one</w:t>
      </w:r>
      <w:r w:rsidRPr="00C91EF0">
        <w:rPr>
          <w:rFonts w:asciiTheme="minorHAnsi" w:hAnsiTheme="minorHAnsi" w:cstheme="minorHAnsi"/>
          <w:sz w:val="22"/>
          <w:szCs w:val="22"/>
          <w:lang w:val="en-GB"/>
        </w:rPr>
        <w:t xml:space="preserve"> chronic </w:t>
      </w:r>
      <w:r w:rsidR="00392ABA" w:rsidRPr="00C91EF0">
        <w:rPr>
          <w:rFonts w:asciiTheme="minorHAnsi" w:hAnsiTheme="minorHAnsi" w:cstheme="minorHAnsi"/>
          <w:sz w:val="22"/>
          <w:szCs w:val="22"/>
          <w:lang w:val="en-GB"/>
        </w:rPr>
        <w:t>prescription</w:t>
      </w:r>
      <w:r w:rsidRPr="00C91EF0">
        <w:rPr>
          <w:rFonts w:asciiTheme="minorHAnsi" w:hAnsiTheme="minorHAnsi" w:cstheme="minorHAnsi"/>
          <w:sz w:val="22"/>
          <w:szCs w:val="22"/>
          <w:lang w:val="en-GB"/>
        </w:rPr>
        <w:t>.</w:t>
      </w:r>
    </w:p>
    <w:p w14:paraId="2C05C05D" w14:textId="3188A82E" w:rsidR="00392ABA" w:rsidRPr="00C91EF0" w:rsidRDefault="004A05A9" w:rsidP="007C4BEC">
      <w:pPr>
        <w:spacing w:line="480" w:lineRule="auto"/>
        <w:rPr>
          <w:rFonts w:asciiTheme="minorHAnsi" w:hAnsiTheme="minorHAnsi" w:cstheme="minorHAnsi"/>
          <w:color w:val="000000" w:themeColor="text1"/>
          <w:sz w:val="22"/>
          <w:szCs w:val="22"/>
          <w:lang w:val="en-GB"/>
        </w:rPr>
      </w:pPr>
      <w:r w:rsidRPr="00C91EF0">
        <w:rPr>
          <w:rFonts w:asciiTheme="minorHAnsi" w:hAnsiTheme="minorHAnsi" w:cstheme="minorHAnsi"/>
          <w:b/>
          <w:sz w:val="22"/>
          <w:szCs w:val="22"/>
          <w:lang w:val="en-GB"/>
        </w:rPr>
        <w:t>Study d</w:t>
      </w:r>
      <w:r w:rsidR="00392ABA" w:rsidRPr="00C91EF0">
        <w:rPr>
          <w:rFonts w:asciiTheme="minorHAnsi" w:hAnsiTheme="minorHAnsi" w:cstheme="minorHAnsi"/>
          <w:b/>
          <w:sz w:val="22"/>
          <w:szCs w:val="22"/>
          <w:lang w:val="en-GB"/>
        </w:rPr>
        <w:t xml:space="preserve">esign </w:t>
      </w:r>
      <w:r w:rsidR="004C483B" w:rsidRPr="00C91EF0">
        <w:rPr>
          <w:rFonts w:asciiTheme="minorHAnsi" w:hAnsiTheme="minorHAnsi" w:cstheme="minorHAnsi"/>
          <w:b/>
          <w:sz w:val="22"/>
          <w:szCs w:val="22"/>
          <w:lang w:val="en-GB"/>
        </w:rPr>
        <w:t xml:space="preserve">and setting </w:t>
      </w:r>
      <w:r w:rsidR="00392ABA" w:rsidRPr="00C91EF0">
        <w:rPr>
          <w:rFonts w:asciiTheme="minorHAnsi" w:hAnsiTheme="minorHAnsi" w:cstheme="minorHAnsi"/>
          <w:sz w:val="22"/>
          <w:szCs w:val="22"/>
          <w:lang w:val="en-GB"/>
        </w:rPr>
        <w:t>-</w:t>
      </w:r>
      <w:r w:rsidR="00392ABA" w:rsidRPr="00C91EF0">
        <w:rPr>
          <w:rFonts w:asciiTheme="minorHAnsi" w:hAnsiTheme="minorHAnsi" w:cstheme="minorHAnsi"/>
          <w:b/>
          <w:sz w:val="22"/>
          <w:szCs w:val="22"/>
          <w:lang w:val="en-GB"/>
        </w:rPr>
        <w:t xml:space="preserve"> </w:t>
      </w:r>
      <w:r w:rsidR="00477B34" w:rsidRPr="00C91EF0">
        <w:rPr>
          <w:rFonts w:asciiTheme="minorHAnsi" w:hAnsiTheme="minorHAnsi" w:cstheme="minorHAnsi"/>
          <w:sz w:val="22"/>
          <w:szCs w:val="22"/>
          <w:lang w:val="en-GB"/>
        </w:rPr>
        <w:t>We used</w:t>
      </w:r>
      <w:r w:rsidR="009B749B" w:rsidRPr="00C91EF0">
        <w:rPr>
          <w:rFonts w:asciiTheme="minorHAnsi" w:hAnsiTheme="minorHAnsi" w:cstheme="minorHAnsi"/>
          <w:sz w:val="22"/>
          <w:szCs w:val="22"/>
          <w:lang w:val="en-GB"/>
        </w:rPr>
        <w:t xml:space="preserve"> </w:t>
      </w:r>
      <w:r w:rsidR="00597626" w:rsidRPr="00C91EF0">
        <w:rPr>
          <w:rFonts w:asciiTheme="minorHAnsi" w:hAnsiTheme="minorHAnsi" w:cstheme="minorHAnsi"/>
          <w:sz w:val="22"/>
          <w:szCs w:val="22"/>
          <w:lang w:val="en-GB"/>
        </w:rPr>
        <w:t>individual</w:t>
      </w:r>
      <w:r w:rsidR="00651988" w:rsidRPr="00C91EF0">
        <w:rPr>
          <w:rFonts w:asciiTheme="minorHAnsi" w:hAnsiTheme="minorHAnsi" w:cstheme="minorHAnsi"/>
          <w:sz w:val="22"/>
          <w:szCs w:val="22"/>
          <w:lang w:val="en-GB"/>
        </w:rPr>
        <w:t xml:space="preserve"> participant data </w:t>
      </w:r>
      <w:r w:rsidR="00843E33" w:rsidRPr="00C91EF0">
        <w:rPr>
          <w:rFonts w:asciiTheme="minorHAnsi" w:hAnsiTheme="minorHAnsi" w:cstheme="minorHAnsi"/>
          <w:sz w:val="22"/>
          <w:szCs w:val="22"/>
          <w:lang w:val="en-GB"/>
        </w:rPr>
        <w:t>from five cluster</w:t>
      </w:r>
      <w:r w:rsidR="00BD727C">
        <w:rPr>
          <w:rFonts w:asciiTheme="minorHAnsi" w:hAnsiTheme="minorHAnsi" w:cstheme="minorHAnsi"/>
          <w:sz w:val="22"/>
          <w:szCs w:val="22"/>
          <w:lang w:val="en-GB"/>
        </w:rPr>
        <w:t>-</w:t>
      </w:r>
      <w:r w:rsidR="00333039" w:rsidRPr="00C91EF0">
        <w:rPr>
          <w:rFonts w:asciiTheme="minorHAnsi" w:hAnsiTheme="minorHAnsi" w:cstheme="minorHAnsi"/>
          <w:sz w:val="22"/>
          <w:szCs w:val="22"/>
          <w:lang w:val="en-GB"/>
        </w:rPr>
        <w:t>randomized trials</w:t>
      </w:r>
      <w:r w:rsidR="00D87CE6" w:rsidRPr="00C91EF0">
        <w:rPr>
          <w:rFonts w:asciiTheme="minorHAnsi" w:hAnsiTheme="minorHAnsi" w:cstheme="minorHAnsi"/>
          <w:sz w:val="22"/>
          <w:szCs w:val="22"/>
          <w:lang w:val="en-GB"/>
        </w:rPr>
        <w:t xml:space="preserve"> conducted in the Netherlands and Germany</w:t>
      </w:r>
      <w:r w:rsidR="00477B34" w:rsidRPr="00C91EF0">
        <w:rPr>
          <w:rFonts w:asciiTheme="minorHAnsi" w:hAnsiTheme="minorHAnsi" w:cstheme="minorHAnsi"/>
          <w:sz w:val="22"/>
          <w:szCs w:val="22"/>
          <w:lang w:val="en-GB"/>
        </w:rPr>
        <w:t xml:space="preserve"> to predict </w:t>
      </w:r>
      <w:proofErr w:type="spellStart"/>
      <w:r w:rsidR="00786E88">
        <w:rPr>
          <w:rFonts w:asciiTheme="minorHAnsi" w:hAnsiTheme="minorHAnsi" w:cstheme="minorHAnsi"/>
          <w:sz w:val="22"/>
          <w:szCs w:val="22"/>
          <w:lang w:val="en-GB"/>
        </w:rPr>
        <w:t>d</w:t>
      </w:r>
      <w:r w:rsidR="00D87CE6" w:rsidRPr="00C91EF0">
        <w:rPr>
          <w:rFonts w:asciiTheme="minorHAnsi" w:hAnsiTheme="minorHAnsi" w:cstheme="minorHAnsi"/>
          <w:color w:val="000000" w:themeColor="text1"/>
          <w:sz w:val="22"/>
          <w:szCs w:val="22"/>
          <w:lang w:val="en-GB"/>
        </w:rPr>
        <w:t>HRQoL</w:t>
      </w:r>
      <w:proofErr w:type="spellEnd"/>
      <w:r w:rsidR="00786E88">
        <w:rPr>
          <w:rFonts w:asciiTheme="minorHAnsi" w:hAnsiTheme="minorHAnsi" w:cstheme="minorHAnsi"/>
          <w:color w:val="000000" w:themeColor="text1"/>
          <w:sz w:val="22"/>
          <w:szCs w:val="22"/>
          <w:lang w:val="en-GB"/>
        </w:rPr>
        <w:t>,</w:t>
      </w:r>
      <w:r w:rsidR="00D87CE6" w:rsidRPr="00C91EF0">
        <w:rPr>
          <w:rFonts w:asciiTheme="minorHAnsi" w:hAnsiTheme="minorHAnsi" w:cstheme="minorHAnsi"/>
          <w:color w:val="000000" w:themeColor="text1"/>
          <w:sz w:val="22"/>
          <w:szCs w:val="22"/>
          <w:lang w:val="en-GB"/>
        </w:rPr>
        <w:t xml:space="preserve"> defined as a decrease in EQ-5D-3L index score of </w:t>
      </w:r>
      <m:oMath>
        <m:r>
          <w:rPr>
            <w:rFonts w:ascii="Cambria Math" w:hAnsi="Cambria Math" w:cstheme="minorHAnsi"/>
            <w:color w:val="000000" w:themeColor="text1"/>
            <w:sz w:val="22"/>
            <w:szCs w:val="22"/>
            <w:lang w:val="en-GB"/>
          </w:rPr>
          <m:t>≥</m:t>
        </m:r>
      </m:oMath>
      <w:r w:rsidR="00D87CE6" w:rsidRPr="00C91EF0">
        <w:rPr>
          <w:rFonts w:asciiTheme="minorHAnsi" w:hAnsiTheme="minorHAnsi" w:cstheme="minorHAnsi"/>
          <w:color w:val="000000" w:themeColor="text1"/>
          <w:sz w:val="22"/>
          <w:szCs w:val="22"/>
          <w:lang w:val="en-GB"/>
        </w:rPr>
        <w:t>5</w:t>
      </w:r>
      <w:r w:rsidR="009745C7" w:rsidRPr="00C91EF0">
        <w:rPr>
          <w:rFonts w:asciiTheme="minorHAnsi" w:hAnsiTheme="minorHAnsi" w:cstheme="minorHAnsi"/>
          <w:color w:val="000000" w:themeColor="text1"/>
          <w:sz w:val="22"/>
          <w:szCs w:val="22"/>
          <w:lang w:val="en-GB"/>
        </w:rPr>
        <w:t> </w:t>
      </w:r>
      <w:r w:rsidR="00D87CE6" w:rsidRPr="00C91EF0">
        <w:rPr>
          <w:rFonts w:asciiTheme="minorHAnsi" w:hAnsiTheme="minorHAnsi" w:cstheme="minorHAnsi"/>
          <w:color w:val="000000" w:themeColor="text1"/>
          <w:sz w:val="22"/>
          <w:szCs w:val="22"/>
          <w:lang w:val="en-GB"/>
        </w:rPr>
        <w:t xml:space="preserve">% </w:t>
      </w:r>
      <w:r w:rsidR="00E341BE" w:rsidRPr="00C91EF0">
        <w:rPr>
          <w:rFonts w:asciiTheme="minorHAnsi" w:hAnsiTheme="minorHAnsi" w:cstheme="minorHAnsi"/>
          <w:color w:val="000000" w:themeColor="text1"/>
          <w:sz w:val="22"/>
          <w:szCs w:val="22"/>
          <w:lang w:val="en-GB"/>
        </w:rPr>
        <w:t>after</w:t>
      </w:r>
      <w:r w:rsidR="00D87CE6" w:rsidRPr="00C91EF0">
        <w:rPr>
          <w:rFonts w:asciiTheme="minorHAnsi" w:hAnsiTheme="minorHAnsi" w:cstheme="minorHAnsi"/>
          <w:color w:val="000000" w:themeColor="text1"/>
          <w:sz w:val="22"/>
          <w:szCs w:val="22"/>
          <w:lang w:val="en-GB"/>
        </w:rPr>
        <w:t xml:space="preserve"> </w:t>
      </w:r>
      <w:r w:rsidR="007C5BE0" w:rsidRPr="00C91EF0">
        <w:rPr>
          <w:rFonts w:asciiTheme="minorHAnsi" w:hAnsiTheme="minorHAnsi" w:cstheme="minorHAnsi"/>
          <w:color w:val="000000" w:themeColor="text1"/>
          <w:sz w:val="22"/>
          <w:szCs w:val="22"/>
          <w:lang w:val="en-GB"/>
        </w:rPr>
        <w:t>six</w:t>
      </w:r>
      <w:r w:rsidR="00D87CE6" w:rsidRPr="00C91EF0">
        <w:rPr>
          <w:rFonts w:asciiTheme="minorHAnsi" w:hAnsiTheme="minorHAnsi" w:cstheme="minorHAnsi"/>
          <w:color w:val="000000" w:themeColor="text1"/>
          <w:sz w:val="22"/>
          <w:szCs w:val="22"/>
          <w:lang w:val="en-GB"/>
        </w:rPr>
        <w:t>-month follow-up</w:t>
      </w:r>
      <w:r w:rsidR="00477B34" w:rsidRPr="00C91EF0">
        <w:rPr>
          <w:rFonts w:asciiTheme="minorHAnsi" w:hAnsiTheme="minorHAnsi" w:cstheme="minorHAnsi"/>
          <w:color w:val="000000" w:themeColor="text1"/>
          <w:sz w:val="22"/>
          <w:szCs w:val="22"/>
          <w:lang w:val="en-GB"/>
        </w:rPr>
        <w:t xml:space="preserve"> in </w:t>
      </w:r>
      <w:r w:rsidR="00651988" w:rsidRPr="00C91EF0">
        <w:rPr>
          <w:rFonts w:asciiTheme="minorHAnsi" w:hAnsiTheme="minorHAnsi" w:cstheme="minorHAnsi"/>
          <w:color w:val="000000" w:themeColor="text1"/>
          <w:sz w:val="22"/>
          <w:szCs w:val="22"/>
          <w:lang w:val="en-GB"/>
        </w:rPr>
        <w:t>logistic regression</w:t>
      </w:r>
      <w:r w:rsidR="00477B34" w:rsidRPr="00C91EF0">
        <w:rPr>
          <w:rFonts w:asciiTheme="minorHAnsi" w:hAnsiTheme="minorHAnsi" w:cstheme="minorHAnsi"/>
          <w:color w:val="000000" w:themeColor="text1"/>
          <w:sz w:val="22"/>
          <w:szCs w:val="22"/>
          <w:lang w:val="en-GB"/>
        </w:rPr>
        <w:t xml:space="preserve"> models</w:t>
      </w:r>
      <w:r w:rsidR="00651988" w:rsidRPr="00C91EF0">
        <w:rPr>
          <w:rFonts w:asciiTheme="minorHAnsi" w:hAnsiTheme="minorHAnsi" w:cstheme="minorHAnsi"/>
          <w:color w:val="000000" w:themeColor="text1"/>
          <w:sz w:val="22"/>
          <w:szCs w:val="22"/>
          <w:lang w:val="en-GB"/>
        </w:rPr>
        <w:t xml:space="preserve"> with stratified</w:t>
      </w:r>
      <w:r w:rsidR="006A1349" w:rsidRPr="00C91EF0">
        <w:rPr>
          <w:rFonts w:asciiTheme="minorHAnsi" w:hAnsiTheme="minorHAnsi" w:cstheme="minorHAnsi"/>
          <w:color w:val="000000" w:themeColor="text1"/>
          <w:sz w:val="22"/>
          <w:szCs w:val="22"/>
          <w:lang w:val="en-GB"/>
        </w:rPr>
        <w:t xml:space="preserve"> </w:t>
      </w:r>
      <w:r w:rsidR="00651988" w:rsidRPr="00C91EF0">
        <w:rPr>
          <w:rFonts w:asciiTheme="minorHAnsi" w:hAnsiTheme="minorHAnsi" w:cstheme="minorHAnsi"/>
          <w:color w:val="000000" w:themeColor="text1"/>
          <w:sz w:val="22"/>
          <w:szCs w:val="22"/>
          <w:lang w:val="en-GB"/>
        </w:rPr>
        <w:t>intercept</w:t>
      </w:r>
      <w:r w:rsidR="0044325B">
        <w:rPr>
          <w:rFonts w:asciiTheme="minorHAnsi" w:hAnsiTheme="minorHAnsi" w:cstheme="minorHAnsi"/>
          <w:color w:val="000000" w:themeColor="text1"/>
          <w:sz w:val="22"/>
          <w:szCs w:val="22"/>
          <w:lang w:val="en-GB"/>
        </w:rPr>
        <w:t>s</w:t>
      </w:r>
      <w:r w:rsidR="00651988" w:rsidRPr="00C91EF0">
        <w:rPr>
          <w:rFonts w:asciiTheme="minorHAnsi" w:hAnsiTheme="minorHAnsi" w:cstheme="minorHAnsi"/>
          <w:color w:val="000000" w:themeColor="text1"/>
          <w:sz w:val="22"/>
          <w:szCs w:val="22"/>
          <w:lang w:val="en-GB"/>
        </w:rPr>
        <w:t xml:space="preserve"> to account for between-study heterogeneity. </w:t>
      </w:r>
      <w:bookmarkStart w:id="2" w:name="OLE_LINK1"/>
      <w:bookmarkStart w:id="3" w:name="OLE_LINK2"/>
      <w:r w:rsidR="00E94B37" w:rsidRPr="00C91EF0">
        <w:rPr>
          <w:rFonts w:asciiTheme="minorHAnsi" w:hAnsiTheme="minorHAnsi" w:cstheme="minorHAnsi"/>
          <w:color w:val="000000" w:themeColor="text1"/>
          <w:sz w:val="22"/>
          <w:szCs w:val="22"/>
          <w:lang w:val="en-GB"/>
        </w:rPr>
        <w:t>The model was validated internally</w:t>
      </w:r>
      <w:r w:rsidR="005E3FD6">
        <w:rPr>
          <w:rFonts w:asciiTheme="minorHAnsi" w:hAnsiTheme="minorHAnsi" w:cstheme="minorHAnsi"/>
          <w:color w:val="000000" w:themeColor="text1"/>
          <w:sz w:val="22"/>
          <w:szCs w:val="22"/>
          <w:lang w:val="en-GB"/>
        </w:rPr>
        <w:t>,</w:t>
      </w:r>
      <w:r w:rsidR="00E94B37" w:rsidRPr="00C91EF0">
        <w:rPr>
          <w:rFonts w:asciiTheme="minorHAnsi" w:hAnsiTheme="minorHAnsi" w:cstheme="minorHAnsi"/>
          <w:color w:val="000000" w:themeColor="text1"/>
          <w:sz w:val="22"/>
          <w:szCs w:val="22"/>
          <w:lang w:val="en-GB"/>
        </w:rPr>
        <w:t xml:space="preserve"> </w:t>
      </w:r>
      <w:r w:rsidR="009B749B" w:rsidRPr="00C91EF0">
        <w:rPr>
          <w:rFonts w:asciiTheme="minorHAnsi" w:hAnsiTheme="minorHAnsi" w:cstheme="minorHAnsi"/>
          <w:color w:val="000000" w:themeColor="text1"/>
          <w:sz w:val="22"/>
          <w:szCs w:val="22"/>
          <w:lang w:val="en-GB"/>
        </w:rPr>
        <w:t>and</w:t>
      </w:r>
      <w:r w:rsidR="00E94B37" w:rsidRPr="00C91EF0">
        <w:rPr>
          <w:rFonts w:asciiTheme="minorHAnsi" w:hAnsiTheme="minorHAnsi" w:cstheme="minorHAnsi"/>
          <w:color w:val="000000" w:themeColor="text1"/>
          <w:sz w:val="22"/>
          <w:szCs w:val="22"/>
          <w:lang w:val="en-GB"/>
        </w:rPr>
        <w:t xml:space="preserve"> by</w:t>
      </w:r>
      <w:r w:rsidR="009B749B" w:rsidRPr="00C91EF0">
        <w:rPr>
          <w:rFonts w:asciiTheme="minorHAnsi" w:hAnsiTheme="minorHAnsi" w:cstheme="minorHAnsi"/>
          <w:color w:val="000000" w:themeColor="text1"/>
          <w:sz w:val="22"/>
          <w:szCs w:val="22"/>
          <w:lang w:val="en-GB"/>
        </w:rPr>
        <w:t xml:space="preserve"> </w:t>
      </w:r>
      <w:r w:rsidR="005E3FD6">
        <w:rPr>
          <w:rFonts w:asciiTheme="minorHAnsi" w:hAnsiTheme="minorHAnsi" w:cstheme="minorHAnsi"/>
          <w:color w:val="000000" w:themeColor="text1"/>
          <w:sz w:val="22"/>
          <w:szCs w:val="22"/>
          <w:lang w:val="en-GB"/>
        </w:rPr>
        <w:t xml:space="preserve">using </w:t>
      </w:r>
      <w:r w:rsidR="009B749B" w:rsidRPr="00C91EF0">
        <w:rPr>
          <w:rFonts w:asciiTheme="minorHAnsi" w:hAnsiTheme="minorHAnsi" w:cstheme="minorHAnsi"/>
          <w:color w:val="000000" w:themeColor="text1"/>
          <w:sz w:val="22"/>
          <w:szCs w:val="22"/>
          <w:lang w:val="en-GB"/>
        </w:rPr>
        <w:t>internal-external cross-validation (IECV)</w:t>
      </w:r>
      <w:r w:rsidR="00651988" w:rsidRPr="00C91EF0">
        <w:rPr>
          <w:rFonts w:asciiTheme="minorHAnsi" w:hAnsiTheme="minorHAnsi" w:cstheme="minorHAnsi"/>
          <w:color w:val="000000" w:themeColor="text1"/>
          <w:sz w:val="22"/>
          <w:szCs w:val="22"/>
          <w:lang w:val="en-GB"/>
        </w:rPr>
        <w:t>.</w:t>
      </w:r>
      <w:bookmarkEnd w:id="2"/>
      <w:bookmarkEnd w:id="3"/>
    </w:p>
    <w:p w14:paraId="73B173AB" w14:textId="2658DF16" w:rsidR="00392ABA" w:rsidRPr="009544B8" w:rsidRDefault="00392ABA" w:rsidP="007C4BEC">
      <w:pPr>
        <w:spacing w:line="480" w:lineRule="auto"/>
        <w:rPr>
          <w:rFonts w:asciiTheme="minorHAnsi" w:hAnsiTheme="minorHAnsi" w:cstheme="minorHAnsi"/>
          <w:color w:val="000000" w:themeColor="text1"/>
          <w:sz w:val="22"/>
          <w:szCs w:val="22"/>
          <w:lang w:val="en-GB"/>
        </w:rPr>
      </w:pPr>
      <w:r w:rsidRPr="00C91EF0">
        <w:rPr>
          <w:rFonts w:asciiTheme="minorHAnsi" w:hAnsiTheme="minorHAnsi" w:cstheme="minorHAnsi"/>
          <w:b/>
          <w:sz w:val="22"/>
          <w:szCs w:val="22"/>
          <w:lang w:val="en-GB"/>
        </w:rPr>
        <w:t>Results</w:t>
      </w:r>
      <w:r w:rsidR="00197646" w:rsidRPr="00C91EF0">
        <w:rPr>
          <w:rFonts w:asciiTheme="minorHAnsi" w:hAnsiTheme="minorHAnsi" w:cstheme="minorHAnsi"/>
          <w:b/>
          <w:sz w:val="22"/>
          <w:szCs w:val="22"/>
          <w:lang w:val="en-GB"/>
        </w:rPr>
        <w:t xml:space="preserve"> </w:t>
      </w:r>
      <w:r w:rsidR="00531C07" w:rsidRPr="00C91EF0">
        <w:rPr>
          <w:rFonts w:asciiTheme="minorHAnsi" w:hAnsiTheme="minorHAnsi" w:cstheme="minorHAnsi"/>
          <w:sz w:val="22"/>
          <w:szCs w:val="22"/>
          <w:lang w:val="en-GB"/>
        </w:rPr>
        <w:t>–</w:t>
      </w:r>
      <w:r w:rsidR="00197646" w:rsidRPr="00C91EF0">
        <w:rPr>
          <w:rFonts w:asciiTheme="minorHAnsi" w:hAnsiTheme="minorHAnsi" w:cstheme="minorHAnsi"/>
          <w:sz w:val="22"/>
          <w:szCs w:val="22"/>
          <w:lang w:val="en-GB"/>
        </w:rPr>
        <w:t xml:space="preserve"> </w:t>
      </w:r>
      <w:r w:rsidR="007D6DBF" w:rsidRPr="00C91EF0">
        <w:rPr>
          <w:rFonts w:asciiTheme="minorHAnsi" w:hAnsiTheme="minorHAnsi" w:cstheme="minorHAnsi"/>
          <w:sz w:val="22"/>
          <w:szCs w:val="22"/>
          <w:lang w:val="en-GB"/>
        </w:rPr>
        <w:t xml:space="preserve">In </w:t>
      </w:r>
      <w:r w:rsidR="00197646" w:rsidRPr="00C91EF0">
        <w:rPr>
          <w:rFonts w:asciiTheme="minorHAnsi" w:hAnsiTheme="minorHAnsi" w:cstheme="minorHAnsi"/>
          <w:sz w:val="22"/>
          <w:szCs w:val="22"/>
          <w:lang w:val="en-GB" w:eastAsia="nb-NO"/>
        </w:rPr>
        <w:t>3,582 patients</w:t>
      </w:r>
      <w:r w:rsidR="00D77A46" w:rsidRPr="00C91EF0">
        <w:rPr>
          <w:rFonts w:asciiTheme="minorHAnsi" w:hAnsiTheme="minorHAnsi" w:cstheme="minorHAnsi"/>
          <w:sz w:val="22"/>
          <w:szCs w:val="22"/>
          <w:lang w:val="en-GB" w:eastAsia="nb-NO"/>
        </w:rPr>
        <w:t xml:space="preserve"> with complete </w:t>
      </w:r>
      <w:r w:rsidR="00786E88">
        <w:rPr>
          <w:rFonts w:asciiTheme="minorHAnsi" w:hAnsiTheme="minorHAnsi" w:cstheme="minorHAnsi"/>
          <w:sz w:val="22"/>
          <w:szCs w:val="22"/>
          <w:lang w:val="en-GB" w:eastAsia="nb-NO"/>
        </w:rPr>
        <w:t xml:space="preserve">data, </w:t>
      </w:r>
      <w:r w:rsidR="007D6DBF" w:rsidRPr="00C91EF0">
        <w:rPr>
          <w:rFonts w:asciiTheme="minorHAnsi" w:hAnsiTheme="minorHAnsi" w:cstheme="minorHAnsi"/>
          <w:sz w:val="22"/>
          <w:szCs w:val="22"/>
          <w:lang w:val="en-GB" w:eastAsia="nb-NO"/>
        </w:rPr>
        <w:t xml:space="preserve">of whom </w:t>
      </w:r>
      <w:r w:rsidR="00403838" w:rsidRPr="00C91EF0">
        <w:rPr>
          <w:rFonts w:asciiTheme="minorHAnsi" w:hAnsiTheme="minorHAnsi" w:cstheme="minorHAnsi"/>
          <w:sz w:val="22"/>
          <w:szCs w:val="22"/>
          <w:lang w:val="en-GB"/>
        </w:rPr>
        <w:t>1,046 (29.2</w:t>
      </w:r>
      <w:r w:rsidR="009745C7" w:rsidRPr="00C91EF0">
        <w:rPr>
          <w:rFonts w:asciiTheme="minorHAnsi" w:hAnsiTheme="minorHAnsi" w:cstheme="minorHAnsi"/>
          <w:sz w:val="22"/>
          <w:szCs w:val="22"/>
          <w:lang w:val="en-GB"/>
        </w:rPr>
        <w:t> </w:t>
      </w:r>
      <w:r w:rsidR="00403838" w:rsidRPr="00C91EF0">
        <w:rPr>
          <w:rFonts w:asciiTheme="minorHAnsi" w:hAnsiTheme="minorHAnsi" w:cstheme="minorHAnsi"/>
          <w:sz w:val="22"/>
          <w:szCs w:val="22"/>
          <w:lang w:val="en-GB"/>
        </w:rPr>
        <w:t xml:space="preserve">%) </w:t>
      </w:r>
      <w:r w:rsidR="0044325B">
        <w:rPr>
          <w:rFonts w:asciiTheme="minorHAnsi" w:hAnsiTheme="minorHAnsi" w:cstheme="minorHAnsi"/>
          <w:sz w:val="22"/>
          <w:szCs w:val="22"/>
          <w:lang w:val="en-GB"/>
        </w:rPr>
        <w:t xml:space="preserve">showed </w:t>
      </w:r>
      <w:r w:rsidR="00F26C1D">
        <w:rPr>
          <w:rFonts w:asciiTheme="minorHAnsi" w:hAnsiTheme="minorHAnsi" w:cstheme="minorHAnsi"/>
          <w:sz w:val="22"/>
          <w:szCs w:val="22"/>
          <w:lang w:val="en-GB"/>
        </w:rPr>
        <w:t xml:space="preserve">deterioration in </w:t>
      </w:r>
      <w:r w:rsidR="00403838" w:rsidRPr="00C91EF0">
        <w:rPr>
          <w:rFonts w:asciiTheme="minorHAnsi" w:hAnsiTheme="minorHAnsi" w:cstheme="minorHAnsi"/>
          <w:sz w:val="22"/>
          <w:szCs w:val="22"/>
          <w:lang w:val="en-GB"/>
        </w:rPr>
        <w:t>HRQoL</w:t>
      </w:r>
      <w:r w:rsidR="00D77A46" w:rsidRPr="00C91EF0">
        <w:rPr>
          <w:rFonts w:asciiTheme="minorHAnsi" w:hAnsiTheme="minorHAnsi" w:cstheme="minorHAnsi"/>
          <w:sz w:val="22"/>
          <w:szCs w:val="22"/>
          <w:lang w:val="en-GB"/>
        </w:rPr>
        <w:t xml:space="preserve">, </w:t>
      </w:r>
      <w:r w:rsidR="009B3E47" w:rsidRPr="00C91EF0">
        <w:rPr>
          <w:rFonts w:asciiTheme="minorHAnsi" w:hAnsiTheme="minorHAnsi" w:cstheme="minorHAnsi"/>
          <w:sz w:val="22"/>
          <w:szCs w:val="22"/>
          <w:lang w:val="en-GB"/>
        </w:rPr>
        <w:t>12</w:t>
      </w:r>
      <w:r w:rsidR="002D1F09" w:rsidRPr="00C91EF0">
        <w:rPr>
          <w:rFonts w:asciiTheme="minorHAnsi" w:hAnsiTheme="minorHAnsi" w:cstheme="minorHAnsi"/>
          <w:sz w:val="22"/>
          <w:szCs w:val="22"/>
          <w:lang w:val="en-GB"/>
        </w:rPr>
        <w:t>/87</w:t>
      </w:r>
      <w:r w:rsidR="009B3E47" w:rsidRPr="00C91EF0">
        <w:rPr>
          <w:rFonts w:asciiTheme="minorHAnsi" w:hAnsiTheme="minorHAnsi" w:cstheme="minorHAnsi"/>
          <w:sz w:val="22"/>
          <w:szCs w:val="22"/>
          <w:lang w:val="en-GB"/>
        </w:rPr>
        <w:t xml:space="preserve"> variables </w:t>
      </w:r>
      <w:r w:rsidR="00D77A46" w:rsidRPr="00C91EF0">
        <w:rPr>
          <w:rFonts w:asciiTheme="minorHAnsi" w:hAnsiTheme="minorHAnsi" w:cstheme="minorHAnsi"/>
          <w:sz w:val="22"/>
          <w:szCs w:val="22"/>
          <w:lang w:val="en-GB"/>
        </w:rPr>
        <w:t xml:space="preserve">were selected </w:t>
      </w:r>
      <w:r w:rsidR="0044325B">
        <w:rPr>
          <w:rFonts w:asciiTheme="minorHAnsi" w:hAnsiTheme="minorHAnsi" w:cstheme="minorHAnsi"/>
          <w:sz w:val="22"/>
          <w:szCs w:val="22"/>
          <w:lang w:val="en-GB"/>
        </w:rPr>
        <w:t xml:space="preserve">that were </w:t>
      </w:r>
      <w:r w:rsidR="00D77A46" w:rsidRPr="00C91EF0">
        <w:rPr>
          <w:rFonts w:asciiTheme="minorHAnsi" w:hAnsiTheme="minorHAnsi" w:cstheme="minorHAnsi"/>
          <w:sz w:val="22"/>
          <w:szCs w:val="22"/>
          <w:lang w:val="en-GB"/>
        </w:rPr>
        <w:t>relat</w:t>
      </w:r>
      <w:r w:rsidR="00960D7B" w:rsidRPr="00C91EF0">
        <w:rPr>
          <w:rFonts w:asciiTheme="minorHAnsi" w:hAnsiTheme="minorHAnsi" w:cstheme="minorHAnsi"/>
          <w:sz w:val="22"/>
          <w:szCs w:val="22"/>
          <w:lang w:val="en-GB"/>
        </w:rPr>
        <w:t>ed to</w:t>
      </w:r>
      <w:r w:rsidR="00305E7D" w:rsidRPr="00C91EF0">
        <w:rPr>
          <w:rFonts w:asciiTheme="minorHAnsi" w:hAnsiTheme="minorHAnsi" w:cstheme="minorHAnsi"/>
          <w:sz w:val="22"/>
          <w:szCs w:val="22"/>
          <w:lang w:val="en-GB"/>
        </w:rPr>
        <w:t xml:space="preserve"> </w:t>
      </w:r>
      <w:r w:rsidR="008D463C" w:rsidRPr="00C91EF0">
        <w:rPr>
          <w:rFonts w:asciiTheme="minorHAnsi" w:hAnsiTheme="minorHAnsi" w:cstheme="minorHAnsi"/>
          <w:sz w:val="22"/>
          <w:szCs w:val="22"/>
          <w:lang w:val="en-GB"/>
        </w:rPr>
        <w:t xml:space="preserve">single </w:t>
      </w:r>
      <w:r w:rsidR="00482C68" w:rsidRPr="00C91EF0">
        <w:rPr>
          <w:rFonts w:asciiTheme="minorHAnsi" w:hAnsiTheme="minorHAnsi" w:cstheme="minorHAnsi"/>
          <w:sz w:val="22"/>
          <w:szCs w:val="22"/>
          <w:lang w:val="en-GB"/>
        </w:rPr>
        <w:t>(chronic)</w:t>
      </w:r>
      <w:r w:rsidR="007D6DBF" w:rsidRPr="00C91EF0">
        <w:rPr>
          <w:rFonts w:asciiTheme="minorHAnsi" w:hAnsiTheme="minorHAnsi" w:cstheme="minorHAnsi"/>
          <w:sz w:val="22"/>
          <w:szCs w:val="22"/>
          <w:lang w:val="en-GB"/>
        </w:rPr>
        <w:t xml:space="preserve"> </w:t>
      </w:r>
      <w:r w:rsidR="00307F2F" w:rsidRPr="00C91EF0">
        <w:rPr>
          <w:rFonts w:asciiTheme="minorHAnsi" w:hAnsiTheme="minorHAnsi" w:cstheme="minorHAnsi"/>
          <w:sz w:val="22"/>
          <w:szCs w:val="22"/>
          <w:lang w:val="en-GB"/>
        </w:rPr>
        <w:t>conditions</w:t>
      </w:r>
      <w:r w:rsidR="00860C56" w:rsidRPr="00C91EF0">
        <w:rPr>
          <w:rFonts w:asciiTheme="minorHAnsi" w:hAnsiTheme="minorHAnsi" w:cstheme="minorHAnsi"/>
          <w:sz w:val="22"/>
          <w:szCs w:val="22"/>
          <w:lang w:val="en-GB"/>
        </w:rPr>
        <w:t xml:space="preserve">, </w:t>
      </w:r>
      <w:r w:rsidR="00307F2F" w:rsidRPr="00C91EF0">
        <w:rPr>
          <w:rFonts w:asciiTheme="minorHAnsi" w:hAnsiTheme="minorHAnsi" w:cstheme="minorHAnsi"/>
          <w:sz w:val="22"/>
          <w:szCs w:val="22"/>
          <w:lang w:val="en-GB"/>
        </w:rPr>
        <w:t>inappropriate medication</w:t>
      </w:r>
      <w:r w:rsidR="00860C56" w:rsidRPr="00C91EF0">
        <w:rPr>
          <w:rFonts w:asciiTheme="minorHAnsi" w:hAnsiTheme="minorHAnsi" w:cstheme="minorHAnsi"/>
          <w:sz w:val="22"/>
          <w:szCs w:val="22"/>
          <w:lang w:val="en-GB"/>
        </w:rPr>
        <w:t>,</w:t>
      </w:r>
      <w:r w:rsidR="00307F2F" w:rsidRPr="00C91EF0">
        <w:rPr>
          <w:rFonts w:asciiTheme="minorHAnsi" w:hAnsiTheme="minorHAnsi" w:cstheme="minorHAnsi"/>
          <w:sz w:val="22"/>
          <w:szCs w:val="22"/>
          <w:lang w:val="en-GB"/>
        </w:rPr>
        <w:t xml:space="preserve"> </w:t>
      </w:r>
      <w:r w:rsidR="00854866" w:rsidRPr="00C91EF0">
        <w:rPr>
          <w:rFonts w:asciiTheme="minorHAnsi" w:hAnsiTheme="minorHAnsi" w:cstheme="minorHAnsi"/>
          <w:sz w:val="22"/>
          <w:szCs w:val="22"/>
          <w:lang w:val="en-GB"/>
        </w:rPr>
        <w:t xml:space="preserve">medication underuse, </w:t>
      </w:r>
      <w:r w:rsidR="00307F2F" w:rsidRPr="00C91EF0">
        <w:rPr>
          <w:rFonts w:asciiTheme="minorHAnsi" w:hAnsiTheme="minorHAnsi" w:cstheme="minorHAnsi"/>
          <w:sz w:val="22"/>
          <w:szCs w:val="22"/>
          <w:lang w:val="en-GB"/>
        </w:rPr>
        <w:t>functional status,</w:t>
      </w:r>
      <w:r w:rsidR="00C42276" w:rsidRPr="00C91EF0">
        <w:rPr>
          <w:rFonts w:asciiTheme="minorHAnsi" w:hAnsiTheme="minorHAnsi" w:cstheme="minorHAnsi"/>
          <w:sz w:val="22"/>
          <w:szCs w:val="22"/>
          <w:lang w:val="en-GB"/>
        </w:rPr>
        <w:t xml:space="preserve"> well</w:t>
      </w:r>
      <w:r w:rsidR="00305E7D" w:rsidRPr="00C91EF0">
        <w:rPr>
          <w:rFonts w:asciiTheme="minorHAnsi" w:hAnsiTheme="minorHAnsi" w:cstheme="minorHAnsi"/>
          <w:sz w:val="22"/>
          <w:szCs w:val="22"/>
          <w:lang w:val="en-GB"/>
        </w:rPr>
        <w:t>-</w:t>
      </w:r>
      <w:r w:rsidR="00C42276" w:rsidRPr="00C91EF0">
        <w:rPr>
          <w:rFonts w:asciiTheme="minorHAnsi" w:hAnsiTheme="minorHAnsi" w:cstheme="minorHAnsi"/>
          <w:sz w:val="22"/>
          <w:szCs w:val="22"/>
          <w:lang w:val="en-GB"/>
        </w:rPr>
        <w:t>being</w:t>
      </w:r>
      <w:r w:rsidR="00307F2F" w:rsidRPr="009544B8">
        <w:rPr>
          <w:rFonts w:asciiTheme="minorHAnsi" w:hAnsiTheme="minorHAnsi" w:cstheme="minorHAnsi"/>
          <w:sz w:val="22"/>
          <w:szCs w:val="22"/>
          <w:lang w:val="en-GB"/>
        </w:rPr>
        <w:t xml:space="preserve"> </w:t>
      </w:r>
      <w:r w:rsidR="00531C07" w:rsidRPr="009544B8">
        <w:rPr>
          <w:rFonts w:asciiTheme="minorHAnsi" w:hAnsiTheme="minorHAnsi" w:cstheme="minorHAnsi"/>
          <w:sz w:val="22"/>
          <w:szCs w:val="22"/>
          <w:lang w:val="en-GB"/>
        </w:rPr>
        <w:t>and HRQoL</w:t>
      </w:r>
      <w:r w:rsidR="00307F2F" w:rsidRPr="009544B8">
        <w:rPr>
          <w:rFonts w:asciiTheme="minorHAnsi" w:hAnsiTheme="minorHAnsi" w:cstheme="minorHAnsi"/>
          <w:sz w:val="22"/>
          <w:szCs w:val="22"/>
          <w:lang w:val="en-GB"/>
        </w:rPr>
        <w:t xml:space="preserve">. </w:t>
      </w:r>
      <w:r w:rsidR="00345CDB" w:rsidRPr="009544B8">
        <w:rPr>
          <w:rFonts w:asciiTheme="minorHAnsi" w:hAnsiTheme="minorHAnsi" w:cstheme="minorHAnsi"/>
          <w:color w:val="000000" w:themeColor="text1"/>
          <w:sz w:val="22"/>
          <w:szCs w:val="22"/>
          <w:lang w:val="en-GB"/>
        </w:rPr>
        <w:t xml:space="preserve">Bootstrap internal validation showed a </w:t>
      </w:r>
      <w:r w:rsidR="00531C07" w:rsidRPr="009544B8">
        <w:rPr>
          <w:rFonts w:asciiTheme="minorHAnsi" w:hAnsiTheme="minorHAnsi" w:cstheme="minorHAnsi"/>
          <w:color w:val="000000" w:themeColor="text1"/>
          <w:sz w:val="22"/>
          <w:szCs w:val="22"/>
          <w:lang w:val="en-GB"/>
        </w:rPr>
        <w:t>C</w:t>
      </w:r>
      <w:r w:rsidR="00345CDB" w:rsidRPr="009544B8">
        <w:rPr>
          <w:rFonts w:asciiTheme="minorHAnsi" w:hAnsiTheme="minorHAnsi" w:cstheme="minorHAnsi"/>
          <w:color w:val="000000" w:themeColor="text1"/>
          <w:sz w:val="22"/>
          <w:szCs w:val="22"/>
          <w:lang w:val="en-GB"/>
        </w:rPr>
        <w:t xml:space="preserve">-statistic of </w:t>
      </w:r>
      <w:r w:rsidR="009B3E47" w:rsidRPr="009544B8">
        <w:rPr>
          <w:rFonts w:asciiTheme="minorHAnsi" w:hAnsiTheme="minorHAnsi" w:cstheme="minorHAnsi"/>
          <w:color w:val="000000" w:themeColor="text1"/>
          <w:sz w:val="22"/>
          <w:szCs w:val="22"/>
          <w:lang w:val="en-GB"/>
        </w:rPr>
        <w:t xml:space="preserve">0.71 </w:t>
      </w:r>
      <w:r w:rsidR="00345CDB" w:rsidRPr="009544B8">
        <w:rPr>
          <w:rFonts w:asciiTheme="minorHAnsi" w:hAnsiTheme="minorHAnsi" w:cstheme="minorHAnsi"/>
          <w:color w:val="000000" w:themeColor="text1"/>
          <w:sz w:val="22"/>
          <w:szCs w:val="22"/>
          <w:lang w:val="en-GB"/>
        </w:rPr>
        <w:t>(0.69 to 0.7</w:t>
      </w:r>
      <w:r w:rsidR="00E1764C" w:rsidRPr="009544B8">
        <w:rPr>
          <w:rFonts w:asciiTheme="minorHAnsi" w:hAnsiTheme="minorHAnsi" w:cstheme="minorHAnsi"/>
          <w:color w:val="000000" w:themeColor="text1"/>
          <w:sz w:val="22"/>
          <w:szCs w:val="22"/>
          <w:lang w:val="en-GB"/>
        </w:rPr>
        <w:t>2</w:t>
      </w:r>
      <w:r w:rsidR="00345CDB" w:rsidRPr="009544B8">
        <w:rPr>
          <w:rFonts w:asciiTheme="minorHAnsi" w:hAnsiTheme="minorHAnsi" w:cstheme="minorHAnsi"/>
          <w:color w:val="000000" w:themeColor="text1"/>
          <w:sz w:val="22"/>
          <w:szCs w:val="22"/>
          <w:lang w:val="en-GB"/>
        </w:rPr>
        <w:t>)</w:t>
      </w:r>
      <w:r w:rsidR="00531C07" w:rsidRPr="009544B8">
        <w:rPr>
          <w:rFonts w:asciiTheme="minorHAnsi" w:hAnsiTheme="minorHAnsi" w:cstheme="minorHAnsi"/>
          <w:color w:val="000000" w:themeColor="text1"/>
          <w:sz w:val="22"/>
          <w:szCs w:val="22"/>
          <w:lang w:val="en-GB"/>
        </w:rPr>
        <w:t>,</w:t>
      </w:r>
      <w:r w:rsidR="00345CDB" w:rsidRPr="009544B8">
        <w:rPr>
          <w:rFonts w:asciiTheme="minorHAnsi" w:hAnsiTheme="minorHAnsi" w:cstheme="minorHAnsi"/>
          <w:color w:val="000000" w:themeColor="text1"/>
          <w:sz w:val="22"/>
          <w:szCs w:val="22"/>
          <w:lang w:val="en-GB"/>
        </w:rPr>
        <w:t xml:space="preserve"> </w:t>
      </w:r>
      <w:r w:rsidR="00786E88">
        <w:rPr>
          <w:rFonts w:asciiTheme="minorHAnsi" w:hAnsiTheme="minorHAnsi" w:cstheme="minorHAnsi"/>
          <w:color w:val="000000" w:themeColor="text1"/>
          <w:sz w:val="22"/>
          <w:szCs w:val="22"/>
          <w:lang w:val="en-GB"/>
        </w:rPr>
        <w:t xml:space="preserve">and </w:t>
      </w:r>
      <w:r w:rsidR="00345CDB" w:rsidRPr="009544B8">
        <w:rPr>
          <w:rFonts w:asciiTheme="minorHAnsi" w:hAnsiTheme="minorHAnsi" w:cstheme="minorHAnsi"/>
          <w:color w:val="000000" w:themeColor="text1"/>
          <w:sz w:val="22"/>
          <w:szCs w:val="22"/>
          <w:lang w:val="en-GB"/>
        </w:rPr>
        <w:t>a calibration slope of 0.</w:t>
      </w:r>
      <w:r w:rsidR="000267CA" w:rsidRPr="009544B8">
        <w:rPr>
          <w:rFonts w:asciiTheme="minorHAnsi" w:hAnsiTheme="minorHAnsi" w:cstheme="minorHAnsi"/>
          <w:color w:val="000000" w:themeColor="text1"/>
          <w:sz w:val="22"/>
          <w:szCs w:val="22"/>
          <w:lang w:val="en-GB"/>
        </w:rPr>
        <w:t>88</w:t>
      </w:r>
      <w:r w:rsidR="00345CDB" w:rsidRPr="009544B8">
        <w:rPr>
          <w:rFonts w:asciiTheme="minorHAnsi" w:hAnsiTheme="minorHAnsi" w:cstheme="minorHAnsi"/>
          <w:color w:val="000000" w:themeColor="text1"/>
          <w:sz w:val="22"/>
          <w:szCs w:val="22"/>
          <w:lang w:val="en-GB"/>
        </w:rPr>
        <w:t xml:space="preserve"> (0.</w:t>
      </w:r>
      <w:r w:rsidR="000267CA" w:rsidRPr="009544B8">
        <w:rPr>
          <w:rFonts w:asciiTheme="minorHAnsi" w:hAnsiTheme="minorHAnsi" w:cstheme="minorHAnsi"/>
          <w:color w:val="000000" w:themeColor="text1"/>
          <w:sz w:val="22"/>
          <w:szCs w:val="22"/>
          <w:lang w:val="en-GB"/>
        </w:rPr>
        <w:t>78</w:t>
      </w:r>
      <w:r w:rsidR="00345CDB" w:rsidRPr="009544B8">
        <w:rPr>
          <w:rFonts w:asciiTheme="minorHAnsi" w:hAnsiTheme="minorHAnsi" w:cstheme="minorHAnsi"/>
          <w:color w:val="000000" w:themeColor="text1"/>
          <w:sz w:val="22"/>
          <w:szCs w:val="22"/>
          <w:lang w:val="en-GB"/>
        </w:rPr>
        <w:t xml:space="preserve"> to </w:t>
      </w:r>
      <w:r w:rsidR="000267CA" w:rsidRPr="009544B8">
        <w:rPr>
          <w:rFonts w:asciiTheme="minorHAnsi" w:hAnsiTheme="minorHAnsi" w:cstheme="minorHAnsi"/>
          <w:color w:val="000000" w:themeColor="text1"/>
          <w:sz w:val="22"/>
          <w:szCs w:val="22"/>
          <w:lang w:val="en-GB"/>
        </w:rPr>
        <w:t>0.98</w:t>
      </w:r>
      <w:r w:rsidR="00345CDB" w:rsidRPr="009544B8">
        <w:rPr>
          <w:rFonts w:asciiTheme="minorHAnsi" w:hAnsiTheme="minorHAnsi" w:cstheme="minorHAnsi"/>
          <w:color w:val="000000" w:themeColor="text1"/>
          <w:sz w:val="22"/>
          <w:szCs w:val="22"/>
          <w:lang w:val="en-GB"/>
        </w:rPr>
        <w:t>).</w:t>
      </w:r>
      <w:r w:rsidR="001311B1" w:rsidRPr="009544B8">
        <w:rPr>
          <w:rFonts w:asciiTheme="minorHAnsi" w:hAnsiTheme="minorHAnsi" w:cstheme="minorHAnsi"/>
          <w:color w:val="000000" w:themeColor="text1"/>
          <w:sz w:val="22"/>
          <w:szCs w:val="22"/>
          <w:lang w:val="en-GB"/>
        </w:rPr>
        <w:t xml:space="preserve"> </w:t>
      </w:r>
      <w:r w:rsidR="003F319D" w:rsidRPr="009544B8">
        <w:rPr>
          <w:rFonts w:asciiTheme="minorHAnsi" w:hAnsiTheme="minorHAnsi" w:cstheme="minorHAnsi"/>
          <w:color w:val="000000" w:themeColor="text1"/>
          <w:sz w:val="22"/>
          <w:szCs w:val="22"/>
          <w:lang w:val="en-GB"/>
        </w:rPr>
        <w:t>I</w:t>
      </w:r>
      <w:r w:rsidR="00531C07" w:rsidRPr="009544B8">
        <w:rPr>
          <w:rFonts w:asciiTheme="minorHAnsi" w:hAnsiTheme="minorHAnsi" w:cstheme="minorHAnsi"/>
          <w:color w:val="000000" w:themeColor="text1"/>
          <w:sz w:val="22"/>
          <w:szCs w:val="22"/>
          <w:lang w:val="en-GB"/>
        </w:rPr>
        <w:t xml:space="preserve">n the </w:t>
      </w:r>
      <w:r w:rsidR="001311B1" w:rsidRPr="009544B8">
        <w:rPr>
          <w:rFonts w:asciiTheme="minorHAnsi" w:hAnsiTheme="minorHAnsi" w:cstheme="minorHAnsi"/>
          <w:color w:val="000000" w:themeColor="text1"/>
          <w:sz w:val="22"/>
          <w:szCs w:val="22"/>
          <w:lang w:val="en-GB"/>
        </w:rPr>
        <w:t xml:space="preserve">IECV loop, the model </w:t>
      </w:r>
      <w:r w:rsidR="00860C56" w:rsidRPr="009544B8">
        <w:rPr>
          <w:rFonts w:asciiTheme="minorHAnsi" w:hAnsiTheme="minorHAnsi" w:cstheme="minorHAnsi"/>
          <w:color w:val="000000" w:themeColor="text1"/>
          <w:sz w:val="22"/>
          <w:szCs w:val="22"/>
          <w:lang w:val="en-GB"/>
        </w:rPr>
        <w:t>provided</w:t>
      </w:r>
      <w:r w:rsidR="001311B1" w:rsidRPr="009544B8">
        <w:rPr>
          <w:rFonts w:asciiTheme="minorHAnsi" w:hAnsiTheme="minorHAnsi" w:cstheme="minorHAnsi"/>
          <w:color w:val="000000" w:themeColor="text1"/>
          <w:sz w:val="22"/>
          <w:szCs w:val="22"/>
          <w:lang w:val="en-GB"/>
        </w:rPr>
        <w:t xml:space="preserve"> a pooled </w:t>
      </w:r>
      <w:r w:rsidR="00531C07" w:rsidRPr="009544B8">
        <w:rPr>
          <w:rFonts w:asciiTheme="minorHAnsi" w:hAnsiTheme="minorHAnsi" w:cstheme="minorHAnsi"/>
          <w:color w:val="000000" w:themeColor="text1"/>
          <w:sz w:val="22"/>
          <w:szCs w:val="22"/>
          <w:lang w:val="en-GB"/>
        </w:rPr>
        <w:t>C</w:t>
      </w:r>
      <w:r w:rsidR="006A1349" w:rsidRPr="009544B8">
        <w:rPr>
          <w:rFonts w:asciiTheme="minorHAnsi" w:hAnsiTheme="minorHAnsi" w:cstheme="minorHAnsi"/>
          <w:color w:val="000000" w:themeColor="text1"/>
          <w:sz w:val="22"/>
          <w:szCs w:val="22"/>
          <w:lang w:val="en-GB"/>
        </w:rPr>
        <w:t>-</w:t>
      </w:r>
      <w:r w:rsidR="001311B1" w:rsidRPr="009544B8">
        <w:rPr>
          <w:rFonts w:asciiTheme="minorHAnsi" w:hAnsiTheme="minorHAnsi" w:cstheme="minorHAnsi"/>
          <w:color w:val="000000" w:themeColor="text1"/>
          <w:sz w:val="22"/>
          <w:szCs w:val="22"/>
          <w:lang w:val="en-GB"/>
        </w:rPr>
        <w:t>statistic of 0.6</w:t>
      </w:r>
      <w:r w:rsidR="000267CA" w:rsidRPr="009544B8">
        <w:rPr>
          <w:rFonts w:asciiTheme="minorHAnsi" w:hAnsiTheme="minorHAnsi" w:cstheme="minorHAnsi"/>
          <w:color w:val="000000" w:themeColor="text1"/>
          <w:sz w:val="22"/>
          <w:szCs w:val="22"/>
          <w:lang w:val="en-GB"/>
        </w:rPr>
        <w:t>8</w:t>
      </w:r>
      <w:r w:rsidR="001311B1" w:rsidRPr="009544B8">
        <w:rPr>
          <w:rFonts w:asciiTheme="minorHAnsi" w:hAnsiTheme="minorHAnsi" w:cstheme="minorHAnsi"/>
          <w:color w:val="000000" w:themeColor="text1"/>
          <w:sz w:val="22"/>
          <w:szCs w:val="22"/>
          <w:lang w:val="en-GB"/>
        </w:rPr>
        <w:t xml:space="preserve"> (0.6</w:t>
      </w:r>
      <w:r w:rsidR="000267CA" w:rsidRPr="009544B8">
        <w:rPr>
          <w:rFonts w:asciiTheme="minorHAnsi" w:hAnsiTheme="minorHAnsi" w:cstheme="minorHAnsi"/>
          <w:color w:val="000000" w:themeColor="text1"/>
          <w:sz w:val="22"/>
          <w:szCs w:val="22"/>
          <w:lang w:val="en-GB"/>
        </w:rPr>
        <w:t>5</w:t>
      </w:r>
      <w:r w:rsidR="001311B1" w:rsidRPr="009544B8">
        <w:rPr>
          <w:rFonts w:asciiTheme="minorHAnsi" w:hAnsiTheme="minorHAnsi" w:cstheme="minorHAnsi"/>
          <w:color w:val="000000" w:themeColor="text1"/>
          <w:sz w:val="22"/>
          <w:szCs w:val="22"/>
          <w:lang w:val="en-GB"/>
        </w:rPr>
        <w:t xml:space="preserve"> to 0.7</w:t>
      </w:r>
      <w:r w:rsidR="000267CA" w:rsidRPr="009544B8">
        <w:rPr>
          <w:rFonts w:asciiTheme="minorHAnsi" w:hAnsiTheme="minorHAnsi" w:cstheme="minorHAnsi"/>
          <w:color w:val="000000" w:themeColor="text1"/>
          <w:sz w:val="22"/>
          <w:szCs w:val="22"/>
          <w:lang w:val="en-GB"/>
        </w:rPr>
        <w:t>0</w:t>
      </w:r>
      <w:r w:rsidR="001311B1" w:rsidRPr="009544B8">
        <w:rPr>
          <w:rFonts w:asciiTheme="minorHAnsi" w:hAnsiTheme="minorHAnsi" w:cstheme="minorHAnsi"/>
          <w:color w:val="000000" w:themeColor="text1"/>
          <w:sz w:val="22"/>
          <w:szCs w:val="22"/>
          <w:lang w:val="en-GB"/>
        </w:rPr>
        <w:t>) and calibration-in-the-large of 0 (-0.</w:t>
      </w:r>
      <w:r w:rsidR="003F38CD" w:rsidRPr="009544B8">
        <w:rPr>
          <w:rFonts w:asciiTheme="minorHAnsi" w:hAnsiTheme="minorHAnsi" w:cstheme="minorHAnsi"/>
          <w:color w:val="000000" w:themeColor="text1"/>
          <w:sz w:val="22"/>
          <w:szCs w:val="22"/>
          <w:lang w:val="en-GB"/>
        </w:rPr>
        <w:t>1</w:t>
      </w:r>
      <w:r w:rsidR="000267CA" w:rsidRPr="009544B8">
        <w:rPr>
          <w:rFonts w:asciiTheme="minorHAnsi" w:hAnsiTheme="minorHAnsi" w:cstheme="minorHAnsi"/>
          <w:color w:val="000000" w:themeColor="text1"/>
          <w:sz w:val="22"/>
          <w:szCs w:val="22"/>
          <w:lang w:val="en-GB"/>
        </w:rPr>
        <w:t>3</w:t>
      </w:r>
      <w:r w:rsidR="003F38CD" w:rsidRPr="009544B8">
        <w:rPr>
          <w:rFonts w:asciiTheme="minorHAnsi" w:hAnsiTheme="minorHAnsi" w:cstheme="minorHAnsi"/>
          <w:color w:val="000000" w:themeColor="text1"/>
          <w:sz w:val="22"/>
          <w:szCs w:val="22"/>
          <w:lang w:val="en-GB"/>
        </w:rPr>
        <w:t xml:space="preserve"> </w:t>
      </w:r>
      <w:r w:rsidR="001311B1" w:rsidRPr="009544B8">
        <w:rPr>
          <w:rFonts w:asciiTheme="minorHAnsi" w:hAnsiTheme="minorHAnsi" w:cstheme="minorHAnsi"/>
          <w:color w:val="000000" w:themeColor="text1"/>
          <w:sz w:val="22"/>
          <w:szCs w:val="22"/>
          <w:lang w:val="en-GB"/>
        </w:rPr>
        <w:t>to 0.</w:t>
      </w:r>
      <w:r w:rsidR="003F38CD" w:rsidRPr="009544B8">
        <w:rPr>
          <w:rFonts w:asciiTheme="minorHAnsi" w:hAnsiTheme="minorHAnsi" w:cstheme="minorHAnsi"/>
          <w:color w:val="000000" w:themeColor="text1"/>
          <w:sz w:val="22"/>
          <w:szCs w:val="22"/>
          <w:lang w:val="en-GB"/>
        </w:rPr>
        <w:t>13</w:t>
      </w:r>
      <w:r w:rsidR="001311B1" w:rsidRPr="009544B8">
        <w:rPr>
          <w:rFonts w:asciiTheme="minorHAnsi" w:hAnsiTheme="minorHAnsi" w:cstheme="minorHAnsi"/>
          <w:color w:val="000000" w:themeColor="text1"/>
          <w:sz w:val="22"/>
          <w:szCs w:val="22"/>
          <w:lang w:val="en-GB"/>
        </w:rPr>
        <w:t>).</w:t>
      </w:r>
      <w:r w:rsidR="002A4E90">
        <w:rPr>
          <w:rFonts w:asciiTheme="minorHAnsi" w:hAnsiTheme="minorHAnsi" w:cstheme="minorHAnsi"/>
          <w:color w:val="000000" w:themeColor="text1"/>
          <w:sz w:val="22"/>
          <w:szCs w:val="22"/>
          <w:lang w:val="en-GB"/>
        </w:rPr>
        <w:t xml:space="preserve"> </w:t>
      </w:r>
      <w:r w:rsidR="00BD727C">
        <w:rPr>
          <w:rFonts w:asciiTheme="minorHAnsi" w:hAnsiTheme="minorHAnsi" w:cstheme="minorHAnsi"/>
          <w:color w:val="000000" w:themeColor="text1"/>
          <w:sz w:val="22"/>
          <w:szCs w:val="22"/>
          <w:lang w:val="en-GB"/>
        </w:rPr>
        <w:t xml:space="preserve">HRQoL/functionality </w:t>
      </w:r>
      <w:r w:rsidR="0044325B">
        <w:rPr>
          <w:rFonts w:asciiTheme="minorHAnsi" w:hAnsiTheme="minorHAnsi" w:cstheme="minorHAnsi"/>
          <w:color w:val="000000" w:themeColor="text1"/>
          <w:sz w:val="22"/>
          <w:szCs w:val="22"/>
          <w:lang w:val="en-GB"/>
        </w:rPr>
        <w:t xml:space="preserve">had </w:t>
      </w:r>
      <w:r w:rsidR="00BD727C">
        <w:rPr>
          <w:rFonts w:asciiTheme="minorHAnsi" w:hAnsiTheme="minorHAnsi" w:cstheme="minorHAnsi"/>
          <w:color w:val="000000" w:themeColor="text1"/>
          <w:sz w:val="22"/>
          <w:szCs w:val="22"/>
          <w:lang w:val="en-GB"/>
        </w:rPr>
        <w:t>the strongest prognostic value.</w:t>
      </w:r>
    </w:p>
    <w:p w14:paraId="79AF56B0" w14:textId="000214ED" w:rsidR="00392ABA" w:rsidRPr="00C91EF0" w:rsidRDefault="00392ABA" w:rsidP="007C4BEC">
      <w:pPr>
        <w:spacing w:line="480" w:lineRule="auto"/>
        <w:rPr>
          <w:rFonts w:asciiTheme="minorHAnsi" w:hAnsiTheme="minorHAnsi" w:cstheme="minorHAnsi"/>
          <w:sz w:val="22"/>
          <w:szCs w:val="22"/>
          <w:lang w:val="en-GB"/>
        </w:rPr>
      </w:pPr>
      <w:r w:rsidRPr="00C91EF0">
        <w:rPr>
          <w:rFonts w:asciiTheme="minorHAnsi" w:hAnsiTheme="minorHAnsi" w:cstheme="minorHAnsi"/>
          <w:b/>
          <w:sz w:val="22"/>
          <w:szCs w:val="22"/>
          <w:lang w:val="en-GB"/>
        </w:rPr>
        <w:t xml:space="preserve">Conclusion </w:t>
      </w:r>
      <w:r w:rsidR="00D77A46"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C93DC3" w:rsidRPr="00C91EF0">
        <w:rPr>
          <w:rFonts w:asciiTheme="minorHAnsi" w:hAnsiTheme="minorHAnsi" w:cstheme="minorHAnsi"/>
          <w:sz w:val="22"/>
          <w:szCs w:val="22"/>
          <w:lang w:val="en-GB"/>
        </w:rPr>
        <w:t>Th</w:t>
      </w:r>
      <w:r w:rsidR="00D77A46" w:rsidRPr="00C91EF0">
        <w:rPr>
          <w:rFonts w:asciiTheme="minorHAnsi" w:hAnsiTheme="minorHAnsi" w:cstheme="minorHAnsi"/>
          <w:sz w:val="22"/>
          <w:szCs w:val="22"/>
          <w:lang w:val="en-GB"/>
        </w:rPr>
        <w:t>e</w:t>
      </w:r>
      <w:r w:rsidR="00ED4BE0" w:rsidRPr="00C91EF0">
        <w:rPr>
          <w:rFonts w:asciiTheme="minorHAnsi" w:hAnsiTheme="minorHAnsi" w:cstheme="minorHAnsi"/>
          <w:sz w:val="22"/>
          <w:szCs w:val="22"/>
          <w:lang w:val="en-GB"/>
        </w:rPr>
        <w:t xml:space="preserve"> model performed well in terms of </w:t>
      </w:r>
      <w:r w:rsidR="00D77A46" w:rsidRPr="00C91EF0">
        <w:rPr>
          <w:rFonts w:asciiTheme="minorHAnsi" w:hAnsiTheme="minorHAnsi" w:cstheme="minorHAnsi"/>
          <w:sz w:val="22"/>
          <w:szCs w:val="22"/>
          <w:lang w:val="en-GB"/>
        </w:rPr>
        <w:t>discrimination, calibratio</w:t>
      </w:r>
      <w:r w:rsidR="00BD727C">
        <w:rPr>
          <w:rFonts w:asciiTheme="minorHAnsi" w:hAnsiTheme="minorHAnsi" w:cstheme="minorHAnsi"/>
          <w:sz w:val="22"/>
          <w:szCs w:val="22"/>
          <w:lang w:val="en-GB"/>
        </w:rPr>
        <w:t>n,</w:t>
      </w:r>
      <w:r w:rsidR="00D77A46" w:rsidRPr="00C91EF0">
        <w:rPr>
          <w:rFonts w:asciiTheme="minorHAnsi" w:hAnsiTheme="minorHAnsi" w:cstheme="minorHAnsi"/>
          <w:sz w:val="22"/>
          <w:szCs w:val="22"/>
          <w:lang w:val="en-GB"/>
        </w:rPr>
        <w:t xml:space="preserve"> and generalizability </w:t>
      </w:r>
      <w:r w:rsidR="0044325B">
        <w:rPr>
          <w:rFonts w:asciiTheme="minorHAnsi" w:hAnsiTheme="minorHAnsi" w:cstheme="minorHAnsi"/>
          <w:sz w:val="22"/>
          <w:szCs w:val="22"/>
          <w:lang w:val="en-GB"/>
        </w:rPr>
        <w:t>and m</w:t>
      </w:r>
      <w:r w:rsidR="00A506FC">
        <w:rPr>
          <w:rFonts w:asciiTheme="minorHAnsi" w:hAnsiTheme="minorHAnsi" w:cstheme="minorHAnsi"/>
          <w:sz w:val="22"/>
          <w:szCs w:val="22"/>
          <w:lang w:val="en-GB"/>
        </w:rPr>
        <w:t>ight</w:t>
      </w:r>
      <w:r w:rsidR="0044325B">
        <w:rPr>
          <w:rFonts w:asciiTheme="minorHAnsi" w:hAnsiTheme="minorHAnsi" w:cstheme="minorHAnsi"/>
          <w:sz w:val="22"/>
          <w:szCs w:val="22"/>
          <w:lang w:val="en-GB"/>
        </w:rPr>
        <w:t xml:space="preserve"> </w:t>
      </w:r>
      <w:r w:rsidR="00531C07" w:rsidRPr="00C91EF0">
        <w:rPr>
          <w:rFonts w:asciiTheme="minorHAnsi" w:hAnsiTheme="minorHAnsi" w:cstheme="minorHAnsi"/>
          <w:sz w:val="22"/>
          <w:szCs w:val="22"/>
          <w:lang w:val="en-GB"/>
        </w:rPr>
        <w:t>help</w:t>
      </w:r>
      <w:r w:rsidR="00ED4BE0" w:rsidRPr="00C91EF0">
        <w:rPr>
          <w:rFonts w:asciiTheme="minorHAnsi" w:hAnsiTheme="minorHAnsi" w:cstheme="minorHAnsi"/>
          <w:sz w:val="22"/>
          <w:szCs w:val="22"/>
          <w:lang w:val="en-GB"/>
        </w:rPr>
        <w:t xml:space="preserve"> clinicians</w:t>
      </w:r>
      <w:r w:rsidR="00531C07" w:rsidRPr="00C91EF0">
        <w:rPr>
          <w:rFonts w:asciiTheme="minorHAnsi" w:hAnsiTheme="minorHAnsi" w:cstheme="minorHAnsi"/>
          <w:sz w:val="22"/>
          <w:szCs w:val="22"/>
          <w:lang w:val="en-GB"/>
        </w:rPr>
        <w:t xml:space="preserve"> identify</w:t>
      </w:r>
      <w:r w:rsidR="00C93DC3" w:rsidRPr="00C91EF0">
        <w:rPr>
          <w:rFonts w:asciiTheme="minorHAnsi" w:hAnsiTheme="minorHAnsi" w:cstheme="minorHAnsi"/>
          <w:sz w:val="22"/>
          <w:szCs w:val="22"/>
          <w:lang w:val="en-GB"/>
        </w:rPr>
        <w:t xml:space="preserve"> </w:t>
      </w:r>
      <w:r w:rsidR="00D77A46" w:rsidRPr="00C91EF0">
        <w:rPr>
          <w:rFonts w:asciiTheme="minorHAnsi" w:hAnsiTheme="minorHAnsi" w:cstheme="minorHAnsi"/>
          <w:sz w:val="22"/>
          <w:szCs w:val="22"/>
          <w:lang w:val="en-GB"/>
        </w:rPr>
        <w:t xml:space="preserve">older patients at </w:t>
      </w:r>
      <w:r w:rsidR="00C93DC3" w:rsidRPr="00C91EF0">
        <w:rPr>
          <w:rFonts w:asciiTheme="minorHAnsi" w:hAnsiTheme="minorHAnsi" w:cstheme="minorHAnsi"/>
          <w:sz w:val="22"/>
          <w:szCs w:val="22"/>
          <w:lang w:val="en-GB"/>
        </w:rPr>
        <w:t>high-risk</w:t>
      </w:r>
      <w:r w:rsidR="00D77A46" w:rsidRPr="00C91EF0">
        <w:rPr>
          <w:rFonts w:asciiTheme="minorHAnsi" w:hAnsiTheme="minorHAnsi" w:cstheme="minorHAnsi"/>
          <w:sz w:val="22"/>
          <w:szCs w:val="22"/>
          <w:lang w:val="en-GB"/>
        </w:rPr>
        <w:t xml:space="preserve"> </w:t>
      </w:r>
      <w:r w:rsidR="0044325B">
        <w:rPr>
          <w:rFonts w:asciiTheme="minorHAnsi" w:hAnsiTheme="minorHAnsi" w:cstheme="minorHAnsi"/>
          <w:sz w:val="22"/>
          <w:szCs w:val="22"/>
          <w:lang w:val="en-GB"/>
        </w:rPr>
        <w:t xml:space="preserve">of </w:t>
      </w:r>
      <w:proofErr w:type="spellStart"/>
      <w:r w:rsidR="00044E64">
        <w:rPr>
          <w:rFonts w:asciiTheme="minorHAnsi" w:hAnsiTheme="minorHAnsi" w:cstheme="minorHAnsi"/>
          <w:sz w:val="22"/>
          <w:szCs w:val="22"/>
          <w:lang w:val="en-GB"/>
        </w:rPr>
        <w:t>d</w:t>
      </w:r>
      <w:r w:rsidR="00D77A46" w:rsidRPr="00C91EF0">
        <w:rPr>
          <w:rFonts w:asciiTheme="minorHAnsi" w:hAnsiTheme="minorHAnsi" w:cstheme="minorHAnsi"/>
          <w:sz w:val="22"/>
          <w:szCs w:val="22"/>
          <w:lang w:val="en-GB"/>
        </w:rPr>
        <w:t>HRQoL</w:t>
      </w:r>
      <w:proofErr w:type="spellEnd"/>
      <w:r w:rsidR="00D77A46" w:rsidRPr="00C91EF0">
        <w:rPr>
          <w:rFonts w:asciiTheme="minorHAnsi" w:hAnsiTheme="minorHAnsi" w:cstheme="minorHAnsi"/>
          <w:sz w:val="22"/>
          <w:szCs w:val="22"/>
          <w:lang w:val="en-GB"/>
        </w:rPr>
        <w:t xml:space="preserve">. </w:t>
      </w:r>
    </w:p>
    <w:p w14:paraId="569D899C" w14:textId="77777777" w:rsidR="004C483B" w:rsidRPr="00C91EF0" w:rsidRDefault="00392ABA" w:rsidP="00797677">
      <w:pPr>
        <w:spacing w:line="480" w:lineRule="auto"/>
        <w:rPr>
          <w:rFonts w:asciiTheme="minorHAnsi" w:hAnsiTheme="minorHAnsi" w:cstheme="minorHAnsi"/>
          <w:sz w:val="22"/>
          <w:szCs w:val="22"/>
          <w:lang w:val="en-GB"/>
        </w:rPr>
      </w:pPr>
      <w:r w:rsidRPr="00C91EF0">
        <w:rPr>
          <w:rFonts w:asciiTheme="minorHAnsi" w:hAnsiTheme="minorHAnsi" w:cstheme="minorHAnsi"/>
          <w:b/>
          <w:sz w:val="22"/>
          <w:szCs w:val="22"/>
          <w:lang w:val="en-GB"/>
        </w:rPr>
        <w:t xml:space="preserve">Registration </w:t>
      </w:r>
      <w:r w:rsidRPr="00C91EF0">
        <w:rPr>
          <w:rFonts w:asciiTheme="minorHAnsi" w:hAnsiTheme="minorHAnsi" w:cstheme="minorHAnsi"/>
          <w:sz w:val="22"/>
          <w:szCs w:val="22"/>
          <w:lang w:val="en-GB"/>
        </w:rPr>
        <w:t>- PROSPERO ID: CRD42018088129</w:t>
      </w:r>
    </w:p>
    <w:p w14:paraId="74B50042" w14:textId="77777777" w:rsidR="004C483B" w:rsidRPr="00C91EF0" w:rsidRDefault="004C483B" w:rsidP="00797677">
      <w:pPr>
        <w:spacing w:line="480" w:lineRule="auto"/>
        <w:rPr>
          <w:rFonts w:asciiTheme="minorHAnsi" w:hAnsiTheme="minorHAnsi" w:cstheme="minorHAnsi"/>
          <w:sz w:val="22"/>
          <w:szCs w:val="22"/>
          <w:lang w:val="en-GB"/>
        </w:rPr>
      </w:pPr>
      <w:r w:rsidRPr="00C91EF0">
        <w:rPr>
          <w:rFonts w:asciiTheme="minorHAnsi" w:hAnsiTheme="minorHAnsi" w:cstheme="minorHAnsi"/>
          <w:b/>
          <w:sz w:val="22"/>
          <w:szCs w:val="22"/>
          <w:lang w:val="en-GB"/>
        </w:rPr>
        <w:t xml:space="preserve">Keywords </w:t>
      </w:r>
      <w:r w:rsidRPr="00C91EF0">
        <w:rPr>
          <w:rFonts w:asciiTheme="minorHAnsi" w:hAnsiTheme="minorHAnsi" w:cstheme="minorHAnsi"/>
          <w:sz w:val="22"/>
          <w:szCs w:val="22"/>
          <w:lang w:val="en-GB"/>
        </w:rPr>
        <w:t xml:space="preserve">– </w:t>
      </w:r>
    </w:p>
    <w:p w14:paraId="5ED7D4F8" w14:textId="7B43F807" w:rsidR="00CD28B8" w:rsidRPr="00C91EF0" w:rsidRDefault="00CD28B8" w:rsidP="00797677">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Multimorbidity, polypharmacy, elderly, patient-</w:t>
      </w:r>
      <w:r w:rsidR="0047404F" w:rsidRPr="00C91EF0">
        <w:rPr>
          <w:rFonts w:asciiTheme="minorHAnsi" w:hAnsiTheme="minorHAnsi" w:cstheme="minorHAnsi"/>
          <w:sz w:val="22"/>
          <w:szCs w:val="22"/>
          <w:lang w:val="en-GB"/>
        </w:rPr>
        <w:t>centred</w:t>
      </w:r>
      <w:r w:rsidRPr="00C91EF0">
        <w:rPr>
          <w:rFonts w:asciiTheme="minorHAnsi" w:hAnsiTheme="minorHAnsi" w:cstheme="minorHAnsi"/>
          <w:sz w:val="22"/>
          <w:szCs w:val="22"/>
          <w:lang w:val="en-GB"/>
        </w:rPr>
        <w:t xml:space="preserve"> care, quality of life, </w:t>
      </w:r>
      <w:r w:rsidR="00436940">
        <w:rPr>
          <w:rFonts w:asciiTheme="minorHAnsi" w:hAnsiTheme="minorHAnsi" w:cstheme="minorHAnsi"/>
          <w:sz w:val="22"/>
          <w:szCs w:val="22"/>
          <w:lang w:val="en-GB"/>
        </w:rPr>
        <w:t xml:space="preserve">functional status, </w:t>
      </w:r>
      <w:r w:rsidRPr="00C91EF0">
        <w:rPr>
          <w:rFonts w:asciiTheme="minorHAnsi" w:hAnsiTheme="minorHAnsi" w:cstheme="minorHAnsi"/>
          <w:sz w:val="22"/>
          <w:szCs w:val="22"/>
          <w:lang w:val="en-GB"/>
        </w:rPr>
        <w:t>prognostic model.</w:t>
      </w:r>
    </w:p>
    <w:p w14:paraId="191204A3" w14:textId="77777777" w:rsidR="004C483B" w:rsidRPr="00C91EF0" w:rsidRDefault="004C483B" w:rsidP="00797677">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Running title</w:t>
      </w:r>
    </w:p>
    <w:p w14:paraId="6348B32F" w14:textId="403FDE75" w:rsidR="00CD28B8" w:rsidRPr="00C91EF0" w:rsidRDefault="00CD28B8" w:rsidP="00797677">
      <w:pPr>
        <w:spacing w:line="480" w:lineRule="auto"/>
        <w:rPr>
          <w:rFonts w:asciiTheme="minorHAnsi" w:hAnsiTheme="minorHAnsi" w:cstheme="minorHAnsi"/>
          <w:bCs/>
          <w:sz w:val="22"/>
          <w:szCs w:val="22"/>
          <w:lang w:val="en-GB"/>
        </w:rPr>
      </w:pPr>
      <w:r w:rsidRPr="00C91EF0">
        <w:rPr>
          <w:rFonts w:asciiTheme="minorHAnsi" w:hAnsiTheme="minorHAnsi" w:cstheme="minorHAnsi"/>
          <w:bCs/>
          <w:sz w:val="22"/>
          <w:szCs w:val="22"/>
          <w:lang w:val="en-GB"/>
        </w:rPr>
        <w:t xml:space="preserve">A prognostic model to predict </w:t>
      </w:r>
      <w:r w:rsidR="00044E64">
        <w:rPr>
          <w:rFonts w:asciiTheme="minorHAnsi" w:hAnsiTheme="minorHAnsi" w:cstheme="minorHAnsi"/>
          <w:bCs/>
          <w:sz w:val="22"/>
          <w:szCs w:val="22"/>
          <w:lang w:val="en-GB"/>
        </w:rPr>
        <w:t xml:space="preserve">deterioration in </w:t>
      </w:r>
      <w:r w:rsidRPr="00C91EF0">
        <w:rPr>
          <w:rFonts w:asciiTheme="minorHAnsi" w:hAnsiTheme="minorHAnsi" w:cstheme="minorHAnsi"/>
          <w:bCs/>
          <w:sz w:val="22"/>
          <w:szCs w:val="22"/>
          <w:lang w:val="en-GB"/>
        </w:rPr>
        <w:t>health-related quality of life</w:t>
      </w:r>
      <w:r w:rsidR="001B7CDF" w:rsidRPr="00C91EF0">
        <w:rPr>
          <w:rFonts w:asciiTheme="minorHAnsi" w:hAnsiTheme="minorHAnsi" w:cstheme="minorHAnsi"/>
          <w:bCs/>
          <w:sz w:val="22"/>
          <w:szCs w:val="22"/>
          <w:lang w:val="en-GB"/>
        </w:rPr>
        <w:t xml:space="preserve"> in older patients with multimorbidity and polypharmacy</w:t>
      </w:r>
      <w:r w:rsidRPr="00C91EF0">
        <w:rPr>
          <w:rFonts w:asciiTheme="minorHAnsi" w:hAnsiTheme="minorHAnsi" w:cstheme="minorHAnsi"/>
          <w:bCs/>
          <w:sz w:val="22"/>
          <w:szCs w:val="22"/>
          <w:lang w:val="en-GB"/>
        </w:rPr>
        <w:t>.</w:t>
      </w:r>
    </w:p>
    <w:p w14:paraId="770F0755" w14:textId="77777777" w:rsidR="00526374" w:rsidRPr="00C91EF0" w:rsidRDefault="004C483B" w:rsidP="00797677">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Word count</w:t>
      </w:r>
      <w:bookmarkStart w:id="4" w:name="_GoBack"/>
      <w:bookmarkEnd w:id="4"/>
    </w:p>
    <w:p w14:paraId="16995259" w14:textId="16E5C7FF" w:rsidR="00392ABA" w:rsidRPr="00E4648C" w:rsidRDefault="00A269B9" w:rsidP="00797677">
      <w:pPr>
        <w:spacing w:line="480" w:lineRule="auto"/>
        <w:rPr>
          <w:rFonts w:asciiTheme="minorHAnsi" w:hAnsiTheme="minorHAnsi" w:cstheme="minorHAnsi"/>
          <w:sz w:val="22"/>
          <w:szCs w:val="22"/>
          <w:lang w:val="en-GB"/>
        </w:rPr>
      </w:pPr>
      <w:r w:rsidRPr="00A269B9">
        <w:rPr>
          <w:rFonts w:asciiTheme="minorHAnsi" w:hAnsiTheme="minorHAnsi" w:cstheme="minorHAnsi"/>
          <w:sz w:val="22"/>
          <w:szCs w:val="22"/>
          <w:lang w:val="en-GB"/>
        </w:rPr>
        <w:lastRenderedPageBreak/>
        <w:t>3</w:t>
      </w:r>
      <w:r w:rsidR="00A65EEE">
        <w:rPr>
          <w:rFonts w:asciiTheme="minorHAnsi" w:hAnsiTheme="minorHAnsi" w:cstheme="minorHAnsi"/>
          <w:sz w:val="22"/>
          <w:szCs w:val="22"/>
          <w:lang w:val="en-GB"/>
        </w:rPr>
        <w:t>671</w:t>
      </w:r>
      <w:r w:rsidR="00392ABA" w:rsidRPr="00E4648C">
        <w:rPr>
          <w:rFonts w:asciiTheme="minorHAnsi" w:hAnsiTheme="minorHAnsi" w:cstheme="minorHAnsi"/>
          <w:sz w:val="22"/>
          <w:szCs w:val="22"/>
          <w:lang w:val="en-GB"/>
        </w:rPr>
        <w:br w:type="page"/>
      </w:r>
    </w:p>
    <w:p w14:paraId="12F8ED96" w14:textId="571FDF93" w:rsidR="00E172C6" w:rsidRPr="00C91EF0" w:rsidRDefault="004C483B" w:rsidP="00875C0D">
      <w:pPr>
        <w:spacing w:line="480" w:lineRule="auto"/>
        <w:jc w:val="both"/>
        <w:rPr>
          <w:rFonts w:asciiTheme="minorHAnsi" w:hAnsiTheme="minorHAnsi" w:cstheme="minorHAnsi"/>
          <w:b/>
          <w:color w:val="4472C4" w:themeColor="accent1"/>
          <w:sz w:val="22"/>
          <w:szCs w:val="22"/>
          <w:lang w:val="en-GB"/>
        </w:rPr>
      </w:pPr>
      <w:r w:rsidRPr="00C91EF0">
        <w:rPr>
          <w:rFonts w:asciiTheme="minorHAnsi" w:hAnsiTheme="minorHAnsi" w:cstheme="minorHAnsi"/>
          <w:b/>
          <w:sz w:val="22"/>
          <w:szCs w:val="22"/>
          <w:lang w:val="en-GB"/>
        </w:rPr>
        <w:lastRenderedPageBreak/>
        <w:t>W</w:t>
      </w:r>
      <w:r w:rsidR="000363B5">
        <w:rPr>
          <w:rFonts w:asciiTheme="minorHAnsi" w:hAnsiTheme="minorHAnsi" w:cstheme="minorHAnsi"/>
          <w:b/>
          <w:sz w:val="22"/>
          <w:szCs w:val="22"/>
          <w:lang w:val="en-GB"/>
        </w:rPr>
        <w:t>HAT IS NEW</w:t>
      </w:r>
    </w:p>
    <w:p w14:paraId="72BF5161" w14:textId="77777777" w:rsidR="00C0201F" w:rsidRPr="00C91EF0" w:rsidRDefault="00C0201F" w:rsidP="001B7CDF">
      <w:pPr>
        <w:spacing w:line="480" w:lineRule="auto"/>
        <w:rPr>
          <w:rFonts w:asciiTheme="minorHAnsi" w:hAnsiTheme="minorHAnsi" w:cstheme="minorHAnsi"/>
          <w:bCs/>
          <w:i/>
          <w:iCs/>
          <w:sz w:val="22"/>
          <w:szCs w:val="22"/>
          <w:lang w:val="en-GB"/>
        </w:rPr>
      </w:pPr>
      <w:r w:rsidRPr="00C91EF0">
        <w:rPr>
          <w:rFonts w:asciiTheme="minorHAnsi" w:hAnsiTheme="minorHAnsi" w:cstheme="minorHAnsi"/>
          <w:bCs/>
          <w:i/>
          <w:iCs/>
          <w:sz w:val="22"/>
          <w:szCs w:val="22"/>
          <w:lang w:val="en-GB"/>
        </w:rPr>
        <w:t>Key findings</w:t>
      </w:r>
    </w:p>
    <w:p w14:paraId="30A1F7CA" w14:textId="6C3CD908" w:rsidR="00C0201F" w:rsidRPr="00C91EF0" w:rsidRDefault="00C0201F" w:rsidP="001B7CDF">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The PROPERmed prognostic model </w:t>
      </w:r>
      <w:r w:rsidR="00044E64">
        <w:rPr>
          <w:rFonts w:asciiTheme="minorHAnsi" w:hAnsiTheme="minorHAnsi" w:cstheme="minorHAnsi"/>
          <w:sz w:val="22"/>
          <w:szCs w:val="22"/>
          <w:lang w:val="en-GB"/>
        </w:rPr>
        <w:t xml:space="preserve">of </w:t>
      </w:r>
      <w:r w:rsidR="00970ED0">
        <w:rPr>
          <w:rFonts w:asciiTheme="minorHAnsi" w:hAnsiTheme="minorHAnsi" w:cstheme="minorHAnsi"/>
          <w:sz w:val="22"/>
          <w:szCs w:val="22"/>
          <w:lang w:val="en-GB"/>
        </w:rPr>
        <w:t xml:space="preserve">future </w:t>
      </w:r>
      <w:r w:rsidR="00044E64">
        <w:rPr>
          <w:rFonts w:asciiTheme="minorHAnsi" w:hAnsiTheme="minorHAnsi" w:cstheme="minorHAnsi"/>
          <w:sz w:val="22"/>
          <w:szCs w:val="22"/>
          <w:lang w:val="en-GB"/>
        </w:rPr>
        <w:t xml:space="preserve">deterioration in </w:t>
      </w:r>
      <w:r w:rsidR="00A329F0" w:rsidRPr="00C91EF0">
        <w:rPr>
          <w:rFonts w:asciiTheme="minorHAnsi" w:hAnsiTheme="minorHAnsi" w:cstheme="minorHAnsi"/>
          <w:sz w:val="22"/>
          <w:szCs w:val="22"/>
          <w:lang w:val="en-GB"/>
        </w:rPr>
        <w:t>health-related quality of life in older patients with multiple conditions and medication</w:t>
      </w:r>
      <w:r w:rsidR="006C3410">
        <w:rPr>
          <w:rFonts w:asciiTheme="minorHAnsi" w:hAnsiTheme="minorHAnsi" w:cstheme="minorHAnsi"/>
          <w:sz w:val="22"/>
          <w:szCs w:val="22"/>
          <w:lang w:val="en-GB"/>
        </w:rPr>
        <w:t>s</w:t>
      </w:r>
      <w:r w:rsidR="00A329F0"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performed well in discrimination, calibration</w:t>
      </w:r>
      <w:r w:rsidR="009034F9"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and</w:t>
      </w:r>
      <w:r w:rsidR="001B26ED">
        <w:rPr>
          <w:rFonts w:asciiTheme="minorHAnsi" w:hAnsiTheme="minorHAnsi" w:cstheme="minorHAnsi"/>
          <w:sz w:val="22"/>
          <w:szCs w:val="22"/>
          <w:lang w:val="en-GB"/>
        </w:rPr>
        <w:t xml:space="preserve"> showed p</w:t>
      </w:r>
      <w:r w:rsidR="00E4648C">
        <w:rPr>
          <w:rFonts w:asciiTheme="minorHAnsi" w:hAnsiTheme="minorHAnsi" w:cstheme="minorHAnsi"/>
          <w:sz w:val="22"/>
          <w:szCs w:val="22"/>
          <w:lang w:val="en-GB"/>
        </w:rPr>
        <w:t>romising</w:t>
      </w:r>
      <w:r w:rsidRPr="00C91EF0">
        <w:rPr>
          <w:rFonts w:asciiTheme="minorHAnsi" w:hAnsiTheme="minorHAnsi" w:cstheme="minorHAnsi"/>
          <w:sz w:val="22"/>
          <w:szCs w:val="22"/>
          <w:lang w:val="en-GB"/>
        </w:rPr>
        <w:t xml:space="preserve"> </w:t>
      </w:r>
      <w:r w:rsidR="009B3E47" w:rsidRPr="00C91EF0">
        <w:rPr>
          <w:rFonts w:asciiTheme="minorHAnsi" w:hAnsiTheme="minorHAnsi" w:cstheme="minorHAnsi"/>
          <w:sz w:val="22"/>
          <w:szCs w:val="22"/>
          <w:lang w:val="en-GB"/>
        </w:rPr>
        <w:t>generalizability</w:t>
      </w:r>
      <w:r w:rsidRPr="00C91EF0">
        <w:rPr>
          <w:rFonts w:asciiTheme="minorHAnsi" w:hAnsiTheme="minorHAnsi" w:cstheme="minorHAnsi"/>
          <w:sz w:val="22"/>
          <w:szCs w:val="22"/>
          <w:lang w:val="en-GB"/>
        </w:rPr>
        <w:t>.</w:t>
      </w:r>
    </w:p>
    <w:p w14:paraId="50ABDC78" w14:textId="486FFC0B" w:rsidR="00A329F0" w:rsidRPr="00C91EF0" w:rsidRDefault="00A329F0" w:rsidP="001B7CDF">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The </w:t>
      </w:r>
      <w:r w:rsidR="009B3E47" w:rsidRPr="00C91EF0">
        <w:rPr>
          <w:rFonts w:asciiTheme="minorHAnsi" w:hAnsiTheme="minorHAnsi" w:cstheme="minorHAnsi"/>
          <w:sz w:val="22"/>
          <w:szCs w:val="22"/>
          <w:lang w:val="en-GB"/>
        </w:rPr>
        <w:t>strongest predictors</w:t>
      </w:r>
      <w:r w:rsidRPr="00C91EF0">
        <w:rPr>
          <w:rFonts w:asciiTheme="minorHAnsi" w:hAnsiTheme="minorHAnsi" w:cstheme="minorHAnsi"/>
          <w:sz w:val="22"/>
          <w:szCs w:val="22"/>
          <w:lang w:val="en-GB"/>
        </w:rPr>
        <w:t xml:space="preserve"> </w:t>
      </w:r>
      <w:r w:rsidR="006C3410">
        <w:rPr>
          <w:rFonts w:asciiTheme="minorHAnsi" w:hAnsiTheme="minorHAnsi" w:cstheme="minorHAnsi"/>
          <w:sz w:val="22"/>
          <w:szCs w:val="22"/>
          <w:lang w:val="en-GB"/>
        </w:rPr>
        <w:t xml:space="preserve">in </w:t>
      </w:r>
      <w:r w:rsidRPr="00C91EF0">
        <w:rPr>
          <w:rFonts w:asciiTheme="minorHAnsi" w:hAnsiTheme="minorHAnsi" w:cstheme="minorHAnsi"/>
          <w:sz w:val="22"/>
          <w:szCs w:val="22"/>
          <w:lang w:val="en-GB"/>
        </w:rPr>
        <w:t xml:space="preserve">the model </w:t>
      </w:r>
      <w:r w:rsidR="009B3E47" w:rsidRPr="00C91EF0">
        <w:rPr>
          <w:rFonts w:asciiTheme="minorHAnsi" w:hAnsiTheme="minorHAnsi" w:cstheme="minorHAnsi"/>
          <w:sz w:val="22"/>
          <w:szCs w:val="22"/>
          <w:lang w:val="en-GB"/>
        </w:rPr>
        <w:t>were</w:t>
      </w:r>
      <w:r w:rsidRPr="00C91EF0">
        <w:rPr>
          <w:rFonts w:asciiTheme="minorHAnsi" w:hAnsiTheme="minorHAnsi" w:cstheme="minorHAnsi"/>
          <w:sz w:val="22"/>
          <w:szCs w:val="22"/>
          <w:lang w:val="en-GB"/>
        </w:rPr>
        <w:t xml:space="preserve"> health-related quality of life and functional status</w:t>
      </w:r>
      <w:r w:rsidR="00970ED0">
        <w:rPr>
          <w:rFonts w:asciiTheme="minorHAnsi" w:hAnsiTheme="minorHAnsi" w:cstheme="minorHAnsi"/>
          <w:sz w:val="22"/>
          <w:szCs w:val="22"/>
          <w:lang w:val="en-GB"/>
        </w:rPr>
        <w:t xml:space="preserve"> at baseline</w:t>
      </w:r>
      <w:r w:rsidRPr="00C91EF0">
        <w:rPr>
          <w:rFonts w:asciiTheme="minorHAnsi" w:hAnsiTheme="minorHAnsi" w:cstheme="minorHAnsi"/>
          <w:sz w:val="22"/>
          <w:szCs w:val="22"/>
          <w:lang w:val="en-GB"/>
        </w:rPr>
        <w:t>.</w:t>
      </w:r>
    </w:p>
    <w:p w14:paraId="6C35CA7F" w14:textId="77777777" w:rsidR="00C0201F" w:rsidRPr="00C91EF0" w:rsidRDefault="00C0201F" w:rsidP="00E172C6">
      <w:pPr>
        <w:spacing w:line="480" w:lineRule="auto"/>
        <w:jc w:val="both"/>
        <w:rPr>
          <w:rFonts w:asciiTheme="minorHAnsi" w:hAnsiTheme="minorHAnsi" w:cstheme="minorHAnsi"/>
          <w:bCs/>
          <w:sz w:val="22"/>
          <w:szCs w:val="22"/>
          <w:lang w:val="en-GB"/>
        </w:rPr>
      </w:pPr>
    </w:p>
    <w:p w14:paraId="66A66158" w14:textId="190D88E1" w:rsidR="00A329F0" w:rsidRPr="00C91EF0" w:rsidRDefault="00A329F0" w:rsidP="00E172C6">
      <w:pPr>
        <w:spacing w:line="480" w:lineRule="auto"/>
        <w:jc w:val="both"/>
        <w:rPr>
          <w:rFonts w:asciiTheme="minorHAnsi" w:hAnsiTheme="minorHAnsi" w:cstheme="minorHAnsi"/>
          <w:bCs/>
          <w:i/>
          <w:iCs/>
          <w:sz w:val="22"/>
          <w:szCs w:val="22"/>
          <w:lang w:val="en-GB"/>
        </w:rPr>
      </w:pPr>
      <w:r w:rsidRPr="00C91EF0">
        <w:rPr>
          <w:rFonts w:asciiTheme="minorHAnsi" w:hAnsiTheme="minorHAnsi" w:cstheme="minorHAnsi"/>
          <w:bCs/>
          <w:i/>
          <w:iCs/>
          <w:sz w:val="22"/>
          <w:szCs w:val="22"/>
          <w:lang w:val="en-GB"/>
        </w:rPr>
        <w:t xml:space="preserve">What </w:t>
      </w:r>
      <w:r w:rsidR="006C3410">
        <w:rPr>
          <w:rFonts w:asciiTheme="minorHAnsi" w:hAnsiTheme="minorHAnsi" w:cstheme="minorHAnsi"/>
          <w:bCs/>
          <w:i/>
          <w:iCs/>
          <w:sz w:val="22"/>
          <w:szCs w:val="22"/>
          <w:lang w:val="en-GB"/>
        </w:rPr>
        <w:t xml:space="preserve">does </w:t>
      </w:r>
      <w:r w:rsidRPr="00C91EF0">
        <w:rPr>
          <w:rFonts w:asciiTheme="minorHAnsi" w:hAnsiTheme="minorHAnsi" w:cstheme="minorHAnsi"/>
          <w:bCs/>
          <w:i/>
          <w:iCs/>
          <w:sz w:val="22"/>
          <w:szCs w:val="22"/>
          <w:lang w:val="en-GB"/>
        </w:rPr>
        <w:t xml:space="preserve">this add to what is </w:t>
      </w:r>
      <w:r w:rsidR="00044E64">
        <w:rPr>
          <w:rFonts w:asciiTheme="minorHAnsi" w:hAnsiTheme="minorHAnsi" w:cstheme="minorHAnsi"/>
          <w:bCs/>
          <w:i/>
          <w:iCs/>
          <w:sz w:val="22"/>
          <w:szCs w:val="22"/>
          <w:lang w:val="en-GB"/>
        </w:rPr>
        <w:t xml:space="preserve">already </w:t>
      </w:r>
      <w:r w:rsidRPr="00C91EF0">
        <w:rPr>
          <w:rFonts w:asciiTheme="minorHAnsi" w:hAnsiTheme="minorHAnsi" w:cstheme="minorHAnsi"/>
          <w:bCs/>
          <w:i/>
          <w:iCs/>
          <w:sz w:val="22"/>
          <w:szCs w:val="22"/>
          <w:lang w:val="en-GB"/>
        </w:rPr>
        <w:t>known</w:t>
      </w:r>
      <w:r w:rsidR="00970ED0">
        <w:rPr>
          <w:rFonts w:asciiTheme="minorHAnsi" w:hAnsiTheme="minorHAnsi" w:cstheme="minorHAnsi"/>
          <w:bCs/>
          <w:i/>
          <w:iCs/>
          <w:sz w:val="22"/>
          <w:szCs w:val="22"/>
          <w:lang w:val="en-GB"/>
        </w:rPr>
        <w:t>?</w:t>
      </w:r>
    </w:p>
    <w:p w14:paraId="17F16CE0" w14:textId="6F7FC42E" w:rsidR="00E172C6" w:rsidRPr="00C91EF0" w:rsidRDefault="00A41525" w:rsidP="001B7CDF">
      <w:pPr>
        <w:spacing w:line="480" w:lineRule="auto"/>
        <w:rPr>
          <w:rFonts w:asciiTheme="minorHAnsi" w:hAnsiTheme="minorHAnsi" w:cstheme="minorHAnsi"/>
          <w:sz w:val="22"/>
          <w:szCs w:val="22"/>
          <w:lang w:val="en-GB"/>
        </w:rPr>
      </w:pPr>
      <w:proofErr w:type="spellStart"/>
      <w:r w:rsidRPr="00C91EF0">
        <w:rPr>
          <w:rFonts w:asciiTheme="minorHAnsi" w:hAnsiTheme="minorHAnsi" w:cstheme="minorHAnsi"/>
          <w:bCs/>
          <w:sz w:val="22"/>
          <w:szCs w:val="22"/>
          <w:lang w:val="en-GB"/>
        </w:rPr>
        <w:t>PROPERmed</w:t>
      </w:r>
      <w:r w:rsidR="00E172C6" w:rsidRPr="00C91EF0">
        <w:rPr>
          <w:rFonts w:asciiTheme="minorHAnsi" w:hAnsiTheme="minorHAnsi" w:cstheme="minorHAnsi"/>
          <w:bCs/>
          <w:sz w:val="22"/>
          <w:szCs w:val="22"/>
          <w:lang w:val="en-GB"/>
        </w:rPr>
        <w:t>-</w:t>
      </w:r>
      <w:r w:rsidR="00FA6F92">
        <w:rPr>
          <w:rFonts w:asciiTheme="minorHAnsi" w:hAnsiTheme="minorHAnsi" w:cstheme="minorHAnsi"/>
          <w:bCs/>
          <w:sz w:val="22"/>
          <w:szCs w:val="22"/>
          <w:lang w:val="en-GB"/>
        </w:rPr>
        <w:t>d</w:t>
      </w:r>
      <w:r w:rsidR="00E172C6" w:rsidRPr="00C91EF0">
        <w:rPr>
          <w:rFonts w:asciiTheme="minorHAnsi" w:hAnsiTheme="minorHAnsi" w:cstheme="minorHAnsi"/>
          <w:bCs/>
          <w:sz w:val="22"/>
          <w:szCs w:val="22"/>
          <w:lang w:val="en-GB"/>
        </w:rPr>
        <w:t>HRQoL</w:t>
      </w:r>
      <w:proofErr w:type="spellEnd"/>
      <w:r w:rsidR="00E172C6" w:rsidRPr="00C91EF0">
        <w:rPr>
          <w:rFonts w:asciiTheme="minorHAnsi" w:hAnsiTheme="minorHAnsi" w:cstheme="minorHAnsi"/>
          <w:bCs/>
          <w:sz w:val="22"/>
          <w:szCs w:val="22"/>
          <w:lang w:val="en-GB"/>
        </w:rPr>
        <w:t xml:space="preserve"> is </w:t>
      </w:r>
      <w:r w:rsidR="00F9007E" w:rsidRPr="00C91EF0">
        <w:rPr>
          <w:rFonts w:asciiTheme="minorHAnsi" w:hAnsiTheme="minorHAnsi" w:cstheme="minorHAnsi"/>
          <w:bCs/>
          <w:sz w:val="22"/>
          <w:szCs w:val="22"/>
          <w:lang w:val="en-GB"/>
        </w:rPr>
        <w:t xml:space="preserve">the </w:t>
      </w:r>
      <w:r w:rsidR="00E172C6" w:rsidRPr="00C91EF0">
        <w:rPr>
          <w:rFonts w:asciiTheme="minorHAnsi" w:hAnsiTheme="minorHAnsi" w:cstheme="minorHAnsi"/>
          <w:bCs/>
          <w:sz w:val="22"/>
          <w:szCs w:val="22"/>
          <w:lang w:val="en-GB"/>
        </w:rPr>
        <w:t>first</w:t>
      </w:r>
      <w:r w:rsidR="00E172C6" w:rsidRPr="00C91EF0">
        <w:rPr>
          <w:rFonts w:asciiTheme="minorHAnsi" w:hAnsiTheme="minorHAnsi" w:cstheme="minorHAnsi"/>
          <w:sz w:val="22"/>
          <w:szCs w:val="22"/>
          <w:lang w:val="en-GB"/>
        </w:rPr>
        <w:t xml:space="preserve"> prognostic model to predict </w:t>
      </w:r>
      <w:r w:rsidR="00044E64">
        <w:rPr>
          <w:rFonts w:asciiTheme="minorHAnsi" w:hAnsiTheme="minorHAnsi" w:cstheme="minorHAnsi"/>
          <w:sz w:val="22"/>
          <w:szCs w:val="22"/>
          <w:lang w:val="en-GB"/>
        </w:rPr>
        <w:t xml:space="preserve">deterioration in </w:t>
      </w:r>
      <w:r w:rsidR="00E172C6" w:rsidRPr="00C91EF0">
        <w:rPr>
          <w:rFonts w:asciiTheme="minorHAnsi" w:hAnsiTheme="minorHAnsi" w:cstheme="minorHAnsi"/>
          <w:sz w:val="22"/>
          <w:szCs w:val="22"/>
          <w:lang w:val="en-GB"/>
        </w:rPr>
        <w:t>health-related quality of life in older patients with multiple conditions and medication</w:t>
      </w:r>
      <w:r w:rsidR="006C3410">
        <w:rPr>
          <w:rFonts w:asciiTheme="minorHAnsi" w:hAnsiTheme="minorHAnsi" w:cstheme="minorHAnsi"/>
          <w:sz w:val="22"/>
          <w:szCs w:val="22"/>
          <w:lang w:val="en-GB"/>
        </w:rPr>
        <w:t>s</w:t>
      </w:r>
      <w:r w:rsidRPr="00C91EF0">
        <w:rPr>
          <w:rFonts w:asciiTheme="minorHAnsi" w:hAnsiTheme="minorHAnsi" w:cstheme="minorHAnsi"/>
          <w:sz w:val="22"/>
          <w:szCs w:val="22"/>
          <w:lang w:val="en-GB"/>
        </w:rPr>
        <w:t xml:space="preserve"> </w:t>
      </w:r>
      <w:r w:rsidR="006C3410">
        <w:rPr>
          <w:rFonts w:asciiTheme="minorHAnsi" w:hAnsiTheme="minorHAnsi" w:cstheme="minorHAnsi"/>
          <w:sz w:val="22"/>
          <w:szCs w:val="22"/>
          <w:lang w:val="en-GB"/>
        </w:rPr>
        <w:t xml:space="preserve">that is </w:t>
      </w:r>
      <w:r w:rsidRPr="00C91EF0">
        <w:rPr>
          <w:rFonts w:asciiTheme="minorHAnsi" w:hAnsiTheme="minorHAnsi" w:cstheme="minorHAnsi"/>
          <w:sz w:val="22"/>
          <w:szCs w:val="22"/>
          <w:lang w:val="en-GB"/>
        </w:rPr>
        <w:t>based on an individual pa</w:t>
      </w:r>
      <w:r w:rsidR="00850911">
        <w:rPr>
          <w:rFonts w:asciiTheme="minorHAnsi" w:hAnsiTheme="minorHAnsi" w:cstheme="minorHAnsi"/>
          <w:sz w:val="22"/>
          <w:szCs w:val="22"/>
          <w:lang w:val="en-GB"/>
        </w:rPr>
        <w:t>rticipant</w:t>
      </w:r>
      <w:r w:rsidRPr="00C91EF0">
        <w:rPr>
          <w:rFonts w:asciiTheme="minorHAnsi" w:hAnsiTheme="minorHAnsi" w:cstheme="minorHAnsi"/>
          <w:sz w:val="22"/>
          <w:szCs w:val="22"/>
          <w:lang w:val="en-GB"/>
        </w:rPr>
        <w:t xml:space="preserve"> data meta-analysis</w:t>
      </w:r>
      <w:r w:rsidR="00E172C6" w:rsidRPr="00C91EF0">
        <w:rPr>
          <w:rFonts w:asciiTheme="minorHAnsi" w:hAnsiTheme="minorHAnsi" w:cstheme="minorHAnsi"/>
          <w:sz w:val="22"/>
          <w:szCs w:val="22"/>
          <w:lang w:val="en-GB"/>
        </w:rPr>
        <w:t>.</w:t>
      </w:r>
    </w:p>
    <w:p w14:paraId="23EA832D" w14:textId="77777777" w:rsidR="00E172C6" w:rsidRPr="00C91EF0" w:rsidRDefault="00E172C6" w:rsidP="00E172C6">
      <w:pPr>
        <w:spacing w:line="480" w:lineRule="auto"/>
        <w:jc w:val="both"/>
        <w:rPr>
          <w:rFonts w:asciiTheme="minorHAnsi" w:hAnsiTheme="minorHAnsi" w:cstheme="minorHAnsi"/>
          <w:sz w:val="22"/>
          <w:szCs w:val="22"/>
          <w:lang w:val="en-GB"/>
        </w:rPr>
      </w:pPr>
    </w:p>
    <w:p w14:paraId="76B718DB" w14:textId="77777777" w:rsidR="00E172C6" w:rsidRPr="00C91EF0" w:rsidRDefault="00C0201F" w:rsidP="00E172C6">
      <w:pPr>
        <w:spacing w:line="480" w:lineRule="auto"/>
        <w:jc w:val="both"/>
        <w:rPr>
          <w:rFonts w:asciiTheme="minorHAnsi" w:hAnsiTheme="minorHAnsi" w:cstheme="minorHAnsi"/>
          <w:i/>
          <w:iCs/>
          <w:sz w:val="22"/>
          <w:szCs w:val="22"/>
          <w:lang w:val="en-GB"/>
        </w:rPr>
      </w:pPr>
      <w:r w:rsidRPr="00C91EF0">
        <w:rPr>
          <w:rFonts w:asciiTheme="minorHAnsi" w:hAnsiTheme="minorHAnsi" w:cstheme="minorHAnsi"/>
          <w:i/>
          <w:iCs/>
          <w:sz w:val="22"/>
          <w:szCs w:val="22"/>
          <w:lang w:val="en-GB"/>
        </w:rPr>
        <w:t>What is the implication, what should change now?</w:t>
      </w:r>
    </w:p>
    <w:p w14:paraId="69417CA5" w14:textId="5496E402" w:rsidR="00C0201F" w:rsidRPr="00C91EF0" w:rsidRDefault="00A329F0" w:rsidP="00E172C6">
      <w:pPr>
        <w:spacing w:line="480" w:lineRule="auto"/>
        <w:jc w:val="both"/>
        <w:rPr>
          <w:rFonts w:asciiTheme="minorHAnsi" w:hAnsiTheme="minorHAnsi" w:cstheme="minorHAnsi"/>
          <w:sz w:val="22"/>
          <w:szCs w:val="22"/>
          <w:lang w:val="en-GB"/>
        </w:rPr>
      </w:pPr>
      <w:r w:rsidRPr="00C91EF0">
        <w:rPr>
          <w:rFonts w:asciiTheme="minorHAnsi" w:hAnsiTheme="minorHAnsi" w:cstheme="minorHAnsi"/>
          <w:sz w:val="22"/>
          <w:szCs w:val="22"/>
          <w:lang w:val="en-GB"/>
        </w:rPr>
        <w:t>External validation</w:t>
      </w:r>
      <w:r w:rsidR="009034F9" w:rsidRPr="00C91EF0">
        <w:rPr>
          <w:rFonts w:asciiTheme="minorHAnsi" w:hAnsiTheme="minorHAnsi" w:cstheme="minorHAnsi"/>
          <w:sz w:val="22"/>
          <w:szCs w:val="22"/>
          <w:lang w:val="en-GB"/>
        </w:rPr>
        <w:t xml:space="preserve"> studies</w:t>
      </w:r>
      <w:r w:rsidRPr="00C91EF0">
        <w:rPr>
          <w:rFonts w:asciiTheme="minorHAnsi" w:hAnsiTheme="minorHAnsi" w:cstheme="minorHAnsi"/>
          <w:sz w:val="22"/>
          <w:szCs w:val="22"/>
          <w:lang w:val="en-GB"/>
        </w:rPr>
        <w:t xml:space="preserve"> </w:t>
      </w:r>
      <w:r w:rsidR="003E62F8" w:rsidRPr="00C91EF0">
        <w:rPr>
          <w:rFonts w:asciiTheme="minorHAnsi" w:hAnsiTheme="minorHAnsi" w:cstheme="minorHAnsi"/>
          <w:sz w:val="22"/>
          <w:szCs w:val="22"/>
          <w:lang w:val="en-GB"/>
        </w:rPr>
        <w:t>sh</w:t>
      </w:r>
      <w:r w:rsidRPr="00C91EF0">
        <w:rPr>
          <w:rFonts w:asciiTheme="minorHAnsi" w:hAnsiTheme="minorHAnsi" w:cstheme="minorHAnsi"/>
          <w:sz w:val="22"/>
          <w:szCs w:val="22"/>
          <w:lang w:val="en-GB"/>
        </w:rPr>
        <w:t xml:space="preserve">ould </w:t>
      </w:r>
      <w:r w:rsidR="009034F9" w:rsidRPr="00C91EF0">
        <w:rPr>
          <w:rFonts w:asciiTheme="minorHAnsi" w:hAnsiTheme="minorHAnsi" w:cstheme="minorHAnsi"/>
          <w:sz w:val="22"/>
          <w:szCs w:val="22"/>
          <w:lang w:val="en-GB"/>
        </w:rPr>
        <w:t>confirm</w:t>
      </w:r>
      <w:r w:rsidRPr="00C91EF0">
        <w:rPr>
          <w:rFonts w:asciiTheme="minorHAnsi" w:hAnsiTheme="minorHAnsi" w:cstheme="minorHAnsi"/>
          <w:sz w:val="22"/>
          <w:szCs w:val="22"/>
          <w:lang w:val="en-GB"/>
        </w:rPr>
        <w:t xml:space="preserve"> generalizability</w:t>
      </w:r>
      <w:r w:rsidR="009034F9" w:rsidRPr="00C91EF0">
        <w:rPr>
          <w:rFonts w:asciiTheme="minorHAnsi" w:hAnsiTheme="minorHAnsi" w:cstheme="minorHAnsi"/>
          <w:sz w:val="22"/>
          <w:szCs w:val="22"/>
          <w:lang w:val="en-GB"/>
        </w:rPr>
        <w:t xml:space="preserve"> beyond internal-external cross-validation</w:t>
      </w:r>
      <w:r w:rsidRPr="00C91EF0">
        <w:rPr>
          <w:rFonts w:asciiTheme="minorHAnsi" w:hAnsiTheme="minorHAnsi" w:cstheme="minorHAnsi"/>
          <w:sz w:val="22"/>
          <w:szCs w:val="22"/>
          <w:lang w:val="en-GB"/>
        </w:rPr>
        <w:t>.</w:t>
      </w:r>
    </w:p>
    <w:p w14:paraId="1057C626" w14:textId="143A7EC7" w:rsidR="00E172C6" w:rsidRDefault="00941B38" w:rsidP="00E172C6">
      <w:pPr>
        <w:spacing w:line="480" w:lineRule="auto"/>
        <w:jc w:val="both"/>
        <w:rPr>
          <w:rFonts w:asciiTheme="minorHAnsi" w:hAnsiTheme="minorHAnsi" w:cstheme="minorHAnsi"/>
          <w:sz w:val="22"/>
          <w:szCs w:val="22"/>
          <w:lang w:val="en-GB"/>
        </w:rPr>
      </w:pPr>
      <w:r>
        <w:rPr>
          <w:rFonts w:asciiTheme="minorHAnsi" w:hAnsiTheme="minorHAnsi" w:cstheme="minorHAnsi"/>
          <w:sz w:val="22"/>
          <w:szCs w:val="22"/>
          <w:lang w:val="en-GB"/>
        </w:rPr>
        <w:t>Measures</w:t>
      </w:r>
      <w:r w:rsidR="006C3410">
        <w:rPr>
          <w:rFonts w:asciiTheme="minorHAnsi" w:hAnsiTheme="minorHAnsi" w:cstheme="minorHAnsi"/>
          <w:sz w:val="22"/>
          <w:szCs w:val="22"/>
          <w:lang w:val="en-GB"/>
        </w:rPr>
        <w:t xml:space="preserve"> of </w:t>
      </w:r>
      <w:r w:rsidR="006C3410" w:rsidRPr="00C91EF0">
        <w:rPr>
          <w:rFonts w:asciiTheme="minorHAnsi" w:hAnsiTheme="minorHAnsi" w:cstheme="minorHAnsi"/>
          <w:sz w:val="22"/>
          <w:szCs w:val="22"/>
          <w:lang w:val="en-GB"/>
        </w:rPr>
        <w:t>health-related quality of life and functional status</w:t>
      </w:r>
      <w:r w:rsidR="00970ED0">
        <w:rPr>
          <w:rFonts w:asciiTheme="minorHAnsi" w:hAnsiTheme="minorHAnsi" w:cstheme="minorHAnsi"/>
          <w:sz w:val="22"/>
          <w:szCs w:val="22"/>
          <w:lang w:val="en-GB"/>
        </w:rPr>
        <w:t xml:space="preserve"> at baseline</w:t>
      </w:r>
      <w:r w:rsidR="006C3410">
        <w:rPr>
          <w:rFonts w:asciiTheme="minorHAnsi" w:hAnsiTheme="minorHAnsi" w:cstheme="minorHAnsi"/>
          <w:sz w:val="22"/>
          <w:szCs w:val="22"/>
          <w:lang w:val="en-GB"/>
        </w:rPr>
        <w:t xml:space="preserve">, </w:t>
      </w:r>
      <w:r w:rsidR="00970ED0">
        <w:rPr>
          <w:rFonts w:asciiTheme="minorHAnsi" w:hAnsiTheme="minorHAnsi" w:cstheme="minorHAnsi"/>
          <w:sz w:val="22"/>
          <w:szCs w:val="22"/>
          <w:lang w:val="en-GB"/>
        </w:rPr>
        <w:t xml:space="preserve">which proved to be the </w:t>
      </w:r>
      <w:r w:rsidR="00E172C6" w:rsidRPr="00C91EF0">
        <w:rPr>
          <w:rFonts w:asciiTheme="minorHAnsi" w:hAnsiTheme="minorHAnsi" w:cstheme="minorHAnsi"/>
          <w:sz w:val="22"/>
          <w:szCs w:val="22"/>
          <w:lang w:val="en-GB"/>
        </w:rPr>
        <w:t>two prognostic variables</w:t>
      </w:r>
      <w:r w:rsidR="009034F9" w:rsidRPr="00C91EF0">
        <w:rPr>
          <w:rFonts w:asciiTheme="minorHAnsi" w:hAnsiTheme="minorHAnsi" w:cstheme="minorHAnsi"/>
          <w:sz w:val="22"/>
          <w:szCs w:val="22"/>
          <w:lang w:val="en-GB"/>
        </w:rPr>
        <w:t xml:space="preserve"> </w:t>
      </w:r>
      <w:r w:rsidR="006C3410">
        <w:rPr>
          <w:rFonts w:asciiTheme="minorHAnsi" w:hAnsiTheme="minorHAnsi" w:cstheme="minorHAnsi"/>
          <w:sz w:val="22"/>
          <w:szCs w:val="22"/>
          <w:lang w:val="en-GB"/>
        </w:rPr>
        <w:t xml:space="preserve">that are of </w:t>
      </w:r>
      <w:r w:rsidR="009034F9" w:rsidRPr="00C91EF0">
        <w:rPr>
          <w:rFonts w:asciiTheme="minorHAnsi" w:hAnsiTheme="minorHAnsi" w:cstheme="minorHAnsi"/>
          <w:sz w:val="22"/>
          <w:szCs w:val="22"/>
          <w:lang w:val="en-GB"/>
        </w:rPr>
        <w:t xml:space="preserve">outstanding relative importance </w:t>
      </w:r>
      <w:r w:rsidR="006C3410">
        <w:rPr>
          <w:rFonts w:asciiTheme="minorHAnsi" w:hAnsiTheme="minorHAnsi" w:cstheme="minorHAnsi"/>
          <w:sz w:val="22"/>
          <w:szCs w:val="22"/>
          <w:lang w:val="en-GB"/>
        </w:rPr>
        <w:t xml:space="preserve">in </w:t>
      </w:r>
      <w:r w:rsidR="009034F9" w:rsidRPr="00C91EF0">
        <w:rPr>
          <w:rFonts w:asciiTheme="minorHAnsi" w:hAnsiTheme="minorHAnsi" w:cstheme="minorHAnsi"/>
          <w:sz w:val="22"/>
          <w:szCs w:val="22"/>
          <w:lang w:val="en-GB"/>
        </w:rPr>
        <w:t xml:space="preserve">the prognostic model, </w:t>
      </w:r>
      <w:r>
        <w:rPr>
          <w:rFonts w:asciiTheme="minorHAnsi" w:hAnsiTheme="minorHAnsi" w:cstheme="minorHAnsi"/>
          <w:sz w:val="22"/>
          <w:szCs w:val="22"/>
          <w:lang w:val="en-GB"/>
        </w:rPr>
        <w:t>m</w:t>
      </w:r>
      <w:r w:rsidR="00735D20">
        <w:rPr>
          <w:rFonts w:asciiTheme="minorHAnsi" w:hAnsiTheme="minorHAnsi" w:cstheme="minorHAnsi"/>
          <w:sz w:val="22"/>
          <w:szCs w:val="22"/>
          <w:lang w:val="en-GB"/>
        </w:rPr>
        <w:t>ight</w:t>
      </w:r>
      <w:r>
        <w:rPr>
          <w:rFonts w:asciiTheme="minorHAnsi" w:hAnsiTheme="minorHAnsi" w:cstheme="minorHAnsi"/>
          <w:sz w:val="22"/>
          <w:szCs w:val="22"/>
          <w:lang w:val="en-GB"/>
        </w:rPr>
        <w:t xml:space="preserve"> help physicians to detect patients with multimorbidity and polypharmacy at risk for a potentially preventable deterioration</w:t>
      </w:r>
      <w:r w:rsidR="00E172C6" w:rsidRPr="00C91EF0">
        <w:rPr>
          <w:rFonts w:asciiTheme="minorHAnsi" w:hAnsiTheme="minorHAnsi" w:cstheme="minorHAnsi"/>
          <w:sz w:val="22"/>
          <w:szCs w:val="22"/>
          <w:lang w:val="en-GB"/>
        </w:rPr>
        <w:t>.</w:t>
      </w:r>
    </w:p>
    <w:p w14:paraId="12594B1E" w14:textId="77777777" w:rsidR="003E65FA" w:rsidRPr="00C91EF0" w:rsidRDefault="003E65FA" w:rsidP="00E172C6">
      <w:pPr>
        <w:spacing w:line="480" w:lineRule="auto"/>
        <w:jc w:val="both"/>
        <w:rPr>
          <w:rFonts w:asciiTheme="minorHAnsi" w:hAnsiTheme="minorHAnsi" w:cstheme="minorHAnsi"/>
          <w:b/>
          <w:sz w:val="22"/>
          <w:szCs w:val="22"/>
          <w:lang w:val="en-GB"/>
        </w:rPr>
        <w:sectPr w:rsidR="003E65FA" w:rsidRPr="00C91EF0" w:rsidSect="00F6253A">
          <w:footerReference w:type="default" r:id="rId8"/>
          <w:pgSz w:w="11900" w:h="16840"/>
          <w:pgMar w:top="1417" w:right="1701" w:bottom="1417" w:left="1701" w:header="708" w:footer="708" w:gutter="0"/>
          <w:lnNumType w:countBy="1" w:restart="continuous"/>
          <w:cols w:space="708"/>
          <w:docGrid w:linePitch="360"/>
        </w:sectPr>
      </w:pPr>
    </w:p>
    <w:p w14:paraId="06A370EE" w14:textId="77777777" w:rsidR="00875C0D" w:rsidRPr="00C91EF0" w:rsidRDefault="00392ABA" w:rsidP="00875C0D">
      <w:pPr>
        <w:spacing w:line="480" w:lineRule="auto"/>
        <w:jc w:val="both"/>
        <w:rPr>
          <w:rFonts w:asciiTheme="minorHAnsi" w:hAnsiTheme="minorHAnsi" w:cstheme="minorHAnsi"/>
          <w:b/>
          <w:sz w:val="22"/>
          <w:szCs w:val="22"/>
          <w:lang w:val="en-GB"/>
        </w:rPr>
      </w:pPr>
      <w:r w:rsidRPr="00C91EF0">
        <w:rPr>
          <w:rFonts w:asciiTheme="minorHAnsi" w:hAnsiTheme="minorHAnsi" w:cstheme="minorHAnsi"/>
          <w:b/>
          <w:sz w:val="22"/>
          <w:szCs w:val="22"/>
          <w:lang w:val="en-GB"/>
        </w:rPr>
        <w:lastRenderedPageBreak/>
        <w:t>I</w:t>
      </w:r>
      <w:r w:rsidR="000363B5">
        <w:rPr>
          <w:rFonts w:asciiTheme="minorHAnsi" w:hAnsiTheme="minorHAnsi" w:cstheme="minorHAnsi"/>
          <w:b/>
          <w:sz w:val="22"/>
          <w:szCs w:val="22"/>
          <w:lang w:val="en-GB"/>
        </w:rPr>
        <w:t>NTRODUCTION</w:t>
      </w:r>
    </w:p>
    <w:p w14:paraId="47300253" w14:textId="4B552C4F" w:rsidR="008B0029" w:rsidRPr="00C91EF0" w:rsidRDefault="006C3410" w:rsidP="00A5295A">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In a</w:t>
      </w:r>
      <w:r w:rsidR="00392ABA" w:rsidRPr="00C91EF0">
        <w:rPr>
          <w:rFonts w:asciiTheme="minorHAnsi" w:hAnsiTheme="minorHAnsi" w:cstheme="minorHAnsi"/>
          <w:sz w:val="22"/>
          <w:szCs w:val="22"/>
          <w:lang w:val="en-GB"/>
        </w:rPr>
        <w:t>ging populations</w:t>
      </w:r>
      <w:r>
        <w:rPr>
          <w:rFonts w:asciiTheme="minorHAnsi" w:hAnsiTheme="minorHAnsi" w:cstheme="minorHAnsi"/>
          <w:sz w:val="22"/>
          <w:szCs w:val="22"/>
          <w:lang w:val="en-GB"/>
        </w:rPr>
        <w:t xml:space="preserve">, </w:t>
      </w:r>
      <w:r w:rsidR="00970ED0">
        <w:rPr>
          <w:rFonts w:asciiTheme="minorHAnsi" w:hAnsiTheme="minorHAnsi" w:cstheme="minorHAnsi"/>
          <w:sz w:val="22"/>
          <w:szCs w:val="22"/>
          <w:lang w:val="en-GB"/>
        </w:rPr>
        <w:t>the</w:t>
      </w:r>
      <w:r w:rsidR="00E222A8" w:rsidRPr="00C91EF0">
        <w:rPr>
          <w:rFonts w:asciiTheme="minorHAnsi" w:hAnsiTheme="minorHAnsi" w:cstheme="minorHAnsi"/>
          <w:sz w:val="22"/>
          <w:szCs w:val="22"/>
          <w:lang w:val="en-GB"/>
        </w:rPr>
        <w:t xml:space="preserve"> increased incidence and severity of multiple (chronic) conditions</w:t>
      </w:r>
      <w:r w:rsidR="00A5295A" w:rsidRPr="00C91EF0">
        <w:rPr>
          <w:rFonts w:asciiTheme="minorHAnsi" w:hAnsiTheme="minorHAnsi" w:cstheme="minorHAnsi"/>
          <w:sz w:val="22"/>
          <w:szCs w:val="22"/>
          <w:lang w:val="en-GB"/>
        </w:rPr>
        <w:t xml:space="preserve"> </w:t>
      </w:r>
      <w:r w:rsidR="00834445">
        <w:rPr>
          <w:rFonts w:asciiTheme="minorHAnsi" w:hAnsiTheme="minorHAnsi" w:cstheme="minorHAnsi"/>
          <w:sz w:val="22"/>
          <w:szCs w:val="22"/>
          <w:lang w:val="en-GB"/>
        </w:rPr>
        <w:t xml:space="preserve">(two or more) </w:t>
      </w:r>
      <w:r w:rsidR="00970ED0">
        <w:rPr>
          <w:rFonts w:asciiTheme="minorHAnsi" w:hAnsiTheme="minorHAnsi" w:cstheme="minorHAnsi"/>
          <w:sz w:val="22"/>
          <w:szCs w:val="22"/>
          <w:lang w:val="en-GB"/>
        </w:rPr>
        <w:t xml:space="preserve">leads to </w:t>
      </w:r>
      <w:r>
        <w:rPr>
          <w:rFonts w:asciiTheme="minorHAnsi" w:hAnsiTheme="minorHAnsi" w:cstheme="minorHAnsi"/>
          <w:sz w:val="22"/>
          <w:szCs w:val="22"/>
          <w:lang w:val="en-GB"/>
        </w:rPr>
        <w:t xml:space="preserve">deterioration in </w:t>
      </w:r>
      <w:r w:rsidR="00A5295A" w:rsidRPr="00C91EF0">
        <w:rPr>
          <w:rFonts w:asciiTheme="minorHAnsi" w:hAnsiTheme="minorHAnsi" w:cstheme="minorHAnsi"/>
          <w:sz w:val="22"/>
          <w:szCs w:val="22"/>
          <w:lang w:val="en-GB"/>
        </w:rPr>
        <w:t>health-related quality of life (</w:t>
      </w:r>
      <w:proofErr w:type="spellStart"/>
      <w:r w:rsidR="00044E64">
        <w:rPr>
          <w:rFonts w:asciiTheme="minorHAnsi" w:hAnsiTheme="minorHAnsi" w:cstheme="minorHAnsi"/>
          <w:sz w:val="22"/>
          <w:szCs w:val="22"/>
          <w:lang w:val="en-GB"/>
        </w:rPr>
        <w:t>d</w:t>
      </w:r>
      <w:r w:rsidR="00A5295A" w:rsidRPr="00C91EF0">
        <w:rPr>
          <w:rFonts w:asciiTheme="minorHAnsi" w:hAnsiTheme="minorHAnsi" w:cstheme="minorHAnsi"/>
          <w:sz w:val="22"/>
          <w:szCs w:val="22"/>
          <w:lang w:val="en-GB"/>
        </w:rPr>
        <w:t>HRQoL</w:t>
      </w:r>
      <w:proofErr w:type="spellEnd"/>
      <w:r w:rsidR="00A5295A" w:rsidRPr="00C91EF0">
        <w:rPr>
          <w:rFonts w:asciiTheme="minorHAnsi" w:hAnsiTheme="minorHAnsi" w:cstheme="minorHAnsi"/>
          <w:sz w:val="22"/>
          <w:szCs w:val="22"/>
          <w:lang w:val="en-GB"/>
        </w:rPr>
        <w:t>)</w:t>
      </w:r>
      <w:r w:rsidR="00E222A8"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A5295A" w:rsidRPr="00C91EF0">
        <w:rPr>
          <w:rFonts w:asciiTheme="minorHAnsi" w:hAnsiTheme="minorHAnsi" w:cstheme="minorHAnsi"/>
          <w:sz w:val="22"/>
          <w:szCs w:val="22"/>
          <w:lang w:val="en-GB"/>
        </w:rPr>
        <w:instrText>ADDIN CSL_CITATION {"citationItems":[{"id":"ITEM-1","itemData":{"DOI":"10.1016/S0140-6736(12)60240-2","ISBN":"0140-6736","ISSN":"01406736","PMID":"22579043","abstract":"Background Long-term disorders are the main challenge facing health-care systems worldwide, but health systems are largely configured for individual diseases rather than multimorbidity. We examined the distribution of multimorbidity, and of comorbidity of physical and mental health disorders, in relation to age and socioeconomic deprivation. Methods In a cross-sectional study we extracted data on 40 morbidities from a database of 1 751 841 people registered with 314 medical practices in Scotland as of March, 2007. We analysed the data according to the number of morbidities, disorder type (physical or mental), sex, age, and socioeconomic status. We defined multimorbidity as the presence of two or more disorders. Findings 42.2% (95% CI 42.1-42.3) of all patients had one or more morbidities, and 23.2% (23.08-23.21) were multimorbid. Although the prevalence of multimorbidity increased substantially with age and was present in most people aged 65 years and older, the absolute number of people with multimorbidity was higher in those younger than 65 years (210 500 vs 194 996). Onset of multimorbidity occurred 10-15 years earlier in people living in the most deprived areas compared with the most affluent, with socioeconomic deprivation particularly associated with multimorbidity that included mental health disorders (prevalence of both physical and mental health disorder 11.0%, 95% CI 10.9-11.2% in most deprived area vs 5.9%, 5.8%-6.0% in least deprived). The presence of a mental health disorder increased as the number of physical morbidities increased (adjusted odds ratio 6.74, 95% CI 6.59-6.90 for five or more disorders vs 1.95, 1.93-1.98 for one disorder), and was much greater in more deprived than in less deprived people (2.28, 2.21-2.32 vs 1.08, 1.05-1.11). Interpretation Our findings challenge the single-disease framework by which most health care, medical research, and medical education is configured. A complementary strategy is needed, supporting generalist clinicians to provide personalised, comprehensive continuity of care, especially in socioeconomically deprived areas. Funding Scottish Government Chief Scientist Office.","author":[{"dropping-particle":"","family":"Barnett","given":"Karen","non-dropping-particle":"","parse-names":false,"suffix":""},{"dropping-particle":"","family":"Mercer","given":"Stewart W.","non-dropping-particle":"","parse-names":false,"suffix":""},{"dropping-particle":"","family":"Norbury","given":"Michael","non-dropping-particle":"","parse-names":false,"suffix":""},{"dropping-particle":"","family":"Watt","given":"Graham","non-dropping-particle":"","parse-names":false,"suffix":""},{"dropping-particle":"","family":"Wyke","given":"Sally","non-dropping-particle":"","parse-names":false,"suffix":""},{"dropping-particle":"","family":"Guthrie","given":"Bruce","non-dropping-particle":"","parse-names":false,"suffix":""}],"container-title":"The Lancet","id":"ITEM-1","issue":"9836","issued":{"date-parts":[["2012"]]},"page":"37-43","publisher":"Elsevier Ltd","title":"Epidemiology of multimorbidity and implications for health care, research, and medical education: A cross-sectional study","type":"article-journal","volume":"380"},"uris":["http://www.mendeley.com/documents/?uuid=033fac14-2202-4cb6-bbc1-116398df4c6c"]}],"mendeley":{"formattedCitation":"(1)","plainTextFormattedCitation":"(1)","previouslyFormattedCitation":"(1)"},"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E222A8" w:rsidRPr="00C91EF0">
        <w:rPr>
          <w:rFonts w:asciiTheme="minorHAnsi" w:hAnsiTheme="minorHAnsi" w:cstheme="minorHAnsi"/>
          <w:noProof/>
          <w:sz w:val="22"/>
          <w:szCs w:val="22"/>
          <w:lang w:val="en-GB"/>
        </w:rPr>
        <w:t>(1)</w:t>
      </w:r>
      <w:r w:rsidR="00776DB8" w:rsidRPr="00C91EF0">
        <w:rPr>
          <w:rFonts w:asciiTheme="minorHAnsi" w:hAnsiTheme="minorHAnsi" w:cstheme="minorHAnsi"/>
          <w:sz w:val="22"/>
          <w:szCs w:val="22"/>
          <w:lang w:val="en-GB"/>
        </w:rPr>
        <w:fldChar w:fldCharType="end"/>
      </w:r>
      <w:r w:rsidR="00A5295A" w:rsidRPr="00C91EF0">
        <w:rPr>
          <w:rFonts w:asciiTheme="minorHAnsi" w:hAnsiTheme="minorHAnsi" w:cstheme="minorHAnsi"/>
          <w:sz w:val="22"/>
          <w:szCs w:val="22"/>
          <w:lang w:val="en-GB"/>
        </w:rPr>
        <w:t xml:space="preserve">. </w:t>
      </w:r>
      <w:r w:rsidR="00044E64">
        <w:rPr>
          <w:rFonts w:asciiTheme="minorHAnsi" w:hAnsiTheme="minorHAnsi" w:cstheme="minorHAnsi"/>
          <w:sz w:val="22"/>
          <w:szCs w:val="22"/>
          <w:lang w:val="en-GB"/>
        </w:rPr>
        <w:t>P</w:t>
      </w:r>
      <w:r w:rsidR="005935F2" w:rsidRPr="00C91EF0">
        <w:rPr>
          <w:rFonts w:asciiTheme="minorHAnsi" w:hAnsiTheme="minorHAnsi" w:cstheme="minorHAnsi"/>
          <w:sz w:val="22"/>
          <w:szCs w:val="22"/>
          <w:lang w:val="en-GB"/>
        </w:rPr>
        <w:t>atients with multi</w:t>
      </w:r>
      <w:r w:rsidR="009745C7" w:rsidRPr="00C91EF0">
        <w:rPr>
          <w:rFonts w:asciiTheme="minorHAnsi" w:hAnsiTheme="minorHAnsi" w:cstheme="minorHAnsi"/>
          <w:sz w:val="22"/>
          <w:szCs w:val="22"/>
          <w:lang w:val="en-GB"/>
        </w:rPr>
        <w:t>ple conditions</w:t>
      </w:r>
      <w:r w:rsidR="005935F2" w:rsidRPr="00C91EF0">
        <w:rPr>
          <w:rFonts w:asciiTheme="minorHAnsi" w:hAnsiTheme="minorHAnsi" w:cstheme="minorHAnsi"/>
          <w:sz w:val="22"/>
          <w:szCs w:val="22"/>
          <w:lang w:val="en-GB"/>
        </w:rPr>
        <w:t xml:space="preserve"> </w:t>
      </w:r>
      <w:r w:rsidR="00DC0BAA" w:rsidRPr="00C91EF0">
        <w:rPr>
          <w:rFonts w:asciiTheme="minorHAnsi" w:hAnsiTheme="minorHAnsi" w:cstheme="minorHAnsi"/>
          <w:sz w:val="22"/>
          <w:szCs w:val="22"/>
          <w:lang w:val="en-GB"/>
        </w:rPr>
        <w:t xml:space="preserve">usually </w:t>
      </w:r>
      <w:r w:rsidR="00044E64">
        <w:rPr>
          <w:rFonts w:asciiTheme="minorHAnsi" w:hAnsiTheme="minorHAnsi" w:cstheme="minorHAnsi"/>
          <w:sz w:val="22"/>
          <w:szCs w:val="22"/>
          <w:lang w:val="en-GB"/>
        </w:rPr>
        <w:t xml:space="preserve">have </w:t>
      </w:r>
      <w:r w:rsidR="00131CEA">
        <w:rPr>
          <w:rFonts w:asciiTheme="minorHAnsi" w:hAnsiTheme="minorHAnsi" w:cstheme="minorHAnsi"/>
          <w:sz w:val="22"/>
          <w:szCs w:val="22"/>
          <w:lang w:val="en-GB"/>
        </w:rPr>
        <w:t>several</w:t>
      </w:r>
      <w:r w:rsidR="00044E64">
        <w:rPr>
          <w:rFonts w:asciiTheme="minorHAnsi" w:hAnsiTheme="minorHAnsi" w:cstheme="minorHAnsi"/>
          <w:sz w:val="22"/>
          <w:szCs w:val="22"/>
          <w:lang w:val="en-GB"/>
        </w:rPr>
        <w:t xml:space="preserve"> </w:t>
      </w:r>
      <w:r w:rsidR="00DC0BAA" w:rsidRPr="00C91EF0">
        <w:rPr>
          <w:rFonts w:asciiTheme="minorHAnsi" w:hAnsiTheme="minorHAnsi" w:cstheme="minorHAnsi"/>
          <w:sz w:val="22"/>
          <w:szCs w:val="22"/>
          <w:lang w:val="en-GB"/>
        </w:rPr>
        <w:t>drug prescri</w:t>
      </w:r>
      <w:r w:rsidR="00E17393" w:rsidRPr="00C91EF0">
        <w:rPr>
          <w:rFonts w:asciiTheme="minorHAnsi" w:hAnsiTheme="minorHAnsi" w:cstheme="minorHAnsi"/>
          <w:sz w:val="22"/>
          <w:szCs w:val="22"/>
          <w:lang w:val="en-GB"/>
        </w:rPr>
        <w:t>ption</w:t>
      </w:r>
      <w:r w:rsidR="00044E64">
        <w:rPr>
          <w:rFonts w:asciiTheme="minorHAnsi" w:hAnsiTheme="minorHAnsi" w:cstheme="minorHAnsi"/>
          <w:sz w:val="22"/>
          <w:szCs w:val="22"/>
          <w:lang w:val="en-GB"/>
        </w:rPr>
        <w:t>s</w:t>
      </w:r>
      <w:r w:rsidR="00316301">
        <w:rPr>
          <w:rFonts w:asciiTheme="minorHAnsi" w:hAnsiTheme="minorHAnsi" w:cstheme="minorHAnsi"/>
          <w:sz w:val="22"/>
          <w:szCs w:val="22"/>
          <w:lang w:val="en-GB"/>
        </w:rPr>
        <w:t xml:space="preserve"> (five or more)</w:t>
      </w:r>
      <w:r w:rsidR="007A5043">
        <w:rPr>
          <w:rFonts w:asciiTheme="minorHAnsi" w:hAnsiTheme="minorHAnsi" w:cstheme="minorHAnsi"/>
          <w:sz w:val="22"/>
          <w:szCs w:val="22"/>
          <w:lang w:val="en-GB"/>
        </w:rPr>
        <w:t xml:space="preserve">, which increases the risk of </w:t>
      </w:r>
      <w:r w:rsidR="00700EEF" w:rsidRPr="00C91EF0">
        <w:rPr>
          <w:rFonts w:asciiTheme="minorHAnsi" w:hAnsiTheme="minorHAnsi" w:cstheme="minorHAnsi"/>
          <w:sz w:val="22"/>
          <w:szCs w:val="22"/>
          <w:lang w:val="en-GB"/>
        </w:rPr>
        <w:t>overuse</w:t>
      </w:r>
      <w:r w:rsidR="007A5043">
        <w:rPr>
          <w:rFonts w:asciiTheme="minorHAnsi" w:hAnsiTheme="minorHAnsi" w:cstheme="minorHAnsi"/>
          <w:sz w:val="22"/>
          <w:szCs w:val="22"/>
          <w:lang w:val="en-GB"/>
        </w:rPr>
        <w:t>, underuse</w:t>
      </w:r>
      <w:r w:rsidR="00E17393" w:rsidRPr="00C91EF0">
        <w:rPr>
          <w:rFonts w:asciiTheme="minorHAnsi" w:hAnsiTheme="minorHAnsi" w:cstheme="minorHAnsi"/>
          <w:sz w:val="22"/>
          <w:szCs w:val="22"/>
          <w:lang w:val="en-GB"/>
        </w:rPr>
        <w:t xml:space="preserve"> and</w:t>
      </w:r>
      <w:r w:rsidR="00700EEF" w:rsidRPr="00C91EF0">
        <w:rPr>
          <w:rFonts w:asciiTheme="minorHAnsi" w:hAnsiTheme="minorHAnsi" w:cstheme="minorHAnsi"/>
          <w:sz w:val="22"/>
          <w:szCs w:val="22"/>
          <w:lang w:val="en-GB"/>
        </w:rPr>
        <w:t xml:space="preserve"> misuse</w:t>
      </w:r>
      <w:r w:rsidR="007A5043">
        <w:rPr>
          <w:rFonts w:asciiTheme="minorHAnsi" w:hAnsiTheme="minorHAnsi" w:cstheme="minorHAnsi"/>
          <w:sz w:val="22"/>
          <w:szCs w:val="22"/>
          <w:lang w:val="en-GB"/>
        </w:rPr>
        <w:t xml:space="preserve"> of </w:t>
      </w:r>
      <w:r w:rsidR="00E17393" w:rsidRPr="00C91EF0">
        <w:rPr>
          <w:rFonts w:asciiTheme="minorHAnsi" w:hAnsiTheme="minorHAnsi" w:cstheme="minorHAnsi"/>
          <w:sz w:val="22"/>
          <w:szCs w:val="22"/>
          <w:lang w:val="en-GB"/>
        </w:rPr>
        <w:t>medication</w:t>
      </w:r>
      <w:r w:rsidR="007A5043">
        <w:rPr>
          <w:rFonts w:asciiTheme="minorHAnsi" w:hAnsiTheme="minorHAnsi" w:cstheme="minorHAnsi"/>
          <w:sz w:val="22"/>
          <w:szCs w:val="22"/>
          <w:lang w:val="en-GB"/>
        </w:rPr>
        <w:t>s</w:t>
      </w:r>
      <w:r w:rsidR="00700EEF"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DC0BAA" w:rsidRPr="00C91EF0">
        <w:rPr>
          <w:rFonts w:asciiTheme="minorHAnsi" w:hAnsiTheme="minorHAnsi" w:cstheme="minorHAnsi"/>
          <w:sz w:val="22"/>
          <w:szCs w:val="22"/>
          <w:lang w:val="en-GB"/>
        </w:rPr>
        <w:instrText>ADDIN CSL_CITATION {"citationItems":[{"id":"ITEM-1","itemData":{"DOI":"10.5414/CP203372","ISSN":"0946-1965","PMID":"30369395","abstract":"With advancing age there is an increase in the disease burden and thus in the number of drugs prescribed to this patient group. It is often assumed that an increase in pill count is associated per se with an increase in the number of medication errors (e.g., potentially inappropriate prescribing, PIP) and the frequency of adverse drug events (ADE). However, prescribing more drugs can also mean more successful treatment, making it important to critically assess the benefit/risk balance of the medications prescribed in each patient. Whether a prescribed medication is appropriate depends on the clinical state of the patient (diagnoses), treatment goals, comedication/drug interactions, patient preferences, whether the patient tolerates the drug, a measure of how frail the patient is, etc. It is often argued that the number of prescribed drugs should be restricted, but we hold the view that this should only be done after careful consideration of the factors mentioned above. In our study, we remodeled the findings of two large cohort studies investigating the association between the number of drugs prescribed and clinical endpoints. The graphic illustrations obtained confirmed that targeting pill count, as a measure to reduce ADEs and mortality, fails to impact patient well-being because the number of drugs prescribed is likely determined by patient characteristics affecting drug response, namely, disease burden, patient functionality, and specific patient needs, all of which must be taken into account in order to reduce the risk of PIMs and the occurrence ADEs. .","author":[{"dropping-particle":"","family":"Haefeli","given":"Walter E","non-dropping-particle":"","parse-names":false,"suffix":""},{"dropping-particle":"","family":"Meid","given":"Andreas D","non-dropping-particle":"","parse-names":false,"suffix":""}],"container-title":"International journal of clinical pharmacology and therapeutics","id":"ITEM-1","issue":"12","issued":{"date-parts":[["2018","12"]]},"page":"572-576","title":"Pill-count and the arithmetic of risk: Evidence that polypharmacy is a health status marker rather than a predictive surrogate for the risk of adverse drug events.","type":"article-journal","volume":"56"},"uris":["http://www.mendeley.com/documents/?uuid=9e7b49b9-56b7-440b-94d3-61606fc789b4"]}],"mendeley":{"formattedCitation":"(2)","plainTextFormattedCitation":"(2)","previouslyFormattedCitation":"(2)"},"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DC0BAA" w:rsidRPr="00C91EF0">
        <w:rPr>
          <w:rFonts w:asciiTheme="minorHAnsi" w:hAnsiTheme="minorHAnsi" w:cstheme="minorHAnsi"/>
          <w:noProof/>
          <w:sz w:val="22"/>
          <w:szCs w:val="22"/>
          <w:lang w:val="en-GB"/>
        </w:rPr>
        <w:t>(2)</w:t>
      </w:r>
      <w:r w:rsidR="00776DB8" w:rsidRPr="00C91EF0">
        <w:rPr>
          <w:rFonts w:asciiTheme="minorHAnsi" w:hAnsiTheme="minorHAnsi" w:cstheme="minorHAnsi"/>
          <w:sz w:val="22"/>
          <w:szCs w:val="22"/>
          <w:lang w:val="en-GB"/>
        </w:rPr>
        <w:fldChar w:fldCharType="end"/>
      </w:r>
      <w:r w:rsidR="00DC0BAA" w:rsidRPr="00C91EF0">
        <w:rPr>
          <w:rFonts w:asciiTheme="minorHAnsi" w:hAnsiTheme="minorHAnsi" w:cstheme="minorHAnsi"/>
          <w:sz w:val="22"/>
          <w:szCs w:val="22"/>
          <w:lang w:val="en-GB"/>
        </w:rPr>
        <w:t xml:space="preserve">. </w:t>
      </w:r>
      <w:r w:rsidR="00A65EEE">
        <w:rPr>
          <w:rFonts w:asciiTheme="minorHAnsi" w:hAnsiTheme="minorHAnsi" w:cstheme="minorHAnsi"/>
          <w:sz w:val="22"/>
          <w:szCs w:val="22"/>
          <w:lang w:val="en-GB"/>
        </w:rPr>
        <w:t>P</w:t>
      </w:r>
      <w:r w:rsidR="00DC0BAA" w:rsidRPr="00C91EF0">
        <w:rPr>
          <w:rFonts w:asciiTheme="minorHAnsi" w:hAnsiTheme="minorHAnsi" w:cstheme="minorHAnsi"/>
          <w:sz w:val="22"/>
          <w:szCs w:val="22"/>
          <w:lang w:val="en-GB"/>
        </w:rPr>
        <w:t xml:space="preserve">otential consequences, such as falls, </w:t>
      </w:r>
      <w:r w:rsidR="00ED5614" w:rsidRPr="00C91EF0">
        <w:rPr>
          <w:rFonts w:asciiTheme="minorHAnsi" w:hAnsiTheme="minorHAnsi" w:cstheme="minorHAnsi"/>
          <w:sz w:val="22"/>
          <w:szCs w:val="22"/>
          <w:lang w:val="en-GB"/>
        </w:rPr>
        <w:t>cognitive decline,</w:t>
      </w:r>
      <w:r w:rsidR="00DC0BAA" w:rsidRPr="00C91EF0">
        <w:rPr>
          <w:rFonts w:asciiTheme="minorHAnsi" w:hAnsiTheme="minorHAnsi" w:cstheme="minorHAnsi"/>
          <w:sz w:val="22"/>
          <w:szCs w:val="22"/>
          <w:lang w:val="en-GB"/>
        </w:rPr>
        <w:t xml:space="preserve"> loss of autonomy, </w:t>
      </w:r>
      <w:r w:rsidR="007A5043">
        <w:rPr>
          <w:rFonts w:asciiTheme="minorHAnsi" w:hAnsiTheme="minorHAnsi" w:cstheme="minorHAnsi"/>
          <w:sz w:val="22"/>
          <w:szCs w:val="22"/>
          <w:lang w:val="en-GB"/>
        </w:rPr>
        <w:t xml:space="preserve">and </w:t>
      </w:r>
      <w:r w:rsidR="008B0029" w:rsidRPr="00C91EF0">
        <w:rPr>
          <w:rFonts w:asciiTheme="minorHAnsi" w:hAnsiTheme="minorHAnsi" w:cstheme="minorHAnsi"/>
          <w:sz w:val="22"/>
          <w:szCs w:val="22"/>
          <w:lang w:val="en-GB"/>
        </w:rPr>
        <w:t xml:space="preserve">hospital admissions, </w:t>
      </w:r>
      <w:r w:rsidR="007A5043">
        <w:rPr>
          <w:rFonts w:asciiTheme="minorHAnsi" w:hAnsiTheme="minorHAnsi" w:cstheme="minorHAnsi"/>
          <w:sz w:val="22"/>
          <w:szCs w:val="22"/>
          <w:lang w:val="en-GB"/>
        </w:rPr>
        <w:t xml:space="preserve">are often severe and </w:t>
      </w:r>
      <w:r w:rsidR="00DC0BAA" w:rsidRPr="00C91EF0">
        <w:rPr>
          <w:rFonts w:asciiTheme="minorHAnsi" w:hAnsiTheme="minorHAnsi" w:cstheme="minorHAnsi"/>
          <w:sz w:val="22"/>
          <w:szCs w:val="22"/>
          <w:lang w:val="en-GB"/>
        </w:rPr>
        <w:t xml:space="preserve">may contribute to </w:t>
      </w:r>
      <w:proofErr w:type="spellStart"/>
      <w:r w:rsidR="007A5043">
        <w:rPr>
          <w:rFonts w:asciiTheme="minorHAnsi" w:hAnsiTheme="minorHAnsi" w:cstheme="minorHAnsi"/>
          <w:sz w:val="22"/>
          <w:szCs w:val="22"/>
          <w:lang w:val="en-GB"/>
        </w:rPr>
        <w:t>d</w:t>
      </w:r>
      <w:r w:rsidR="003278EA" w:rsidRPr="00C91EF0">
        <w:rPr>
          <w:rFonts w:asciiTheme="minorHAnsi" w:hAnsiTheme="minorHAnsi" w:cstheme="minorHAnsi"/>
          <w:sz w:val="22"/>
          <w:szCs w:val="22"/>
          <w:lang w:val="en-GB"/>
        </w:rPr>
        <w:t>HRQoL</w:t>
      </w:r>
      <w:proofErr w:type="spellEnd"/>
      <w:r w:rsidR="00DC0BAA" w:rsidRPr="00C91EF0">
        <w:rPr>
          <w:rFonts w:asciiTheme="minorHAnsi" w:hAnsiTheme="minorHAnsi" w:cstheme="minorHAnsi"/>
          <w:sz w:val="22"/>
          <w:szCs w:val="22"/>
          <w:lang w:val="en-GB"/>
        </w:rPr>
        <w:t xml:space="preserve">, a </w:t>
      </w:r>
      <w:r w:rsidR="007A5043">
        <w:rPr>
          <w:rFonts w:asciiTheme="minorHAnsi" w:hAnsiTheme="minorHAnsi" w:cstheme="minorHAnsi"/>
          <w:sz w:val="22"/>
          <w:szCs w:val="22"/>
          <w:lang w:val="en-GB"/>
        </w:rPr>
        <w:t xml:space="preserve">key </w:t>
      </w:r>
      <w:r w:rsidR="00DC0BAA" w:rsidRPr="00C91EF0">
        <w:rPr>
          <w:rFonts w:asciiTheme="minorHAnsi" w:hAnsiTheme="minorHAnsi" w:cstheme="minorHAnsi"/>
          <w:sz w:val="22"/>
          <w:szCs w:val="22"/>
          <w:lang w:val="en-GB"/>
        </w:rPr>
        <w:t xml:space="preserve">patient-reported outcome </w:t>
      </w:r>
      <w:r w:rsidR="007D2B0E" w:rsidRPr="00C91EF0">
        <w:rPr>
          <w:rFonts w:asciiTheme="minorHAnsi" w:hAnsiTheme="minorHAnsi" w:cstheme="minorHAnsi"/>
          <w:sz w:val="22"/>
          <w:szCs w:val="22"/>
          <w:lang w:val="en-GB"/>
        </w:rPr>
        <w:t xml:space="preserve">and </w:t>
      </w:r>
      <w:r w:rsidR="00DC0BAA" w:rsidRPr="00C91EF0">
        <w:rPr>
          <w:rFonts w:asciiTheme="minorHAnsi" w:hAnsiTheme="minorHAnsi" w:cstheme="minorHAnsi"/>
          <w:sz w:val="22"/>
          <w:szCs w:val="22"/>
          <w:lang w:val="en-GB"/>
        </w:rPr>
        <w:t xml:space="preserve">one of the most relevant in older life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{"citationItems":[{"id":"ITEM-1","itemData":{"DOI":"10.1111/jgs.15245","ISSN":"1532-5415","PMID":"29461621","abstract":"OBJECTIVES To develop a core outcome set (COS) for use in effectiveness trials of interventions aiming to improve the appropriateness of polypharmacy in older people in primary care. DESIGN Standard COS development methodology was followed, comprising identification of outcomes of studies from an update of a Cochrane systematic review and previously collected qualitative data and an online Delphi consensus exercise involving three rounds. PARTICIPANTS An international panel of 160 stakeholders comprising 120 healthcare experts and a public participant panel of 40 older people. MEASUREMENTS Outcomes identified from studies included in the Cochrane review and secondary analysis of previously collected qualitative data were scored on a 9-point Likert scale using the GRADE scoring system anchored at 1 (not important) and 9 (critical). Consensus criteria for the COS were defined as 70% or more of participants scoring the outcome as critical and 15% or fewer scoring the outcome as not important. RESULTS Twenty-nine outcomes identified from the Cochrane review and existing qualitative data were included in the Delphi exercise. The final COS comprised 16 outcomes. The 7 highest-ranked outcomes were serious adverse drug reactions, medication appropriateness, falls, medication regimen complexity, quality of life, mortality, and medication side effects. CONCLUSION A COS for interventions aiming to improve the appropriateness of polypharmacy for older people in primary care has been developed. Future work will focus on identifying appropriate tools to measure.","author":[{"dropping-particle":"","family":"Rankin","given":"Audrey","non-dropping-particle":"","parse-names":false,"suffix":""},{"dropping-particle":"","family":"Cadogan","given":"Cathal A","non-dropping-particle":"","parse-names":false,"suffix":""},{"dropping-particle":"","family":"In Ryan","given":"Crist","non-dropping-particle":"","parse-names":false,"suffix":""},{"dropping-particle":"","family":"Clyne","given":"Barbara","non-dropping-particle":"","parse-names":false,"suffix":""},{"dropping-particle":"","family":"Smith","given":"Susan M","non-dropping-particle":"","parse-names":false,"suffix":""},{"dropping-particle":"","family":"Hughes","given":"Carmel M","non-dropping-particle":"","parse-names":false,"suffix":""}],"container-title":"Journal of the American Geriatrics Society","id":"ITEM-1","issue":"6","issued":{"date-parts":[["2018","7"]]},"page":"1206-1212","title":"Core outcome set for trials aimed at improving the appropriateness of polypharmacy in older people in primary care.","type":"article-journal","volume":"66"},"uris":["http://www.mendeley.com/documents/?uuid=df424381-32b8-4155-90e5-e3c4251fee6b"]},{"id":"ITEM-2","itemData":{"DOI":"10.1186/s12916-018-1007-9","ISSN":"1741-7015","PMID":"29433501","abstract":"BACKGROUND Comparisons of clinical trial findings in systematic reviews can be hindered by the heterogeneity of the outcomes reported. Moreover, the outcomes that matter most to patients might be underreported. A core outcome set can address these issues, as it defines a minimum set of outcomes that should be reported in all clinical trials in a particular area of research. The objective in this study was to develop a core outcome set for clinical trials of medication review in multi-morbid older patients with polypharmacy. METHODS Firstly, eligible outcomes were identified through a systematic review of trials of medication review in older patients (≥65 years) and interviews with 15 older patients. Secondly, an international three-round Delphi survey in four countries involving patients, healthcare professionals, and experts was conducted to validate outcomes to be included in the core outcome set. Consensus meetings were conducted to validate the results. RESULTS Of the 164 participants invited to take part in the Delphi survey, 150 completed Round 1, including 55 patients or family caregivers, 55 healthcare professionals, and 40 experts. A total of 129 participants completed all three rounds. Sixty-four eligible outcomes were extracted from 47 articles, 32 clinical trial protocols, and patient interviews. Thirty outcomes were removed and one added after Round 1, 18 outcomes were removed after Round 2, and seven after Round 3. Results were discussed during consensus meetings. Consensus was reached on seven outcomes, which constitute the core outcome set: drug-related hospital admissions; drug overuse; drug underuse; potentially inappropriate medications; clinically significant drug-drug interactions; health-related quality of life; pain relief. CONCLUSIONS We developed a core outcome set of seven outcomes which should be used in future trials of medication review in multi-morbid older patients with polypharmacy.","author":[{"dropping-particle":"","family":"Beuscart","given":"Jean-Baptiste","non-dropping-particle":"","parse-names":false,"suffix":""},{"dropping-particle":"","family":"Knol","given":"Wilma","non-dropping-particle":"","parse-names":false,"suffix":""},{"dropping-particle":"","family":"Cullinan","given":"Shane","non-dropping-particle":"","parse-names":false,"suffix":""},{"dropping-particle":"","family":"Schneider","given":"Claudio","non-dropping-particle":"","parse-names":false,"suffix":""},{"dropping-particle":"","family":"Dalleur","given":"Olivia","non-dropping-particle":"","parse-names":false,"suffix":""},{"dropping-particle":"","family":"Boland","given":"Benoit","non-dropping-particle":"","parse-names":false,"suffix":""},{"dropping-particle":"","family":"Thevelin","given":"Stefanie","non-dropping-particle":"","parse-names":false,"suffix":""},{"dropping-particle":"","family":"Jansen","given":"Paul A F","non-dropping-particle":"","parse-names":false,"suffix":""},{"dropping-particle":"","family":"O’Mahony","given":"Denis","non-dropping-particle":"","parse-names":false,"suffix":""},{"dropping-particle":"","family":"Rodondi","given":"Nicolas","non-dropping-particle":"","parse-names":false,"suffix":""},{"dropping-particle":"","family":"Spinewine","given":"Anne","non-dropping-particle":"","parse-names":false,"suffix":""}],"container-title":"BMC Medicine","id":"ITEM-2","issue":"1","issued":{"date-parts":[["2018","12","13"]]},"page":"21","title":"International core outcome set for clinical trials of medication review in multi-morbid older patients with polypharmacy","type":"article-journal","volume":"16"},"uris":["http://www.mendeley.com/documents/?uuid=4507afe7-c956-434c-9944-762df853dfc3"]},{"id":"ITEM-3","itemData":{"DOI":"10.1007/s11136-020-02530-5","ISSN":"0962-9343","author":[{"dropping-particle":"","family":"Saqlain","given":"Muhammad","non-dropping-particle":"","parse-names":false,"suffix":""},{"dropping-particle":"","family":"Ali","given":"Hussain","non-dropping-particle":"","parse-names":false,"suffix":""},{"dropping-particle":"","family":"Kamran","given":"Sohail","non-dropping-particle":"","parse-names":false,"suffix":""},{"dropping-particle":"","family":"Munir","given":"Muhammad Usman","non-dropping-particle":"","parse-names":false,"suffix":""},{"dropping-particle":"","family":"Jahan","given":"Shah","non-dropping-particle":"","parse-names":false,"suffix":""},{"dropping-particle":"","family":"Mazhar","given":"Faizan","non-dropping-particle":"","parse-names":false,"suffix":""}],"container-title":"Quality of Life Research","id":"ITEM-3","issued":{"date-parts":[["2020","5","20"]]},"title":"Potentially inappropriate medications use and its association with health-related quality of life among elderly cardiac patients","type":"article-journal"},"uris":["http://www.mendeley.com/documents/?uuid=9a6d7bc7-607c-4d55-9dcb-4454fabb92a2"]}],"mendeley":{"formattedCitation":"(3–5)","plainTextFormattedCitation":"(3–5)","previouslyFormattedCitation":"(3,4)"},"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(3–5)</w:t>
      </w:r>
      <w:r w:rsidR="00776DB8" w:rsidRPr="00C91EF0">
        <w:rPr>
          <w:rFonts w:asciiTheme="minorHAnsi" w:hAnsiTheme="minorHAnsi" w:cstheme="minorHAnsi"/>
          <w:sz w:val="22"/>
          <w:szCs w:val="22"/>
          <w:lang w:val="en-GB"/>
        </w:rPr>
        <w:fldChar w:fldCharType="end"/>
      </w:r>
      <w:r w:rsidR="00DC0BAA" w:rsidRPr="00C91EF0">
        <w:rPr>
          <w:rFonts w:asciiTheme="minorHAnsi" w:hAnsiTheme="minorHAnsi" w:cstheme="minorHAnsi"/>
          <w:sz w:val="22"/>
          <w:szCs w:val="22"/>
          <w:lang w:val="en-GB"/>
        </w:rPr>
        <w:t xml:space="preserve">. </w:t>
      </w:r>
    </w:p>
    <w:p w14:paraId="17D5F5E8" w14:textId="330B8A50" w:rsidR="00BB715D" w:rsidRPr="00C91EF0" w:rsidRDefault="007A5043" w:rsidP="00392ABA">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C</w:t>
      </w:r>
      <w:r w:rsidR="00A5295A" w:rsidRPr="00C91EF0">
        <w:rPr>
          <w:rFonts w:asciiTheme="minorHAnsi" w:hAnsiTheme="minorHAnsi" w:cstheme="minorHAnsi"/>
          <w:sz w:val="22"/>
          <w:szCs w:val="22"/>
          <w:lang w:val="en-GB"/>
        </w:rPr>
        <w:t xml:space="preserve">omplex drug regimens and high treatment burden </w:t>
      </w:r>
      <w:r>
        <w:rPr>
          <w:rFonts w:asciiTheme="minorHAnsi" w:hAnsiTheme="minorHAnsi" w:cstheme="minorHAnsi"/>
          <w:sz w:val="22"/>
          <w:szCs w:val="22"/>
          <w:lang w:val="en-GB"/>
        </w:rPr>
        <w:t xml:space="preserve">make the management of multimorbidity a significant challenge for physicians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10.1111/jgs.12150","ISSN":"00028614","author":[{"dropping-particle":"","family":"Wallace","given":"Emma","non-dropping-particle":"","parse-names":false,"suffix":""},{"dropping-particle":"","family":"Hinchey","given":"Tim","non-dropping-particle":"","parse-names":false,"suffix":""},{"dropping-particle":"","family":"Dimitrov","given":"Borislav D","non-dropping-particle":"","parse-names":false,"suffix":""},{"dropping-particle":"","family":"Bennett","given":"Kathleen","non-dropping-particle":"","parse-names":false,"suffix":""},{"dropping-particle":"","family":"Fahey","given":"Tom","non-dropping-particle":"","parse-names":false,"suffix":""},{"dropping-particle":"","family":"Smith","given":"Susan M","non-dropping-particle":"","parse-names":false,"suffix":""}],"container-title":"Journal of the American Geriatrics Society","id":"ITEM-1","issue":"3","issued":{"date-parts":[["2013","3"]]},"page":"357-364","title":"A systematic review of the probability of repeated admission score in community-dwelling adults","type":"article-journal","volume":"61"},"uris":["http://www.mendeley.com/documents/?uuid=23640e84-59bf-4cf8-925b-8ecd5f74d4f1"]}],"mendeley":{"formattedCitation":"(6)","plainTextFormattedCitation":"(6)","previouslyFormattedCitation":"(5)"},"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(6)</w:t>
      </w:r>
      <w:r w:rsidR="00776DB8" w:rsidRPr="00C91EF0">
        <w:rPr>
          <w:rFonts w:asciiTheme="minorHAnsi" w:hAnsiTheme="minorHAnsi" w:cstheme="minorHAnsi"/>
          <w:sz w:val="22"/>
          <w:szCs w:val="22"/>
          <w:lang w:val="en-GB"/>
        </w:rPr>
        <w:fldChar w:fldCharType="end"/>
      </w:r>
      <w:r w:rsidR="00970ED0">
        <w:rPr>
          <w:rFonts w:asciiTheme="minorHAnsi" w:hAnsiTheme="minorHAnsi" w:cstheme="minorHAnsi"/>
          <w:sz w:val="22"/>
          <w:szCs w:val="22"/>
          <w:lang w:val="en-GB"/>
        </w:rPr>
        <w:t xml:space="preserve">. They are also </w:t>
      </w:r>
      <w:r>
        <w:rPr>
          <w:rFonts w:asciiTheme="minorHAnsi" w:hAnsiTheme="minorHAnsi" w:cstheme="minorHAnsi"/>
          <w:sz w:val="22"/>
          <w:szCs w:val="22"/>
          <w:lang w:val="en-GB"/>
        </w:rPr>
        <w:t xml:space="preserve">expensive for </w:t>
      </w:r>
      <w:r w:rsidR="00A5295A" w:rsidRPr="00C91EF0">
        <w:rPr>
          <w:rFonts w:asciiTheme="minorHAnsi" w:hAnsiTheme="minorHAnsi" w:cstheme="minorHAnsi"/>
          <w:sz w:val="22"/>
          <w:szCs w:val="22"/>
          <w:lang w:val="en-GB"/>
        </w:rPr>
        <w:t>health</w:t>
      </w:r>
      <w:r w:rsidR="00306894">
        <w:rPr>
          <w:rFonts w:asciiTheme="minorHAnsi" w:hAnsiTheme="minorHAnsi" w:cstheme="minorHAnsi"/>
          <w:sz w:val="22"/>
          <w:szCs w:val="22"/>
          <w:lang w:val="en-GB"/>
        </w:rPr>
        <w:t xml:space="preserve"> </w:t>
      </w:r>
      <w:r w:rsidR="00A5295A" w:rsidRPr="00C91EF0">
        <w:rPr>
          <w:rFonts w:asciiTheme="minorHAnsi" w:hAnsiTheme="minorHAnsi" w:cstheme="minorHAnsi"/>
          <w:sz w:val="22"/>
          <w:szCs w:val="22"/>
          <w:lang w:val="en-GB"/>
        </w:rPr>
        <w:t xml:space="preserve">care systems worldwide </w:t>
      </w:r>
      <w:r w:rsidR="005D720D">
        <w:rPr>
          <w:rFonts w:asciiTheme="minorHAnsi" w:hAnsiTheme="minorHAnsi" w:cstheme="minorHAnsi"/>
          <w:sz w:val="22"/>
          <w:szCs w:val="22"/>
          <w:lang w:val="en-GB"/>
        </w:rPr>
        <w:t xml:space="preserve">because they lead to </w:t>
      </w:r>
      <w:r w:rsidR="00941B38">
        <w:rPr>
          <w:rFonts w:asciiTheme="minorHAnsi" w:hAnsiTheme="minorHAnsi" w:cstheme="minorHAnsi"/>
          <w:sz w:val="22"/>
          <w:szCs w:val="22"/>
          <w:lang w:val="en-GB"/>
        </w:rPr>
        <w:t xml:space="preserve">an increase of </w:t>
      </w:r>
      <w:r w:rsidR="00A5295A" w:rsidRPr="00C91EF0">
        <w:rPr>
          <w:rFonts w:asciiTheme="minorHAnsi" w:hAnsiTheme="minorHAnsi" w:cstheme="minorHAnsi"/>
          <w:sz w:val="22"/>
          <w:szCs w:val="22"/>
          <w:lang w:val="en-GB"/>
        </w:rPr>
        <w:t xml:space="preserve">health care utilization and cost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{"citationItems":[{"id":"ITEM-1","itemData":{"DOI":"10.1016/j.arr.2011.03.003","ISSN":"1872-9649","PMID":"21402176","abstract":"A literature search was carried out to summarize the existing scientific evidence concerning occurrence, causes, and consequences of multimorbidity (the coexistence of multiple chronic diseases) in the elderly as well as models and quality of care of persons with multimorbidity. According to pre-established inclusion criteria, and using different search strategies, 41 articles were included (four of these were methodological papers only). Prevalence of multimorbidity in older persons ranges from 55 to 98%. In cross-sectional studies, older age, female gender, and low socioeconomic status are factors associated with multimorbidity, confirmed by longitudinal studies as well. Major consequences of multimorbidity are disability and functional decline, poor quality of life, and high health care costs. Controversial results were found on multimorbidity and mortality risk. Methodological issues in evaluating multimorbidity are discussed as well as future research needs, especially concerning etiological factors, combinations and clustering of chronic diseases, and care models for persons affected by multiple disorders. New insights in this field can lead to the identification of preventive strategies and better treatment of multimorbid patients.","author":[{"dropping-particle":"","family":"Marengoni","given":"Alessandra","non-dropping-particle":"","parse-names":false,"suffix":""},{"dropping-particle":"","family":"Angleman","given":"Sara","non-dropping-particle":"","parse-names":false,"suffix":""},{"dropping-particle":"","family":"Melis","given":"René","non-dropping-particle":"","parse-names":false,"suffix":""},{"dropping-particle":"","family":"Mangialasche","given":"Francesca","non-dropping-particle":"","parse-names":false,"suffix":""},{"dropping-particle":"","family":"Karp","given":"Anita","non-dropping-particle":"","parse-names":false,"suffix":""},{"dropping-particle":"","family":"Garmen","given":"Annika","non-dropping-particle":"","parse-names":false,"suffix":""},{"dropping-particle":"","family":"Meinow","given":"Bettina","non-dropping-particle":"","parse-names":false,"suffix":""},{"dropping-particle":"","family":"Fratiglioni","given":"Laura","non-dropping-particle":"","parse-names":false,"suffix":""}],"container-title":"Ageing research reviews","id":"ITEM-1","issue":"4","issued":{"date-parts":[["2011","9"]]},"page":"430-9","title":"Aging with multimorbidity: a systematic review of the literature.","type":"article-journal","volume":"10"},"uris":["http://www.mendeley.com/documents/?uuid=37c1c41c-03ed-4a46-af0f-2b98d1f4961a"]}],"mendeley":{"formattedCitation":"(7)","plainTextFormattedCitation":"(7)","previouslyFormattedCitation":"(6)"},"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w:t>
      </w:r>
      <w:r w:rsidR="00776DB8" w:rsidRPr="00C91EF0">
        <w:rPr>
          <w:rFonts w:asciiTheme="minorHAnsi" w:hAnsiTheme="minorHAnsi" w:cstheme="minorHAnsi"/>
          <w:sz w:val="22"/>
          <w:szCs w:val="22"/>
          <w:lang w:val="en-GB"/>
        </w:rPr>
        <w:fldChar w:fldCharType="end"/>
      </w:r>
      <w:r w:rsidR="00A5295A" w:rsidRPr="00C91EF0">
        <w:rPr>
          <w:rFonts w:asciiTheme="minorHAnsi" w:hAnsiTheme="minorHAnsi" w:cstheme="minorHAnsi"/>
          <w:sz w:val="22"/>
          <w:szCs w:val="22"/>
          <w:lang w:val="en-GB"/>
        </w:rPr>
        <w:t xml:space="preserve">. </w:t>
      </w:r>
      <w:r w:rsidR="008B0029" w:rsidRPr="00C91EF0">
        <w:rPr>
          <w:rFonts w:asciiTheme="minorHAnsi" w:hAnsiTheme="minorHAnsi" w:cstheme="minorHAnsi"/>
          <w:sz w:val="22"/>
          <w:szCs w:val="22"/>
          <w:lang w:val="en-GB"/>
        </w:rPr>
        <w:t>However, not all p</w:t>
      </w:r>
      <w:r w:rsidR="006A1349" w:rsidRPr="00C91EF0">
        <w:rPr>
          <w:rFonts w:asciiTheme="minorHAnsi" w:hAnsiTheme="minorHAnsi" w:cstheme="minorHAnsi"/>
          <w:sz w:val="22"/>
          <w:szCs w:val="22"/>
          <w:lang w:val="en-GB"/>
        </w:rPr>
        <w:t>atients</w:t>
      </w:r>
      <w:r w:rsidR="008B0029" w:rsidRPr="00C91EF0">
        <w:rPr>
          <w:rFonts w:asciiTheme="minorHAnsi" w:hAnsiTheme="minorHAnsi" w:cstheme="minorHAnsi"/>
          <w:sz w:val="22"/>
          <w:szCs w:val="22"/>
          <w:lang w:val="en-GB"/>
        </w:rPr>
        <w:t xml:space="preserve"> with multi</w:t>
      </w:r>
      <w:r w:rsidR="006A1349" w:rsidRPr="00C91EF0">
        <w:rPr>
          <w:rFonts w:asciiTheme="minorHAnsi" w:hAnsiTheme="minorHAnsi" w:cstheme="minorHAnsi"/>
          <w:sz w:val="22"/>
          <w:szCs w:val="22"/>
          <w:lang w:val="en-GB"/>
        </w:rPr>
        <w:t xml:space="preserve">ple </w:t>
      </w:r>
      <w:r w:rsidR="008B0029" w:rsidRPr="00C91EF0">
        <w:rPr>
          <w:rFonts w:asciiTheme="minorHAnsi" w:hAnsiTheme="minorHAnsi" w:cstheme="minorHAnsi"/>
          <w:sz w:val="22"/>
          <w:szCs w:val="22"/>
          <w:lang w:val="en-GB"/>
        </w:rPr>
        <w:t>morbidit</w:t>
      </w:r>
      <w:r w:rsidR="006A1349" w:rsidRPr="00C91EF0">
        <w:rPr>
          <w:rFonts w:asciiTheme="minorHAnsi" w:hAnsiTheme="minorHAnsi" w:cstheme="minorHAnsi"/>
          <w:sz w:val="22"/>
          <w:szCs w:val="22"/>
          <w:lang w:val="en-GB"/>
        </w:rPr>
        <w:t>ies</w:t>
      </w:r>
      <w:r w:rsidR="008B0029" w:rsidRPr="00C91EF0">
        <w:rPr>
          <w:rFonts w:asciiTheme="minorHAnsi" w:hAnsiTheme="minorHAnsi" w:cstheme="minorHAnsi"/>
          <w:sz w:val="22"/>
          <w:szCs w:val="22"/>
          <w:lang w:val="en-GB"/>
        </w:rPr>
        <w:t xml:space="preserve"> need complex care</w:t>
      </w:r>
      <w:r w:rsidR="006B5278"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{"citationItems":[{"id":"ITEM-1","itemData":{"DOI":"10.1136/bmjopen-2017-017740","ISSN":"2044-6055","PMID":"29478012","abstract":"OBJECTIVES Investigate the effectiveness of a complex intervention aimed at improving the appropriateness of medication in older patients with multimorbidity in general practice. DESIGN Pragmatic, cluster randomised controlled trial with general practice as unit of randomisation. SETTING 72 general practices in Hesse, Germany. PARTICIPANTS 505 randomly sampled, cognitively intact patients (≥60 years, ≥3 chronic conditions under pharmacological treatment, ≥5 long-term drug prescriptions with systemic effects); 465 patients and 71 practices completed the study. INTERVENTIONS Intervention group (IG): The healthcare assistant conducted a checklist-based interview with patients on medication-related problems and reconciled their medications. Assisted by a computerised decision support system, the general practitioner optimised medication, discussed it with patients and adjusted it accordingly. The control group (CG) continued with usual care. OUTCOME MEASURES The primary outcome was a modified Medication Appropriateness Index (MAI, excluding item 10 on cost-effectiveness), assessed in blinded medication reviews and calculated as the difference between baseline and after 6 months; secondary outcomes after 6 and 9 months' follow-up: quality of life, functioning, medication adherence, and so on. RESULTS At baseline, a high proportion of patients had appropriate to mildly inappropriate prescriptions (MAI 0-5 points: n=350 patients). Randomisation revealed balanced groups (IG: 36 practices/252 patients; CG: 36/253). Intervention had no significant effect on primary outcome: mean MAI sum scores decreased by 0.3 points in IG and 0.8 points in CG, resulting in a non-significant adjusted mean difference of 0.7 (95% CI -0.2 to 1.6) points in favour of CG. Secondary outcomes showed non-significant changes (quality of life slightly improved in IG but continued to decline in CG) or remained stable (functioning, medication adherence). CONCLUSIONS The intervention had no significant effects. Many patients already received appropriate prescriptions and enjoyed good quality of life and functional status. We can therefore conclude that in our study, there was not enough scope for improvement. TRIAL REGISTRATION NUMBER ISRCTN99526053. NCT01171339; Results.","author":[{"dropping-particle":"","family":"Muth","given":"Christiane","non-dropping-particle":"","parse-names":false,"suffix":""},{"dropping-particle":"","family":"Uhlmann","given":"Lorenz","non-dropping-particle":"","parse-names":false,"suffix":""},{"dropping-particle":"","family":"Haefeli","given":"Walter E","non-dropping-particle":"","parse-names":false,"suffix":""},{"dropping-particle":"","family":"Rochon","given":"Justine","non-dropping-particle":"","parse-names":false,"suffix":""},{"dropping-particle":"","family":"Akker","given":"Marjan","non-dropping-particle":"van den","parse-names":false,"suffix":""},{"dropping-particle":"","family":"Perera","given":"Rafael","non-dropping-particle":"","parse-names":false,"suffix":""},{"dropping-particle":"","family":"Güthlin","given":"Corina","non-dropping-particle":"","parse-names":false,"suffix":""},{"dropping-particle":"","family":"Beyer","given":"Martin","non-dropping-particle":"","parse-names":false,"suffix":""},{"dropping-particle":"","family":"Oswald","given":"Frank","non-dropping-particle":"","parse-names":false,"suffix":""},{"dropping-particle":"","family":"Valderas","given":"Jose Maria","non-dropping-particle":"","parse-names":false,"suffix":""},{"dropping-particle":"","family":"Knottnerus","given":"J André","non-dropping-particle":"","parse-names":false,"suffix":""},{"dropping-particle":"","family":"Gerlach","given":"Ferdinand M","non-dropping-particle":"","parse-names":false,"suffix":""},{"dropping-particle":"","family":"Harder","given":"Sebastian","non-dropping-particle":"","parse-names":false,"suffix":""}],"container-title":"BMJ open","id":"ITEM-1","issue":"2","issued":{"date-parts":[["2018"]]},"page":"e017740","title":"Effectiveness of a complex intervention on Prioritising Multimedication in Multimorbidity (PRIMUM) in primary care: results of a pragmatic cluster randomised controlled trial.","type":"article-journal","volume":"8"},"uris":["http://www.mendeley.com/documents/?uuid=44a6229b-710e-4f40-bcbd-a36b4046781d"]}],"mendeley":{"formattedCitation":"(8)","plainTextFormattedCitation":"(8)","previouslyFormattedCitation":"(7)"},"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(8)</w:t>
      </w:r>
      <w:r w:rsidR="00776DB8" w:rsidRPr="00C91EF0">
        <w:rPr>
          <w:rFonts w:asciiTheme="minorHAnsi" w:hAnsiTheme="minorHAnsi" w:cstheme="minorHAnsi"/>
          <w:sz w:val="22"/>
          <w:szCs w:val="22"/>
          <w:lang w:val="en-GB"/>
        </w:rPr>
        <w:fldChar w:fldCharType="end"/>
      </w:r>
      <w:r w:rsidR="006B5278" w:rsidRPr="00C91EF0">
        <w:rPr>
          <w:rFonts w:asciiTheme="minorHAnsi" w:hAnsiTheme="minorHAnsi" w:cstheme="minorHAnsi"/>
          <w:sz w:val="22"/>
          <w:szCs w:val="22"/>
          <w:lang w:val="en-GB"/>
        </w:rPr>
        <w:t>.</w:t>
      </w:r>
      <w:r w:rsidR="008B0029" w:rsidRPr="00C91EF0">
        <w:rPr>
          <w:rFonts w:asciiTheme="minorHAnsi" w:hAnsiTheme="minorHAnsi" w:cstheme="minorHAnsi"/>
          <w:sz w:val="22"/>
          <w:szCs w:val="22"/>
          <w:lang w:val="en-GB"/>
        </w:rPr>
        <w:t xml:space="preserve"> </w:t>
      </w:r>
      <w:r w:rsidR="00131CEA">
        <w:rPr>
          <w:rFonts w:asciiTheme="minorHAnsi" w:hAnsiTheme="minorHAnsi" w:cstheme="minorHAnsi"/>
          <w:sz w:val="22"/>
          <w:szCs w:val="22"/>
          <w:lang w:val="en-GB"/>
        </w:rPr>
        <w:t xml:space="preserve">As the multimorbid population is </w:t>
      </w:r>
      <w:r w:rsidR="008B0029" w:rsidRPr="00C91EF0">
        <w:rPr>
          <w:rFonts w:asciiTheme="minorHAnsi" w:hAnsiTheme="minorHAnsi" w:cstheme="minorHAnsi"/>
          <w:sz w:val="22"/>
          <w:szCs w:val="22"/>
          <w:lang w:val="en-GB"/>
        </w:rPr>
        <w:t>heterogeneous</w:t>
      </w:r>
      <w:r w:rsidR="00131CEA">
        <w:rPr>
          <w:rFonts w:asciiTheme="minorHAnsi" w:hAnsiTheme="minorHAnsi" w:cstheme="minorHAnsi"/>
          <w:sz w:val="22"/>
          <w:szCs w:val="22"/>
          <w:lang w:val="en-GB"/>
        </w:rPr>
        <w:t xml:space="preserve">, </w:t>
      </w:r>
      <w:r w:rsidR="008B0029" w:rsidRPr="00C91EF0">
        <w:rPr>
          <w:rFonts w:asciiTheme="minorHAnsi" w:hAnsiTheme="minorHAnsi" w:cstheme="minorHAnsi"/>
          <w:sz w:val="22"/>
          <w:szCs w:val="22"/>
          <w:lang w:val="en-GB"/>
        </w:rPr>
        <w:t xml:space="preserve">it would be helpful to identify patients at high risk of </w:t>
      </w:r>
      <w:proofErr w:type="spellStart"/>
      <w:r w:rsidR="00000C93">
        <w:rPr>
          <w:rFonts w:asciiTheme="minorHAnsi" w:hAnsiTheme="minorHAnsi" w:cstheme="minorHAnsi"/>
          <w:sz w:val="22"/>
          <w:szCs w:val="22"/>
          <w:lang w:val="en-GB"/>
        </w:rPr>
        <w:t>d</w:t>
      </w:r>
      <w:r w:rsidR="008B0029" w:rsidRPr="00C91EF0">
        <w:rPr>
          <w:rFonts w:asciiTheme="minorHAnsi" w:hAnsiTheme="minorHAnsi" w:cstheme="minorHAnsi"/>
          <w:sz w:val="22"/>
          <w:szCs w:val="22"/>
          <w:lang w:val="en-GB"/>
        </w:rPr>
        <w:t>HRQoL</w:t>
      </w:r>
      <w:proofErr w:type="spellEnd"/>
      <w:r w:rsidR="008B0029" w:rsidRPr="00C91EF0">
        <w:rPr>
          <w:rFonts w:asciiTheme="minorHAnsi" w:hAnsiTheme="minorHAnsi" w:cstheme="minorHAnsi"/>
          <w:sz w:val="22"/>
          <w:szCs w:val="22"/>
          <w:lang w:val="en-GB"/>
        </w:rPr>
        <w:t xml:space="preserve"> </w:t>
      </w:r>
      <w:r w:rsidR="006A1349" w:rsidRPr="00C91EF0">
        <w:rPr>
          <w:rFonts w:asciiTheme="minorHAnsi" w:hAnsiTheme="minorHAnsi" w:cstheme="minorHAnsi"/>
          <w:sz w:val="22"/>
          <w:szCs w:val="22"/>
          <w:lang w:val="en-GB"/>
        </w:rPr>
        <w:t xml:space="preserve">because </w:t>
      </w:r>
      <w:r w:rsidR="00A65EEE">
        <w:rPr>
          <w:rFonts w:asciiTheme="minorHAnsi" w:hAnsiTheme="minorHAnsi" w:cstheme="minorHAnsi"/>
          <w:sz w:val="22"/>
          <w:szCs w:val="22"/>
          <w:lang w:val="en-GB"/>
        </w:rPr>
        <w:t xml:space="preserve">those </w:t>
      </w:r>
      <w:r w:rsidR="008A544B">
        <w:rPr>
          <w:rFonts w:asciiTheme="minorHAnsi" w:hAnsiTheme="minorHAnsi" w:cstheme="minorHAnsi"/>
          <w:sz w:val="22"/>
          <w:szCs w:val="22"/>
          <w:lang w:val="en-GB"/>
        </w:rPr>
        <w:t xml:space="preserve">with high baseline risk and/or higher severity of disease may </w:t>
      </w:r>
      <w:r w:rsidR="00A65EEE">
        <w:rPr>
          <w:rFonts w:asciiTheme="minorHAnsi" w:hAnsiTheme="minorHAnsi" w:cstheme="minorHAnsi"/>
          <w:sz w:val="22"/>
          <w:szCs w:val="22"/>
          <w:lang w:val="en-GB"/>
        </w:rPr>
        <w:t xml:space="preserve">generally be expected to </w:t>
      </w:r>
      <w:r w:rsidR="008A544B">
        <w:rPr>
          <w:rFonts w:asciiTheme="minorHAnsi" w:hAnsiTheme="minorHAnsi" w:cstheme="minorHAnsi"/>
          <w:sz w:val="22"/>
          <w:szCs w:val="22"/>
          <w:lang w:val="en-GB"/>
        </w:rPr>
        <w:t xml:space="preserve">benefit more </w:t>
      </w:r>
      <w:r w:rsidR="008B0029" w:rsidRPr="00C91EF0">
        <w:rPr>
          <w:rFonts w:asciiTheme="minorHAnsi" w:hAnsiTheme="minorHAnsi" w:cstheme="minorHAnsi"/>
          <w:sz w:val="22"/>
          <w:szCs w:val="22"/>
          <w:lang w:val="en-GB"/>
        </w:rPr>
        <w:t>from (complex) interventions</w:t>
      </w:r>
      <w:r w:rsidR="008A544B">
        <w:rPr>
          <w:rFonts w:asciiTheme="minorHAnsi" w:hAnsiTheme="minorHAnsi" w:cstheme="minorHAnsi"/>
          <w:sz w:val="22"/>
          <w:szCs w:val="22"/>
          <w:lang w:val="en-GB"/>
        </w:rPr>
        <w:t xml:space="preserve"> </w:t>
      </w:r>
      <w:r w:rsidR="006819A8">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{"citationItems":[{"id":"ITEM-1","itemData":{"DOI":"10.1136/bmj.311.7016.1356","ISSN":"0959-8138","author":[{"dropping-particle":"","family":"Glasziou","given":"P. P","non-dropping-particle":"","parse-names":false,"suffix":""},{"dropping-particle":"","family":"Irwig","given":"L. M","non-dropping-particle":"","parse-names":false,"suffix":""}],"container-title":"BMJ","id":"ITEM-1","issue":"7016","issued":{"date-parts":[["1995","11","18"]]},"page":"1356-1359","title":"An evidence based approach to individualising treatment","type":"article-journal","volume":"311"},"uris":["http://www.mendeley.com/documents/?uuid=0a02939b-5233-4b15-aa3f-6b2a58e5e12a"]}],"mendeley":{"formattedCitation":"(9)","plainTextFormattedCitation":"(9)","previouslyFormattedCitation":"(8)"},"properties":{"noteIndex":0},"schema":"https://github.com/citation-style-language/schema/raw/master/csl-citation.json"}</w:instrText>
      </w:r>
      <w:r w:rsidR="006819A8">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(9)</w:t>
      </w:r>
      <w:r w:rsidR="006819A8">
        <w:rPr>
          <w:rFonts w:asciiTheme="minorHAnsi" w:hAnsiTheme="minorHAnsi" w:cstheme="minorHAnsi"/>
          <w:sz w:val="22"/>
          <w:szCs w:val="22"/>
          <w:lang w:val="en-GB"/>
        </w:rPr>
        <w:fldChar w:fldCharType="end"/>
      </w:r>
      <w:r w:rsidR="008B0029" w:rsidRPr="00C91EF0">
        <w:rPr>
          <w:rFonts w:asciiTheme="minorHAnsi" w:hAnsiTheme="minorHAnsi" w:cstheme="minorHAnsi"/>
          <w:sz w:val="22"/>
          <w:szCs w:val="22"/>
          <w:lang w:val="en-GB"/>
        </w:rPr>
        <w:t xml:space="preserve">. </w:t>
      </w:r>
      <w:r w:rsidR="00E4342D" w:rsidRPr="00C91EF0">
        <w:rPr>
          <w:rFonts w:asciiTheme="minorHAnsi" w:hAnsiTheme="minorHAnsi" w:cstheme="minorHAnsi"/>
          <w:sz w:val="22"/>
          <w:szCs w:val="22"/>
          <w:lang w:val="en-GB"/>
        </w:rPr>
        <w:t>Furthermore, r</w:t>
      </w:r>
      <w:r w:rsidR="003303CB" w:rsidRPr="00C91EF0">
        <w:rPr>
          <w:rFonts w:asciiTheme="minorHAnsi" w:hAnsiTheme="minorHAnsi" w:cstheme="minorHAnsi"/>
          <w:sz w:val="22"/>
          <w:szCs w:val="22"/>
          <w:lang w:val="en-GB"/>
        </w:rPr>
        <w:t xml:space="preserve">isk stratification </w:t>
      </w:r>
      <w:r w:rsidR="005D720D">
        <w:rPr>
          <w:rFonts w:asciiTheme="minorHAnsi" w:hAnsiTheme="minorHAnsi" w:cstheme="minorHAnsi"/>
          <w:sz w:val="22"/>
          <w:szCs w:val="22"/>
          <w:lang w:val="en-GB"/>
        </w:rPr>
        <w:t xml:space="preserve">may </w:t>
      </w:r>
      <w:r w:rsidR="00BC4CEE" w:rsidRPr="00C91EF0">
        <w:rPr>
          <w:rFonts w:asciiTheme="minorHAnsi" w:hAnsiTheme="minorHAnsi" w:cstheme="minorHAnsi"/>
          <w:sz w:val="22"/>
          <w:szCs w:val="22"/>
          <w:lang w:val="en-GB"/>
        </w:rPr>
        <w:t>help allocat</w:t>
      </w:r>
      <w:r w:rsidR="00000C93">
        <w:rPr>
          <w:rFonts w:asciiTheme="minorHAnsi" w:hAnsiTheme="minorHAnsi" w:cstheme="minorHAnsi"/>
          <w:sz w:val="22"/>
          <w:szCs w:val="22"/>
          <w:lang w:val="en-GB"/>
        </w:rPr>
        <w:t xml:space="preserve">e </w:t>
      </w:r>
      <w:r w:rsidR="00BC4CEE" w:rsidRPr="00C91EF0">
        <w:rPr>
          <w:rFonts w:asciiTheme="minorHAnsi" w:hAnsiTheme="minorHAnsi" w:cstheme="minorHAnsi"/>
          <w:sz w:val="22"/>
          <w:szCs w:val="22"/>
          <w:lang w:val="en-GB"/>
        </w:rPr>
        <w:t xml:space="preserve">resources to </w:t>
      </w:r>
      <w:r w:rsidR="00000C93">
        <w:rPr>
          <w:rFonts w:asciiTheme="minorHAnsi" w:hAnsiTheme="minorHAnsi" w:cstheme="minorHAnsi"/>
          <w:sz w:val="22"/>
          <w:szCs w:val="22"/>
          <w:lang w:val="en-GB"/>
        </w:rPr>
        <w:t xml:space="preserve">the high-risk </w:t>
      </w:r>
      <w:r w:rsidR="00BC4CEE" w:rsidRPr="00C91EF0">
        <w:rPr>
          <w:rFonts w:asciiTheme="minorHAnsi" w:hAnsiTheme="minorHAnsi" w:cstheme="minorHAnsi"/>
          <w:sz w:val="22"/>
          <w:szCs w:val="22"/>
          <w:lang w:val="en-GB"/>
        </w:rPr>
        <w:t xml:space="preserve">patients </w:t>
      </w:r>
      <w:r w:rsidR="000F5758" w:rsidRPr="00C91EF0">
        <w:rPr>
          <w:rFonts w:asciiTheme="minorHAnsi" w:hAnsiTheme="minorHAnsi" w:cstheme="minorHAnsi"/>
          <w:sz w:val="22"/>
          <w:szCs w:val="22"/>
          <w:lang w:val="en-GB"/>
        </w:rPr>
        <w:t>th</w:t>
      </w:r>
      <w:r w:rsidR="00000C93">
        <w:rPr>
          <w:rFonts w:asciiTheme="minorHAnsi" w:hAnsiTheme="minorHAnsi" w:cstheme="minorHAnsi"/>
          <w:sz w:val="22"/>
          <w:szCs w:val="22"/>
          <w:lang w:val="en-GB"/>
        </w:rPr>
        <w:t xml:space="preserve">at are expected to benefit most </w:t>
      </w:r>
      <w:r w:rsidR="003303CB" w:rsidRPr="00C91EF0">
        <w:rPr>
          <w:rFonts w:asciiTheme="minorHAnsi" w:hAnsiTheme="minorHAnsi" w:cstheme="minorHAnsi"/>
          <w:sz w:val="22"/>
          <w:szCs w:val="22"/>
          <w:lang w:val="en-GB"/>
        </w:rPr>
        <w:t xml:space="preserve">from </w:t>
      </w:r>
      <w:r w:rsidR="00BC4CEE" w:rsidRPr="00C91EF0">
        <w:rPr>
          <w:rFonts w:asciiTheme="minorHAnsi" w:hAnsiTheme="minorHAnsi" w:cstheme="minorHAnsi"/>
          <w:sz w:val="22"/>
          <w:szCs w:val="22"/>
          <w:lang w:val="en-GB"/>
        </w:rPr>
        <w:t>targeted interventions</w:t>
      </w:r>
      <w:r w:rsidR="00400987">
        <w:rPr>
          <w:rFonts w:asciiTheme="minorHAnsi" w:hAnsiTheme="minorHAnsi" w:cstheme="minorHAnsi"/>
          <w:sz w:val="22"/>
          <w:szCs w:val="22"/>
          <w:lang w:val="en-GB"/>
        </w:rPr>
        <w:t xml:space="preserve"> </w:t>
      </w:r>
      <w:r w:rsidR="00776DB8">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{"citationItems":[{"id":"ITEM-1","itemData":{"DOI":"10.1001/jamainternmed.2019.5096","ISSN":"2168-6106","PMID":"31617562","abstract":"Importance: Polypharmacy and inappropriate drug regimens are major health concerns among older adults. Various interventions focused on medication optimization strategies have been carried out, but the effect on patient-relevant outcomes remains uncertain. Objective: To investigate the effect of clinical geriatric assessments and collaborative medication reviews by geriatrician and family physician (FP) on health-related quality of life and other patient-relevant outcomes in home-dwelling older patients receiving polypharmacy. Design, Setting, and Participants: Cluster randomized, single-blind, clinical trial. Norwegian FPs were recruited from March 17, 2015, to March 16, 2017, to participate in the trial with their eligible patients. Participants were home-dwelling patients 70 years or older, using at least 7 medications regularly, and having their medications administered by the home nursing service. Patients in the control group received usual care. Randomization occurred at the FP level. A modified intent-to-treat analysis was used. Intervention: The intervention consisted of 3 main parts: (1) clinical geriatric assessment of the patients combined with a thorough review of their medications; (2) a meeting between the geriatrician and the FP; and (3) clinical follow-up. Main Outcomes and Measures: The primary outcome was health-related quality of life as assessed by the 15D instrument (score range, 0-1; higher scores indicate better quality of life, with a minimum clinically important change of ±0.015) at week 16. Secondary outcomes included changes in medication appropriateness, physical and cognitive functioning, use of health services, and mortality. Results: Among 174 patients (mean [SD] age, 83.3 [7.3] years; 67.8% women; 87 randomized to the intervention group and 87 randomized to the control [usual care] group) in 70 FP clusters (36 intervention and 34 control), 158 (90.8%) completed the trial. The mean (SD) 15D instrument score at baseline was 0.708 (0.121) in the intervention group and 0.714 (0.113) in the control group. At week 16, the mean (SD) 15D instrument score was 0.698 (0.164) in the intervention group and 0.655 (0.184) in the control group, with an estimated between-group difference of 0.045 (95% CI, 0.004-0.086; P =.03). Several secondary outcomes were also in favor of the intervention. There were more drug withdrawals, reduced dosages, and new drug regimens started in the intervention group. Conclusions and Relevance: This study's…","author":[{"dropping-particle":"","family":"Romskaug","given":"Rita","non-dropping-particle":"","parse-names":false,"suffix":""},{"dropping-particle":"","family":"Skovlund","given":"Eva","non-dropping-particle":"","parse-names":false,"suffix":""},{"dropping-particle":"","family":"Straand","given":"Jørund","non-dropping-particle":"","parse-names":false,"suffix":""},{"dropping-particle":"","family":"Molden","given":"Espen","non-dropping-particle":"","parse-names":false,"suffix":""},{"dropping-particle":"","family":"Kersten","given":"Hege","non-dropping-particle":"","parse-names":false,"suffix":""},{"dropping-particle":"","family":"Pitkala","given":"Kaisu H.","non-dropping-particle":"","parse-names":false,"suffix":""},{"dropping-particle":"","family":"Lundqvist","given":"Christofer","non-dropping-particle":"","parse-names":false,"suffix":""},{"dropping-particle":"","family":"Wyller","given":"Torgeir B.","non-dropping-particle":"","parse-names":false,"suffix":""}],"container-title":"JAMA Internal Medicine","id":"ITEM-1","issue":"2","issued":{"date-parts":[["2020","2","1"]]},"page":"181","title":"Effect of Clinical Geriatric Assessments and Collaborative Medication Reviews by Geriatrician and Family Physician for Improving Health-Related Quality of Life in Home-Dwelling Older Patients Receiving Polypharmacy","type":"article-journal","volume":"180"},"uris":["http://www.mendeley.com/documents/?uuid=8c3be2cc-4e7e-4e10-b5c0-c26f9ca39c95"]},{"id":"ITEM-2","itemData":{"DOI":"10.1002/14651858.CD008165.pub4","ISSN":"14651858","author":[{"dropping-particle":"","family":"Rankin","given":"Audrey","non-dropping-particle":"","parse-names":false,"suffix":""},{"dropping-particle":"","family":"Cadogan","given":"Cathal A","non-dropping-particle":"","parse-names":false,"suffix":""},{"dropping-particle":"","family":"Patterson","given":"Susan M","non-dropping-particle":"","parse-names":false,"suffix":""},{"dropping-particle":"","family":"Kerse","given":"Ngaire","non-dropping-particle":"","parse-names":false,"suffix":""},{"dropping-particle":"","family":"Cardwell","given":"Chris R","non-dropping-particle":"","parse-names":false,"suffix":""},{"dropping-particle":"","family":"Bradley","given":"Marie C","non-dropping-particle":"","parse-names":false,"suffix":""},{"dropping-particle":"","family":"Ryan","given":"Cristin","non-dropping-particle":"","parse-names":false,"suffix":""},{"dropping-particle":"","family":"Hughes","given":"Carmel","non-dropping-particle":"","parse-names":false,"suffix":""}],"container-title":"Cochrane Database of Systematic Reviews","id":"ITEM-2","issued":{"date-parts":[["2018","9","3"]]},"title":"Interventions to improve the appropriate use of polypharmacy for older people","type":"article-journal","volume":"9"},"uris":["http://www.mendeley.com/documents/?uuid=4f932c1e-2d29-41ed-a4fe-54dfbc98acf6"]},{"id":"ITEM-3","itemData":{"DOI":"10.1002/14651858.CD006560.pub3","author":[{"dropping-particle":"","family":"Smith","given":"Susan M","non-dropping-particle":"","parse-names":false,"suffix":""},{"dropping-particle":"","family":"Wallace","given":"Emma","non-dropping-particle":"","parse-names":false,"suffix":""},{"dropping-particle":"","family":"O'Dowd","given":"Tom","non-dropping-particle":"","parse-names":false,"suffix":""},{"dropping-particle":"","family":"Fortin","given":"Martin","non-dropping-particle":"","parse-names":false,"suffix":""}],"container-title":"Cochrane Database of Systematic Reviews","editor":[{"dropping-particle":"","family":"Smith","given":"Susan M","non-dropping-particle":"","parse-names":false,"suffix":""}],"id":"ITEM-3","issued":{"date-parts":[["2016","3","14"]]},"publisher":"John Wiley &amp; Sons, Ltd","publisher-place":"Chichester, UK","title":"Interventions for improving outcomes in patients with multimorbidity in primary care and community settings","type":"chapter"},"uris":["http://www.mendeley.com/documents/?uuid=28895b9a-4661-4fcb-88f5-0b254a42e723"]}],"mendeley":{"formattedCitation":"(10–12)","plainTextFormattedCitation":"(10–12)","previouslyFormattedCitation":"(9–11)"},"properties":{"noteIndex":0},"schema":"https://github.com/citation-style-language/schema/raw/master/csl-citation.json"}</w:instrText>
      </w:r>
      <w:r w:rsidR="00776DB8">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(10–12)</w:t>
      </w:r>
      <w:r w:rsidR="00776DB8">
        <w:rPr>
          <w:rFonts w:asciiTheme="minorHAnsi" w:hAnsiTheme="minorHAnsi" w:cstheme="minorHAnsi"/>
          <w:sz w:val="22"/>
          <w:szCs w:val="22"/>
          <w:lang w:val="en-GB"/>
        </w:rPr>
        <w:fldChar w:fldCharType="end"/>
      </w:r>
      <w:r w:rsidR="003303CB" w:rsidRPr="00C91EF0">
        <w:rPr>
          <w:rFonts w:asciiTheme="minorHAnsi" w:hAnsiTheme="minorHAnsi" w:cstheme="minorHAnsi"/>
          <w:sz w:val="22"/>
          <w:szCs w:val="22"/>
          <w:lang w:val="en-GB"/>
        </w:rPr>
        <w:t>.</w:t>
      </w:r>
    </w:p>
    <w:p w14:paraId="029C71DD" w14:textId="2898AE93" w:rsidR="00BB715D" w:rsidRPr="00C91EF0" w:rsidRDefault="006B6DE6" w:rsidP="00253ABC">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Prognostic</w:t>
      </w:r>
      <w:r w:rsidR="00253ABC" w:rsidRPr="00C91EF0">
        <w:rPr>
          <w:rFonts w:asciiTheme="minorHAnsi" w:hAnsiTheme="minorHAnsi" w:cstheme="minorHAnsi"/>
          <w:sz w:val="22"/>
          <w:szCs w:val="22"/>
          <w:lang w:val="en-GB"/>
        </w:rPr>
        <w:t xml:space="preserve"> models are generally considered </w:t>
      </w:r>
      <w:r w:rsidR="00000C93">
        <w:rPr>
          <w:rFonts w:asciiTheme="minorHAnsi" w:hAnsiTheme="minorHAnsi" w:cstheme="minorHAnsi"/>
          <w:sz w:val="22"/>
          <w:szCs w:val="22"/>
          <w:lang w:val="en-GB"/>
        </w:rPr>
        <w:t xml:space="preserve">to be </w:t>
      </w:r>
      <w:r w:rsidR="00253ABC" w:rsidRPr="00C91EF0">
        <w:rPr>
          <w:rFonts w:asciiTheme="minorHAnsi" w:hAnsiTheme="minorHAnsi" w:cstheme="minorHAnsi"/>
          <w:sz w:val="22"/>
          <w:szCs w:val="22"/>
          <w:lang w:val="en-GB"/>
        </w:rPr>
        <w:t>important tools t</w:t>
      </w:r>
      <w:r w:rsidR="00000C93">
        <w:rPr>
          <w:rFonts w:asciiTheme="minorHAnsi" w:hAnsiTheme="minorHAnsi" w:cstheme="minorHAnsi"/>
          <w:sz w:val="22"/>
          <w:szCs w:val="22"/>
          <w:lang w:val="en-GB"/>
        </w:rPr>
        <w:t xml:space="preserve">o </w:t>
      </w:r>
      <w:r w:rsidR="00253ABC" w:rsidRPr="00C91EF0">
        <w:rPr>
          <w:rFonts w:asciiTheme="minorHAnsi" w:hAnsiTheme="minorHAnsi" w:cstheme="minorHAnsi"/>
          <w:sz w:val="22"/>
          <w:szCs w:val="22"/>
          <w:lang w:val="en-GB"/>
        </w:rPr>
        <w:t xml:space="preserve">help target interventions and improve clinical and economic outcomes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{"citationItems":[{"id":"ITEM-1","itemData":{"DOI":"10.1007/s00228-016-2184-0","ISSN":"0031-6970","PMID":"28013365","abstract":"BACKGROUND Risk prediction models can be powerful tools to support clinical decision-making, to help targeting interventions, and, thus, to improve clinical and economic outcomes, provided that model performance is good and sensitivity and specificity are well balanced. Drug utilization as a potential risk factor for unplanned hospitalizations has recently emerged as a meaningful predictor variable in such models. Drug treatment is a rather unstable (i.e. time-dependent) phenomenon and most drug-induced events are concentration-dependent and therefore individual drug exposure will likely modulate the risk. This especially applies to longitudinal monitoring of appropriate drug treatment within claims data as another promising application for prediction models. METHODS AND RESULTS To guide future research towards this direction, we firstly reviewed current risk prediction models for unplanned hospitalizations that explicitly included information on drug utilization and were surprised to find that these models rarely attempted to consider dose and frequent modulators of drug clearance such as interactions with co-medication or co-morbidities. As another example, they often presumed class effects where in fact, differences between active moieties were well established. In addition, the study designs and statistical risk analysis disregarded the fact that medication and risk modulators and, thus, adverse events can vary over time. In a simulation study, we therefore evaluated the potential benefit of time-dependent Cox models over standard binary regression approaches with a fixed follow-up period. CONCLUSIONS Longitudinal drug information could be utilized much more efficiently both by precisely estimating individual drug exposure and by applying more refined statistical methodology to account for time-dependent drug utilization patterns.","author":[{"dropping-particle":"","family":"Meid","given":"Andreas D","non-dropping-particle":"","parse-names":false,"suffix":""},{"dropping-particle":"","family":"Groll","given":"Andreas","non-dropping-particle":"","parse-names":false,"suffix":""},{"dropping-particle":"","family":"Schieborr","given":"Ulrich","non-dropping-particle":"","parse-names":false,"suffix":""},{"dropping-particle":"","family":"Walker","given":"Jochen","non-dropping-particle":"","parse-names":false,"suffix":""},{"dropping-particle":"","family":"Haefeli","given":"Walter E","non-dropping-particle":"","parse-names":false,"suffix":""}],"container-title":"European Journal of Clinical Pharmacology","id":"ITEM-1","issue":"3","issued":{"date-parts":[["2017","3","24"]]},"page":"373-380","title":"How can we define and analyse drug exposure more precisely to improve the prediction of hospitalizations in longitudinal (claims) data?","type":"article-journal","volume":"73"},"uris":["http://www.mendeley.com/documents/?uuid=6c59202a-e2c1-46c8-917c-679755a1baa7"]}],"mendeley":{"formattedCitation":"(13)","plainTextFormattedCitation":"(13)","previouslyFormattedCitation":"(12)"},"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(13)</w:t>
      </w:r>
      <w:r w:rsidR="00776DB8" w:rsidRPr="00C91EF0">
        <w:rPr>
          <w:rFonts w:asciiTheme="minorHAnsi" w:hAnsiTheme="minorHAnsi" w:cstheme="minorHAnsi"/>
          <w:sz w:val="22"/>
          <w:szCs w:val="22"/>
          <w:lang w:val="en-GB"/>
        </w:rPr>
        <w:fldChar w:fldCharType="end"/>
      </w:r>
      <w:r w:rsidR="00253ABC" w:rsidRPr="00C91EF0">
        <w:rPr>
          <w:rFonts w:asciiTheme="minorHAnsi" w:hAnsiTheme="minorHAnsi" w:cstheme="minorHAnsi"/>
          <w:sz w:val="22"/>
          <w:szCs w:val="22"/>
          <w:lang w:val="en-GB"/>
        </w:rPr>
        <w:t xml:space="preserve">. </w:t>
      </w:r>
      <w:r w:rsidR="006A1349" w:rsidRPr="00C91EF0">
        <w:rPr>
          <w:rFonts w:asciiTheme="minorHAnsi" w:hAnsiTheme="minorHAnsi" w:cstheme="minorHAnsi"/>
          <w:sz w:val="22"/>
          <w:szCs w:val="22"/>
          <w:lang w:val="en-GB"/>
        </w:rPr>
        <w:t>When f</w:t>
      </w:r>
      <w:r w:rsidR="00253ABC" w:rsidRPr="00C91EF0">
        <w:rPr>
          <w:rFonts w:asciiTheme="minorHAnsi" w:hAnsiTheme="minorHAnsi" w:cstheme="minorHAnsi"/>
          <w:sz w:val="22"/>
          <w:szCs w:val="22"/>
          <w:lang w:val="en-GB"/>
        </w:rPr>
        <w:t xml:space="preserve">ocusing on </w:t>
      </w:r>
      <w:proofErr w:type="spellStart"/>
      <w:r w:rsidR="00000C93">
        <w:rPr>
          <w:rFonts w:asciiTheme="minorHAnsi" w:hAnsiTheme="minorHAnsi" w:cstheme="minorHAnsi"/>
          <w:sz w:val="22"/>
          <w:szCs w:val="22"/>
          <w:lang w:val="en-GB"/>
        </w:rPr>
        <w:t>d</w:t>
      </w:r>
      <w:r w:rsidR="00253ABC" w:rsidRPr="00C91EF0">
        <w:rPr>
          <w:rFonts w:asciiTheme="minorHAnsi" w:hAnsiTheme="minorHAnsi" w:cstheme="minorHAnsi"/>
          <w:sz w:val="22"/>
          <w:szCs w:val="22"/>
          <w:lang w:val="en-GB"/>
        </w:rPr>
        <w:t>HRQoL</w:t>
      </w:r>
      <w:proofErr w:type="spellEnd"/>
      <w:r w:rsidR="00253ABC" w:rsidRPr="00C91EF0">
        <w:rPr>
          <w:rFonts w:asciiTheme="minorHAnsi" w:hAnsiTheme="minorHAnsi" w:cstheme="minorHAnsi"/>
          <w:sz w:val="22"/>
          <w:szCs w:val="22"/>
          <w:lang w:val="en-GB"/>
        </w:rPr>
        <w:t xml:space="preserve">, it </w:t>
      </w:r>
      <w:r w:rsidR="00000C93">
        <w:rPr>
          <w:rFonts w:asciiTheme="minorHAnsi" w:hAnsiTheme="minorHAnsi" w:cstheme="minorHAnsi"/>
          <w:sz w:val="22"/>
          <w:szCs w:val="22"/>
          <w:lang w:val="en-GB"/>
        </w:rPr>
        <w:t xml:space="preserve">is </w:t>
      </w:r>
      <w:r w:rsidR="00253ABC" w:rsidRPr="00C91EF0">
        <w:rPr>
          <w:rFonts w:asciiTheme="minorHAnsi" w:hAnsiTheme="minorHAnsi" w:cstheme="minorHAnsi"/>
          <w:sz w:val="22"/>
          <w:szCs w:val="22"/>
          <w:lang w:val="en-GB"/>
        </w:rPr>
        <w:t xml:space="preserve">of fundamental importance to </w:t>
      </w:r>
      <w:r w:rsidR="00000C93">
        <w:rPr>
          <w:rFonts w:asciiTheme="minorHAnsi" w:hAnsiTheme="minorHAnsi" w:cstheme="minorHAnsi"/>
          <w:sz w:val="22"/>
          <w:szCs w:val="22"/>
          <w:lang w:val="en-GB"/>
        </w:rPr>
        <w:t xml:space="preserve">hinder as far as possible </w:t>
      </w:r>
      <w:r w:rsidR="00253ABC" w:rsidRPr="00C91EF0">
        <w:rPr>
          <w:rFonts w:asciiTheme="minorHAnsi" w:hAnsiTheme="minorHAnsi" w:cstheme="minorHAnsi"/>
          <w:sz w:val="22"/>
          <w:szCs w:val="22"/>
          <w:lang w:val="en-GB"/>
        </w:rPr>
        <w:t xml:space="preserve">the natural </w:t>
      </w:r>
      <w:r w:rsidR="00BA2877" w:rsidRPr="00C91EF0">
        <w:rPr>
          <w:rFonts w:asciiTheme="minorHAnsi" w:hAnsiTheme="minorHAnsi" w:cstheme="minorHAnsi"/>
          <w:sz w:val="22"/>
          <w:szCs w:val="22"/>
          <w:lang w:val="en-GB"/>
        </w:rPr>
        <w:t xml:space="preserve">slow </w:t>
      </w:r>
      <w:r w:rsidR="00253ABC" w:rsidRPr="00C91EF0">
        <w:rPr>
          <w:rFonts w:asciiTheme="minorHAnsi" w:hAnsiTheme="minorHAnsi" w:cstheme="minorHAnsi"/>
          <w:sz w:val="22"/>
          <w:szCs w:val="22"/>
          <w:lang w:val="en-GB"/>
        </w:rPr>
        <w:t xml:space="preserve">decline in longitudinal trajectories of </w:t>
      </w:r>
      <w:r w:rsidR="00697244" w:rsidRPr="00C91EF0">
        <w:rPr>
          <w:rFonts w:asciiTheme="minorHAnsi" w:hAnsiTheme="minorHAnsi" w:cstheme="minorHAnsi"/>
          <w:sz w:val="22"/>
          <w:szCs w:val="22"/>
          <w:lang w:val="en-GB"/>
        </w:rPr>
        <w:t>HRQoL</w:t>
      </w:r>
      <w:r w:rsidR="00BA2877" w:rsidRPr="00C91EF0">
        <w:rPr>
          <w:rFonts w:asciiTheme="minorHAnsi" w:hAnsiTheme="minorHAnsi" w:cstheme="minorHAnsi"/>
          <w:sz w:val="22"/>
          <w:szCs w:val="22"/>
          <w:lang w:val="en-GB"/>
        </w:rPr>
        <w:t xml:space="preserve"> punctuated by episodes of serious exacerbations that lead to hospital admissions</w:t>
      </w:r>
      <w:r w:rsidR="00253ABC"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{"citationItems":[{"id":"ITEM-1","itemData":{"DOI":"10.1007/s00228-016-2047-8","ISSN":"0031-6970","author":[{"dropping-particle":"","family":"Meid","given":"Andreas D.","non-dropping-particle":"","parse-names":false,"suffix":""},{"dropping-particle":"","family":"Quinzler","given":"Renate","non-dropping-particle":"","parse-names":false,"suffix":""},{"dropping-particle":"","family":"Groll","given":"Andreas","non-dropping-particle":"","parse-names":false,"suffix":""},{"dropping-particle":"","family":"Wild","given":"Beate","non-dropping-particle":"","parse-names":false,"suffix":""},{"dropping-particle":"","family":"Saum","given":"Kai-Uwe","non-dropping-particle":"","parse-names":false,"suffix":""},{"dropping-particle":"","family":"Schöttker","given":"Ben","non-dropping-particle":"","parse-names":false,"suffix":""},{"dropping-particle":"","family":"Heider","given":"Dirk","non-dropping-particle":"","parse-names":false,"suffix":""},{"dropping-particle":"","family":"König","given":"Hans-Helmut","non-dropping-particle":"","parse-names":false,"suffix":""},{"dropping-particle":"","family":"Brenner","given":"Hermann","non-dropping-particle":"","parse-names":false,"suffix":""},{"dropping-particle":"","family":"Haefeli","given":"Walter E.","non-dropping-particle":"","parse-names":false,"suffix":""}],"container-title":"European Journal of Clinical Pharmacology","id":"ITEM-1","issue":"7","issued":{"date-parts":[["2016","7","29"]]},"page":"877-885","title":"Longitudinal evaluation of medication underuse in older outpatients and its association with quality of life","type":"article-journal","volume":"72"},"uris":["http://www.mendeley.com/documents/?uuid=60783dad-f63d-44c5-95a0-a9e0aa58387b"]},{"id":"ITEM-2","itemData":{"DOI":"10.4324/9781315665825-91","author":[{"dropping-particle":"","family":"Lynn","given":"Joanne","non-dropping-particle":"","parse-names":false,"suffix":""}],"container-title":"Hastings Center Report Special Report 35, no.6","id":"ITEM-2","issued":{"date-parts":[["2005"]]},"page":"S14-S18","title":"\"Living long in fragile health: the new demographics shape end of life care\", Improving end of life care: why has it been so difficult?","type":"chapter"},"uris":["http://www.mendeley.com/documents/?uuid=1a760f7a-9313-4c53-a653-f0ddb7d0d3b6","http://www.mendeley.com/documents/?uuid=1b675d0a-c87f-4821-99c4-6707deb216fd"]}],"mendeley":{"formattedCitation":"(14,15)","plainTextFormattedCitation":"(14,15)","previouslyFormattedCitation":"(13,14)"},"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(14,15)</w:t>
      </w:r>
      <w:r w:rsidR="00776DB8" w:rsidRPr="00C91EF0">
        <w:rPr>
          <w:rFonts w:asciiTheme="minorHAnsi" w:hAnsiTheme="minorHAnsi" w:cstheme="minorHAnsi"/>
          <w:sz w:val="22"/>
          <w:szCs w:val="22"/>
          <w:lang w:val="en-GB"/>
        </w:rPr>
        <w:fldChar w:fldCharType="end"/>
      </w:r>
      <w:r w:rsidR="00253ABC" w:rsidRPr="00C91EF0">
        <w:rPr>
          <w:rFonts w:asciiTheme="minorHAnsi" w:hAnsiTheme="minorHAnsi" w:cstheme="minorHAnsi"/>
          <w:sz w:val="22"/>
          <w:szCs w:val="22"/>
          <w:lang w:val="en-GB"/>
        </w:rPr>
        <w:t>, or, in other words, to provide ‘upstream’ preventive care to patients in need before ‘downstream’ morbidity and expenditure</w:t>
      </w:r>
      <w:r w:rsidR="00131CEA">
        <w:rPr>
          <w:rFonts w:asciiTheme="minorHAnsi" w:hAnsiTheme="minorHAnsi" w:cstheme="minorHAnsi"/>
          <w:sz w:val="22"/>
          <w:szCs w:val="22"/>
          <w:lang w:val="en-GB"/>
        </w:rPr>
        <w:t>s</w:t>
      </w:r>
      <w:r w:rsidR="00253ABC" w:rsidRPr="00C91EF0">
        <w:rPr>
          <w:rFonts w:asciiTheme="minorHAnsi" w:hAnsiTheme="minorHAnsi" w:cstheme="minorHAnsi"/>
          <w:sz w:val="22"/>
          <w:szCs w:val="22"/>
          <w:lang w:val="en-GB"/>
        </w:rPr>
        <w:t xml:space="preserve"> occur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{"citationItems":[{"id":"ITEM-1","itemData":{"DOI":"10.1007/s00228-016-2184-0","ISSN":"0031-6970","PMID":"28013365","abstract":"BACKGROUND Risk prediction models can be powerful tools to support clinical decision-making, to help targeting interventions, and, thus, to improve clinical and economic outcomes, provided that model performance is good and sensitivity and specificity are well balanced. Drug utilization as a potential risk factor for unplanned hospitalizations has recently emerged as a meaningful predictor variable in such models. Drug treatment is a rather unstable (i.e. time-dependent) phenomenon and most drug-induced events are concentration-dependent and therefore individual drug exposure will likely modulate the risk. This especially applies to longitudinal monitoring of appropriate drug treatment within claims data as another promising application for prediction models. METHODS AND RESULTS To guide future research towards this direction, we firstly reviewed current risk prediction models for unplanned hospitalizations that explicitly included information on drug utilization and were surprised to find that these models rarely attempted to consider dose and frequent modulators of drug clearance such as interactions with co-medication or co-morbidities. As another example, they often presumed class effects where in fact, differences between active moieties were well established. In addition, the study designs and statistical risk analysis disregarded the fact that medication and risk modulators and, thus, adverse events can vary over time. In a simulation study, we therefore evaluated the potential benefit of time-dependent Cox models over standard binary regression approaches with a fixed follow-up period. CONCLUSIONS Longitudinal drug information could be utilized much more efficiently both by precisely estimating individual drug exposure and by applying more refined statistical methodology to account for time-dependent drug utilization patterns.","author":[{"dropping-particle":"","family":"Meid","given":"Andreas D","non-dropping-particle":"","parse-names":false,"suffix":""},{"dropping-particle":"","family":"Groll","given":"Andreas","non-dropping-particle":"","parse-names":false,"suffix":""},{"dropping-particle":"","family":"Schieborr","given":"Ulrich","non-dropping-particle":"","parse-names":false,"suffix":""},{"dropping-particle":"","family":"Walker","given":"Jochen","non-dropping-particle":"","parse-names":false,"suffix":""},{"dropping-particle":"","family":"Haefeli","given":"Walter E","non-dropping-particle":"","parse-names":false,"suffix":""}],"container-title":"European Journal of Clinical Pharmacology","id":"ITEM-1","issue":"3","issued":{"date-parts":[["2017","3","24"]]},"page":"373-380","title":"How can we define and analyse drug exposure more precisely to improve the prediction of hospitalizations in longitudinal (claims) data?","type":"article-journal","volume":"73"},"uris":["http://www.mendeley.com/documents/?uuid=6c59202a-e2c1-46c8-917c-679755a1baa7"]}],"mendeley":{"formattedCitation":"(13)","plainTextFormattedCitation":"(13)","previouslyFormattedCitation":"(12)"},"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(13)</w:t>
      </w:r>
      <w:r w:rsidR="00776DB8" w:rsidRPr="00C91EF0">
        <w:rPr>
          <w:rFonts w:asciiTheme="minorHAnsi" w:hAnsiTheme="minorHAnsi" w:cstheme="minorHAnsi"/>
          <w:sz w:val="22"/>
          <w:szCs w:val="22"/>
          <w:lang w:val="en-GB"/>
        </w:rPr>
        <w:fldChar w:fldCharType="end"/>
      </w:r>
      <w:r w:rsidR="00253ABC" w:rsidRPr="00C91EF0">
        <w:rPr>
          <w:rFonts w:asciiTheme="minorHAnsi" w:hAnsiTheme="minorHAnsi" w:cstheme="minorHAnsi"/>
          <w:sz w:val="22"/>
          <w:szCs w:val="22"/>
          <w:lang w:val="en-GB"/>
        </w:rPr>
        <w:t xml:space="preserve">. </w:t>
      </w:r>
      <w:r w:rsidR="00000C93">
        <w:rPr>
          <w:rFonts w:asciiTheme="minorHAnsi" w:hAnsiTheme="minorHAnsi" w:cstheme="minorHAnsi"/>
          <w:sz w:val="22"/>
          <w:szCs w:val="22"/>
          <w:lang w:val="en-GB"/>
        </w:rPr>
        <w:t xml:space="preserve">High-performance </w:t>
      </w:r>
      <w:r w:rsidR="00253ABC" w:rsidRPr="00C91EF0">
        <w:rPr>
          <w:rFonts w:asciiTheme="minorHAnsi" w:hAnsiTheme="minorHAnsi" w:cstheme="minorHAnsi"/>
          <w:sz w:val="22"/>
          <w:szCs w:val="22"/>
          <w:lang w:val="en-GB"/>
        </w:rPr>
        <w:t>pr</w:t>
      </w:r>
      <w:r w:rsidR="003278EA" w:rsidRPr="00C91EF0">
        <w:rPr>
          <w:rFonts w:asciiTheme="minorHAnsi" w:hAnsiTheme="minorHAnsi" w:cstheme="minorHAnsi"/>
          <w:sz w:val="22"/>
          <w:szCs w:val="22"/>
          <w:lang w:val="en-GB"/>
        </w:rPr>
        <w:t>ognostic</w:t>
      </w:r>
      <w:r w:rsidR="00253ABC" w:rsidRPr="00C91EF0">
        <w:rPr>
          <w:rFonts w:asciiTheme="minorHAnsi" w:hAnsiTheme="minorHAnsi" w:cstheme="minorHAnsi"/>
          <w:sz w:val="22"/>
          <w:szCs w:val="22"/>
          <w:lang w:val="en-GB"/>
        </w:rPr>
        <w:t xml:space="preserve"> models </w:t>
      </w:r>
      <w:r w:rsidR="00000C93">
        <w:rPr>
          <w:rFonts w:asciiTheme="minorHAnsi" w:hAnsiTheme="minorHAnsi" w:cstheme="minorHAnsi"/>
          <w:sz w:val="22"/>
          <w:szCs w:val="22"/>
          <w:lang w:val="en-GB"/>
        </w:rPr>
        <w:t xml:space="preserve">may </w:t>
      </w:r>
      <w:r w:rsidR="00BC4CEE" w:rsidRPr="00C91EF0">
        <w:rPr>
          <w:rFonts w:asciiTheme="minorHAnsi" w:hAnsiTheme="minorHAnsi" w:cstheme="minorHAnsi"/>
          <w:sz w:val="22"/>
          <w:szCs w:val="22"/>
          <w:lang w:val="en-GB"/>
        </w:rPr>
        <w:t xml:space="preserve">be used to </w:t>
      </w:r>
      <w:r w:rsidR="00253ABC" w:rsidRPr="00C91EF0">
        <w:rPr>
          <w:rFonts w:asciiTheme="minorHAnsi" w:hAnsiTheme="minorHAnsi" w:cstheme="minorHAnsi"/>
          <w:sz w:val="22"/>
          <w:szCs w:val="22"/>
          <w:lang w:val="en-GB"/>
        </w:rPr>
        <w:t xml:space="preserve">detect patients in need of </w:t>
      </w:r>
      <w:r w:rsidR="00BC4CEE" w:rsidRPr="00C91EF0">
        <w:rPr>
          <w:rFonts w:asciiTheme="minorHAnsi" w:hAnsiTheme="minorHAnsi" w:cstheme="minorHAnsi"/>
          <w:sz w:val="22"/>
          <w:szCs w:val="22"/>
          <w:lang w:val="en-GB"/>
        </w:rPr>
        <w:t>supportive care</w:t>
      </w:r>
      <w:r w:rsidR="00E24F4D">
        <w:rPr>
          <w:rFonts w:asciiTheme="minorHAnsi" w:hAnsiTheme="minorHAnsi" w:cstheme="minorHAnsi"/>
          <w:sz w:val="22"/>
          <w:szCs w:val="22"/>
          <w:lang w:val="en-GB"/>
        </w:rPr>
        <w:t xml:space="preserve"> </w:t>
      </w:r>
      <w:r w:rsidR="00516223">
        <w:rPr>
          <w:rFonts w:asciiTheme="minorHAnsi" w:hAnsiTheme="minorHAnsi" w:cstheme="minorHAnsi"/>
          <w:sz w:val="22"/>
          <w:szCs w:val="22"/>
          <w:lang w:val="en-GB"/>
        </w:rPr>
        <w:t xml:space="preserve">(e.g. </w:t>
      </w:r>
      <w:r w:rsidR="00E24F4D">
        <w:rPr>
          <w:rFonts w:asciiTheme="minorHAnsi" w:hAnsiTheme="minorHAnsi" w:cstheme="minorHAnsi"/>
          <w:sz w:val="22"/>
          <w:szCs w:val="22"/>
          <w:lang w:val="en-GB"/>
        </w:rPr>
        <w:t xml:space="preserve">geriatric assessment </w:t>
      </w:r>
      <w:r w:rsidR="00B60F7E">
        <w:rPr>
          <w:rFonts w:asciiTheme="minorHAnsi" w:hAnsiTheme="minorHAnsi" w:cstheme="minorHAnsi"/>
          <w:sz w:val="22"/>
          <w:szCs w:val="22"/>
          <w:lang w:val="en-GB"/>
        </w:rPr>
        <w:t>and</w:t>
      </w:r>
      <w:r w:rsidR="00E24F4D">
        <w:rPr>
          <w:rFonts w:asciiTheme="minorHAnsi" w:hAnsiTheme="minorHAnsi" w:cstheme="minorHAnsi"/>
          <w:sz w:val="22"/>
          <w:szCs w:val="22"/>
          <w:lang w:val="en-GB"/>
        </w:rPr>
        <w:t xml:space="preserve"> medication review) </w:t>
      </w:r>
      <w:r w:rsidR="00776DB8">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{"citationItems":[{"id":"ITEM-1","itemData":{"DOI":"10.1001/jamainternmed.2019.5096","ISSN":"2168-6106","PMID":"31617562","abstract":"Importance: Polypharmacy and inappropriate drug regimens are major health concerns among older adults. Various interventions focused on medication optimization strategies have been carried out, but the effect on patient-relevant outcomes remains uncertain. Objective: To investigate the effect of clinical geriatric assessments and collaborative medication reviews by geriatrician and family physician (FP) on health-related quality of life and other patient-relevant outcomes in home-dwelling older patients receiving polypharmacy. Design, Setting, and Participants: Cluster randomized, single-blind, clinical trial. Norwegian FPs were recruited from March 17, 2015, to March 16, 2017, to participate in the trial with their eligible patients. Participants were home-dwelling patients 70 years or older, using at least 7 medications regularly, and having their medications administered by the home nursing service. Patients in the control group received usual care. Randomization occurred at the FP level. A modified intent-to-treat analysis was used. Intervention: The intervention consisted of 3 main parts: (1) clinical geriatric assessment of the patients combined with a thorough review of their medications; (2) a meeting between the geriatrician and the FP; and (3) clinical follow-up. Main Outcomes and Measures: The primary outcome was health-related quality of life as assessed by the 15D instrument (score range, 0-1; higher scores indicate better quality of life, with a minimum clinically important change of ±0.015) at week 16. Secondary outcomes included changes in medication appropriateness, physical and cognitive functioning, use of health services, and mortality. Results: Among 174 patients (mean [SD] age, 83.3 [7.3] years; 67.8% women; 87 randomized to the intervention group and 87 randomized to the control [usual care] group) in 70 FP clusters (36 intervention and 34 control), 158 (90.8%) completed the trial. The mean (SD) 15D instrument score at baseline was 0.708 (0.121) in the intervention group and 0.714 (0.113) in the control group. At week 16, the mean (SD) 15D instrument score was 0.698 (0.164) in the intervention group and 0.655 (0.184) in the control group, with an estimated between-group difference of 0.045 (95% CI, 0.004-0.086; P =.03). Several secondary outcomes were also in favor of the intervention. There were more drug withdrawals, reduced dosages, and new drug regimens started in the intervention group. Conclusions and Relevance: This study's…","author":[{"dropping-particle":"","family":"Romskaug","given":"Rita","non-dropping-particle":"","parse-names":false,"suffix":""},{"dropping-particle":"","family":"Skovlund","given":"Eva","non-dropping-particle":"","parse-names":false,"suffix":""},{"dropping-particle":"","family":"Straand","given":"Jørund","non-dropping-particle":"","parse-names":false,"suffix":""},{"dropping-particle":"","family":"Molden","given":"Espen","non-dropping-particle":"","parse-names":false,"suffix":""},{"dropping-particle":"","family":"Kersten","given":"Hege","non-dropping-particle":"","parse-names":false,"suffix":""},{"dropping-particle":"","family":"Pitkala","given":"Kaisu H.","non-dropping-particle":"","parse-names":false,"suffix":""},{"dropping-particle":"","family":"Lundqvist","given":"Christofer","non-dropping-particle":"","parse-names":false,"suffix":""},{"dropping-particle":"","family":"Wyller","given":"Torgeir B.","non-dropping-particle":"","parse-names":false,"suffix":""}],"container-title":"JAMA Internal Medicine","id":"ITEM-1","issue":"2","issued":{"date-parts":[["2020","2","1"]]},"page":"181","title":"Effect of Clinical Geriatric Assessments and Collaborative Medication Reviews by Geriatrician and Family Physician for Improving Health-Related Quality of Life in Home-Dwelling Older Patients Receiving Polypharmacy","type":"article-journal","volume":"180"},"uris":["http://www.mendeley.com/documents/?uuid=8c3be2cc-4e7e-4e10-b5c0-c26f9ca39c95","http://www.mendeley.com/documents/?uuid=caacdbca-8e25-4834-9119-b3aa5ec94260"]},{"id":"ITEM-2","itemData":{"DOI":"10.1136/bmj.e5205","ISBN":"0959-535x","ISSN":"1756-1833","PMID":"22945950","abstract":"Objective To determine the effectiveness of interventions designed to improve outcomes in patients with multimorbidity in primary care and community settings. Design Systematic review. Data sources Medline, Embase, CINAHL, CAB Health, Cochrane central register of controlled trials, the database of abstracts of reviews of effectiveness, and the Cochrane EPOC (effective practice and organisation of care) register (searches updated in April 2011). Eligibility criteria Randomised controlled trials, controlled clinical trials, controlled before and after studies, and interrupted time series analyses reporting on interventions to improve outcomes for people with multimorbidity in primary care and community settings. Multimorbidity was defined as two or more chronic conditions in the same individual. Outcomes included any validated measure of physical or mental health and psychosocial status, including quality of life outcomes, wellbeing, and measures of disability or functional status. Also included were measures of patient and provider behaviour, including drug adherence, utilisation of health services, acceptability of services, and costs. Data selection Two reviewers independently assessed studies for eligibility, extracted data, and assessed study quality. As meta-analysis of results was not possible owing to heterogeneity in participants and interventions, a narrative synthesis of the results from the included studies was carried out. Results 10 studies examining a range of complex interventions totalling 3407 patients with multimorbidity were identified. All were randomised controlled trials with a low risk of bias. Two studies described interventions for patients with specific comorbidities. The remaining eight studies focused on multimorbidity, generally in older patients. Consideration of the impact of socioeconomic deprivation was minimal. All studies involved complex interventions with multiple components. In six of the 10 studies the predominant component was a change to the organisation of care delivery, usually through case management or enhanced multidisciplinary team work. In the remaining four studies, intervention components were predominantly patient oriented. Overall the results were mixed, with a trend towards improved prescribing and drug adherence. The results indicated that it is difficult to improve outcomes in this population but that interventions focusing on particular risk factors in comorbid conditions or functional difficulties …","author":[{"dropping-particle":"","family":"Smith","given":"S. M.","non-dropping-particle":"","parse-names":false,"suffix":""},{"dropping-particle":"","family":"Soubhi","given":"H.","non-dropping-particle":"","parse-names":false,"suffix":""},{"dropping-particle":"","family":"Fortin","given":"M.","non-dropping-particle":"","parse-names":false,"suffix":""},{"dropping-particle":"","family":"Hudon","given":"C.","non-dropping-particle":"","parse-names":false,"suffix":""},{"dropping-particle":"","family":"O'Dowd","given":"T.","non-dropping-particle":"","parse-names":false,"suffix":""}],"container-title":"BMJ","id":"ITEM-2","issue":"sep03 1","issued":{"date-parts":[["2012","9","3"]]},"page":"e5205-e5205","title":"Managing patients with multimorbidity: systematic review of interventions in primary care and community settings","type":"article-journal","volume":"345"},"uris":["http://www.mendeley.com/documents/?uuid=7509b5f6-32ce-4603-9387-ed18f2510523"]},{"id":"ITEM-3","itemData":{"DOI":"10.1002/14651858.CD006560.pub3","author":[{"dropping-particle":"","family":"Smith","given":"Susan M","non-dropping-particle":"","parse-names":false,"suffix":""},{"dropping-particle":"","family":"Wallace","given":"Emma","non-dropping-particle":"","parse-names":false,"suffix":""},{"dropping-particle":"","family":"O'Dowd","given":"Tom","non-dropping-particle":"","parse-names":false,"suffix":""},{"dropping-particle":"","family":"Fortin","given":"Martin","non-dropping-particle":"","parse-names":false,"suffix":""}],"container-title":"Cochrane Database of Systematic Reviews","editor":[{"dropping-particle":"","family":"Smith","given":"Susan M","non-dropping-particle":"","parse-names":false,"suffix":""}],"id":"ITEM-3","issued":{"date-parts":[["2016","3","14"]]},"publisher":"John Wiley &amp; Sons, Ltd","publisher-place":"Chichester, UK","title":"Interventions for improving outcomes in patients with multimorbidity in primary care and community settings","type":"chapter"},"uris":["http://www.mendeley.com/documents/?uuid=28895b9a-4661-4fcb-88f5-0b254a42e723"]},{"id":"ITEM-4","itemData":{"DOI":"10.1002/14651858.CD008165.pub4","ISSN":"14651858","author":[{"dropping-particle":"","family":"Rankin","given":"Audrey","non-dropping-particle":"","parse-names":false,"suffix":""},{"dropping-particle":"","family":"Cadogan","given":"Cathal A","non-dropping-particle":"","parse-names":false,"suffix":""},{"dropping-particle":"","family":"Patterson","given":"Susan M","non-dropping-particle":"","parse-names":false,"suffix":""},{"dropping-particle":"","family":"Kerse","given":"Ngaire","non-dropping-particle":"","parse-names":false,"suffix":""},{"dropping-particle":"","family":"Cardwell","given":"Chris R","non-dropping-particle":"","parse-names":false,"suffix":""},{"dropping-particle":"","family":"Bradley","given":"Marie C","non-dropping-particle":"","parse-names":false,"suffix":""},{"dropping-particle":"","family":"Ryan","given":"Cristin","non-dropping-particle":"","parse-names":false,"suffix":""},{"dropping-particle":"","family":"Hughes","given":"Carmel","non-dropping-particle":"","parse-names":false,"suffix":""}],"container-title":"Cochrane Database of Systematic Reviews","id":"ITEM-4","issued":{"date-parts":[["2018","9","3"]]},"title":"Interventions to improve the appropriate use of polypharmacy for older people","type":"article-journal","volume":"9"},"uris":["http://www.mendeley.com/documents/?uuid=4f932c1e-2d29-41ed-a4fe-54dfbc98acf6"]}],"mendeley":{"formattedCitation":"(10–12,16)","plainTextFormattedCitation":"(10–12,16)","previouslyFormattedCitation":"(9–11,15)"},"properties":{"noteIndex":0},"schema":"https://github.com/citation-style-language/schema/raw/master/csl-citation.json"}</w:instrText>
      </w:r>
      <w:r w:rsidR="00776DB8">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(10–12,16)</w:t>
      </w:r>
      <w:r w:rsidR="00776DB8">
        <w:rPr>
          <w:rFonts w:asciiTheme="minorHAnsi" w:hAnsiTheme="minorHAnsi" w:cstheme="minorHAnsi"/>
          <w:sz w:val="22"/>
          <w:szCs w:val="22"/>
          <w:lang w:val="en-GB"/>
        </w:rPr>
        <w:fldChar w:fldCharType="end"/>
      </w:r>
      <w:r w:rsidR="00253ABC" w:rsidRPr="00C91EF0">
        <w:rPr>
          <w:rFonts w:asciiTheme="minorHAnsi" w:hAnsiTheme="minorHAnsi" w:cstheme="minorHAnsi"/>
          <w:sz w:val="22"/>
          <w:szCs w:val="22"/>
          <w:lang w:val="en-GB"/>
        </w:rPr>
        <w:t>.</w:t>
      </w:r>
    </w:p>
    <w:p w14:paraId="46C8D971" w14:textId="3D480F0A" w:rsidR="00681FF1" w:rsidRPr="00C91EF0" w:rsidRDefault="00131CEA" w:rsidP="00681FF1">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lastRenderedPageBreak/>
        <w:t>T</w:t>
      </w:r>
      <w:r w:rsidR="00694918">
        <w:rPr>
          <w:rFonts w:asciiTheme="minorHAnsi" w:hAnsiTheme="minorHAnsi" w:cstheme="minorHAnsi"/>
          <w:sz w:val="22"/>
          <w:szCs w:val="22"/>
          <w:lang w:val="en-GB"/>
        </w:rPr>
        <w:t xml:space="preserve">o the best of our knowledge, no </w:t>
      </w:r>
      <w:proofErr w:type="spellStart"/>
      <w:r w:rsidR="00000C93">
        <w:rPr>
          <w:rFonts w:asciiTheme="minorHAnsi" w:hAnsiTheme="minorHAnsi" w:cstheme="minorHAnsi"/>
          <w:sz w:val="22"/>
          <w:szCs w:val="22"/>
          <w:lang w:val="en-GB"/>
        </w:rPr>
        <w:t>d</w:t>
      </w:r>
      <w:r w:rsidR="00526374" w:rsidRPr="00C91EF0">
        <w:rPr>
          <w:rFonts w:asciiTheme="minorHAnsi" w:hAnsiTheme="minorHAnsi" w:cstheme="minorHAnsi"/>
          <w:sz w:val="22"/>
          <w:szCs w:val="22"/>
          <w:lang w:val="en-GB"/>
        </w:rPr>
        <w:t>HRQoL</w:t>
      </w:r>
      <w:proofErr w:type="spellEnd"/>
      <w:r w:rsidR="00526374" w:rsidRPr="00C91EF0">
        <w:rPr>
          <w:rFonts w:asciiTheme="minorHAnsi" w:hAnsiTheme="minorHAnsi" w:cstheme="minorHAnsi"/>
          <w:sz w:val="22"/>
          <w:szCs w:val="22"/>
          <w:lang w:val="en-GB"/>
        </w:rPr>
        <w:t xml:space="preserve"> prognostic model for older patients with multiple chronic conditions and polypharmacy</w:t>
      </w:r>
      <w:r w:rsidR="00694918">
        <w:rPr>
          <w:rFonts w:asciiTheme="minorHAnsi" w:hAnsiTheme="minorHAnsi" w:cstheme="minorHAnsi"/>
          <w:sz w:val="22"/>
          <w:szCs w:val="22"/>
          <w:lang w:val="en-GB"/>
        </w:rPr>
        <w:t xml:space="preserve"> exists</w:t>
      </w:r>
      <w:r>
        <w:rPr>
          <w:rFonts w:asciiTheme="minorHAnsi" w:hAnsiTheme="minorHAnsi" w:cstheme="minorHAnsi"/>
          <w:sz w:val="22"/>
          <w:szCs w:val="22"/>
          <w:lang w:val="en-GB"/>
        </w:rPr>
        <w:t xml:space="preserve">. We therefore </w:t>
      </w:r>
      <w:r w:rsidR="00681FF1" w:rsidRPr="00C91EF0">
        <w:rPr>
          <w:rFonts w:asciiTheme="minorHAnsi" w:hAnsiTheme="minorHAnsi" w:cstheme="minorHAnsi"/>
          <w:sz w:val="22"/>
          <w:szCs w:val="22"/>
          <w:lang w:val="en-GB"/>
        </w:rPr>
        <w:t>aim</w:t>
      </w:r>
      <w:r w:rsidR="006A1349" w:rsidRPr="00C91EF0">
        <w:rPr>
          <w:rFonts w:asciiTheme="minorHAnsi" w:hAnsiTheme="minorHAnsi" w:cstheme="minorHAnsi"/>
          <w:sz w:val="22"/>
          <w:szCs w:val="22"/>
          <w:lang w:val="en-GB"/>
        </w:rPr>
        <w:t>ed</w:t>
      </w:r>
      <w:r w:rsidR="00681FF1" w:rsidRPr="00C91EF0">
        <w:rPr>
          <w:rFonts w:asciiTheme="minorHAnsi" w:hAnsiTheme="minorHAnsi" w:cstheme="minorHAnsi"/>
          <w:sz w:val="22"/>
          <w:szCs w:val="22"/>
          <w:lang w:val="en-GB"/>
        </w:rPr>
        <w:t xml:space="preserve"> to </w:t>
      </w:r>
      <w:r w:rsidR="007613F3" w:rsidRPr="00C91EF0">
        <w:rPr>
          <w:rFonts w:asciiTheme="minorHAnsi" w:hAnsiTheme="minorHAnsi" w:cstheme="minorHAnsi"/>
          <w:sz w:val="22"/>
          <w:szCs w:val="22"/>
          <w:lang w:val="en-GB"/>
        </w:rPr>
        <w:t xml:space="preserve">develop </w:t>
      </w:r>
      <w:r w:rsidR="007D2B0E" w:rsidRPr="00C91EF0">
        <w:rPr>
          <w:rFonts w:asciiTheme="minorHAnsi" w:hAnsiTheme="minorHAnsi" w:cstheme="minorHAnsi"/>
          <w:sz w:val="22"/>
          <w:szCs w:val="22"/>
          <w:lang w:val="en-GB"/>
        </w:rPr>
        <w:t xml:space="preserve">and validate </w:t>
      </w:r>
      <w:r w:rsidR="007613F3" w:rsidRPr="00C91EF0">
        <w:rPr>
          <w:rFonts w:asciiTheme="minorHAnsi" w:hAnsiTheme="minorHAnsi" w:cstheme="minorHAnsi"/>
          <w:sz w:val="22"/>
          <w:szCs w:val="22"/>
          <w:lang w:val="en-GB"/>
        </w:rPr>
        <w:t xml:space="preserve">a </w:t>
      </w:r>
      <w:r w:rsidR="00681FF1" w:rsidRPr="00C91EF0">
        <w:rPr>
          <w:rFonts w:asciiTheme="minorHAnsi" w:hAnsiTheme="minorHAnsi" w:cstheme="minorHAnsi"/>
          <w:sz w:val="22"/>
          <w:szCs w:val="22"/>
          <w:lang w:val="en-GB"/>
        </w:rPr>
        <w:t xml:space="preserve">model to predict </w:t>
      </w:r>
      <w:proofErr w:type="spellStart"/>
      <w:r w:rsidR="00000C93">
        <w:rPr>
          <w:rFonts w:asciiTheme="minorHAnsi" w:hAnsiTheme="minorHAnsi" w:cstheme="minorHAnsi"/>
          <w:sz w:val="22"/>
          <w:szCs w:val="22"/>
          <w:lang w:val="en-GB"/>
        </w:rPr>
        <w:t>d</w:t>
      </w:r>
      <w:r w:rsidR="00681FF1" w:rsidRPr="00C91EF0">
        <w:rPr>
          <w:rFonts w:asciiTheme="minorHAnsi" w:hAnsiTheme="minorHAnsi" w:cstheme="minorHAnsi"/>
          <w:sz w:val="22"/>
          <w:szCs w:val="22"/>
          <w:lang w:val="en-GB"/>
        </w:rPr>
        <w:t>HRQoL</w:t>
      </w:r>
      <w:proofErr w:type="spellEnd"/>
      <w:r w:rsidR="00681FF1" w:rsidRPr="00C91EF0">
        <w:rPr>
          <w:rFonts w:asciiTheme="minorHAnsi" w:hAnsiTheme="minorHAnsi" w:cstheme="minorHAnsi"/>
          <w:sz w:val="22"/>
          <w:szCs w:val="22"/>
          <w:lang w:val="en-GB"/>
        </w:rPr>
        <w:t xml:space="preserve"> </w:t>
      </w:r>
      <w:r w:rsidR="007613F3" w:rsidRPr="00C91EF0">
        <w:rPr>
          <w:rFonts w:asciiTheme="minorHAnsi" w:hAnsiTheme="minorHAnsi" w:cstheme="minorHAnsi"/>
          <w:sz w:val="22"/>
          <w:szCs w:val="22"/>
          <w:lang w:val="en-GB"/>
        </w:rPr>
        <w:t xml:space="preserve">after </w:t>
      </w:r>
      <w:r w:rsidR="007C5BE0" w:rsidRPr="00C91EF0">
        <w:rPr>
          <w:rFonts w:asciiTheme="minorHAnsi" w:hAnsiTheme="minorHAnsi" w:cstheme="minorHAnsi"/>
          <w:sz w:val="22"/>
          <w:szCs w:val="22"/>
          <w:lang w:val="en-GB"/>
        </w:rPr>
        <w:t>six</w:t>
      </w:r>
      <w:r w:rsidR="007613F3" w:rsidRPr="00C91EF0">
        <w:rPr>
          <w:rFonts w:asciiTheme="minorHAnsi" w:hAnsiTheme="minorHAnsi" w:cstheme="minorHAnsi"/>
          <w:sz w:val="22"/>
          <w:szCs w:val="22"/>
          <w:lang w:val="en-GB"/>
        </w:rPr>
        <w:t xml:space="preserve"> months</w:t>
      </w:r>
      <w:r w:rsidR="00B60F7E">
        <w:rPr>
          <w:rFonts w:asciiTheme="minorHAnsi" w:hAnsiTheme="minorHAnsi" w:cstheme="minorHAnsi"/>
          <w:sz w:val="22"/>
          <w:szCs w:val="22"/>
          <w:lang w:val="en-GB"/>
        </w:rPr>
        <w:t xml:space="preserve"> of follow-up</w:t>
      </w:r>
      <w:r w:rsidR="007613F3" w:rsidRPr="00C91EF0">
        <w:rPr>
          <w:rFonts w:asciiTheme="minorHAnsi" w:hAnsiTheme="minorHAnsi" w:cstheme="minorHAnsi"/>
          <w:sz w:val="22"/>
          <w:szCs w:val="22"/>
          <w:lang w:val="en-GB"/>
        </w:rPr>
        <w:t xml:space="preserve"> </w:t>
      </w:r>
      <w:r w:rsidR="00681FF1" w:rsidRPr="00C91EF0">
        <w:rPr>
          <w:rFonts w:asciiTheme="minorHAnsi" w:hAnsiTheme="minorHAnsi" w:cstheme="minorHAnsi"/>
          <w:sz w:val="22"/>
          <w:szCs w:val="22"/>
          <w:lang w:val="en-GB"/>
        </w:rPr>
        <w:t xml:space="preserve">in older patients with at least one chronic condition and one chronic </w:t>
      </w:r>
      <w:r w:rsidR="00465F21" w:rsidRPr="00C91EF0">
        <w:rPr>
          <w:rFonts w:asciiTheme="minorHAnsi" w:hAnsiTheme="minorHAnsi" w:cstheme="minorHAnsi"/>
          <w:sz w:val="22"/>
          <w:szCs w:val="22"/>
          <w:lang w:val="en-GB"/>
        </w:rPr>
        <w:t>prescription</w:t>
      </w:r>
      <w:r w:rsidR="00694918">
        <w:rPr>
          <w:rFonts w:asciiTheme="minorHAnsi" w:hAnsiTheme="minorHAnsi" w:cstheme="minorHAnsi"/>
          <w:sz w:val="22"/>
          <w:szCs w:val="22"/>
          <w:lang w:val="en-GB"/>
        </w:rPr>
        <w:t>,</w:t>
      </w:r>
      <w:r w:rsidR="00465F21" w:rsidRPr="00C91EF0">
        <w:rPr>
          <w:rFonts w:asciiTheme="minorHAnsi" w:hAnsiTheme="minorHAnsi" w:cstheme="minorHAnsi"/>
          <w:sz w:val="22"/>
          <w:szCs w:val="22"/>
          <w:lang w:val="en-GB"/>
        </w:rPr>
        <w:t xml:space="preserve"> </w:t>
      </w:r>
      <w:r w:rsidR="00BC4B1A" w:rsidRPr="00C91EF0">
        <w:rPr>
          <w:rFonts w:asciiTheme="minorHAnsi" w:hAnsiTheme="minorHAnsi" w:cstheme="minorHAnsi"/>
          <w:sz w:val="22"/>
          <w:szCs w:val="22"/>
          <w:lang w:val="en-GB"/>
        </w:rPr>
        <w:t>based on an individual participant data meta-analysis (IPD-MA)</w:t>
      </w:r>
      <w:r w:rsidR="00681FF1" w:rsidRPr="00C91EF0">
        <w:rPr>
          <w:rFonts w:asciiTheme="minorHAnsi" w:hAnsiTheme="minorHAnsi" w:cstheme="minorHAnsi"/>
          <w:sz w:val="22"/>
          <w:szCs w:val="22"/>
          <w:lang w:val="en-GB"/>
        </w:rPr>
        <w:t>. We use</w:t>
      </w:r>
      <w:r w:rsidR="007613F3" w:rsidRPr="00C91EF0">
        <w:rPr>
          <w:rFonts w:asciiTheme="minorHAnsi" w:hAnsiTheme="minorHAnsi" w:cstheme="minorHAnsi"/>
          <w:sz w:val="22"/>
          <w:szCs w:val="22"/>
          <w:lang w:val="en-GB"/>
        </w:rPr>
        <w:t>d</w:t>
      </w:r>
      <w:r w:rsidR="00681FF1" w:rsidRPr="00C91EF0">
        <w:rPr>
          <w:rFonts w:asciiTheme="minorHAnsi" w:hAnsiTheme="minorHAnsi" w:cstheme="minorHAnsi"/>
          <w:sz w:val="22"/>
          <w:szCs w:val="22"/>
          <w:lang w:val="en-GB"/>
        </w:rPr>
        <w:t xml:space="preserve"> the IPD from </w:t>
      </w:r>
      <w:r w:rsidR="0000712A" w:rsidRPr="00C91EF0">
        <w:rPr>
          <w:rFonts w:asciiTheme="minorHAnsi" w:hAnsiTheme="minorHAnsi" w:cstheme="minorHAnsi"/>
          <w:sz w:val="22"/>
          <w:szCs w:val="22"/>
          <w:lang w:val="en-GB"/>
        </w:rPr>
        <w:t>a</w:t>
      </w:r>
      <w:r w:rsidR="00681FF1" w:rsidRPr="00C91EF0">
        <w:rPr>
          <w:rFonts w:asciiTheme="minorHAnsi" w:hAnsiTheme="minorHAnsi" w:cstheme="minorHAnsi"/>
          <w:sz w:val="22"/>
          <w:szCs w:val="22"/>
          <w:lang w:val="en-GB"/>
        </w:rPr>
        <w:t xml:space="preserve"> previously </w:t>
      </w:r>
      <w:r w:rsidR="0000712A" w:rsidRPr="00C91EF0">
        <w:rPr>
          <w:rFonts w:asciiTheme="minorHAnsi" w:hAnsiTheme="minorHAnsi" w:cstheme="minorHAnsi"/>
          <w:sz w:val="22"/>
          <w:szCs w:val="22"/>
          <w:lang w:val="en-GB"/>
        </w:rPr>
        <w:t>harmonized</w:t>
      </w:r>
      <w:r w:rsidR="00681FF1" w:rsidRPr="00C91EF0">
        <w:rPr>
          <w:rFonts w:asciiTheme="minorHAnsi" w:hAnsiTheme="minorHAnsi" w:cstheme="minorHAnsi"/>
          <w:sz w:val="22"/>
          <w:szCs w:val="22"/>
          <w:lang w:val="en-GB"/>
        </w:rPr>
        <w:t xml:space="preserve"> database</w:t>
      </w:r>
      <w:r w:rsidR="0000712A" w:rsidRPr="00C91EF0">
        <w:rPr>
          <w:rFonts w:asciiTheme="minorHAnsi" w:hAnsiTheme="minorHAnsi" w:cstheme="minorHAnsi"/>
          <w:sz w:val="22"/>
          <w:szCs w:val="22"/>
          <w:lang w:val="en-GB"/>
        </w:rPr>
        <w:t xml:space="preserve"> </w:t>
      </w:r>
      <w:r w:rsidR="00694918">
        <w:rPr>
          <w:rFonts w:asciiTheme="minorHAnsi" w:hAnsiTheme="minorHAnsi" w:cstheme="minorHAnsi"/>
          <w:sz w:val="22"/>
          <w:szCs w:val="22"/>
          <w:lang w:val="en-GB"/>
        </w:rPr>
        <w:t xml:space="preserve">that contains </w:t>
      </w:r>
      <w:r w:rsidR="00681FF1" w:rsidRPr="00C91EF0">
        <w:rPr>
          <w:rFonts w:asciiTheme="minorHAnsi" w:hAnsiTheme="minorHAnsi" w:cstheme="minorHAnsi"/>
          <w:sz w:val="22"/>
          <w:szCs w:val="22"/>
          <w:lang w:val="en-GB"/>
        </w:rPr>
        <w:t xml:space="preserve">comprehensive </w:t>
      </w:r>
      <w:r w:rsidR="007613F3" w:rsidRPr="00C91EF0">
        <w:rPr>
          <w:rFonts w:asciiTheme="minorHAnsi" w:hAnsiTheme="minorHAnsi" w:cstheme="minorHAnsi"/>
          <w:sz w:val="22"/>
          <w:szCs w:val="22"/>
          <w:lang w:val="en-GB"/>
        </w:rPr>
        <w:t xml:space="preserve">patient-related data on </w:t>
      </w:r>
      <w:r w:rsidR="00681FF1" w:rsidRPr="00C91EF0">
        <w:rPr>
          <w:rFonts w:asciiTheme="minorHAnsi" w:hAnsiTheme="minorHAnsi" w:cstheme="minorHAnsi"/>
          <w:sz w:val="22"/>
          <w:szCs w:val="22"/>
          <w:lang w:val="en-GB"/>
        </w:rPr>
        <w:t>socio</w:t>
      </w:r>
      <w:r w:rsidR="00BC4B1A" w:rsidRPr="00C91EF0">
        <w:rPr>
          <w:rFonts w:asciiTheme="minorHAnsi" w:hAnsiTheme="minorHAnsi" w:cstheme="minorHAnsi"/>
          <w:sz w:val="22"/>
          <w:szCs w:val="22"/>
          <w:lang w:val="en-GB"/>
        </w:rPr>
        <w:t>-</w:t>
      </w:r>
      <w:r w:rsidR="00681FF1" w:rsidRPr="00C91EF0">
        <w:rPr>
          <w:rFonts w:asciiTheme="minorHAnsi" w:hAnsiTheme="minorHAnsi" w:cstheme="minorHAnsi"/>
          <w:sz w:val="22"/>
          <w:szCs w:val="22"/>
          <w:lang w:val="en-GB"/>
        </w:rPr>
        <w:t>demographic</w:t>
      </w:r>
      <w:r w:rsidR="007613F3" w:rsidRPr="00C91EF0">
        <w:rPr>
          <w:rFonts w:asciiTheme="minorHAnsi" w:hAnsiTheme="minorHAnsi" w:cstheme="minorHAnsi"/>
          <w:sz w:val="22"/>
          <w:szCs w:val="22"/>
          <w:lang w:val="en-GB"/>
        </w:rPr>
        <w:t>s</w:t>
      </w:r>
      <w:r w:rsidR="00681FF1" w:rsidRPr="00C91EF0">
        <w:rPr>
          <w:rFonts w:asciiTheme="minorHAnsi" w:hAnsiTheme="minorHAnsi" w:cstheme="minorHAnsi"/>
          <w:sz w:val="22"/>
          <w:szCs w:val="22"/>
          <w:lang w:val="en-GB"/>
        </w:rPr>
        <w:t>, morbidity, medication</w:t>
      </w:r>
      <w:r w:rsidR="007613F3" w:rsidRPr="00C91EF0">
        <w:rPr>
          <w:rFonts w:asciiTheme="minorHAnsi" w:hAnsiTheme="minorHAnsi" w:cstheme="minorHAnsi"/>
          <w:sz w:val="22"/>
          <w:szCs w:val="22"/>
          <w:lang w:val="en-GB"/>
        </w:rPr>
        <w:t>,</w:t>
      </w:r>
      <w:r w:rsidR="00681FF1" w:rsidRPr="00C91EF0">
        <w:rPr>
          <w:rFonts w:asciiTheme="minorHAnsi" w:hAnsiTheme="minorHAnsi" w:cstheme="minorHAnsi"/>
          <w:sz w:val="22"/>
          <w:szCs w:val="22"/>
          <w:lang w:val="en-GB"/>
        </w:rPr>
        <w:t xml:space="preserve"> </w:t>
      </w:r>
      <w:r w:rsidR="00697244" w:rsidRPr="00C91EF0">
        <w:rPr>
          <w:rFonts w:asciiTheme="minorHAnsi" w:hAnsiTheme="minorHAnsi" w:cstheme="minorHAnsi"/>
          <w:sz w:val="22"/>
          <w:szCs w:val="22"/>
          <w:lang w:val="en-GB"/>
        </w:rPr>
        <w:t>functional status</w:t>
      </w:r>
      <w:r w:rsidR="005B10DF" w:rsidRPr="00C91EF0">
        <w:rPr>
          <w:rFonts w:asciiTheme="minorHAnsi" w:hAnsiTheme="minorHAnsi" w:cstheme="minorHAnsi"/>
          <w:sz w:val="22"/>
          <w:szCs w:val="22"/>
          <w:lang w:val="en-GB"/>
        </w:rPr>
        <w:t>,</w:t>
      </w:r>
      <w:r w:rsidR="00697244" w:rsidRPr="00C91EF0">
        <w:rPr>
          <w:rFonts w:asciiTheme="minorHAnsi" w:hAnsiTheme="minorHAnsi" w:cstheme="minorHAnsi"/>
          <w:sz w:val="22"/>
          <w:szCs w:val="22"/>
          <w:lang w:val="en-GB"/>
        </w:rPr>
        <w:t xml:space="preserve"> </w:t>
      </w:r>
      <w:r w:rsidR="00681FF1" w:rsidRPr="00C91EF0">
        <w:rPr>
          <w:rFonts w:asciiTheme="minorHAnsi" w:hAnsiTheme="minorHAnsi" w:cstheme="minorHAnsi"/>
          <w:sz w:val="22"/>
          <w:szCs w:val="22"/>
          <w:lang w:val="en-GB"/>
        </w:rPr>
        <w:t>and well</w:t>
      </w:r>
      <w:r w:rsidR="00E544CA" w:rsidRPr="00C91EF0">
        <w:rPr>
          <w:rFonts w:asciiTheme="minorHAnsi" w:hAnsiTheme="minorHAnsi" w:cstheme="minorHAnsi"/>
          <w:sz w:val="22"/>
          <w:szCs w:val="22"/>
          <w:lang w:val="en-GB"/>
        </w:rPr>
        <w:t>-</w:t>
      </w:r>
      <w:r w:rsidR="00681FF1" w:rsidRPr="00C91EF0">
        <w:rPr>
          <w:rFonts w:asciiTheme="minorHAnsi" w:hAnsiTheme="minorHAnsi" w:cstheme="minorHAnsi"/>
          <w:sz w:val="22"/>
          <w:szCs w:val="22"/>
          <w:lang w:val="en-GB"/>
        </w:rPr>
        <w:t xml:space="preserve">being from five </w:t>
      </w:r>
      <w:r w:rsidR="007613F3" w:rsidRPr="00C91EF0">
        <w:rPr>
          <w:rFonts w:asciiTheme="minorHAnsi" w:hAnsiTheme="minorHAnsi" w:cstheme="minorHAnsi"/>
          <w:sz w:val="22"/>
          <w:szCs w:val="22"/>
          <w:lang w:val="en-GB"/>
        </w:rPr>
        <w:t xml:space="preserve">recent </w:t>
      </w:r>
      <w:r w:rsidR="00681FF1" w:rsidRPr="00C91EF0">
        <w:rPr>
          <w:rFonts w:asciiTheme="minorHAnsi" w:hAnsiTheme="minorHAnsi" w:cstheme="minorHAnsi"/>
          <w:sz w:val="22"/>
          <w:szCs w:val="22"/>
          <w:lang w:val="en-GB"/>
        </w:rPr>
        <w:t xml:space="preserve">cluster-randomized trials </w:t>
      </w:r>
      <w:r w:rsidR="00AF63B9" w:rsidRPr="00C91EF0">
        <w:rPr>
          <w:rFonts w:asciiTheme="minorHAnsi" w:hAnsiTheme="minorHAnsi" w:cstheme="minorHAnsi"/>
          <w:sz w:val="22"/>
          <w:szCs w:val="22"/>
          <w:lang w:val="en-GB"/>
        </w:rPr>
        <w:t>conducted in</w:t>
      </w:r>
      <w:r w:rsidR="00681FF1" w:rsidRPr="00C91EF0">
        <w:rPr>
          <w:rFonts w:asciiTheme="minorHAnsi" w:hAnsiTheme="minorHAnsi" w:cstheme="minorHAnsi"/>
          <w:sz w:val="22"/>
          <w:szCs w:val="22"/>
          <w:lang w:val="en-GB"/>
        </w:rPr>
        <w:t xml:space="preserve"> Germa</w:t>
      </w:r>
      <w:r w:rsidR="00AF63B9" w:rsidRPr="00C91EF0">
        <w:rPr>
          <w:rFonts w:asciiTheme="minorHAnsi" w:hAnsiTheme="minorHAnsi" w:cstheme="minorHAnsi"/>
          <w:sz w:val="22"/>
          <w:szCs w:val="22"/>
          <w:lang w:val="en-GB"/>
        </w:rPr>
        <w:t>n</w:t>
      </w:r>
      <w:r w:rsidR="00681FF1" w:rsidRPr="00C91EF0">
        <w:rPr>
          <w:rFonts w:asciiTheme="minorHAnsi" w:hAnsiTheme="minorHAnsi" w:cstheme="minorHAnsi"/>
          <w:sz w:val="22"/>
          <w:szCs w:val="22"/>
          <w:lang w:val="en-GB"/>
        </w:rPr>
        <w:t xml:space="preserve"> and Dutch general practices. We chose a prognostic </w:t>
      </w:r>
      <w:r w:rsidR="00B77E41" w:rsidRPr="00C91EF0">
        <w:rPr>
          <w:rFonts w:asciiTheme="minorHAnsi" w:hAnsiTheme="minorHAnsi" w:cstheme="minorHAnsi"/>
          <w:sz w:val="22"/>
          <w:szCs w:val="22"/>
          <w:lang w:val="en-GB"/>
        </w:rPr>
        <w:t>modelling</w:t>
      </w:r>
      <w:r w:rsidR="00681FF1" w:rsidRPr="00C91EF0">
        <w:rPr>
          <w:rFonts w:asciiTheme="minorHAnsi" w:hAnsiTheme="minorHAnsi" w:cstheme="minorHAnsi"/>
          <w:sz w:val="22"/>
          <w:szCs w:val="22"/>
          <w:lang w:val="en-GB"/>
        </w:rPr>
        <w:t xml:space="preserve"> approach based on IPD-MA because it offers both statistical and clinical advantages</w:t>
      </w:r>
      <w:r w:rsidR="00F54B15" w:rsidRPr="00C91EF0">
        <w:rPr>
          <w:rFonts w:asciiTheme="minorHAnsi" w:hAnsiTheme="minorHAnsi" w:cstheme="minorHAnsi"/>
          <w:sz w:val="22"/>
          <w:szCs w:val="22"/>
          <w:lang w:val="en-GB"/>
        </w:rPr>
        <w:t xml:space="preserve"> </w:t>
      </w:r>
      <w:r w:rsidR="00694918">
        <w:rPr>
          <w:rFonts w:asciiTheme="minorHAnsi" w:hAnsiTheme="minorHAnsi" w:cstheme="minorHAnsi"/>
          <w:sz w:val="22"/>
          <w:szCs w:val="22"/>
          <w:lang w:val="en-GB"/>
        </w:rPr>
        <w:t xml:space="preserve">over </w:t>
      </w:r>
      <w:r w:rsidR="00697244" w:rsidRPr="00C91EF0">
        <w:rPr>
          <w:rFonts w:asciiTheme="minorHAnsi" w:hAnsiTheme="minorHAnsi" w:cstheme="minorHAnsi"/>
          <w:sz w:val="22"/>
          <w:szCs w:val="22"/>
          <w:lang w:val="en-GB"/>
        </w:rPr>
        <w:t>other modelling tec</w:t>
      </w:r>
      <w:r w:rsidR="00B37AEC" w:rsidRPr="00C91EF0">
        <w:rPr>
          <w:rFonts w:asciiTheme="minorHAnsi" w:hAnsiTheme="minorHAnsi" w:cstheme="minorHAnsi"/>
          <w:sz w:val="22"/>
          <w:szCs w:val="22"/>
          <w:lang w:val="en-GB"/>
        </w:rPr>
        <w:t>h</w:t>
      </w:r>
      <w:r w:rsidR="00E24F4D">
        <w:rPr>
          <w:rFonts w:asciiTheme="minorHAnsi" w:hAnsiTheme="minorHAnsi" w:cstheme="minorHAnsi"/>
          <w:sz w:val="22"/>
          <w:szCs w:val="22"/>
          <w:lang w:val="en-GB"/>
        </w:rPr>
        <w:t xml:space="preserve">niques </w:t>
      </w:r>
      <w:r w:rsidR="00694918">
        <w:rPr>
          <w:rFonts w:asciiTheme="minorHAnsi" w:hAnsiTheme="minorHAnsi" w:cstheme="minorHAnsi"/>
          <w:sz w:val="22"/>
          <w:szCs w:val="22"/>
          <w:lang w:val="en-GB"/>
        </w:rPr>
        <w:t xml:space="preserve">by permitting the assessment of </w:t>
      </w:r>
      <w:r w:rsidR="00732021">
        <w:rPr>
          <w:rFonts w:asciiTheme="minorHAnsi" w:hAnsiTheme="minorHAnsi" w:cstheme="minorHAnsi"/>
          <w:sz w:val="22"/>
          <w:szCs w:val="22"/>
          <w:lang w:val="en-GB"/>
        </w:rPr>
        <w:t>generalizability</w:t>
      </w:r>
      <w:r w:rsidR="00694918">
        <w:rPr>
          <w:rFonts w:asciiTheme="minorHAnsi" w:hAnsiTheme="minorHAnsi" w:cstheme="minorHAnsi"/>
          <w:sz w:val="22"/>
          <w:szCs w:val="22"/>
          <w:lang w:val="en-GB"/>
        </w:rPr>
        <w:t xml:space="preserve">. Furthermore, </w:t>
      </w:r>
      <w:r w:rsidR="00732021">
        <w:rPr>
          <w:rFonts w:asciiTheme="minorHAnsi" w:hAnsiTheme="minorHAnsi" w:cstheme="minorHAnsi"/>
          <w:sz w:val="22"/>
          <w:szCs w:val="22"/>
          <w:lang w:val="en-GB"/>
        </w:rPr>
        <w:t xml:space="preserve">the increased sample size and case-mix variability </w:t>
      </w:r>
      <w:r w:rsidR="00694918">
        <w:rPr>
          <w:rFonts w:asciiTheme="minorHAnsi" w:hAnsiTheme="minorHAnsi" w:cstheme="minorHAnsi"/>
          <w:sz w:val="22"/>
          <w:szCs w:val="22"/>
          <w:lang w:val="en-GB"/>
        </w:rPr>
        <w:t xml:space="preserve">it provides may </w:t>
      </w:r>
      <w:r w:rsidR="00732021">
        <w:rPr>
          <w:rFonts w:asciiTheme="minorHAnsi" w:hAnsiTheme="minorHAnsi" w:cstheme="minorHAnsi"/>
          <w:sz w:val="22"/>
          <w:szCs w:val="22"/>
          <w:lang w:val="en-GB"/>
        </w:rPr>
        <w:t>re</w:t>
      </w:r>
      <w:r>
        <w:rPr>
          <w:rFonts w:asciiTheme="minorHAnsi" w:hAnsiTheme="minorHAnsi" w:cstheme="minorHAnsi"/>
          <w:sz w:val="22"/>
          <w:szCs w:val="22"/>
          <w:lang w:val="en-GB"/>
        </w:rPr>
        <w:t xml:space="preserve">duce </w:t>
      </w:r>
      <w:r w:rsidR="00732021">
        <w:rPr>
          <w:rFonts w:asciiTheme="minorHAnsi" w:hAnsiTheme="minorHAnsi" w:cstheme="minorHAnsi"/>
          <w:sz w:val="22"/>
          <w:szCs w:val="22"/>
          <w:lang w:val="en-GB"/>
        </w:rPr>
        <w:t xml:space="preserve">overfitting and </w:t>
      </w:r>
      <w:r>
        <w:rPr>
          <w:rFonts w:asciiTheme="minorHAnsi" w:hAnsiTheme="minorHAnsi" w:cstheme="minorHAnsi"/>
          <w:sz w:val="22"/>
          <w:szCs w:val="22"/>
          <w:lang w:val="en-GB"/>
        </w:rPr>
        <w:t xml:space="preserve">thus improve </w:t>
      </w:r>
      <w:r w:rsidR="00804136">
        <w:rPr>
          <w:rFonts w:asciiTheme="minorHAnsi" w:hAnsiTheme="minorHAnsi" w:cstheme="minorHAnsi"/>
          <w:sz w:val="22"/>
          <w:szCs w:val="22"/>
          <w:lang w:val="en-GB"/>
        </w:rPr>
        <w:t xml:space="preserve">external </w:t>
      </w:r>
      <w:r w:rsidR="00732021">
        <w:rPr>
          <w:rFonts w:asciiTheme="minorHAnsi" w:hAnsiTheme="minorHAnsi" w:cstheme="minorHAnsi"/>
          <w:sz w:val="22"/>
          <w:szCs w:val="22"/>
          <w:lang w:val="en-GB"/>
        </w:rPr>
        <w:t xml:space="preserve">performance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{"citationItems":[{"id":"ITEM-1","itemData":{"DOI":"10.1002/sim.5732","ISBN":"1097-0258 (Electronic)\\r0277-6715 (Linking)","ISSN":"02776715","PMID":"23307585","abstract":"The use of individual participant data (IPD) from multiple studies is an increasingly popular approach when developing a multivariable risk prediction model. Corresponding datasets, however, typically differ in important aspects, such as baseline risk. This has driven the adoption of meta-analytical approaches for appropriately dealing with heterogeneity between study populations. Although these approaches provide an averaged prediction model across all studies, little guidance exists about how to apply or validate this model to new individuals or study populations outside the derivation data. We consider several approaches to develop a multivariable logistic regression model from an IPD meta-analysis (IPD-MA) with potential between-study heterogeneity. We also propose strategies for choosing a valid model intercept for when the model is to be validated or applied to new individuals or study populations. These strategies can be implemented by the IPD-MA developers or future model validators. Finally, we show how model generalizability can be evaluated when external validation data are lacking using internal-external cross-validation and extend our framework to count and time-to-event data. In an empirical evaluation, our results show how stratified estimation allows study-specific model intercepts, which can then inform the intercept to be used when applying the model in practice, even to a population not represented by included studies. In summary, our framework allows the development (through stratified estimation), implementation in new individuals (through focused intercept choice), and evaluation (through internal-external validation) of a single, integrated prediction model from an IPD-MA in order to achieve improved model performance and generalizability.","author":[{"dropping-particle":"","family":"Debray","given":"Thomas P A","non-dropping-particle":"","parse-names":false,"suffix":""},{"dropping-particle":"","family":"Moons","given":"Karel G M","non-dropping-particle":"","parse-names":false,"suffix":""},{"dropping-particle":"","family":"Ahmed","given":"Ikhlaaq","non-dropping-particle":"","parse-names":false,"suffix":""},{"dropping-particle":"","family":"Koffijberg","given":"Hendrik","non-dropping-particle":"","parse-names":false,"suffix":""},{"dropping-particle":"","family":"Riley","given":"Richard David","non-dropping-particle":"","parse-names":false,"suffix":""}],"container-title":"Statistics in Medicine","id":"ITEM-1","issue":"18","issued":{"date-parts":[["2013"]]},"page":"3158-3180","title":"A framework for developing, implementing, and evaluating clinical prediction models in an individual participant data meta-analysis","type":"article-journal","volume":"32"},"uris":["http://www.mendeley.com/documents/?uuid=79168b1a-9ebb-4727-aa6f-6503720d8dac"]}],"mendeley":{"formattedCitation":"(17)","plainTextFormattedCitation":"(17)","previouslyFormattedCitation":"(16)"},"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(17)</w:t>
      </w:r>
      <w:r w:rsidR="00776DB8" w:rsidRPr="00C91EF0">
        <w:rPr>
          <w:rFonts w:asciiTheme="minorHAnsi" w:hAnsiTheme="minorHAnsi" w:cstheme="minorHAnsi"/>
          <w:sz w:val="22"/>
          <w:szCs w:val="22"/>
          <w:lang w:val="en-GB"/>
        </w:rPr>
        <w:fldChar w:fldCharType="end"/>
      </w:r>
      <w:r w:rsidR="00BC4B1A" w:rsidRPr="00C91EF0">
        <w:rPr>
          <w:rFonts w:asciiTheme="minorHAnsi" w:hAnsiTheme="minorHAnsi" w:cstheme="minorHAnsi"/>
          <w:sz w:val="22"/>
          <w:szCs w:val="22"/>
          <w:lang w:val="en-GB"/>
        </w:rPr>
        <w:t>.</w:t>
      </w:r>
    </w:p>
    <w:p w14:paraId="224A99B3" w14:textId="77777777" w:rsidR="005A6ECF" w:rsidRPr="00C91EF0" w:rsidRDefault="005A6ECF" w:rsidP="00392ABA">
      <w:pPr>
        <w:spacing w:line="480" w:lineRule="auto"/>
        <w:rPr>
          <w:rFonts w:asciiTheme="minorHAnsi" w:hAnsiTheme="minorHAnsi" w:cstheme="minorHAnsi"/>
          <w:sz w:val="22"/>
          <w:szCs w:val="22"/>
          <w:lang w:val="en-GB"/>
        </w:rPr>
      </w:pPr>
    </w:p>
    <w:p w14:paraId="22F723BF" w14:textId="77777777" w:rsidR="00834D54" w:rsidRPr="00C91EF0" w:rsidRDefault="00834D54" w:rsidP="00834D54">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M</w:t>
      </w:r>
      <w:r w:rsidR="000363B5">
        <w:rPr>
          <w:rFonts w:asciiTheme="minorHAnsi" w:hAnsiTheme="minorHAnsi" w:cstheme="minorHAnsi"/>
          <w:b/>
          <w:sz w:val="22"/>
          <w:szCs w:val="22"/>
          <w:lang w:val="en-GB"/>
        </w:rPr>
        <w:t>ATERIALS AND METHODS</w:t>
      </w:r>
    </w:p>
    <w:p w14:paraId="7E23274E" w14:textId="77777777" w:rsidR="00834D54" w:rsidRPr="000363B5" w:rsidRDefault="00834D54" w:rsidP="00834D54">
      <w:pPr>
        <w:spacing w:line="480" w:lineRule="auto"/>
        <w:rPr>
          <w:rFonts w:asciiTheme="minorHAnsi" w:hAnsiTheme="minorHAnsi" w:cstheme="minorHAnsi"/>
          <w:b/>
          <w:sz w:val="22"/>
          <w:szCs w:val="22"/>
          <w:lang w:val="en-GB"/>
        </w:rPr>
      </w:pPr>
      <w:r w:rsidRPr="000363B5">
        <w:rPr>
          <w:rFonts w:asciiTheme="minorHAnsi" w:hAnsiTheme="minorHAnsi" w:cstheme="minorHAnsi"/>
          <w:b/>
          <w:sz w:val="22"/>
          <w:szCs w:val="22"/>
          <w:lang w:val="en-GB"/>
        </w:rPr>
        <w:t>Source of data</w:t>
      </w:r>
    </w:p>
    <w:p w14:paraId="25A7E222" w14:textId="1ACB7171" w:rsidR="00834D54" w:rsidRDefault="00834D54" w:rsidP="00834D54">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We harmonized</w:t>
      </w:r>
      <w:r w:rsidR="00C54D53">
        <w:rPr>
          <w:rFonts w:asciiTheme="minorHAnsi" w:hAnsiTheme="minorHAnsi" w:cstheme="minorHAnsi"/>
          <w:sz w:val="22"/>
          <w:szCs w:val="22"/>
          <w:lang w:val="en-GB"/>
        </w:rPr>
        <w:t xml:space="preserve"> individual participant data</w:t>
      </w:r>
      <w:r w:rsidRPr="00C91EF0">
        <w:rPr>
          <w:rFonts w:asciiTheme="minorHAnsi" w:hAnsiTheme="minorHAnsi" w:cstheme="minorHAnsi"/>
          <w:sz w:val="22"/>
          <w:szCs w:val="22"/>
          <w:lang w:val="en-GB"/>
        </w:rPr>
        <w:t xml:space="preserve"> </w:t>
      </w:r>
      <w:r w:rsidR="00C54D53">
        <w:rPr>
          <w:rFonts w:asciiTheme="minorHAnsi" w:hAnsiTheme="minorHAnsi" w:cstheme="minorHAnsi"/>
          <w:sz w:val="22"/>
          <w:szCs w:val="22"/>
          <w:lang w:val="en-GB"/>
        </w:rPr>
        <w:t>(</w:t>
      </w:r>
      <w:r w:rsidRPr="00C91EF0">
        <w:rPr>
          <w:rFonts w:asciiTheme="minorHAnsi" w:hAnsiTheme="minorHAnsi" w:cstheme="minorHAnsi"/>
          <w:sz w:val="22"/>
          <w:szCs w:val="22"/>
          <w:lang w:val="en-GB"/>
        </w:rPr>
        <w:t>IPD</w:t>
      </w:r>
      <w:r w:rsidR="00C54D53">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from five cluster-randomized trials </w:t>
      </w:r>
      <w:r w:rsidR="00694918">
        <w:rPr>
          <w:rFonts w:asciiTheme="minorHAnsi" w:hAnsiTheme="minorHAnsi" w:cstheme="minorHAnsi"/>
          <w:sz w:val="22"/>
          <w:szCs w:val="22"/>
          <w:lang w:val="en-GB"/>
        </w:rPr>
        <w:t xml:space="preserve">that were </w:t>
      </w:r>
      <w:r w:rsidRPr="00C91EF0">
        <w:rPr>
          <w:rFonts w:asciiTheme="minorHAnsi" w:hAnsiTheme="minorHAnsi" w:cstheme="minorHAnsi"/>
          <w:sz w:val="22"/>
          <w:szCs w:val="22"/>
          <w:lang w:val="en-GB"/>
        </w:rPr>
        <w:t xml:space="preserve">conducted in the Netherlands and Germany </w:t>
      </w:r>
      <w:r w:rsidR="001B3547" w:rsidRPr="00C91EF0">
        <w:rPr>
          <w:rFonts w:asciiTheme="minorHAnsi" w:hAnsiTheme="minorHAnsi" w:cstheme="minorHAnsi"/>
          <w:sz w:val="22"/>
          <w:szCs w:val="22"/>
          <w:lang w:val="en-GB"/>
        </w:rPr>
        <w:t>between</w:t>
      </w:r>
      <w:r w:rsidRPr="00C91EF0">
        <w:rPr>
          <w:rFonts w:asciiTheme="minorHAnsi" w:hAnsiTheme="minorHAnsi" w:cstheme="minorHAnsi"/>
          <w:sz w:val="22"/>
          <w:szCs w:val="22"/>
          <w:lang w:val="en-GB"/>
        </w:rPr>
        <w:t xml:space="preserve"> 2009 </w:t>
      </w:r>
      <w:r w:rsidR="001B3547" w:rsidRPr="00C91EF0">
        <w:rPr>
          <w:rFonts w:asciiTheme="minorHAnsi" w:hAnsiTheme="minorHAnsi" w:cstheme="minorHAnsi"/>
          <w:sz w:val="22"/>
          <w:szCs w:val="22"/>
          <w:lang w:val="en-GB"/>
        </w:rPr>
        <w:t xml:space="preserve">and 2012 </w:t>
      </w:r>
      <w:r w:rsidRPr="00C91EF0">
        <w:rPr>
          <w:rFonts w:asciiTheme="minorHAnsi" w:hAnsiTheme="minorHAnsi" w:cstheme="minorHAnsi"/>
          <w:sz w:val="22"/>
          <w:szCs w:val="22"/>
          <w:lang w:val="en-GB"/>
        </w:rPr>
        <w:t xml:space="preserve">to optimize pharmacological treatment in </w:t>
      </w:r>
      <w:r w:rsidR="00BC4CEE" w:rsidRPr="00C91EF0">
        <w:rPr>
          <w:rFonts w:asciiTheme="minorHAnsi" w:hAnsiTheme="minorHAnsi" w:cstheme="minorHAnsi"/>
          <w:sz w:val="22"/>
          <w:szCs w:val="22"/>
          <w:lang w:val="en-GB"/>
        </w:rPr>
        <w:t>older chronically ill patients</w:t>
      </w:r>
      <w:r w:rsidR="00732021">
        <w:rPr>
          <w:rFonts w:asciiTheme="minorHAnsi" w:hAnsiTheme="minorHAnsi" w:cstheme="minorHAnsi"/>
          <w:sz w:val="22"/>
          <w:szCs w:val="22"/>
          <w:lang w:val="en-GB"/>
        </w:rPr>
        <w:t xml:space="preserve"> </w:t>
      </w:r>
      <w:r w:rsidR="00B77E41" w:rsidRPr="00B77E41">
        <w:rPr>
          <w:rFonts w:asciiTheme="minorHAnsi" w:hAnsiTheme="minorHAnsi" w:cstheme="minorHAnsi"/>
          <w:b/>
          <w:sz w:val="22"/>
          <w:szCs w:val="22"/>
          <w:lang w:val="en-GB"/>
        </w:rPr>
        <w:t>(Supplemental Table 1)</w:t>
      </w:r>
      <w:r w:rsidRPr="00B77E41">
        <w:rPr>
          <w:rFonts w:asciiTheme="minorHAnsi" w:hAnsiTheme="minorHAnsi" w:cstheme="minorHAnsi"/>
          <w:sz w:val="22"/>
          <w:szCs w:val="22"/>
          <w:lang w:val="en-GB"/>
        </w:rPr>
        <w:t>.</w:t>
      </w:r>
      <w:r w:rsidR="00505002" w:rsidRPr="00C91EF0">
        <w:rPr>
          <w:rFonts w:asciiTheme="minorHAnsi" w:hAnsiTheme="minorHAnsi" w:cstheme="minorHAnsi"/>
          <w:sz w:val="22"/>
          <w:szCs w:val="22"/>
          <w:lang w:val="en-GB"/>
        </w:rPr>
        <w:t xml:space="preserve"> Although</w:t>
      </w:r>
      <w:r w:rsidRPr="00C91EF0">
        <w:rPr>
          <w:rFonts w:asciiTheme="minorHAnsi" w:hAnsiTheme="minorHAnsi" w:cstheme="minorHAnsi"/>
          <w:sz w:val="22"/>
          <w:szCs w:val="22"/>
          <w:lang w:val="en-GB"/>
        </w:rPr>
        <w:t xml:space="preserve"> conducted in different health care systems, the included trials</w:t>
      </w:r>
      <w:r w:rsidR="00694918">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name</w:t>
      </w:r>
      <w:r w:rsidR="000E003C" w:rsidRPr="00C91EF0">
        <w:rPr>
          <w:rFonts w:asciiTheme="minorHAnsi" w:hAnsiTheme="minorHAnsi" w:cstheme="minorHAnsi"/>
          <w:sz w:val="22"/>
          <w:szCs w:val="22"/>
          <w:lang w:val="en-GB"/>
        </w:rPr>
        <w:t>ly</w:t>
      </w:r>
      <w:r w:rsidRPr="00C91EF0">
        <w:rPr>
          <w:rFonts w:asciiTheme="minorHAnsi" w:hAnsiTheme="minorHAnsi" w:cstheme="minorHAnsi"/>
          <w:sz w:val="22"/>
          <w:szCs w:val="22"/>
          <w:lang w:val="en-GB"/>
        </w:rPr>
        <w:t xml:space="preserve"> ISCOPE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{"citationItems":[{"id":"ITEM-1","itemData":{"DOI":"10.1093/ageing/afv174","ISBN":"0002-0729","ISSN":"14682834","PMID":"26764392","abstract":"Background: older people often experience complex problems. Because of multiple problems, care for older people in general practice needs to shift from a 'problem-based, disease-oriented' care aiming at improvement of outcomes per disease to a 'goal-oriented care', aiming at improvement of functioning and personal quality of life, integrating all healthcare providers. Feasibility and cost-effectiveness of this proactive and integrated way of working are not yet established. Design: cluster randomised trial. Participants: all persons aged ≥75 in 59 general practices (30 intervention, 29 control), with a combination of problems, as identified with a structured postal questionnaire with 21 questions on four health domains. Intervention: for participants with problems on ≥3 domains, general practitioners (GPs) made an integrated care plan using a functional geriatric approach. Control practices: care as usual. Outcome measures: (i) quality of life (QoL), (ii) activities of daily living, (iii) satisfaction with delivered health care and (iv) cost-effectiveness of the intervention at 1-year follow-up. Trial registration: Netherlands trial register, NTR1946. Results: of the 11,476 registered eligible older persons, 7,285 (63%) participated in the screening. One thousand nine hundred and twenty-one (26%) had problems on ≥3 health domains. For 225 randomly chosen persons, a care plan was made. No beneficial effects were found on QoL, patients' functioning or healthcare use/costs. GPs experienced better overview of the care and stability, e.g. less unexpected demands, in the care. Conclusions: GPs prefer proactive integrated care. 'Horizontal' care using care plans for older people with complex problems can be a valuable tool in general practice. However, no direct beneficial effect was found for older persons.","author":[{"dropping-particle":"","family":"Blom","given":"Jeanet","non-dropping-particle":"","parse-names":false,"suffix":""},{"dropping-particle":"Den","family":"Elzen","given":"Wendy","non-dropping-particle":"","parse-names":false,"suffix":""},{"dropping-particle":"","family":"Houwelingen","given":"Anne H.Van","non-dropping-particle":"","parse-names":false,"suffix":""},{"dropping-particle":"","family":"Heijmans","given":"Margot","non-dropping-particle":"","parse-names":false,"suffix":""},{"dropping-particle":"","family":"Stijnen","given":"Theo","non-dropping-particle":"","parse-names":false,"suffix":""},{"dropping-particle":"","family":"Hout","given":"Wilbert","non-dropping-particle":"Van Den","parse-names":false,"suffix":""},{"dropping-particle":"","family":"Gussekloo","given":"Jacobijn","non-dropping-particle":"","parse-names":false,"suffix":""}],"container-title":"Age and Ageing","id":"ITEM-1","issue":"1","issued":{"date-parts":[["2016"]]},"page":"30-41","title":"Effectiveness and cost-effectiveness of a proactive, goal-oriented, integrated care model in general practice for older people. A cluster randomised controlled trial: Integrated systematic care for older people-the ISCOPE study","type":"article-journal","volume":"45"},"uris":["http://www.mendeley.com/documents/?uuid=6368e7aa-40cd-4794-9cc6-d405033ad859"]}],"mendeley":{"formattedCitation":"(18)","plainTextFormattedCitation":"(18)","previouslyFormattedCitation":"(17)"},"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(18)</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Opti-Med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{"citationItems":[{"id":"ITEM-1","itemData":{"DOI":"10.1186/1471-2318-14-116","ISBN":"1471-2318","ISSN":"1471-2318","PMID":"25407349","abstract":"BACKGROUND: Inappropriate drug use has been identified as one of the most important problems affecting the quality of care in older people. Inappropriate drug use may increase the risk of the occurrence of 'geriatric giants' such as immobility, instability, incontinence and cognitive impairment. There are indications that clinical medication reviews (CMR) can reduce inappropriate drug use. However, CMRs have not yet been implemented at a large scale in primary care. An innovative medication review program in primary care will be developed which tackles the most important obstacles for a large scale implementation of CMRs. The aim of this study is to assess whether this CMR program is (cost-) effective compared with usual general practice care for older patients with geriatric symptoms with regard to quality of life and geriatric symptoms. METHODS: A cluster randomised controlled trial will be performed in 20 Dutch general practices including 500 patients. Patients of 65 years and older are eligible if they newly present with pre-specified geriatric symptoms in general practice and chronic use of at least one prescribed drug. GP practices will be stratified by practice size and randomly allocated to control (n = 10) or intervention group (n = 10). The intervention consists of CMRs which will be facilitated and prepared by an expert team consisting of a GP and a pharmacist. Primary outcome measures are patient's quality of life and the presence of self-reported geriatric symptoms during a follow-up period of 6 months. Secondary outcomes are costs of healthcare utilisation, feasibility, number of drug related problems, medication adherence and satisfaction with medication. DISCUSSION: This study is expected to add evidence on the (cost-) effectiveness of an optimally facilitated, prepared and structured CMR in comparison with usual care in older patients who present a geriatric symptom to their GP. The strength of this study is that it will be conducted in daily clinical practice. This improves the possibilities to implement the CMRs in the primary care setting on a large scale. TRIAL REGISTRATION: Netherlands Trial register: NTR4264.","author":[{"dropping-particle":"","family":"Willeboordse","given":"Floor","non-dropping-particle":"","parse-names":false,"suffix":""},{"dropping-particle":"","family":"Hugtenburg","given":"Jacqueline G","non-dropping-particle":"","parse-names":false,"suffix":""},{"dropping-particle":"","family":"Dijk","given":"Liset","non-dropping-particle":"van","parse-names":false,"suffix":""},{"dropping-particle":"","family":"Bosmans","given":"Judith E","non-dropping-particle":"","parse-names":false,"suffix":""},{"dropping-particle":"","family":"Vries","given":"Oscar J","non-dropping-particle":"de","parse-names":false,"suffix":""},{"dropping-particle":"","family":"Schellevis","given":"François G","non-dropping-particle":"","parse-names":false,"suffix":""},{"dropping-particle":"","family":"Elders","given":"Petra J M","non-dropping-particle":"","parse-names":false,"suffix":""}],"container-title":"BMC Geriatrics","id":"ITEM-1","issue":"1","issued":{"date-parts":[["2014"]]},"page":"116","title":"Opti-Med: the effectiveness of optimised clinical medication reviews in older people with ‘geriatric giants’ in general practice; study protocol of a cluster randomised controlled trial","type":"article-journal","volume":"14"},"uris":["http://www.mendeley.com/documents/?uuid=72c9132a-bcdb-4e83-b63f-fc690143f562"]},{"id":"ITEM-2","itemData":{"DOI":"10.1093/fampra/cmx007","ISSN":"14602229","abstract":"Background. Inappropriate drug use is a frequent problem in older patients and associated with adverse clinical outcomes and an important determinant of geriatric problems. Clinical medication reviews (CMR) may reduce inappropriate drug use. Objective. The aim of this study is to investigate the effectiveness of CMR on quality of life (QoL) and geriatric problems in comparison with usual care in older patients with geriatric problems in the general practice. Methods. We performed a cluster randomised controlled trial in 22 Dutch general practices. Patients of ≥65 years were eligible if they newly presented with pre-specified geriatric symptoms in general practice and the chronic use of ≥1 prescribed drug. The intervention consisted of CMRs which were prepared by an independent expert team and discussed with the patient by the general practitioner. Primary outcomes: QoL and the presence of self-reported geriatric problems after a follow-up period of 6 months. Results. 518 patients were included. No significant differences between the intervention and control group and over time were found for QoL, geriatric problems, satisfaction with medication and self-reported medication adherence. After 6 months the percentage of solved Drug Related Problems (DRPs) was significantly higher in the intervention group compared to the control group [B 22.6 (95%CI 14.1–31.1), P &lt; 0.001]. Conclusion. The study intervention did not influence QoL and geriatric problems. The higher percentage of solved DRPs in the intervention group did not result in effects on the patient's health. CMRs on a large scale seem not meaningful and should be reconsidered.","author":[{"dropping-particle":"","family":"Willeboordse","given":"Floor","non-dropping-particle":"","parse-names":false,"suffix":""},{"dropping-particle":"","family":"Schellevis","given":"François G.","non-dropping-particle":"","parse-names":false,"suffix":""},{"dropping-particle":"","family":"Chau","given":"Sek Hung","non-dropping-particle":"","parse-names":false,"suffix":""},{"dropping-particle":"","family":"Hugtenburg","given":"Jacqueline G.","non-dropping-particle":"","parse-names":false,"suffix":""},{"dropping-particle":"","family":"Elders","given":"Petra J.M.","non-dropping-particle":"","parse-names":false,"suffix":""}],"container-title":"Family Practice","id":"ITEM-2","issue":"4","issued":{"date-parts":[["2017"]]},"page":"437-445","title":"The effectiveness of optimised clinical medication reviews for geriatric patients: Opti-Med a cluster randomised controlled trial","type":"article-journal","volume":"34"},"uris":["http://www.mendeley.com/documents/?uuid=eaae3e70-9261-461f-8145-093fc4ffc067"]}],"mendeley":{"formattedCitation":"(19,20)","plainTextFormattedCitation":"(19,20)","previouslyFormattedCitation":"(18,19)"},"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(19,20)</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PIL</w:t>
      </w:r>
      <w:r w:rsidR="006B5278" w:rsidRPr="00C91EF0">
        <w:rPr>
          <w:rFonts w:asciiTheme="minorHAnsi" w:hAnsiTheme="minorHAnsi" w:cstheme="minorHAnsi"/>
          <w:sz w:val="22"/>
          <w:szCs w:val="22"/>
          <w:lang w:val="en-GB"/>
        </w:rPr>
        <w:t xml:space="preserve"> (</w:t>
      </w:r>
      <w:proofErr w:type="spellStart"/>
      <w:r w:rsidR="006B5278" w:rsidRPr="00C91EF0">
        <w:rPr>
          <w:rFonts w:asciiTheme="minorHAnsi" w:hAnsiTheme="minorHAnsi" w:cstheme="minorHAnsi"/>
          <w:sz w:val="22"/>
          <w:szCs w:val="22"/>
          <w:lang w:val="en-GB"/>
        </w:rPr>
        <w:t>Nederlands</w:t>
      </w:r>
      <w:proofErr w:type="spellEnd"/>
      <w:r w:rsidR="006B5278" w:rsidRPr="00C91EF0">
        <w:rPr>
          <w:rFonts w:asciiTheme="minorHAnsi" w:hAnsiTheme="minorHAnsi" w:cstheme="minorHAnsi"/>
          <w:sz w:val="22"/>
          <w:szCs w:val="22"/>
          <w:lang w:val="en-GB"/>
        </w:rPr>
        <w:t xml:space="preserve"> Trial Register, NTR2154)</w:t>
      </w:r>
      <w:r w:rsidR="00B74D67"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10.1093/ageing/afw045","ISSN":"0002-0729","author":[{"dropping-particle":"","family":"Bosch-Lenders","given":"Donna","non-dropping-particle":"","parse-names":false,"suffix":""},{"dropping-particle":"","family":"Maessen","given":"Denny W. H. A.","non-dropping-particle":"","parse-names":false,"suffix":""},{"dropping-particle":"","family":"Stoffers","given":"Henri E. J. H. (Jelle)","non-dropping-particle":"","parse-names":false,"suffix":""},{"dropping-particle":"","family":"Knottnerus","given":"J. André","non-dropping-particle":"","parse-names":false,"suffix":""},{"dropping-particle":"","family":"Winkens","given":"Bjorn","non-dropping-particle":"","parse-names":false,"suffix":""},{"dropping-particle":"","family":"Akker","given":"Marjan","non-dropping-particle":"van den","parse-names":false,"suffix":""}],"container-title":"Age and Ageing","id":"ITEM-1","issue":"3","issued":{"date-parts":[["2016","5"]]},"page":"402-408","title":"Factors associated with appropriate knowledge of the indications for prescribed drugs among community-dwelling older patients with polypharmacy","type":"article-journal","volume":"45"},"uris":["http://www.mendeley.com/documents/?uuid=2e5acad4-a1cb-4625-8be6-f38b6d7d42a2","http://www.mendeley.com/documents/?uuid=8fca163c-b919-4898-a671-a2549b3c2b23"]}],"mendeley":{"formattedCitation":"(21)","plainTextFormattedCitation":"(21)","previouslyFormattedCitation":"(20)"},"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(21)</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PRIMUM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10.1136/bmjopen-2016-011613","ISSN":"2044-6055","author":[{"dropping-particle":"","family":"Muth","given":"Christiane","non-dropping-particle":"","parse-names":false,"suffix":""},{"dropping-particle":"","family":"Harder","given":"Sebastian","non-dropping-particle":"","parse-names":false,"suffix":""},{"dropping-particle":"","family":"Uhlmann","given":"Lorenz","non-dropping-particle":"","parse-names":false,"suffix":""},{"dropping-particle":"","family":"Rochon","given":"Justine","non-dropping-particle":"","parse-names":false,"suffix":""},{"dropping-particle":"","family":"Fullerton","given":"Birgit","non-dropping-particle":"","parse-names":false,"suffix":""},{"dropping-particle":"","family":"Güthlin","given":"Corina","non-dropping-particle":"","parse-names":false,"suffix":""},{"dropping-particle":"","family":"Erler","given":"Antje","non-dropping-particle":"","parse-names":false,"suffix":""},{"dropping-particle":"","family":"Beyer","given":"Martin","non-dropping-particle":"","parse-names":false,"suffix":""},{"dropping-particle":"","family":"Akker","given":"Marjan","non-dropping-particle":"van den","parse-names":false,"suffix":""},{"dropping-particle":"","family":"Perera","given":"Rafael","non-dropping-particle":"","parse-names":false,"suffix":""},{"dropping-particle":"","family":"Knottnerus","given":"André","non-dropping-particle":"","parse-names":false,"suffix":""},{"dropping-particle":"","family":"Valderas","given":"Jose M","non-dropping-particle":"","parse-names":false,"suffix":""},{"dropping-particle":"","family":"Gerlach","given":"Ferdinand M","non-dropping-particle":"","parse-names":false,"suffix":""},{"dropping-particle":"","family":"Haefeli","given":"Walter E","non-dropping-particle":"","parse-names":false,"suffix":""}],"container-title":"BMJ Open","id":"ITEM-1","issue":"7","issued":{"date-parts":[["2016","7","25"]]},"page":"e011613","title":"Pilot study to test the feasibility of a trial design and complex intervention on PRIoritising MUltimedication in Multimorbidity in general practices (PRIMUM pilot)","type":"article-journal","volume":"6"},"uris":["http://www.mendeley.com/documents/?uuid=70b31924-53de-4663-b48f-9897ed75e8c2"]},{"id":"ITEM-2","itemData":{"DOI":"10.1136/bmjopen-2017-017740","ISSN":"2044-6055","PMID":"29478012","abstract":"OBJECTIVES Investigate the effectiveness of a complex intervention aimed at improving the appropriateness of medication in older patients with multimorbidity in general practice. DESIGN Pragmatic, cluster randomised controlled trial with general practice as unit of randomisation. SETTING 72 general practices in Hesse, Germany. PARTICIPANTS 505 randomly sampled, cognitively intact patients (≥60 years, ≥3 chronic conditions under pharmacological treatment, ≥5 long-term drug prescriptions with systemic effects); 465 patients and 71 practices completed the study. INTERVENTIONS Intervention group (IG): The healthcare assistant conducted a checklist-based interview with patients on medication-related problems and reconciled their medications. Assisted by a computerised decision support system, the general practitioner optimised medication, discussed it with patients and adjusted it accordingly. The control group (CG) continued with usual care. OUTCOME MEASURES The primary outcome was a modified Medication Appropriateness Index (MAI, excluding item 10 on cost-effectiveness), assessed in blinded medication reviews and calculated as the difference between baseline and after 6 months; secondary outcomes after 6 and 9 months' follow-up: quality of life, functioning, medication adherence, and so on. RESULTS At baseline, a high proportion of patients had appropriate to mildly inappropriate prescriptions (MAI 0-5 points: n=350 patients). Randomisation revealed balanced groups (IG: 36 practices/252 patients; CG: 36/253). Intervention had no significant effect on primary outcome: mean MAI sum scores decreased by 0.3 points in IG and 0.8 points in CG, resulting in a non-significant adjusted mean difference of 0.7 (95% CI -0.2 to 1.6) points in favour of CG. Secondary outcomes showed non-significant changes (quality of life slightly improved in IG but continued to decline in CG) or remained stable (functioning, medication adherence). CONCLUSIONS The intervention had no significant effects. Many patients already received appropriate prescriptions and enjoyed good quality of life and functional status. We can therefore conclude that in our study, there was not enough scope for improvement. TRIAL REGISTRATION NUMBER ISRCTN99526053. NCT01171339; Results.","author":[{"dropping-particle":"","family":"Muth","given":"Christiane","non-dropping-particle":"","parse-names":false,"suffix":""},{"dropping-particle":"","family":"Uhlmann","given":"Lorenz","non-dropping-particle":"","parse-names":false,"suffix":""},{"dropping-particle":"","family":"Haefeli","given":"Walter E","non-dropping-particle":"","parse-names":false,"suffix":""},{"dropping-particle":"","family":"Rochon","given":"Justine","non-dropping-particle":"","parse-names":false,"suffix":""},{"dropping-particle":"","family":"Akker","given":"Marjan","non-dropping-particle":"van den","parse-names":false,"suffix":""},{"dropping-particle":"","family":"Perera","given":"Rafael","non-dropping-particle":"","parse-names":false,"suffix":""},{"dropping-particle":"","family":"Güthlin","given":"Corina","non-dropping-particle":"","parse-names":false,"suffix":""},{"dropping-particle":"","family":"Beyer","given":"Martin","non-dropping-particle":"","parse-names":false,"suffix":""},{"dropping-particle":"","family":"Oswald","given":"Frank","non-dropping-particle":"","parse-names":false,"suffix":""},{"dropping-particle":"","family":"Valderas","given":"Jose Maria","non-dropping-particle":"","parse-names":false,"suffix":""},{"dropping-particle":"","family":"Knottnerus","given":"J André","non-dropping-particle":"","parse-names":false,"suffix":""},{"dropping-particle":"","family":"Gerlach","given":"Ferdinand M","non-dropping-particle":"","parse-names":false,"suffix":""},{"dropping-particle":"","family":"Harder","given":"Sebastian","non-dropping-particle":"","parse-names":false,"suffix":""}],"container-title":"BMJ open","id":"ITEM-2","issue":"2","issued":{"date-parts":[["2018"]]},"page":"e017740","title":"Effectiveness of a complex intervention on Prioritising Multimedication in Multimorbidity (PRIMUM) in primary care: results of a pragmatic cluster randomised controlled trial.","type":"article-journal","volume":"8"},"uris":["http://www.mendeley.com/documents/?uuid=44a6229b-710e-4f40-bcbd-a36b4046781d"]}],"mendeley":{"formattedCitation":"(8,22)","plainTextFormattedCitation":"(8,22)","previouslyFormattedCitation":"(7,21)"},"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(8,22)</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and RIME</w:t>
      </w:r>
      <w:r w:rsidR="00B74D67" w:rsidRPr="00C91EF0">
        <w:rPr>
          <w:rFonts w:asciiTheme="minorHAnsi" w:hAnsiTheme="minorHAnsi" w:cstheme="minorHAnsi"/>
          <w:sz w:val="22"/>
          <w:szCs w:val="22"/>
          <w:lang w:val="en-GB"/>
        </w:rPr>
        <w:t xml:space="preserve"> (</w:t>
      </w:r>
      <w:proofErr w:type="spellStart"/>
      <w:r w:rsidR="00EA50C8" w:rsidRPr="00C91EF0">
        <w:rPr>
          <w:rFonts w:asciiTheme="minorHAnsi" w:hAnsiTheme="minorHAnsi" w:cstheme="minorHAnsi"/>
          <w:sz w:val="22"/>
          <w:szCs w:val="22"/>
          <w:lang w:val="en-GB"/>
        </w:rPr>
        <w:t>Deutsches</w:t>
      </w:r>
      <w:proofErr w:type="spellEnd"/>
      <w:r w:rsidR="00EA50C8" w:rsidRPr="00C91EF0">
        <w:rPr>
          <w:rFonts w:asciiTheme="minorHAnsi" w:hAnsiTheme="minorHAnsi" w:cstheme="minorHAnsi"/>
          <w:sz w:val="22"/>
          <w:szCs w:val="22"/>
          <w:lang w:val="en-GB"/>
        </w:rPr>
        <w:t xml:space="preserve"> Register </w:t>
      </w:r>
      <w:proofErr w:type="spellStart"/>
      <w:r w:rsidR="00EA50C8" w:rsidRPr="00C91EF0">
        <w:rPr>
          <w:rFonts w:asciiTheme="minorHAnsi" w:hAnsiTheme="minorHAnsi" w:cstheme="minorHAnsi"/>
          <w:sz w:val="22"/>
          <w:szCs w:val="22"/>
          <w:lang w:val="en-GB"/>
        </w:rPr>
        <w:t>Klinischer</w:t>
      </w:r>
      <w:proofErr w:type="spellEnd"/>
      <w:r w:rsidR="00EA50C8" w:rsidRPr="00C91EF0">
        <w:rPr>
          <w:rFonts w:asciiTheme="minorHAnsi" w:hAnsiTheme="minorHAnsi" w:cstheme="minorHAnsi"/>
          <w:sz w:val="22"/>
          <w:szCs w:val="22"/>
          <w:lang w:val="en-GB"/>
        </w:rPr>
        <w:t xml:space="preserve"> </w:t>
      </w:r>
      <w:proofErr w:type="spellStart"/>
      <w:r w:rsidR="00EA50C8" w:rsidRPr="00C91EF0">
        <w:rPr>
          <w:rFonts w:asciiTheme="minorHAnsi" w:hAnsiTheme="minorHAnsi" w:cstheme="minorHAnsi"/>
          <w:sz w:val="22"/>
          <w:szCs w:val="22"/>
          <w:lang w:val="en-GB"/>
        </w:rPr>
        <w:t>Studien</w:t>
      </w:r>
      <w:proofErr w:type="spellEnd"/>
      <w:r w:rsidR="00EA50C8" w:rsidRPr="00C91EF0">
        <w:rPr>
          <w:rFonts w:asciiTheme="minorHAnsi" w:hAnsiTheme="minorHAnsi" w:cstheme="minorHAnsi"/>
          <w:sz w:val="22"/>
          <w:szCs w:val="22"/>
          <w:lang w:val="en-GB"/>
        </w:rPr>
        <w:t>-ID, DRKS00003610</w:t>
      </w:r>
      <w:r w:rsidR="00B74D67" w:rsidRPr="00C91EF0">
        <w:rPr>
          <w:rFonts w:asciiTheme="minorHAnsi" w:hAnsiTheme="minorHAnsi" w:cstheme="minorHAnsi"/>
          <w:sz w:val="22"/>
          <w:szCs w:val="22"/>
          <w:lang w:val="en-GB"/>
        </w:rPr>
        <w:t>)</w:t>
      </w:r>
      <w:r w:rsidR="00694918">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694918">
        <w:rPr>
          <w:rFonts w:asciiTheme="minorHAnsi" w:hAnsiTheme="minorHAnsi" w:cstheme="minorHAnsi"/>
          <w:sz w:val="22"/>
          <w:szCs w:val="22"/>
          <w:lang w:val="en-GB"/>
        </w:rPr>
        <w:t xml:space="preserve">resemble each other in terms of </w:t>
      </w:r>
      <w:r w:rsidRPr="00C91EF0">
        <w:rPr>
          <w:rFonts w:asciiTheme="minorHAnsi" w:hAnsiTheme="minorHAnsi" w:cstheme="minorHAnsi"/>
          <w:sz w:val="22"/>
          <w:szCs w:val="22"/>
          <w:lang w:val="en-GB"/>
        </w:rPr>
        <w:t>key study characteristics.</w:t>
      </w:r>
      <w:r w:rsidR="00505002" w:rsidRPr="00C91EF0">
        <w:rPr>
          <w:rFonts w:asciiTheme="minorHAnsi" w:hAnsiTheme="minorHAnsi" w:cstheme="minorHAnsi"/>
          <w:sz w:val="22"/>
          <w:szCs w:val="22"/>
          <w:lang w:val="en-GB"/>
        </w:rPr>
        <w:t xml:space="preserve"> </w:t>
      </w:r>
      <w:r w:rsidR="00505002" w:rsidRPr="00C91EF0">
        <w:rPr>
          <w:rFonts w:asciiTheme="minorHAnsi" w:hAnsiTheme="minorHAnsi" w:cstheme="minorHAnsi"/>
          <w:sz w:val="22"/>
          <w:szCs w:val="22"/>
          <w:lang w:val="en-GB" w:eastAsia="nb-NO"/>
        </w:rPr>
        <w:t>Four trials (PRIMUM, Opti-med, PIL</w:t>
      </w:r>
      <w:r w:rsidR="007613F3" w:rsidRPr="00C91EF0">
        <w:rPr>
          <w:rFonts w:asciiTheme="minorHAnsi" w:hAnsiTheme="minorHAnsi" w:cstheme="minorHAnsi"/>
          <w:sz w:val="22"/>
          <w:szCs w:val="22"/>
          <w:lang w:val="en-GB" w:eastAsia="nb-NO"/>
        </w:rPr>
        <w:t>,</w:t>
      </w:r>
      <w:r w:rsidR="00505002" w:rsidRPr="00C91EF0">
        <w:rPr>
          <w:rFonts w:asciiTheme="minorHAnsi" w:hAnsiTheme="minorHAnsi" w:cstheme="minorHAnsi"/>
          <w:sz w:val="22"/>
          <w:szCs w:val="22"/>
          <w:lang w:val="en-GB" w:eastAsia="nb-NO"/>
        </w:rPr>
        <w:t xml:space="preserve"> and RIME) compared a structured medication review consisting of several intervention components (i.e., complex interventions) with usual care</w:t>
      </w:r>
      <w:r w:rsidR="00694918">
        <w:rPr>
          <w:rFonts w:asciiTheme="minorHAnsi" w:hAnsiTheme="minorHAnsi" w:cstheme="minorHAnsi"/>
          <w:sz w:val="22"/>
          <w:szCs w:val="22"/>
          <w:lang w:val="en-GB" w:eastAsia="nb-NO"/>
        </w:rPr>
        <w:t xml:space="preserve">, while </w:t>
      </w:r>
      <w:r w:rsidR="00505002" w:rsidRPr="00C91EF0">
        <w:rPr>
          <w:rFonts w:asciiTheme="minorHAnsi" w:hAnsiTheme="minorHAnsi" w:cstheme="minorHAnsi"/>
          <w:sz w:val="22"/>
          <w:szCs w:val="22"/>
          <w:lang w:val="en-GB" w:eastAsia="nb-NO"/>
        </w:rPr>
        <w:t xml:space="preserve">ISCOPE </w:t>
      </w:r>
      <w:r w:rsidR="00131CEA">
        <w:rPr>
          <w:rFonts w:asciiTheme="minorHAnsi" w:hAnsiTheme="minorHAnsi" w:cstheme="minorHAnsi"/>
          <w:sz w:val="22"/>
          <w:szCs w:val="22"/>
          <w:lang w:val="en-GB" w:eastAsia="nb-NO"/>
        </w:rPr>
        <w:t xml:space="preserve">used a functional geriatric approach to </w:t>
      </w:r>
      <w:r w:rsidR="00505002" w:rsidRPr="00C91EF0">
        <w:rPr>
          <w:rFonts w:asciiTheme="minorHAnsi" w:hAnsiTheme="minorHAnsi" w:cstheme="minorHAnsi"/>
          <w:sz w:val="22"/>
          <w:szCs w:val="22"/>
          <w:lang w:val="en-GB" w:eastAsia="nb-NO"/>
        </w:rPr>
        <w:t>compare usual care with a proactive and integrated care plan</w:t>
      </w:r>
      <w:r w:rsidR="00505002" w:rsidRPr="00C91EF0">
        <w:rPr>
          <w:rFonts w:asciiTheme="minorHAnsi" w:hAnsiTheme="minorHAnsi" w:cstheme="minorHAnsi"/>
          <w:sz w:val="22"/>
          <w:szCs w:val="22"/>
          <w:lang w:val="en-GB"/>
        </w:rPr>
        <w:t>.</w:t>
      </w:r>
      <w:r w:rsidR="001B3547"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Details o</w:t>
      </w:r>
      <w:r w:rsidR="00131CEA">
        <w:rPr>
          <w:rFonts w:asciiTheme="minorHAnsi" w:hAnsiTheme="minorHAnsi" w:cstheme="minorHAnsi"/>
          <w:sz w:val="22"/>
          <w:szCs w:val="22"/>
          <w:lang w:val="en-GB"/>
        </w:rPr>
        <w:t>f</w:t>
      </w:r>
      <w:r w:rsidRPr="00C91EF0">
        <w:rPr>
          <w:rFonts w:asciiTheme="minorHAnsi" w:hAnsiTheme="minorHAnsi" w:cstheme="minorHAnsi"/>
          <w:sz w:val="22"/>
          <w:szCs w:val="22"/>
          <w:lang w:val="en-GB"/>
        </w:rPr>
        <w:t xml:space="preserve"> the origin and preparation of the source data for the PROPERmed database </w:t>
      </w:r>
      <w:r w:rsidR="00056E45" w:rsidRPr="00C91EF0">
        <w:rPr>
          <w:rFonts w:asciiTheme="minorHAnsi" w:hAnsiTheme="minorHAnsi" w:cstheme="minorHAnsi"/>
          <w:sz w:val="22"/>
          <w:szCs w:val="22"/>
          <w:lang w:val="en-GB"/>
        </w:rPr>
        <w:t>(</w:t>
      </w:r>
      <w:r w:rsidR="005456FA" w:rsidRPr="00C91EF0">
        <w:rPr>
          <w:rFonts w:asciiTheme="minorHAnsi" w:hAnsiTheme="minorHAnsi" w:cstheme="minorHAnsi"/>
          <w:sz w:val="22"/>
          <w:szCs w:val="22"/>
          <w:u w:val="single"/>
          <w:lang w:val="en-GB"/>
        </w:rPr>
        <w:t>PR</w:t>
      </w:r>
      <w:r w:rsidR="005456FA" w:rsidRPr="00C91EF0">
        <w:rPr>
          <w:rFonts w:asciiTheme="minorHAnsi" w:hAnsiTheme="minorHAnsi" w:cstheme="minorHAnsi"/>
          <w:sz w:val="22"/>
          <w:szCs w:val="22"/>
          <w:lang w:val="en-GB"/>
        </w:rPr>
        <w:t xml:space="preserve">IMUM, </w:t>
      </w:r>
      <w:r w:rsidR="005456FA" w:rsidRPr="00C91EF0">
        <w:rPr>
          <w:rFonts w:asciiTheme="minorHAnsi" w:hAnsiTheme="minorHAnsi" w:cstheme="minorHAnsi"/>
          <w:sz w:val="22"/>
          <w:szCs w:val="22"/>
          <w:u w:val="single"/>
          <w:lang w:val="en-GB"/>
        </w:rPr>
        <w:t>O</w:t>
      </w:r>
      <w:r w:rsidR="005456FA" w:rsidRPr="00C91EF0">
        <w:rPr>
          <w:rFonts w:asciiTheme="minorHAnsi" w:hAnsiTheme="minorHAnsi" w:cstheme="minorHAnsi"/>
          <w:sz w:val="22"/>
          <w:szCs w:val="22"/>
          <w:lang w:val="en-GB"/>
        </w:rPr>
        <w:t xml:space="preserve">pti-Med, </w:t>
      </w:r>
      <w:r w:rsidR="005456FA" w:rsidRPr="00C91EF0">
        <w:rPr>
          <w:rFonts w:asciiTheme="minorHAnsi" w:hAnsiTheme="minorHAnsi" w:cstheme="minorHAnsi"/>
          <w:sz w:val="22"/>
          <w:szCs w:val="22"/>
          <w:u w:val="single"/>
          <w:lang w:val="en-GB"/>
        </w:rPr>
        <w:t>P</w:t>
      </w:r>
      <w:r w:rsidR="005456FA" w:rsidRPr="00C91EF0">
        <w:rPr>
          <w:rFonts w:asciiTheme="minorHAnsi" w:hAnsiTheme="minorHAnsi" w:cstheme="minorHAnsi"/>
          <w:sz w:val="22"/>
          <w:szCs w:val="22"/>
          <w:lang w:val="en-GB"/>
        </w:rPr>
        <w:t>IL, ISCOP</w:t>
      </w:r>
      <w:r w:rsidR="005456FA" w:rsidRPr="00C91EF0">
        <w:rPr>
          <w:rFonts w:asciiTheme="minorHAnsi" w:hAnsiTheme="minorHAnsi" w:cstheme="minorHAnsi"/>
          <w:sz w:val="22"/>
          <w:szCs w:val="22"/>
          <w:u w:val="single"/>
          <w:lang w:val="en-GB"/>
        </w:rPr>
        <w:t>E</w:t>
      </w:r>
      <w:r w:rsidR="005456FA" w:rsidRPr="00C91EF0">
        <w:rPr>
          <w:rFonts w:asciiTheme="minorHAnsi" w:hAnsiTheme="minorHAnsi" w:cstheme="minorHAnsi"/>
          <w:sz w:val="22"/>
          <w:szCs w:val="22"/>
          <w:lang w:val="en-GB"/>
        </w:rPr>
        <w:t xml:space="preserve">, </w:t>
      </w:r>
      <w:r w:rsidR="005456FA" w:rsidRPr="00C91EF0">
        <w:rPr>
          <w:rFonts w:asciiTheme="minorHAnsi" w:hAnsiTheme="minorHAnsi" w:cstheme="minorHAnsi"/>
          <w:sz w:val="22"/>
          <w:szCs w:val="22"/>
          <w:u w:val="single"/>
          <w:lang w:val="en-GB"/>
        </w:rPr>
        <w:t>R</w:t>
      </w:r>
      <w:r w:rsidR="005456FA" w:rsidRPr="00C91EF0">
        <w:rPr>
          <w:rFonts w:asciiTheme="minorHAnsi" w:hAnsiTheme="minorHAnsi" w:cstheme="minorHAnsi"/>
          <w:sz w:val="22"/>
          <w:szCs w:val="22"/>
          <w:lang w:val="en-GB"/>
        </w:rPr>
        <w:t>IME</w:t>
      </w:r>
      <w:r w:rsidR="00056E45" w:rsidRPr="00C91EF0">
        <w:rPr>
          <w:rFonts w:asciiTheme="minorHAnsi" w:hAnsiTheme="minorHAnsi" w:cstheme="minorHAnsi"/>
          <w:sz w:val="22"/>
          <w:szCs w:val="22"/>
          <w:lang w:val="en-GB"/>
        </w:rPr>
        <w:t xml:space="preserve">) </w:t>
      </w:r>
      <w:r w:rsidR="00BC4B1A" w:rsidRPr="00C91EF0">
        <w:rPr>
          <w:rFonts w:asciiTheme="minorHAnsi" w:hAnsiTheme="minorHAnsi" w:cstheme="minorHAnsi"/>
          <w:sz w:val="22"/>
          <w:szCs w:val="22"/>
          <w:lang w:val="en-GB"/>
        </w:rPr>
        <w:t xml:space="preserve">will be </w:t>
      </w:r>
      <w:r w:rsidRPr="00C91EF0">
        <w:rPr>
          <w:rFonts w:asciiTheme="minorHAnsi" w:hAnsiTheme="minorHAnsi" w:cstheme="minorHAnsi"/>
          <w:sz w:val="22"/>
          <w:szCs w:val="22"/>
          <w:lang w:val="en-GB"/>
        </w:rPr>
        <w:t>published elsewhere</w:t>
      </w:r>
      <w:r w:rsidR="00941B38">
        <w:rPr>
          <w:rFonts w:asciiTheme="minorHAnsi" w:hAnsiTheme="minorHAnsi" w:cstheme="minorHAnsi"/>
          <w:sz w:val="22"/>
          <w:szCs w:val="22"/>
          <w:lang w:val="en-GB"/>
        </w:rPr>
        <w:t>.</w:t>
      </w:r>
    </w:p>
    <w:p w14:paraId="349B0380" w14:textId="77777777" w:rsidR="00B77E41" w:rsidRPr="00C91EF0" w:rsidRDefault="00B77E41" w:rsidP="00834D54">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lastRenderedPageBreak/>
        <w:t xml:space="preserve">[About here link to: Supplemental Table 1 on </w:t>
      </w:r>
      <w:r>
        <w:rPr>
          <w:rFonts w:asciiTheme="minorHAnsi" w:hAnsiTheme="minorHAnsi" w:cstheme="minorHAnsi"/>
          <w:sz w:val="22"/>
          <w:szCs w:val="22"/>
          <w:lang w:val="en-GB"/>
        </w:rPr>
        <w:t>Main characteristics of the included trials</w:t>
      </w:r>
      <w:r w:rsidRPr="00C91EF0">
        <w:rPr>
          <w:rFonts w:asciiTheme="minorHAnsi" w:hAnsiTheme="minorHAnsi" w:cstheme="minorHAnsi"/>
          <w:sz w:val="22"/>
          <w:szCs w:val="22"/>
          <w:lang w:val="en-GB"/>
        </w:rPr>
        <w:t>]</w:t>
      </w:r>
    </w:p>
    <w:p w14:paraId="39E2147A" w14:textId="77777777" w:rsidR="001B3547" w:rsidRPr="000363B5" w:rsidRDefault="001B3547" w:rsidP="00834D54">
      <w:pPr>
        <w:spacing w:line="480" w:lineRule="auto"/>
        <w:rPr>
          <w:rFonts w:asciiTheme="minorHAnsi" w:hAnsiTheme="minorHAnsi" w:cstheme="minorHAnsi"/>
          <w:b/>
          <w:sz w:val="22"/>
          <w:szCs w:val="22"/>
          <w:lang w:val="en-GB"/>
        </w:rPr>
      </w:pPr>
      <w:r w:rsidRPr="000363B5">
        <w:rPr>
          <w:rFonts w:asciiTheme="minorHAnsi" w:hAnsiTheme="minorHAnsi" w:cstheme="minorHAnsi"/>
          <w:b/>
          <w:sz w:val="22"/>
          <w:szCs w:val="22"/>
          <w:lang w:val="en-GB"/>
        </w:rPr>
        <w:t>Participants</w:t>
      </w:r>
    </w:p>
    <w:p w14:paraId="31385108" w14:textId="6FC0453A" w:rsidR="001B3547" w:rsidRPr="00C91EF0" w:rsidRDefault="00131CEA" w:rsidP="001B3547">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eastAsia="nb-NO"/>
        </w:rPr>
        <w:t>At baseline, w</w:t>
      </w:r>
      <w:r w:rsidR="001B3547" w:rsidRPr="00C91EF0">
        <w:rPr>
          <w:rFonts w:asciiTheme="minorHAnsi" w:hAnsiTheme="minorHAnsi" w:cstheme="minorHAnsi"/>
          <w:sz w:val="22"/>
          <w:szCs w:val="22"/>
          <w:lang w:val="en-GB" w:eastAsia="nb-NO"/>
        </w:rPr>
        <w:t xml:space="preserve">e included </w:t>
      </w:r>
      <w:r w:rsidR="00694918">
        <w:rPr>
          <w:rFonts w:asciiTheme="minorHAnsi" w:hAnsiTheme="minorHAnsi" w:cstheme="minorHAnsi"/>
          <w:sz w:val="22"/>
          <w:szCs w:val="22"/>
          <w:lang w:val="en-GB" w:eastAsia="nb-NO"/>
        </w:rPr>
        <w:t xml:space="preserve">general practice </w:t>
      </w:r>
      <w:r w:rsidR="001B3547" w:rsidRPr="00C91EF0">
        <w:rPr>
          <w:rFonts w:asciiTheme="minorHAnsi" w:hAnsiTheme="minorHAnsi" w:cstheme="minorHAnsi"/>
          <w:sz w:val="22"/>
          <w:szCs w:val="22"/>
          <w:lang w:val="en-GB" w:eastAsia="nb-NO"/>
        </w:rPr>
        <w:t>patients aged 60 years or older with at least one chronic condition and one chronic prescription. We defined chronic conditions in accordance with O´Halloran</w:t>
      </w:r>
      <w:r w:rsidR="00F240B7">
        <w:rPr>
          <w:rFonts w:asciiTheme="minorHAnsi" w:hAnsiTheme="minorHAnsi" w:cstheme="minorHAnsi"/>
          <w:sz w:val="22"/>
          <w:szCs w:val="22"/>
          <w:lang w:val="en-GB" w:eastAsia="nb-NO"/>
        </w:rPr>
        <w:t>´s list</w:t>
      </w:r>
      <w:r w:rsidR="001B3547" w:rsidRPr="00C91EF0">
        <w:rPr>
          <w:rFonts w:asciiTheme="minorHAnsi" w:hAnsiTheme="minorHAnsi" w:cstheme="minorHAnsi"/>
          <w:sz w:val="22"/>
          <w:szCs w:val="22"/>
          <w:lang w:val="en-GB" w:eastAsia="nb-NO"/>
        </w:rPr>
        <w:t xml:space="preserve">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{"citationItems":[{"id":"ITEM-1","itemData":{"DOI":"10.1093/fampra/cmh407","ISSN":"0263-2136","PMID":"15249526","abstract":"BACKGROUND With the increasing prevalence of chronic conditions, there is need for a standardized definition of chronicity for use in research, to evaluate the population prevalence and general practice management of chronic conditions. OBJECTIVES Our aims were to determine the characteristics required to define chronicity, apply them to a primary care classification and provide a defined codeset of chronic conditions. METHODS A literature review evaluated characteristics used to define chronic conditions. The final set of characteristics was applied to the International Classification of Primary Care-Version 2 (ICPC-2) through more specific terms available in ICPC-2 PLUS, an extended terminology classified to ICPC-2. A set of ICPC-2 rubrics was delineated as representing chronic conditions. RESULTS Factors found to be relevant to a definition of chronic conditions for research were: duration; prognosis; pattern; and sequelae. Within ICPC-2, 129 rubrics were described as 'chronic', and another 20 rubrics had elements of chronicity. Duration was the criterion most frequently satisfied (98.4% of chronic rubrics), while 88.2% of rubrics met at least three of the four criteria. CONCLUSION Monitoring the prevalence and management of chronic conditions is of increasing importance. This study provided evidence for multifaceted definitions of chronicity. While all characteristics examined could be used by those interested in chronicity, the list has been designed to identify chronic conditions managed in Australian general practice, and is therefore not a nomenclature of all chronic conditions. Subsequent analysis of chronic conditions using pre-existing data sets will provide a baseline measure of chronic condition prevalence and management in general practice.","author":[{"dropping-particle":"","family":"O'Halloran","given":"Julie","non-dropping-particle":"","parse-names":false,"suffix":""},{"dropping-particle":"","family":"Miller","given":"Graeme C","non-dropping-particle":"","parse-names":false,"suffix":""},{"dropping-particle":"","family":"Britt","given":"Helena","non-dropping-particle":"","parse-names":false,"suffix":""}],"container-title":"Family practice","id":"ITEM-1","issue":"4","issued":{"date-parts":[["2004","8"]]},"page":"381-6","title":"Defining chronic conditions for primary care with ICPC-2.","type":"article-journal","volume":"21"},"uris":["http://www.mendeley.com/documents/?uuid=4a9b8cb0-c27c-45f4-a5e9-dfb1c8001f8e"]}],"mendeley":{"formattedCitation":"(23)","plainTextFormattedCitation":"(23)","previouslyFormattedCitation":"(22)"},"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(23)</w:t>
      </w:r>
      <w:r w:rsidR="00776DB8" w:rsidRPr="00C91EF0">
        <w:rPr>
          <w:rFonts w:asciiTheme="minorHAnsi" w:hAnsiTheme="minorHAnsi" w:cstheme="minorHAnsi"/>
          <w:sz w:val="22"/>
          <w:szCs w:val="22"/>
          <w:lang w:val="en-GB" w:eastAsia="nb-NO"/>
        </w:rPr>
        <w:fldChar w:fldCharType="end"/>
      </w:r>
      <w:r w:rsidR="00C95414">
        <w:rPr>
          <w:rFonts w:asciiTheme="minorHAnsi" w:hAnsiTheme="minorHAnsi" w:cstheme="minorHAnsi"/>
          <w:sz w:val="22"/>
          <w:szCs w:val="22"/>
          <w:lang w:val="en-GB" w:eastAsia="nb-NO"/>
        </w:rPr>
        <w:t>,</w:t>
      </w:r>
      <w:r w:rsidR="007613F3" w:rsidRPr="00C91EF0">
        <w:rPr>
          <w:rFonts w:asciiTheme="minorHAnsi" w:hAnsiTheme="minorHAnsi" w:cstheme="minorHAnsi"/>
          <w:sz w:val="22"/>
          <w:szCs w:val="22"/>
          <w:lang w:val="en-GB" w:eastAsia="nb-NO"/>
        </w:rPr>
        <w:t xml:space="preserve"> and </w:t>
      </w:r>
      <w:r w:rsidR="001B3547" w:rsidRPr="00C91EF0">
        <w:rPr>
          <w:rFonts w:asciiTheme="minorHAnsi" w:hAnsiTheme="minorHAnsi" w:cstheme="minorHAnsi"/>
          <w:sz w:val="22"/>
          <w:szCs w:val="22"/>
          <w:lang w:val="en-GB" w:eastAsia="nb-NO"/>
        </w:rPr>
        <w:t xml:space="preserve">chronic prescriptions </w:t>
      </w:r>
      <w:r w:rsidR="00C95414">
        <w:rPr>
          <w:rFonts w:asciiTheme="minorHAnsi" w:hAnsiTheme="minorHAnsi" w:cstheme="minorHAnsi"/>
          <w:sz w:val="22"/>
          <w:szCs w:val="22"/>
          <w:lang w:val="en-GB" w:eastAsia="nb-NO"/>
        </w:rPr>
        <w:t xml:space="preserve">in the same way as </w:t>
      </w:r>
      <w:r w:rsidR="001B3547" w:rsidRPr="00C91EF0">
        <w:rPr>
          <w:rFonts w:asciiTheme="minorHAnsi" w:hAnsiTheme="minorHAnsi" w:cstheme="minorHAnsi"/>
          <w:sz w:val="22"/>
          <w:szCs w:val="22"/>
          <w:lang w:val="en-GB" w:eastAsia="nb-NO"/>
        </w:rPr>
        <w:t>the included trials</w:t>
      </w:r>
      <w:r w:rsidR="007976BB" w:rsidRPr="00C91EF0">
        <w:rPr>
          <w:rFonts w:asciiTheme="minorHAnsi" w:hAnsiTheme="minorHAnsi" w:cstheme="minorHAnsi"/>
          <w:sz w:val="22"/>
          <w:szCs w:val="22"/>
          <w:lang w:val="en-GB" w:eastAsia="nb-NO"/>
        </w:rPr>
        <w:t xml:space="preserve"> (</w:t>
      </w:r>
      <w:r w:rsidR="007C5BE0" w:rsidRPr="00C91EF0">
        <w:rPr>
          <w:rFonts w:asciiTheme="minorHAnsi" w:hAnsiTheme="minorHAnsi" w:cstheme="minorHAnsi"/>
          <w:sz w:val="22"/>
          <w:szCs w:val="22"/>
          <w:lang w:val="en-GB" w:eastAsia="nb-NO"/>
        </w:rPr>
        <w:t>two</w:t>
      </w:r>
      <w:r w:rsidR="007976BB" w:rsidRPr="00C91EF0">
        <w:rPr>
          <w:rFonts w:asciiTheme="minorHAnsi" w:hAnsiTheme="minorHAnsi" w:cstheme="minorHAnsi"/>
          <w:sz w:val="22"/>
          <w:szCs w:val="22"/>
          <w:lang w:val="en-GB" w:eastAsia="nb-NO"/>
        </w:rPr>
        <w:t xml:space="preserve"> weeks duration in PRIMUM, </w:t>
      </w:r>
      <w:r w:rsidR="007C5BE0" w:rsidRPr="00C91EF0">
        <w:rPr>
          <w:rFonts w:asciiTheme="minorHAnsi" w:hAnsiTheme="minorHAnsi" w:cstheme="minorHAnsi"/>
          <w:sz w:val="22"/>
          <w:szCs w:val="22"/>
          <w:lang w:val="en-GB" w:eastAsia="nb-NO"/>
        </w:rPr>
        <w:t>two</w:t>
      </w:r>
      <w:r w:rsidR="007976BB" w:rsidRPr="00C91EF0">
        <w:rPr>
          <w:rFonts w:asciiTheme="minorHAnsi" w:hAnsiTheme="minorHAnsi" w:cstheme="minorHAnsi"/>
          <w:sz w:val="22"/>
          <w:szCs w:val="22"/>
          <w:lang w:val="en-GB" w:eastAsia="nb-NO"/>
        </w:rPr>
        <w:t xml:space="preserve"> months in ISCOPE</w:t>
      </w:r>
      <w:r w:rsidR="00C811F9" w:rsidRPr="00C91EF0">
        <w:rPr>
          <w:rFonts w:asciiTheme="minorHAnsi" w:hAnsiTheme="minorHAnsi" w:cstheme="minorHAnsi"/>
          <w:sz w:val="22"/>
          <w:szCs w:val="22"/>
          <w:lang w:val="en-GB" w:eastAsia="nb-NO"/>
        </w:rPr>
        <w:t>,</w:t>
      </w:r>
      <w:r w:rsidR="007976BB" w:rsidRPr="00C91EF0">
        <w:rPr>
          <w:rFonts w:asciiTheme="minorHAnsi" w:hAnsiTheme="minorHAnsi" w:cstheme="minorHAnsi"/>
          <w:sz w:val="22"/>
          <w:szCs w:val="22"/>
          <w:lang w:val="en-GB" w:eastAsia="nb-NO"/>
        </w:rPr>
        <w:t xml:space="preserve"> and </w:t>
      </w:r>
      <w:r w:rsidR="007C5BE0" w:rsidRPr="00C91EF0">
        <w:rPr>
          <w:rFonts w:asciiTheme="minorHAnsi" w:hAnsiTheme="minorHAnsi" w:cstheme="minorHAnsi"/>
          <w:sz w:val="22"/>
          <w:szCs w:val="22"/>
          <w:lang w:val="en-GB" w:eastAsia="nb-NO"/>
        </w:rPr>
        <w:t>three</w:t>
      </w:r>
      <w:r w:rsidR="007976BB" w:rsidRPr="00C91EF0">
        <w:rPr>
          <w:rFonts w:asciiTheme="minorHAnsi" w:hAnsiTheme="minorHAnsi" w:cstheme="minorHAnsi"/>
          <w:sz w:val="22"/>
          <w:szCs w:val="22"/>
          <w:lang w:val="en-GB" w:eastAsia="nb-NO"/>
        </w:rPr>
        <w:t xml:space="preserve"> months in Opti-Med, PIL and RIME)</w:t>
      </w:r>
      <w:r w:rsidR="001B3547" w:rsidRPr="00C91EF0">
        <w:rPr>
          <w:rFonts w:asciiTheme="minorHAnsi" w:hAnsiTheme="minorHAnsi" w:cstheme="minorHAnsi"/>
          <w:sz w:val="22"/>
          <w:szCs w:val="22"/>
          <w:lang w:val="en-GB"/>
        </w:rPr>
        <w:t>.</w:t>
      </w:r>
    </w:p>
    <w:p w14:paraId="58896909" w14:textId="77777777" w:rsidR="009107F7" w:rsidRPr="000363B5" w:rsidRDefault="009107F7" w:rsidP="009107F7">
      <w:pPr>
        <w:spacing w:line="480" w:lineRule="auto"/>
        <w:rPr>
          <w:rFonts w:asciiTheme="minorHAnsi" w:hAnsiTheme="minorHAnsi" w:cstheme="minorHAnsi"/>
          <w:b/>
          <w:sz w:val="22"/>
          <w:szCs w:val="22"/>
          <w:lang w:val="en-GB"/>
        </w:rPr>
      </w:pPr>
      <w:r w:rsidRPr="000363B5">
        <w:rPr>
          <w:rFonts w:asciiTheme="minorHAnsi" w:hAnsiTheme="minorHAnsi" w:cstheme="minorHAnsi"/>
          <w:b/>
          <w:sz w:val="22"/>
          <w:szCs w:val="22"/>
          <w:lang w:val="en-GB"/>
        </w:rPr>
        <w:t>Outcome</w:t>
      </w:r>
    </w:p>
    <w:p w14:paraId="2A8F62E6" w14:textId="42A591AF" w:rsidR="009107F7" w:rsidRPr="00C91EF0" w:rsidRDefault="009107F7" w:rsidP="009107F7">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We defined </w:t>
      </w:r>
      <w:proofErr w:type="spellStart"/>
      <w:r w:rsidR="00C95414">
        <w:rPr>
          <w:rFonts w:asciiTheme="minorHAnsi" w:hAnsiTheme="minorHAnsi" w:cstheme="minorHAnsi"/>
          <w:sz w:val="22"/>
          <w:szCs w:val="22"/>
          <w:lang w:val="en-GB"/>
        </w:rPr>
        <w:t>d</w:t>
      </w:r>
      <w:r w:rsidRPr="00C91EF0">
        <w:rPr>
          <w:rFonts w:asciiTheme="minorHAnsi" w:hAnsiTheme="minorHAnsi" w:cstheme="minorHAnsi"/>
          <w:sz w:val="22"/>
          <w:szCs w:val="22"/>
          <w:lang w:val="en-GB"/>
        </w:rPr>
        <w:t>HRQoL</w:t>
      </w:r>
      <w:proofErr w:type="spellEnd"/>
      <w:r w:rsidRPr="00C91EF0">
        <w:rPr>
          <w:rFonts w:asciiTheme="minorHAnsi" w:hAnsiTheme="minorHAnsi" w:cstheme="minorHAnsi"/>
          <w:sz w:val="22"/>
          <w:szCs w:val="22"/>
          <w:lang w:val="en-GB"/>
        </w:rPr>
        <w:t xml:space="preserve"> as a decrease </w:t>
      </w:r>
      <w:r w:rsidR="00C95414" w:rsidRPr="00C91EF0">
        <w:rPr>
          <w:rFonts w:asciiTheme="minorHAnsi" w:hAnsiTheme="minorHAnsi" w:cstheme="minorHAnsi"/>
          <w:sz w:val="22"/>
          <w:szCs w:val="22"/>
          <w:lang w:val="en-GB"/>
        </w:rPr>
        <w:t>of at least five percent from baseline to six-month follow-up</w:t>
      </w:r>
      <w:r w:rsidR="00C95414">
        <w:rPr>
          <w:rFonts w:asciiTheme="minorHAnsi" w:hAnsiTheme="minorHAnsi" w:cstheme="minorHAnsi"/>
          <w:sz w:val="22"/>
          <w:szCs w:val="22"/>
          <w:lang w:val="en-GB"/>
        </w:rPr>
        <w:t xml:space="preserve"> in </w:t>
      </w:r>
      <w:r w:rsidRPr="00C91EF0">
        <w:rPr>
          <w:rFonts w:asciiTheme="minorHAnsi" w:hAnsiTheme="minorHAnsi" w:cstheme="minorHAnsi"/>
          <w:sz w:val="22"/>
          <w:szCs w:val="22"/>
          <w:lang w:val="en-GB"/>
        </w:rPr>
        <w:t xml:space="preserve">the </w:t>
      </w:r>
      <w:r w:rsidR="00C95414">
        <w:rPr>
          <w:rFonts w:asciiTheme="minorHAnsi" w:hAnsiTheme="minorHAnsi" w:cstheme="minorHAnsi"/>
          <w:sz w:val="22"/>
          <w:szCs w:val="22"/>
          <w:lang w:val="en-GB"/>
        </w:rPr>
        <w:t>5 dimension</w:t>
      </w:r>
      <w:r w:rsidR="00C957E6">
        <w:rPr>
          <w:rFonts w:asciiTheme="minorHAnsi" w:hAnsiTheme="minorHAnsi" w:cstheme="minorHAnsi"/>
          <w:sz w:val="22"/>
          <w:szCs w:val="22"/>
          <w:lang w:val="en-GB"/>
        </w:rPr>
        <w:t>s</w:t>
      </w:r>
      <w:r w:rsidR="00C95414">
        <w:rPr>
          <w:rFonts w:asciiTheme="minorHAnsi" w:hAnsiTheme="minorHAnsi" w:cstheme="minorHAnsi"/>
          <w:sz w:val="22"/>
          <w:szCs w:val="22"/>
          <w:lang w:val="en-GB"/>
        </w:rPr>
        <w:t xml:space="preserve"> 3 level version of </w:t>
      </w:r>
      <w:proofErr w:type="spellStart"/>
      <w:r w:rsidR="001F370D" w:rsidRPr="00C91EF0">
        <w:rPr>
          <w:rFonts w:asciiTheme="minorHAnsi" w:hAnsiTheme="minorHAnsi" w:cstheme="minorHAnsi"/>
          <w:sz w:val="22"/>
          <w:szCs w:val="22"/>
          <w:lang w:val="en-GB" w:eastAsia="nb-NO"/>
        </w:rPr>
        <w:t>EuroQoL</w:t>
      </w:r>
      <w:proofErr w:type="spellEnd"/>
      <w:r w:rsidR="001F370D" w:rsidRPr="00C91EF0">
        <w:rPr>
          <w:rFonts w:asciiTheme="minorHAnsi" w:hAnsiTheme="minorHAnsi" w:cstheme="minorHAnsi"/>
          <w:sz w:val="22"/>
          <w:szCs w:val="22"/>
          <w:lang w:val="en-GB" w:eastAsia="nb-NO"/>
        </w:rPr>
        <w:t xml:space="preserve"> </w:t>
      </w:r>
      <w:r w:rsidR="001F370D">
        <w:rPr>
          <w:rFonts w:asciiTheme="minorHAnsi" w:hAnsiTheme="minorHAnsi" w:cstheme="minorHAnsi"/>
          <w:sz w:val="22"/>
          <w:szCs w:val="22"/>
          <w:lang w:val="en-GB"/>
        </w:rPr>
        <w:t>(</w:t>
      </w:r>
      <w:r w:rsidRPr="00C91EF0">
        <w:rPr>
          <w:rFonts w:asciiTheme="minorHAnsi" w:hAnsiTheme="minorHAnsi" w:cstheme="minorHAnsi"/>
          <w:sz w:val="22"/>
          <w:szCs w:val="22"/>
          <w:lang w:val="en-GB"/>
        </w:rPr>
        <w:t>EQ-5D-3L</w:t>
      </w:r>
      <w:r w:rsidR="001F370D">
        <w:rPr>
          <w:rFonts w:asciiTheme="minorHAnsi" w:hAnsiTheme="minorHAnsi" w:cstheme="minorHAnsi"/>
          <w:sz w:val="22"/>
          <w:szCs w:val="22"/>
          <w:lang w:val="en-GB"/>
        </w:rPr>
        <w:t>)</w:t>
      </w:r>
      <w:r w:rsidR="00131CEA">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t>
      </w:r>
      <w:r w:rsidR="00C95414">
        <w:rPr>
          <w:rFonts w:asciiTheme="minorHAnsi" w:hAnsiTheme="minorHAnsi" w:cstheme="minorHAnsi"/>
          <w:sz w:val="22"/>
          <w:szCs w:val="22"/>
          <w:lang w:val="en-GB"/>
        </w:rPr>
        <w:t xml:space="preserve">operationalized using a Likert score. </w:t>
      </w:r>
      <w:r w:rsidRPr="00C91EF0">
        <w:rPr>
          <w:rFonts w:asciiTheme="minorHAnsi" w:hAnsiTheme="minorHAnsi" w:cstheme="minorHAnsi"/>
          <w:sz w:val="22"/>
          <w:szCs w:val="22"/>
          <w:lang w:val="en-GB"/>
        </w:rPr>
        <w:t xml:space="preserve">We considered this cut-off as clinically relevant </w:t>
      </w:r>
      <w:r w:rsidR="007613F3" w:rsidRPr="00C91EF0">
        <w:rPr>
          <w:rFonts w:asciiTheme="minorHAnsi" w:hAnsiTheme="minorHAnsi" w:cstheme="minorHAnsi"/>
          <w:sz w:val="22"/>
          <w:szCs w:val="22"/>
          <w:lang w:val="en-GB"/>
        </w:rPr>
        <w:t>bec</w:t>
      </w:r>
      <w:r w:rsidRPr="00C91EF0">
        <w:rPr>
          <w:rFonts w:asciiTheme="minorHAnsi" w:hAnsiTheme="minorHAnsi" w:cstheme="minorHAnsi"/>
          <w:sz w:val="22"/>
          <w:szCs w:val="22"/>
          <w:lang w:val="en-GB"/>
        </w:rPr>
        <w:t>a</w:t>
      </w:r>
      <w:r w:rsidR="007613F3" w:rsidRPr="00C91EF0">
        <w:rPr>
          <w:rFonts w:asciiTheme="minorHAnsi" w:hAnsiTheme="minorHAnsi" w:cstheme="minorHAnsi"/>
          <w:sz w:val="22"/>
          <w:szCs w:val="22"/>
          <w:lang w:val="en-GB"/>
        </w:rPr>
        <w:t>u</w:t>
      </w:r>
      <w:r w:rsidRPr="00C91EF0">
        <w:rPr>
          <w:rFonts w:asciiTheme="minorHAnsi" w:hAnsiTheme="minorHAnsi" w:cstheme="minorHAnsi"/>
          <w:sz w:val="22"/>
          <w:szCs w:val="22"/>
          <w:lang w:val="en-GB"/>
        </w:rPr>
        <w:t>s</w:t>
      </w:r>
      <w:r w:rsidR="007613F3" w:rsidRPr="00C91EF0">
        <w:rPr>
          <w:rFonts w:asciiTheme="minorHAnsi" w:hAnsiTheme="minorHAnsi" w:cstheme="minorHAnsi"/>
          <w:sz w:val="22"/>
          <w:szCs w:val="22"/>
          <w:lang w:val="en-GB"/>
        </w:rPr>
        <w:t>e</w:t>
      </w:r>
      <w:r w:rsidRPr="00C91EF0">
        <w:rPr>
          <w:rFonts w:asciiTheme="minorHAnsi" w:hAnsiTheme="minorHAnsi" w:cstheme="minorHAnsi"/>
          <w:sz w:val="22"/>
          <w:szCs w:val="22"/>
          <w:lang w:val="en-GB"/>
        </w:rPr>
        <w:t xml:space="preserve"> it </w:t>
      </w:r>
      <w:r w:rsidR="00042FC2">
        <w:rPr>
          <w:rFonts w:asciiTheme="minorHAnsi" w:hAnsiTheme="minorHAnsi" w:cstheme="minorHAnsi"/>
          <w:sz w:val="22"/>
          <w:szCs w:val="22"/>
          <w:lang w:val="en-GB"/>
        </w:rPr>
        <w:t xml:space="preserve">corresponds to several studies’ estimates of </w:t>
      </w:r>
      <w:r w:rsidRPr="00C91EF0">
        <w:rPr>
          <w:rFonts w:asciiTheme="minorHAnsi" w:hAnsiTheme="minorHAnsi" w:cstheme="minorHAnsi"/>
          <w:sz w:val="22"/>
          <w:szCs w:val="22"/>
          <w:lang w:val="en-GB"/>
        </w:rPr>
        <w:t>patients</w:t>
      </w:r>
      <w:r w:rsidR="00691345"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perception</w:t>
      </w:r>
      <w:r w:rsidR="00C957E6">
        <w:rPr>
          <w:rFonts w:asciiTheme="minorHAnsi" w:hAnsiTheme="minorHAnsi" w:cstheme="minorHAnsi"/>
          <w:sz w:val="22"/>
          <w:szCs w:val="22"/>
          <w:lang w:val="en-GB"/>
        </w:rPr>
        <w:t>s</w:t>
      </w:r>
      <w:r w:rsidRPr="00C91EF0">
        <w:rPr>
          <w:rFonts w:asciiTheme="minorHAnsi" w:hAnsiTheme="minorHAnsi" w:cstheme="minorHAnsi"/>
          <w:sz w:val="22"/>
          <w:szCs w:val="22"/>
          <w:lang w:val="en-GB"/>
        </w:rPr>
        <w:t xml:space="preserve"> of minimal important difference (MID)</w:t>
      </w:r>
      <w:r w:rsidR="00042FC2">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{"citationItems":[{"id":"ITEM-1","itemData":{"ISSN":"1541-2555","PMID":"17136968","abstract":"PURPOSE To evaluate the use of utility-based generic quality of life measures for establishing the minimally clinically important difference (MCID). BACKGROUND Utility-based quality of life measures place levels of wellness on a continuum anchored by death (0.00) and optimum function (1.00). Preference measurement studies are used to define the meaning of points along the continuum. Health states that differ by less than 0.03 units cannot be discriminated by panels of judges as different from one another. Thus, 0.03 is a reasonable MCID for these measures. METHOD Three published studies of patients with Chronic Obstructive Pulmonary Disease (COPD) reported data on the Quality of Well-being Scale (QWB) before and after pulmonary rehabilitation. One of the studies also randomly assigned patients to lung volume reduction surgery or to maximal medical therapy. These patients were followed for an average of 29 months. RESULTS All three evaluations of pulmonary rehabilitation showed changes on the QWB in excess of the proposed 0.03 MCID. QWB changes for patients assigned to lung volume reduction surgery were close to the MCID threshold at one year but grew stronger in subsequent years. Using Norman's 0.50 standard deviation method, all three estimates of rehabilitation effectiveness and the outcomes one year following surgery fall below the MCID. CONCLUSION Different methods for estimating MCID lead to different conclusions about the meaning of quality of life changes following pulmonary rehabilitation and lung volume reduction surgery. The preference scaling system in generic utility-based quality of life measures provides a metric that is directly interpretable and avoids many of the criticisms of MCID measures. The method is sensitive enough to suggest clinically meaningful benefits of rehabilitation and surgery. Further, quality adjusted life years offer a valuable metric for policy analysis. Utility-based measures of health related quality of life should gain greater use in COPD outcomes research.","author":[{"dropping-particle":"","family":"Kaplan","given":"Robert M","non-dropping-particle":"","parse-names":false,"suffix":""}],"container-title":"COPD","id":"ITEM-1","issue":"1","issued":{"date-parts":[["2005","3"]]},"page":"91-7","title":"The minimally clinically important difference in generic utility-based measures.","type":"article-journal","volume":"2"},"uris":["http://www.mendeley.com/documents/?uuid=ab3c2755-e83a-49c3-950c-8bacfb2af5e0"]},{"id":"ITEM-2","itemData":{"ISSN":"0962-9343","PMID":"16110932","abstract":"BACKGROUND The SF-6D and EQ-5D are both preference-based measures of health. Empirical work is required to determine what the smallest change is in utility scores that can be regarded as important and whether this change in utility value is constant across measures and conditions. OBJECTIVES To use distribution and anchor-based methods to determine and compare the minimally important difference (MID) for the SF-6D and EQ-5D for various datasets. METHODS The SF-6D is scored on a 0.29-1.00 scale and the EQ-5D on a -0.59-1.00 scale, with a score of 1.00 on both, indicating 'full health'. Patients were followed for a period of time, then asked, using question 2 of the SF-36 as our anchor, if their general health is much better (5), somewhat better (4), stayed the same (3), somewhat worse (2) or much worse (1) compared to the last time they were assessed. We considered patients whose global rating score was 4 or 2 as having experienced some change equivalent to the MID. This paper describes and compares the MID and standardised response mean (SRM) for the SF-6D and EQ-5D from eight longitudinal studies in 11 patient groups that used both instruments. RESULTS From the 11 reviewed studies, the MID for the SF-6D ranged from 0.011 to 0.097, mean 0.041. The corresponding SRMs ranged from 0.12 to 0.87, mean 0.39 and were mainly in the 'small to moderate' range using Cohen's criteria, supporting the MID results. The mean MID for the EQ-5D was 0.074 (range -0.011-0.140) and the SRMs ranged from -0.05 to 0.43, mean 0.24. The mean MID for the EQ-SD was almost double that of the mean MID for the SF-6D. CONCLUSIONS There is evidence that the MID for these two utility measures are not equal and differ in absolute values. The EQ-5D scale has approximately twice the range of the SF-6D scale. Therefore, the estimates of the MID for each scale appear to be proportionally equivalent in the context of the range of utility scores for each scale. Further empirical work is required to see whether or not this holds true for other utility measures, patient groups and populations.","author":[{"dropping-particle":"","family":"Walters","given":"Stephen J","non-dropping-particle":"","parse-names":false,"suffix":""},{"dropping-particle":"","family":"Brazier","given":"John E","non-dropping-particle":"","parse-names":false,"suffix":""}],"container-title":"Quality of life research : an international journal of quality of life aspects of treatment, care and rehabilitation","id":"ITEM-2","issue":"6","issued":{"date-parts":[["2005","8"]]},"page":"1523-32","title":"Comparison of the minimally important difference for two health state utility measures: EQ-5D and SF-6D.","type":"article-journal","volume":"14"},"uris":["http://www.mendeley.com/documents/?uuid=acb6e2b4-861a-4534-879f-d29daf16048e"]},{"id":"ITEM-3","itemData":{"DOI":"10.1586/14737167.2014.894462","ISSN":"1744-8379","PMID":"24625040","abstract":"The European Quality of Life-5 Dimensions Questionnaire (EQ-5D) is the most common instrument to value health outcomes under the patient's perspective. Several studies have investigated whether observed changes are meaningful to patients, using a variety of approaches to estimate the minimum clinically important difference (MCID). This study provides an overview of the state of art of the estimation of the MCID for the three-level EQ-5D index based on the UK scoring algorithm, critically assessing the available evidence. The interest in estimation of MCID for the EQ-5D has been increasing in recent years. However, some additional standardization in the estimation procedures may be of value, in order to enhance the ability to make comparisons across measures and disease areas. Further methodological research might also contribute to reducing gaps between theory and practice.","author":[{"dropping-particle":"","family":"Coretti","given":"Silvia","non-dropping-particle":"","parse-names":false,"suffix":""},{"dropping-particle":"","family":"Ruggeri","given":"Matteo","non-dropping-particle":"","parse-names":false,"suffix":""},{"dropping-particle":"","family":"McNamee","given":"Paul","non-dropping-particle":"","parse-names":false,"suffix":""}],"container-title":"Expert review of pharmacoeconomics &amp; outcomes research","id":"ITEM-3","issue":"2","issued":{"date-parts":[["2014","4"]]},"page":"221-33","title":"The minimum clinically important difference for EQ-5D index: a critical review.","type":"article-journal","volume":"14"},"uris":["http://www.mendeley.com/documents/?uuid=bc9a8823-8c45-47f8-8327-d6af21e2ef91"]}],"mendeley":{"formattedCitation":"(24–26)","plainTextFormattedCitation":"(24–26)","previouslyFormattedCitation":"(23–25)"},"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(24–26)</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w:t>
      </w:r>
      <w:r w:rsidR="007976BB" w:rsidRPr="00C91EF0">
        <w:rPr>
          <w:rFonts w:asciiTheme="minorHAnsi" w:hAnsiTheme="minorHAnsi" w:cstheme="minorHAnsi"/>
          <w:sz w:val="22"/>
          <w:szCs w:val="22"/>
          <w:lang w:val="en-GB"/>
        </w:rPr>
        <w:t xml:space="preserve"> In two of the Dutch trials (ISCOPE and PIL)</w:t>
      </w:r>
      <w:r w:rsidR="00131CEA">
        <w:rPr>
          <w:rFonts w:asciiTheme="minorHAnsi" w:hAnsiTheme="minorHAnsi" w:cstheme="minorHAnsi"/>
          <w:sz w:val="22"/>
          <w:szCs w:val="22"/>
          <w:lang w:val="en-GB"/>
        </w:rPr>
        <w:t>,</w:t>
      </w:r>
      <w:r w:rsidR="007976BB" w:rsidRPr="00C91EF0">
        <w:rPr>
          <w:rFonts w:asciiTheme="minorHAnsi" w:hAnsiTheme="minorHAnsi" w:cstheme="minorHAnsi"/>
          <w:sz w:val="22"/>
          <w:szCs w:val="22"/>
          <w:lang w:val="en-GB"/>
        </w:rPr>
        <w:t xml:space="preserve"> the</w:t>
      </w:r>
      <w:r w:rsidR="000363B5">
        <w:rPr>
          <w:rFonts w:asciiTheme="minorHAnsi" w:hAnsiTheme="minorHAnsi" w:cstheme="minorHAnsi"/>
          <w:sz w:val="22"/>
          <w:szCs w:val="22"/>
          <w:lang w:val="en-GB"/>
        </w:rPr>
        <w:t xml:space="preserve"> question relat</w:t>
      </w:r>
      <w:r w:rsidR="00C957E6">
        <w:rPr>
          <w:rFonts w:asciiTheme="minorHAnsi" w:hAnsiTheme="minorHAnsi" w:cstheme="minorHAnsi"/>
          <w:sz w:val="22"/>
          <w:szCs w:val="22"/>
          <w:lang w:val="en-GB"/>
        </w:rPr>
        <w:t xml:space="preserve">ing </w:t>
      </w:r>
      <w:r w:rsidR="000363B5">
        <w:rPr>
          <w:rFonts w:asciiTheme="minorHAnsi" w:hAnsiTheme="minorHAnsi" w:cstheme="minorHAnsi"/>
          <w:sz w:val="22"/>
          <w:szCs w:val="22"/>
          <w:lang w:val="en-GB"/>
        </w:rPr>
        <w:t>to the</w:t>
      </w:r>
      <w:r w:rsidR="007976BB" w:rsidRPr="00C91EF0">
        <w:rPr>
          <w:rFonts w:asciiTheme="minorHAnsi" w:hAnsiTheme="minorHAnsi" w:cstheme="minorHAnsi"/>
          <w:sz w:val="22"/>
          <w:szCs w:val="22"/>
          <w:lang w:val="en-GB"/>
        </w:rPr>
        <w:t xml:space="preserve"> item “mobility” was slightly modified from the original instrument</w:t>
      </w:r>
      <w:r w:rsidR="00C957E6">
        <w:rPr>
          <w:rFonts w:asciiTheme="minorHAnsi" w:hAnsiTheme="minorHAnsi" w:cstheme="minorHAnsi"/>
          <w:sz w:val="22"/>
          <w:szCs w:val="22"/>
          <w:lang w:val="en-GB"/>
        </w:rPr>
        <w:t>,</w:t>
      </w:r>
      <w:r w:rsidR="007976BB" w:rsidRPr="00C91EF0">
        <w:rPr>
          <w:rFonts w:asciiTheme="minorHAnsi" w:hAnsiTheme="minorHAnsi" w:cstheme="minorHAnsi"/>
          <w:sz w:val="22"/>
          <w:szCs w:val="22"/>
          <w:lang w:val="en-GB"/>
        </w:rPr>
        <w:t xml:space="preserve"> </w:t>
      </w:r>
      <w:r w:rsidR="009039F4" w:rsidRPr="00C91EF0">
        <w:rPr>
          <w:rFonts w:asciiTheme="minorHAnsi" w:hAnsiTheme="minorHAnsi" w:cstheme="minorHAnsi"/>
          <w:sz w:val="22"/>
          <w:szCs w:val="22"/>
          <w:lang w:val="en-GB"/>
        </w:rPr>
        <w:t>as</w:t>
      </w:r>
      <w:r w:rsidR="007976BB" w:rsidRPr="00C91EF0">
        <w:rPr>
          <w:rFonts w:asciiTheme="minorHAnsi" w:hAnsiTheme="minorHAnsi" w:cstheme="minorHAnsi"/>
          <w:sz w:val="22"/>
          <w:szCs w:val="22"/>
          <w:lang w:val="en-GB"/>
        </w:rPr>
        <w:t xml:space="preserve"> it was</w:t>
      </w:r>
      <w:r w:rsidR="009039F4" w:rsidRPr="00C91EF0">
        <w:rPr>
          <w:rFonts w:asciiTheme="minorHAnsi" w:hAnsiTheme="minorHAnsi" w:cstheme="minorHAnsi"/>
          <w:sz w:val="22"/>
          <w:szCs w:val="22"/>
          <w:lang w:val="en-GB"/>
        </w:rPr>
        <w:t xml:space="preserve"> frequent</w:t>
      </w:r>
      <w:r w:rsidR="00C957E6">
        <w:rPr>
          <w:rFonts w:asciiTheme="minorHAnsi" w:hAnsiTheme="minorHAnsi" w:cstheme="minorHAnsi"/>
          <w:sz w:val="22"/>
          <w:szCs w:val="22"/>
          <w:lang w:val="en-GB"/>
        </w:rPr>
        <w:t>ly a</w:t>
      </w:r>
      <w:r w:rsidR="009039F4" w:rsidRPr="00C91EF0">
        <w:rPr>
          <w:rFonts w:asciiTheme="minorHAnsi" w:hAnsiTheme="minorHAnsi" w:cstheme="minorHAnsi"/>
          <w:sz w:val="22"/>
          <w:szCs w:val="22"/>
          <w:lang w:val="en-GB"/>
        </w:rPr>
        <w:t xml:space="preserve"> </w:t>
      </w:r>
      <w:r w:rsidR="007976BB" w:rsidRPr="00C91EF0">
        <w:rPr>
          <w:rFonts w:asciiTheme="minorHAnsi" w:hAnsiTheme="minorHAnsi" w:cstheme="minorHAnsi"/>
          <w:sz w:val="22"/>
          <w:szCs w:val="22"/>
          <w:lang w:val="en-GB"/>
        </w:rPr>
        <w:t>missing value in older Dutch population</w:t>
      </w:r>
      <w:r w:rsidR="00C957E6">
        <w:rPr>
          <w:rFonts w:asciiTheme="minorHAnsi" w:hAnsiTheme="minorHAnsi" w:cstheme="minorHAnsi"/>
          <w:sz w:val="22"/>
          <w:szCs w:val="22"/>
          <w:lang w:val="en-GB"/>
        </w:rPr>
        <w:t>s</w:t>
      </w:r>
      <w:r w:rsidR="005856EE" w:rsidRPr="00C91EF0">
        <w:rPr>
          <w:rFonts w:asciiTheme="minorHAnsi" w:hAnsiTheme="minorHAnsi" w:cstheme="minorHAnsi"/>
          <w:sz w:val="22"/>
          <w:szCs w:val="22"/>
          <w:lang w:val="en-GB"/>
        </w:rPr>
        <w:t xml:space="preserve"> </w:t>
      </w:r>
      <w:r w:rsidR="000363B5">
        <w:rPr>
          <w:rFonts w:asciiTheme="minorHAnsi" w:hAnsiTheme="minorHAnsi" w:cstheme="minorHAnsi"/>
          <w:sz w:val="22"/>
          <w:szCs w:val="22"/>
          <w:lang w:val="en-GB"/>
        </w:rPr>
        <w:t xml:space="preserve">due to misinterpretation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{"citationItems":[{"id":"ITEM-1","itemData":{"DOI":"10.1371/journal.pone.0081673","ISSN":"1932-6203","author":[{"dropping-particle":"","family":"Lutomski","given":"Jennifer E","non-dropping-particle":"","parse-names":false,"suffix":""},{"dropping-particle":"","family":"Baars","given":"Maria A E","non-dropping-particle":"","parse-names":false,"suffix":""},{"dropping-particle":"","family":"Schalk","given":"Bianca W M","non-dropping-particle":"","parse-names":false,"suffix":""},{"dropping-particle":"","family":"Boter","given":"Han","non-dropping-particle":"","parse-names":false,"suffix":""},{"dropping-particle":"","family":"Buurman","given":"Bianca M","non-dropping-particle":"","parse-names":false,"suffix":""},{"dropping-particle":"","family":"Elzen","given":"Wendy P. J.","non-dropping-particle":"den","parse-names":false,"suffix":""},{"dropping-particle":"","family":"Jansen","given":"Aaltje P D","non-dropping-particle":"","parse-names":false,"suffix":""},{"dropping-particle":"","family":"Kempen","given":"Gertrudis I J M","non-dropping-particle":"","parse-names":false,"suffix":""},{"dropping-particle":"","family":"Steunenberg","given":"Bas","non-dropping-particle":"","parse-names":false,"suffix":""},{"dropping-particle":"","family":"Steyerberg","given":"Ewout W.","non-dropping-particle":"","parse-names":false,"suffix":""},{"dropping-particle":"","family":"Olde Rikkert","given":"Marcel G. M.","non-dropping-particle":"","parse-names":false,"suffix":""},{"dropping-particle":"","family":"Melis","given":"René J F","non-dropping-particle":"","parse-names":false,"suffix":""}],"container-title":"PLoS ONE","editor":[{"dropping-particle":"","family":"Bayer","given":"Antony","non-dropping-particle":"","parse-names":false,"suffix":""}],"id":"ITEM-1","issue":"12","issued":{"date-parts":[["2013","12","4"]]},"page":"e81673","title":"The development of The Older Persons and Informal Caregivers Survey Minimum DataSet (TOPICS-MDS): A Large-Scale Data Sharing Initiative","type":"article-journal","volume":"8"},"uris":["http://www.mendeley.com/documents/?uuid=338d8151-edcc-4eb5-aca3-3e9246155ba9"]}],"mendeley":{"formattedCitation":"(27)","plainTextFormattedCitation":"(27)","previouslyFormattedCitation":"(26)"},"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(27)</w:t>
      </w:r>
      <w:r w:rsidR="00776DB8" w:rsidRPr="00C91EF0">
        <w:rPr>
          <w:rFonts w:asciiTheme="minorHAnsi" w:hAnsiTheme="minorHAnsi" w:cstheme="minorHAnsi"/>
          <w:sz w:val="22"/>
          <w:szCs w:val="22"/>
          <w:lang w:val="en-GB"/>
        </w:rPr>
        <w:fldChar w:fldCharType="end"/>
      </w:r>
      <w:r w:rsidR="005856EE" w:rsidRPr="00C91EF0">
        <w:rPr>
          <w:rFonts w:asciiTheme="minorHAnsi" w:hAnsiTheme="minorHAnsi" w:cstheme="minorHAnsi"/>
          <w:sz w:val="22"/>
          <w:szCs w:val="22"/>
          <w:lang w:val="en-GB"/>
        </w:rPr>
        <w:t>.</w:t>
      </w:r>
    </w:p>
    <w:p w14:paraId="59D1E938" w14:textId="77777777" w:rsidR="009107F7" w:rsidRPr="000363B5" w:rsidRDefault="009107F7" w:rsidP="009107F7">
      <w:pPr>
        <w:spacing w:line="480" w:lineRule="auto"/>
        <w:rPr>
          <w:rFonts w:asciiTheme="minorHAnsi" w:hAnsiTheme="minorHAnsi" w:cstheme="minorHAnsi"/>
          <w:b/>
          <w:sz w:val="22"/>
          <w:szCs w:val="22"/>
          <w:lang w:val="en-GB"/>
        </w:rPr>
      </w:pPr>
      <w:r w:rsidRPr="000363B5">
        <w:rPr>
          <w:rFonts w:asciiTheme="minorHAnsi" w:hAnsiTheme="minorHAnsi" w:cstheme="minorHAnsi"/>
          <w:b/>
          <w:sz w:val="22"/>
          <w:szCs w:val="22"/>
          <w:lang w:val="en-GB"/>
        </w:rPr>
        <w:t>Pr</w:t>
      </w:r>
      <w:r w:rsidR="00EA50C8" w:rsidRPr="000363B5">
        <w:rPr>
          <w:rFonts w:asciiTheme="minorHAnsi" w:hAnsiTheme="minorHAnsi" w:cstheme="minorHAnsi"/>
          <w:b/>
          <w:sz w:val="22"/>
          <w:szCs w:val="22"/>
          <w:lang w:val="en-GB"/>
        </w:rPr>
        <w:t xml:space="preserve">ognostic </w:t>
      </w:r>
      <w:r w:rsidR="0062066E" w:rsidRPr="000363B5">
        <w:rPr>
          <w:rFonts w:asciiTheme="minorHAnsi" w:hAnsiTheme="minorHAnsi" w:cstheme="minorHAnsi"/>
          <w:b/>
          <w:sz w:val="22"/>
          <w:szCs w:val="22"/>
          <w:lang w:val="en-GB"/>
        </w:rPr>
        <w:t>variables</w:t>
      </w:r>
    </w:p>
    <w:p w14:paraId="64ECF71D" w14:textId="13E2517B" w:rsidR="00C14436" w:rsidRPr="00C91EF0" w:rsidRDefault="00C957E6" w:rsidP="009107F7">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For candidates at baseline, 87 </w:t>
      </w:r>
      <w:r w:rsidR="00BC4CEE" w:rsidRPr="00C91EF0">
        <w:rPr>
          <w:rFonts w:asciiTheme="minorHAnsi" w:hAnsiTheme="minorHAnsi" w:cstheme="minorHAnsi"/>
          <w:sz w:val="22"/>
          <w:szCs w:val="22"/>
          <w:lang w:val="en-GB"/>
        </w:rPr>
        <w:t xml:space="preserve">prognostic variables </w:t>
      </w:r>
      <w:r w:rsidR="00691345" w:rsidRPr="00C91EF0">
        <w:rPr>
          <w:rFonts w:asciiTheme="minorHAnsi" w:hAnsiTheme="minorHAnsi" w:cstheme="minorHAnsi"/>
          <w:sz w:val="22"/>
          <w:szCs w:val="22"/>
          <w:lang w:val="en-GB"/>
        </w:rPr>
        <w:t>relat</w:t>
      </w:r>
      <w:r>
        <w:rPr>
          <w:rFonts w:asciiTheme="minorHAnsi" w:hAnsiTheme="minorHAnsi" w:cstheme="minorHAnsi"/>
          <w:sz w:val="22"/>
          <w:szCs w:val="22"/>
          <w:lang w:val="en-GB"/>
        </w:rPr>
        <w:t>ing</w:t>
      </w:r>
      <w:r w:rsidR="00691345" w:rsidRPr="00C91EF0">
        <w:rPr>
          <w:rFonts w:asciiTheme="minorHAnsi" w:hAnsiTheme="minorHAnsi" w:cstheme="minorHAnsi"/>
          <w:sz w:val="22"/>
          <w:szCs w:val="22"/>
          <w:lang w:val="en-GB"/>
        </w:rPr>
        <w:t xml:space="preserve"> to s</w:t>
      </w:r>
      <w:r w:rsidR="00BE4B9A" w:rsidRPr="00C91EF0">
        <w:rPr>
          <w:rFonts w:asciiTheme="minorHAnsi" w:hAnsiTheme="minorHAnsi" w:cstheme="minorHAnsi"/>
          <w:sz w:val="22"/>
          <w:szCs w:val="22"/>
          <w:lang w:val="en-GB"/>
        </w:rPr>
        <w:t>ocio-demographics</w:t>
      </w:r>
      <w:r w:rsidR="00691345" w:rsidRPr="00C91EF0">
        <w:rPr>
          <w:rFonts w:asciiTheme="minorHAnsi" w:hAnsiTheme="minorHAnsi" w:cstheme="minorHAnsi"/>
          <w:sz w:val="22"/>
          <w:szCs w:val="22"/>
          <w:lang w:val="en-GB"/>
        </w:rPr>
        <w:t>,</w:t>
      </w:r>
      <w:r w:rsidR="00BE4B9A" w:rsidRPr="00C91EF0">
        <w:rPr>
          <w:rFonts w:asciiTheme="minorHAnsi" w:hAnsiTheme="minorHAnsi" w:cstheme="minorHAnsi"/>
          <w:sz w:val="22"/>
          <w:szCs w:val="22"/>
          <w:lang w:val="en-GB"/>
        </w:rPr>
        <w:t xml:space="preserve"> lifestyle, morbidity, medication</w:t>
      </w:r>
      <w:r w:rsidR="003C19FB" w:rsidRPr="00C91EF0">
        <w:rPr>
          <w:rFonts w:asciiTheme="minorHAnsi" w:hAnsiTheme="minorHAnsi" w:cstheme="minorHAnsi"/>
          <w:sz w:val="22"/>
          <w:szCs w:val="22"/>
          <w:lang w:val="en-GB"/>
        </w:rPr>
        <w:t xml:space="preserve">, </w:t>
      </w:r>
      <w:r w:rsidR="00BE4B9A" w:rsidRPr="00C91EF0">
        <w:rPr>
          <w:rFonts w:asciiTheme="minorHAnsi" w:hAnsiTheme="minorHAnsi" w:cstheme="minorHAnsi"/>
          <w:sz w:val="22"/>
          <w:szCs w:val="22"/>
          <w:lang w:val="en-GB"/>
        </w:rPr>
        <w:t xml:space="preserve">functional status, and well-being </w:t>
      </w:r>
      <w:r w:rsidR="00B0654E" w:rsidRPr="00C91EF0">
        <w:rPr>
          <w:rFonts w:asciiTheme="minorHAnsi" w:hAnsiTheme="minorHAnsi" w:cstheme="minorHAnsi"/>
          <w:sz w:val="22"/>
          <w:szCs w:val="22"/>
          <w:lang w:val="en-GB"/>
        </w:rPr>
        <w:t xml:space="preserve">were considered </w:t>
      </w:r>
      <w:r w:rsidR="00131CEA">
        <w:rPr>
          <w:rFonts w:asciiTheme="minorHAnsi" w:hAnsiTheme="minorHAnsi" w:cstheme="minorHAnsi"/>
          <w:sz w:val="22"/>
          <w:szCs w:val="22"/>
          <w:lang w:val="en-GB"/>
        </w:rPr>
        <w:t xml:space="preserve">for inclusion in </w:t>
      </w:r>
      <w:r w:rsidR="00B0654E" w:rsidRPr="00C91EF0">
        <w:rPr>
          <w:rFonts w:asciiTheme="minorHAnsi" w:hAnsiTheme="minorHAnsi" w:cstheme="minorHAnsi"/>
          <w:sz w:val="22"/>
          <w:szCs w:val="22"/>
          <w:lang w:val="en-GB"/>
        </w:rPr>
        <w:t xml:space="preserve">the modelling </w:t>
      </w:r>
      <w:r w:rsidR="00131CEA">
        <w:rPr>
          <w:rFonts w:asciiTheme="minorHAnsi" w:hAnsiTheme="minorHAnsi" w:cstheme="minorHAnsi"/>
          <w:sz w:val="22"/>
          <w:szCs w:val="22"/>
          <w:lang w:val="en-GB"/>
        </w:rPr>
        <w:t>process</w:t>
      </w:r>
      <w:r w:rsidR="00BE4B9A" w:rsidRPr="00C91EF0">
        <w:rPr>
          <w:rFonts w:asciiTheme="minorHAnsi" w:hAnsiTheme="minorHAnsi" w:cstheme="minorHAnsi"/>
          <w:sz w:val="22"/>
          <w:szCs w:val="22"/>
          <w:lang w:val="en-GB"/>
        </w:rPr>
        <w:t>.</w:t>
      </w:r>
      <w:r w:rsidR="0085109A" w:rsidRPr="00C91EF0">
        <w:rPr>
          <w:rFonts w:asciiTheme="minorHAnsi" w:hAnsiTheme="minorHAnsi" w:cstheme="minorHAnsi"/>
          <w:sz w:val="22"/>
          <w:szCs w:val="22"/>
          <w:lang w:val="en-GB"/>
        </w:rPr>
        <w:t xml:space="preserve"> </w:t>
      </w:r>
      <w:r w:rsidR="00511699" w:rsidRPr="00C91EF0">
        <w:rPr>
          <w:rFonts w:asciiTheme="minorHAnsi" w:hAnsiTheme="minorHAnsi" w:cstheme="minorHAnsi"/>
          <w:sz w:val="22"/>
          <w:szCs w:val="22"/>
          <w:lang w:val="en-GB"/>
        </w:rPr>
        <w:t xml:space="preserve">The allocation of patients to control </w:t>
      </w:r>
      <w:r>
        <w:rPr>
          <w:rFonts w:asciiTheme="minorHAnsi" w:hAnsiTheme="minorHAnsi" w:cstheme="minorHAnsi"/>
          <w:sz w:val="22"/>
          <w:szCs w:val="22"/>
          <w:lang w:val="en-GB"/>
        </w:rPr>
        <w:t xml:space="preserve">and </w:t>
      </w:r>
      <w:r w:rsidR="00511699" w:rsidRPr="00C91EF0">
        <w:rPr>
          <w:rFonts w:asciiTheme="minorHAnsi" w:hAnsiTheme="minorHAnsi" w:cstheme="minorHAnsi"/>
          <w:sz w:val="22"/>
          <w:szCs w:val="22"/>
          <w:lang w:val="en-GB"/>
        </w:rPr>
        <w:t>intervention group</w:t>
      </w:r>
      <w:r>
        <w:rPr>
          <w:rFonts w:asciiTheme="minorHAnsi" w:hAnsiTheme="minorHAnsi" w:cstheme="minorHAnsi"/>
          <w:sz w:val="22"/>
          <w:szCs w:val="22"/>
          <w:lang w:val="en-GB"/>
        </w:rPr>
        <w:t>s</w:t>
      </w:r>
      <w:r w:rsidR="00E17393" w:rsidRPr="00C91EF0">
        <w:rPr>
          <w:rFonts w:asciiTheme="minorHAnsi" w:hAnsiTheme="minorHAnsi" w:cstheme="minorHAnsi"/>
          <w:sz w:val="22"/>
          <w:szCs w:val="22"/>
          <w:lang w:val="en-GB"/>
        </w:rPr>
        <w:t xml:space="preserve"> was also</w:t>
      </w:r>
      <w:r w:rsidR="00BC05A8">
        <w:rPr>
          <w:rFonts w:asciiTheme="minorHAnsi" w:hAnsiTheme="minorHAnsi" w:cstheme="minorHAnsi"/>
          <w:sz w:val="22"/>
          <w:szCs w:val="22"/>
          <w:lang w:val="en-GB"/>
        </w:rPr>
        <w:t xml:space="preserve"> </w:t>
      </w:r>
      <w:r w:rsidR="00511699" w:rsidRPr="00C91EF0">
        <w:rPr>
          <w:rFonts w:asciiTheme="minorHAnsi" w:hAnsiTheme="minorHAnsi" w:cstheme="minorHAnsi"/>
          <w:sz w:val="22"/>
          <w:szCs w:val="22"/>
          <w:lang w:val="en-GB"/>
        </w:rPr>
        <w:t>considered</w:t>
      </w:r>
      <w:r w:rsidR="00E17393" w:rsidRPr="00C91EF0">
        <w:rPr>
          <w:rStyle w:val="CommentReference"/>
          <w:lang w:val="en-GB"/>
        </w:rPr>
        <w:t>.</w:t>
      </w:r>
    </w:p>
    <w:p w14:paraId="71D0F158" w14:textId="77777777" w:rsidR="00F522A8" w:rsidRPr="000363B5" w:rsidRDefault="00F522A8" w:rsidP="009107F7">
      <w:pPr>
        <w:spacing w:line="480" w:lineRule="auto"/>
        <w:rPr>
          <w:rFonts w:asciiTheme="minorHAnsi" w:hAnsiTheme="minorHAnsi" w:cstheme="minorHAnsi"/>
          <w:i/>
          <w:sz w:val="22"/>
          <w:szCs w:val="22"/>
          <w:lang w:val="en-GB"/>
        </w:rPr>
      </w:pPr>
      <w:r w:rsidRPr="000363B5">
        <w:rPr>
          <w:rFonts w:asciiTheme="minorHAnsi" w:hAnsiTheme="minorHAnsi" w:cstheme="minorHAnsi"/>
          <w:i/>
          <w:sz w:val="22"/>
          <w:szCs w:val="22"/>
          <w:lang w:val="en-GB"/>
        </w:rPr>
        <w:t>Socio-demographics and lifestyle</w:t>
      </w:r>
    </w:p>
    <w:p w14:paraId="77C7A6B1" w14:textId="61F81532" w:rsidR="00F522A8" w:rsidRPr="00C91EF0" w:rsidRDefault="00C14436" w:rsidP="009107F7">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We collected IPD </w:t>
      </w:r>
      <w:r w:rsidR="00C957E6">
        <w:rPr>
          <w:rFonts w:asciiTheme="minorHAnsi" w:hAnsiTheme="minorHAnsi" w:cstheme="minorHAnsi"/>
          <w:sz w:val="22"/>
          <w:szCs w:val="22"/>
          <w:lang w:val="en-GB"/>
        </w:rPr>
        <w:t xml:space="preserve">on </w:t>
      </w:r>
      <w:r w:rsidRPr="00C91EF0">
        <w:rPr>
          <w:rFonts w:asciiTheme="minorHAnsi" w:hAnsiTheme="minorHAnsi" w:cstheme="minorHAnsi"/>
          <w:sz w:val="22"/>
          <w:szCs w:val="22"/>
          <w:lang w:val="en-GB"/>
        </w:rPr>
        <w:t>age, sex, living situation</w:t>
      </w:r>
      <w:r w:rsidR="00C811F9"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and educational level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{"citationItems":[{"id":"ITEM-1","itemData":{"URL":"http://ec.europa.eu/eurostat/statistics-explained/index.php/International_Standard_Classification_of_Education_(ISCED)","accessed":{"date-parts":[["2017","11","6"]]},"author":[{"dropping-particle":"","family":"Eurostat Statistics Explained","given":"","non-dropping-particle":"","parse-names":false,"suffix":""}],"id":"ITEM-1","issued":{"date-parts":[["2016"]]},"title":"International Standard Classification of Education (ISCED)","type":"webpage"},"uris":["http://www.mendeley.com/documents/?uuid=932a3929-37f8-41b9-8c25-0497ff81a97d"]}],"mendeley":{"formattedCitation":"(28)","plainTextFormattedCitation":"(28)","previouslyFormattedCitation":"(27)"},"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(28)</w:t>
      </w:r>
      <w:r w:rsidR="00776DB8" w:rsidRPr="00C91EF0">
        <w:rPr>
          <w:rFonts w:asciiTheme="minorHAnsi" w:hAnsiTheme="minorHAnsi" w:cstheme="minorHAnsi"/>
          <w:sz w:val="22"/>
          <w:szCs w:val="22"/>
          <w:lang w:val="en-GB"/>
        </w:rPr>
        <w:fldChar w:fldCharType="end"/>
      </w:r>
      <w:r w:rsidR="00D453DB">
        <w:rPr>
          <w:rFonts w:asciiTheme="minorHAnsi" w:hAnsiTheme="minorHAnsi" w:cstheme="minorHAnsi"/>
          <w:sz w:val="22"/>
          <w:szCs w:val="22"/>
          <w:lang w:val="en-GB"/>
        </w:rPr>
        <w:t xml:space="preserve"> from the trials</w:t>
      </w:r>
      <w:r w:rsidRPr="00C91EF0">
        <w:rPr>
          <w:rFonts w:asciiTheme="minorHAnsi" w:hAnsiTheme="minorHAnsi" w:cstheme="minorHAnsi"/>
          <w:sz w:val="22"/>
          <w:szCs w:val="22"/>
          <w:lang w:val="en-GB"/>
        </w:rPr>
        <w:t xml:space="preserve">. </w:t>
      </w:r>
      <w:r w:rsidR="00800480">
        <w:rPr>
          <w:rFonts w:asciiTheme="minorHAnsi" w:hAnsiTheme="minorHAnsi" w:cstheme="minorHAnsi"/>
          <w:sz w:val="22"/>
          <w:szCs w:val="22"/>
          <w:lang w:val="en-GB"/>
        </w:rPr>
        <w:t>Information on s</w:t>
      </w:r>
      <w:r w:rsidRPr="00C91EF0">
        <w:rPr>
          <w:rFonts w:asciiTheme="minorHAnsi" w:hAnsiTheme="minorHAnsi" w:cstheme="minorHAnsi"/>
          <w:sz w:val="22"/>
          <w:szCs w:val="22"/>
          <w:lang w:val="en-GB"/>
        </w:rPr>
        <w:t xml:space="preserve">moking status was </w:t>
      </w:r>
      <w:r w:rsidR="00800480">
        <w:rPr>
          <w:rFonts w:asciiTheme="minorHAnsi" w:hAnsiTheme="minorHAnsi" w:cstheme="minorHAnsi"/>
          <w:sz w:val="22"/>
          <w:szCs w:val="22"/>
          <w:lang w:val="en-GB"/>
        </w:rPr>
        <w:t xml:space="preserve">provided </w:t>
      </w:r>
      <w:r w:rsidR="00BC4CEE" w:rsidRPr="00C91EF0">
        <w:rPr>
          <w:rFonts w:asciiTheme="minorHAnsi" w:hAnsiTheme="minorHAnsi" w:cstheme="minorHAnsi"/>
          <w:sz w:val="22"/>
          <w:szCs w:val="22"/>
          <w:lang w:val="en-GB"/>
        </w:rPr>
        <w:t>in</w:t>
      </w:r>
      <w:r w:rsidRPr="00C91EF0">
        <w:rPr>
          <w:rFonts w:asciiTheme="minorHAnsi" w:hAnsiTheme="minorHAnsi" w:cstheme="minorHAnsi"/>
          <w:sz w:val="22"/>
          <w:szCs w:val="22"/>
          <w:lang w:val="en-GB"/>
        </w:rPr>
        <w:t xml:space="preserve"> three (PRIMUM, PIL</w:t>
      </w:r>
      <w:r w:rsidR="00691345"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and RIME) of</w:t>
      </w:r>
      <w:r w:rsidR="00660B3E" w:rsidRPr="00C91EF0">
        <w:rPr>
          <w:rFonts w:asciiTheme="minorHAnsi" w:hAnsiTheme="minorHAnsi" w:cstheme="minorHAnsi"/>
          <w:sz w:val="22"/>
          <w:szCs w:val="22"/>
          <w:lang w:val="en-GB"/>
        </w:rPr>
        <w:t xml:space="preserve"> the</w:t>
      </w:r>
      <w:r w:rsidRPr="00C91EF0">
        <w:rPr>
          <w:rFonts w:asciiTheme="minorHAnsi" w:hAnsiTheme="minorHAnsi" w:cstheme="minorHAnsi"/>
          <w:sz w:val="22"/>
          <w:szCs w:val="22"/>
          <w:lang w:val="en-GB"/>
        </w:rPr>
        <w:t xml:space="preserve"> five trials.</w:t>
      </w:r>
      <w:r w:rsidR="00E30BCD" w:rsidRPr="00C91EF0">
        <w:rPr>
          <w:rFonts w:asciiTheme="minorHAnsi" w:hAnsiTheme="minorHAnsi" w:cstheme="minorHAnsi"/>
          <w:sz w:val="22"/>
          <w:szCs w:val="22"/>
          <w:lang w:val="en-GB"/>
        </w:rPr>
        <w:t xml:space="preserve"> </w:t>
      </w:r>
    </w:p>
    <w:p w14:paraId="4152B987" w14:textId="77777777" w:rsidR="00F522A8" w:rsidRPr="000363B5" w:rsidRDefault="00F522A8" w:rsidP="009107F7">
      <w:pPr>
        <w:spacing w:line="480" w:lineRule="auto"/>
        <w:rPr>
          <w:rFonts w:asciiTheme="minorHAnsi" w:hAnsiTheme="minorHAnsi" w:cstheme="minorHAnsi"/>
          <w:i/>
          <w:sz w:val="22"/>
          <w:szCs w:val="22"/>
          <w:lang w:val="en-GB"/>
        </w:rPr>
      </w:pPr>
      <w:r w:rsidRPr="000363B5">
        <w:rPr>
          <w:rFonts w:asciiTheme="minorHAnsi" w:hAnsiTheme="minorHAnsi" w:cstheme="minorHAnsi"/>
          <w:i/>
          <w:sz w:val="22"/>
          <w:szCs w:val="22"/>
          <w:lang w:val="en-GB"/>
        </w:rPr>
        <w:t>Morbidity</w:t>
      </w:r>
    </w:p>
    <w:p w14:paraId="1DA4592B" w14:textId="309FA8C9" w:rsidR="00F522A8" w:rsidRPr="00C91EF0" w:rsidRDefault="00E30BCD" w:rsidP="009107F7">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lastRenderedPageBreak/>
        <w:t xml:space="preserve">We used the second version of the International Classification of Primary Care (ICPC-2)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{"citationItems":[{"id":"ITEM-1","itemData":{"author":[{"dropping-particle":"","family":"WONCA","given":"","non-dropping-particle":"","parse-names":false,"suffix":""}],"id":"ITEM-1","issued":{"date-parts":[["1998"]]},"publisher":"Oxford University Press;","publisher-place":"Oxford","title":"ICPC-2. International Classification of Primary Care","type":"book"},"uris":["http://www.mendeley.com/documents/?uuid=07db77c4-81b3-4873-b2e8-187f9f4faed2"]}],"mendeley":{"formattedCitation":"(29)","plainTextFormattedCitation":"(29)","previouslyFormattedCitation":"(28)"},"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(29)</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to describe</w:t>
      </w:r>
      <w:r w:rsidR="0021530C" w:rsidRPr="00C91EF0">
        <w:rPr>
          <w:rFonts w:asciiTheme="minorHAnsi" w:hAnsiTheme="minorHAnsi" w:cstheme="minorHAnsi"/>
          <w:sz w:val="22"/>
          <w:szCs w:val="22"/>
          <w:lang w:val="en-GB"/>
        </w:rPr>
        <w:t xml:space="preserve"> </w:t>
      </w:r>
      <w:r w:rsidR="00042FC2">
        <w:rPr>
          <w:rFonts w:asciiTheme="minorHAnsi" w:hAnsiTheme="minorHAnsi" w:cstheme="minorHAnsi"/>
          <w:sz w:val="22"/>
          <w:szCs w:val="22"/>
          <w:lang w:val="en-GB"/>
        </w:rPr>
        <w:t>a</w:t>
      </w:r>
      <w:r w:rsidR="0021530C" w:rsidRPr="00C91EF0">
        <w:rPr>
          <w:rFonts w:asciiTheme="minorHAnsi" w:hAnsiTheme="minorHAnsi" w:cstheme="minorHAnsi"/>
          <w:sz w:val="22"/>
          <w:szCs w:val="22"/>
          <w:lang w:val="en-GB"/>
        </w:rPr>
        <w:t xml:space="preserve"> common list of </w:t>
      </w:r>
      <w:r w:rsidRPr="00C91EF0">
        <w:rPr>
          <w:rFonts w:asciiTheme="minorHAnsi" w:hAnsiTheme="minorHAnsi" w:cstheme="minorHAnsi"/>
          <w:sz w:val="22"/>
          <w:szCs w:val="22"/>
          <w:lang w:val="en-GB"/>
        </w:rPr>
        <w:t>individual chronic conditions</w:t>
      </w:r>
      <w:r w:rsidR="0021530C" w:rsidRPr="00C91EF0">
        <w:rPr>
          <w:rFonts w:asciiTheme="minorHAnsi" w:hAnsiTheme="minorHAnsi" w:cstheme="minorHAnsi"/>
          <w:sz w:val="22"/>
          <w:szCs w:val="22"/>
          <w:lang w:val="en-GB"/>
        </w:rPr>
        <w:t xml:space="preserve"> across trials</w:t>
      </w:r>
      <w:r w:rsidR="000C453D" w:rsidRPr="00C91EF0">
        <w:rPr>
          <w:rFonts w:asciiTheme="minorHAnsi" w:hAnsiTheme="minorHAnsi" w:cstheme="minorHAnsi"/>
          <w:sz w:val="22"/>
          <w:szCs w:val="22"/>
          <w:lang w:val="en-GB"/>
        </w:rPr>
        <w:t xml:space="preserve"> </w:t>
      </w:r>
      <w:r w:rsidR="003C19FB" w:rsidRPr="00C91EF0">
        <w:rPr>
          <w:rFonts w:asciiTheme="minorHAnsi" w:hAnsiTheme="minorHAnsi" w:cstheme="minorHAnsi"/>
          <w:sz w:val="22"/>
          <w:szCs w:val="22"/>
          <w:lang w:val="en-GB"/>
        </w:rPr>
        <w:t xml:space="preserve">(patient-reported in RIME; </w:t>
      </w:r>
      <w:r w:rsidR="00691345" w:rsidRPr="00C91EF0">
        <w:rPr>
          <w:rFonts w:asciiTheme="minorHAnsi" w:hAnsiTheme="minorHAnsi" w:cstheme="minorHAnsi"/>
          <w:sz w:val="22"/>
          <w:szCs w:val="22"/>
          <w:lang w:val="en-GB"/>
        </w:rPr>
        <w:t xml:space="preserve">in all others </w:t>
      </w:r>
      <w:r w:rsidR="00BC4CEE" w:rsidRPr="00C91EF0">
        <w:rPr>
          <w:rFonts w:asciiTheme="minorHAnsi" w:hAnsiTheme="minorHAnsi" w:cstheme="minorHAnsi"/>
          <w:sz w:val="22"/>
          <w:szCs w:val="22"/>
          <w:lang w:val="en-GB"/>
        </w:rPr>
        <w:t xml:space="preserve">we used </w:t>
      </w:r>
      <w:r w:rsidR="003C19FB" w:rsidRPr="00C91EF0">
        <w:rPr>
          <w:rFonts w:asciiTheme="minorHAnsi" w:hAnsiTheme="minorHAnsi" w:cstheme="minorHAnsi"/>
          <w:sz w:val="22"/>
          <w:szCs w:val="22"/>
          <w:lang w:val="en-GB"/>
        </w:rPr>
        <w:t>physician-reported</w:t>
      </w:r>
      <w:r w:rsidR="00691345" w:rsidRPr="00C91EF0">
        <w:rPr>
          <w:rFonts w:asciiTheme="minorHAnsi" w:hAnsiTheme="minorHAnsi" w:cstheme="minorHAnsi"/>
          <w:sz w:val="22"/>
          <w:szCs w:val="22"/>
          <w:lang w:val="en-GB"/>
        </w:rPr>
        <w:t xml:space="preserve"> information</w:t>
      </w:r>
      <w:r w:rsidR="003C19FB" w:rsidRPr="00C91EF0">
        <w:rPr>
          <w:rFonts w:asciiTheme="minorHAnsi" w:hAnsiTheme="minorHAnsi" w:cstheme="minorHAnsi"/>
          <w:sz w:val="22"/>
          <w:szCs w:val="22"/>
          <w:lang w:val="en-GB"/>
        </w:rPr>
        <w:t xml:space="preserve">) </w:t>
      </w:r>
      <w:r w:rsidR="000C453D" w:rsidRPr="00C91EF0">
        <w:rPr>
          <w:rFonts w:asciiTheme="minorHAnsi" w:hAnsiTheme="minorHAnsi" w:cstheme="minorHAnsi"/>
          <w:sz w:val="22"/>
          <w:szCs w:val="22"/>
          <w:lang w:val="en-GB"/>
        </w:rPr>
        <w:t>and used</w:t>
      </w:r>
      <w:r w:rsidR="00B2454B" w:rsidRPr="00C91EF0">
        <w:rPr>
          <w:rFonts w:asciiTheme="minorHAnsi" w:hAnsiTheme="minorHAnsi" w:cstheme="minorHAnsi"/>
          <w:sz w:val="22"/>
          <w:szCs w:val="22"/>
          <w:lang w:val="en-GB"/>
        </w:rPr>
        <w:t xml:space="preserve"> a modified version of the</w:t>
      </w:r>
      <w:r w:rsidR="000C453D" w:rsidRPr="00C91EF0">
        <w:rPr>
          <w:rFonts w:asciiTheme="minorHAnsi" w:hAnsiTheme="minorHAnsi" w:cstheme="minorHAnsi"/>
          <w:sz w:val="22"/>
          <w:szCs w:val="22"/>
          <w:lang w:val="en-GB"/>
        </w:rPr>
        <w:t xml:space="preserve"> Diederichs list for morbidity count</w:t>
      </w:r>
      <w:r w:rsidR="00B2454B" w:rsidRPr="00C91EF0">
        <w:rPr>
          <w:rFonts w:asciiTheme="minorHAnsi" w:hAnsiTheme="minorHAnsi" w:cstheme="minorHAnsi"/>
          <w:sz w:val="22"/>
          <w:szCs w:val="22"/>
          <w:lang w:val="en-GB" w:eastAsia="nb-NO"/>
        </w:rPr>
        <w:t xml:space="preserve">, which included 15 of the 17 conditions </w:t>
      </w:r>
      <w:r w:rsidR="00BC4CEE" w:rsidRPr="00C91EF0">
        <w:rPr>
          <w:rFonts w:asciiTheme="minorHAnsi" w:hAnsiTheme="minorHAnsi" w:cstheme="minorHAnsi"/>
          <w:sz w:val="22"/>
          <w:szCs w:val="22"/>
          <w:lang w:val="en-GB" w:eastAsia="nb-NO"/>
        </w:rPr>
        <w:t xml:space="preserve">identified in a systematic review </w:t>
      </w:r>
      <w:r w:rsidR="007976BB" w:rsidRPr="00C91EF0">
        <w:rPr>
          <w:rFonts w:asciiTheme="minorHAnsi" w:hAnsiTheme="minorHAnsi" w:cstheme="minorHAnsi"/>
          <w:sz w:val="22"/>
          <w:szCs w:val="22"/>
          <w:lang w:val="en-GB" w:eastAsia="nb-NO"/>
        </w:rPr>
        <w:t xml:space="preserve">(i.e. dementia, kidney and peripheral artery disease were not provided </w:t>
      </w:r>
      <w:r w:rsidR="00D453DB">
        <w:rPr>
          <w:rFonts w:asciiTheme="minorHAnsi" w:hAnsiTheme="minorHAnsi" w:cstheme="minorHAnsi"/>
          <w:sz w:val="22"/>
          <w:szCs w:val="22"/>
          <w:lang w:val="en-GB" w:eastAsia="nb-NO"/>
        </w:rPr>
        <w:t xml:space="preserve">in </w:t>
      </w:r>
      <w:r w:rsidR="007976BB" w:rsidRPr="00C91EF0">
        <w:rPr>
          <w:rFonts w:asciiTheme="minorHAnsi" w:hAnsiTheme="minorHAnsi" w:cstheme="minorHAnsi"/>
          <w:sz w:val="22"/>
          <w:szCs w:val="22"/>
          <w:lang w:val="en-GB" w:eastAsia="nb-NO"/>
        </w:rPr>
        <w:t>two of the five trials)</w:t>
      </w:r>
      <w:r w:rsidR="00C91EF0" w:rsidRPr="00C91EF0">
        <w:rPr>
          <w:rFonts w:asciiTheme="minorHAnsi" w:hAnsiTheme="minorHAnsi" w:cstheme="minorHAnsi"/>
          <w:sz w:val="22"/>
          <w:szCs w:val="22"/>
          <w:lang w:val="en-GB" w:eastAsia="nb-NO"/>
        </w:rPr>
        <w:t xml:space="preserve">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{"citationItems":[{"id":"ITEM-1","itemData":{"DOI":"10.1093/gerona/glq208","ISBN":"1758-535X (Electronic)\\r1079-5006 (Linking)","ISSN":"1079-5006","PMID":"21112963","abstract":"Multimorbidity, defined as the coexistence of 2 or more chronic diseases, is a common phenomenon especially in older people. Numerous efforts to establish a standardized instrument to assess the level of multimorbidity have failed until now, and indices are primarily characterized by their high heterogeneity. Thus, the objective is to provide a comprehensive overview on existing instruments on the basis of a systematic literature review.","author":[{"dropping-particle":"","family":"Diederichs","given":"Claudia","non-dropping-particle":"","parse-names":false,"suffix":""},{"dropping-particle":"","family":"Berger","given":"Klaus","non-dropping-particle":"","parse-names":false,"suffix":""},{"dropping-particle":"","family":"Bartels","given":"Dorothée B.","non-dropping-particle":"","parse-names":false,"suffix":""}],"container-title":"J Gerontol - Ser A Biol Sci Med Sci","id":"ITEM-1","issue":"3","issued":{"date-parts":[["2011","3","1"]]},"page":"301-311","title":"The Measurement of Multiple Chronic Diseases--A Systematic Review on Existing Multimorbidity Indices","type":"article-journal","volume":"66A"},"uris":["http://www.mendeley.com/documents/?uuid=2df83a69-903e-42ff-b15f-8f5c8b9dd70c"]}],"mendeley":{"formattedCitation":"(30)","plainTextFormattedCitation":"(30)","previouslyFormattedCitation":"(29)"},"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(30)</w:t>
      </w:r>
      <w:r w:rsidR="00776DB8" w:rsidRPr="00C91EF0">
        <w:rPr>
          <w:rFonts w:asciiTheme="minorHAnsi" w:hAnsiTheme="minorHAnsi" w:cstheme="minorHAnsi"/>
          <w:sz w:val="22"/>
          <w:szCs w:val="22"/>
          <w:lang w:val="en-GB" w:eastAsia="nb-NO"/>
        </w:rPr>
        <w:fldChar w:fldCharType="end"/>
      </w:r>
      <w:r w:rsidR="00691C98" w:rsidRPr="00C91EF0">
        <w:rPr>
          <w:rFonts w:asciiTheme="minorHAnsi" w:hAnsiTheme="minorHAnsi" w:cstheme="minorHAnsi"/>
          <w:sz w:val="22"/>
          <w:szCs w:val="22"/>
          <w:lang w:val="en-GB" w:eastAsia="nb-NO"/>
        </w:rPr>
        <w:t>.</w:t>
      </w:r>
      <w:r w:rsidR="000C453D" w:rsidRPr="00C91EF0">
        <w:rPr>
          <w:rFonts w:asciiTheme="minorHAnsi" w:hAnsiTheme="minorHAnsi" w:cstheme="minorHAnsi"/>
          <w:sz w:val="22"/>
          <w:szCs w:val="22"/>
          <w:lang w:val="en-GB"/>
        </w:rPr>
        <w:t xml:space="preserve"> </w:t>
      </w:r>
      <w:r w:rsidR="00B2454B" w:rsidRPr="00C91EF0">
        <w:rPr>
          <w:rFonts w:asciiTheme="minorHAnsi" w:hAnsiTheme="minorHAnsi" w:cstheme="minorHAnsi"/>
          <w:sz w:val="22"/>
          <w:szCs w:val="22"/>
          <w:lang w:val="en-GB"/>
        </w:rPr>
        <w:t xml:space="preserve">The </w:t>
      </w:r>
      <w:r w:rsidR="000C453D" w:rsidRPr="00C91EF0">
        <w:rPr>
          <w:rFonts w:asciiTheme="minorHAnsi" w:hAnsiTheme="minorHAnsi" w:cstheme="minorHAnsi"/>
          <w:sz w:val="22"/>
          <w:szCs w:val="22"/>
          <w:lang w:val="en-GB"/>
        </w:rPr>
        <w:t xml:space="preserve">Charlson comorbidity index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{"citationItems":[{"id":"ITEM-1","itemData":{"ISSN":"0021-9681","PMID":"3558716","abstract":"The objective of this study was to develop a prospectively applicable method for classifying comorbid conditions which might alter the risk of mortality for use in longitudinal studies. A weighted index that takes into account the number and the seriousness of comorbid disease was developed in a cohort of 559 medical patients. The 1-yr mortality rates for the different scores were: \"0\", 12% (181); \"1-2\", 26% (225); \"3-4\", 52% (71); and \"greater than or equal to 5\", 85% (82). The index was tested for its ability to predict risk of death from comorbid disease in the second cohort of 685 patients during a 10-yr follow-up. The percent of patients who died of comorbid disease for the different scores were: \"0\", 8% (588); \"1\", 25% (54); \"2\", 48% (25); \"greater than or equal to 3\", 59% (18). With each increased level of the comorbidity index, there were stepwise increases in the cumulative mortality attributable to comorbid disease (log rank chi 2 = 165; p less than 0.0001). In this longer follow-up, age was also a predictor of mortality (p less than 0.001). The new index performed similarly to a previous system devised by Kaplan and Feinstein. The method of classifying comorbidity provides a simple, readily applicable and valid method of estimating risk of death from comorbid disease for use in longitudinal studies. Further work in larger populations is still required to refine the approach because the number of patients with any given condition in this study was relatively small.","author":[{"dropping-particle":"","family":"Charlson","given":"M E","non-dropping-particle":"","parse-names":false,"suffix":""},{"dropping-particle":"","family":"Pompei","given":"P","non-dropping-particle":"","parse-names":false,"suffix":""},{"dropping-particle":"","family":"Ales","given":"K L","non-dropping-particle":"","parse-names":false,"suffix":""},{"dropping-particle":"","family":"MacKenzie","given":"C R","non-dropping-particle":"","parse-names":false,"suffix":""}],"container-title":"Journal of chronic diseases","id":"ITEM-1","issue":"5","issued":{"date-parts":[["1987"]]},"page":"373-83","title":"A new method of classifying prognostic comorbidity in longitudinal studies: development and validation.","type":"article-journal","volume":"40"},"uris":["http://www.mendeley.com/documents/?uuid=4e5966de-d94a-4f1d-b56c-c83bdb099277"]}],"mendeley":{"formattedCitation":"(31)","plainTextFormattedCitation":"(31)","previouslyFormattedCitation":"(30)"},"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(31)</w:t>
      </w:r>
      <w:r w:rsidR="00776DB8" w:rsidRPr="00C91EF0">
        <w:rPr>
          <w:rFonts w:asciiTheme="minorHAnsi" w:hAnsiTheme="minorHAnsi" w:cstheme="minorHAnsi"/>
          <w:sz w:val="22"/>
          <w:szCs w:val="22"/>
          <w:lang w:val="en-GB" w:eastAsia="nb-NO"/>
        </w:rPr>
        <w:fldChar w:fldCharType="end"/>
      </w:r>
      <w:r w:rsidR="000C453D" w:rsidRPr="00C91EF0">
        <w:rPr>
          <w:rFonts w:asciiTheme="minorHAnsi" w:hAnsiTheme="minorHAnsi" w:cstheme="minorHAnsi"/>
          <w:sz w:val="22"/>
          <w:szCs w:val="22"/>
          <w:lang w:val="en-GB" w:eastAsia="nb-NO"/>
        </w:rPr>
        <w:t xml:space="preserve"> </w:t>
      </w:r>
      <w:r w:rsidR="00B2454B" w:rsidRPr="00C91EF0">
        <w:rPr>
          <w:rFonts w:asciiTheme="minorHAnsi" w:hAnsiTheme="minorHAnsi" w:cstheme="minorHAnsi"/>
          <w:sz w:val="22"/>
          <w:szCs w:val="22"/>
          <w:lang w:val="en-GB"/>
        </w:rPr>
        <w:t>was</w:t>
      </w:r>
      <w:r w:rsidR="00691C98" w:rsidRPr="00C91EF0">
        <w:rPr>
          <w:rFonts w:asciiTheme="minorHAnsi" w:hAnsiTheme="minorHAnsi" w:cstheme="minorHAnsi"/>
          <w:sz w:val="22"/>
          <w:szCs w:val="22"/>
          <w:lang w:val="en-GB"/>
        </w:rPr>
        <w:t xml:space="preserve"> </w:t>
      </w:r>
      <w:r w:rsidR="000C453D" w:rsidRPr="00C91EF0">
        <w:rPr>
          <w:rFonts w:asciiTheme="minorHAnsi" w:hAnsiTheme="minorHAnsi" w:cstheme="minorHAnsi"/>
          <w:sz w:val="22"/>
          <w:szCs w:val="22"/>
          <w:lang w:val="en-GB"/>
        </w:rPr>
        <w:t xml:space="preserve">provided </w:t>
      </w:r>
      <w:r w:rsidR="00D453DB">
        <w:rPr>
          <w:rFonts w:asciiTheme="minorHAnsi" w:hAnsiTheme="minorHAnsi" w:cstheme="minorHAnsi"/>
          <w:sz w:val="22"/>
          <w:szCs w:val="22"/>
          <w:lang w:val="en-GB"/>
        </w:rPr>
        <w:t xml:space="preserve">in </w:t>
      </w:r>
      <w:r w:rsidR="000C453D" w:rsidRPr="00C91EF0">
        <w:rPr>
          <w:rFonts w:asciiTheme="minorHAnsi" w:hAnsiTheme="minorHAnsi" w:cstheme="minorHAnsi"/>
          <w:sz w:val="22"/>
          <w:szCs w:val="22"/>
          <w:lang w:val="en-GB"/>
        </w:rPr>
        <w:t>two of the trials (PRIMUM and RIME)</w:t>
      </w:r>
      <w:r w:rsidR="00BC4CEE" w:rsidRPr="00C91EF0">
        <w:rPr>
          <w:rFonts w:asciiTheme="minorHAnsi" w:hAnsiTheme="minorHAnsi" w:cstheme="minorHAnsi"/>
          <w:sz w:val="22"/>
          <w:szCs w:val="22"/>
          <w:lang w:val="en-GB"/>
        </w:rPr>
        <w:t xml:space="preserve">, but could not be calculated for the other trials </w:t>
      </w:r>
      <w:r w:rsidR="00B2454B" w:rsidRPr="00C91EF0">
        <w:rPr>
          <w:rFonts w:asciiTheme="minorHAnsi" w:hAnsiTheme="minorHAnsi" w:cstheme="minorHAnsi"/>
          <w:sz w:val="22"/>
          <w:szCs w:val="22"/>
          <w:lang w:val="en-GB"/>
        </w:rPr>
        <w:t xml:space="preserve">(e.g. </w:t>
      </w:r>
      <w:r w:rsidR="00800480">
        <w:rPr>
          <w:rFonts w:asciiTheme="minorHAnsi" w:hAnsiTheme="minorHAnsi" w:cstheme="minorHAnsi"/>
          <w:sz w:val="22"/>
          <w:szCs w:val="22"/>
          <w:lang w:val="en-GB"/>
        </w:rPr>
        <w:t xml:space="preserve">because </w:t>
      </w:r>
      <w:r w:rsidR="00B2454B" w:rsidRPr="00C91EF0">
        <w:rPr>
          <w:rFonts w:asciiTheme="minorHAnsi" w:hAnsiTheme="minorHAnsi" w:cstheme="minorHAnsi"/>
          <w:sz w:val="22"/>
          <w:szCs w:val="22"/>
          <w:lang w:val="en-GB"/>
        </w:rPr>
        <w:t xml:space="preserve">no information </w:t>
      </w:r>
      <w:r w:rsidR="00D453DB">
        <w:rPr>
          <w:rFonts w:asciiTheme="minorHAnsi" w:hAnsiTheme="minorHAnsi" w:cstheme="minorHAnsi"/>
          <w:sz w:val="22"/>
          <w:szCs w:val="22"/>
          <w:lang w:val="en-GB"/>
        </w:rPr>
        <w:t xml:space="preserve">was provided on condition </w:t>
      </w:r>
      <w:r w:rsidR="00B2454B" w:rsidRPr="00C91EF0">
        <w:rPr>
          <w:rFonts w:asciiTheme="minorHAnsi" w:hAnsiTheme="minorHAnsi" w:cstheme="minorHAnsi"/>
          <w:sz w:val="22"/>
          <w:szCs w:val="22"/>
          <w:lang w:val="en-GB"/>
        </w:rPr>
        <w:t>severity)</w:t>
      </w:r>
      <w:r w:rsidR="000C453D" w:rsidRPr="00C91EF0">
        <w:rPr>
          <w:rFonts w:asciiTheme="minorHAnsi" w:hAnsiTheme="minorHAnsi" w:cstheme="minorHAnsi"/>
          <w:sz w:val="22"/>
          <w:szCs w:val="22"/>
          <w:lang w:val="en-GB"/>
        </w:rPr>
        <w:t>.</w:t>
      </w:r>
      <w:r w:rsidR="00E209EC" w:rsidRPr="00C91EF0">
        <w:rPr>
          <w:rFonts w:asciiTheme="minorHAnsi" w:hAnsiTheme="minorHAnsi" w:cstheme="minorHAnsi"/>
          <w:sz w:val="22"/>
          <w:szCs w:val="22"/>
          <w:lang w:val="en-GB"/>
        </w:rPr>
        <w:t xml:space="preserve"> </w:t>
      </w:r>
    </w:p>
    <w:p w14:paraId="44FD9A64" w14:textId="77777777" w:rsidR="00F522A8" w:rsidRPr="000363B5" w:rsidRDefault="00F522A8" w:rsidP="009107F7">
      <w:pPr>
        <w:spacing w:line="480" w:lineRule="auto"/>
        <w:rPr>
          <w:rFonts w:asciiTheme="minorHAnsi" w:hAnsiTheme="minorHAnsi" w:cstheme="minorHAnsi"/>
          <w:i/>
          <w:sz w:val="22"/>
          <w:szCs w:val="22"/>
          <w:lang w:val="en-GB"/>
        </w:rPr>
      </w:pPr>
      <w:r w:rsidRPr="000363B5">
        <w:rPr>
          <w:rFonts w:asciiTheme="minorHAnsi" w:hAnsiTheme="minorHAnsi" w:cstheme="minorHAnsi"/>
          <w:i/>
          <w:sz w:val="22"/>
          <w:szCs w:val="22"/>
          <w:lang w:val="en-GB"/>
        </w:rPr>
        <w:t>Medication</w:t>
      </w:r>
    </w:p>
    <w:p w14:paraId="5018CB04" w14:textId="25A780ED" w:rsidR="00F522A8" w:rsidRPr="00C91EF0" w:rsidRDefault="00E209EC" w:rsidP="009107F7">
      <w:pPr>
        <w:spacing w:line="480" w:lineRule="auto"/>
        <w:rPr>
          <w:rFonts w:asciiTheme="minorHAnsi" w:hAnsiTheme="minorHAnsi" w:cstheme="minorHAnsi"/>
          <w:sz w:val="22"/>
          <w:szCs w:val="22"/>
          <w:lang w:val="en-GB" w:eastAsia="nb-NO"/>
        </w:rPr>
      </w:pPr>
      <w:r w:rsidRPr="00C91EF0">
        <w:rPr>
          <w:rFonts w:asciiTheme="minorHAnsi" w:hAnsiTheme="minorHAnsi" w:cstheme="minorHAnsi"/>
          <w:sz w:val="22"/>
          <w:szCs w:val="22"/>
          <w:lang w:val="en-GB"/>
        </w:rPr>
        <w:t>Potential</w:t>
      </w:r>
      <w:r w:rsidR="00BC4CEE" w:rsidRPr="00C91EF0">
        <w:rPr>
          <w:rFonts w:asciiTheme="minorHAnsi" w:hAnsiTheme="minorHAnsi" w:cstheme="minorHAnsi"/>
          <w:sz w:val="22"/>
          <w:szCs w:val="22"/>
          <w:lang w:val="en-GB"/>
        </w:rPr>
        <w:t>ly</w:t>
      </w:r>
      <w:r w:rsidRPr="00C91EF0">
        <w:rPr>
          <w:rFonts w:asciiTheme="minorHAnsi" w:hAnsiTheme="minorHAnsi" w:cstheme="minorHAnsi"/>
          <w:sz w:val="22"/>
          <w:szCs w:val="22"/>
          <w:lang w:val="en-GB"/>
        </w:rPr>
        <w:t xml:space="preserve"> inappropriate prescriptions and</w:t>
      </w:r>
      <w:r w:rsidR="002B5507" w:rsidRPr="00C91EF0">
        <w:rPr>
          <w:rFonts w:asciiTheme="minorHAnsi" w:hAnsiTheme="minorHAnsi" w:cstheme="minorHAnsi"/>
          <w:sz w:val="22"/>
          <w:szCs w:val="22"/>
          <w:lang w:val="en-GB"/>
        </w:rPr>
        <w:t xml:space="preserve"> </w:t>
      </w:r>
      <w:r w:rsidR="00C91EF0" w:rsidRPr="00C91EF0">
        <w:rPr>
          <w:rFonts w:asciiTheme="minorHAnsi" w:hAnsiTheme="minorHAnsi" w:cstheme="minorHAnsi"/>
          <w:sz w:val="22"/>
          <w:szCs w:val="22"/>
          <w:lang w:val="en-GB"/>
        </w:rPr>
        <w:t>medication underuse</w:t>
      </w:r>
      <w:r w:rsidR="00BC4CEE"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 xml:space="preserve">were </w:t>
      </w:r>
      <w:r w:rsidR="00D453DB">
        <w:rPr>
          <w:rFonts w:asciiTheme="minorHAnsi" w:hAnsiTheme="minorHAnsi" w:cstheme="minorHAnsi"/>
          <w:sz w:val="22"/>
          <w:szCs w:val="22"/>
          <w:lang w:val="en-GB"/>
        </w:rPr>
        <w:t xml:space="preserve">mainly </w:t>
      </w:r>
      <w:r w:rsidRPr="00C91EF0">
        <w:rPr>
          <w:rFonts w:asciiTheme="minorHAnsi" w:hAnsiTheme="minorHAnsi" w:cstheme="minorHAnsi"/>
          <w:sz w:val="22"/>
          <w:szCs w:val="22"/>
          <w:lang w:val="en-GB"/>
        </w:rPr>
        <w:t xml:space="preserve">assessed </w:t>
      </w:r>
      <w:r w:rsidR="003C19FB" w:rsidRPr="00C91EF0">
        <w:rPr>
          <w:rFonts w:asciiTheme="minorHAnsi" w:hAnsiTheme="minorHAnsi" w:cstheme="minorHAnsi"/>
          <w:sz w:val="22"/>
          <w:szCs w:val="22"/>
          <w:lang w:val="en-GB"/>
        </w:rPr>
        <w:t>using patient-reported medication data (except from ISCOPE</w:t>
      </w:r>
      <w:r w:rsidR="00167FB0" w:rsidRPr="00C91EF0">
        <w:rPr>
          <w:rFonts w:asciiTheme="minorHAnsi" w:hAnsiTheme="minorHAnsi" w:cstheme="minorHAnsi"/>
          <w:sz w:val="22"/>
          <w:szCs w:val="22"/>
          <w:lang w:val="en-GB"/>
        </w:rPr>
        <w:t xml:space="preserve"> which provided physician-reported information</w:t>
      </w:r>
      <w:r w:rsidR="003C19FB" w:rsidRPr="00C91EF0">
        <w:rPr>
          <w:rFonts w:asciiTheme="minorHAnsi" w:hAnsiTheme="minorHAnsi" w:cstheme="minorHAnsi"/>
          <w:sz w:val="22"/>
          <w:szCs w:val="22"/>
          <w:lang w:val="en-GB"/>
        </w:rPr>
        <w:t xml:space="preserve">) </w:t>
      </w:r>
      <w:r w:rsidR="00D453DB">
        <w:rPr>
          <w:rFonts w:asciiTheme="minorHAnsi" w:hAnsiTheme="minorHAnsi" w:cstheme="minorHAnsi"/>
          <w:sz w:val="22"/>
          <w:szCs w:val="22"/>
          <w:lang w:val="en-GB"/>
        </w:rPr>
        <w:t xml:space="preserve">by </w:t>
      </w:r>
      <w:r w:rsidR="003C19FB" w:rsidRPr="00C91EF0">
        <w:rPr>
          <w:rFonts w:asciiTheme="minorHAnsi" w:hAnsiTheme="minorHAnsi" w:cstheme="minorHAnsi"/>
          <w:sz w:val="22"/>
          <w:szCs w:val="22"/>
          <w:lang w:val="en-GB"/>
        </w:rPr>
        <w:t xml:space="preserve">applying the criteria </w:t>
      </w:r>
      <w:r w:rsidR="00D453DB">
        <w:rPr>
          <w:rFonts w:asciiTheme="minorHAnsi" w:hAnsiTheme="minorHAnsi" w:cstheme="minorHAnsi"/>
          <w:sz w:val="22"/>
          <w:szCs w:val="22"/>
          <w:lang w:val="en-GB"/>
        </w:rPr>
        <w:t xml:space="preserve">used in </w:t>
      </w:r>
      <w:r w:rsidRPr="00C91EF0">
        <w:rPr>
          <w:rFonts w:asciiTheme="minorHAnsi" w:hAnsiTheme="minorHAnsi" w:cstheme="minorHAnsi"/>
          <w:sz w:val="22"/>
          <w:szCs w:val="22"/>
          <w:lang w:val="en-GB"/>
        </w:rPr>
        <w:t xml:space="preserve">the </w:t>
      </w:r>
      <w:r w:rsidRPr="00C91EF0">
        <w:rPr>
          <w:rFonts w:asciiTheme="minorHAnsi" w:hAnsiTheme="minorHAnsi" w:cstheme="minorHAnsi"/>
          <w:sz w:val="22"/>
          <w:szCs w:val="22"/>
          <w:lang w:val="en-GB" w:eastAsia="nb-NO"/>
        </w:rPr>
        <w:t xml:space="preserve">EU-PIM list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{"citationItems":[{"id":"ITEM-1","itemData":{"DOI":"10.1007/s00228-015-1860-9","ISSN":"0031-6970","PMID":"25967540","abstract":"PURPOSE The aim of the study was to develop a European list of potentially inappropriate medications (PIM) for older people, which can be used for the analysis and comparison of prescribing patterns across European countries and for clinical practice. METHODS A preliminary PIM list was developed, based on the German PRISCUS list of potentially inappropriate medications and other PIM lists from the USA, Canada and France. Thirty experts on geriatric prescribing from Estonia, Finland, France, the Netherlands, Spain and Sweden participated; eight experts performed a structured expansion of the list, suggesting further medications; twenty-seven experts participated in a two-round Delphi survey assessing the appropriateness of drugs and suggesting dose adjustments and therapeutic alternatives. Finally, twelve experts completed a brief final survey to decide upon issues requiring further consensus. RESULTS Experts reached a consensus that 282 chemical substances or drug classes from 34 therapeutic groups are PIM for older people; some PIM are restricted to a certain dose or duration of use. The PIM list contains suggestions for dose adjustments and therapeutic alternatives. CONCLUSIONS The European Union (EU)(7)-PIM list is a screening tool, developed with participation of experts from seven European countries, that allows identification and comparison of PIM prescribing patterns for older people across European countries. It can also be used as a guide in clinical practice, although it does not substitute the decision-making process of individualised prescribing for older people. Further research is needed to investigate the feasibility and applicability and, finally, the clinical benefits of the newly developed list.","author":[{"dropping-particle":"","family":"Renom-Guiteras","given":"Anna","non-dropping-particle":"","parse-names":false,"suffix":""},{"dropping-particle":"","family":"Meyer","given":"Gabriele","non-dropping-particle":"","parse-names":false,"suffix":""},{"dropping-particle":"","family":"Thürmann","given":"Petra a.","non-dropping-particle":"","parse-names":false,"suffix":""}],"container-title":"European Journal of Clinical Pharmacology","id":"ITEM-1","issue":"7","issued":{"date-parts":[["2015"]]},"page":"861-75","title":"The EU(7)-PIM list: a list of potentially inappropriate medications for older people consented by experts from seven European countries","type":"article-journal","volume":"71"},"uris":["http://www.mendeley.com/documents/?uuid=2a1e0557-9532-4675-b499-5aa853e68595"]}],"mendeley":{"formattedCitation":"(32)","plainTextFormattedCitation":"(32)","previouslyFormattedCitation":"(31)"},"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(32)</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STOPP-START criteria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{"citationItems":[{"id":"ITEM-1","itemData":{"DOI":"10.1093/ageing/afu145","ISBN":"1468-2834 (Electronic)\\r0002-0729 (Linking)","ISSN":"14682834","PMID":"25324330","abstract":"Purpose: screening tool of older people’s prescriptions (STOPP) and screening tool to alert to right treatment (START) cri- teria were first published in 2008. Due to an expanding therapeutics evidence base, updating of the criteria was required. Methods: we reviewed the 2008 STOPP/START criteria to add new evidence-based criteria and remove any obsolete criteria. A thorough literature review was performed to reassess the evidence base of the 2008 criteria and the proposed new criteria. Nineteen experts from 13 European countries reviewed a new draft of STOPP &amp; START criteria including proposed new cri- teria. These experts were also asked to propose additional criteria they considered important to include in the revised STOPP &amp; START criteria and to highlight any criteria from the 2008 list they considered less important or lacking an evidence base. The revised list of criteriawas then validated using the Delphi consensusmethodology. Results: the expert panel agreed a final list of 114 criteria after two Delphi validation rounds, i.e. 80 STOPP criteria and 34 START criteria. This represents an overall 31% increase in STOPP/START criteria compared with version 1. Several new STOPP categories were created in version 2, namely antiplatelet/anticoagulant drugs, drugs affecting, or affected by, renal function and drugs that increase anticholinergic burden; new START categories include urogenital system drugs, analgesics and vaccines. Conclusion: STOPP/START version 2 criteria have been expanded and updated for the purpose of minimizing inappropriate prescribing in older people. These criteria are based on an up-to-date literature review and consensus validation among a European panel of experts. Keywords:","author":[{"dropping-particle":"","family":"O'Mahony","given":"Denis","non-dropping-particle":"","parse-names":false,"suffix":""},{"dropping-particle":"","family":"O'Sullivan","given":"David","non-dropping-particle":"","parse-names":false,"suffix":""},{"dropping-particle":"","family":"Byrne","given":"Stephen","non-dropping-particle":"","parse-names":false,"suffix":""},{"dropping-particle":"","family":"O'Connor","given":"Marie Noelle","non-dropping-particle":"","parse-names":false,"suffix":""},{"dropping-particle":"","family":"Ryan","given":"Cristin","non-dropping-particle":"","parse-names":false,"suffix":""},{"dropping-particle":"","family":"Gallagher","given":"Paul","non-dropping-particle":"","parse-names":false,"suffix":""}],"container-title":"Age and Ageing","id":"ITEM-1","issue":"2","issued":{"date-parts":[["2015"]]},"page":"213-218","title":"STOPP/START criteria for potentially inappropriate prescribing in older people: Version 2","type":"article-journal","volume":"44"},"uris":["http://www.mendeley.com/documents/?uuid=860bef29-82fe-4347-808d-49ac34dcd037"]}],"mendeley":{"formattedCitation":"(33)","plainTextFormattedCitation":"(33)","previouslyFormattedCitation":"(32)"},"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(33)</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w:t>
      </w:r>
      <w:r w:rsidR="00042FC2">
        <w:rPr>
          <w:rFonts w:asciiTheme="minorHAnsi" w:hAnsiTheme="minorHAnsi" w:cstheme="minorHAnsi"/>
          <w:sz w:val="22"/>
          <w:szCs w:val="22"/>
          <w:lang w:val="en-GB" w:eastAsia="nb-NO"/>
        </w:rPr>
        <w:t xml:space="preserve">the </w:t>
      </w:r>
      <w:r w:rsidRPr="00C91EF0">
        <w:rPr>
          <w:rFonts w:asciiTheme="minorHAnsi" w:hAnsiTheme="minorHAnsi" w:cstheme="minorHAnsi"/>
          <w:sz w:val="22"/>
          <w:szCs w:val="22"/>
          <w:lang w:val="en-GB" w:eastAsia="nb-NO"/>
        </w:rPr>
        <w:t>high</w:t>
      </w:r>
      <w:r w:rsidR="00C804F7" w:rsidRPr="00C91EF0">
        <w:rPr>
          <w:rFonts w:asciiTheme="minorHAnsi" w:hAnsiTheme="minorHAnsi" w:cstheme="minorHAnsi"/>
          <w:sz w:val="22"/>
          <w:szCs w:val="22"/>
          <w:lang w:val="en-GB" w:eastAsia="nb-NO"/>
        </w:rPr>
        <w:t>-</w:t>
      </w:r>
      <w:r w:rsidRPr="00C91EF0">
        <w:rPr>
          <w:rFonts w:asciiTheme="minorHAnsi" w:hAnsiTheme="minorHAnsi" w:cstheme="minorHAnsi"/>
          <w:sz w:val="22"/>
          <w:szCs w:val="22"/>
          <w:lang w:val="en-GB" w:eastAsia="nb-NO"/>
        </w:rPr>
        <w:t xml:space="preserve">risk prescribing </w:t>
      </w:r>
      <w:r w:rsidR="00691C98" w:rsidRPr="00C91EF0">
        <w:rPr>
          <w:rFonts w:asciiTheme="minorHAnsi" w:hAnsiTheme="minorHAnsi" w:cstheme="minorHAnsi"/>
          <w:sz w:val="22"/>
          <w:szCs w:val="22"/>
          <w:lang w:val="en-GB" w:eastAsia="nb-NO"/>
        </w:rPr>
        <w:t xml:space="preserve">criteria applied by </w:t>
      </w:r>
      <w:proofErr w:type="spellStart"/>
      <w:r w:rsidR="00691C98" w:rsidRPr="00C91EF0">
        <w:rPr>
          <w:rFonts w:asciiTheme="minorHAnsi" w:hAnsiTheme="minorHAnsi" w:cstheme="minorHAnsi"/>
          <w:sz w:val="22"/>
          <w:szCs w:val="22"/>
          <w:lang w:val="en-GB" w:eastAsia="nb-NO"/>
        </w:rPr>
        <w:t>Dreischulte</w:t>
      </w:r>
      <w:proofErr w:type="spellEnd"/>
      <w:r w:rsidR="00691C98" w:rsidRPr="00C91EF0">
        <w:rPr>
          <w:rFonts w:asciiTheme="minorHAnsi" w:hAnsiTheme="minorHAnsi" w:cstheme="minorHAnsi"/>
          <w:sz w:val="22"/>
          <w:szCs w:val="22"/>
          <w:lang w:val="en-GB" w:eastAsia="nb-NO"/>
        </w:rPr>
        <w:t xml:space="preserve"> et al.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{"citationItems":[{"id":"ITEM-1","itemData":{"DOI":"10.1056/NEJMsa1508955","ISBN":"0028-4793","ISSN":"0028-4793","PMID":"26981935","abstract":"BACKGROUND High-risk prescribing and preventable drug-related complications are common in primary care. We evaluated whether the rates of high-risk prescribing by primary care clinicians and the related clinical outcomes would be reduced by a complex intervention. METHODS In this cluster-randomized, stepped-wedge trial conducted in Tayside, Scotland, we randomly assigned participating primary care practices to various start dates for a 48-week intervention comprising professional education, informatics to facilitate review, and financial incentives for practices to review patients' charts to assess appropriateness. The primary outcome was patient-level exposure to any of nine measures of high-risk prescribing of nonsteroidal antiinflammatory drugs (NSAIDs) or selected antiplatelet agents (e.g., NSAID prescription in a patient with chronic kidney disease or coprescription of an NSAID and an oral anticoagulant without gastroprotection). Prespecified secondary outcomes included the incidence of related hospital admissions. Analyses were performed according to the intention-to-treat principle, with the use of mixed-effect models to account for clustering in the data. RESULTS A total of 34 practices underwent randomization, 33 of which completed the study. Data were analyzed for 33,334 patients at risk at one or more points in the preintervention period and for 33,060 at risk at one or more points in the intervention period. Targeted high-risk prescribing was significantly reduced, from a rate of 3.7% (1102 of 29,537 patients at risk) immediately before the intervention to 2.2% (674 of 30,187) at the end of the intervention (adjusted odds ratio, 0.63; 95% confidence interval [CI], 0.57 to 0.68; P&lt;0.001). The rate of hospital admissions for gastrointestinal ulcer or bleeding was significantly reduced from the preintervention period to the intervention period (from 55.7 to 37.0 admissions per 10,000 person-years; rate ratio, 0.66; 95% CI, 0.51 to 0.86; P=0.002), as was the rate of admissions for heart failure (from 707.7 to 513.5 admissions per 10,000 person-years; rate ratio, 0.73; 95% CI, 0.56 to 0.95; P=0.02), but admissions for acute kidney injury were not (101.9 and 86.0 admissions per 10,000 person-years, respectively; rate ratio, 0.84; 95% CI, 0.68 to 1.09; P=0.19). CONCLUSIONS A complex intervention combining professional education, informatics, and financial incentives reduced the rate of high-risk prescribing of antiplatelet medications and NSAIDs an…","author":[{"dropping-particle":"","family":"Dreischulte","given":"Tobias","non-dropping-particle":"","parse-names":false,"suffix":""},{"dropping-particle":"","family":"Donnan","given":"Peter","non-dropping-particle":"","parse-names":false,"suffix":""},{"dropping-particle":"","family":"Grant","given":"Aileen","non-dropping-particle":"","parse-names":false,"suffix":""},{"dropping-particle":"","family":"Hapca","given":"Adrian","non-dropping-particle":"","parse-names":false,"suffix":""},{"dropping-particle":"","family":"McCowan","given":"Colin","non-dropping-particle":"","parse-names":false,"suffix":""},{"dropping-particle":"","family":"Guthrie","given":"Bruce","non-dropping-particle":"","parse-names":false,"suffix":""}],"container-title":"N Engl J Med","id":"ITEM-1","issue":"11","issued":{"date-parts":[["2016"]]},"page":"1053-64","title":"Safer prescribing — a trial of education, informatics, and financial incentives","type":"article-journal","volume":"374"},"uris":["http://www.mendeley.com/documents/?uuid=a7ddb1b4-0871-4c73-84b8-e8126d5febd7"]}],"mendeley":{"formattedCitation":"(34)","plainTextFormattedCitation":"(34)","previouslyFormattedCitation":"(33)"},"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(34)</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the Anticholinergic Drug Scale (ADS)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{"citationItems":[{"id":"ITEM-1","itemData":{"DOI":"10.1177/0091270006292126","ISBN":"0091270006","ISSN":"0091-2700","PMID":"17101747","abstract":"Anticholinergic Drug Scale (ADS) scores were previously associated with serum anticholinergic activity (SAA) in a pilot study. To replicate these results, the association between ADS scores and SAA was determined using simple linear regression in subjects from a study of delirium in 201 long-term care facility residents who were not included in the pilot study. Simple and multiple linear regression models were then used to determine whether the ADS could be modified to more effectively predict SAA in all 297 subjects. In the replication analysis, ADS scores were significantly associated with SAA (R2 = .0947, P &lt; .0001). In the modification analysis, each model significantly predicted SAA, including ADS scores (R2 = .0741, P &lt; .0001). The modifications examined did not appear useful in optimizing the ADS. This study replicated findings on the association of the ADS with SAA. Future work will determine whether the ADS is clinically useful for preventing anticholinergic adverse effects.","author":[{"dropping-particle":"","family":"Carnahan","given":"Ryan M","non-dropping-particle":"","parse-names":false,"suffix":""},{"dropping-particle":"","family":"Lund","given":"Brian C","non-dropping-particle":"","parse-names":false,"suffix":""},{"dropping-particle":"","family":"Perry","given":"Paul J","non-dropping-particle":"","parse-names":false,"suffix":""},{"dropping-particle":"","family":"Pollock","given":"Bruce G","non-dropping-particle":"","parse-names":false,"suffix":""},{"dropping-particle":"","family":"Culp","given":"Kennith R","non-dropping-particle":"","parse-names":false,"suffix":""}],"container-title":"Journal of clinical pharmacology","id":"ITEM-1","issued":{"date-parts":[["2006"]]},"page":"1481-1486","title":"The Anticholinergic Drug Scale as a measure of drug-related anticholinergic burden: associations with serum anticholinergic activity.","type":"article-journal","volume":"46"},"uris":["http://www.mendeley.com/documents/?uuid=25d33435-92f1-4c38-9ad4-c1fdd6bcd958"]},{"id":"ITEM-2","itemData":{"ISSN":"0048-5764","PMID":"12858139","abstract":"ndings support the validity of the CR-ACh-mod. However, unexplained variance in SAA suggests that the CR-ACh-mod could benefit from improvements. Future research will evaluate the effect of including factors such as dose and the relative anticholinergic burden from drugs at each of the rating levels. An alternative explanation for the variance which is supported by recent research is that nondrug factors contribute to SAA.","author":[{"dropping-particle":"","family":"Carnahan","given":"Ryan M","non-dropping-particle":"","parse-names":false,"suffix":""},{"dropping-particle":"","family":"Lund","given":"Brian C","non-dropping-particle":"","parse-names":false,"suffix":""},{"dropping-particle":"","family":"Perry","given":"Paul J","non-dropping-particle":"","parse-names":false,"suffix":""},{"dropping-particle":"","family":"Culp","given":"Kennith R","non-dropping-particle":"","parse-names":false,"suffix":""},{"dropping-particle":"","family":"Pollock","given":"Bruce G","non-dropping-particle":"","parse-names":false,"suffix":""}],"container-title":"Psychopharmacology bulletin","id":"ITEM-2","issue":"4","issued":{"date-parts":[["2002"]]},"page":"14-9","title":"The relationship of an anticholinergic rating scale with serum anticholinergic activity in elderly nursing home residents.","type":"article-journal","volume":"36"},"uris":["http://www.mendeley.com/documents/?uuid=c278edd6-b38c-4c88-b4fe-e18a49a7e11e"]}],"mendeley":{"formattedCitation":"(35,36)","plainTextFormattedCitation":"(35,36)","previouslyFormattedCitation":"(34,35)"},"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(35,36)</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the</w:t>
      </w:r>
      <w:r w:rsidR="00691C98" w:rsidRPr="00C91EF0">
        <w:rPr>
          <w:rFonts w:asciiTheme="minorHAnsi" w:hAnsiTheme="minorHAnsi" w:cstheme="minorHAnsi"/>
          <w:sz w:val="22"/>
          <w:szCs w:val="22"/>
          <w:lang w:val="en-GB" w:eastAsia="nb-NO"/>
        </w:rPr>
        <w:t xml:space="preserve"> </w:t>
      </w:r>
      <w:r w:rsidRPr="00C91EF0">
        <w:rPr>
          <w:rFonts w:asciiTheme="minorHAnsi" w:hAnsiTheme="minorHAnsi" w:cstheme="minorHAnsi"/>
          <w:sz w:val="22"/>
          <w:szCs w:val="22"/>
          <w:lang w:val="en-GB" w:eastAsia="nb-NO"/>
        </w:rPr>
        <w:t>Drug Burden Index (DBI</w:t>
      </w:r>
      <w:r w:rsidR="00FF0230" w:rsidRPr="00C91EF0">
        <w:rPr>
          <w:rFonts w:asciiTheme="minorHAnsi" w:hAnsiTheme="minorHAnsi" w:cstheme="minorHAnsi"/>
          <w:sz w:val="22"/>
          <w:szCs w:val="22"/>
          <w:lang w:val="en-GB" w:eastAsia="nb-NO"/>
        </w:rPr>
        <w:t>) as a count variable</w:t>
      </w:r>
      <w:r w:rsidR="00ED0FD9" w:rsidRPr="00C91EF0">
        <w:rPr>
          <w:rFonts w:asciiTheme="minorHAnsi" w:hAnsiTheme="minorHAnsi" w:cstheme="minorHAnsi"/>
          <w:sz w:val="22"/>
          <w:szCs w:val="22"/>
          <w:lang w:val="en-GB" w:eastAsia="nb-NO"/>
        </w:rPr>
        <w:t xml:space="preserve"> (</w:t>
      </w:r>
      <w:r w:rsidR="00691C98" w:rsidRPr="00C91EF0">
        <w:rPr>
          <w:rFonts w:asciiTheme="minorHAnsi" w:hAnsiTheme="minorHAnsi" w:cstheme="minorHAnsi"/>
          <w:sz w:val="22"/>
          <w:szCs w:val="22"/>
          <w:lang w:val="en-GB" w:eastAsia="nb-NO"/>
        </w:rPr>
        <w:t xml:space="preserve">as </w:t>
      </w:r>
      <w:r w:rsidR="00D453DB">
        <w:rPr>
          <w:rFonts w:asciiTheme="minorHAnsi" w:hAnsiTheme="minorHAnsi" w:cstheme="minorHAnsi"/>
          <w:sz w:val="22"/>
          <w:szCs w:val="22"/>
          <w:lang w:val="en-GB" w:eastAsia="nb-NO"/>
        </w:rPr>
        <w:t xml:space="preserve">the </w:t>
      </w:r>
      <w:r w:rsidR="00691C98" w:rsidRPr="00C91EF0">
        <w:rPr>
          <w:rFonts w:asciiTheme="minorHAnsi" w:hAnsiTheme="minorHAnsi" w:cstheme="minorHAnsi"/>
          <w:sz w:val="22"/>
          <w:szCs w:val="22"/>
          <w:lang w:val="en-GB" w:eastAsia="nb-NO"/>
        </w:rPr>
        <w:t xml:space="preserve">dosage </w:t>
      </w:r>
      <w:r w:rsidR="00D453DB">
        <w:rPr>
          <w:rFonts w:asciiTheme="minorHAnsi" w:hAnsiTheme="minorHAnsi" w:cstheme="minorHAnsi"/>
          <w:sz w:val="22"/>
          <w:szCs w:val="22"/>
          <w:lang w:val="en-GB" w:eastAsia="nb-NO"/>
        </w:rPr>
        <w:t xml:space="preserve">that would have allowed </w:t>
      </w:r>
      <w:r w:rsidR="00D453DB" w:rsidRPr="00C91EF0">
        <w:rPr>
          <w:rFonts w:asciiTheme="minorHAnsi" w:hAnsiTheme="minorHAnsi" w:cstheme="minorHAnsi"/>
          <w:sz w:val="22"/>
          <w:szCs w:val="22"/>
          <w:lang w:val="en-GB" w:eastAsia="nb-NO"/>
        </w:rPr>
        <w:t xml:space="preserve">the calculation of the index score </w:t>
      </w:r>
      <w:r w:rsidR="00691C98" w:rsidRPr="00C91EF0">
        <w:rPr>
          <w:rFonts w:asciiTheme="minorHAnsi" w:hAnsiTheme="minorHAnsi" w:cstheme="minorHAnsi"/>
          <w:sz w:val="22"/>
          <w:szCs w:val="22"/>
          <w:lang w:val="en-GB" w:eastAsia="nb-NO"/>
        </w:rPr>
        <w:t>was not available in the majority of IPD</w:t>
      </w:r>
      <w:r w:rsidR="00FF0230" w:rsidRPr="00C91EF0">
        <w:rPr>
          <w:rFonts w:asciiTheme="minorHAnsi" w:hAnsiTheme="minorHAnsi" w:cstheme="minorHAnsi"/>
          <w:sz w:val="22"/>
          <w:szCs w:val="22"/>
          <w:lang w:val="en-GB" w:eastAsia="nb-NO"/>
        </w:rPr>
        <w:t xml:space="preserve">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{"citationItems":[{"id":"ITEM-1","itemData":{"DOI":"10.1016/j.amjmed.2009.02.021","ISSN":"1555-7162","PMID":"19958893","abstract":"BACKGROUND The Drug Burden Index (DBI), a measure of exposure to anticholinergic and sedative medications, has been independently associated with physical and cognitive function in a cross-sectional analysis of community-dwelling older persons participating in the Health, Aging and Body Composition study. Here we evaluate the association between DBI and functional outcomes in Health, Aging and Body Composition study participants over 5 years. METHODS DBI was calculated at years 1 (baseline), 3, and 5, and a measure of the area under the curve for DBI (AUCDB) over the whole study period was devised and calculated. Physical performance was measured using the short physical performance battery, usual gait speed, and grip strength. The association of DBI at each time point and AUCDB with year 6 function was analyzed in data from participants with longitudinal functional measures, controlling for sociodemographics, comorbidities, and baseline function. RESULTS Higher DBI at years 1, 3, and 5 was consistently associated with poorer function at year 6. On multivariate analysis, a 1-unit increase in AUCDB predicted decreases in short physical performance battery score of .08 (P=.01), gait speed of .01 m/s (P=.004), and grip strength of .27 kg (P=.004) at year 6. CONCLUSION Increasing exposure to medication with anticholinergic and sedative effects, measured with DBI, is associated with lower objective physical function over 5 years in community-dwelling older people.","author":[{"dropping-particle":"","family":"Hilmer","given":"Sarah N","non-dropping-particle":"","parse-names":false,"suffix":""},{"dropping-particle":"","family":"Mager","given":"Donald E","non-dropping-particle":"","parse-names":false,"suffix":""},{"dropping-particle":"","family":"Simonsick","given":"Eleanor M","non-dropping-particle":"","parse-names":false,"suffix":""},{"dropping-particle":"","family":"Ling","given":"Shari M","non-dropping-particle":"","parse-names":false,"suffix":""},{"dropping-particle":"","family":"Windham","given":"B Gwen","non-dropping-particle":"","parse-names":false,"suffix":""},{"dropping-particle":"","family":"Harris","given":"Tamara B","non-dropping-particle":"","parse-names":false,"suffix":""},{"dropping-particle":"","family":"Shorr","given":"Ronald I","non-dropping-particle":"","parse-names":false,"suffix":""},{"dropping-particle":"","family":"Bauer","given":"Douglas C","non-dropping-particle":"","parse-names":false,"suffix":""},{"dropping-particle":"","family":"Abernethy","given":"Darrell R","non-dropping-particle":"","parse-names":false,"suffix":""},{"dropping-particle":"","family":"Health ABC Study","given":"","non-dropping-particle":"","parse-names":false,"suffix":""}],"container-title":"The American journal of medicine","id":"ITEM-1","issue":"12","issued":{"date-parts":[["2009","12"]]},"page":"1142-1149.e1-2","title":"Drug burden index score and functional decline in older people.","type":"article-journal","volume":"122"},"uris":["http://www.mendeley.com/documents/?uuid=75be83c2-7ea1-4b00-844d-381495e363a9"]},{"id":"ITEM-2","itemData":{"DOI":"10.1038/sj.clpt.6100303","ISSN":"1532-6535","PMID":"17713474","abstract":"Polypharmacy, common in older people, confers both risk of adverse outcomes and benefits. We assessed the relationship of commonly prescribed medications with anticholinergic and sedative effects to physical and cognitive performance in older individuals. The study population comprised 932 moderately to severely disabled community-resident women aged 65 years or older who were participants in the Women's Health and Aging Study I. A scale based on pharmacodynamic principles was developed and utilized as a measure of drug burden. This was related to measures of physical and cognitive function. After adjusting for demographics and comorbidities, anticholinergic drug burden was independently associated with greater difficulty in four physical function domains with adjusted odds ratios (95% confidence interval (CI)) of 4.9 (2.0-12.0) for balance difficulty; 3.2 (1.5-6.9) for mobility difficulty; 3.6 (1.6-8.0) for slow gait; 4.2 (2.0-8.7) for chair stands difficulty; 2.4 (1.1-5.3) for weak grip strength; 2.7 (1.3-5.4) for upper extremity limitations; 3.4 (1.7-6.9) for difficulty in activities of daily living; and 2.4 (95% CI, 1.1-5.1) for poor performance on the Mini-Mental State Examination. Sedative burden was associated only with impaired grip strength (3.3 (1.5-7.3)) and mobility difficulty (2.4 (1.1-5.3)). The burden of multiple drugs can be quantified by incorporating the recommended dose regimen and the actual dose and frequency of drug taken. Anticholinergic drug burden is strongly associated with limitations in physical and cognitive function. Sedative burden is associated with impaired functioning in more limited domains. The risk associated with exposure of vulnerable older women to drugs with anticholinergic properties, and to a lesser extent those with sedative properties, implies that such drugs should not be used in this patient group without compelling clinical indication.","author":[{"dropping-particle":"","family":"Cao","given":"Y-J","non-dropping-particle":"","parse-names":false,"suffix":""},{"dropping-particle":"","family":"Mager","given":"D E","non-dropping-particle":"","parse-names":false,"suffix":""},{"dropping-particle":"","family":"Simonsick","given":"E M","non-dropping-particle":"","parse-names":false,"suffix":""},{"dropping-particle":"","family":"Hilmer","given":"S N","non-dropping-particle":"","parse-names":false,"suffix":""},{"dropping-particle":"","family":"Ling","given":"S M","non-dropping-particle":"","parse-names":false,"suffix":""},{"dropping-particle":"","family":"Windham","given":"B G","non-dropping-particle":"","parse-names":false,"suffix":""},{"dropping-particle":"","family":"Crentsil","given":"V","non-dropping-particle":"","parse-names":false,"suffix":""},{"dropping-particle":"","family":"Yasar","given":"S","non-dropping-particle":"","parse-names":false,"suffix":""},{"dropping-particle":"","family":"Fried","given":"L P","non-dropping-particle":"","parse-names":false,"suffix":""},{"dropping-particle":"","family":"Abernethy","given":"D R","non-dropping-particle":"","parse-names":false,"suffix":""}],"container-title":"Clinical pharmacology and therapeutics","id":"ITEM-2","issue":"3","issued":{"date-parts":[["2008","3"]]},"page":"422-9","title":"Physical and cognitive performance and burden of anticholinergics, sedatives, and ACE inhibitors in older women.","type":"article-journal","volume":"83"},"uris":["http://www.mendeley.com/documents/?uuid=d1ba52c1-ade4-49f8-b769-7b11f0256a48"]},{"id":"ITEM-3","itemData":{"DOI":"10.1001/archinte.167.8.781","ISSN":"0003-9926","author":[{"dropping-particle":"","family":"Hilmer","given":"Sarah N.","non-dropping-particle":"","parse-names":false,"suffix":""}],"container-title":"Archives of Internal Medicine","id":"ITEM-3","issue":"8","issued":{"date-parts":[["2007","4","23"]]},"page":"781","title":"A drug burden index to define the functional burden of medications in older people","type":"article-journal","volume":"167"},"uris":["http://www.mendeley.com/documents/?uuid=f15f9356-b7be-40d7-b5ab-94fb8e3d974f"]}],"mendeley":{"formattedCitation":"(37–39)","plainTextFormattedCitation":"(37–39)","previouslyFormattedCitation":"(36–38)"},"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(37–39)</w:t>
      </w:r>
      <w:r w:rsidR="00776DB8" w:rsidRPr="00C91EF0">
        <w:rPr>
          <w:rFonts w:asciiTheme="minorHAnsi" w:hAnsiTheme="minorHAnsi" w:cstheme="minorHAnsi"/>
          <w:sz w:val="22"/>
          <w:szCs w:val="22"/>
          <w:lang w:val="en-GB" w:eastAsia="nb-NO"/>
        </w:rPr>
        <w:fldChar w:fldCharType="end"/>
      </w:r>
      <w:r w:rsidR="00ED0FD9" w:rsidRPr="00C91EF0">
        <w:rPr>
          <w:rFonts w:asciiTheme="minorHAnsi" w:hAnsiTheme="minorHAnsi" w:cstheme="minorHAnsi"/>
          <w:sz w:val="22"/>
          <w:szCs w:val="22"/>
          <w:lang w:val="en-GB" w:eastAsia="nb-NO"/>
        </w:rPr>
        <w:t>)</w:t>
      </w:r>
      <w:r w:rsidR="00167FB0" w:rsidRPr="00C91EF0">
        <w:rPr>
          <w:rFonts w:asciiTheme="minorHAnsi" w:hAnsiTheme="minorHAnsi" w:cstheme="minorHAnsi"/>
          <w:sz w:val="22"/>
          <w:szCs w:val="22"/>
          <w:lang w:val="en-GB" w:eastAsia="nb-NO"/>
        </w:rPr>
        <w:t>,</w:t>
      </w:r>
      <w:r w:rsidRPr="00C91EF0">
        <w:rPr>
          <w:rFonts w:asciiTheme="minorHAnsi" w:hAnsiTheme="minorHAnsi" w:cstheme="minorHAnsi"/>
          <w:sz w:val="22"/>
          <w:szCs w:val="22"/>
          <w:lang w:val="en-GB" w:eastAsia="nb-NO"/>
        </w:rPr>
        <w:t xml:space="preserve"> and Anticholinergic Drug Burden </w:t>
      </w:r>
      <w:r w:rsidR="00F522A8" w:rsidRPr="00C91EF0">
        <w:rPr>
          <w:rFonts w:asciiTheme="minorHAnsi" w:hAnsiTheme="minorHAnsi" w:cstheme="minorHAnsi"/>
          <w:sz w:val="22"/>
          <w:szCs w:val="22"/>
          <w:lang w:val="en-GB" w:eastAsia="nb-NO"/>
        </w:rPr>
        <w:t>(ADB)</w:t>
      </w:r>
      <w:r w:rsidRPr="00C91EF0">
        <w:rPr>
          <w:rFonts w:asciiTheme="minorHAnsi" w:hAnsiTheme="minorHAnsi" w:cstheme="minorHAnsi"/>
          <w:sz w:val="22"/>
          <w:szCs w:val="22"/>
          <w:lang w:val="en-GB" w:eastAsia="nb-NO"/>
        </w:rPr>
        <w:t xml:space="preserve">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{"citationItems":[{"id":"ITEM-1","itemData":{"DOI":"10.1007/s00228-013-1499-3","ISSN":"1432-1041","PMID":"23529548","abstract":"BACKGROUND Anticholinergic drugs are often involved in explicit criteria for inappropriate prescribing in older adults. Several scales were developed for screening of anticholinergic drugs and estimation of the anticholinergic burden. However, variation exists in scale development, in the selection of anticholinergic drugs, and the evaluation of their anticholinergic load. This study aims to systematically review existing anticholinergic risk scales, and to develop a uniform list of anticholinergic drugs differentiating for anticholinergic potency. METHODS We performed a systematic search in MEDLINE. Studies were included if provided (1) a finite list of anticholinergic drugs; (2) a grading score of anticholinergic potency and, (3) a validation in a clinical or experimental setting. We listed anticholinergic drugs for which there was agreement in the different scales. In case of discrepancies between scores we used a reputed reference source (Martindale: The Complete Drug Reference®) to take a final decision about the anticholinergic activity of the drug. RESULTS We included seven risk scales, and evaluated 225 different drugs. Hundred drugs were listed as having clinically relevant anticholinergic properties (47 high potency and 53 low potency), to be included in screening software for anticholinergic burden. CONCLUSION Considerable variation exists among anticholinergic risk scales, in terms of selection of specific drugs, as well as of grading of anticholinergic potency. Our selection of 100 drugs with clinically relevant anticholinergic properties needs to be supplemented with validated information on dosing and route of administration for a full estimation of the anticholinergic burden in poly-medicated older adults.","author":[{"dropping-particle":"","family":"Durán","given":"Carlos E","non-dropping-particle":"","parse-names":false,"suffix":""},{"dropping-particle":"","family":"Azermai","given":"Majda","non-dropping-particle":"","parse-names":false,"suffix":""},{"dropping-particle":"","family":"Stichele","given":"Robert H","non-dropping-particle":"Vander","parse-names":false,"suffix":""}],"container-title":"European journal of clinical pharmacology","id":"ITEM-1","issue":"7","issued":{"date-parts":[["2013","7"]]},"page":"1485-96","title":"Systematic review of anticholinergic risk scales in older adults.","type":"article-journal","volume":"69"},"uris":["http://www.mendeley.com/documents/?uuid=508aa6b9-f428-4e0b-a430-decb064bb43b"]}],"mendeley":{"formattedCitation":"(40)","plainTextFormattedCitation":"(40)","previouslyFormattedCitation":"(39)"},"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(40)</w:t>
      </w:r>
      <w:r w:rsidR="00776DB8" w:rsidRPr="00C91EF0">
        <w:rPr>
          <w:rFonts w:asciiTheme="minorHAnsi" w:hAnsiTheme="minorHAnsi" w:cstheme="minorHAnsi"/>
          <w:sz w:val="22"/>
          <w:szCs w:val="22"/>
          <w:lang w:val="en-GB" w:eastAsia="nb-NO"/>
        </w:rPr>
        <w:fldChar w:fldCharType="end"/>
      </w:r>
      <w:r w:rsidR="00B55856" w:rsidRPr="00C91EF0">
        <w:rPr>
          <w:rFonts w:asciiTheme="minorHAnsi" w:hAnsiTheme="minorHAnsi" w:cstheme="minorHAnsi"/>
          <w:sz w:val="22"/>
          <w:szCs w:val="22"/>
          <w:lang w:val="en-GB" w:eastAsia="nb-NO"/>
        </w:rPr>
        <w:t xml:space="preserve">. </w:t>
      </w:r>
    </w:p>
    <w:p w14:paraId="62312660" w14:textId="77777777" w:rsidR="00F522A8" w:rsidRPr="000363B5" w:rsidRDefault="00F522A8" w:rsidP="009107F7">
      <w:pPr>
        <w:spacing w:line="480" w:lineRule="auto"/>
        <w:rPr>
          <w:rFonts w:asciiTheme="minorHAnsi" w:hAnsiTheme="minorHAnsi" w:cstheme="minorHAnsi"/>
          <w:i/>
          <w:sz w:val="22"/>
          <w:szCs w:val="22"/>
          <w:lang w:val="en-GB" w:eastAsia="nb-NO"/>
        </w:rPr>
      </w:pPr>
      <w:r w:rsidRPr="000363B5">
        <w:rPr>
          <w:rFonts w:asciiTheme="minorHAnsi" w:hAnsiTheme="minorHAnsi" w:cstheme="minorHAnsi"/>
          <w:i/>
          <w:sz w:val="22"/>
          <w:szCs w:val="22"/>
          <w:lang w:val="en-GB" w:eastAsia="nb-NO"/>
        </w:rPr>
        <w:t>Functional status and well-being</w:t>
      </w:r>
    </w:p>
    <w:p w14:paraId="129A2D7C" w14:textId="3BDCC6EE" w:rsidR="005856EE" w:rsidRPr="00C91EF0" w:rsidRDefault="00F522A8" w:rsidP="009107F7">
      <w:pPr>
        <w:spacing w:line="480" w:lineRule="auto"/>
        <w:rPr>
          <w:rFonts w:asciiTheme="minorHAnsi" w:hAnsiTheme="minorHAnsi" w:cstheme="minorHAnsi"/>
          <w:sz w:val="22"/>
          <w:szCs w:val="22"/>
          <w:lang w:val="en-GB" w:eastAsia="nb-NO"/>
        </w:rPr>
      </w:pPr>
      <w:r w:rsidRPr="00C91EF0">
        <w:rPr>
          <w:rFonts w:asciiTheme="minorHAnsi" w:hAnsiTheme="minorHAnsi" w:cstheme="minorHAnsi"/>
          <w:sz w:val="22"/>
          <w:szCs w:val="22"/>
          <w:lang w:val="en-GB" w:eastAsia="nb-NO"/>
        </w:rPr>
        <w:t xml:space="preserve">Trials </w:t>
      </w:r>
      <w:r w:rsidR="00D453DB">
        <w:rPr>
          <w:rFonts w:asciiTheme="minorHAnsi" w:hAnsiTheme="minorHAnsi" w:cstheme="minorHAnsi"/>
          <w:sz w:val="22"/>
          <w:szCs w:val="22"/>
          <w:lang w:val="en-GB" w:eastAsia="nb-NO"/>
        </w:rPr>
        <w:t xml:space="preserve">used various instruments to measure </w:t>
      </w:r>
      <w:r w:rsidRPr="00C91EF0">
        <w:rPr>
          <w:rFonts w:asciiTheme="minorHAnsi" w:hAnsiTheme="minorHAnsi" w:cstheme="minorHAnsi"/>
          <w:sz w:val="22"/>
          <w:szCs w:val="22"/>
          <w:lang w:val="en-GB" w:eastAsia="nb-NO"/>
        </w:rPr>
        <w:t xml:space="preserve">functional status such as the Katz-15 (combination of KATZ-6 and Lawton IADL) questionnaire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{"citationItems":[{"id":"ITEM-1","itemData":{"DOI":"10.1093/heapol/czr047","ISSN":"1460-2237","PMID":"21729911","abstract":"This article reviews the theoretical basis and methods for disability measurement. Different methods arise from different theoretical perspectives. Recent efforts to develop a general international disability measure consistent with the social model of disability aim to produce an internationally comparable measure of disability with which to assess the equalisation of opportunities. Such a measure cannot consistently identify disabled people in need of health and social services. Correctly identifying those in need of these services particularly concerns developing countries where government revenues and disability services are severely limited. This review highlights the need for multiple disability measures to meet different purposes of measurement. The Washington Group general measure on disability and Katz's Activities of Daily Living Index are recommended as valid measures of varying functioning level consistent with the International Classification of Functioning, Disability and Health.","author":[{"dropping-particle":"","family":"Palmer","given":"Michael","non-dropping-particle":"","parse-names":false,"suffix":""},{"dropping-particle":"","family":"Harley","given":"David","non-dropping-particle":"","parse-names":false,"suffix":""}],"container-title":"Health policy and planning","id":"ITEM-1","issue":"5","issued":{"date-parts":[["2012","8"]]},"page":"357-64","title":"Models and measurement in disability: an international review.","type":"article-journal","volume":"27"},"uris":["http://www.mendeley.com/documents/?uuid=25fec5ef-dcdf-4733-8d03-1cea6b5268ef"]}],"mendeley":{"formattedCitation":"(41)","plainTextFormattedCitation":"(41)","previouslyFormattedCitation":"(40)"},"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(41)</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the 13-item vulnerable elderly survey (VES-13)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{"citationItems":[{"id":"ITEM-1","itemData":{"ISSN":"0002-8614","PMID":"11844005","abstract":"OBJECTIVES To develop a simple method for identifying community-dwelling vulnerable older people, defined as persons age 65 and older at increased risk of death or functional decline. To assess whether self-reported diagnoses and conditions add predictive ability to a function-based survey. DESIGN Analysis of longitudinal survey data. SETTING A nationally representative community-based survey. PARTICIPANTS Six thousand two hundred five Medicare beneficiaries age 65 and older. MEASUREMENTS Bivariate and multivariate analyses of the Medicare Current Beneficiary Survey; development and comparison of scoring systems that use age, function, and self-reported diagnoses to predict future death and functional decline. RESULTS A multivariate model using function, self-rated health, and age to predict death or functional decline was only slightly improved when self-reported diagnoses and conditions were included as predictors and was significantly better than a model using age plus self-reported diagnoses alone. These analyses provide the basis for a 13-item function-based scoring system that considers age, self-rated health, limitation in physical function, and functional disabilities. A score of &gt;or=3 targeted 32% of this nationally representative sample as vulnerable. This targeted group had 4.2 times the risk of death or functional decline over a 2-year period compared with those with scores &lt;3. The receiver operating characteristics curve had an area of.78. An alternative scoring system that included self-reported diagnoses did not substantially improve predictive ability when compared with a function-based scoring system. CONCLUSIONS A function-based targeting system effectively and efficiently identifies older people at risk of functional decline and death. Self-reported diagnoses and conditions, when added to the system, do not enhance predictive ability. The function-based targeting system relies on self-report and is easily transported across care settings.","author":[{"dropping-particle":"","family":"Saliba","given":"D","non-dropping-particle":"","parse-names":false,"suffix":""},{"dropping-particle":"","family":"Elliott","given":"M","non-dropping-particle":"","parse-names":false,"suffix":""},{"dropping-particle":"","family":"Rubenstein","given":"L Z","non-dropping-particle":"","parse-names":false,"suffix":""},{"dropping-particle":"","family":"Solomon","given":"D H","non-dropping-particle":"","parse-names":false,"suffix":""},{"dropping-particle":"","family":"Young","given":"R T","non-dropping-particle":"","parse-names":false,"suffix":""},{"dropping-particle":"","family":"Kamberg","given":"C J","non-dropping-particle":"","parse-names":false,"suffix":""},{"dropping-particle":"","family":"Roth","given":"C","non-dropping-particle":"","parse-names":false,"suffix":""},{"dropping-particle":"","family":"MacLean","given":"C H","non-dropping-particle":"","parse-names":false,"suffix":""},{"dropping-particle":"","family":"Shekelle","given":"P G","non-dropping-particle":"","parse-names":false,"suffix":""},{"dropping-particle":"","family":"Sloss","given":"E M","non-dropping-particle":"","parse-names":false,"suffix":""},{"dropping-particle":"","family":"Wenger","given":"N S","non-dropping-particle":"","parse-names":false,"suffix":""}],"container-title":"Journal of the American Geriatrics Society","id":"ITEM-1","issue":"12","issued":{"date-parts":[["2001","12"]]},"page":"1691-9","title":"The Vulnerable Elders Survey: a tool for identifying vulnerable older people in the community.","type":"article-journal","volume":"49"},"uris":["http://www.mendeley.com/documents/?uuid=c9558d5f-f56a-424f-a2e9-542978eba811"]}],"mendeley":{"formattedCitation":"(42)","plainTextFormattedCitation":"(42)","previouslyFormattedCitation":"(41)"},"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(42)</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and the Geriatric Giants VAS (GGV) scale (0-10)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{"citationItems":[{"id":"ITEM-1","itemData":{"author":[{"dropping-particle":"","family":"Isaacs","given":"B","non-dropping-particle":"","parse-names":false,"suffix":""}],"id":"ITEM-1","issued":{"date-parts":[["1965"]]},"publisher":"Bailliere, Tindall &amp; Cassell","publisher-place":"London","title":"An Introduction to Geriatrics","type":"book"},"uris":["http://www.mendeley.com/documents/?uuid=1ada6f59-8cd8-4340-bd7e-3c75e517c119"]}],"mendeley":{"formattedCitation":"(43)","plainTextFormattedCitation":"(43)","previouslyFormattedCitation":"(42)"},"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(43)</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developed </w:t>
      </w:r>
      <w:r w:rsidRPr="00C91EF0">
        <w:rPr>
          <w:rFonts w:asciiTheme="minorHAnsi" w:hAnsiTheme="minorHAnsi" w:cstheme="minorHAnsi"/>
          <w:i/>
          <w:sz w:val="22"/>
          <w:szCs w:val="22"/>
          <w:lang w:val="en-GB" w:eastAsia="nb-NO"/>
        </w:rPr>
        <w:t>ad hoc</w:t>
      </w:r>
      <w:r w:rsidRPr="00C91EF0">
        <w:rPr>
          <w:rFonts w:asciiTheme="minorHAnsi" w:hAnsiTheme="minorHAnsi" w:cstheme="minorHAnsi"/>
          <w:sz w:val="22"/>
          <w:szCs w:val="22"/>
          <w:lang w:val="en-GB" w:eastAsia="nb-NO"/>
        </w:rPr>
        <w:t xml:space="preserve"> by one of the trials (Opti-Med). </w:t>
      </w:r>
      <w:r w:rsidR="00800480">
        <w:rPr>
          <w:rFonts w:asciiTheme="minorHAnsi" w:hAnsiTheme="minorHAnsi" w:cstheme="minorHAnsi"/>
          <w:sz w:val="22"/>
          <w:szCs w:val="22"/>
          <w:lang w:val="en-GB" w:eastAsia="nb-NO"/>
        </w:rPr>
        <w:t xml:space="preserve">To </w:t>
      </w:r>
      <w:r w:rsidR="00CC48DB" w:rsidRPr="00C91EF0">
        <w:rPr>
          <w:rFonts w:asciiTheme="minorHAnsi" w:hAnsiTheme="minorHAnsi" w:cstheme="minorHAnsi"/>
          <w:sz w:val="22"/>
          <w:szCs w:val="22"/>
          <w:lang w:val="en-GB" w:eastAsia="nb-NO"/>
        </w:rPr>
        <w:t>standardize the</w:t>
      </w:r>
      <w:r w:rsidR="00D453DB">
        <w:rPr>
          <w:rFonts w:asciiTheme="minorHAnsi" w:hAnsiTheme="minorHAnsi" w:cstheme="minorHAnsi"/>
          <w:sz w:val="22"/>
          <w:szCs w:val="22"/>
          <w:lang w:val="en-GB" w:eastAsia="nb-NO"/>
        </w:rPr>
        <w:t xml:space="preserve"> </w:t>
      </w:r>
      <w:r w:rsidR="00135006">
        <w:rPr>
          <w:rFonts w:asciiTheme="minorHAnsi" w:hAnsiTheme="minorHAnsi" w:cstheme="minorHAnsi"/>
          <w:sz w:val="22"/>
          <w:szCs w:val="22"/>
          <w:lang w:val="en-GB" w:eastAsia="nb-NO"/>
        </w:rPr>
        <w:t>metrics</w:t>
      </w:r>
      <w:r w:rsidR="00D453DB">
        <w:rPr>
          <w:rFonts w:asciiTheme="minorHAnsi" w:hAnsiTheme="minorHAnsi" w:cstheme="minorHAnsi"/>
          <w:sz w:val="22"/>
          <w:szCs w:val="22"/>
          <w:lang w:val="en-GB" w:eastAsia="nb-NO"/>
        </w:rPr>
        <w:t xml:space="preserve"> used in the</w:t>
      </w:r>
      <w:r w:rsidR="00CC48DB" w:rsidRPr="00C91EF0">
        <w:rPr>
          <w:rFonts w:asciiTheme="minorHAnsi" w:hAnsiTheme="minorHAnsi" w:cstheme="minorHAnsi"/>
          <w:sz w:val="22"/>
          <w:szCs w:val="22"/>
          <w:lang w:val="en-GB" w:eastAsia="nb-NO"/>
        </w:rPr>
        <w:t xml:space="preserve"> </w:t>
      </w:r>
      <w:r w:rsidR="00D453DB">
        <w:rPr>
          <w:rFonts w:asciiTheme="minorHAnsi" w:hAnsiTheme="minorHAnsi" w:cstheme="minorHAnsi"/>
          <w:sz w:val="22"/>
          <w:szCs w:val="22"/>
          <w:lang w:val="en-GB" w:eastAsia="nb-NO"/>
        </w:rPr>
        <w:t xml:space="preserve">scales of the </w:t>
      </w:r>
      <w:r w:rsidR="00CC48DB" w:rsidRPr="00C91EF0">
        <w:rPr>
          <w:rFonts w:asciiTheme="minorHAnsi" w:hAnsiTheme="minorHAnsi" w:cstheme="minorHAnsi"/>
          <w:sz w:val="22"/>
          <w:szCs w:val="22"/>
          <w:lang w:val="en-GB" w:eastAsia="nb-NO"/>
        </w:rPr>
        <w:t>instruments</w:t>
      </w:r>
      <w:r w:rsidR="00D453DB">
        <w:rPr>
          <w:rFonts w:asciiTheme="minorHAnsi" w:hAnsiTheme="minorHAnsi" w:cstheme="minorHAnsi"/>
          <w:sz w:val="22"/>
          <w:szCs w:val="22"/>
          <w:lang w:val="en-GB" w:eastAsia="nb-NO"/>
        </w:rPr>
        <w:t xml:space="preserve"> employed </w:t>
      </w:r>
      <w:r w:rsidR="00CC48DB" w:rsidRPr="00C91EF0">
        <w:rPr>
          <w:rFonts w:asciiTheme="minorHAnsi" w:hAnsiTheme="minorHAnsi" w:cstheme="minorHAnsi"/>
          <w:sz w:val="22"/>
          <w:szCs w:val="22"/>
          <w:lang w:val="en-GB" w:eastAsia="nb-NO"/>
        </w:rPr>
        <w:t>in the different</w:t>
      </w:r>
      <w:r w:rsidRPr="00C91EF0">
        <w:rPr>
          <w:rFonts w:asciiTheme="minorHAnsi" w:hAnsiTheme="minorHAnsi" w:cstheme="minorHAnsi"/>
          <w:sz w:val="22"/>
          <w:szCs w:val="22"/>
          <w:lang w:val="en-GB" w:eastAsia="nb-NO"/>
        </w:rPr>
        <w:t xml:space="preserve"> trials</w:t>
      </w:r>
      <w:r w:rsidR="00800480">
        <w:rPr>
          <w:rFonts w:asciiTheme="minorHAnsi" w:hAnsiTheme="minorHAnsi" w:cstheme="minorHAnsi"/>
          <w:sz w:val="22"/>
          <w:szCs w:val="22"/>
          <w:lang w:val="en-GB" w:eastAsia="nb-NO"/>
        </w:rPr>
        <w:t>, n</w:t>
      </w:r>
      <w:r w:rsidR="00124A16" w:rsidRPr="00C91EF0">
        <w:rPr>
          <w:rFonts w:asciiTheme="minorHAnsi" w:hAnsiTheme="minorHAnsi" w:cstheme="minorHAnsi"/>
          <w:sz w:val="22"/>
          <w:szCs w:val="22"/>
          <w:lang w:val="en-GB" w:eastAsia="nb-NO"/>
        </w:rPr>
        <w:t xml:space="preserve">umerical values </w:t>
      </w:r>
      <w:r w:rsidR="00C739D7" w:rsidRPr="00C91EF0">
        <w:rPr>
          <w:rFonts w:asciiTheme="minorHAnsi" w:hAnsiTheme="minorHAnsi" w:cstheme="minorHAnsi"/>
          <w:sz w:val="22"/>
          <w:szCs w:val="22"/>
          <w:lang w:val="en-GB" w:eastAsia="nb-NO"/>
        </w:rPr>
        <w:t>were</w:t>
      </w:r>
      <w:r w:rsidR="00124A16" w:rsidRPr="00C91EF0">
        <w:rPr>
          <w:rFonts w:asciiTheme="minorHAnsi" w:hAnsiTheme="minorHAnsi" w:cstheme="minorHAnsi"/>
          <w:sz w:val="22"/>
          <w:szCs w:val="22"/>
          <w:lang w:val="en-GB" w:eastAsia="nb-NO"/>
        </w:rPr>
        <w:t xml:space="preserve"> subtracted from their overall mean (i.e., centred) and subsequently d</w:t>
      </w:r>
      <w:r w:rsidR="00C739D7" w:rsidRPr="00C91EF0">
        <w:rPr>
          <w:rFonts w:asciiTheme="minorHAnsi" w:hAnsiTheme="minorHAnsi" w:cstheme="minorHAnsi"/>
          <w:sz w:val="22"/>
          <w:szCs w:val="22"/>
          <w:lang w:val="en-GB" w:eastAsia="nb-NO"/>
        </w:rPr>
        <w:t>i</w:t>
      </w:r>
      <w:r w:rsidR="00124A16" w:rsidRPr="00C91EF0">
        <w:rPr>
          <w:rFonts w:asciiTheme="minorHAnsi" w:hAnsiTheme="minorHAnsi" w:cstheme="minorHAnsi"/>
          <w:sz w:val="22"/>
          <w:szCs w:val="22"/>
          <w:lang w:val="en-GB" w:eastAsia="nb-NO"/>
        </w:rPr>
        <w:t>vided by their standard deviation</w:t>
      </w:r>
      <w:r w:rsidR="00800480">
        <w:rPr>
          <w:rFonts w:asciiTheme="minorHAnsi" w:hAnsiTheme="minorHAnsi" w:cstheme="minorHAnsi"/>
          <w:sz w:val="22"/>
          <w:szCs w:val="22"/>
          <w:lang w:val="en-GB" w:eastAsia="nb-NO"/>
        </w:rPr>
        <w:t>s</w:t>
      </w:r>
      <w:r w:rsidR="00124A16" w:rsidRPr="00C91EF0">
        <w:rPr>
          <w:rFonts w:asciiTheme="minorHAnsi" w:hAnsiTheme="minorHAnsi" w:cstheme="minorHAnsi"/>
          <w:sz w:val="22"/>
          <w:szCs w:val="22"/>
          <w:lang w:val="en-GB" w:eastAsia="nb-NO"/>
        </w:rPr>
        <w:t xml:space="preserve"> (i.e., scaled) to obtain comparable values that would</w:t>
      </w:r>
      <w:r w:rsidR="00800480">
        <w:rPr>
          <w:rFonts w:asciiTheme="minorHAnsi" w:hAnsiTheme="minorHAnsi" w:cstheme="minorHAnsi"/>
          <w:sz w:val="22"/>
          <w:szCs w:val="22"/>
          <w:lang w:val="en-GB" w:eastAsia="nb-NO"/>
        </w:rPr>
        <w:t>, however,</w:t>
      </w:r>
      <w:r w:rsidR="00124A16" w:rsidRPr="00C91EF0">
        <w:rPr>
          <w:rFonts w:asciiTheme="minorHAnsi" w:hAnsiTheme="minorHAnsi" w:cstheme="minorHAnsi"/>
          <w:sz w:val="22"/>
          <w:szCs w:val="22"/>
          <w:lang w:val="en-GB" w:eastAsia="nb-NO"/>
        </w:rPr>
        <w:t xml:space="preserve"> </w:t>
      </w:r>
      <w:r w:rsidR="00800480">
        <w:rPr>
          <w:rFonts w:asciiTheme="minorHAnsi" w:hAnsiTheme="minorHAnsi" w:cstheme="minorHAnsi"/>
          <w:sz w:val="22"/>
          <w:szCs w:val="22"/>
          <w:lang w:val="en-GB" w:eastAsia="nb-NO"/>
        </w:rPr>
        <w:t xml:space="preserve">require back-transformation </w:t>
      </w:r>
      <w:r w:rsidR="00124A16" w:rsidRPr="00C91EF0">
        <w:rPr>
          <w:rFonts w:asciiTheme="minorHAnsi" w:hAnsiTheme="minorHAnsi" w:cstheme="minorHAnsi"/>
          <w:sz w:val="22"/>
          <w:szCs w:val="22"/>
          <w:lang w:val="en-GB" w:eastAsia="nb-NO"/>
        </w:rPr>
        <w:t>for clinical interpretability.</w:t>
      </w:r>
    </w:p>
    <w:p w14:paraId="3FCFA425" w14:textId="73DF1933" w:rsidR="005856EE" w:rsidRPr="00C91EF0" w:rsidRDefault="005856EE" w:rsidP="009107F7">
      <w:pPr>
        <w:spacing w:line="480" w:lineRule="auto"/>
        <w:rPr>
          <w:rFonts w:asciiTheme="minorHAnsi" w:hAnsiTheme="minorHAnsi" w:cstheme="minorHAnsi"/>
          <w:sz w:val="22"/>
          <w:szCs w:val="22"/>
          <w:lang w:val="en-GB" w:eastAsia="nb-NO"/>
        </w:rPr>
      </w:pPr>
      <w:r w:rsidRPr="00C91EF0">
        <w:rPr>
          <w:rFonts w:asciiTheme="minorHAnsi" w:hAnsiTheme="minorHAnsi" w:cstheme="minorHAnsi"/>
          <w:sz w:val="22"/>
          <w:szCs w:val="22"/>
          <w:lang w:val="en-GB" w:eastAsia="nb-NO"/>
        </w:rPr>
        <w:t xml:space="preserve">The trials assessed the presence of depressive symptoms using different questionnaires (the 15-item Geriatric Depression Scale (GDS)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{"citationItems":[{"id":"ITEM-1","itemData":{"ISSN":"1041-6102","PMID":"1863703","abstract":"The Geriatric Depression Scale (GDS) is commonly used to measure depression in the elderly. However, there have been no reports of the underlying structure of the GDS. To this end, the GDS was administered to 326 community-dwelling elderly subjects, and the data were subjected to a factor analysis. A five-factor solution was selected and, after a varimax rotation, the factors that emerged could be described as: (1) sad mood, (2) lack of energy, (3) positive mood, (4) agitation, and (5) social withdrawal. This solution accounted for 42.9% of the variance. Knowledge of the factor structure should aid both clinicians and researchers in the interpretation of responses on the GDS.","author":[{"dropping-particle":"","family":"Sheikh","given":"J I","non-dropping-particle":"","parse-names":false,"suffix":""},{"dropping-particle":"","family":"Yesavage","given":"J A","non-dropping-particle":"","parse-names":false,"suffix":""},{"dropping-particle":"","family":"Brooks","given":"J O","non-dropping-particle":"","parse-names":false,"suffix":""},{"dropping-particle":"","family":"Friedman","given":"L","non-dropping-particle":"","parse-names":false,"suffix":""},{"dropping-particle":"","family":"Gratzinger","given":"P","non-dropping-particle":"","parse-names":false,"suffix":""},{"dropping-particle":"","family":"Hill","given":"R D","non-dropping-particle":"","parse-names":false,"suffix":""},{"dropping-particle":"","family":"Zadeik","given":"A","non-dropping-particle":"","parse-names":false,"suffix":""},{"dropping-particle":"","family":"Crook","given":"T","non-dropping-particle":"","parse-names":false,"suffix":""}],"container-title":"International psychogeriatrics","id":"ITEM-1","issue":"1","issued":{"date-parts":[["1991"]]},"page":"23-8","title":"Proposed factor structure of the Geriatric Depression Scale.","type":"article-journal","volume":"3"},"uris":["http://www.mendeley.com/documents/?uuid=2ece0755-6305-45a1-9b33-daa7f4b45b0d"]},{"id":"ITEM-2","itemData":{"PMID":"7183759","abstract":"A new Geriatric Depression Scale (GDS) designed specifically for rating depression in the elderly was tested for reliability and validity and compared with the Hamilton Rating Scale for Depression (HRS-D) and the Zung Self-Rating Depression Scale (SDS). In constructing the GDS a 100-item questionnaire was administered to normal and severely depressed subjects. The 30 questions most highly correlated with the total scores were then selected and readministered to new groups of elderly subjects. These subjects were classified as normal, mildly depressed or severely depressed on the basis of Research Diagnostic Criteria (RDC) for depression. The GDS, HRS-D and SDS were all found to be internally consistent measures, and each of the scales was correlated with the subject's number of RDC symptoms. However, the GDS and the HRS-D were significantly better correlated with RDC symptoms than was the SDS. The authors suggest that the GDS represents a reliable and valid self-rating depression screening scale for elderly populations.","author":[{"dropping-particle":"","family":"Yesavage","given":"J A","non-dropping-particle":"","parse-names":false,"suffix":""},{"dropping-particle":"","family":"Brink","given":"T L","non-dropping-particle":"","parse-names":false,"suffix":""},{"dropping-particle":"","family":"Rose","given":"T L","non-dropping-particle":"","parse-names":false,"suffix":""},{"dropping-particle":"","family":"Lum","given":"O","non-dropping-particle":"","parse-names":false,"suffix":""},{"dropping-particle":"","family":"Huang","given":"V","non-dropping-particle":"","parse-names":false,"suffix":""},{"dropping-particle":"","family":"Adey","given":"M","non-dropping-particle":"","parse-names":false,"suffix":""},{"dropping-particle":"","family":"Leirer","given":"V O","non-dropping-particle":"","parse-names":false,"suffix":""}],"container-title":"Journal of Psychiatric Research","id":"ITEM-2","issue":"1","issued":{"date-parts":[["1982"]]},"page":"37-49","title":"Development and validation of a geriatric depression screening scale: a preliminary report.","type":"article-journal","volume":"17"},"uris":["http://www.mendeley.com/documents/?uuid=1da27375-9e31-445a-9c3f-03cf87ae7031"]}],"mendeley":{"formattedCitation":"(44,45)","plainTextFormattedCitation":"(44,45)","previouslyFormattedCitation":"(43,44)"},"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(44,45)</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GDS-5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{"citationItems":[{"id":"ITEM-1","itemData":{"ISSN":"0002-8614","PMID":"10404935","abstract":"OBJECTIVE To develop and test the effectiveness of a 5-item version of the Geriatric Depression Scale (GDS) in screening for depression in a frail community-dwelling older population. DESIGN A cross-sectional study. SETTING A geriatric outpatient clinic at the Sepulveda VA Medical Center, Sepulveda, California. PARTICIPANTS A total of 74 frail outpatients (98.6% male, mean age 74.6) enrolled in an ongoing trial. MEASUREMENTS Subjects had a comprehensive geriatric assessment that included a structured clinical evaluation for depression with geropsychiatric consultation. A 5-item version of the GDS was created from the 15-item GDS by selecting the items with the highest Pearson chi2 correlation with clinical diagnosis of depression. Sensitivity, specificity, diagnostic accuracy, and positive and negative predictive values were calculated for the 15-item GDS and the new 5-item scale. RESULTS Subjects had a mean GDS score of 6.2 (range 0-15). Clinical evaluation found that 46% of subjects were depressed. The depressed and not depressed groups were similar with regard to demographics, mental status, educational level, and number of chronic medical conditions. Using clinical evaluation as the gold standard for depression, the 5-item GDS (compared with the 15-item GDS results shown in parentheses) had a sensitivity of .97 (.94), specificity of .85 (.83), positive predictive value of .85 (.82), negative predictive value of .97 (.94), and accuracy of .90 (.88) for predicting depression. Significant agreement was found between depression diagnosis and the 5-item GDS (kappa = 0.81). Multiple other short forms were tested, and are discussed. The mean administration times for the 5- and 15-item GDS were .9 and 2.7 minutes, respectively. CONCLUSIONS The 5-item GDS was as effective as the 15-item GDS for depression screening in this population, with a marked reduction in administration time. If validated elsewhere, it may prove to be a preferred screening test for depression.","author":[{"dropping-particle":"","family":"Hoyl","given":"M T","non-dropping-particle":"","parse-names":false,"suffix":""},{"dropping-particle":"","family":"Alessi","given":"C A","non-dropping-particle":"","parse-names":false,"suffix":""},{"dropping-particle":"","family":"Harker","given":"J O","non-dropping-particle":"","parse-names":false,"suffix":""},{"dropping-particle":"","family":"Josephson","given":"K R","non-dropping-particle":"","parse-names":false,"suffix":""},{"dropping-particle":"","family":"Pietruszka","given":"F M","non-dropping-particle":"","parse-names":false,"suffix":""},{"dropping-particle":"","family":"Koelfgen","given":"M","non-dropping-particle":"","parse-names":false,"suffix":""},{"dropping-particle":"","family":"Mervis","given":"J R","non-dropping-particle":"","parse-names":false,"suffix":""},{"dropping-particle":"","family":"Fitten","given":"L J","non-dropping-particle":"","parse-names":false,"suffix":""},{"dropping-particle":"","family":"Rubenstein","given":"L Z","non-dropping-particle":"","parse-names":false,"suffix":""}],"container-title":"Journal of the American Geriatrics Society","id":"ITEM-1","issue":"7","issued":{"date-parts":[["1999","7"]]},"page":"873-8","title":"Development and testing of a five-item version of the Geriatric Depression Scale.","type":"article-journal","volume":"47"},"uris":["http://www.mendeley.com/documents/?uuid=852b60ee-619b-479e-818c-d2d3c0976027"]}],"mendeley":{"formattedCitation":"(46)","plainTextFormattedCitation":"(46)","previouslyFormattedCitation":"(45)"},"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(46)</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SF-12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{"citationItems":[{"id":"ITEM-1","itemData":{"ISSN":"0895-4356","PMID":"9817135","abstract":"Data from general population surveys (n = 1483 to 9151) in nine European countries (Denmark, France, Germany, Italy, the Netherlands, Norway, Spain, Sweden, and the United Kingdom) were analyzed to cross-validate the selection of questionnaire items for the SF-12 Health Survey and scoring algorithms for 12-item physical and mental component summary measures. In each country, multiple regression methods were used to select 12 SF-36 items that best reproduced the physical and mental health summary scores for the SF-36 Health Survey. Summary scores then were estimated with 12 items in three ways: using standard (U.S.-derived) SF-12 items and scoring algorithms; standard items and country-specific scoring; and country-specific sets of 12 items and scoring. Replication of the 36-item summary measures by the 12-item summary measures was then evaluated through comparison of mean scores and the strength of product-moment correlations. Product-moment correlations between SF-36 summary measures and SF-12 summary measures (standard and country-specific) were very high, ranging from 0.94-0.96 and 0.94-0.97 for the physical and mental summary measures, respectively. Mean 36-item summary measures and comparable 12-item summary measures were within 0.0 to 1.5 points (median = 0.5 points) in each country and were comparable across age groups. Because of the high degree of correspondence between summary physical and mental health measures estimated using the SF-12 and SF-36, it appears that the SF-12 will prove to be a practical alternative to the SF-36 in these countries, for purposes of large group comparisons in which the focus is on overall physical and mental health outcomes.","author":[{"dropping-particle":"","family":"Gandek","given":"B","non-dropping-particle":"","parse-names":false,"suffix":""},{"dropping-particle":"","family":"Ware","given":"J E","non-dropping-particle":"","parse-names":false,"suffix":""},{"dropping-particle":"","family":"Aaronson","given":"N K","non-dropping-particle":"","parse-names":false,"suffix":""},{"dropping-particle":"","family":"Apolone","given":"G","non-dropping-particle":"","parse-names":false,"suffix":""},{"dropping-particle":"","family":"Bjorner","given":"J B","non-dropping-particle":"","parse-names":false,"suffix":""},{"dropping-particle":"","family":"Brazier","given":"J E","non-dropping-particle":"","parse-names":false,"suffix":""},{"dropping-particle":"","family":"Bullinger","given":"M","non-dropping-particle":"","parse-names":false,"suffix":""},{"dropping-particle":"","family":"Kaasa","given":"S","non-dropping-particle":"","parse-names":false,"suffix":""},{"dropping-particle":"","family":"Leplege","given":"A","non-dropping-particle":"","parse-names":false,"suffix":""},{"dropping-particle":"","family":"Prieto","given":"L","non-dropping-particle":"","parse-names":false,"suffix":""},{"dropping-particle":"","family":"Sullivan","given":"M","non-dropping-particle":"","parse-names":false,"suffix":""}],"container-title":"Journal of clinical epidemiology","id":"ITEM-1","issue":"11","issued":{"date-parts":[["1998","11"]]},"page":"1171-8","title":"Cross-validation of item selection and scoring for the SF-12 Health Survey in nine countries: results from the IQOLA Project. International Quality of Life Assessment.","type":"article-journal","volume":"51"},"uris":["http://www.mendeley.com/documents/?uuid=fbc01904-c4c4-446b-88ff-62aa69925097"]},{"id":"ITEM-2","itemData":{"ISSN":"0025-7079","PMID":"8628042","abstract":"Regression methods were used to select and score 12 items from the Medical Outcomes Study 36-Item Short-Form Health Survey (SF-36) to reproduce the Physical Component Summary and Mental Component Summary scales in the general US population (n=2,333). The resulting 12-item short-form (SF-12) achieved multiple R squares of 0.911 and 0.918 in predictions of the SF-36 Physical Component Summary and SF-36 Mental Component Summary scores, respectively. Scoring algorithms from the general population used to score 12-item versions of the two components (Physical Components Summary and Mental Component Summary) achieved R squares of 0.905 with the SF-36 Physical Component Summary and 0.938 with SF-36 Mental Component Summary when cross-validated in the Medical Outcomes Study. Test-retest (2-week)correlations of 0.89 and 0.76 were observed for the 12-item Physical Component Summary and the 12-item Mental Component Summary, respectively, in the general US population (n=232). Twenty cross-sectional and longitudinal tests of empirical validity previously published for the 36-item short-form scales and summary measures were replicated for the 12-item Physical Component Summary and the 12-item Mental Component Summary, including comparisons between patient groups known to differ or to change in terms of the presence and seriousness of physical and mental conditions, acute symptoms, age and aging, self-reported 1-year changes in health, and recovery for depression. In 14 validity tests involving physical criteria, relative validity estimates for the 12-item Physical Component Summary ranged from 0.43 to 0.93 (median=0.67) in comparison with the best 36-item short-form scale. Relative validity estimates for the 12-item Mental Component Summary in 6 tests involving mental criteria ranged from 0.60 to 107 (median=0.97) in relation to the best 36-item short-form scale. Average scores for the 2 summary measures, and those for most scales in the 8-scale profile based on the 12-item short-form, closely mirrored those for the 36-item short-form, although standard errors were nearly always larger for the 12-item short-form.","author":[{"dropping-particle":"","family":"Ware","given":"J","non-dropping-particle":"","parse-names":false,"suffix":""},{"dropping-particle":"","family":"Kosinski","given":"M","non-dropping-particle":"","parse-names":false,"suffix":""},{"dropping-particle":"","family":"Keller","given":"S D","non-dropping-particle":"","parse-names":false,"suffix":""}],"container-title":"Medical care","id":"ITEM-2","issue":"3","issued":{"date-parts":[["1996","3"]]},"page":"220-33","title":"A 12-Item Short-Form Health Survey: construction of scales and preliminary tests of reliability and validity.","type":"article-journal","volume":"34"},"uris":["http://www.mendeley.com/documents/?uuid=7dfab501-5d39-4e37-909a-6b63b0d891d6"]}],"mendeley":{"formattedCitation":"(47,48)","plainTextFormattedCitation":"(47,48)","previouslyFormattedCitation":"(46,47)"},"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(47,48)</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and SF-36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{"citationItems":[{"id":"ITEM-1","itemData":{"ISSN":"0895-4356","PMID":"9817123","abstract":"The primary objectives of this research were to translate, validate, and generate normative data on the SF-36 Health Survey for use among Dutch-speaking residents of the Netherlands. Translation of the SF-36 into Dutch followed the stepwise, iterative procedures developed by the IQOLA Project. Following extensive pilot testing, the SF-36 was administered to: (1) a random sample of adult residents of Amsterdam (n = 4172); (2) a random, nationwide sample of adults (n = 1742); (3) a sample of migraine sufferers (n = 423); and (4) a sample of cancer patients undergoing active anti-neoplastic treatment (n = 485). Data quality across the four studies was consistently high. The rates of missing data ranged from 1% to 5% at the item level, and from 1.2% to 2.6% at the scale level. Multitrait scaling analysis confirmed the hypothesized scale structure of the SF-36 and associated scale scoring in all four samples. Cronbach's alpha coefficients surpassed the 0.70 criterion for group comparisons in all but one case (the Social Functioning scale in the cancer sample), with a mean alpha coefficient across all scales and samples of 0.84. Known-group comparisons yielded consistent support for the validity of the SF-36. In the two community samples, statistically significant differences in SF-36 mean scale scores were observed as a function of age, gender, and the prevalence of chronic health conditions. In the migraine and cancer samples, mean SF-36 scale scores varied significantly as a function of various indicators of disease severity. The SF-36 profiles for the two community samples were highly similar. The cancer sample yielded the lowest SF-36 scores, with the migraine sample holding an intermediate position. On-going studies will generate data on the responsiveness of the SF-36 to within-group changes in health over time. Efforts are underway to translate and validate the questionnaire for use among ethnic minority groups in the Netherlands.","author":[{"dropping-particle":"","family":"Aaronson","given":"N K","non-dropping-particle":"","parse-names":false,"suffix":""},{"dropping-particle":"","family":"Muller","given":"M","non-dropping-particle":"","parse-names":false,"suffix":""},{"dropping-particle":"","family":"Cohen","given":"P D","non-dropping-particle":"","parse-names":false,"suffix":""},{"dropping-particle":"","family":"Essink-Bot","given":"M L","non-dropping-particle":"","parse-names":false,"suffix":""},{"dropping-particle":"","family":"Fekkes","given":"M","non-dropping-particle":"","parse-names":false,"suffix":""},{"dropping-particle":"","family":"Sanderman","given":"R","non-dropping-particle":"","parse-names":false,"suffix":""},{"dropping-particle":"","family":"Sprangers","given":"M A","non-dropping-particle":"","parse-names":false,"suffix":""},{"dropping-particle":"","family":"Velde","given":"A","non-dropping-particle":"te","parse-names":false,"suffix":""},{"dropping-particle":"","family":"Verrips","given":"E","non-dropping-particle":"","parse-names":false,"suffix":""}],"container-title":"Journal of clinical epidemiology","id":"ITEM-1","issue":"11","issued":{"date-parts":[["1998","11"]]},"page":"1055-68","title":"Translation, validation, and norming of the Dutch language version of the SF-36 Health Survey in community and chronic disease populations.","type":"article-journal","volume":"51"},"uris":["http://www.mendeley.com/documents/?uuid=01c470e0-0a6b-4587-9799-727b21cb66eb"]}],"mendeley":{"formattedCitation":"(49)","plainTextFormattedCitation":"(49)","previouslyFormattedCitation":"(48)"},"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(49)</w:t>
      </w:r>
      <w:r w:rsidR="00776DB8" w:rsidRPr="00C91EF0">
        <w:rPr>
          <w:rFonts w:asciiTheme="minorHAnsi" w:hAnsiTheme="minorHAnsi" w:cstheme="minorHAnsi"/>
          <w:sz w:val="22"/>
          <w:szCs w:val="22"/>
          <w:lang w:val="en-GB" w:eastAsia="nb-NO"/>
        </w:rPr>
        <w:fldChar w:fldCharType="end"/>
      </w:r>
      <w:r w:rsidRPr="00C91EF0">
        <w:rPr>
          <w:rFonts w:asciiTheme="minorHAnsi" w:hAnsiTheme="minorHAnsi" w:cstheme="minorHAnsi"/>
          <w:sz w:val="22"/>
          <w:szCs w:val="22"/>
          <w:lang w:val="en-GB" w:eastAsia="nb-NO"/>
        </w:rPr>
        <w:t xml:space="preserve">. We </w:t>
      </w:r>
      <w:r w:rsidRPr="00C91EF0">
        <w:rPr>
          <w:rFonts w:asciiTheme="minorHAnsi" w:hAnsiTheme="minorHAnsi" w:cstheme="minorHAnsi"/>
          <w:sz w:val="22"/>
          <w:szCs w:val="22"/>
          <w:lang w:val="en-GB" w:eastAsia="nb-NO"/>
        </w:rPr>
        <w:lastRenderedPageBreak/>
        <w:t xml:space="preserve">considered the standardized mean differences of the </w:t>
      </w:r>
      <w:r w:rsidR="007B00D4">
        <w:rPr>
          <w:rFonts w:asciiTheme="minorHAnsi" w:hAnsiTheme="minorHAnsi" w:cstheme="minorHAnsi"/>
          <w:sz w:val="22"/>
          <w:szCs w:val="22"/>
          <w:lang w:val="en-GB" w:eastAsia="nb-NO"/>
        </w:rPr>
        <w:t xml:space="preserve">various </w:t>
      </w:r>
      <w:r w:rsidRPr="00C91EF0">
        <w:rPr>
          <w:rFonts w:asciiTheme="minorHAnsi" w:hAnsiTheme="minorHAnsi" w:cstheme="minorHAnsi"/>
          <w:sz w:val="22"/>
          <w:szCs w:val="22"/>
          <w:lang w:val="en-GB" w:eastAsia="nb-NO"/>
        </w:rPr>
        <w:t xml:space="preserve">instruments for </w:t>
      </w:r>
      <w:r w:rsidR="00135006">
        <w:rPr>
          <w:rFonts w:asciiTheme="minorHAnsi" w:hAnsiTheme="minorHAnsi" w:cstheme="minorHAnsi"/>
          <w:sz w:val="22"/>
          <w:szCs w:val="22"/>
          <w:lang w:val="en-GB" w:eastAsia="nb-NO"/>
        </w:rPr>
        <w:t xml:space="preserve">the </w:t>
      </w:r>
      <w:r w:rsidRPr="00C91EF0">
        <w:rPr>
          <w:rFonts w:asciiTheme="minorHAnsi" w:hAnsiTheme="minorHAnsi" w:cstheme="minorHAnsi"/>
          <w:sz w:val="22"/>
          <w:szCs w:val="22"/>
          <w:lang w:val="en-GB" w:eastAsia="nb-NO"/>
        </w:rPr>
        <w:t>modelling</w:t>
      </w:r>
      <w:r w:rsidR="00135006">
        <w:rPr>
          <w:rFonts w:asciiTheme="minorHAnsi" w:hAnsiTheme="minorHAnsi" w:cstheme="minorHAnsi"/>
          <w:sz w:val="22"/>
          <w:szCs w:val="22"/>
          <w:lang w:val="en-GB" w:eastAsia="nb-NO"/>
        </w:rPr>
        <w:t xml:space="preserve"> approach</w:t>
      </w:r>
      <w:r w:rsidRPr="00C91EF0">
        <w:rPr>
          <w:rFonts w:asciiTheme="minorHAnsi" w:hAnsiTheme="minorHAnsi" w:cstheme="minorHAnsi"/>
          <w:sz w:val="22"/>
          <w:szCs w:val="22"/>
          <w:lang w:val="en-GB" w:eastAsia="nb-NO"/>
        </w:rPr>
        <w:t xml:space="preserve">. The presence of depressive symptoms was used as a binary variable for descriptive purposes and derived from the cut-offs of the original questionnaires used </w:t>
      </w:r>
      <w:r w:rsidR="007B00D4">
        <w:rPr>
          <w:rFonts w:asciiTheme="minorHAnsi" w:hAnsiTheme="minorHAnsi" w:cstheme="minorHAnsi"/>
          <w:sz w:val="22"/>
          <w:szCs w:val="22"/>
          <w:lang w:val="en-GB" w:eastAsia="nb-NO"/>
        </w:rPr>
        <w:t xml:space="preserve">in </w:t>
      </w:r>
      <w:r w:rsidRPr="00C91EF0">
        <w:rPr>
          <w:rFonts w:asciiTheme="minorHAnsi" w:hAnsiTheme="minorHAnsi" w:cstheme="minorHAnsi"/>
          <w:sz w:val="22"/>
          <w:szCs w:val="22"/>
          <w:lang w:val="en-GB" w:eastAsia="nb-NO"/>
        </w:rPr>
        <w:t xml:space="preserve">the </w:t>
      </w:r>
      <w:r w:rsidR="00800480">
        <w:rPr>
          <w:rFonts w:asciiTheme="minorHAnsi" w:hAnsiTheme="minorHAnsi" w:cstheme="minorHAnsi"/>
          <w:sz w:val="22"/>
          <w:szCs w:val="22"/>
          <w:lang w:val="en-GB" w:eastAsia="nb-NO"/>
        </w:rPr>
        <w:t>various</w:t>
      </w:r>
      <w:r w:rsidRPr="00C91EF0">
        <w:rPr>
          <w:rFonts w:asciiTheme="minorHAnsi" w:hAnsiTheme="minorHAnsi" w:cstheme="minorHAnsi"/>
          <w:sz w:val="22"/>
          <w:szCs w:val="22"/>
          <w:lang w:val="en-GB" w:eastAsia="nb-NO"/>
        </w:rPr>
        <w:t xml:space="preserve"> trials.</w:t>
      </w:r>
    </w:p>
    <w:p w14:paraId="1BD8FED4" w14:textId="46277158" w:rsidR="005856EE" w:rsidRPr="00C91EF0" w:rsidRDefault="00F3396A" w:rsidP="009107F7">
      <w:pPr>
        <w:spacing w:line="480" w:lineRule="auto"/>
        <w:rPr>
          <w:rFonts w:asciiTheme="minorHAnsi" w:hAnsiTheme="minorHAnsi" w:cstheme="minorHAnsi"/>
          <w:sz w:val="22"/>
          <w:szCs w:val="22"/>
          <w:lang w:val="en-GB" w:eastAsia="nb-NO"/>
        </w:rPr>
      </w:pPr>
      <w:r w:rsidRPr="00C91EF0">
        <w:rPr>
          <w:rFonts w:asciiTheme="minorHAnsi" w:hAnsiTheme="minorHAnsi" w:cstheme="minorHAnsi"/>
          <w:sz w:val="22"/>
          <w:szCs w:val="22"/>
          <w:lang w:val="en-GB" w:eastAsia="nb-NO"/>
        </w:rPr>
        <w:t>The presence of p</w:t>
      </w:r>
      <w:r w:rsidR="000D1DCF" w:rsidRPr="00C91EF0">
        <w:rPr>
          <w:rFonts w:asciiTheme="minorHAnsi" w:hAnsiTheme="minorHAnsi" w:cstheme="minorHAnsi"/>
          <w:sz w:val="22"/>
          <w:szCs w:val="22"/>
          <w:lang w:val="en-GB" w:eastAsia="nb-NO"/>
        </w:rPr>
        <w:t>ain</w:t>
      </w:r>
      <w:r w:rsidR="00C804F7" w:rsidRPr="00C91EF0">
        <w:rPr>
          <w:rFonts w:asciiTheme="minorHAnsi" w:hAnsiTheme="minorHAnsi" w:cstheme="minorHAnsi"/>
          <w:sz w:val="22"/>
          <w:szCs w:val="22"/>
          <w:lang w:val="en-GB" w:eastAsia="nb-NO"/>
        </w:rPr>
        <w:t xml:space="preserve"> </w:t>
      </w:r>
      <w:r w:rsidR="00B37AEC" w:rsidRPr="00C91EF0">
        <w:rPr>
          <w:rFonts w:asciiTheme="minorHAnsi" w:hAnsiTheme="minorHAnsi" w:cstheme="minorHAnsi"/>
          <w:sz w:val="22"/>
          <w:szCs w:val="22"/>
          <w:lang w:val="en-GB" w:eastAsia="nb-NO"/>
        </w:rPr>
        <w:t xml:space="preserve">was </w:t>
      </w:r>
      <w:r w:rsidR="005856EE" w:rsidRPr="00C91EF0">
        <w:rPr>
          <w:rFonts w:asciiTheme="minorHAnsi" w:hAnsiTheme="minorHAnsi" w:cstheme="minorHAnsi"/>
          <w:sz w:val="22"/>
          <w:szCs w:val="22"/>
          <w:lang w:val="en-GB" w:eastAsia="nb-NO"/>
        </w:rPr>
        <w:t xml:space="preserve">defined as a binary variable </w:t>
      </w:r>
      <w:r w:rsidR="000D1DCF" w:rsidRPr="00C91EF0">
        <w:rPr>
          <w:rFonts w:asciiTheme="minorHAnsi" w:hAnsiTheme="minorHAnsi" w:cstheme="minorHAnsi"/>
          <w:sz w:val="22"/>
          <w:szCs w:val="22"/>
          <w:lang w:val="en-GB" w:eastAsia="nb-NO"/>
        </w:rPr>
        <w:t xml:space="preserve">using the </w:t>
      </w:r>
      <w:r w:rsidR="005856EE" w:rsidRPr="00C91EF0">
        <w:rPr>
          <w:rFonts w:asciiTheme="minorHAnsi" w:hAnsiTheme="minorHAnsi" w:cstheme="minorHAnsi"/>
          <w:sz w:val="22"/>
          <w:szCs w:val="22"/>
          <w:lang w:val="en-GB" w:eastAsia="nb-NO"/>
        </w:rPr>
        <w:t xml:space="preserve">categorical </w:t>
      </w:r>
      <w:r w:rsidR="007B00D4">
        <w:rPr>
          <w:rFonts w:asciiTheme="minorHAnsi" w:hAnsiTheme="minorHAnsi" w:cstheme="minorHAnsi"/>
          <w:sz w:val="22"/>
          <w:szCs w:val="22"/>
          <w:lang w:val="en-GB" w:eastAsia="nb-NO"/>
        </w:rPr>
        <w:t>classification</w:t>
      </w:r>
      <w:r w:rsidR="000D1DCF" w:rsidRPr="00C91EF0">
        <w:rPr>
          <w:rFonts w:asciiTheme="minorHAnsi" w:hAnsiTheme="minorHAnsi" w:cstheme="minorHAnsi"/>
          <w:sz w:val="22"/>
          <w:szCs w:val="22"/>
          <w:lang w:val="en-GB" w:eastAsia="nb-NO"/>
        </w:rPr>
        <w:t xml:space="preserve"> </w:t>
      </w:r>
      <w:r w:rsidR="00D86426" w:rsidRPr="00C91EF0">
        <w:rPr>
          <w:rFonts w:asciiTheme="minorHAnsi" w:hAnsiTheme="minorHAnsi" w:cstheme="minorHAnsi"/>
          <w:sz w:val="22"/>
          <w:szCs w:val="22"/>
          <w:lang w:val="en-GB" w:eastAsia="nb-NO"/>
        </w:rPr>
        <w:t xml:space="preserve">(no pain or any pain regardless of intensity) </w:t>
      </w:r>
      <w:r w:rsidR="000D1DCF" w:rsidRPr="00C91EF0">
        <w:rPr>
          <w:rFonts w:asciiTheme="minorHAnsi" w:hAnsiTheme="minorHAnsi" w:cstheme="minorHAnsi"/>
          <w:sz w:val="22"/>
          <w:szCs w:val="22"/>
          <w:lang w:val="en-GB" w:eastAsia="nb-NO"/>
        </w:rPr>
        <w:t xml:space="preserve">from the von </w:t>
      </w:r>
      <w:proofErr w:type="spellStart"/>
      <w:r w:rsidR="000D1DCF" w:rsidRPr="00C91EF0">
        <w:rPr>
          <w:rFonts w:asciiTheme="minorHAnsi" w:hAnsiTheme="minorHAnsi" w:cstheme="minorHAnsi"/>
          <w:sz w:val="22"/>
          <w:szCs w:val="22"/>
          <w:lang w:val="en-GB" w:eastAsia="nb-NO"/>
        </w:rPr>
        <w:t>Korff</w:t>
      </w:r>
      <w:proofErr w:type="spellEnd"/>
      <w:r w:rsidR="000D1DCF" w:rsidRPr="00C91EF0">
        <w:rPr>
          <w:rFonts w:asciiTheme="minorHAnsi" w:hAnsiTheme="minorHAnsi" w:cstheme="minorHAnsi"/>
          <w:sz w:val="22"/>
          <w:szCs w:val="22"/>
          <w:lang w:val="en-GB" w:eastAsia="nb-NO"/>
        </w:rPr>
        <w:t xml:space="preserve"> index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{"citationItems":[{"id":"ITEM-1","itemData":{"DOI":"10.1016/0304-3959(92)90154-4","ISSN":"0304-3959","PMID":"1408309","abstract":"This research develops and evaluates a simple method of grading the severity of chronic pain for use in general population surveys and studies of primary care pain patients. Measures of pain intensity, disability, persistence and recency of onset were tested for their ability to grade chronic pain severity in a longitudinal study of primary care back pain (n = 1213), headache (n = 779) and temporomandibular disorder pain (n = 397) patients. A Guttman scale analysis showed that pain intensity and disability measures formed a reliable hierarchical scale. Pain intensity measures appeared to scale the lower range of global severity while disability measures appeared to scale the upper range of global severity. Recency of onset and days in pain in the prior 6 months did not scale with pain intensity or disability. Using simple scoring rules, pain severity was graded into 4 hierarchical classes: Grade I, low disability--low intensity; Grade II, low disability--high intensity; Grade III, high disability--moderately limiting; and Grade IV, high disability--severely limiting. For each pain site, Chronic Pain Grade measured at baseline showed a highly statistically significant and monotonically increasing relationship with unemployment rate, pain-related functional limitations, depression, fair to poor self-rated health, frequent use of opioid analgesics, and frequent pain-related doctor visits both at baseline and at 1-year follow-up. Days in Pain was related to these variables, but not as strongly as Chronic Pain Grade. Recent onset cases (first onset within the prior 3 months) did not show differences in psychological and behavioral dysfunction when compared to persons with less recent onset. Using longitudinal data from a population-based study (n = 803), Chronic Pain Grade at baseline predicted the presence of pain in the prior 2 weeks. Chronic Pain Grade and pain-related functional limitations at 3-year follow-up. Grading chronic pain as a function of pain intensity and pain-related disability may be useful when a brief ordinal measure of global pain severity is required. Pain persistence, measured by days in pain in a fixed time period, provides useful additional information.","author":[{"dropping-particle":"","family":"Korff","given":"Michael","non-dropping-particle":"Von","parse-names":false,"suffix":""},{"dropping-particle":"","family":"Ormel","given":"Johan","non-dropping-particle":"","parse-names":false,"suffix":""},{"dropping-particle":"","family":"Keefe","given":"Francis J","non-dropping-particle":"","parse-names":false,"suffix":""},{"dropping-particle":"","family":"Dworkin","given":"Samuel F","non-dropping-particle":"","parse-names":false,"suffix":""}],"container-title":"Pain","id":"ITEM-1","issue":"2","issued":{"date-parts":[["1992","8"]]},"page":"133-149","title":"Grading the severity of chronic pain","type":"article-journal","volume":"50"},"uris":["http://www.mendeley.com/documents/?uuid=34b8f0bd-3e80-48ba-8485-2b36c68061ad"]}],"mendeley":{"formattedCitation":"(50)","plainTextFormattedCitation":"(50)","previouslyFormattedCitation":"(49)"},"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(50)</w:t>
      </w:r>
      <w:r w:rsidR="00776DB8" w:rsidRPr="00C91EF0">
        <w:rPr>
          <w:rFonts w:asciiTheme="minorHAnsi" w:hAnsiTheme="minorHAnsi" w:cstheme="minorHAnsi"/>
          <w:sz w:val="22"/>
          <w:szCs w:val="22"/>
          <w:lang w:val="en-GB" w:eastAsia="nb-NO"/>
        </w:rPr>
        <w:fldChar w:fldCharType="end"/>
      </w:r>
      <w:r w:rsidR="000D1DCF" w:rsidRPr="00C91EF0">
        <w:rPr>
          <w:rFonts w:asciiTheme="minorHAnsi" w:hAnsiTheme="minorHAnsi" w:cstheme="minorHAnsi"/>
          <w:sz w:val="22"/>
          <w:szCs w:val="22"/>
          <w:lang w:val="en-GB" w:eastAsia="nb-NO"/>
        </w:rPr>
        <w:t xml:space="preserve">, the SF-12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{"citationItems":[{"id":"ITEM-1","itemData":{"ISSN":"0895-4356","PMID":"9817135","abstract":"Data from general population surveys (n = 1483 to 9151) in nine European countries (Denmark, France, Germany, Italy, the Netherlands, Norway, Spain, Sweden, and the United Kingdom) were analyzed to cross-validate the selection of questionnaire items for the SF-12 Health Survey and scoring algorithms for 12-item physical and mental component summary measures. In each country, multiple regression methods were used to select 12 SF-36 items that best reproduced the physical and mental health summary scores for the SF-36 Health Survey. Summary scores then were estimated with 12 items in three ways: using standard (U.S.-derived) SF-12 items and scoring algorithms; standard items and country-specific scoring; and country-specific sets of 12 items and scoring. Replication of the 36-item summary measures by the 12-item summary measures was then evaluated through comparison of mean scores and the strength of product-moment correlations. Product-moment correlations between SF-36 summary measures and SF-12 summary measures (standard and country-specific) were very high, ranging from 0.94-0.96 and 0.94-0.97 for the physical and mental summary measures, respectively. Mean 36-item summary measures and comparable 12-item summary measures were within 0.0 to 1.5 points (median = 0.5 points) in each country and were comparable across age groups. Because of the high degree of correspondence between summary physical and mental health measures estimated using the SF-12 and SF-36, it appears that the SF-12 will prove to be a practical alternative to the SF-36 in these countries, for purposes of large group comparisons in which the focus is on overall physical and mental health outcomes.","author":[{"dropping-particle":"","family":"Gandek","given":"B","non-dropping-particle":"","parse-names":false,"suffix":""},{"dropping-particle":"","family":"Ware","given":"J E","non-dropping-particle":"","parse-names":false,"suffix":""},{"dropping-particle":"","family":"Aaronson","given":"N K","non-dropping-particle":"","parse-names":false,"suffix":""},{"dropping-particle":"","family":"Apolone","given":"G","non-dropping-particle":"","parse-names":false,"suffix":""},{"dropping-particle":"","family":"Bjorner","given":"J B","non-dropping-particle":"","parse-names":false,"suffix":""},{"dropping-particle":"","family":"Brazier","given":"J E","non-dropping-particle":"","parse-names":false,"suffix":""},{"dropping-particle":"","family":"Bullinger","given":"M","non-dropping-particle":"","parse-names":false,"suffix":""},{"dropping-particle":"","family":"Kaasa","given":"S","non-dropping-particle":"","parse-names":false,"suffix":""},{"dropping-particle":"","family":"Leplege","given":"A","non-dropping-particle":"","parse-names":false,"suffix":""},{"dropping-particle":"","family":"Prieto","given":"L","non-dropping-particle":"","parse-names":false,"suffix":""},{"dropping-particle":"","family":"Sullivan","given":"M","non-dropping-particle":"","parse-names":false,"suffix":""}],"container-title":"Journal of clinical epidemiology","id":"ITEM-1","issue":"11","issued":{"date-parts":[["1998","11"]]},"page":"1171-8","title":"Cross-validation of item selection and scoring for the SF-12 Health Survey in nine countries: results from the IQOLA Project. International Quality of Life Assessment.","type":"article-journal","volume":"51"},"uris":["http://www.mendeley.com/documents/?uuid=fbc01904-c4c4-446b-88ff-62aa69925097"]},{"id":"ITEM-2","itemData":{"ISSN":"0025-7079","PMID":"8628042","abstract":"Regression methods were used to select and score 12 items from the Medical Outcomes Study 36-Item Short-Form Health Survey (SF-36) to reproduce the Physical Component Summary and Mental Component Summary scales in the general US population (n=2,333). The resulting 12-item short-form (SF-12) achieved multiple R squares of 0.911 and 0.918 in predictions of the SF-36 Physical Component Summary and SF-36 Mental Component Summary scores, respectively. Scoring algorithms from the general population used to score 12-item versions of the two components (Physical Components Summary and Mental Component Summary) achieved R squares of 0.905 with the SF-36 Physical Component Summary and 0.938 with SF-36 Mental Component Summary when cross-validated in the Medical Outcomes Study. Test-retest (2-week)correlations of 0.89 and 0.76 were observed for the 12-item Physical Component Summary and the 12-item Mental Component Summary, respectively, in the general US population (n=232). Twenty cross-sectional and longitudinal tests of empirical validity previously published for the 36-item short-form scales and summary measures were replicated for the 12-item Physical Component Summary and the 12-item Mental Component Summary, including comparisons between patient groups known to differ or to change in terms of the presence and seriousness of physical and mental conditions, acute symptoms, age and aging, self-reported 1-year changes in health, and recovery for depression. In 14 validity tests involving physical criteria, relative validity estimates for the 12-item Physical Component Summary ranged from 0.43 to 0.93 (median=0.67) in comparison with the best 36-item short-form scale. Relative validity estimates for the 12-item Mental Component Summary in 6 tests involving mental criteria ranged from 0.60 to 107 (median=0.97) in relation to the best 36-item short-form scale. Average scores for the 2 summary measures, and those for most scales in the 8-scale profile based on the 12-item short-form, closely mirrored those for the 36-item short-form, although standard errors were nearly always larger for the 12-item short-form.","author":[{"dropping-particle":"","family":"Ware","given":"J","non-dropping-particle":"","parse-names":false,"suffix":""},{"dropping-particle":"","family":"Kosinski","given":"M","non-dropping-particle":"","parse-names":false,"suffix":""},{"dropping-particle":"","family":"Keller","given":"S D","non-dropping-particle":"","parse-names":false,"suffix":""}],"container-title":"Medical care","id":"ITEM-2","issue":"3","issued":{"date-parts":[["1996","3"]]},"page":"220-33","title":"A 12-Item Short-Form Health Survey: construction of scales and preliminary tests of reliability and validity.","type":"article-journal","volume":"34"},"uris":["http://www.mendeley.com/documents/?uuid=7dfab501-5d39-4e37-909a-6b63b0d891d6"]}],"mendeley":{"formattedCitation":"(47,48)","plainTextFormattedCitation":"(47,48)","previouslyFormattedCitation":"(46,47)"},"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(47,48)</w:t>
      </w:r>
      <w:r w:rsidR="00776DB8" w:rsidRPr="00C91EF0">
        <w:rPr>
          <w:rFonts w:asciiTheme="minorHAnsi" w:hAnsiTheme="minorHAnsi" w:cstheme="minorHAnsi"/>
          <w:sz w:val="22"/>
          <w:szCs w:val="22"/>
          <w:lang w:val="en-GB" w:eastAsia="nb-NO"/>
        </w:rPr>
        <w:fldChar w:fldCharType="end"/>
      </w:r>
      <w:r w:rsidR="00C804F7" w:rsidRPr="00C91EF0">
        <w:rPr>
          <w:rFonts w:asciiTheme="minorHAnsi" w:hAnsiTheme="minorHAnsi" w:cstheme="minorHAnsi"/>
          <w:sz w:val="22"/>
          <w:szCs w:val="22"/>
          <w:lang w:val="en-GB" w:eastAsia="nb-NO"/>
        </w:rPr>
        <w:t>,</w:t>
      </w:r>
      <w:r w:rsidR="008B4E94" w:rsidRPr="00C91EF0">
        <w:rPr>
          <w:rFonts w:asciiTheme="minorHAnsi" w:hAnsiTheme="minorHAnsi" w:cstheme="minorHAnsi"/>
          <w:sz w:val="22"/>
          <w:szCs w:val="22"/>
          <w:lang w:val="en-GB" w:eastAsia="nb-NO"/>
        </w:rPr>
        <w:t xml:space="preserve"> </w:t>
      </w:r>
      <w:r w:rsidR="000D1DCF" w:rsidRPr="00C91EF0">
        <w:rPr>
          <w:rFonts w:asciiTheme="minorHAnsi" w:hAnsiTheme="minorHAnsi" w:cstheme="minorHAnsi"/>
          <w:sz w:val="22"/>
          <w:szCs w:val="22"/>
          <w:lang w:val="en-GB" w:eastAsia="nb-NO"/>
        </w:rPr>
        <w:t xml:space="preserve">the SF-36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{"citationItems":[{"id":"ITEM-1","itemData":{"ISSN":"0895-4356","PMID":"9817123","abstract":"The primary objectives of this research were to translate, validate, and generate normative data on the SF-36 Health Survey for use among Dutch-speaking residents of the Netherlands. Translation of the SF-36 into Dutch followed the stepwise, iterative procedures developed by the IQOLA Project. Following extensive pilot testing, the SF-36 was administered to: (1) a random sample of adult residents of Amsterdam (n = 4172); (2) a random, nationwide sample of adults (n = 1742); (3) a sample of migraine sufferers (n = 423); and (4) a sample of cancer patients undergoing active anti-neoplastic treatment (n = 485). Data quality across the four studies was consistently high. The rates of missing data ranged from 1% to 5% at the item level, and from 1.2% to 2.6% at the scale level. Multitrait scaling analysis confirmed the hypothesized scale structure of the SF-36 and associated scale scoring in all four samples. Cronbach's alpha coefficients surpassed the 0.70 criterion for group comparisons in all but one case (the Social Functioning scale in the cancer sample), with a mean alpha coefficient across all scales and samples of 0.84. Known-group comparisons yielded consistent support for the validity of the SF-36. In the two community samples, statistically significant differences in SF-36 mean scale scores were observed as a function of age, gender, and the prevalence of chronic health conditions. In the migraine and cancer samples, mean SF-36 scale scores varied significantly as a function of various indicators of disease severity. The SF-36 profiles for the two community samples were highly similar. The cancer sample yielded the lowest SF-36 scores, with the migraine sample holding an intermediate position. On-going studies will generate data on the responsiveness of the SF-36 to within-group changes in health over time. Efforts are underway to translate and validate the questionnaire for use among ethnic minority groups in the Netherlands.","author":[{"dropping-particle":"","family":"Aaronson","given":"N K","non-dropping-particle":"","parse-names":false,"suffix":""},{"dropping-particle":"","family":"Muller","given":"M","non-dropping-particle":"","parse-names":false,"suffix":""},{"dropping-particle":"","family":"Cohen","given":"P D","non-dropping-particle":"","parse-names":false,"suffix":""},{"dropping-particle":"","family":"Essink-Bot","given":"M L","non-dropping-particle":"","parse-names":false,"suffix":""},{"dropping-particle":"","family":"Fekkes","given":"M","non-dropping-particle":"","parse-names":false,"suffix":""},{"dropping-particle":"","family":"Sanderman","given":"R","non-dropping-particle":"","parse-names":false,"suffix":""},{"dropping-particle":"","family":"Sprangers","given":"M A","non-dropping-particle":"","parse-names":false,"suffix":""},{"dropping-particle":"","family":"Velde","given":"A","non-dropping-particle":"te","parse-names":false,"suffix":""},{"dropping-particle":"","family":"Verrips","given":"E","non-dropping-particle":"","parse-names":false,"suffix":""}],"container-title":"Journal of clinical epidemiology","id":"ITEM-1","issue":"11","issued":{"date-parts":[["1998","11"]]},"page":"1055-68","title":"Translation, validation, and norming of the Dutch language version of the SF-36 Health Survey in community and chronic disease populations.","type":"article-journal","volume":"51"},"uris":["http://www.mendeley.com/documents/?uuid=01c470e0-0a6b-4587-9799-727b21cb66eb"]}],"mendeley":{"formattedCitation":"(49)","plainTextFormattedCitation":"(49)","previouslyFormattedCitation":"(48)"},"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(49)</w:t>
      </w:r>
      <w:r w:rsidR="00776DB8" w:rsidRPr="00C91EF0">
        <w:rPr>
          <w:rFonts w:asciiTheme="minorHAnsi" w:hAnsiTheme="minorHAnsi" w:cstheme="minorHAnsi"/>
          <w:sz w:val="22"/>
          <w:szCs w:val="22"/>
          <w:lang w:val="en-GB" w:eastAsia="nb-NO"/>
        </w:rPr>
        <w:fldChar w:fldCharType="end"/>
      </w:r>
      <w:r w:rsidR="007B511F" w:rsidRPr="00C91EF0">
        <w:rPr>
          <w:rFonts w:asciiTheme="minorHAnsi" w:hAnsiTheme="minorHAnsi" w:cstheme="minorHAnsi"/>
          <w:sz w:val="22"/>
          <w:szCs w:val="22"/>
          <w:lang w:val="en-GB" w:eastAsia="nb-NO"/>
        </w:rPr>
        <w:t>,</w:t>
      </w:r>
      <w:r w:rsidR="000D1DCF" w:rsidRPr="00C91EF0">
        <w:rPr>
          <w:rFonts w:asciiTheme="minorHAnsi" w:hAnsiTheme="minorHAnsi" w:cstheme="minorHAnsi"/>
          <w:sz w:val="22"/>
          <w:szCs w:val="22"/>
          <w:lang w:val="en-GB" w:eastAsia="nb-NO"/>
        </w:rPr>
        <w:t xml:space="preserve"> and </w:t>
      </w:r>
      <w:r w:rsidR="00042FC2">
        <w:rPr>
          <w:rFonts w:asciiTheme="minorHAnsi" w:hAnsiTheme="minorHAnsi" w:cstheme="minorHAnsi"/>
          <w:sz w:val="22"/>
          <w:szCs w:val="22"/>
          <w:lang w:val="en-GB" w:eastAsia="nb-NO"/>
        </w:rPr>
        <w:t xml:space="preserve">the </w:t>
      </w:r>
      <w:r w:rsidR="000D1DCF" w:rsidRPr="00C91EF0">
        <w:rPr>
          <w:rFonts w:asciiTheme="minorHAnsi" w:hAnsiTheme="minorHAnsi" w:cstheme="minorHAnsi"/>
          <w:sz w:val="22"/>
          <w:szCs w:val="22"/>
          <w:lang w:val="en-GB" w:eastAsia="nb-NO"/>
        </w:rPr>
        <w:t>self-developed VAS scales</w:t>
      </w:r>
      <w:r w:rsidR="008B4E94" w:rsidRPr="00C91EF0">
        <w:rPr>
          <w:rFonts w:asciiTheme="minorHAnsi" w:hAnsiTheme="minorHAnsi" w:cstheme="minorHAnsi"/>
          <w:sz w:val="22"/>
          <w:szCs w:val="22"/>
          <w:lang w:val="en-GB" w:eastAsia="nb-NO"/>
        </w:rPr>
        <w:t xml:space="preserve"> or single questions </w:t>
      </w:r>
      <w:r w:rsidR="005047C2">
        <w:rPr>
          <w:rFonts w:asciiTheme="minorHAnsi" w:hAnsiTheme="minorHAnsi" w:cstheme="minorHAnsi"/>
          <w:sz w:val="22"/>
          <w:szCs w:val="22"/>
          <w:lang w:val="en-GB" w:eastAsia="nb-NO"/>
        </w:rPr>
        <w:t xml:space="preserve">used in </w:t>
      </w:r>
      <w:r w:rsidR="008B4E94" w:rsidRPr="00C91EF0">
        <w:rPr>
          <w:rFonts w:asciiTheme="minorHAnsi" w:hAnsiTheme="minorHAnsi" w:cstheme="minorHAnsi"/>
          <w:sz w:val="22"/>
          <w:szCs w:val="22"/>
          <w:lang w:val="en-GB" w:eastAsia="nb-NO"/>
        </w:rPr>
        <w:t>two of the trials (</w:t>
      </w:r>
      <w:r w:rsidR="001A4F1E" w:rsidRPr="00C91EF0">
        <w:rPr>
          <w:rFonts w:asciiTheme="minorHAnsi" w:hAnsiTheme="minorHAnsi" w:cstheme="minorHAnsi"/>
          <w:sz w:val="22"/>
          <w:szCs w:val="22"/>
          <w:lang w:val="en-GB" w:eastAsia="nb-NO"/>
        </w:rPr>
        <w:t xml:space="preserve">i.e. </w:t>
      </w:r>
      <w:r w:rsidR="008B4E94" w:rsidRPr="00C91EF0">
        <w:rPr>
          <w:rFonts w:asciiTheme="minorHAnsi" w:hAnsiTheme="minorHAnsi" w:cstheme="minorHAnsi"/>
          <w:sz w:val="22"/>
          <w:szCs w:val="22"/>
          <w:lang w:val="en-GB" w:eastAsia="nb-NO"/>
        </w:rPr>
        <w:t>Opti-Med</w:t>
      </w:r>
      <w:r w:rsidR="001A4F1E" w:rsidRPr="00C91EF0">
        <w:rPr>
          <w:rFonts w:asciiTheme="minorHAnsi" w:hAnsiTheme="minorHAnsi" w:cstheme="minorHAnsi"/>
          <w:sz w:val="22"/>
          <w:szCs w:val="22"/>
          <w:lang w:val="en-GB" w:eastAsia="nb-NO"/>
        </w:rPr>
        <w:t>,</w:t>
      </w:r>
      <w:r w:rsidR="008B4E94" w:rsidRPr="00C91EF0">
        <w:rPr>
          <w:rFonts w:asciiTheme="minorHAnsi" w:hAnsiTheme="minorHAnsi" w:cstheme="minorHAnsi"/>
          <w:sz w:val="22"/>
          <w:szCs w:val="22"/>
          <w:lang w:val="en-GB" w:eastAsia="nb-NO"/>
        </w:rPr>
        <w:t xml:space="preserve"> ISCOPE)</w:t>
      </w:r>
      <w:r w:rsidR="000D1DCF" w:rsidRPr="00C91EF0">
        <w:rPr>
          <w:rFonts w:asciiTheme="minorHAnsi" w:hAnsiTheme="minorHAnsi" w:cstheme="minorHAnsi"/>
          <w:sz w:val="22"/>
          <w:szCs w:val="22"/>
          <w:lang w:val="en-GB" w:eastAsia="nb-NO"/>
        </w:rPr>
        <w:t>.</w:t>
      </w:r>
      <w:r w:rsidR="000635CB" w:rsidRPr="00C91EF0">
        <w:rPr>
          <w:rFonts w:asciiTheme="minorHAnsi" w:hAnsiTheme="minorHAnsi" w:cstheme="minorHAnsi"/>
          <w:sz w:val="22"/>
          <w:szCs w:val="22"/>
          <w:lang w:val="en-GB" w:eastAsia="nb-NO"/>
        </w:rPr>
        <w:t xml:space="preserve"> </w:t>
      </w:r>
    </w:p>
    <w:p w14:paraId="6EB4C741" w14:textId="54A29EE7" w:rsidR="009107F7" w:rsidRPr="00C91EF0" w:rsidRDefault="000635CB" w:rsidP="009107F7">
      <w:pPr>
        <w:spacing w:line="480" w:lineRule="auto"/>
        <w:rPr>
          <w:rFonts w:asciiTheme="minorHAnsi" w:hAnsiTheme="minorHAnsi" w:cstheme="minorHAnsi"/>
          <w:sz w:val="22"/>
          <w:szCs w:val="22"/>
          <w:lang w:val="en-GB" w:eastAsia="nb-NO"/>
        </w:rPr>
      </w:pPr>
      <w:r w:rsidRPr="00C91EF0">
        <w:rPr>
          <w:rFonts w:asciiTheme="minorHAnsi" w:hAnsiTheme="minorHAnsi" w:cstheme="minorHAnsi"/>
          <w:sz w:val="22"/>
          <w:szCs w:val="22"/>
          <w:lang w:val="en-GB" w:eastAsia="nb-NO"/>
        </w:rPr>
        <w:t>Regarding HRQoL at baseline</w:t>
      </w:r>
      <w:r w:rsidR="005047C2">
        <w:rPr>
          <w:rFonts w:asciiTheme="minorHAnsi" w:hAnsiTheme="minorHAnsi" w:cstheme="minorHAnsi"/>
          <w:sz w:val="22"/>
          <w:szCs w:val="22"/>
          <w:lang w:val="en-GB" w:eastAsia="nb-NO"/>
        </w:rPr>
        <w:t>,</w:t>
      </w:r>
      <w:r w:rsidRPr="00C91EF0">
        <w:rPr>
          <w:rFonts w:asciiTheme="minorHAnsi" w:hAnsiTheme="minorHAnsi" w:cstheme="minorHAnsi"/>
          <w:sz w:val="22"/>
          <w:szCs w:val="22"/>
          <w:lang w:val="en-GB" w:eastAsia="nb-NO"/>
        </w:rPr>
        <w:t xml:space="preserve"> we </w:t>
      </w:r>
      <w:r w:rsidR="005047C2">
        <w:rPr>
          <w:rFonts w:asciiTheme="minorHAnsi" w:hAnsiTheme="minorHAnsi" w:cstheme="minorHAnsi"/>
          <w:sz w:val="22"/>
          <w:szCs w:val="22"/>
          <w:lang w:val="en-GB" w:eastAsia="nb-NO"/>
        </w:rPr>
        <w:t xml:space="preserve">used </w:t>
      </w:r>
      <w:r w:rsidR="009C55E7" w:rsidRPr="00C91EF0">
        <w:rPr>
          <w:rFonts w:asciiTheme="minorHAnsi" w:hAnsiTheme="minorHAnsi" w:cstheme="minorHAnsi"/>
          <w:sz w:val="22"/>
          <w:szCs w:val="22"/>
          <w:lang w:val="en-GB" w:eastAsia="nb-NO"/>
        </w:rPr>
        <w:t xml:space="preserve">the </w:t>
      </w:r>
      <w:r w:rsidR="00135006">
        <w:rPr>
          <w:rFonts w:asciiTheme="minorHAnsi" w:hAnsiTheme="minorHAnsi" w:cstheme="minorHAnsi"/>
          <w:sz w:val="22"/>
          <w:szCs w:val="22"/>
          <w:lang w:val="en-GB" w:eastAsia="nb-NO"/>
        </w:rPr>
        <w:t xml:space="preserve">above described </w:t>
      </w:r>
      <w:r w:rsidR="00135006" w:rsidRPr="00C91EF0">
        <w:rPr>
          <w:rFonts w:asciiTheme="minorHAnsi" w:hAnsiTheme="minorHAnsi" w:cstheme="minorHAnsi"/>
          <w:sz w:val="22"/>
          <w:szCs w:val="22"/>
          <w:lang w:val="en-GB" w:eastAsia="nb-NO"/>
        </w:rPr>
        <w:t>EQ-5D-3L</w:t>
      </w:r>
      <w:r w:rsidR="00135006">
        <w:rPr>
          <w:rFonts w:asciiTheme="minorHAnsi" w:hAnsiTheme="minorHAnsi" w:cstheme="minorHAnsi"/>
          <w:sz w:val="22"/>
          <w:szCs w:val="22"/>
          <w:lang w:val="en-GB" w:eastAsia="nb-NO"/>
        </w:rPr>
        <w:t xml:space="preserve"> </w:t>
      </w:r>
      <w:r w:rsidR="00135006" w:rsidRPr="00C91EF0">
        <w:rPr>
          <w:rFonts w:asciiTheme="minorHAnsi" w:hAnsiTheme="minorHAnsi" w:cstheme="minorHAnsi"/>
          <w:sz w:val="22"/>
          <w:szCs w:val="22"/>
          <w:lang w:val="en-GB" w:eastAsia="nb-NO"/>
        </w:rPr>
        <w:t xml:space="preserve">index score </w:t>
      </w:r>
      <w:r w:rsidR="00135006"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{"citationItems":[{"id":"ITEM-1","itemData":{"DOI":"10.1016/0168-8510(90)90421-9","ISSN":"01688510","PMID":"10109801","abstract":"In the course of developing a standardised, non-disease-specific instrument for describing and valuing health states (based on the items in Table 1), the EuroQol Group (whose members are listed in the Appendix) conducted postal surveys in England, The Netherlands and Sweden which indicate a striking similarity in the relative valuations attached to 14 different health states. The data were collected using a visual analogue scale similar to a thermometer. The EuroQol instrument is intended to complement other quality-of-life measures and to facilitate the collection of a common data set for reference purposes. Others interested in participating in the extension of this work are invited to contact the EuroQol Group.","author":[{"dropping-particle":"","family":"EuroQol Group","given":"","non-dropping-particle":"","parse-names":false,"suffix":""}],"container-title":"Health Policy","id":"ITEM-1","issue":"3","issued":{"date-parts":[["1990","12"]]},"page":"199-208","title":"EuroQol - a new facility for the measurement of health-related quality of life","type":"article-journal","volume":"16"},"uris":["http://www.mendeley.com/documents/?uuid=90d5cf39-73c6-439e-b2f0-8f7819648c72"]}],"mendeley":{"formattedCitation":"(51)","plainTextFormattedCitation":"(51)","previouslyFormattedCitation":"(50)"},"properties":{"noteIndex":0},"schema":"https://github.com/citation-style-language/schema/raw/master/csl-citation.json"}</w:instrText>
      </w:r>
      <w:r w:rsidR="00135006"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(51)</w:t>
      </w:r>
      <w:r w:rsidR="00135006" w:rsidRPr="00C91EF0">
        <w:rPr>
          <w:rFonts w:asciiTheme="minorHAnsi" w:hAnsiTheme="minorHAnsi" w:cstheme="minorHAnsi"/>
          <w:sz w:val="22"/>
          <w:szCs w:val="22"/>
          <w:lang w:val="en-GB" w:eastAsia="nb-NO"/>
        </w:rPr>
        <w:fldChar w:fldCharType="end"/>
      </w:r>
      <w:r w:rsidR="00135006">
        <w:rPr>
          <w:rFonts w:asciiTheme="minorHAnsi" w:hAnsiTheme="minorHAnsi" w:cstheme="minorHAnsi"/>
          <w:sz w:val="22"/>
          <w:szCs w:val="22"/>
          <w:lang w:val="en-GB" w:eastAsia="nb-NO"/>
        </w:rPr>
        <w:t xml:space="preserve">. In addition, we considered the </w:t>
      </w:r>
      <w:r w:rsidR="009C55E7" w:rsidRPr="00C91EF0">
        <w:rPr>
          <w:rFonts w:asciiTheme="minorHAnsi" w:hAnsiTheme="minorHAnsi" w:cstheme="minorHAnsi"/>
          <w:sz w:val="22"/>
          <w:szCs w:val="22"/>
          <w:lang w:val="en-GB" w:eastAsia="nb-NO"/>
        </w:rPr>
        <w:t>two independent subscales from</w:t>
      </w:r>
      <w:r w:rsidRPr="00C91EF0">
        <w:rPr>
          <w:rFonts w:asciiTheme="minorHAnsi" w:hAnsiTheme="minorHAnsi" w:cstheme="minorHAnsi"/>
          <w:sz w:val="22"/>
          <w:szCs w:val="22"/>
          <w:lang w:val="en-GB" w:eastAsia="nb-NO"/>
        </w:rPr>
        <w:t xml:space="preserve"> </w:t>
      </w:r>
      <w:r w:rsidR="009C55E7" w:rsidRPr="00C91EF0">
        <w:rPr>
          <w:rFonts w:asciiTheme="minorHAnsi" w:hAnsiTheme="minorHAnsi" w:cstheme="minorHAnsi"/>
          <w:sz w:val="22"/>
          <w:szCs w:val="22"/>
          <w:lang w:val="en-GB" w:eastAsia="nb-NO"/>
        </w:rPr>
        <w:t>the HRQoL</w:t>
      </w:r>
      <w:r w:rsidRPr="00C91EF0">
        <w:rPr>
          <w:rFonts w:asciiTheme="minorHAnsi" w:hAnsiTheme="minorHAnsi" w:cstheme="minorHAnsi"/>
          <w:sz w:val="22"/>
          <w:szCs w:val="22"/>
          <w:lang w:val="en-GB" w:eastAsia="nb-NO"/>
        </w:rPr>
        <w:t xml:space="preserve"> Comorbidity Index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10.1016/j.jclinepi.2010.01.025","ISSN":"08954356","author":[{"dropping-particle":"","family":"Mukherjee","given":"Bhramar","non-dropping-particle":"","parse-names":false,"suffix":""},{"dropping-particle":"","family":"Ou","given":"Huang-Tz","non-dropping-particle":"","parse-names":false,"suffix":""},{"dropping-particle":"","family":"Wang","given":"Fei","non-dropping-particle":"","parse-names":false,"suffix":""},{"dropping-particle":"","family":"Erickson","given":"Steven R.","non-dropping-particle":"","parse-names":false,"suffix":""}],"container-title":"Journal of Clinical Epidemiology","id":"ITEM-1","issue":"3","issued":{"date-parts":[["2011","3"]]},"page":"309-319","title":"A new comorbidity index: the health-related quality of life comorbidity index","type":"article-journal","volume":"64"},"uris":["http://www.mendeley.com/documents/?uuid=aa09dab7-283a-435e-b8b3-31fa708d4ac3"]},{"id":"ITEM-2","itemData":{"DOI":"10.1089/pop.2011.0037","ISSN":"1942-7891","author":[{"dropping-particle":"","family":"Ou","given":"Huang-Tz","non-dropping-particle":"","parse-names":false,"suffix":""},{"dropping-particle":"","family":"Mukherjee","given":"Bhramar","non-dropping-particle":"","parse-names":false,"suffix":""},{"dropping-particle":"","family":"Erickson","given":"Steven R.","non-dropping-particle":"","parse-names":false,"suffix":""},{"dropping-particle":"","family":"Piette","given":"John D.","non-dropping-particle":"","parse-names":false,"suffix":""},{"dropping-particle":"","family":"Bagozzi","given":"Richard P.","non-dropping-particle":"","parse-names":false,"suffix":""},{"dropping-particle":"","family":"Balkrishnan","given":"Rajesh","non-dropping-particle":"","parse-names":false,"suffix":""}],"container-title":"Population Health Management","id":"ITEM-2","issue":"4","issued":{"date-parts":[["2012","8"]]},"page":"220-229","title":"Comparative Performance of Comorbidity Indices in Predicting Health Care-Related Behaviors and Outcomes among Medicaid Enrollees with Type 2 Diabetes","type":"article-journal","volume":"15"},"uris":["http://www.mendeley.com/documents/?uuid=f7d567fb-547f-4182-aedd-c6163cd1fc86"]},{"id":"ITEM-3","itemData":{"DOI":"10.1186/1477-7525-1-63","ISSN":"1477-7525","PMID":"14613559","abstract":"BACKGROUND Understanding health-related quality of life (HRQOL) leads to more effective and focused healthcare. America's growing health disparities makes it is increasingly necessary to understand the HRQOL of pregeriatric individuals who are now 55-64 years old, i.e. before they are eligible for federally mandated health care at age 65. Our study measured the self-perceived HRQOL of pregeriatric, poor patients with multiple chronic diseases treated at 2 public clinics. METHODS Consecutive patients aged 55-64 years, many with multiple chronic diseases, responded in an interview to the 36-Item Short-Form Health Survey (SF-36) as a general measure of HRQOL during a regular visit to one of two university-staffed urban public clinics. RESULTS The perceived physical and mental functioning of 316 pregeriatric patients was tabulated from SF-36 scores to yield their HRQOL. Their scores were statistically significantly lower than those of the general US pregeriatric population and lower than averages for US patients with multiple chronic diseases. All eight subscale scores of SF-36 were 16% to 36% lower compared with the averages of the general US pregeriatric population. Further, as the number of chronic diseases increased, the lower was the HRQOL. Lower physical and mental scores were associated with a lower income, unemployment, and higher numbers of multiple chronic diseases. CONCLUSION Chronic diseases have a powerful negative impact on perceived mental and physical functioning in pregeriatric patients. HRQOL information can assist health care providers to gain a more complete picture of their pregeriatric patients' health.","author":[{"dropping-particle":"","family":"Cheng","given":"Lee","non-dropping-particle":"","parse-names":false,"suffix":""},{"dropping-particle":"","family":"Cumber","given":"Salimah","non-dropping-particle":"","parse-names":false,"suffix":""},{"dropping-particle":"","family":"Dumas","given":"Carlos","non-dropping-particle":"","parse-names":false,"suffix":""},{"dropping-particle":"","family":"Winter","given":"Ronald","non-dropping-particle":"","parse-names":false,"suffix":""},{"dropping-particle":"","family":"Nguyen","given":"Kim M","non-dropping-particle":"","parse-names":false,"suffix":""},{"dropping-particle":"","family":"Nieman","given":"Linda Z","non-dropping-particle":"","parse-names":false,"suffix":""}],"container-title":"Health and quality of life outcomes","id":"ITEM-3","issue":"63","issued":{"date-parts":[["2003","10","31"]]},"page":"63","title":"Health related quality of life in pregeriatric patients with chronic diseases at urban, public supported clinics.","type":"article-journal","volume":"1"},"uris":["http://www.mendeley.com/documents/?uuid=a1a789f0-6b5f-4233-be06-2bdec4762987"]}],"mendeley":{"formattedCitation":"(52–54)","plainTextFormattedCitation":"(52–54)","previouslyFormattedCitation":"(51–53)"},"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(52–54)</w:t>
      </w:r>
      <w:r w:rsidR="00776DB8" w:rsidRPr="00C91EF0">
        <w:rPr>
          <w:rFonts w:asciiTheme="minorHAnsi" w:hAnsiTheme="minorHAnsi" w:cstheme="minorHAnsi"/>
          <w:sz w:val="22"/>
          <w:szCs w:val="22"/>
          <w:lang w:val="en-GB" w:eastAsia="nb-NO"/>
        </w:rPr>
        <w:fldChar w:fldCharType="end"/>
      </w:r>
      <w:r w:rsidR="009C55E7" w:rsidRPr="00C91EF0">
        <w:rPr>
          <w:rFonts w:asciiTheme="minorHAnsi" w:hAnsiTheme="minorHAnsi" w:cstheme="minorHAnsi"/>
          <w:sz w:val="22"/>
          <w:szCs w:val="22"/>
          <w:lang w:val="en-GB" w:eastAsia="nb-NO"/>
        </w:rPr>
        <w:t xml:space="preserve"> </w:t>
      </w:r>
      <w:r w:rsidR="00135006">
        <w:rPr>
          <w:rFonts w:asciiTheme="minorHAnsi" w:hAnsiTheme="minorHAnsi" w:cstheme="minorHAnsi"/>
          <w:sz w:val="22"/>
          <w:szCs w:val="22"/>
          <w:lang w:val="en-GB" w:eastAsia="nb-NO"/>
        </w:rPr>
        <w:t>as prognostic variables</w:t>
      </w:r>
      <w:r w:rsidR="009C55E7" w:rsidRPr="00C91EF0">
        <w:rPr>
          <w:rFonts w:asciiTheme="minorHAnsi" w:hAnsiTheme="minorHAnsi" w:cstheme="minorHAnsi"/>
          <w:sz w:val="22"/>
          <w:szCs w:val="22"/>
          <w:lang w:val="en-GB" w:eastAsia="nb-NO"/>
        </w:rPr>
        <w:t xml:space="preserve"> </w:t>
      </w:r>
      <w:r w:rsidR="009107F7" w:rsidRPr="00C91EF0">
        <w:rPr>
          <w:rFonts w:asciiTheme="minorHAnsi" w:hAnsiTheme="minorHAnsi" w:cstheme="minorHAnsi"/>
          <w:b/>
          <w:bCs/>
          <w:iCs/>
          <w:sz w:val="22"/>
          <w:szCs w:val="22"/>
          <w:lang w:val="en-GB"/>
        </w:rPr>
        <w:t>(Supplementa</w:t>
      </w:r>
      <w:r w:rsidR="0055111B" w:rsidRPr="00C91EF0">
        <w:rPr>
          <w:rFonts w:asciiTheme="minorHAnsi" w:hAnsiTheme="minorHAnsi" w:cstheme="minorHAnsi"/>
          <w:b/>
          <w:bCs/>
          <w:iCs/>
          <w:sz w:val="22"/>
          <w:szCs w:val="22"/>
          <w:lang w:val="en-GB"/>
        </w:rPr>
        <w:t>l</w:t>
      </w:r>
      <w:r w:rsidR="009107F7" w:rsidRPr="00C91EF0">
        <w:rPr>
          <w:rFonts w:asciiTheme="minorHAnsi" w:hAnsiTheme="minorHAnsi" w:cstheme="minorHAnsi"/>
          <w:b/>
          <w:bCs/>
          <w:iCs/>
          <w:sz w:val="22"/>
          <w:szCs w:val="22"/>
          <w:lang w:val="en-GB"/>
        </w:rPr>
        <w:t xml:space="preserve"> </w:t>
      </w:r>
      <w:r w:rsidR="00E534AB" w:rsidRPr="00C91EF0">
        <w:rPr>
          <w:rFonts w:asciiTheme="minorHAnsi" w:hAnsiTheme="minorHAnsi" w:cstheme="minorHAnsi"/>
          <w:b/>
          <w:bCs/>
          <w:iCs/>
          <w:sz w:val="22"/>
          <w:szCs w:val="22"/>
          <w:lang w:val="en-GB"/>
        </w:rPr>
        <w:t>Table</w:t>
      </w:r>
      <w:r w:rsidR="009107F7" w:rsidRPr="00C91EF0">
        <w:rPr>
          <w:rFonts w:asciiTheme="minorHAnsi" w:hAnsiTheme="minorHAnsi" w:cstheme="minorHAnsi"/>
          <w:b/>
          <w:bCs/>
          <w:iCs/>
          <w:sz w:val="22"/>
          <w:szCs w:val="22"/>
          <w:lang w:val="en-GB"/>
        </w:rPr>
        <w:t xml:space="preserve"> </w:t>
      </w:r>
      <w:r w:rsidR="00C5793E">
        <w:rPr>
          <w:rFonts w:asciiTheme="minorHAnsi" w:hAnsiTheme="minorHAnsi" w:cstheme="minorHAnsi"/>
          <w:b/>
          <w:bCs/>
          <w:iCs/>
          <w:sz w:val="22"/>
          <w:szCs w:val="22"/>
          <w:lang w:val="en-GB"/>
        </w:rPr>
        <w:t>2</w:t>
      </w:r>
      <w:r w:rsidR="009107F7" w:rsidRPr="00C91EF0">
        <w:rPr>
          <w:rFonts w:asciiTheme="minorHAnsi" w:hAnsiTheme="minorHAnsi" w:cstheme="minorHAnsi"/>
          <w:b/>
          <w:bCs/>
          <w:iCs/>
          <w:sz w:val="22"/>
          <w:szCs w:val="22"/>
          <w:lang w:val="en-GB"/>
        </w:rPr>
        <w:t>)</w:t>
      </w:r>
      <w:r w:rsidR="00E534AB" w:rsidRPr="00C91EF0">
        <w:rPr>
          <w:rFonts w:asciiTheme="minorHAnsi" w:hAnsiTheme="minorHAnsi" w:cstheme="minorHAnsi"/>
          <w:iCs/>
          <w:sz w:val="22"/>
          <w:szCs w:val="22"/>
          <w:lang w:val="en-GB"/>
        </w:rPr>
        <w:t>.</w:t>
      </w:r>
    </w:p>
    <w:p w14:paraId="284D0A51" w14:textId="2CD7F70C" w:rsidR="009107F7" w:rsidRPr="00C91EF0" w:rsidRDefault="009107F7" w:rsidP="009107F7">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[About here link to: Supplementa</w:t>
      </w:r>
      <w:r w:rsidR="0055111B" w:rsidRPr="00C91EF0">
        <w:rPr>
          <w:rFonts w:asciiTheme="minorHAnsi" w:hAnsiTheme="minorHAnsi" w:cstheme="minorHAnsi"/>
          <w:sz w:val="22"/>
          <w:szCs w:val="22"/>
          <w:lang w:val="en-GB"/>
        </w:rPr>
        <w:t>l</w:t>
      </w:r>
      <w:r w:rsidRPr="00C91EF0">
        <w:rPr>
          <w:rFonts w:asciiTheme="minorHAnsi" w:hAnsiTheme="minorHAnsi" w:cstheme="minorHAnsi"/>
          <w:sz w:val="22"/>
          <w:szCs w:val="22"/>
          <w:lang w:val="en-GB"/>
        </w:rPr>
        <w:t xml:space="preserve"> </w:t>
      </w:r>
      <w:r w:rsidR="00532666" w:rsidRPr="00C91EF0">
        <w:rPr>
          <w:rFonts w:asciiTheme="minorHAnsi" w:hAnsiTheme="minorHAnsi" w:cstheme="minorHAnsi"/>
          <w:sz w:val="22"/>
          <w:szCs w:val="22"/>
          <w:lang w:val="en-GB"/>
        </w:rPr>
        <w:t xml:space="preserve">Table </w:t>
      </w:r>
      <w:r w:rsidR="00C5793E">
        <w:rPr>
          <w:rFonts w:asciiTheme="minorHAnsi" w:hAnsiTheme="minorHAnsi" w:cstheme="minorHAnsi"/>
          <w:sz w:val="22"/>
          <w:szCs w:val="22"/>
          <w:lang w:val="en-GB"/>
        </w:rPr>
        <w:t>2</w:t>
      </w:r>
      <w:r w:rsidRPr="00C91EF0">
        <w:rPr>
          <w:rFonts w:asciiTheme="minorHAnsi" w:hAnsiTheme="minorHAnsi" w:cstheme="minorHAnsi"/>
          <w:sz w:val="22"/>
          <w:szCs w:val="22"/>
          <w:lang w:val="en-GB"/>
        </w:rPr>
        <w:t xml:space="preserve"> on </w:t>
      </w:r>
      <w:r w:rsidR="00433436">
        <w:rPr>
          <w:rFonts w:asciiTheme="minorHAnsi" w:hAnsiTheme="minorHAnsi" w:cstheme="minorHAnsi"/>
          <w:sz w:val="22"/>
          <w:szCs w:val="22"/>
          <w:lang w:val="en-GB"/>
        </w:rPr>
        <w:t>Prognostic variable</w:t>
      </w:r>
      <w:r w:rsidR="0062066E" w:rsidRPr="00C91EF0">
        <w:rPr>
          <w:rFonts w:asciiTheme="minorHAnsi" w:hAnsiTheme="minorHAnsi" w:cstheme="minorHAnsi"/>
          <w:sz w:val="22"/>
          <w:szCs w:val="22"/>
          <w:lang w:val="en-GB"/>
        </w:rPr>
        <w:t>s</w:t>
      </w:r>
      <w:r w:rsidR="006B6DE6"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and their definitions]</w:t>
      </w:r>
    </w:p>
    <w:p w14:paraId="2E918916" w14:textId="77777777" w:rsidR="009107F7" w:rsidRPr="000363B5" w:rsidRDefault="009107F7" w:rsidP="009107F7">
      <w:pPr>
        <w:spacing w:line="480" w:lineRule="auto"/>
        <w:rPr>
          <w:rFonts w:asciiTheme="minorHAnsi" w:hAnsiTheme="minorHAnsi"/>
          <w:b/>
          <w:sz w:val="22"/>
          <w:szCs w:val="22"/>
          <w:lang w:val="en-GB"/>
        </w:rPr>
      </w:pPr>
      <w:r w:rsidRPr="000363B5">
        <w:rPr>
          <w:rFonts w:asciiTheme="minorHAnsi" w:hAnsiTheme="minorHAnsi"/>
          <w:b/>
          <w:sz w:val="22"/>
          <w:szCs w:val="22"/>
          <w:lang w:val="en-GB"/>
        </w:rPr>
        <w:t>Sample size</w:t>
      </w:r>
    </w:p>
    <w:p w14:paraId="2044EBA8" w14:textId="36ACBCDD" w:rsidR="009107F7" w:rsidRPr="00433436" w:rsidRDefault="009107F7" w:rsidP="009107F7">
      <w:pPr>
        <w:spacing w:line="480" w:lineRule="auto"/>
        <w:rPr>
          <w:rFonts w:asciiTheme="minorHAnsi" w:hAnsiTheme="minorHAnsi" w:cs="Calibri"/>
          <w:sz w:val="22"/>
          <w:szCs w:val="22"/>
          <w:lang w:val="en-GB"/>
        </w:rPr>
      </w:pPr>
      <w:r w:rsidRPr="00C91EF0">
        <w:rPr>
          <w:rFonts w:asciiTheme="minorHAnsi" w:hAnsiTheme="minorHAnsi" w:cs="Calibri"/>
          <w:sz w:val="22"/>
          <w:szCs w:val="22"/>
          <w:lang w:val="en-GB"/>
        </w:rPr>
        <w:t xml:space="preserve">The sample size </w:t>
      </w:r>
      <w:r w:rsidR="005047C2">
        <w:rPr>
          <w:rFonts w:asciiTheme="minorHAnsi" w:hAnsiTheme="minorHAnsi" w:cs="Calibri"/>
          <w:sz w:val="22"/>
          <w:szCs w:val="22"/>
          <w:lang w:val="en-GB"/>
        </w:rPr>
        <w:t>re</w:t>
      </w:r>
      <w:r w:rsidR="00800480">
        <w:rPr>
          <w:rFonts w:asciiTheme="minorHAnsi" w:hAnsiTheme="minorHAnsi" w:cs="Calibri"/>
          <w:sz w:val="22"/>
          <w:szCs w:val="22"/>
          <w:lang w:val="en-GB"/>
        </w:rPr>
        <w:t xml:space="preserve">flected the number of </w:t>
      </w:r>
      <w:r w:rsidRPr="00C91EF0">
        <w:rPr>
          <w:rFonts w:asciiTheme="minorHAnsi" w:hAnsiTheme="minorHAnsi" w:cs="Calibri"/>
          <w:sz w:val="22"/>
          <w:szCs w:val="22"/>
          <w:lang w:val="en-GB"/>
        </w:rPr>
        <w:t xml:space="preserve">available observations </w:t>
      </w:r>
      <w:r w:rsidR="00C804F7" w:rsidRPr="00C91EF0">
        <w:rPr>
          <w:rFonts w:asciiTheme="minorHAnsi" w:hAnsiTheme="minorHAnsi" w:cs="Calibri"/>
          <w:sz w:val="22"/>
          <w:szCs w:val="22"/>
          <w:lang w:val="en-GB"/>
        </w:rPr>
        <w:t xml:space="preserve">in the </w:t>
      </w:r>
      <w:r w:rsidRPr="00C91EF0">
        <w:rPr>
          <w:rFonts w:asciiTheme="minorHAnsi" w:hAnsiTheme="minorHAnsi" w:cs="Calibri"/>
          <w:sz w:val="22"/>
          <w:szCs w:val="22"/>
          <w:lang w:val="en-GB"/>
        </w:rPr>
        <w:t>included trials.</w:t>
      </w:r>
      <w:r w:rsidR="006E7296">
        <w:rPr>
          <w:rFonts w:asciiTheme="minorHAnsi" w:hAnsiTheme="minorHAnsi" w:cs="Calibri"/>
          <w:sz w:val="22"/>
          <w:szCs w:val="22"/>
          <w:lang w:val="en-GB"/>
        </w:rPr>
        <w:t xml:space="preserve"> In order to calculate achievable performance </w:t>
      </w:r>
      <w:r w:rsidR="00A65EEE">
        <w:rPr>
          <w:rFonts w:asciiTheme="minorHAnsi" w:hAnsiTheme="minorHAnsi" w:cs="Calibri"/>
          <w:sz w:val="22"/>
          <w:szCs w:val="22"/>
          <w:lang w:val="en-GB"/>
        </w:rPr>
        <w:t xml:space="preserve">based on the </w:t>
      </w:r>
      <w:r w:rsidR="006E7296">
        <w:rPr>
          <w:rFonts w:asciiTheme="minorHAnsi" w:hAnsiTheme="minorHAnsi" w:cs="Calibri"/>
          <w:sz w:val="22"/>
          <w:szCs w:val="22"/>
          <w:lang w:val="en-GB"/>
        </w:rPr>
        <w:t xml:space="preserve">available sample size, we applied the formulae for minimum sample sizes </w:t>
      </w:r>
      <w:r w:rsidR="006E7296" w:rsidRPr="00C91EF0">
        <w:rPr>
          <w:rFonts w:asciiTheme="minorHAnsi" w:hAnsiTheme="minorHAnsi" w:cs="Calibri"/>
          <w:sz w:val="22"/>
          <w:szCs w:val="22"/>
          <w:lang w:val="en-GB"/>
        </w:rPr>
        <w:fldChar w:fldCharType="begin" w:fldLock="1"/>
      </w:r>
      <w:r w:rsidR="006E7296">
        <w:rPr>
          <w:rFonts w:asciiTheme="minorHAnsi" w:hAnsiTheme="minorHAnsi" w:cs="Calibri"/>
          <w:sz w:val="22"/>
          <w:szCs w:val="22"/>
          <w:lang w:val="en-GB"/>
        </w:rPr>
        <w:instrText>ADDIN CSL_CITATION {"citationItems":[{"id":"ITEM-1","itemData":{"DOI":"10.1002/sim.7992","ISSN":"02776715","author":[{"dropping-particle":"","family":"Riley","given":"Richard David","non-dropping-particle":"","parse-names":false,"suffix":""},{"dropping-particle":"","family":"Snell","given":"Kym I.E.","non-dropping-particle":"","parse-names":false,"suffix":""},{"dropping-particle":"","family":"Ensor","given":"Joie","non-dropping-particle":"","parse-names":false,"suffix":""},{"dropping-particle":"","family":"Burke","given":"Danielle L","non-dropping-particle":"","parse-names":false,"suffix":""},{"dropping-particle":"","family":"Harrell Jr","given":"Frank E","non-dropping-particle":"","parse-names":false,"suffix":""},{"dropping-particle":"","family":"Moons","given":"Karel GM","non-dropping-particle":"","parse-names":false,"suffix":""},{"dropping-particle":"","family":"Collins","given":"Gary S","non-dropping-particle":"","parse-names":false,"suffix":""}],"container-title":"Statistics in Medicine","id":"ITEM-1","issue":"7","issued":{"date-parts":[["2019","3","30"]]},"page":"1276-1296","title":"Minimum sample size for developing a multivariable prediction model: PART II - binary and time-to-event outcomes","type":"article-journal","volume":"38"},"uris":["http://www.mendeley.com/documents/?uuid=e444ea2f-6ef7-4aec-9314-525addf2f48d"]}],"mendeley":{"formattedCitation":"(55)","plainTextFormattedCitation":"(55)","previouslyFormattedCitation":"(54)"},"properties":{"noteIndex":0},"schema":"https://github.com/citation-style-language/schema/raw/master/csl-citation.json"}</w:instrText>
      </w:r>
      <w:r w:rsidR="006E7296" w:rsidRPr="00C91EF0">
        <w:rPr>
          <w:rFonts w:asciiTheme="minorHAnsi" w:hAnsiTheme="minorHAnsi" w:cs="Calibri"/>
          <w:sz w:val="22"/>
          <w:szCs w:val="22"/>
          <w:lang w:val="en-GB"/>
        </w:rPr>
        <w:fldChar w:fldCharType="separate"/>
      </w:r>
      <w:r w:rsidR="006E7296" w:rsidRPr="006819A8">
        <w:rPr>
          <w:rFonts w:asciiTheme="minorHAnsi" w:hAnsiTheme="minorHAnsi" w:cs="Calibri"/>
          <w:noProof/>
          <w:sz w:val="22"/>
          <w:szCs w:val="22"/>
          <w:lang w:val="en-GB"/>
        </w:rPr>
        <w:t>(55)</w:t>
      </w:r>
      <w:r w:rsidR="006E7296" w:rsidRPr="00C91EF0">
        <w:rPr>
          <w:rFonts w:asciiTheme="minorHAnsi" w:hAnsiTheme="minorHAnsi" w:cs="Calibri"/>
          <w:sz w:val="22"/>
          <w:szCs w:val="22"/>
          <w:lang w:val="en-GB"/>
        </w:rPr>
        <w:fldChar w:fldCharType="end"/>
      </w:r>
      <w:r w:rsidR="000069C4">
        <w:rPr>
          <w:rFonts w:asciiTheme="minorHAnsi" w:hAnsiTheme="minorHAnsi" w:cs="Calibri"/>
          <w:sz w:val="22"/>
          <w:szCs w:val="22"/>
          <w:lang w:val="en-GB"/>
        </w:rPr>
        <w:t xml:space="preserve">. </w:t>
      </w:r>
      <w:r w:rsidR="006E7296">
        <w:rPr>
          <w:rFonts w:asciiTheme="minorHAnsi" w:hAnsiTheme="minorHAnsi" w:cs="Calibri"/>
          <w:sz w:val="22"/>
          <w:szCs w:val="22"/>
          <w:lang w:val="en-GB"/>
        </w:rPr>
        <w:t xml:space="preserve">As we applied the calculation retrospectively, </w:t>
      </w:r>
      <w:r w:rsidR="00A65EEE">
        <w:rPr>
          <w:rFonts w:asciiTheme="minorHAnsi" w:hAnsiTheme="minorHAnsi" w:cs="Calibri"/>
          <w:sz w:val="22"/>
          <w:szCs w:val="22"/>
          <w:lang w:val="en-GB"/>
        </w:rPr>
        <w:t xml:space="preserve">the </w:t>
      </w:r>
      <w:r w:rsidR="006E7296">
        <w:rPr>
          <w:rFonts w:asciiTheme="minorHAnsi" w:hAnsiTheme="minorHAnsi" w:cs="Calibri"/>
          <w:sz w:val="22"/>
          <w:szCs w:val="22"/>
          <w:lang w:val="en-GB"/>
        </w:rPr>
        <w:t xml:space="preserve">sample size calculation </w:t>
      </w:r>
      <w:r w:rsidR="00A65EEE">
        <w:rPr>
          <w:rFonts w:asciiTheme="minorHAnsi" w:hAnsiTheme="minorHAnsi" w:cs="Calibri"/>
          <w:sz w:val="22"/>
          <w:szCs w:val="22"/>
          <w:lang w:val="en-GB"/>
        </w:rPr>
        <w:t xml:space="preserve">only </w:t>
      </w:r>
      <w:r w:rsidR="006E7296">
        <w:rPr>
          <w:rFonts w:asciiTheme="minorHAnsi" w:hAnsiTheme="minorHAnsi" w:cs="Calibri"/>
          <w:sz w:val="22"/>
          <w:szCs w:val="22"/>
          <w:lang w:val="en-GB"/>
        </w:rPr>
        <w:t xml:space="preserve">has exploratory character. </w:t>
      </w:r>
      <w:r w:rsidR="000069C4">
        <w:rPr>
          <w:rFonts w:asciiTheme="minorHAnsi" w:hAnsiTheme="minorHAnsi" w:cs="Calibri"/>
          <w:sz w:val="22"/>
          <w:szCs w:val="22"/>
          <w:lang w:val="en-GB"/>
        </w:rPr>
        <w:t xml:space="preserve">This was part of the process of </w:t>
      </w:r>
      <w:r w:rsidRPr="00C91EF0">
        <w:rPr>
          <w:rFonts w:asciiTheme="minorHAnsi" w:hAnsiTheme="minorHAnsi" w:cs="Calibri"/>
          <w:sz w:val="22"/>
          <w:szCs w:val="22"/>
          <w:lang w:val="en-GB"/>
        </w:rPr>
        <w:t>developing multivaria</w:t>
      </w:r>
      <w:r w:rsidR="00BC4CEE" w:rsidRPr="00C91EF0">
        <w:rPr>
          <w:rFonts w:asciiTheme="minorHAnsi" w:hAnsiTheme="minorHAnsi" w:cs="Calibri"/>
          <w:sz w:val="22"/>
          <w:szCs w:val="22"/>
          <w:lang w:val="en-GB"/>
        </w:rPr>
        <w:t>ble</w:t>
      </w:r>
      <w:r w:rsidRPr="00C91EF0">
        <w:rPr>
          <w:rFonts w:asciiTheme="minorHAnsi" w:hAnsiTheme="minorHAnsi" w:cs="Calibri"/>
          <w:sz w:val="22"/>
          <w:szCs w:val="22"/>
          <w:lang w:val="en-GB"/>
        </w:rPr>
        <w:t xml:space="preserve"> prediction models to obtain estimates for the heuristic shrinkage factor </w:t>
      </w:r>
      <w:r w:rsidR="000069C4">
        <w:rPr>
          <w:rFonts w:asciiTheme="minorHAnsi" w:hAnsiTheme="minorHAnsi" w:cs="Calibri"/>
          <w:sz w:val="22"/>
          <w:szCs w:val="22"/>
          <w:lang w:val="en-GB"/>
        </w:rPr>
        <w:t xml:space="preserve">caused by </w:t>
      </w:r>
      <w:r w:rsidRPr="00C91EF0">
        <w:rPr>
          <w:rFonts w:asciiTheme="minorHAnsi" w:hAnsiTheme="minorHAnsi" w:cs="Calibri"/>
          <w:sz w:val="22"/>
          <w:szCs w:val="22"/>
          <w:lang w:val="en-GB"/>
        </w:rPr>
        <w:t xml:space="preserve">the number of candidate predictors </w:t>
      </w:r>
      <w:r w:rsidR="00776DB8" w:rsidRPr="00C91EF0">
        <w:rPr>
          <w:rFonts w:asciiTheme="minorHAnsi" w:hAnsiTheme="minorHAnsi" w:cs="Calibri"/>
          <w:sz w:val="22"/>
          <w:szCs w:val="22"/>
          <w:lang w:val="en-GB"/>
        </w:rPr>
        <w:fldChar w:fldCharType="begin" w:fldLock="1"/>
      </w:r>
      <w:r w:rsidR="006819A8">
        <w:rPr>
          <w:rFonts w:asciiTheme="minorHAnsi" w:hAnsiTheme="minorHAnsi" w:cs="Calibri"/>
          <w:sz w:val="22"/>
          <w:szCs w:val="22"/>
          <w:lang w:val="en-GB"/>
        </w:rPr>
        <w:instrText>ADDIN CSL_CITATION {"citationItems":[{"id":"ITEM-1","itemData":{"DOI":"10.1002/sim.7992","ISSN":"02776715","author":[{"dropping-particle":"","family":"Riley","given":"Richard David","non-dropping-particle":"","parse-names":false,"suffix":""},{"dropping-particle":"","family":"Snell","given":"Kym I.E.","non-dropping-particle":"","parse-names":false,"suffix":""},{"dropping-particle":"","family":"Ensor","given":"Joie","non-dropping-particle":"","parse-names":false,"suffix":""},{"dropping-particle":"","family":"Burke","given":"Danielle L","non-dropping-particle":"","parse-names":false,"suffix":""},{"dropping-particle":"","family":"Harrell Jr","given":"Frank E","non-dropping-particle":"","parse-names":false,"suffix":""},{"dropping-particle":"","family":"Moons","given":"Karel GM","non-dropping-particle":"","parse-names":false,"suffix":""},{"dropping-particle":"","family":"Collins","given":"Gary S","non-dropping-particle":"","parse-names":false,"suffix":""}],"container-title":"Statistics in Medicine","id":"ITEM-1","issue":"7","issued":{"date-parts":[["2019","3","30"]]},"page":"1276-1296","title":"Minimum sample size for developing a multivariable prediction model: PART II - binary and time-to-event outcomes","type":"article-journal","volume":"38"},"uris":["http://www.mendeley.com/documents/?uuid=e444ea2f-6ef7-4aec-9314-525addf2f48d"]}],"mendeley":{"formattedCitation":"(55)","plainTextFormattedCitation":"(55)","previouslyFormattedCitation":"(54)"},"properties":{"noteIndex":0},"schema":"https://github.com/citation-style-language/schema/raw/master/csl-citation.json"}</w:instrText>
      </w:r>
      <w:r w:rsidR="00776DB8" w:rsidRPr="00C91EF0">
        <w:rPr>
          <w:rFonts w:asciiTheme="minorHAnsi" w:hAnsiTheme="minorHAnsi" w:cs="Calibri"/>
          <w:sz w:val="22"/>
          <w:szCs w:val="22"/>
          <w:lang w:val="en-GB"/>
        </w:rPr>
        <w:fldChar w:fldCharType="separate"/>
      </w:r>
      <w:r w:rsidR="006819A8" w:rsidRPr="006819A8">
        <w:rPr>
          <w:rFonts w:asciiTheme="minorHAnsi" w:hAnsiTheme="minorHAnsi" w:cs="Calibri"/>
          <w:noProof/>
          <w:sz w:val="22"/>
          <w:szCs w:val="22"/>
          <w:lang w:val="en-GB"/>
        </w:rPr>
        <w:t>(55)</w:t>
      </w:r>
      <w:r w:rsidR="00776DB8" w:rsidRPr="00C91EF0">
        <w:rPr>
          <w:rFonts w:asciiTheme="minorHAnsi" w:hAnsiTheme="minorHAnsi" w:cs="Calibri"/>
          <w:sz w:val="22"/>
          <w:szCs w:val="22"/>
          <w:lang w:val="en-GB"/>
        </w:rPr>
        <w:fldChar w:fldCharType="end"/>
      </w:r>
      <w:r w:rsidR="005962D5" w:rsidRPr="00C91EF0">
        <w:rPr>
          <w:rFonts w:asciiTheme="minorHAnsi" w:hAnsiTheme="minorHAnsi" w:cs="Calibri"/>
          <w:sz w:val="22"/>
          <w:szCs w:val="22"/>
          <w:lang w:val="en-GB"/>
        </w:rPr>
        <w:t>.</w:t>
      </w:r>
      <w:r w:rsidRPr="00C91EF0">
        <w:rPr>
          <w:rFonts w:asciiTheme="minorHAnsi" w:hAnsiTheme="minorHAnsi" w:cs="Calibri"/>
          <w:sz w:val="22"/>
          <w:szCs w:val="22"/>
          <w:lang w:val="en-GB"/>
        </w:rPr>
        <w:t xml:space="preserve"> </w:t>
      </w:r>
      <w:r w:rsidR="00CB3B6D">
        <w:rPr>
          <w:rFonts w:asciiTheme="minorHAnsi" w:hAnsiTheme="minorHAnsi" w:cs="Calibri"/>
          <w:sz w:val="22"/>
          <w:szCs w:val="22"/>
          <w:lang w:val="en-GB"/>
        </w:rPr>
        <w:t xml:space="preserve">Based on </w:t>
      </w:r>
      <w:r w:rsidR="005047C2">
        <w:rPr>
          <w:rFonts w:asciiTheme="minorHAnsi" w:hAnsiTheme="minorHAnsi" w:cs="Calibri"/>
          <w:sz w:val="22"/>
          <w:szCs w:val="22"/>
          <w:lang w:val="en-GB"/>
        </w:rPr>
        <w:t xml:space="preserve">the sample size of our complete-case analysis and the use of </w:t>
      </w:r>
      <w:r w:rsidR="00CB3B6D">
        <w:rPr>
          <w:rFonts w:asciiTheme="minorHAnsi" w:hAnsiTheme="minorHAnsi" w:cs="Calibri"/>
          <w:sz w:val="22"/>
          <w:szCs w:val="22"/>
          <w:lang w:val="en-GB"/>
        </w:rPr>
        <w:t>empiric</w:t>
      </w:r>
      <w:r w:rsidR="00A70CF2">
        <w:rPr>
          <w:rFonts w:asciiTheme="minorHAnsi" w:hAnsiTheme="minorHAnsi" w:cs="Calibri"/>
          <w:sz w:val="22"/>
          <w:szCs w:val="22"/>
          <w:lang w:val="en-GB"/>
        </w:rPr>
        <w:t>al</w:t>
      </w:r>
      <w:r w:rsidR="00CB3B6D">
        <w:rPr>
          <w:rFonts w:asciiTheme="minorHAnsi" w:hAnsiTheme="minorHAnsi" w:cs="Calibri"/>
          <w:sz w:val="22"/>
          <w:szCs w:val="22"/>
          <w:lang w:val="en-GB"/>
        </w:rPr>
        <w:t xml:space="preserve"> estimates</w:t>
      </w:r>
      <w:r w:rsidR="00F16B6A">
        <w:rPr>
          <w:rFonts w:asciiTheme="minorHAnsi" w:hAnsiTheme="minorHAnsi" w:cs="Calibri"/>
          <w:sz w:val="22"/>
          <w:szCs w:val="22"/>
          <w:lang w:val="en-GB"/>
        </w:rPr>
        <w:t xml:space="preserve"> o</w:t>
      </w:r>
      <w:r w:rsidR="005047C2">
        <w:rPr>
          <w:rFonts w:asciiTheme="minorHAnsi" w:hAnsiTheme="minorHAnsi" w:cs="Calibri"/>
          <w:sz w:val="22"/>
          <w:szCs w:val="22"/>
          <w:lang w:val="en-GB"/>
        </w:rPr>
        <w:t>f</w:t>
      </w:r>
      <w:r w:rsidR="00F16B6A">
        <w:rPr>
          <w:rFonts w:asciiTheme="minorHAnsi" w:hAnsiTheme="minorHAnsi" w:cs="Calibri"/>
          <w:sz w:val="22"/>
          <w:szCs w:val="22"/>
          <w:lang w:val="en-GB"/>
        </w:rPr>
        <w:t xml:space="preserve"> </w:t>
      </w:r>
      <w:r w:rsidR="001B26ED">
        <w:rPr>
          <w:rFonts w:asciiTheme="minorHAnsi" w:hAnsiTheme="minorHAnsi" w:cs="Calibri"/>
          <w:sz w:val="22"/>
          <w:szCs w:val="22"/>
          <w:lang w:val="en-GB"/>
        </w:rPr>
        <w:t>C</w:t>
      </w:r>
      <w:r w:rsidR="00F16B6A">
        <w:rPr>
          <w:rFonts w:asciiTheme="minorHAnsi" w:hAnsiTheme="minorHAnsi" w:cs="Calibri"/>
          <w:sz w:val="22"/>
          <w:szCs w:val="22"/>
          <w:lang w:val="en-GB"/>
        </w:rPr>
        <w:t>-statistics and event frequencies</w:t>
      </w:r>
      <w:r w:rsidR="00CB3B6D">
        <w:rPr>
          <w:rFonts w:asciiTheme="minorHAnsi" w:hAnsiTheme="minorHAnsi" w:cs="Calibri"/>
          <w:sz w:val="22"/>
          <w:szCs w:val="22"/>
          <w:lang w:val="en-GB"/>
        </w:rPr>
        <w:t xml:space="preserve"> </w:t>
      </w:r>
      <w:r w:rsidR="00F16B6A">
        <w:rPr>
          <w:rFonts w:asciiTheme="minorHAnsi" w:hAnsiTheme="minorHAnsi" w:cs="Calibri"/>
          <w:sz w:val="22"/>
          <w:szCs w:val="22"/>
          <w:lang w:val="en-GB"/>
        </w:rPr>
        <w:t xml:space="preserve">to approximate the </w:t>
      </w:r>
      <w:r w:rsidR="00F16B6A" w:rsidRPr="00F16B6A">
        <w:rPr>
          <w:rFonts w:asciiTheme="minorHAnsi" w:hAnsiTheme="minorHAnsi" w:cs="Calibri"/>
          <w:sz w:val="22"/>
          <w:szCs w:val="22"/>
          <w:lang w:val="en-GB"/>
        </w:rPr>
        <w:t xml:space="preserve">prediction model Cox-Snell </w:t>
      </w:r>
      <w:r w:rsidR="00F16B6A" w:rsidRPr="003C2BED">
        <w:rPr>
          <w:rFonts w:asciiTheme="minorHAnsi" w:hAnsiTheme="minorHAnsi" w:cs="Calibri"/>
          <w:sz w:val="22"/>
          <w:szCs w:val="22"/>
          <w:lang w:val="en-GB"/>
        </w:rPr>
        <w:t>R</w:t>
      </w:r>
      <w:r w:rsidR="00190B1F" w:rsidRPr="003C2BED">
        <w:rPr>
          <w:rFonts w:asciiTheme="minorHAnsi" w:hAnsiTheme="minorHAnsi" w:cs="Calibri"/>
          <w:sz w:val="22"/>
          <w:szCs w:val="22"/>
          <w:lang w:val="en-GB"/>
        </w:rPr>
        <w:t>-</w:t>
      </w:r>
      <w:proofErr w:type="spellStart"/>
      <w:r w:rsidR="00190B1F" w:rsidRPr="003C2BED">
        <w:rPr>
          <w:rFonts w:asciiTheme="minorHAnsi" w:hAnsiTheme="minorHAnsi" w:cs="Calibri"/>
          <w:sz w:val="22"/>
          <w:szCs w:val="22"/>
          <w:lang w:val="en-GB"/>
        </w:rPr>
        <w:t>squared’s</w:t>
      </w:r>
      <w:proofErr w:type="spellEnd"/>
      <w:r w:rsidR="00190B1F" w:rsidRPr="003C2BED">
        <w:rPr>
          <w:rFonts w:asciiTheme="minorHAnsi" w:hAnsiTheme="minorHAnsi" w:cs="Calibri"/>
          <w:sz w:val="22"/>
          <w:szCs w:val="22"/>
          <w:lang w:val="en-GB"/>
        </w:rPr>
        <w:t xml:space="preserve"> </w:t>
      </w:r>
      <w:r w:rsidR="00F16B6A" w:rsidRPr="00190B1F">
        <w:rPr>
          <w:rFonts w:asciiTheme="minorHAnsi" w:hAnsiTheme="minorHAnsi" w:cs="Calibri"/>
          <w:sz w:val="22"/>
          <w:szCs w:val="22"/>
          <w:lang w:val="en-GB"/>
        </w:rPr>
        <w:t>a</w:t>
      </w:r>
      <w:r w:rsidR="00F16B6A" w:rsidRPr="00F16B6A">
        <w:rPr>
          <w:rFonts w:asciiTheme="minorHAnsi" w:hAnsiTheme="minorHAnsi" w:cs="Calibri"/>
          <w:sz w:val="22"/>
          <w:szCs w:val="22"/>
          <w:lang w:val="en-GB"/>
        </w:rPr>
        <w:t>pparent performance</w:t>
      </w:r>
      <w:r w:rsidR="00461408">
        <w:rPr>
          <w:rFonts w:asciiTheme="minorHAnsi" w:hAnsiTheme="minorHAnsi" w:cs="Calibri"/>
          <w:sz w:val="22"/>
          <w:szCs w:val="22"/>
          <w:lang w:val="en-GB"/>
        </w:rPr>
        <w:t xml:space="preserve"> (</w:t>
      </w:r>
      <w:r w:rsidR="00E56A26" w:rsidRPr="00F16B6A">
        <w:rPr>
          <w:rFonts w:asciiTheme="minorHAnsi" w:hAnsiTheme="minorHAnsi" w:cs="Calibri"/>
          <w:sz w:val="22"/>
          <w:szCs w:val="22"/>
          <w:lang w:val="en-GB"/>
        </w:rPr>
        <w:t xml:space="preserve">Cox-Snell </w:t>
      </w:r>
      <w:r w:rsidR="00E56A26" w:rsidRPr="00F16B6A">
        <w:rPr>
          <w:rFonts w:asciiTheme="minorHAnsi" w:hAnsiTheme="minorHAnsi" w:cs="Calibri"/>
          <w:i/>
          <w:sz w:val="22"/>
          <w:szCs w:val="22"/>
          <w:lang w:val="en-GB"/>
        </w:rPr>
        <w:t>R</w:t>
      </w:r>
      <w:r w:rsidR="00E56A26" w:rsidRPr="00F16B6A">
        <w:rPr>
          <w:rFonts w:asciiTheme="minorHAnsi" w:hAnsiTheme="minorHAnsi" w:cs="Calibri"/>
          <w:i/>
          <w:sz w:val="22"/>
          <w:szCs w:val="22"/>
          <w:vertAlign w:val="superscript"/>
          <w:lang w:val="en-GB"/>
        </w:rPr>
        <w:t>2</w:t>
      </w:r>
      <w:r w:rsidR="00E56A26" w:rsidRPr="00F16B6A">
        <w:rPr>
          <w:rFonts w:asciiTheme="minorHAnsi" w:hAnsiTheme="minorHAnsi" w:cs="Calibri"/>
          <w:sz w:val="22"/>
          <w:szCs w:val="22"/>
          <w:lang w:val="en-GB"/>
        </w:rPr>
        <w:t xml:space="preserve"> </w:t>
      </w:r>
      <w:r w:rsidR="00E56A26">
        <w:rPr>
          <w:rFonts w:asciiTheme="minorHAnsi" w:hAnsiTheme="minorHAnsi" w:cs="Calibri"/>
          <w:sz w:val="22"/>
          <w:szCs w:val="22"/>
          <w:lang w:val="en-GB"/>
        </w:rPr>
        <w:t xml:space="preserve">of </w:t>
      </w:r>
      <w:r w:rsidR="00461408">
        <w:rPr>
          <w:rFonts w:asciiTheme="minorHAnsi" w:hAnsiTheme="minorHAnsi" w:cs="Calibri"/>
          <w:sz w:val="22"/>
          <w:szCs w:val="22"/>
          <w:lang w:val="en-GB"/>
        </w:rPr>
        <w:t>0.12)</w:t>
      </w:r>
      <w:r w:rsidR="00F16B6A">
        <w:rPr>
          <w:rFonts w:asciiTheme="minorHAnsi" w:hAnsiTheme="minorHAnsi" w:cs="Calibri"/>
          <w:sz w:val="22"/>
          <w:szCs w:val="22"/>
          <w:lang w:val="en-GB"/>
        </w:rPr>
        <w:t xml:space="preserve">, </w:t>
      </w:r>
      <w:r w:rsidR="00A70CF2">
        <w:rPr>
          <w:rFonts w:asciiTheme="minorHAnsi" w:hAnsiTheme="minorHAnsi" w:cs="Calibri"/>
          <w:sz w:val="22"/>
          <w:szCs w:val="22"/>
          <w:lang w:val="en-GB"/>
        </w:rPr>
        <w:t xml:space="preserve">we would expect </w:t>
      </w:r>
      <w:r w:rsidR="004A707B">
        <w:rPr>
          <w:rFonts w:asciiTheme="minorHAnsi" w:hAnsiTheme="minorHAnsi" w:cs="Calibri"/>
          <w:sz w:val="22"/>
          <w:szCs w:val="22"/>
          <w:lang w:val="en-GB"/>
        </w:rPr>
        <w:t xml:space="preserve">a </w:t>
      </w:r>
      <w:r w:rsidR="00A70CF2">
        <w:rPr>
          <w:rFonts w:asciiTheme="minorHAnsi" w:hAnsiTheme="minorHAnsi" w:cs="Calibri"/>
          <w:sz w:val="22"/>
          <w:szCs w:val="22"/>
          <w:lang w:val="en-GB"/>
        </w:rPr>
        <w:t xml:space="preserve">heuristic shrinkage factor </w:t>
      </w:r>
      <w:r w:rsidR="004A707B">
        <w:rPr>
          <w:rFonts w:asciiTheme="minorHAnsi" w:hAnsiTheme="minorHAnsi" w:cs="Calibri"/>
          <w:sz w:val="22"/>
          <w:szCs w:val="22"/>
          <w:lang w:val="en-GB"/>
        </w:rPr>
        <w:t xml:space="preserve">of </w:t>
      </w:r>
      <w:r w:rsidR="00A70CF2">
        <w:rPr>
          <w:rFonts w:asciiTheme="minorHAnsi" w:hAnsiTheme="minorHAnsi" w:cs="Calibri"/>
          <w:sz w:val="22"/>
          <w:szCs w:val="22"/>
          <w:lang w:val="en-GB"/>
        </w:rPr>
        <w:t>0.84</w:t>
      </w:r>
      <w:r w:rsidR="00312212">
        <w:rPr>
          <w:rFonts w:asciiTheme="minorHAnsi" w:hAnsiTheme="minorHAnsi" w:cs="Calibri"/>
          <w:sz w:val="22"/>
          <w:szCs w:val="22"/>
          <w:lang w:val="en-GB"/>
        </w:rPr>
        <w:t xml:space="preserve"> which we considered acceptable</w:t>
      </w:r>
      <w:r w:rsidR="00A70CF2">
        <w:rPr>
          <w:rFonts w:asciiTheme="minorHAnsi" w:hAnsiTheme="minorHAnsi" w:cs="Calibri"/>
          <w:sz w:val="22"/>
          <w:szCs w:val="22"/>
          <w:lang w:val="en-GB"/>
        </w:rPr>
        <w:t>.</w:t>
      </w:r>
      <w:r w:rsidRPr="00C91EF0">
        <w:rPr>
          <w:rFonts w:asciiTheme="minorHAnsi" w:hAnsiTheme="minorHAnsi" w:cs="Calibri"/>
          <w:sz w:val="22"/>
          <w:szCs w:val="22"/>
          <w:lang w:val="en-GB"/>
        </w:rPr>
        <w:t xml:space="preserve"> </w:t>
      </w:r>
    </w:p>
    <w:p w14:paraId="0F115DA2" w14:textId="77777777" w:rsidR="009107F7" w:rsidRPr="000363B5" w:rsidRDefault="009107F7" w:rsidP="009107F7">
      <w:pPr>
        <w:spacing w:line="480" w:lineRule="auto"/>
        <w:rPr>
          <w:rFonts w:asciiTheme="minorHAnsi" w:hAnsiTheme="minorHAnsi"/>
          <w:b/>
          <w:sz w:val="22"/>
          <w:szCs w:val="22"/>
          <w:lang w:val="en-GB"/>
        </w:rPr>
      </w:pPr>
      <w:r w:rsidRPr="000363B5">
        <w:rPr>
          <w:rFonts w:asciiTheme="minorHAnsi" w:hAnsiTheme="minorHAnsi"/>
          <w:b/>
          <w:sz w:val="22"/>
          <w:szCs w:val="22"/>
          <w:lang w:val="en-GB"/>
        </w:rPr>
        <w:t>Missing data</w:t>
      </w:r>
    </w:p>
    <w:p w14:paraId="2841BBE9" w14:textId="1F18614D" w:rsidR="005212EE" w:rsidRDefault="00CB3B6D" w:rsidP="00834D54">
      <w:pPr>
        <w:spacing w:line="480" w:lineRule="auto"/>
        <w:rPr>
          <w:rFonts w:asciiTheme="minorHAnsi" w:hAnsiTheme="minorHAnsi" w:cs="Calibri"/>
          <w:sz w:val="22"/>
          <w:szCs w:val="22"/>
          <w:lang w:val="en-GB"/>
        </w:rPr>
      </w:pPr>
      <w:r>
        <w:rPr>
          <w:rFonts w:asciiTheme="minorHAnsi" w:hAnsiTheme="minorHAnsi" w:cs="Calibri"/>
          <w:sz w:val="22"/>
          <w:szCs w:val="22"/>
          <w:lang w:val="en-GB"/>
        </w:rPr>
        <w:t xml:space="preserve">In addition to </w:t>
      </w:r>
      <w:r w:rsidR="00003AD0">
        <w:rPr>
          <w:rFonts w:asciiTheme="minorHAnsi" w:hAnsiTheme="minorHAnsi" w:cs="Calibri"/>
          <w:sz w:val="22"/>
          <w:szCs w:val="22"/>
          <w:lang w:val="en-GB"/>
        </w:rPr>
        <w:t xml:space="preserve">the core </w:t>
      </w:r>
      <w:r w:rsidR="009107F7" w:rsidRPr="00C91EF0">
        <w:rPr>
          <w:rFonts w:asciiTheme="minorHAnsi" w:hAnsiTheme="minorHAnsi" w:cs="Calibri"/>
          <w:sz w:val="22"/>
          <w:szCs w:val="22"/>
          <w:lang w:val="en-GB"/>
        </w:rPr>
        <w:t>analysis</w:t>
      </w:r>
      <w:r>
        <w:rPr>
          <w:rFonts w:asciiTheme="minorHAnsi" w:hAnsiTheme="minorHAnsi" w:cs="Calibri"/>
          <w:sz w:val="22"/>
          <w:szCs w:val="22"/>
          <w:lang w:val="en-GB"/>
        </w:rPr>
        <w:t xml:space="preserve"> of complete</w:t>
      </w:r>
      <w:r w:rsidR="00190B1F">
        <w:rPr>
          <w:rFonts w:asciiTheme="minorHAnsi" w:hAnsiTheme="minorHAnsi" w:cs="Calibri"/>
          <w:sz w:val="22"/>
          <w:szCs w:val="22"/>
          <w:lang w:val="en-GB"/>
        </w:rPr>
        <w:t xml:space="preserve"> </w:t>
      </w:r>
      <w:r>
        <w:rPr>
          <w:rFonts w:asciiTheme="minorHAnsi" w:hAnsiTheme="minorHAnsi" w:cs="Calibri"/>
          <w:sz w:val="22"/>
          <w:szCs w:val="22"/>
          <w:lang w:val="en-GB"/>
        </w:rPr>
        <w:t>case</w:t>
      </w:r>
      <w:r w:rsidR="009C40D5">
        <w:rPr>
          <w:rFonts w:asciiTheme="minorHAnsi" w:hAnsiTheme="minorHAnsi" w:cs="Calibri"/>
          <w:sz w:val="22"/>
          <w:szCs w:val="22"/>
          <w:lang w:val="en-GB"/>
        </w:rPr>
        <w:t>s</w:t>
      </w:r>
      <w:r w:rsidR="009107F7" w:rsidRPr="00E66EF4">
        <w:rPr>
          <w:rFonts w:asciiTheme="minorHAnsi" w:hAnsiTheme="minorHAnsi" w:cs="Calibri"/>
          <w:color w:val="000000" w:themeColor="text1"/>
          <w:sz w:val="22"/>
          <w:szCs w:val="22"/>
          <w:lang w:val="en-GB"/>
        </w:rPr>
        <w:t>, we</w:t>
      </w:r>
      <w:r w:rsidR="0095474F" w:rsidRPr="00E66EF4">
        <w:rPr>
          <w:rFonts w:asciiTheme="minorHAnsi" w:hAnsiTheme="minorHAnsi" w:cs="Calibri"/>
          <w:color w:val="000000" w:themeColor="text1"/>
          <w:sz w:val="22"/>
          <w:szCs w:val="22"/>
          <w:lang w:val="en-GB"/>
        </w:rPr>
        <w:t xml:space="preserve"> </w:t>
      </w:r>
      <w:r w:rsidR="00003AD0">
        <w:rPr>
          <w:rFonts w:asciiTheme="minorHAnsi" w:hAnsiTheme="minorHAnsi" w:cs="Calibri"/>
          <w:color w:val="000000" w:themeColor="text1"/>
          <w:sz w:val="22"/>
          <w:szCs w:val="22"/>
          <w:lang w:val="en-GB"/>
        </w:rPr>
        <w:t xml:space="preserve">conducted </w:t>
      </w:r>
      <w:r w:rsidR="0095474F" w:rsidRPr="00E66EF4">
        <w:rPr>
          <w:rFonts w:asciiTheme="minorHAnsi" w:hAnsiTheme="minorHAnsi" w:cs="Calibri"/>
          <w:color w:val="000000" w:themeColor="text1"/>
          <w:sz w:val="22"/>
          <w:szCs w:val="22"/>
          <w:lang w:val="en-GB"/>
        </w:rPr>
        <w:t xml:space="preserve">sensitivity analyses </w:t>
      </w:r>
      <w:r w:rsidR="00190B1F">
        <w:rPr>
          <w:rFonts w:asciiTheme="minorHAnsi" w:hAnsiTheme="minorHAnsi" w:cs="Calibri"/>
          <w:color w:val="000000" w:themeColor="text1"/>
          <w:sz w:val="22"/>
          <w:szCs w:val="22"/>
          <w:lang w:val="en-GB"/>
        </w:rPr>
        <w:t xml:space="preserve">using </w:t>
      </w:r>
      <w:r w:rsidR="0095474F" w:rsidRPr="00E66EF4">
        <w:rPr>
          <w:rFonts w:asciiTheme="minorHAnsi" w:hAnsiTheme="minorHAnsi" w:cs="Calibri"/>
          <w:color w:val="000000" w:themeColor="text1"/>
          <w:sz w:val="22"/>
          <w:szCs w:val="22"/>
          <w:lang w:val="en-GB"/>
        </w:rPr>
        <w:t xml:space="preserve">the </w:t>
      </w:r>
      <w:r w:rsidR="005212EE" w:rsidRPr="00E66EF4">
        <w:rPr>
          <w:rFonts w:asciiTheme="minorHAnsi" w:hAnsiTheme="minorHAnsi" w:cs="Calibri"/>
          <w:color w:val="000000" w:themeColor="text1"/>
          <w:sz w:val="22"/>
          <w:szCs w:val="22"/>
          <w:lang w:val="en-GB"/>
        </w:rPr>
        <w:t xml:space="preserve">missing-indicator method (MIM) </w:t>
      </w:r>
      <w:r w:rsidR="00776DB8" w:rsidRPr="00E66EF4">
        <w:rPr>
          <w:rFonts w:asciiTheme="minorHAnsi" w:hAnsiTheme="minorHAnsi" w:cs="Calibri"/>
          <w:color w:val="000000" w:themeColor="text1"/>
          <w:sz w:val="22"/>
          <w:szCs w:val="22"/>
          <w:lang w:val="en-GB"/>
        </w:rPr>
        <w:fldChar w:fldCharType="begin" w:fldLock="1"/>
      </w:r>
      <w:r w:rsidR="006819A8">
        <w:rPr>
          <w:rFonts w:asciiTheme="minorHAnsi" w:hAnsiTheme="minorHAnsi" w:cs="Calibri"/>
          <w:color w:val="000000" w:themeColor="text1"/>
          <w:sz w:val="22"/>
          <w:szCs w:val="22"/>
          <w:lang w:val="en-GB"/>
        </w:rPr>
        <w:instrText>ADDIN CSL_CITATION {"citationItems":[{"id":"ITEM-1","itemData":{"DOI":"10.1016/j.jclinepi.2006.01.015","ISSN":"08954356","author":[{"dropping-particle":"","family":"Heijden","given":"Geert J.M.G.","non-dropping-particle":"van der","parse-names":false,"suffix":""},{"dropping-particle":"","family":"T. Donders","given":"A. Rogier","non-dropping-particle":"","parse-names":false,"suffix":""},{"dropping-particle":"","family":"Stijnen","given":"Theo","non-dropping-particle":"","parse-names":false,"suffix":""},{"dropping-particle":"","family":"Moons","given":"Karel G.M.","non-dropping-particle":"","parse-names":false,"suffix":""}],"container-title":"Journal of Clinical Epidemiology","id":"ITEM-1","issue":"10","issued":{"date-parts":[["2006","10"]]},"page":"1102-1109","title":"Imputation of missing values is superior to complete case analysis and the missing-indicator method in multivariable diagnostic research: A clinical example","type":"article-journal","volume":"59"},"uris":["http://www.mendeley.com/documents/?uuid=d1f6eb39-bc0b-40c7-bdd1-aafd38ff655b"]},{"id":"ITEM-2","itemData":{"DOI":"10.1503/cmaj.110977","ISSN":"1488-2329","PMID":"22371511","author":[{"dropping-particle":"","family":"Groenwold","given":"Rolf H H","non-dropping-particle":"","parse-names":false,"suffix":""},{"dropping-particle":"","family":"White","given":"Ian R","non-dropping-particle":"","parse-names":false,"suffix":""},{"dropping-particle":"","family":"Donders","given":"A Rogier T","non-dropping-particle":"","parse-names":false,"suffix":""},{"dropping-particle":"","family":"Carpenter","given":"James R","non-dropping-particle":"","parse-names":false,"suffix":""},{"dropping-particle":"","family":"Altman","given":"Douglas G","non-dropping-particle":"","parse-names":false,"suffix":""},{"dropping-particle":"","family":"Moons","given":"Karel G M","non-dropping-particle":"","parse-names":false,"suffix":""}],"container-title":"CMAJ : Canadian Medical Association journal = journal de l'Association medicale canadienne","id":"ITEM-2","issue":"11","issued":{"date-parts":[["2012","8","7"]]},"page":"1265-9","title":"Missing covariate data in clinical research: when and when not to use the missing-indicator method for analysis.","type":"article-journal","volume":"184"},"uris":["http://www.mendeley.com/documents/?uuid=da71f370-da91-4c90-b2f7-932785e52914"]}],"mendeley":{"formattedCitation":"(56,57)","plainTextFormattedCitation":"(56,57)","previouslyFormattedCitation":"(55,56)"},"properties":{"noteIndex":0},"schema":"https://github.com/citation-style-language/schema/raw/master/csl-citation.json"}</w:instrText>
      </w:r>
      <w:r w:rsidR="00776DB8" w:rsidRPr="00E66EF4">
        <w:rPr>
          <w:rFonts w:asciiTheme="minorHAnsi" w:hAnsiTheme="minorHAnsi" w:cs="Calibri"/>
          <w:color w:val="000000" w:themeColor="text1"/>
          <w:sz w:val="22"/>
          <w:szCs w:val="22"/>
          <w:lang w:val="en-GB"/>
        </w:rPr>
        <w:fldChar w:fldCharType="separate"/>
      </w:r>
      <w:r w:rsidR="006819A8" w:rsidRPr="006819A8">
        <w:rPr>
          <w:rFonts w:asciiTheme="minorHAnsi" w:hAnsiTheme="minorHAnsi" w:cs="Calibri"/>
          <w:noProof/>
          <w:color w:val="000000" w:themeColor="text1"/>
          <w:sz w:val="22"/>
          <w:szCs w:val="22"/>
          <w:lang w:val="en-GB"/>
        </w:rPr>
        <w:t>(56,57)</w:t>
      </w:r>
      <w:r w:rsidR="00776DB8" w:rsidRPr="00E66EF4">
        <w:rPr>
          <w:rFonts w:asciiTheme="minorHAnsi" w:hAnsiTheme="minorHAnsi" w:cs="Calibri"/>
          <w:color w:val="000000" w:themeColor="text1"/>
          <w:sz w:val="22"/>
          <w:szCs w:val="22"/>
          <w:lang w:val="en-GB"/>
        </w:rPr>
        <w:fldChar w:fldCharType="end"/>
      </w:r>
      <w:r w:rsidR="005212EE" w:rsidRPr="00E66EF4">
        <w:rPr>
          <w:rFonts w:asciiTheme="minorHAnsi" w:hAnsiTheme="minorHAnsi" w:cs="Calibri"/>
          <w:color w:val="000000" w:themeColor="text1"/>
          <w:sz w:val="22"/>
          <w:szCs w:val="22"/>
          <w:lang w:val="en-GB"/>
        </w:rPr>
        <w:t xml:space="preserve"> and multiple imputation</w:t>
      </w:r>
      <w:r w:rsidR="00190B1F">
        <w:rPr>
          <w:rFonts w:asciiTheme="minorHAnsi" w:hAnsiTheme="minorHAnsi" w:cs="Calibri"/>
          <w:color w:val="000000" w:themeColor="text1"/>
          <w:sz w:val="22"/>
          <w:szCs w:val="22"/>
          <w:lang w:val="en-GB"/>
        </w:rPr>
        <w:t xml:space="preserve">. For the latter, we </w:t>
      </w:r>
      <w:r w:rsidR="009107F7" w:rsidRPr="00E66EF4">
        <w:rPr>
          <w:rFonts w:asciiTheme="minorHAnsi" w:hAnsiTheme="minorHAnsi" w:cs="Calibri"/>
          <w:color w:val="000000" w:themeColor="text1"/>
          <w:sz w:val="22"/>
          <w:szCs w:val="22"/>
          <w:lang w:val="en-GB"/>
        </w:rPr>
        <w:t>con</w:t>
      </w:r>
      <w:r w:rsidR="00190B1F">
        <w:rPr>
          <w:rFonts w:asciiTheme="minorHAnsi" w:hAnsiTheme="minorHAnsi" w:cs="Calibri"/>
          <w:color w:val="000000" w:themeColor="text1"/>
          <w:sz w:val="22"/>
          <w:szCs w:val="22"/>
          <w:lang w:val="en-GB"/>
        </w:rPr>
        <w:t xml:space="preserve">ducted </w:t>
      </w:r>
      <w:r w:rsidR="00BC4CEE" w:rsidRPr="00E66EF4">
        <w:rPr>
          <w:rFonts w:asciiTheme="minorHAnsi" w:hAnsiTheme="minorHAnsi" w:cs="Calibri"/>
          <w:color w:val="000000" w:themeColor="text1"/>
          <w:sz w:val="22"/>
          <w:szCs w:val="22"/>
          <w:lang w:val="en-GB"/>
        </w:rPr>
        <w:t xml:space="preserve">six </w:t>
      </w:r>
      <w:r w:rsidR="009107F7" w:rsidRPr="00E66EF4">
        <w:rPr>
          <w:rFonts w:asciiTheme="minorHAnsi" w:hAnsiTheme="minorHAnsi" w:cs="Calibri"/>
          <w:color w:val="000000" w:themeColor="text1"/>
          <w:sz w:val="22"/>
          <w:szCs w:val="22"/>
          <w:lang w:val="en-GB"/>
        </w:rPr>
        <w:t>multiple imput</w:t>
      </w:r>
      <w:r w:rsidR="00190B1F">
        <w:rPr>
          <w:rFonts w:asciiTheme="minorHAnsi" w:hAnsiTheme="minorHAnsi" w:cs="Calibri"/>
          <w:color w:val="000000" w:themeColor="text1"/>
          <w:sz w:val="22"/>
          <w:szCs w:val="22"/>
          <w:lang w:val="en-GB"/>
        </w:rPr>
        <w:t xml:space="preserve">ations </w:t>
      </w:r>
      <w:r w:rsidR="009107F7" w:rsidRPr="00E66EF4">
        <w:rPr>
          <w:rFonts w:asciiTheme="minorHAnsi" w:hAnsiTheme="minorHAnsi" w:cs="Calibri"/>
          <w:color w:val="000000" w:themeColor="text1"/>
          <w:sz w:val="22"/>
          <w:szCs w:val="22"/>
          <w:lang w:val="en-GB"/>
        </w:rPr>
        <w:t xml:space="preserve">(MI) </w:t>
      </w:r>
      <w:r w:rsidR="00190B1F">
        <w:rPr>
          <w:rFonts w:asciiTheme="minorHAnsi" w:hAnsiTheme="minorHAnsi" w:cs="Calibri"/>
          <w:color w:val="000000" w:themeColor="text1"/>
          <w:sz w:val="22"/>
          <w:szCs w:val="22"/>
          <w:lang w:val="en-GB"/>
        </w:rPr>
        <w:t xml:space="preserve">in </w:t>
      </w:r>
      <w:r w:rsidR="00197651" w:rsidRPr="00E66EF4">
        <w:rPr>
          <w:rFonts w:asciiTheme="minorHAnsi" w:hAnsiTheme="minorHAnsi" w:cs="Calibri"/>
          <w:color w:val="000000" w:themeColor="text1"/>
          <w:sz w:val="22"/>
          <w:szCs w:val="22"/>
          <w:lang w:val="en-GB"/>
        </w:rPr>
        <w:t>five</w:t>
      </w:r>
      <w:r w:rsidR="009107F7" w:rsidRPr="00E66EF4">
        <w:rPr>
          <w:rFonts w:asciiTheme="minorHAnsi" w:hAnsiTheme="minorHAnsi" w:cs="Calibri"/>
          <w:color w:val="000000" w:themeColor="text1"/>
          <w:sz w:val="22"/>
          <w:szCs w:val="22"/>
          <w:lang w:val="en-GB"/>
        </w:rPr>
        <w:t xml:space="preserve"> iterations </w:t>
      </w:r>
      <w:r w:rsidR="00776DB8" w:rsidRPr="00E66EF4">
        <w:rPr>
          <w:rFonts w:asciiTheme="minorHAnsi" w:hAnsiTheme="minorHAnsi" w:cs="Calibri"/>
          <w:color w:val="000000" w:themeColor="text1"/>
          <w:sz w:val="22"/>
          <w:szCs w:val="22"/>
          <w:lang w:val="en-GB"/>
        </w:rPr>
        <w:fldChar w:fldCharType="begin" w:fldLock="1"/>
      </w:r>
      <w:r w:rsidR="006819A8">
        <w:rPr>
          <w:rFonts w:asciiTheme="minorHAnsi" w:hAnsiTheme="minorHAnsi" w:cs="Calibri"/>
          <w:color w:val="000000" w:themeColor="text1"/>
          <w:sz w:val="22"/>
          <w:szCs w:val="22"/>
          <w:lang w:val="en-GB"/>
        </w:rPr>
        <w:instrText>ADDIN CSL_CITATION {"citationItems":[{"id":"ITEM-1","itemData":{"DOI":"10.18637/jss.v045.i03","ISSN":"1548-7660","author":[{"dropping-particle":"","family":"Buuren","given":"Stef","non-dropping-particle":"van","parse-names":false,"suffix":""},{"dropping-particle":"","family":"Groothuis-Oudshoorn","given":"Karin","non-dropping-particle":"","parse-names":false,"suffix":""}],"container-title":"Journal of Statistical Software","id":"ITEM-1","issue":"3","issued":{"date-parts":[["2011"]]},"title":"mice: Multivariate imputation by chained equations in R","type":"article-journal","volume":"1"},"uris":["http://www.mendeley.com/documents/?uuid=e2ec7a6b-bebf-4b74-bbfa-fc92b53ad2ff"]}],"mendeley":{"formattedCitation":"(58)","plainTextFormattedCitation":"(58)","previouslyFormattedCitation":"(57)"},"properties":{"noteIndex":0},"schema":"https://github.com/citation-style-language/schema/raw/master/csl-citation.json"}</w:instrText>
      </w:r>
      <w:r w:rsidR="00776DB8" w:rsidRPr="00E66EF4">
        <w:rPr>
          <w:rFonts w:asciiTheme="minorHAnsi" w:hAnsiTheme="minorHAnsi" w:cs="Calibri"/>
          <w:color w:val="000000" w:themeColor="text1"/>
          <w:sz w:val="22"/>
          <w:szCs w:val="22"/>
          <w:lang w:val="en-GB"/>
        </w:rPr>
        <w:fldChar w:fldCharType="separate"/>
      </w:r>
      <w:r w:rsidR="006819A8" w:rsidRPr="006819A8">
        <w:rPr>
          <w:rFonts w:asciiTheme="minorHAnsi" w:hAnsiTheme="minorHAnsi" w:cs="Calibri"/>
          <w:noProof/>
          <w:color w:val="000000" w:themeColor="text1"/>
          <w:sz w:val="22"/>
          <w:szCs w:val="22"/>
          <w:lang w:val="en-GB"/>
        </w:rPr>
        <w:t>(58)</w:t>
      </w:r>
      <w:r w:rsidR="00776DB8" w:rsidRPr="00E66EF4">
        <w:rPr>
          <w:rFonts w:asciiTheme="minorHAnsi" w:hAnsiTheme="minorHAnsi" w:cs="Calibri"/>
          <w:color w:val="000000" w:themeColor="text1"/>
          <w:sz w:val="22"/>
          <w:szCs w:val="22"/>
          <w:lang w:val="en-GB"/>
        </w:rPr>
        <w:fldChar w:fldCharType="end"/>
      </w:r>
      <w:r w:rsidR="00190B1F">
        <w:rPr>
          <w:rFonts w:asciiTheme="minorHAnsi" w:hAnsiTheme="minorHAnsi" w:cs="Calibri"/>
          <w:color w:val="000000" w:themeColor="text1"/>
          <w:sz w:val="22"/>
          <w:szCs w:val="22"/>
          <w:lang w:val="en-GB"/>
        </w:rPr>
        <w:t>,</w:t>
      </w:r>
      <w:r w:rsidR="009107F7" w:rsidRPr="00E66EF4">
        <w:rPr>
          <w:rFonts w:asciiTheme="minorHAnsi" w:hAnsiTheme="minorHAnsi" w:cs="Calibri"/>
          <w:color w:val="000000" w:themeColor="text1"/>
          <w:sz w:val="22"/>
          <w:szCs w:val="22"/>
          <w:lang w:val="en-GB"/>
        </w:rPr>
        <w:t xml:space="preserve"> </w:t>
      </w:r>
      <w:r w:rsidR="004A707B">
        <w:rPr>
          <w:rFonts w:asciiTheme="minorHAnsi" w:hAnsiTheme="minorHAnsi" w:cs="Calibri"/>
          <w:color w:val="000000" w:themeColor="text1"/>
          <w:sz w:val="22"/>
          <w:szCs w:val="22"/>
          <w:lang w:val="en-GB"/>
        </w:rPr>
        <w:t xml:space="preserve">and pooled them </w:t>
      </w:r>
      <w:r w:rsidR="000069C4">
        <w:rPr>
          <w:rFonts w:asciiTheme="minorHAnsi" w:hAnsiTheme="minorHAnsi" w:cs="Calibri"/>
          <w:color w:val="000000" w:themeColor="text1"/>
          <w:sz w:val="22"/>
          <w:szCs w:val="22"/>
          <w:lang w:val="en-GB"/>
        </w:rPr>
        <w:t xml:space="preserve">according to </w:t>
      </w:r>
      <w:r w:rsidR="009107F7" w:rsidRPr="00E66EF4">
        <w:rPr>
          <w:rFonts w:asciiTheme="minorHAnsi" w:hAnsiTheme="minorHAnsi" w:cs="Calibri"/>
          <w:color w:val="000000" w:themeColor="text1"/>
          <w:sz w:val="22"/>
          <w:szCs w:val="22"/>
          <w:lang w:val="en-GB"/>
        </w:rPr>
        <w:t xml:space="preserve">Rubin’s </w:t>
      </w:r>
      <w:r w:rsidR="009107F7" w:rsidRPr="00E66EF4">
        <w:rPr>
          <w:rFonts w:asciiTheme="minorHAnsi" w:hAnsiTheme="minorHAnsi" w:cs="Calibri"/>
          <w:color w:val="000000" w:themeColor="text1"/>
          <w:sz w:val="22"/>
          <w:szCs w:val="22"/>
          <w:lang w:val="en-GB"/>
        </w:rPr>
        <w:lastRenderedPageBreak/>
        <w:t xml:space="preserve">Rules </w:t>
      </w:r>
      <w:r w:rsidR="00776DB8" w:rsidRPr="00E66EF4">
        <w:rPr>
          <w:rFonts w:asciiTheme="minorHAnsi" w:hAnsiTheme="minorHAnsi" w:cs="Calibri"/>
          <w:color w:val="000000" w:themeColor="text1"/>
          <w:sz w:val="22"/>
          <w:szCs w:val="22"/>
          <w:lang w:val="en-GB"/>
        </w:rPr>
        <w:fldChar w:fldCharType="begin" w:fldLock="1"/>
      </w:r>
      <w:r w:rsidR="006819A8">
        <w:rPr>
          <w:rFonts w:asciiTheme="minorHAnsi" w:hAnsiTheme="minorHAnsi" w:cs="Calibri"/>
          <w:color w:val="000000" w:themeColor="text1"/>
          <w:sz w:val="22"/>
          <w:szCs w:val="22"/>
          <w:lang w:val="en-GB"/>
        </w:rPr>
        <w:instrText>ADDIN CSL_CITATION {"citationItems":[{"id":"ITEM-1","itemData":{"author":[{"dropping-particle":"","family":"Rubin","given":"DB","non-dropping-particle":"","parse-names":false,"suffix":""}],"id":"ITEM-1","issued":{"date-parts":[["1987"]]},"publisher":"Wiley","publisher-place":"New York","title":"Multiple Imputation for Nonresponse in Surveys","type":"book"},"uris":["http://www.mendeley.com/documents/?uuid=10239107-2b4e-4454-b9e0-36e5180a165a"]}],"mendeley":{"formattedCitation":"(59)","plainTextFormattedCitation":"(59)","previouslyFormattedCitation":"(58)"},"properties":{"noteIndex":0},"schema":"https://github.com/citation-style-language/schema/raw/master/csl-citation.json"}</w:instrText>
      </w:r>
      <w:r w:rsidR="00776DB8" w:rsidRPr="00E66EF4">
        <w:rPr>
          <w:rFonts w:asciiTheme="minorHAnsi" w:hAnsiTheme="minorHAnsi" w:cs="Calibri"/>
          <w:color w:val="000000" w:themeColor="text1"/>
          <w:sz w:val="22"/>
          <w:szCs w:val="22"/>
          <w:lang w:val="en-GB"/>
        </w:rPr>
        <w:fldChar w:fldCharType="separate"/>
      </w:r>
      <w:r w:rsidR="006819A8" w:rsidRPr="006819A8">
        <w:rPr>
          <w:rFonts w:asciiTheme="minorHAnsi" w:hAnsiTheme="minorHAnsi" w:cs="Calibri"/>
          <w:noProof/>
          <w:color w:val="000000" w:themeColor="text1"/>
          <w:sz w:val="22"/>
          <w:szCs w:val="22"/>
          <w:lang w:val="en-GB"/>
        </w:rPr>
        <w:t>(59)</w:t>
      </w:r>
      <w:r w:rsidR="00776DB8" w:rsidRPr="00E66EF4">
        <w:rPr>
          <w:rFonts w:asciiTheme="minorHAnsi" w:hAnsiTheme="minorHAnsi" w:cs="Calibri"/>
          <w:color w:val="000000" w:themeColor="text1"/>
          <w:sz w:val="22"/>
          <w:szCs w:val="22"/>
          <w:lang w:val="en-GB"/>
        </w:rPr>
        <w:fldChar w:fldCharType="end"/>
      </w:r>
      <w:r w:rsidR="0052032D" w:rsidRPr="00E66EF4">
        <w:rPr>
          <w:rFonts w:asciiTheme="minorHAnsi" w:hAnsiTheme="minorHAnsi" w:cs="Calibri"/>
          <w:color w:val="000000" w:themeColor="text1"/>
          <w:sz w:val="22"/>
          <w:szCs w:val="22"/>
          <w:lang w:val="en-GB"/>
        </w:rPr>
        <w:t xml:space="preserve">. </w:t>
      </w:r>
      <w:r w:rsidR="00190B1F">
        <w:rPr>
          <w:rFonts w:asciiTheme="minorHAnsi" w:hAnsiTheme="minorHAnsi" w:cs="Calibri"/>
          <w:color w:val="000000" w:themeColor="text1"/>
          <w:sz w:val="22"/>
          <w:szCs w:val="22"/>
          <w:lang w:val="en-GB"/>
        </w:rPr>
        <w:t xml:space="preserve">For the original trials, </w:t>
      </w:r>
      <w:r w:rsidR="000069C4">
        <w:rPr>
          <w:rFonts w:asciiTheme="minorHAnsi" w:hAnsiTheme="minorHAnsi" w:cs="Calibri"/>
          <w:color w:val="000000" w:themeColor="text1"/>
          <w:sz w:val="22"/>
          <w:szCs w:val="22"/>
          <w:lang w:val="en-GB"/>
        </w:rPr>
        <w:t xml:space="preserve">stratification was used to graphically explore </w:t>
      </w:r>
      <w:r w:rsidR="00190B1F">
        <w:rPr>
          <w:rFonts w:asciiTheme="minorHAnsi" w:hAnsiTheme="minorHAnsi" w:cs="Calibri"/>
          <w:color w:val="000000" w:themeColor="text1"/>
          <w:sz w:val="22"/>
          <w:szCs w:val="22"/>
          <w:lang w:val="en-GB"/>
        </w:rPr>
        <w:t>m</w:t>
      </w:r>
      <w:r w:rsidR="009107F7" w:rsidRPr="00E66EF4">
        <w:rPr>
          <w:rFonts w:asciiTheme="minorHAnsi" w:hAnsiTheme="minorHAnsi" w:cs="Calibri"/>
          <w:color w:val="000000" w:themeColor="text1"/>
          <w:sz w:val="22"/>
          <w:szCs w:val="22"/>
          <w:lang w:val="en-GB"/>
        </w:rPr>
        <w:t xml:space="preserve">issing data patterns </w:t>
      </w:r>
      <w:r w:rsidR="00776DB8" w:rsidRPr="00C91EF0">
        <w:rPr>
          <w:rFonts w:asciiTheme="minorHAnsi" w:hAnsiTheme="minorHAnsi" w:cs="Calibri"/>
          <w:sz w:val="22"/>
          <w:szCs w:val="22"/>
          <w:lang w:val="en-GB"/>
        </w:rPr>
        <w:fldChar w:fldCharType="begin" w:fldLock="1"/>
      </w:r>
      <w:r w:rsidR="006819A8">
        <w:rPr>
          <w:rFonts w:asciiTheme="minorHAnsi" w:hAnsiTheme="minorHAnsi" w:cs="Calibri"/>
          <w:sz w:val="22"/>
          <w:szCs w:val="22"/>
          <w:lang w:val="en-GB"/>
        </w:rPr>
        <w:instrText>ADDIN CSL_CITATION {"citationItems":[{"id":"ITEM-1","itemData":{"DOI":"10.3978/j.issn.2305-5839.2015.12.28","ISSN":"2305-5839","PMID":"26807411","abstract":"Functions shipped with R base can fulfill many tasks of missing data handling. However, because the data volume of electronic medical record (EMR) system is always very large, more sophisticated methods may be helpful in data management. The article focuses on missing data handling by using advanced techniques. There are three types of missing data, that is, missing completely at random (MCAR), missing at random (MAR) and not missing at random (NMAR). This classification system depends on how missing values are generated. Two packages, Multivariate Imputation by Chained Equations (MICE) and Visualization and Imputation of Missing Values (VIM), provide sophisticated functions to explore missing data pattern. In particular, the VIM package is especially helpful in visual inspection of missing data. Finally, correlation analysis provides information on the dependence of missing data on other variables. Such information is useful in subsequent imputations.","author":[{"dropping-particle":"","family":"Zhang","given":"Zhongheng","non-dropping-particle":"","parse-names":false,"suffix":""}],"container-title":"Annals of translational medicine","id":"ITEM-1","issue":"22","issued":{"date-parts":[["2015","12"]]},"page":"356","title":"Missing data exploration: highlighting graphical presentation of missing pattern.","type":"article-journal","volume":"3"},"uris":["http://www.mendeley.com/documents/?uuid=ff7e17b4-31fe-4054-b1ba-9e2b951a9a7b"]},{"id":"ITEM-2","itemData":{"DOI":"10.18637/jss.v074.i07","ISSN":"1548-7660","author":[{"dropping-particle":"","family":"Kowarik","given":"Alexander","non-dropping-particle":"","parse-names":false,"suffix":""},{"dropping-particle":"","family":"Templ","given":"Matthias","non-dropping-particle":"","parse-names":false,"suffix":""}],"container-title":"Journal of Statistical Software","id":"ITEM-2","issue":"7","issued":{"date-parts":[["2016"]]},"title":"Imputation with the R Package VIM","type":"article-journal","volume":"74"},"uris":["http://www.mendeley.com/documents/?uuid=47ae0d18-8b85-4319-83dc-1c34d5cca416"]}],"mendeley":{"formattedCitation":"(60,61)","plainTextFormattedCitation":"(60,61)","previouslyFormattedCitation":"(59,60)"},"properties":{"noteIndex":0},"schema":"https://github.com/citation-style-language/schema/raw/master/csl-citation.json"}</w:instrText>
      </w:r>
      <w:r w:rsidR="00776DB8" w:rsidRPr="00C91EF0">
        <w:rPr>
          <w:rFonts w:asciiTheme="minorHAnsi" w:hAnsiTheme="minorHAnsi" w:cs="Calibri"/>
          <w:sz w:val="22"/>
          <w:szCs w:val="22"/>
          <w:lang w:val="en-GB"/>
        </w:rPr>
        <w:fldChar w:fldCharType="separate"/>
      </w:r>
      <w:r w:rsidR="006819A8" w:rsidRPr="006819A8">
        <w:rPr>
          <w:rFonts w:asciiTheme="minorHAnsi" w:hAnsiTheme="minorHAnsi" w:cs="Calibri"/>
          <w:noProof/>
          <w:sz w:val="22"/>
          <w:szCs w:val="22"/>
          <w:lang w:val="en-GB"/>
        </w:rPr>
        <w:t>(60,61)</w:t>
      </w:r>
      <w:r w:rsidR="00776DB8" w:rsidRPr="00C91EF0">
        <w:rPr>
          <w:rFonts w:asciiTheme="minorHAnsi" w:hAnsiTheme="minorHAnsi" w:cs="Calibri"/>
          <w:sz w:val="22"/>
          <w:szCs w:val="22"/>
          <w:lang w:val="en-GB"/>
        </w:rPr>
        <w:fldChar w:fldCharType="end"/>
      </w:r>
      <w:r w:rsidR="009107F7" w:rsidRPr="00C91EF0">
        <w:rPr>
          <w:rFonts w:asciiTheme="minorHAnsi" w:hAnsiTheme="minorHAnsi" w:cs="Calibri"/>
          <w:sz w:val="22"/>
          <w:szCs w:val="22"/>
          <w:lang w:val="en-GB"/>
        </w:rPr>
        <w:t xml:space="preserve">. This revealed the </w:t>
      </w:r>
      <w:r w:rsidR="00190B1F">
        <w:rPr>
          <w:rFonts w:asciiTheme="minorHAnsi" w:hAnsiTheme="minorHAnsi" w:cs="Calibri"/>
          <w:sz w:val="22"/>
          <w:szCs w:val="22"/>
          <w:lang w:val="en-GB"/>
        </w:rPr>
        <w:t xml:space="preserve">various </w:t>
      </w:r>
      <w:r w:rsidR="009107F7" w:rsidRPr="00C91EF0">
        <w:rPr>
          <w:rFonts w:asciiTheme="minorHAnsi" w:hAnsiTheme="minorHAnsi" w:cs="Calibri"/>
          <w:sz w:val="22"/>
          <w:szCs w:val="22"/>
          <w:lang w:val="en-GB"/>
        </w:rPr>
        <w:t>contribution</w:t>
      </w:r>
      <w:r w:rsidR="00190B1F">
        <w:rPr>
          <w:rFonts w:asciiTheme="minorHAnsi" w:hAnsiTheme="minorHAnsi" w:cs="Calibri"/>
          <w:sz w:val="22"/>
          <w:szCs w:val="22"/>
          <w:lang w:val="en-GB"/>
        </w:rPr>
        <w:t>s</w:t>
      </w:r>
      <w:r w:rsidR="009107F7" w:rsidRPr="00C91EF0">
        <w:rPr>
          <w:rFonts w:asciiTheme="minorHAnsi" w:hAnsiTheme="minorHAnsi" w:cs="Calibri"/>
          <w:sz w:val="22"/>
          <w:szCs w:val="22"/>
          <w:lang w:val="en-GB"/>
        </w:rPr>
        <w:t xml:space="preserve"> of sporadically and systematically missing values</w:t>
      </w:r>
      <w:r w:rsidR="00C97294" w:rsidRPr="00C91EF0">
        <w:rPr>
          <w:rFonts w:asciiTheme="minorHAnsi" w:hAnsiTheme="minorHAnsi" w:cs="Calibri"/>
          <w:sz w:val="22"/>
          <w:szCs w:val="22"/>
          <w:lang w:val="en-GB"/>
        </w:rPr>
        <w:t xml:space="preserve"> (variable</w:t>
      </w:r>
      <w:r w:rsidR="00190B1F">
        <w:rPr>
          <w:rFonts w:asciiTheme="minorHAnsi" w:hAnsiTheme="minorHAnsi" w:cs="Calibri"/>
          <w:sz w:val="22"/>
          <w:szCs w:val="22"/>
          <w:lang w:val="en-GB"/>
        </w:rPr>
        <w:t xml:space="preserve"> </w:t>
      </w:r>
      <w:r w:rsidR="00C97294" w:rsidRPr="00C91EF0">
        <w:rPr>
          <w:rFonts w:asciiTheme="minorHAnsi" w:hAnsiTheme="minorHAnsi" w:cs="Calibri"/>
          <w:sz w:val="22"/>
          <w:szCs w:val="22"/>
          <w:lang w:val="en-GB"/>
        </w:rPr>
        <w:t xml:space="preserve">not recorded in </w:t>
      </w:r>
      <w:r w:rsidR="000069C4">
        <w:rPr>
          <w:rFonts w:asciiTheme="minorHAnsi" w:hAnsiTheme="minorHAnsi" w:cs="Calibri"/>
          <w:sz w:val="22"/>
          <w:szCs w:val="22"/>
          <w:lang w:val="en-GB"/>
        </w:rPr>
        <w:t xml:space="preserve">the </w:t>
      </w:r>
      <w:r w:rsidR="00C97294" w:rsidRPr="00C91EF0">
        <w:rPr>
          <w:rFonts w:asciiTheme="minorHAnsi" w:hAnsiTheme="minorHAnsi" w:cs="Calibri"/>
          <w:sz w:val="22"/>
          <w:szCs w:val="22"/>
          <w:lang w:val="en-GB"/>
        </w:rPr>
        <w:t>trial</w:t>
      </w:r>
      <w:r w:rsidR="000069C4">
        <w:rPr>
          <w:rFonts w:asciiTheme="minorHAnsi" w:hAnsiTheme="minorHAnsi" w:cs="Calibri"/>
          <w:sz w:val="22"/>
          <w:szCs w:val="22"/>
          <w:lang w:val="en-GB"/>
        </w:rPr>
        <w:t>s</w:t>
      </w:r>
      <w:r w:rsidR="00C97294" w:rsidRPr="00C91EF0">
        <w:rPr>
          <w:rFonts w:asciiTheme="minorHAnsi" w:hAnsiTheme="minorHAnsi" w:cs="Calibri"/>
          <w:sz w:val="22"/>
          <w:szCs w:val="22"/>
          <w:lang w:val="en-GB"/>
        </w:rPr>
        <w:t>)</w:t>
      </w:r>
      <w:r w:rsidR="009107F7" w:rsidRPr="00C91EF0">
        <w:rPr>
          <w:rFonts w:asciiTheme="minorHAnsi" w:hAnsiTheme="minorHAnsi" w:cs="Calibri"/>
          <w:sz w:val="22"/>
          <w:szCs w:val="22"/>
          <w:lang w:val="en-GB"/>
        </w:rPr>
        <w:t xml:space="preserve">. </w:t>
      </w:r>
      <w:r w:rsidR="00C97294" w:rsidRPr="00C91EF0">
        <w:rPr>
          <w:rFonts w:asciiTheme="minorHAnsi" w:hAnsiTheme="minorHAnsi" w:cs="Calibri"/>
          <w:sz w:val="22"/>
          <w:szCs w:val="22"/>
          <w:lang w:val="en-GB"/>
        </w:rPr>
        <w:t xml:space="preserve">We </w:t>
      </w:r>
      <w:r w:rsidR="004B46F0">
        <w:rPr>
          <w:rFonts w:asciiTheme="minorHAnsi" w:hAnsiTheme="minorHAnsi" w:cs="Calibri"/>
          <w:sz w:val="22"/>
          <w:szCs w:val="22"/>
          <w:lang w:val="en-GB"/>
        </w:rPr>
        <w:t xml:space="preserve">performed </w:t>
      </w:r>
      <w:r w:rsidR="00C97294" w:rsidRPr="00C91EF0">
        <w:rPr>
          <w:rFonts w:asciiTheme="minorHAnsi" w:hAnsiTheme="minorHAnsi" w:cs="Calibri"/>
          <w:sz w:val="22"/>
          <w:szCs w:val="22"/>
          <w:lang w:val="en-GB"/>
        </w:rPr>
        <w:t xml:space="preserve">multi-level multiple imputation </w:t>
      </w:r>
      <w:r w:rsidR="009107F7" w:rsidRPr="00C91EF0">
        <w:rPr>
          <w:rFonts w:asciiTheme="minorHAnsi" w:hAnsiTheme="minorHAnsi" w:cs="Calibri"/>
          <w:sz w:val="22"/>
          <w:szCs w:val="22"/>
          <w:lang w:val="en-GB"/>
        </w:rPr>
        <w:t xml:space="preserve">to adjust for within-trial and between-trial variability </w:t>
      </w:r>
      <w:r w:rsidR="00776DB8" w:rsidRPr="00C91EF0">
        <w:rPr>
          <w:rFonts w:asciiTheme="minorHAnsi" w:hAnsiTheme="minorHAnsi" w:cs="Calibri"/>
          <w:sz w:val="22"/>
          <w:szCs w:val="22"/>
          <w:lang w:val="en-GB"/>
        </w:rPr>
        <w:fldChar w:fldCharType="begin" w:fldLock="1"/>
      </w:r>
      <w:r w:rsidR="006819A8">
        <w:rPr>
          <w:rFonts w:asciiTheme="minorHAnsi" w:hAnsiTheme="minorHAnsi" w:cs="Calibri"/>
          <w:sz w:val="22"/>
          <w:szCs w:val="22"/>
          <w:lang w:val="en-GB"/>
        </w:rPr>
        <w:instrText>ADDIN CSL_CITATION {"citationItems":[{"id":"ITEM-1","itemData":{"DOI":"10.1002/sim.6451","ISSN":"1097-0258","PMID":"25663182","abstract":"Individual participant data meta-analyses (IPD-MA) are increasingly used for developing and validating multivariable (diagnostic or prognostic) risk prediction models. Unfortunately, some predictors or even outcomes may not have been measured in each study and are thus systematically missing in some individual studies of the IPD-MA. As a consequence, it is no longer possible to evaluate between-study heterogeneity and to estimate study-specific predictor effects, or to include all individual studies, which severely hampers the development and validation of prediction models. Here, we describe a novel approach for imputing systematically missing data and adopt a generalized linear mixed model to allow for between-study heterogeneity. This approach can be viewed as an extension of Resche-Rigon's method (Stat Med 2013), relaxing their assumptions regarding variance components and allowing imputation of linear and nonlinear predictors. We illustrate our approach using a case study with IPD-MA of 13 studies to develop and validate a diagnostic prediction model for the presence of deep venous thrombosis. We compare the results after applying four methods for dealing with systematically missing predictors in one or more individual studies: complete case analysis where studies with systematically missing predictors are removed, traditional multiple imputation ignoring heterogeneity across studies, stratified multiple imputation accounting for heterogeneity in predictor prevalence, and multilevel multiple imputation (MLMI) fully accounting for between-study heterogeneity. We conclude that MLMI may substantially improve the estimation of between-study heterogeneity parameters and allow for imputation of systematically missing predictors in IPD-MA aimed at the development and validation of prediction models.","author":[{"dropping-particle":"","family":"Jolani","given":"Shahab","non-dropping-particle":"","parse-names":false,"suffix":""},{"dropping-particle":"","family":"Debray","given":"Thomas P A","non-dropping-particle":"","parse-names":false,"suffix":""},{"dropping-particle":"","family":"Koffijberg","given":"Hendrik","non-dropping-particle":"","parse-names":false,"suffix":""},{"dropping-particle":"","family":"Buuren","given":"Stef","non-dropping-particle":"van","parse-names":false,"suffix":""},{"dropping-particle":"","family":"Moons","given":"Karel G M","non-dropping-particle":"","parse-names":false,"suffix":""}],"container-title":"Statistics in medicine","id":"ITEM-1","issue":"11","issued":{"date-parts":[["2015","5","20"]]},"page":"1841-63","title":"Imputation of systematically missing predictors in an individual participant data meta-analysis: a generalized approach using MICE.","type":"article-journal","volume":"34"},"uris":["http://www.mendeley.com/documents/?uuid=6ad502f0-ff7f-4b63-bedc-ff229e9efe6b"]}],"mendeley":{"formattedCitation":"(62)","plainTextFormattedCitation":"(62)","previouslyFormattedCitation":"(61)"},"properties":{"noteIndex":0},"schema":"https://github.com/citation-style-language/schema/raw/master/csl-citation.json"}</w:instrText>
      </w:r>
      <w:r w:rsidR="00776DB8" w:rsidRPr="00C91EF0">
        <w:rPr>
          <w:rFonts w:asciiTheme="minorHAnsi" w:hAnsiTheme="minorHAnsi" w:cs="Calibri"/>
          <w:sz w:val="22"/>
          <w:szCs w:val="22"/>
          <w:lang w:val="en-GB"/>
        </w:rPr>
        <w:fldChar w:fldCharType="separate"/>
      </w:r>
      <w:r w:rsidR="006819A8" w:rsidRPr="006819A8">
        <w:rPr>
          <w:rFonts w:asciiTheme="minorHAnsi" w:hAnsiTheme="minorHAnsi" w:cs="Calibri"/>
          <w:noProof/>
          <w:sz w:val="22"/>
          <w:szCs w:val="22"/>
          <w:lang w:val="en-GB"/>
        </w:rPr>
        <w:t>(62)</w:t>
      </w:r>
      <w:r w:rsidR="00776DB8" w:rsidRPr="00C91EF0">
        <w:rPr>
          <w:rFonts w:asciiTheme="minorHAnsi" w:hAnsiTheme="minorHAnsi" w:cs="Calibri"/>
          <w:sz w:val="22"/>
          <w:szCs w:val="22"/>
          <w:lang w:val="en-GB"/>
        </w:rPr>
        <w:fldChar w:fldCharType="end"/>
      </w:r>
      <w:r w:rsidR="005962D5" w:rsidRPr="00C91EF0">
        <w:rPr>
          <w:rFonts w:asciiTheme="minorHAnsi" w:hAnsiTheme="minorHAnsi" w:cs="Calibri"/>
          <w:sz w:val="22"/>
          <w:szCs w:val="22"/>
          <w:lang w:val="en-GB"/>
        </w:rPr>
        <w:t>.</w:t>
      </w:r>
      <w:r w:rsidR="009107F7" w:rsidRPr="00C91EF0">
        <w:rPr>
          <w:rFonts w:asciiTheme="minorHAnsi" w:hAnsiTheme="minorHAnsi" w:cs="Calibri"/>
          <w:sz w:val="22"/>
          <w:szCs w:val="22"/>
          <w:lang w:val="en-GB"/>
        </w:rPr>
        <w:t xml:space="preserve"> </w:t>
      </w:r>
    </w:p>
    <w:p w14:paraId="7CD2ABFD" w14:textId="48723CE9" w:rsidR="001B3547" w:rsidRPr="00C91EF0" w:rsidRDefault="000069C4" w:rsidP="00834D54">
      <w:pPr>
        <w:spacing w:line="480" w:lineRule="auto"/>
        <w:rPr>
          <w:rFonts w:asciiTheme="minorHAnsi" w:hAnsiTheme="minorHAnsi" w:cstheme="minorHAnsi"/>
          <w:sz w:val="22"/>
          <w:szCs w:val="22"/>
          <w:lang w:val="en-GB" w:eastAsia="nb-NO"/>
        </w:rPr>
      </w:pPr>
      <w:r>
        <w:rPr>
          <w:rFonts w:asciiTheme="minorHAnsi" w:hAnsiTheme="minorHAnsi" w:cs="Calibri"/>
          <w:sz w:val="22"/>
          <w:szCs w:val="22"/>
          <w:lang w:val="en-GB"/>
        </w:rPr>
        <w:t>When values were missing systematically, w</w:t>
      </w:r>
      <w:r w:rsidR="009107F7" w:rsidRPr="00C91EF0">
        <w:rPr>
          <w:rFonts w:asciiTheme="minorHAnsi" w:hAnsiTheme="minorHAnsi" w:cs="Calibri"/>
          <w:sz w:val="22"/>
          <w:szCs w:val="22"/>
          <w:lang w:val="en-GB"/>
        </w:rPr>
        <w:t xml:space="preserve">e did not consider </w:t>
      </w:r>
      <w:r w:rsidR="00003AD0">
        <w:rPr>
          <w:rFonts w:asciiTheme="minorHAnsi" w:hAnsiTheme="minorHAnsi" w:cs="Calibri"/>
          <w:sz w:val="22"/>
          <w:szCs w:val="22"/>
          <w:lang w:val="en-GB"/>
        </w:rPr>
        <w:t xml:space="preserve">the associated </w:t>
      </w:r>
      <w:r w:rsidR="009107F7" w:rsidRPr="00C91EF0">
        <w:rPr>
          <w:rFonts w:asciiTheme="minorHAnsi" w:hAnsiTheme="minorHAnsi" w:cs="Calibri"/>
          <w:sz w:val="22"/>
          <w:szCs w:val="22"/>
          <w:lang w:val="en-GB"/>
        </w:rPr>
        <w:t xml:space="preserve">candidate </w:t>
      </w:r>
      <w:r w:rsidR="006B6DE6" w:rsidRPr="00C91EF0">
        <w:rPr>
          <w:rFonts w:asciiTheme="minorHAnsi" w:hAnsiTheme="minorHAnsi" w:cs="Calibri"/>
          <w:sz w:val="22"/>
          <w:szCs w:val="22"/>
          <w:lang w:val="en-GB"/>
        </w:rPr>
        <w:t xml:space="preserve">prognostic </w:t>
      </w:r>
      <w:r w:rsidR="0062066E" w:rsidRPr="00C91EF0">
        <w:rPr>
          <w:rFonts w:asciiTheme="minorHAnsi" w:hAnsiTheme="minorHAnsi" w:cs="Calibri"/>
          <w:sz w:val="22"/>
          <w:szCs w:val="22"/>
          <w:lang w:val="en-GB"/>
        </w:rPr>
        <w:t>variables</w:t>
      </w:r>
      <w:r w:rsidR="006B6DE6" w:rsidRPr="00C91EF0">
        <w:rPr>
          <w:rFonts w:asciiTheme="minorHAnsi" w:hAnsiTheme="minorHAnsi" w:cs="Calibri"/>
          <w:sz w:val="22"/>
          <w:szCs w:val="22"/>
          <w:lang w:val="en-GB"/>
        </w:rPr>
        <w:t xml:space="preserve"> </w:t>
      </w:r>
      <w:r w:rsidR="00A70CF2">
        <w:rPr>
          <w:rFonts w:asciiTheme="minorHAnsi" w:hAnsiTheme="minorHAnsi" w:cs="Calibri"/>
          <w:sz w:val="22"/>
          <w:szCs w:val="22"/>
          <w:lang w:val="en-GB"/>
        </w:rPr>
        <w:t>in any of</w:t>
      </w:r>
      <w:r w:rsidR="00CC1C01">
        <w:rPr>
          <w:rFonts w:asciiTheme="minorHAnsi" w:hAnsiTheme="minorHAnsi" w:cs="Calibri"/>
          <w:sz w:val="22"/>
          <w:szCs w:val="22"/>
          <w:lang w:val="en-GB"/>
        </w:rPr>
        <w:t xml:space="preserve"> </w:t>
      </w:r>
      <w:r w:rsidR="00A70CF2">
        <w:rPr>
          <w:rFonts w:asciiTheme="minorHAnsi" w:hAnsiTheme="minorHAnsi" w:cs="Calibri"/>
          <w:sz w:val="22"/>
          <w:szCs w:val="22"/>
          <w:lang w:val="en-GB"/>
        </w:rPr>
        <w:t xml:space="preserve">the trials </w:t>
      </w:r>
      <w:r w:rsidR="008E28B3" w:rsidRPr="00C91EF0">
        <w:rPr>
          <w:rFonts w:asciiTheme="minorHAnsi" w:hAnsiTheme="minorHAnsi" w:cs="Calibri"/>
          <w:sz w:val="22"/>
          <w:szCs w:val="22"/>
          <w:lang w:val="en-GB"/>
        </w:rPr>
        <w:t>(i.e. smoking status, Charlson comorbidity index)</w:t>
      </w:r>
      <w:r w:rsidR="009E1577" w:rsidRPr="00C91EF0">
        <w:rPr>
          <w:rFonts w:asciiTheme="minorHAnsi" w:hAnsiTheme="minorHAnsi" w:cs="Calibri"/>
          <w:sz w:val="22"/>
          <w:szCs w:val="22"/>
          <w:lang w:val="en-GB"/>
        </w:rPr>
        <w:t>.</w:t>
      </w:r>
    </w:p>
    <w:p w14:paraId="391CFAA7" w14:textId="028BCE25" w:rsidR="00D6770A" w:rsidRDefault="00D6770A" w:rsidP="00D6770A">
      <w:pPr>
        <w:spacing w:line="480" w:lineRule="auto"/>
        <w:rPr>
          <w:rFonts w:asciiTheme="minorHAnsi" w:hAnsiTheme="minorHAnsi" w:cstheme="minorHAnsi"/>
          <w:b/>
          <w:sz w:val="22"/>
          <w:szCs w:val="22"/>
          <w:lang w:val="en-GB"/>
        </w:rPr>
      </w:pPr>
      <w:r w:rsidRPr="000363B5">
        <w:rPr>
          <w:rFonts w:asciiTheme="minorHAnsi" w:hAnsiTheme="minorHAnsi" w:cstheme="minorHAnsi"/>
          <w:b/>
          <w:sz w:val="22"/>
          <w:szCs w:val="22"/>
          <w:lang w:val="en-GB"/>
        </w:rPr>
        <w:t>Statistical analysis methods</w:t>
      </w:r>
    </w:p>
    <w:p w14:paraId="487020C2" w14:textId="5F377A47" w:rsidR="00312212" w:rsidRPr="00A65EEE" w:rsidRDefault="00312212" w:rsidP="00D6770A">
      <w:pPr>
        <w:spacing w:line="480" w:lineRule="auto"/>
        <w:rPr>
          <w:rFonts w:asciiTheme="minorHAnsi" w:hAnsiTheme="minorHAnsi" w:cstheme="minorHAnsi"/>
          <w:bCs/>
          <w:i/>
          <w:iCs/>
          <w:sz w:val="22"/>
          <w:szCs w:val="22"/>
          <w:lang w:val="en-GB"/>
        </w:rPr>
      </w:pPr>
      <w:r>
        <w:rPr>
          <w:rFonts w:asciiTheme="minorHAnsi" w:hAnsiTheme="minorHAnsi" w:cstheme="minorHAnsi"/>
          <w:bCs/>
          <w:i/>
          <w:iCs/>
          <w:sz w:val="22"/>
          <w:szCs w:val="22"/>
          <w:lang w:val="en-GB"/>
        </w:rPr>
        <w:t xml:space="preserve">Modelling framework to deal with within-study correlations and between-study heterogeneity </w:t>
      </w:r>
      <w:r w:rsidR="00A65EEE">
        <w:rPr>
          <w:rFonts w:asciiTheme="minorHAnsi" w:hAnsiTheme="minorHAnsi" w:cstheme="minorHAnsi"/>
          <w:bCs/>
          <w:i/>
          <w:iCs/>
          <w:sz w:val="22"/>
          <w:szCs w:val="22"/>
          <w:lang w:val="en-GB"/>
        </w:rPr>
        <w:t>in</w:t>
      </w:r>
      <w:r>
        <w:rPr>
          <w:rFonts w:asciiTheme="minorHAnsi" w:hAnsiTheme="minorHAnsi" w:cstheme="minorHAnsi"/>
          <w:bCs/>
          <w:i/>
          <w:iCs/>
          <w:sz w:val="22"/>
          <w:szCs w:val="22"/>
          <w:lang w:val="en-GB"/>
        </w:rPr>
        <w:t xml:space="preserve"> the IPD</w:t>
      </w:r>
    </w:p>
    <w:p w14:paraId="27C8A852" w14:textId="730BCCB6" w:rsidR="00D6770A" w:rsidRDefault="006B6DE6"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Prognostic </w:t>
      </w:r>
      <w:r w:rsidR="00D6770A" w:rsidRPr="00C91EF0">
        <w:rPr>
          <w:rFonts w:asciiTheme="minorHAnsi" w:hAnsiTheme="minorHAnsi" w:cstheme="minorHAnsi"/>
          <w:sz w:val="22"/>
          <w:szCs w:val="22"/>
          <w:lang w:val="en-GB"/>
        </w:rPr>
        <w:t xml:space="preserve">model development and validation relied on an established framework for developing and evaluating clinical prediction models in an IPD-MA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{"citationItems":[{"id":"ITEM-1","itemData":{"DOI":"10.1002/sim.5732","ISBN":"1097-0258 (Electronic)\\r0277-6715 (Linking)","ISSN":"02776715","PMID":"23307585","abstract":"The use of individual participant data (IPD) from multiple studies is an increasingly popular approach when developing a multivariable risk prediction model. Corresponding datasets, however, typically differ in important aspects, such as baseline risk. This has driven the adoption of meta-analytical approaches for appropriately dealing with heterogeneity between study populations. Although these approaches provide an averaged prediction model across all studies, little guidance exists about how to apply or validate this model to new individuals or study populations outside the derivation data. We consider several approaches to develop a multivariable logistic regression model from an IPD meta-analysis (IPD-MA) with potential between-study heterogeneity. We also propose strategies for choosing a valid model intercept for when the model is to be validated or applied to new individuals or study populations. These strategies can be implemented by the IPD-MA developers or future model validators. Finally, we show how model generalizability can be evaluated when external validation data are lacking using internal-external cross-validation and extend our framework to count and time-to-event data. In an empirical evaluation, our results show how stratified estimation allows study-specific model intercepts, which can then inform the intercept to be used when applying the model in practice, even to a population not represented by included studies. In summary, our framework allows the development (through stratified estimation), implementation in new individuals (through focused intercept choice), and evaluation (through internal-external validation) of a single, integrated prediction model from an IPD-MA in order to achieve improved model performance and generalizability.","author":[{"dropping-particle":"","family":"Debray","given":"Thomas P A","non-dropping-particle":"","parse-names":false,"suffix":""},{"dropping-particle":"","family":"Moons","given":"Karel G M","non-dropping-particle":"","parse-names":false,"suffix":""},{"dropping-particle":"","family":"Ahmed","given":"Ikhlaaq","non-dropping-particle":"","parse-names":false,"suffix":""},{"dropping-particle":"","family":"Koffijberg","given":"Hendrik","non-dropping-particle":"","parse-names":false,"suffix":""},{"dropping-particle":"","family":"Riley","given":"Richard David","non-dropping-particle":"","parse-names":false,"suffix":""}],"container-title":"Statistics in Medicine","id":"ITEM-1","issue":"18","issued":{"date-parts":[["2013"]]},"page":"3158-3180","title":"A framework for developing, implementing, and evaluating clinical prediction models in an individual participant data meta-analysis","type":"article-journal","volume":"32"},"uris":["http://www.mendeley.com/documents/?uuid=79168b1a-9ebb-4727-aa6f-6503720d8dac"]}],"mendeley":{"formattedCitation":"(17)","plainTextFormattedCitation":"(17)","previouslyFormattedCitation":"(16)"},"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(17)</w:t>
      </w:r>
      <w:r w:rsidR="00776DB8" w:rsidRPr="00C91EF0">
        <w:rPr>
          <w:rFonts w:asciiTheme="minorHAnsi" w:hAnsiTheme="minorHAnsi" w:cstheme="minorHAnsi"/>
          <w:sz w:val="22"/>
          <w:szCs w:val="22"/>
          <w:lang w:val="en-GB"/>
        </w:rPr>
        <w:fldChar w:fldCharType="end"/>
      </w:r>
      <w:r w:rsidR="005A6ECF" w:rsidRPr="00C91EF0">
        <w:rPr>
          <w:rFonts w:asciiTheme="minorHAnsi" w:hAnsiTheme="minorHAnsi" w:cstheme="minorHAnsi"/>
          <w:sz w:val="22"/>
          <w:szCs w:val="22"/>
          <w:lang w:val="en-GB"/>
        </w:rPr>
        <w:t>.</w:t>
      </w:r>
      <w:r w:rsidR="00D6770A" w:rsidRPr="00C91EF0">
        <w:rPr>
          <w:rFonts w:asciiTheme="minorHAnsi" w:hAnsiTheme="minorHAnsi" w:cstheme="minorHAnsi"/>
          <w:sz w:val="22"/>
          <w:szCs w:val="22"/>
          <w:lang w:val="en-GB"/>
        </w:rPr>
        <w:t xml:space="preserve"> </w:t>
      </w:r>
      <w:r w:rsidR="004B46F0">
        <w:rPr>
          <w:rFonts w:asciiTheme="minorHAnsi" w:hAnsiTheme="minorHAnsi" w:cstheme="minorHAnsi"/>
          <w:sz w:val="22"/>
          <w:szCs w:val="22"/>
          <w:lang w:val="en-GB"/>
        </w:rPr>
        <w:t>B</w:t>
      </w:r>
      <w:r w:rsidR="004B46F0" w:rsidRPr="00C91EF0">
        <w:rPr>
          <w:rFonts w:asciiTheme="minorHAnsi" w:hAnsiTheme="minorHAnsi" w:cstheme="minorHAnsi"/>
          <w:sz w:val="22"/>
          <w:szCs w:val="22"/>
          <w:lang w:val="en-GB"/>
        </w:rPr>
        <w:t xml:space="preserve">y virtue of their origins </w:t>
      </w:r>
      <w:r w:rsidR="004B46F0">
        <w:rPr>
          <w:rFonts w:asciiTheme="minorHAnsi" w:hAnsiTheme="minorHAnsi" w:cstheme="minorHAnsi"/>
          <w:sz w:val="22"/>
          <w:szCs w:val="22"/>
          <w:lang w:val="en-GB"/>
        </w:rPr>
        <w:t xml:space="preserve">in </w:t>
      </w:r>
      <w:r w:rsidR="004B46F0" w:rsidRPr="00C91EF0">
        <w:rPr>
          <w:rFonts w:asciiTheme="minorHAnsi" w:hAnsiTheme="minorHAnsi" w:cstheme="minorHAnsi"/>
          <w:sz w:val="22"/>
          <w:szCs w:val="22"/>
          <w:lang w:val="en-GB"/>
        </w:rPr>
        <w:t>different independent trials</w:t>
      </w:r>
      <w:r w:rsidR="004B46F0">
        <w:rPr>
          <w:rFonts w:asciiTheme="minorHAnsi" w:hAnsiTheme="minorHAnsi" w:cstheme="minorHAnsi"/>
          <w:sz w:val="22"/>
          <w:szCs w:val="22"/>
          <w:lang w:val="en-GB"/>
        </w:rPr>
        <w:t xml:space="preserve">, </w:t>
      </w:r>
      <w:r w:rsidR="00D6770A" w:rsidRPr="00C91EF0">
        <w:rPr>
          <w:rFonts w:asciiTheme="minorHAnsi" w:hAnsiTheme="minorHAnsi" w:cstheme="minorHAnsi"/>
          <w:sz w:val="22"/>
          <w:szCs w:val="22"/>
          <w:lang w:val="en-GB"/>
        </w:rPr>
        <w:t xml:space="preserve">the clustered data structure </w:t>
      </w:r>
      <w:r w:rsidR="004B46F0">
        <w:rPr>
          <w:rFonts w:asciiTheme="minorHAnsi" w:hAnsiTheme="minorHAnsi" w:cstheme="minorHAnsi"/>
          <w:sz w:val="22"/>
          <w:szCs w:val="22"/>
          <w:lang w:val="en-GB"/>
        </w:rPr>
        <w:t xml:space="preserve">first had to </w:t>
      </w:r>
      <w:r w:rsidR="008A33E6" w:rsidRPr="00C91EF0">
        <w:rPr>
          <w:rFonts w:asciiTheme="minorHAnsi" w:hAnsiTheme="minorHAnsi" w:cstheme="minorHAnsi"/>
          <w:sz w:val="22"/>
          <w:szCs w:val="22"/>
          <w:lang w:val="en-GB"/>
        </w:rPr>
        <w:t>be ad</w:t>
      </w:r>
      <w:r w:rsidR="00C739D7" w:rsidRPr="00C91EF0">
        <w:rPr>
          <w:rFonts w:asciiTheme="minorHAnsi" w:hAnsiTheme="minorHAnsi" w:cstheme="minorHAnsi"/>
          <w:sz w:val="22"/>
          <w:szCs w:val="22"/>
          <w:lang w:val="en-GB"/>
        </w:rPr>
        <w:t>d</w:t>
      </w:r>
      <w:r w:rsidR="008A33E6" w:rsidRPr="00C91EF0">
        <w:rPr>
          <w:rFonts w:asciiTheme="minorHAnsi" w:hAnsiTheme="minorHAnsi" w:cstheme="minorHAnsi"/>
          <w:sz w:val="22"/>
          <w:szCs w:val="22"/>
          <w:lang w:val="en-GB"/>
        </w:rPr>
        <w:t>ressed</w:t>
      </w:r>
      <w:r w:rsidR="00D6770A" w:rsidRPr="00C91EF0">
        <w:rPr>
          <w:rFonts w:asciiTheme="minorHAnsi" w:hAnsiTheme="minorHAnsi" w:cstheme="minorHAnsi"/>
          <w:sz w:val="22"/>
          <w:szCs w:val="22"/>
          <w:lang w:val="en-GB"/>
        </w:rPr>
        <w:t xml:space="preserve">. </w:t>
      </w:r>
      <w:r w:rsidR="00B97F4E" w:rsidRPr="00C91EF0">
        <w:rPr>
          <w:rFonts w:asciiTheme="minorHAnsi" w:hAnsiTheme="minorHAnsi" w:cstheme="minorHAnsi"/>
          <w:sz w:val="22"/>
          <w:szCs w:val="22"/>
          <w:lang w:val="en-GB"/>
        </w:rPr>
        <w:t>A</w:t>
      </w:r>
      <w:r w:rsidR="008A33E6" w:rsidRPr="00C91EF0">
        <w:rPr>
          <w:rFonts w:asciiTheme="minorHAnsi" w:hAnsiTheme="minorHAnsi" w:cstheme="minorHAnsi"/>
          <w:sz w:val="22"/>
          <w:szCs w:val="22"/>
          <w:lang w:val="en-GB"/>
        </w:rPr>
        <w:t xml:space="preserve"> </w:t>
      </w:r>
      <w:r w:rsidR="00D6770A" w:rsidRPr="00C91EF0">
        <w:rPr>
          <w:rFonts w:asciiTheme="minorHAnsi" w:hAnsiTheme="minorHAnsi" w:cstheme="minorHAnsi"/>
          <w:sz w:val="22"/>
          <w:szCs w:val="22"/>
          <w:lang w:val="en-GB"/>
        </w:rPr>
        <w:t xml:space="preserve">stratified </w:t>
      </w:r>
      <w:r w:rsidR="00B97F4E" w:rsidRPr="00C91EF0">
        <w:rPr>
          <w:rFonts w:asciiTheme="minorHAnsi" w:hAnsiTheme="minorHAnsi" w:cstheme="minorHAnsi"/>
          <w:sz w:val="22"/>
          <w:szCs w:val="22"/>
          <w:lang w:val="en-GB"/>
        </w:rPr>
        <w:t xml:space="preserve">intercept model was fitted, </w:t>
      </w:r>
      <w:r w:rsidR="004B46F0">
        <w:rPr>
          <w:rFonts w:asciiTheme="minorHAnsi" w:hAnsiTheme="minorHAnsi" w:cstheme="minorHAnsi"/>
          <w:sz w:val="22"/>
          <w:szCs w:val="22"/>
          <w:lang w:val="en-GB"/>
        </w:rPr>
        <w:t xml:space="preserve">which provided </w:t>
      </w:r>
      <w:r w:rsidR="00B97F4E" w:rsidRPr="00C91EF0">
        <w:rPr>
          <w:rFonts w:asciiTheme="minorHAnsi" w:hAnsiTheme="minorHAnsi" w:cstheme="minorHAnsi"/>
          <w:sz w:val="22"/>
          <w:szCs w:val="22"/>
          <w:lang w:val="en-GB"/>
        </w:rPr>
        <w:t xml:space="preserve">a different baseline risk for each trial. This approach was selected over a random intercept </w:t>
      </w:r>
      <w:r w:rsidR="004B46F0">
        <w:rPr>
          <w:rFonts w:asciiTheme="minorHAnsi" w:hAnsiTheme="minorHAnsi" w:cstheme="minorHAnsi"/>
          <w:sz w:val="22"/>
          <w:szCs w:val="22"/>
          <w:lang w:val="en-GB"/>
        </w:rPr>
        <w:t xml:space="preserve">model </w:t>
      </w:r>
      <w:r w:rsidR="00B97F4E" w:rsidRPr="00C91EF0">
        <w:rPr>
          <w:rFonts w:asciiTheme="minorHAnsi" w:hAnsiTheme="minorHAnsi" w:cstheme="minorHAnsi"/>
          <w:sz w:val="22"/>
          <w:szCs w:val="22"/>
          <w:lang w:val="en-GB"/>
        </w:rPr>
        <w:t xml:space="preserve">because </w:t>
      </w:r>
      <w:r w:rsidR="00D6770A" w:rsidRPr="00C91EF0">
        <w:rPr>
          <w:rFonts w:asciiTheme="minorHAnsi" w:hAnsiTheme="minorHAnsi" w:cstheme="minorHAnsi"/>
          <w:sz w:val="22"/>
          <w:szCs w:val="22"/>
          <w:lang w:val="en-GB"/>
        </w:rPr>
        <w:t xml:space="preserve">the </w:t>
      </w:r>
      <w:r w:rsidR="004B46F0">
        <w:rPr>
          <w:rFonts w:asciiTheme="minorHAnsi" w:hAnsiTheme="minorHAnsi" w:cstheme="minorHAnsi"/>
          <w:sz w:val="22"/>
          <w:szCs w:val="22"/>
          <w:lang w:val="en-GB"/>
        </w:rPr>
        <w:t xml:space="preserve">validity of the </w:t>
      </w:r>
      <w:r w:rsidR="00D6770A" w:rsidRPr="00C91EF0">
        <w:rPr>
          <w:rFonts w:asciiTheme="minorHAnsi" w:hAnsiTheme="minorHAnsi" w:cstheme="minorHAnsi"/>
          <w:sz w:val="22"/>
          <w:szCs w:val="22"/>
          <w:lang w:val="en-GB"/>
        </w:rPr>
        <w:t xml:space="preserve">normality assumption for the random intercept in </w:t>
      </w:r>
      <w:r w:rsidR="004B46F0">
        <w:rPr>
          <w:rFonts w:asciiTheme="minorHAnsi" w:hAnsiTheme="minorHAnsi" w:cstheme="minorHAnsi"/>
          <w:sz w:val="22"/>
          <w:szCs w:val="22"/>
          <w:lang w:val="en-GB"/>
        </w:rPr>
        <w:t xml:space="preserve">differing </w:t>
      </w:r>
      <w:r w:rsidR="00D6770A" w:rsidRPr="00C91EF0">
        <w:rPr>
          <w:rFonts w:asciiTheme="minorHAnsi" w:hAnsiTheme="minorHAnsi" w:cstheme="minorHAnsi"/>
          <w:sz w:val="22"/>
          <w:szCs w:val="22"/>
          <w:lang w:val="en-GB"/>
        </w:rPr>
        <w:t>random effects model</w:t>
      </w:r>
      <w:r w:rsidR="004B46F0">
        <w:rPr>
          <w:rFonts w:asciiTheme="minorHAnsi" w:hAnsiTheme="minorHAnsi" w:cstheme="minorHAnsi"/>
          <w:sz w:val="22"/>
          <w:szCs w:val="22"/>
          <w:lang w:val="en-GB"/>
        </w:rPr>
        <w:t>s</w:t>
      </w:r>
      <w:r w:rsidR="00D6770A" w:rsidRPr="00C91EF0">
        <w:rPr>
          <w:rFonts w:asciiTheme="minorHAnsi" w:hAnsiTheme="minorHAnsi" w:cstheme="minorHAnsi"/>
          <w:sz w:val="22"/>
          <w:szCs w:val="22"/>
          <w:lang w:val="en-GB"/>
        </w:rPr>
        <w:t xml:space="preserve"> cannot be checked and is </w:t>
      </w:r>
      <w:r w:rsidR="00003AD0">
        <w:rPr>
          <w:rFonts w:asciiTheme="minorHAnsi" w:hAnsiTheme="minorHAnsi" w:cstheme="minorHAnsi"/>
          <w:sz w:val="22"/>
          <w:szCs w:val="22"/>
          <w:lang w:val="en-GB"/>
        </w:rPr>
        <w:t xml:space="preserve">open to doubt </w:t>
      </w:r>
      <w:r w:rsidR="004A707B">
        <w:rPr>
          <w:rFonts w:asciiTheme="minorHAnsi" w:hAnsiTheme="minorHAnsi" w:cstheme="minorHAnsi"/>
          <w:sz w:val="22"/>
          <w:szCs w:val="22"/>
          <w:lang w:val="en-GB"/>
        </w:rPr>
        <w:t xml:space="preserve">when </w:t>
      </w:r>
      <w:r w:rsidR="00197651" w:rsidRPr="00C91EF0">
        <w:rPr>
          <w:rFonts w:asciiTheme="minorHAnsi" w:hAnsiTheme="minorHAnsi" w:cstheme="minorHAnsi"/>
          <w:sz w:val="22"/>
          <w:szCs w:val="22"/>
          <w:lang w:val="en-GB"/>
        </w:rPr>
        <w:t xml:space="preserve">five </w:t>
      </w:r>
      <w:r w:rsidR="00D6770A" w:rsidRPr="00C91EF0">
        <w:rPr>
          <w:rFonts w:asciiTheme="minorHAnsi" w:hAnsiTheme="minorHAnsi" w:cstheme="minorHAnsi"/>
          <w:sz w:val="22"/>
          <w:szCs w:val="22"/>
          <w:lang w:val="en-GB"/>
        </w:rPr>
        <w:t xml:space="preserve">trials </w:t>
      </w:r>
      <w:r w:rsidR="004A707B">
        <w:rPr>
          <w:rFonts w:asciiTheme="minorHAnsi" w:hAnsiTheme="minorHAnsi" w:cstheme="minorHAnsi"/>
          <w:sz w:val="22"/>
          <w:szCs w:val="22"/>
          <w:lang w:val="en-GB"/>
        </w:rPr>
        <w:t xml:space="preserve">are </w:t>
      </w:r>
      <w:r w:rsidR="00197651" w:rsidRPr="00C91EF0">
        <w:rPr>
          <w:rFonts w:asciiTheme="minorHAnsi" w:hAnsiTheme="minorHAnsi" w:cstheme="minorHAnsi"/>
          <w:sz w:val="22"/>
          <w:szCs w:val="22"/>
          <w:lang w:val="en-GB"/>
        </w:rPr>
        <w:t xml:space="preserve">conducted in </w:t>
      </w:r>
      <w:r w:rsidR="00D6770A" w:rsidRPr="00C91EF0">
        <w:rPr>
          <w:rFonts w:asciiTheme="minorHAnsi" w:hAnsiTheme="minorHAnsi" w:cstheme="minorHAnsi"/>
          <w:sz w:val="22"/>
          <w:szCs w:val="22"/>
          <w:lang w:val="en-GB"/>
        </w:rPr>
        <w:t xml:space="preserve">different health care systems. </w:t>
      </w:r>
      <w:r w:rsidR="00F2071F">
        <w:rPr>
          <w:rFonts w:asciiTheme="minorHAnsi" w:hAnsiTheme="minorHAnsi" w:cstheme="minorHAnsi"/>
          <w:sz w:val="22"/>
          <w:szCs w:val="22"/>
          <w:lang w:val="en-GB"/>
        </w:rPr>
        <w:t>A</w:t>
      </w:r>
      <w:r w:rsidR="00D6770A" w:rsidRPr="00C91EF0">
        <w:rPr>
          <w:rFonts w:asciiTheme="minorHAnsi" w:hAnsiTheme="minorHAnsi" w:cstheme="minorHAnsi"/>
          <w:sz w:val="22"/>
          <w:szCs w:val="22"/>
          <w:lang w:val="en-GB"/>
        </w:rPr>
        <w:t xml:space="preserve"> generalized linear model was </w:t>
      </w:r>
      <w:r w:rsidR="00F2071F">
        <w:rPr>
          <w:rFonts w:asciiTheme="minorHAnsi" w:hAnsiTheme="minorHAnsi" w:cstheme="minorHAnsi"/>
          <w:sz w:val="22"/>
          <w:szCs w:val="22"/>
          <w:lang w:val="en-GB"/>
        </w:rPr>
        <w:t xml:space="preserve">therefore </w:t>
      </w:r>
      <w:r w:rsidR="00D6770A" w:rsidRPr="00C91EF0">
        <w:rPr>
          <w:rFonts w:asciiTheme="minorHAnsi" w:hAnsiTheme="minorHAnsi" w:cstheme="minorHAnsi"/>
          <w:sz w:val="22"/>
          <w:szCs w:val="22"/>
          <w:lang w:val="en-GB"/>
        </w:rPr>
        <w:t xml:space="preserve">chosen using the logit link function (i.e., logistic model). </w:t>
      </w:r>
      <w:r w:rsidR="00F2071F">
        <w:rPr>
          <w:rFonts w:asciiTheme="minorHAnsi" w:hAnsiTheme="minorHAnsi" w:cstheme="minorHAnsi"/>
          <w:sz w:val="22"/>
          <w:szCs w:val="22"/>
          <w:lang w:val="en-GB"/>
        </w:rPr>
        <w:t xml:space="preserve">To improve interpretability, </w:t>
      </w:r>
      <w:r w:rsidR="00D6770A" w:rsidRPr="00C91EF0">
        <w:rPr>
          <w:rFonts w:asciiTheme="minorHAnsi" w:hAnsiTheme="minorHAnsi" w:cstheme="minorHAnsi"/>
          <w:sz w:val="22"/>
          <w:szCs w:val="22"/>
          <w:lang w:val="en-GB"/>
        </w:rPr>
        <w:t xml:space="preserve">we </w:t>
      </w:r>
      <w:r w:rsidR="00B061C1">
        <w:rPr>
          <w:rFonts w:asciiTheme="minorHAnsi" w:hAnsiTheme="minorHAnsi" w:cstheme="minorHAnsi"/>
          <w:sz w:val="22"/>
          <w:szCs w:val="22"/>
          <w:lang w:val="en-GB"/>
        </w:rPr>
        <w:t xml:space="preserve">used </w:t>
      </w:r>
      <w:r w:rsidR="00D6770A" w:rsidRPr="00C91EF0">
        <w:rPr>
          <w:rFonts w:asciiTheme="minorHAnsi" w:hAnsiTheme="minorHAnsi" w:cstheme="minorHAnsi"/>
          <w:sz w:val="22"/>
          <w:szCs w:val="22"/>
          <w:lang w:val="en-GB"/>
        </w:rPr>
        <w:t xml:space="preserve">effect coding </w:t>
      </w:r>
      <w:r w:rsidR="00B061C1">
        <w:rPr>
          <w:rFonts w:asciiTheme="minorHAnsi" w:hAnsiTheme="minorHAnsi" w:cstheme="minorHAnsi"/>
          <w:sz w:val="22"/>
          <w:szCs w:val="22"/>
          <w:lang w:val="en-GB"/>
        </w:rPr>
        <w:t xml:space="preserve">rather than </w:t>
      </w:r>
      <w:r w:rsidR="00D6770A" w:rsidRPr="00C91EF0">
        <w:rPr>
          <w:rFonts w:asciiTheme="minorHAnsi" w:hAnsiTheme="minorHAnsi" w:cstheme="minorHAnsi"/>
          <w:sz w:val="22"/>
          <w:szCs w:val="22"/>
          <w:lang w:val="en-GB"/>
        </w:rPr>
        <w:t xml:space="preserve">dummy coding in order to estimate trial-specific baseline risks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10.1007/s00038-016-0901-1","ISSN":"1661-8564","PMID":"27796415","author":[{"dropping-particle":"","family":"Grotenhuis","given":"Manfred","non-dropping-particle":"Te","parse-names":false,"suffix":""},{"dropping-particle":"","family":"Pelzer","given":"Ben","non-dropping-particle":"","parse-names":false,"suffix":""},{"dropping-particle":"","family":"Eisinga","given":"Rob","non-dropping-particle":"","parse-names":false,"suffix":""},{"dropping-particle":"","family":"Nieuwenhuis","given":"Rense","non-dropping-particle":"","parse-names":false,"suffix":""},{"dropping-particle":"","family":"Schmidt-Catran","given":"Alexander","non-dropping-particle":"","parse-names":false,"suffix":""},{"dropping-particle":"","family":"Konig","given":"Ruben","non-dropping-particle":"","parse-names":false,"suffix":""}],"container-title":"International journal of public health","id":"ITEM-1","issue":"1","issued":{"date-parts":[["2017","1"]]},"page":"163-167","title":"When size matters: advantages of weighted effect coding in observational studies.","type":"article-journal","volume":"62"},"uris":["http://www.mendeley.com/documents/?uuid=375e0d77-8446-4af5-9096-a06d408dc160"]}],"mendeley":{"formattedCitation":"(63)","plainTextFormattedCitation":"(63)","previouslyFormattedCitation":"(62)"},"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(63)</w:t>
      </w:r>
      <w:r w:rsidR="00776DB8" w:rsidRPr="00C91EF0">
        <w:rPr>
          <w:rFonts w:asciiTheme="minorHAnsi" w:hAnsiTheme="minorHAnsi" w:cstheme="minorHAnsi"/>
          <w:sz w:val="22"/>
          <w:szCs w:val="22"/>
          <w:lang w:val="en-GB"/>
        </w:rPr>
        <w:fldChar w:fldCharType="end"/>
      </w:r>
      <w:r w:rsidR="005A6ECF" w:rsidRPr="00C91EF0">
        <w:rPr>
          <w:rFonts w:asciiTheme="minorHAnsi" w:hAnsiTheme="minorHAnsi" w:cstheme="minorHAnsi"/>
          <w:sz w:val="22"/>
          <w:szCs w:val="22"/>
          <w:lang w:val="en-GB"/>
        </w:rPr>
        <w:t>.</w:t>
      </w:r>
      <w:r w:rsidR="00360C64" w:rsidRPr="00C91EF0">
        <w:rPr>
          <w:rFonts w:asciiTheme="minorHAnsi" w:hAnsiTheme="minorHAnsi" w:cstheme="minorHAnsi"/>
          <w:sz w:val="22"/>
          <w:szCs w:val="22"/>
          <w:lang w:val="en-GB"/>
        </w:rPr>
        <w:t xml:space="preserve"> </w:t>
      </w:r>
      <w:r w:rsidR="00F12F36" w:rsidRPr="00C91EF0">
        <w:rPr>
          <w:rFonts w:asciiTheme="minorHAnsi" w:hAnsiTheme="minorHAnsi" w:cstheme="minorHAnsi"/>
          <w:sz w:val="22"/>
          <w:szCs w:val="22"/>
          <w:lang w:val="en-GB"/>
        </w:rPr>
        <w:t xml:space="preserve">This </w:t>
      </w:r>
      <w:r w:rsidR="00B061C1">
        <w:rPr>
          <w:rFonts w:asciiTheme="minorHAnsi" w:hAnsiTheme="minorHAnsi" w:cstheme="minorHAnsi"/>
          <w:sz w:val="22"/>
          <w:szCs w:val="22"/>
          <w:lang w:val="en-GB"/>
        </w:rPr>
        <w:t xml:space="preserve">produces </w:t>
      </w:r>
      <w:r w:rsidR="00F12F36" w:rsidRPr="00C91EF0">
        <w:rPr>
          <w:rFonts w:asciiTheme="minorHAnsi" w:hAnsiTheme="minorHAnsi" w:cstheme="minorHAnsi"/>
          <w:sz w:val="22"/>
          <w:szCs w:val="22"/>
          <w:lang w:val="en-GB"/>
        </w:rPr>
        <w:t xml:space="preserve">a global intercept (overall average) and </w:t>
      </w:r>
      <w:r w:rsidR="00B061C1">
        <w:rPr>
          <w:rFonts w:asciiTheme="minorHAnsi" w:hAnsiTheme="minorHAnsi" w:cstheme="minorHAnsi"/>
          <w:sz w:val="22"/>
          <w:szCs w:val="22"/>
          <w:lang w:val="en-GB"/>
        </w:rPr>
        <w:t xml:space="preserve">shows the deviation from </w:t>
      </w:r>
      <w:r w:rsidR="00F12F36" w:rsidRPr="00C91EF0">
        <w:rPr>
          <w:rFonts w:asciiTheme="minorHAnsi" w:hAnsiTheme="minorHAnsi" w:cstheme="minorHAnsi"/>
          <w:sz w:val="22"/>
          <w:szCs w:val="22"/>
          <w:lang w:val="en-GB"/>
        </w:rPr>
        <w:t xml:space="preserve">the average for each trial. </w:t>
      </w:r>
      <w:r w:rsidR="00360C64" w:rsidRPr="00C91EF0">
        <w:rPr>
          <w:rFonts w:asciiTheme="minorHAnsi" w:hAnsiTheme="minorHAnsi" w:cstheme="minorHAnsi"/>
          <w:sz w:val="22"/>
          <w:szCs w:val="22"/>
          <w:lang w:val="en-GB"/>
        </w:rPr>
        <w:t xml:space="preserve">While </w:t>
      </w:r>
      <w:r w:rsidR="007171AC" w:rsidRPr="00C91EF0">
        <w:rPr>
          <w:rFonts w:asciiTheme="minorHAnsi" w:hAnsiTheme="minorHAnsi" w:cstheme="minorHAnsi"/>
          <w:sz w:val="22"/>
          <w:szCs w:val="22"/>
          <w:lang w:val="en-GB"/>
        </w:rPr>
        <w:t>in a one-stage meta-analysis for model development and internal validation</w:t>
      </w:r>
      <w:r w:rsidR="007171AC">
        <w:rPr>
          <w:rFonts w:asciiTheme="minorHAnsi" w:hAnsiTheme="minorHAnsi" w:cstheme="minorHAnsi"/>
          <w:sz w:val="22"/>
          <w:szCs w:val="22"/>
          <w:lang w:val="en-GB"/>
        </w:rPr>
        <w:t>, the study indicators account for</w:t>
      </w:r>
      <w:r w:rsidR="007171AC" w:rsidRPr="00C91EF0">
        <w:rPr>
          <w:rFonts w:asciiTheme="minorHAnsi" w:hAnsiTheme="minorHAnsi" w:cstheme="minorHAnsi"/>
          <w:sz w:val="22"/>
          <w:szCs w:val="22"/>
          <w:lang w:val="en-GB"/>
        </w:rPr>
        <w:t xml:space="preserve"> </w:t>
      </w:r>
      <w:r w:rsidR="00360C64" w:rsidRPr="00C91EF0">
        <w:rPr>
          <w:rFonts w:asciiTheme="minorHAnsi" w:hAnsiTheme="minorHAnsi" w:cstheme="minorHAnsi"/>
          <w:sz w:val="22"/>
          <w:szCs w:val="22"/>
          <w:lang w:val="en-GB"/>
        </w:rPr>
        <w:t xml:space="preserve">the origin of the data, each study serves as a validation sample in </w:t>
      </w:r>
      <w:r w:rsidR="00003AD0">
        <w:rPr>
          <w:rFonts w:asciiTheme="minorHAnsi" w:hAnsiTheme="minorHAnsi" w:cstheme="minorHAnsi"/>
          <w:sz w:val="22"/>
          <w:szCs w:val="22"/>
          <w:lang w:val="en-GB"/>
        </w:rPr>
        <w:t>an</w:t>
      </w:r>
      <w:r w:rsidR="00360C64" w:rsidRPr="00C91EF0">
        <w:rPr>
          <w:rFonts w:asciiTheme="minorHAnsi" w:hAnsiTheme="minorHAnsi" w:cstheme="minorHAnsi"/>
          <w:sz w:val="22"/>
          <w:szCs w:val="22"/>
          <w:lang w:val="en-GB"/>
        </w:rPr>
        <w:t xml:space="preserve"> applied</w:t>
      </w:r>
      <w:r w:rsidR="00503377">
        <w:rPr>
          <w:rFonts w:asciiTheme="minorHAnsi" w:hAnsiTheme="minorHAnsi" w:cstheme="minorHAnsi"/>
          <w:sz w:val="22"/>
          <w:szCs w:val="22"/>
          <w:lang w:val="en-GB"/>
        </w:rPr>
        <w:t xml:space="preserve"> internal-external cross validation</w:t>
      </w:r>
      <w:r w:rsidR="00360C64" w:rsidRPr="00C91EF0">
        <w:rPr>
          <w:rFonts w:asciiTheme="minorHAnsi" w:hAnsiTheme="minorHAnsi" w:cstheme="minorHAnsi"/>
          <w:sz w:val="22"/>
          <w:szCs w:val="22"/>
          <w:lang w:val="en-GB"/>
        </w:rPr>
        <w:t xml:space="preserve"> </w:t>
      </w:r>
      <w:r w:rsidR="00503377">
        <w:rPr>
          <w:rFonts w:asciiTheme="minorHAnsi" w:hAnsiTheme="minorHAnsi" w:cstheme="minorHAnsi"/>
          <w:sz w:val="22"/>
          <w:szCs w:val="22"/>
          <w:lang w:val="en-GB"/>
        </w:rPr>
        <w:t>(</w:t>
      </w:r>
      <w:r w:rsidR="00360C64" w:rsidRPr="00C91EF0">
        <w:rPr>
          <w:rFonts w:asciiTheme="minorHAnsi" w:hAnsiTheme="minorHAnsi" w:cstheme="minorHAnsi"/>
          <w:sz w:val="22"/>
          <w:szCs w:val="22"/>
          <w:lang w:val="en-GB"/>
        </w:rPr>
        <w:t>IECV</w:t>
      </w:r>
      <w:r w:rsidR="00503377">
        <w:rPr>
          <w:rFonts w:asciiTheme="minorHAnsi" w:hAnsiTheme="minorHAnsi" w:cstheme="minorHAnsi"/>
          <w:sz w:val="22"/>
          <w:szCs w:val="22"/>
          <w:lang w:val="en-GB"/>
        </w:rPr>
        <w:t>)</w:t>
      </w:r>
      <w:r w:rsidR="00360C64"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{"citationItems":[{"id":"ITEM-1","itemData":{"DOI":"10.1002/sim.5732","ISBN":"1097-0258 (Electronic)\\r0277-6715 (Linking)","ISSN":"02776715","PMID":"23307585","abstract":"The use of individual participant data (IPD) from multiple studies is an increasingly popular approach when developing a multivariable risk prediction model. Corresponding datasets, however, typically differ in important aspects, such as baseline risk. This has driven the adoption of meta-analytical approaches for appropriately dealing with heterogeneity between study populations. Although these approaches provide an averaged prediction model across all studies, little guidance exists about how to apply or validate this model to new individuals or study populations outside the derivation data. We consider several approaches to develop a multivariable logistic regression model from an IPD meta-analysis (IPD-MA) with potential between-study heterogeneity. We also propose strategies for choosing a valid model intercept for when the model is to be validated or applied to new individuals or study populations. These strategies can be implemented by the IPD-MA developers or future model validators. Finally, we show how model generalizability can be evaluated when external validation data are lacking using internal-external cross-validation and extend our framework to count and time-to-event data. In an empirical evaluation, our results show how stratified estimation allows study-specific model intercepts, which can then inform the intercept to be used when applying the model in practice, even to a population not represented by included studies. In summary, our framework allows the development (through stratified estimation), implementation in new individuals (through focused intercept choice), and evaluation (through internal-external validation) of a single, integrated prediction model from an IPD-MA in order to achieve improved model performance and generalizability.","author":[{"dropping-particle":"","family":"Debray","given":"Thomas P A","non-dropping-particle":"","parse-names":false,"suffix":""},{"dropping-particle":"","family":"Moons","given":"Karel G M","non-dropping-particle":"","parse-names":false,"suffix":""},{"dropping-particle":"","family":"Ahmed","given":"Ikhlaaq","non-dropping-particle":"","parse-names":false,"suffix":""},{"dropping-particle":"","family":"Koffijberg","given":"Hendrik","non-dropping-particle":"","parse-names":false,"suffix":""},{"dropping-particle":"","family":"Riley","given":"Richard David","non-dropping-particle":"","parse-names":false,"suffix":""}],"container-title":"Statistics in Medicine","id":"ITEM-1","issue":"18","issued":{"date-parts":[["2013"]]},"page":"3158-3180","title":"A framework for developing, implementing, and evaluating clinical prediction models in an individual participant data meta-analysis","type":"article-journal","volume":"32"},"uris":["http://www.mendeley.com/documents/?uuid=79168b1a-9ebb-4727-aa6f-6503720d8dac"]},{"id":"ITEM-2","itemData":{"DOI":"10.1002/sim.1691","ISBN":"0277-6715 (Print)\\r0277-6715 (Linking)","ISSN":"02776715","PMID":"15027080","abstract":"Many models for clinical prediction (prognosis or diagnosis) are published in the medical literature every year but few such models find their way into clinical practice. The reason may be that since in most cases models have not been validated in independent data, they lack generality and/or credibility. In this paper we consider the situation in which several compatible, independent data sets relating to a given disease with a time-to-event endpoint are available for analysis. The aim is to construct and evaluate a single prognostic model. Building a multivariable model from the available prognostic factors is accomplished within the Cox proportional hazards framework, stratifying by study. Non-linear relationships with continuous predictors are modelled by using fractional polynomials. To assess the discrimination or separation of a survival model, we use the D statistic of Royston and Sauerbrei. D may be interpreted as the separation (log hazard ratio) between the survival distributions for two independent prognostic groups. To evaluate the generality of a prognostic model across the data sets, we propose 'internal-external cross-validation' on D: each study is omitted in turn, the model parameters are estimated from the remaining studies and D is evaluated in the omitted study. Because the linear predictor of a survival model tells only part of the story, we also suggest a method for investigating heterogeneity in the baseline distribution function across studies which involves fitting completely specified, flexible parametric survival models (Royston and Parmar). Our final models combine the prognostic index (obtained with stratification by study) with the pooled baseline survival distribution (estimated parametrically). By applying this methodology, we construct two prognostic scores in superficial bladder cancer. The simpler of the two scores is more suited to clinical application. We show that a three-group prognostic classification scheme based on either score produces well-separated survival curves for each of the data sets, despite identifiable heterogeneity among the baseline distribution functions and to a lesser extent among the prognostic indexes for the individual studies.","author":[{"dropping-particle":"","family":"Royston","given":"Patrick","non-dropping-particle":"","parse-names":false,"suffix":""},{"dropping-particle":"","family":"Parmar","given":"Mahesh K B","non-dropping-particle":"","parse-names":false,"suffix":""},{"dropping-particle":"","family":"Sylvester","given":"Richard","non-dropping-particle":"","parse-names":false,"suffix":""}],"container-title":"Statistics in Medicine","id":"ITEM-2","issue":"6","issued":{"date-parts":[["2004"]]},"page":"907-926","title":"Construction and validation of a prognostic model across several studies, with an application in superficial bladder cancer","type":"article-journal","volume":"23"},"uris":["http://www.mendeley.com/documents/?uuid=58b89e83-67cf-4b9c-a502-4c47db9d2d52"]}],"mendeley":{"formattedCitation":"(17,64)","plainTextFormattedCitation":"(17,64)","previouslyFormattedCitation":"(16,63)"},"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(17,64)</w:t>
      </w:r>
      <w:r w:rsidR="00776DB8" w:rsidRPr="00C91EF0">
        <w:rPr>
          <w:rFonts w:asciiTheme="minorHAnsi" w:hAnsiTheme="minorHAnsi" w:cstheme="minorHAnsi"/>
          <w:sz w:val="22"/>
          <w:szCs w:val="22"/>
          <w:lang w:val="en-GB"/>
        </w:rPr>
        <w:fldChar w:fldCharType="end"/>
      </w:r>
      <w:r w:rsidR="00360C64" w:rsidRPr="00C91EF0">
        <w:rPr>
          <w:rFonts w:asciiTheme="minorHAnsi" w:hAnsiTheme="minorHAnsi" w:cstheme="minorHAnsi"/>
          <w:sz w:val="22"/>
          <w:szCs w:val="22"/>
          <w:lang w:val="en-GB"/>
        </w:rPr>
        <w:t>.</w:t>
      </w:r>
    </w:p>
    <w:p w14:paraId="26B95CDA" w14:textId="7EB3BFD8" w:rsidR="00312212" w:rsidRPr="00A65EEE" w:rsidRDefault="00312212" w:rsidP="00D6770A">
      <w:pPr>
        <w:spacing w:line="480" w:lineRule="auto"/>
        <w:rPr>
          <w:rFonts w:asciiTheme="minorHAnsi" w:hAnsiTheme="minorHAnsi" w:cstheme="minorHAnsi"/>
          <w:i/>
          <w:iCs/>
          <w:sz w:val="22"/>
          <w:szCs w:val="22"/>
          <w:lang w:val="en-GB"/>
        </w:rPr>
      </w:pPr>
      <w:r w:rsidRPr="00A65EEE">
        <w:rPr>
          <w:rFonts w:asciiTheme="minorHAnsi" w:hAnsiTheme="minorHAnsi" w:cstheme="minorHAnsi"/>
          <w:i/>
          <w:iCs/>
          <w:sz w:val="22"/>
          <w:szCs w:val="22"/>
          <w:lang w:val="en-GB"/>
        </w:rPr>
        <w:t>Model development and variable selection</w:t>
      </w:r>
    </w:p>
    <w:p w14:paraId="57EE087C" w14:textId="7B087D77" w:rsidR="000267CA" w:rsidRDefault="007171AC" w:rsidP="00D6770A">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When developing the model, </w:t>
      </w:r>
      <w:r w:rsidR="00D6770A" w:rsidRPr="00C91EF0">
        <w:rPr>
          <w:rFonts w:asciiTheme="minorHAnsi" w:hAnsiTheme="minorHAnsi" w:cstheme="minorHAnsi"/>
          <w:sz w:val="22"/>
          <w:szCs w:val="22"/>
          <w:lang w:val="en-GB"/>
        </w:rPr>
        <w:t xml:space="preserve">we defined </w:t>
      </w:r>
      <w:r>
        <w:rPr>
          <w:rFonts w:asciiTheme="minorHAnsi" w:hAnsiTheme="minorHAnsi" w:cstheme="minorHAnsi"/>
          <w:sz w:val="22"/>
          <w:szCs w:val="22"/>
          <w:lang w:val="en-GB"/>
        </w:rPr>
        <w:t xml:space="preserve">it </w:t>
      </w:r>
      <w:r w:rsidR="00003AD0">
        <w:rPr>
          <w:rFonts w:asciiTheme="minorHAnsi" w:hAnsiTheme="minorHAnsi" w:cstheme="minorHAnsi"/>
          <w:sz w:val="22"/>
          <w:szCs w:val="22"/>
          <w:lang w:val="en-GB"/>
        </w:rPr>
        <w:t xml:space="preserve">structurally by selecting </w:t>
      </w:r>
      <w:r w:rsidR="00D6770A" w:rsidRPr="00C91EF0">
        <w:rPr>
          <w:rFonts w:asciiTheme="minorHAnsi" w:hAnsiTheme="minorHAnsi" w:cstheme="minorHAnsi"/>
          <w:sz w:val="22"/>
          <w:szCs w:val="22"/>
          <w:lang w:val="en-GB"/>
        </w:rPr>
        <w:t>variable</w:t>
      </w:r>
      <w:r w:rsidR="00003AD0">
        <w:rPr>
          <w:rFonts w:asciiTheme="minorHAnsi" w:hAnsiTheme="minorHAnsi" w:cstheme="minorHAnsi"/>
          <w:sz w:val="22"/>
          <w:szCs w:val="22"/>
          <w:lang w:val="en-GB"/>
        </w:rPr>
        <w:t>s</w:t>
      </w:r>
      <w:r w:rsidR="00D6770A" w:rsidRPr="00C91EF0">
        <w:rPr>
          <w:rFonts w:asciiTheme="minorHAnsi" w:hAnsiTheme="minorHAnsi" w:cstheme="minorHAnsi"/>
          <w:sz w:val="22"/>
          <w:szCs w:val="22"/>
          <w:lang w:val="en-GB"/>
        </w:rPr>
        <w:t xml:space="preserve"> using the so-called </w:t>
      </w:r>
      <w:r w:rsidR="00D6770A" w:rsidRPr="00C91EF0">
        <w:rPr>
          <w:rFonts w:asciiTheme="minorHAnsi" w:hAnsiTheme="minorHAnsi" w:cstheme="minorHAnsi"/>
          <w:i/>
          <w:sz w:val="22"/>
          <w:szCs w:val="22"/>
          <w:lang w:val="en-GB"/>
        </w:rPr>
        <w:t>Least Absolute Shrinkage and Selection Operator</w:t>
      </w:r>
      <w:r w:rsidR="00D6770A" w:rsidRPr="00C91EF0">
        <w:rPr>
          <w:rFonts w:asciiTheme="minorHAnsi" w:hAnsiTheme="minorHAnsi" w:cstheme="minorHAnsi"/>
          <w:sz w:val="22"/>
          <w:szCs w:val="22"/>
          <w:lang w:val="en-GB"/>
        </w:rPr>
        <w:t xml:space="preserve"> (LASSO)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{"citationItems":[{"id":"ITEM-1","itemData":{"ISSN":"1548-7660","PMID":"20808728","abstract":"We develop fast algorithms for estimation of generalized linear models with convex penalties. The models include linear regression, two-class logistic regression, and multinomial regression problems while the penalties include ℓ(1) (the lasso), ℓ(2) (ridge regression) and mixtures of the two (the elastic net). The algorithms use cyclical coordinate descent, computed along a regularization path. The methods can handle large problems and can also deal efficiently with sparse features. In comparative timings we find that the new algorithms are considerably faster than competing methods.","author":[{"dropping-particle":"","family":"Friedman","given":"Jerome","non-dropping-particle":"","parse-names":false,"suffix":""},{"dropping-particle":"","family":"Hastie","given":"Trevor","non-dropping-particle":"","parse-names":false,"suffix":""},{"dropping-particle":"","family":"Tibshirani","given":"Rob","non-dropping-particle":"","parse-names":false,"suffix":""}],"container-title":"Journal of statistical software","id":"ITEM-1","issue":"1","issued":{"date-parts":[["2010"]]},"page":"1-22","title":"Regularization paths for generalized linear models via coordinate descent.","type":"article-journal","volume":"33"},"uris":["http://www.mendeley.com/documents/?uuid=a281b7bb-3b66-4651-adfe-4f85fa9b8b1e"]}],"mendeley":{"formattedCitation":"(65)","plainTextFormattedCitation":"(65)","previouslyFormattedCitation":"(64)"},"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(65)</w:t>
      </w:r>
      <w:r w:rsidR="00776DB8" w:rsidRPr="00C91EF0">
        <w:rPr>
          <w:rFonts w:asciiTheme="minorHAnsi" w:hAnsiTheme="minorHAnsi" w:cstheme="minorHAnsi"/>
          <w:sz w:val="22"/>
          <w:szCs w:val="22"/>
          <w:lang w:val="en-GB"/>
        </w:rPr>
        <w:fldChar w:fldCharType="end"/>
      </w:r>
      <w:r w:rsidR="005A6ECF" w:rsidRPr="00C91EF0">
        <w:rPr>
          <w:rFonts w:asciiTheme="minorHAnsi" w:hAnsiTheme="minorHAnsi" w:cstheme="minorHAnsi"/>
          <w:sz w:val="22"/>
          <w:szCs w:val="22"/>
          <w:lang w:val="en-GB"/>
        </w:rPr>
        <w:t>.</w:t>
      </w:r>
      <w:r w:rsidR="00D6770A" w:rsidRPr="00C91EF0">
        <w:rPr>
          <w:rFonts w:asciiTheme="minorHAnsi" w:hAnsiTheme="minorHAnsi" w:cstheme="minorHAnsi"/>
          <w:sz w:val="22"/>
          <w:szCs w:val="22"/>
          <w:lang w:val="en-GB"/>
        </w:rPr>
        <w:t xml:space="preserve"> </w:t>
      </w:r>
      <w:r w:rsidR="00F12F36" w:rsidRPr="00C91EF0">
        <w:rPr>
          <w:rFonts w:asciiTheme="minorHAnsi" w:hAnsiTheme="minorHAnsi" w:cstheme="minorHAnsi"/>
          <w:sz w:val="22"/>
          <w:szCs w:val="22"/>
          <w:lang w:val="en-GB"/>
        </w:rPr>
        <w:t>Age</w:t>
      </w:r>
      <w:r w:rsidR="0053545D">
        <w:rPr>
          <w:rFonts w:asciiTheme="minorHAnsi" w:hAnsiTheme="minorHAnsi" w:cstheme="minorHAnsi"/>
          <w:sz w:val="22"/>
          <w:szCs w:val="22"/>
          <w:lang w:val="en-GB"/>
        </w:rPr>
        <w:t xml:space="preserve"> (</w:t>
      </w:r>
      <w:r w:rsidR="00027FBA">
        <w:rPr>
          <w:rFonts w:asciiTheme="minorHAnsi" w:hAnsiTheme="minorHAnsi" w:cstheme="minorHAnsi"/>
          <w:sz w:val="22"/>
          <w:szCs w:val="22"/>
          <w:lang w:val="en-GB"/>
        </w:rPr>
        <w:t>assumed</w:t>
      </w:r>
      <w:r>
        <w:rPr>
          <w:rFonts w:asciiTheme="minorHAnsi" w:hAnsiTheme="minorHAnsi" w:cstheme="minorHAnsi"/>
          <w:sz w:val="22"/>
          <w:szCs w:val="22"/>
          <w:lang w:val="en-GB"/>
        </w:rPr>
        <w:t xml:space="preserve">, like the </w:t>
      </w:r>
      <w:r>
        <w:rPr>
          <w:rFonts w:asciiTheme="minorHAnsi" w:hAnsiTheme="minorHAnsi" w:cstheme="minorHAnsi"/>
          <w:sz w:val="22"/>
          <w:szCs w:val="22"/>
          <w:lang w:val="en-GB"/>
        </w:rPr>
        <w:lastRenderedPageBreak/>
        <w:t>other continuous variables,</w:t>
      </w:r>
      <w:r w:rsidR="00027FBA">
        <w:rPr>
          <w:rFonts w:asciiTheme="minorHAnsi" w:hAnsiTheme="minorHAnsi" w:cstheme="minorHAnsi"/>
          <w:sz w:val="22"/>
          <w:szCs w:val="22"/>
          <w:lang w:val="en-GB"/>
        </w:rPr>
        <w:t xml:space="preserve"> to be </w:t>
      </w:r>
      <w:r w:rsidR="0053545D">
        <w:rPr>
          <w:rFonts w:asciiTheme="minorHAnsi" w:hAnsiTheme="minorHAnsi" w:cstheme="minorHAnsi"/>
          <w:sz w:val="22"/>
          <w:szCs w:val="22"/>
          <w:lang w:val="en-GB"/>
        </w:rPr>
        <w:t>linear</w:t>
      </w:r>
      <w:r w:rsidR="00027FBA">
        <w:rPr>
          <w:rFonts w:asciiTheme="minorHAnsi" w:hAnsiTheme="minorHAnsi" w:cstheme="minorHAnsi"/>
          <w:sz w:val="22"/>
          <w:szCs w:val="22"/>
          <w:lang w:val="en-GB"/>
        </w:rPr>
        <w:t>ly associated with outcome</w:t>
      </w:r>
      <w:r w:rsidR="0053545D">
        <w:rPr>
          <w:rFonts w:asciiTheme="minorHAnsi" w:hAnsiTheme="minorHAnsi" w:cstheme="minorHAnsi"/>
          <w:sz w:val="22"/>
          <w:szCs w:val="22"/>
          <w:lang w:val="en-GB"/>
        </w:rPr>
        <w:t>)</w:t>
      </w:r>
      <w:r w:rsidR="00D6770A" w:rsidRPr="00C91EF0">
        <w:rPr>
          <w:rFonts w:asciiTheme="minorHAnsi" w:hAnsiTheme="minorHAnsi" w:cstheme="minorHAnsi"/>
          <w:sz w:val="22"/>
          <w:szCs w:val="22"/>
          <w:lang w:val="en-GB"/>
        </w:rPr>
        <w:t>, sex, and the effect-coded indicators reflecting the trials’ baseline risk</w:t>
      </w:r>
      <w:r w:rsidR="00003AD0">
        <w:rPr>
          <w:rFonts w:asciiTheme="minorHAnsi" w:hAnsiTheme="minorHAnsi" w:cstheme="minorHAnsi"/>
          <w:sz w:val="22"/>
          <w:szCs w:val="22"/>
          <w:lang w:val="en-GB"/>
        </w:rPr>
        <w:t>,</w:t>
      </w:r>
      <w:r w:rsidR="00D6770A" w:rsidRPr="00C91EF0">
        <w:rPr>
          <w:rFonts w:asciiTheme="minorHAnsi" w:hAnsiTheme="minorHAnsi" w:cstheme="minorHAnsi"/>
          <w:sz w:val="22"/>
          <w:szCs w:val="22"/>
          <w:lang w:val="en-GB"/>
        </w:rPr>
        <w:t xml:space="preserve"> were </w:t>
      </w:r>
      <w:r>
        <w:rPr>
          <w:rFonts w:asciiTheme="minorHAnsi" w:hAnsiTheme="minorHAnsi" w:cstheme="minorHAnsi"/>
          <w:sz w:val="22"/>
          <w:szCs w:val="22"/>
          <w:lang w:val="en-GB"/>
        </w:rPr>
        <w:t xml:space="preserve">not </w:t>
      </w:r>
      <w:r w:rsidR="00D6770A" w:rsidRPr="00C91EF0">
        <w:rPr>
          <w:rFonts w:asciiTheme="minorHAnsi" w:hAnsiTheme="minorHAnsi" w:cstheme="minorHAnsi"/>
          <w:sz w:val="22"/>
          <w:szCs w:val="22"/>
          <w:lang w:val="en-GB"/>
        </w:rPr>
        <w:t xml:space="preserve">regularized. </w:t>
      </w:r>
      <w:r w:rsidR="0053545D">
        <w:rPr>
          <w:rFonts w:asciiTheme="minorHAnsi" w:hAnsiTheme="minorHAnsi" w:cstheme="minorHAnsi"/>
          <w:sz w:val="22"/>
          <w:szCs w:val="22"/>
          <w:lang w:val="en-GB"/>
        </w:rPr>
        <w:t>In order to obtain sparse</w:t>
      </w:r>
      <w:r>
        <w:rPr>
          <w:rFonts w:asciiTheme="minorHAnsi" w:hAnsiTheme="minorHAnsi" w:cstheme="minorHAnsi"/>
          <w:sz w:val="22"/>
          <w:szCs w:val="22"/>
          <w:lang w:val="en-GB"/>
        </w:rPr>
        <w:t>r</w:t>
      </w:r>
      <w:r w:rsidR="0053545D">
        <w:rPr>
          <w:rFonts w:asciiTheme="minorHAnsi" w:hAnsiTheme="minorHAnsi" w:cstheme="minorHAnsi"/>
          <w:sz w:val="22"/>
          <w:szCs w:val="22"/>
          <w:lang w:val="en-GB"/>
        </w:rPr>
        <w:t xml:space="preserve"> models, we moved away from the </w:t>
      </w:r>
      <w:r w:rsidR="00772CE7" w:rsidRPr="00C91EF0">
        <w:rPr>
          <w:rFonts w:asciiTheme="minorHAnsi" w:hAnsiTheme="minorHAnsi" w:cstheme="minorHAnsi"/>
          <w:sz w:val="22"/>
          <w:szCs w:val="22"/>
          <w:lang w:val="en-GB"/>
        </w:rPr>
        <w:t>default setting</w:t>
      </w:r>
      <w:r>
        <w:rPr>
          <w:rFonts w:asciiTheme="minorHAnsi" w:hAnsiTheme="minorHAnsi" w:cstheme="minorHAnsi"/>
          <w:sz w:val="22"/>
          <w:szCs w:val="22"/>
          <w:lang w:val="en-GB"/>
        </w:rPr>
        <w:t xml:space="preserve">, which would have meant </w:t>
      </w:r>
      <w:r w:rsidR="00772CE7" w:rsidRPr="00C91EF0">
        <w:rPr>
          <w:rFonts w:asciiTheme="minorHAnsi" w:hAnsiTheme="minorHAnsi" w:cstheme="minorHAnsi"/>
          <w:sz w:val="22"/>
          <w:szCs w:val="22"/>
          <w:lang w:val="en-GB"/>
        </w:rPr>
        <w:t xml:space="preserve">choosing the tuning parameter lambda as the value with </w:t>
      </w:r>
      <w:r w:rsidR="00F10A3F">
        <w:rPr>
          <w:rFonts w:asciiTheme="minorHAnsi" w:hAnsiTheme="minorHAnsi" w:cstheme="minorHAnsi"/>
          <w:sz w:val="22"/>
          <w:szCs w:val="22"/>
          <w:lang w:val="en-GB"/>
        </w:rPr>
        <w:t xml:space="preserve">the </w:t>
      </w:r>
      <w:r w:rsidR="00772CE7" w:rsidRPr="00C91EF0">
        <w:rPr>
          <w:rFonts w:asciiTheme="minorHAnsi" w:hAnsiTheme="minorHAnsi" w:cstheme="minorHAnsi"/>
          <w:sz w:val="22"/>
          <w:szCs w:val="22"/>
          <w:lang w:val="en-GB"/>
        </w:rPr>
        <w:t>minimum mean cross-validated error</w:t>
      </w:r>
      <w:r w:rsidR="003173E5" w:rsidRPr="0080227B">
        <w:rPr>
          <w:lang w:val="en-US"/>
        </w:rPr>
        <w:t xml:space="preserve"> (</w:t>
      </w:r>
      <w:r w:rsidR="004A707B">
        <w:rPr>
          <w:rFonts w:asciiTheme="minorHAnsi" w:hAnsiTheme="minorHAnsi" w:cstheme="minorHAnsi"/>
          <w:sz w:val="22"/>
          <w:szCs w:val="22"/>
          <w:lang w:val="en-GB"/>
        </w:rPr>
        <w:t>“</w:t>
      </w:r>
      <w:r w:rsidR="003173E5" w:rsidRPr="003173E5">
        <w:rPr>
          <w:rFonts w:asciiTheme="minorHAnsi" w:hAnsiTheme="minorHAnsi" w:cstheme="minorHAnsi"/>
          <w:sz w:val="22"/>
          <w:szCs w:val="22"/>
          <w:lang w:val="en-GB"/>
        </w:rPr>
        <w:t>optimal penalt</w:t>
      </w:r>
      <w:r w:rsidR="003173E5">
        <w:rPr>
          <w:rFonts w:asciiTheme="minorHAnsi" w:hAnsiTheme="minorHAnsi" w:cstheme="minorHAnsi"/>
          <w:sz w:val="22"/>
          <w:szCs w:val="22"/>
          <w:lang w:val="en-GB"/>
        </w:rPr>
        <w:t>y”)</w:t>
      </w:r>
      <w:r w:rsidR="00F10A3F">
        <w:rPr>
          <w:rFonts w:asciiTheme="minorHAnsi" w:hAnsiTheme="minorHAnsi" w:cstheme="minorHAnsi"/>
          <w:sz w:val="22"/>
          <w:szCs w:val="22"/>
          <w:lang w:val="en-GB"/>
        </w:rPr>
        <w:t xml:space="preserve">. In preference, we decided to be stricter and </w:t>
      </w:r>
      <w:r w:rsidR="00F12F36" w:rsidRPr="00C91EF0">
        <w:rPr>
          <w:rFonts w:asciiTheme="minorHAnsi" w:hAnsiTheme="minorHAnsi" w:cstheme="minorHAnsi"/>
          <w:sz w:val="22"/>
          <w:szCs w:val="22"/>
          <w:lang w:val="en-GB"/>
        </w:rPr>
        <w:t>chose the most regularized model</w:t>
      </w:r>
      <w:r w:rsidR="00F10A3F">
        <w:rPr>
          <w:rFonts w:asciiTheme="minorHAnsi" w:hAnsiTheme="minorHAnsi" w:cstheme="minorHAnsi"/>
          <w:sz w:val="22"/>
          <w:szCs w:val="22"/>
          <w:lang w:val="en-GB"/>
        </w:rPr>
        <w:t xml:space="preserve">, meaning that </w:t>
      </w:r>
      <w:r w:rsidR="00F12F36" w:rsidRPr="00C91EF0">
        <w:rPr>
          <w:rFonts w:asciiTheme="minorHAnsi" w:hAnsiTheme="minorHAnsi" w:cstheme="minorHAnsi"/>
          <w:sz w:val="22"/>
          <w:szCs w:val="22"/>
          <w:lang w:val="en-GB"/>
        </w:rPr>
        <w:t>the error was within one standard error of the minimum</w:t>
      </w:r>
      <w:r w:rsidR="003173E5">
        <w:rPr>
          <w:rFonts w:asciiTheme="minorHAnsi" w:hAnsiTheme="minorHAnsi" w:cstheme="minorHAnsi"/>
          <w:sz w:val="22"/>
          <w:szCs w:val="22"/>
          <w:lang w:val="en-GB"/>
        </w:rPr>
        <w:t xml:space="preserve"> (“</w:t>
      </w:r>
      <w:r w:rsidR="003173E5" w:rsidRPr="003173E5">
        <w:rPr>
          <w:rFonts w:asciiTheme="minorHAnsi" w:hAnsiTheme="minorHAnsi" w:cstheme="minorHAnsi"/>
          <w:sz w:val="22"/>
          <w:szCs w:val="22"/>
          <w:lang w:val="en-GB"/>
        </w:rPr>
        <w:t>1-se rule</w:t>
      </w:r>
      <w:r w:rsidR="003173E5">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{"citationItems":[{"id":"ITEM-1","itemData":{"DOI":"10.1002/bimj.201700232","ISSN":"1521-4036","PMID":"30353591","abstract":"Many approaches for variable selection with multiply imputed data in the development of a prognostic model have been proposed. However, no method prevails as uniformly best. We conducted a simulation study with a binary outcome and a logistic regression model to compare two classes of variable selection methods in the presence of MI data: (I) Model selection on bootstrap data, using backward elimination based on AIC or lasso, and fit the final model based on the most frequently (e.g. ≥ 50 % ) selected variables over all MI and bootstrap data sets; (II) Model selection on original MI data, using lasso. The final model is obtained by (i) averaging estimates of variables that were selected in any MI data set or (ii) in 50% of the MI data; (iii) performing lasso on the stacked MI data, and (iv) as in (iii) but using individual weights as determined by the fraction of missingness. In all lasso models, we used both the optimal penalty and the 1-se rule. We considered recalibrating models to correct for overshrinkage due to the suboptimal penalty by refitting the linear predictor or all individual variables. We applied the methods on a real dataset of 951 adult patients with tuberculous meningitis to predict mortality within nine months. Overall, applying lasso selection with the 1-se penalty shows the best performance, both in approach I and II. Stacking MI data is an attractive approach because it does not require choosing a selection threshold when combining results from separate MI data sets.","author":[{"dropping-particle":"","family":"Thao","given":"Le Thi Phuong","non-dropping-particle":"","parse-names":false,"suffix":""},{"dropping-particle":"","family":"Geskus","given":"Ronald","non-dropping-particle":"","parse-names":false,"suffix":""}],"container-title":"Biometrical journal. Biometrische Zeitschrift","id":"ITEM-1","issue":"2","issued":{"date-parts":[["2019","3"]]},"page":"343-356","title":"A comparison of model selection methods for prediction in the presence of multiply imputed data.","type":"article-journal","volume":"61"},"uris":["http://www.mendeley.com/documents/?uuid=4b62d762-1605-47a5-9cac-13fe923a0570"]}],"mendeley":{"formattedCitation":"(66)","plainTextFormattedCitation":"(66)","previouslyFormattedCitation":"(65)"},"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(66)</w:t>
      </w:r>
      <w:r w:rsidR="00776DB8" w:rsidRPr="00C91EF0">
        <w:rPr>
          <w:rFonts w:asciiTheme="minorHAnsi" w:hAnsiTheme="minorHAnsi" w:cstheme="minorHAnsi"/>
          <w:sz w:val="22"/>
          <w:szCs w:val="22"/>
          <w:lang w:val="en-GB"/>
        </w:rPr>
        <w:fldChar w:fldCharType="end"/>
      </w:r>
      <w:r w:rsidR="003173E5">
        <w:rPr>
          <w:rFonts w:asciiTheme="minorHAnsi" w:hAnsiTheme="minorHAnsi" w:cstheme="minorHAnsi"/>
          <w:sz w:val="22"/>
          <w:szCs w:val="22"/>
          <w:lang w:val="en-GB"/>
        </w:rPr>
        <w:t>)</w:t>
      </w:r>
      <w:r w:rsidR="00772CE7" w:rsidRPr="00C91EF0">
        <w:rPr>
          <w:rFonts w:asciiTheme="minorHAnsi" w:hAnsiTheme="minorHAnsi" w:cstheme="minorHAnsi"/>
          <w:sz w:val="22"/>
          <w:szCs w:val="22"/>
          <w:lang w:val="en-GB"/>
        </w:rPr>
        <w:t xml:space="preserve">. </w:t>
      </w:r>
      <w:r w:rsidR="000267CA" w:rsidRPr="000267CA">
        <w:rPr>
          <w:rFonts w:asciiTheme="minorHAnsi" w:hAnsiTheme="minorHAnsi" w:cstheme="minorHAnsi"/>
          <w:sz w:val="22"/>
          <w:szCs w:val="22"/>
          <w:lang w:val="en-GB"/>
        </w:rPr>
        <w:t>Variable importance was derived from the ranks of the absolute values of the final (standardized) coefficients</w:t>
      </w:r>
      <w:r w:rsidR="0079780D">
        <w:rPr>
          <w:rFonts w:asciiTheme="minorHAnsi" w:hAnsiTheme="minorHAnsi" w:cstheme="minorHAnsi"/>
          <w:sz w:val="22"/>
          <w:szCs w:val="22"/>
          <w:lang w:val="en-GB"/>
        </w:rPr>
        <w:t xml:space="preserve"> </w:t>
      </w:r>
      <w:r w:rsidR="0079780D"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{"citationItems":[{"id":"ITEM-1","itemData":{"ISSN":"1548-7660","PMID":"20808728","abstract":"We develop fast algorithms for estimation of generalized linear models with convex penalties. The models include linear regression, two-class logistic regression, and multinomial regression problems while the penalties include ℓ(1) (the lasso), ℓ(2) (ridge regression) and mixtures of the two (the elastic net). The algorithms use cyclical coordinate descent, computed along a regularization path. The methods can handle large problems and can also deal efficiently with sparse features. In comparative timings we find that the new algorithms are considerably faster than competing methods.","author":[{"dropping-particle":"","family":"Friedman","given":"Jerome","non-dropping-particle":"","parse-names":false,"suffix":""},{"dropping-particle":"","family":"Hastie","given":"Trevor","non-dropping-particle":"","parse-names":false,"suffix":""},{"dropping-particle":"","family":"Tibshirani","given":"Rob","non-dropping-particle":"","parse-names":false,"suffix":""}],"container-title":"Journal of statistical software","id":"ITEM-1","issue":"1","issued":{"date-parts":[["2010"]]},"page":"1-22","title":"Regularization paths for generalized linear models via coordinate descent.","type":"article-journal","volume":"33"},"uris":["http://www.mendeley.com/documents/?uuid=a281b7bb-3b66-4651-adfe-4f85fa9b8b1e"]}],"mendeley":{"formattedCitation":"(65)","plainTextFormattedCitation":"(65)","previouslyFormattedCitation":"(64)"},"properties":{"noteIndex":0},"schema":"https://github.com/citation-style-language/schema/raw/master/csl-citation.json"}</w:instrText>
      </w:r>
      <w:r w:rsidR="0079780D"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(65)</w:t>
      </w:r>
      <w:r w:rsidR="0079780D" w:rsidRPr="00C91EF0">
        <w:rPr>
          <w:rFonts w:asciiTheme="minorHAnsi" w:hAnsiTheme="minorHAnsi" w:cstheme="minorHAnsi"/>
          <w:sz w:val="22"/>
          <w:szCs w:val="22"/>
          <w:lang w:val="en-GB"/>
        </w:rPr>
        <w:fldChar w:fldCharType="end"/>
      </w:r>
      <w:r w:rsidR="000267CA" w:rsidRPr="000267CA">
        <w:rPr>
          <w:rFonts w:asciiTheme="minorHAnsi" w:hAnsiTheme="minorHAnsi" w:cstheme="minorHAnsi"/>
          <w:sz w:val="22"/>
          <w:szCs w:val="22"/>
          <w:lang w:val="en-GB"/>
        </w:rPr>
        <w:t>. For subsequent case</w:t>
      </w:r>
      <w:r w:rsidR="00F10A3F">
        <w:rPr>
          <w:rFonts w:asciiTheme="minorHAnsi" w:hAnsiTheme="minorHAnsi" w:cstheme="minorHAnsi"/>
          <w:sz w:val="22"/>
          <w:szCs w:val="22"/>
          <w:lang w:val="en-GB"/>
        </w:rPr>
        <w:t>s</w:t>
      </w:r>
      <w:r w:rsidR="000267CA" w:rsidRPr="000267CA">
        <w:rPr>
          <w:rFonts w:asciiTheme="minorHAnsi" w:hAnsiTheme="minorHAnsi" w:cstheme="minorHAnsi"/>
          <w:sz w:val="22"/>
          <w:szCs w:val="22"/>
          <w:lang w:val="en-GB"/>
        </w:rPr>
        <w:t xml:space="preserve">, the model formula obtained </w:t>
      </w:r>
      <w:r w:rsidR="00F10A3F">
        <w:rPr>
          <w:rFonts w:asciiTheme="minorHAnsi" w:hAnsiTheme="minorHAnsi" w:cstheme="minorHAnsi"/>
          <w:sz w:val="22"/>
          <w:szCs w:val="22"/>
          <w:lang w:val="en-GB"/>
        </w:rPr>
        <w:t xml:space="preserve">using </w:t>
      </w:r>
      <w:r w:rsidR="0018741E">
        <w:rPr>
          <w:rFonts w:asciiTheme="minorHAnsi" w:hAnsiTheme="minorHAnsi" w:cstheme="minorHAnsi"/>
          <w:sz w:val="22"/>
          <w:szCs w:val="22"/>
          <w:lang w:val="en-GB"/>
        </w:rPr>
        <w:t xml:space="preserve">the </w:t>
      </w:r>
      <w:r w:rsidR="000267CA" w:rsidRPr="000267CA">
        <w:rPr>
          <w:rFonts w:asciiTheme="minorHAnsi" w:hAnsiTheme="minorHAnsi" w:cstheme="minorHAnsi"/>
          <w:sz w:val="22"/>
          <w:szCs w:val="22"/>
          <w:lang w:val="en-GB"/>
        </w:rPr>
        <w:t xml:space="preserve">LASSO </w:t>
      </w:r>
      <w:r w:rsidR="0018741E">
        <w:rPr>
          <w:rFonts w:asciiTheme="minorHAnsi" w:hAnsiTheme="minorHAnsi" w:cstheme="minorHAnsi"/>
          <w:sz w:val="22"/>
          <w:szCs w:val="22"/>
          <w:lang w:val="en-GB"/>
        </w:rPr>
        <w:t xml:space="preserve">technique </w:t>
      </w:r>
      <w:r w:rsidR="000267CA" w:rsidRPr="000267CA">
        <w:rPr>
          <w:rFonts w:asciiTheme="minorHAnsi" w:hAnsiTheme="minorHAnsi" w:cstheme="minorHAnsi"/>
          <w:sz w:val="22"/>
          <w:szCs w:val="22"/>
          <w:lang w:val="en-GB"/>
        </w:rPr>
        <w:t xml:space="preserve">was applied to models </w:t>
      </w:r>
      <w:r w:rsidR="00F10A3F">
        <w:rPr>
          <w:rFonts w:asciiTheme="minorHAnsi" w:hAnsiTheme="minorHAnsi" w:cstheme="minorHAnsi"/>
          <w:sz w:val="22"/>
          <w:szCs w:val="22"/>
          <w:lang w:val="en-GB"/>
        </w:rPr>
        <w:t xml:space="preserve">that were </w:t>
      </w:r>
      <w:r w:rsidR="000267CA" w:rsidRPr="000267CA">
        <w:rPr>
          <w:rFonts w:asciiTheme="minorHAnsi" w:hAnsiTheme="minorHAnsi" w:cstheme="minorHAnsi"/>
          <w:sz w:val="22"/>
          <w:szCs w:val="22"/>
          <w:lang w:val="en-GB"/>
        </w:rPr>
        <w:t xml:space="preserve">refitted </w:t>
      </w:r>
      <w:r w:rsidR="00F10A3F">
        <w:rPr>
          <w:rFonts w:asciiTheme="minorHAnsi" w:hAnsiTheme="minorHAnsi" w:cstheme="minorHAnsi"/>
          <w:sz w:val="22"/>
          <w:szCs w:val="22"/>
          <w:lang w:val="en-GB"/>
        </w:rPr>
        <w:t xml:space="preserve">using </w:t>
      </w:r>
      <w:r w:rsidR="000267CA" w:rsidRPr="000267CA">
        <w:rPr>
          <w:rFonts w:asciiTheme="minorHAnsi" w:hAnsiTheme="minorHAnsi" w:cstheme="minorHAnsi"/>
          <w:sz w:val="22"/>
          <w:szCs w:val="22"/>
          <w:lang w:val="en-GB"/>
        </w:rPr>
        <w:t>unpenalized maximum likelihood</w:t>
      </w:r>
      <w:r w:rsidR="00F10A3F">
        <w:rPr>
          <w:rFonts w:asciiTheme="minorHAnsi" w:hAnsiTheme="minorHAnsi" w:cstheme="minorHAnsi"/>
          <w:sz w:val="22"/>
          <w:szCs w:val="22"/>
          <w:lang w:val="en-GB"/>
        </w:rPr>
        <w:t xml:space="preserve">. </w:t>
      </w:r>
      <w:r w:rsidR="00DE40CF">
        <w:rPr>
          <w:rFonts w:asciiTheme="minorHAnsi" w:hAnsiTheme="minorHAnsi" w:cstheme="minorHAnsi"/>
          <w:sz w:val="22"/>
          <w:szCs w:val="22"/>
          <w:lang w:val="en-GB"/>
        </w:rPr>
        <w:t>We additionally calculated</w:t>
      </w:r>
      <w:r w:rsidR="00F10A3F">
        <w:rPr>
          <w:rFonts w:asciiTheme="minorHAnsi" w:hAnsiTheme="minorHAnsi" w:cstheme="minorHAnsi"/>
          <w:sz w:val="22"/>
          <w:szCs w:val="22"/>
          <w:lang w:val="en-GB"/>
        </w:rPr>
        <w:t xml:space="preserve"> </w:t>
      </w:r>
      <w:r w:rsidR="000267CA" w:rsidRPr="000267CA">
        <w:rPr>
          <w:rFonts w:asciiTheme="minorHAnsi" w:hAnsiTheme="minorHAnsi" w:cstheme="minorHAnsi"/>
          <w:sz w:val="22"/>
          <w:szCs w:val="22"/>
          <w:lang w:val="en-GB"/>
        </w:rPr>
        <w:t xml:space="preserve">a uniform shrinkage factor </w:t>
      </w:r>
      <w:r w:rsidR="00DE40CF">
        <w:rPr>
          <w:rFonts w:asciiTheme="minorHAnsi" w:hAnsiTheme="minorHAnsi" w:cstheme="minorHAnsi"/>
          <w:sz w:val="22"/>
          <w:szCs w:val="22"/>
          <w:lang w:val="en-GB"/>
        </w:rPr>
        <w:t>from</w:t>
      </w:r>
      <w:r w:rsidR="00F10A3F">
        <w:rPr>
          <w:rFonts w:asciiTheme="minorHAnsi" w:hAnsiTheme="minorHAnsi" w:cstheme="minorHAnsi"/>
          <w:sz w:val="22"/>
          <w:szCs w:val="22"/>
          <w:lang w:val="en-GB"/>
        </w:rPr>
        <w:t xml:space="preserve"> </w:t>
      </w:r>
      <w:r w:rsidR="000267CA" w:rsidRPr="000267CA">
        <w:rPr>
          <w:rFonts w:asciiTheme="minorHAnsi" w:hAnsiTheme="minorHAnsi" w:cstheme="minorHAnsi"/>
          <w:sz w:val="22"/>
          <w:szCs w:val="22"/>
          <w:lang w:val="en-GB"/>
        </w:rPr>
        <w:t>bootstrap internal validation</w:t>
      </w:r>
      <w:r w:rsidR="00DE40CF">
        <w:rPr>
          <w:rFonts w:asciiTheme="minorHAnsi" w:hAnsiTheme="minorHAnsi" w:cstheme="minorHAnsi"/>
          <w:sz w:val="22"/>
          <w:szCs w:val="22"/>
          <w:lang w:val="en-GB"/>
        </w:rPr>
        <w:t>; the uniform shrinkage factor corresponds to one minus the average</w:t>
      </w:r>
      <w:r w:rsidR="000267CA" w:rsidRPr="00DE40CF">
        <w:rPr>
          <w:rFonts w:asciiTheme="minorHAnsi" w:hAnsiTheme="minorHAnsi" w:cstheme="minorHAnsi"/>
          <w:sz w:val="22"/>
          <w:szCs w:val="22"/>
          <w:lang w:val="en-GB"/>
        </w:rPr>
        <w:t xml:space="preserve"> </w:t>
      </w:r>
      <w:r w:rsidR="00DE40CF" w:rsidRPr="00DE40CF">
        <w:rPr>
          <w:rFonts w:asciiTheme="minorHAnsi" w:hAnsiTheme="minorHAnsi" w:cstheme="minorHAnsi"/>
          <w:sz w:val="22"/>
          <w:szCs w:val="22"/>
          <w:lang w:val="en-GB"/>
        </w:rPr>
        <w:t xml:space="preserve">of all </w:t>
      </w:r>
      <w:r w:rsidR="000267CA" w:rsidRPr="00DE40CF">
        <w:rPr>
          <w:rFonts w:asciiTheme="minorHAnsi" w:hAnsiTheme="minorHAnsi" w:cstheme="minorHAnsi"/>
          <w:sz w:val="22"/>
          <w:szCs w:val="22"/>
          <w:lang w:val="en-GB"/>
        </w:rPr>
        <w:t xml:space="preserve">calibration slopes </w:t>
      </w:r>
      <w:r w:rsidR="00DE40CF" w:rsidRPr="00DE40CF">
        <w:rPr>
          <w:rFonts w:asciiTheme="minorHAnsi" w:hAnsiTheme="minorHAnsi" w:cstheme="minorHAnsi"/>
          <w:sz w:val="22"/>
          <w:szCs w:val="22"/>
          <w:lang w:val="en-GB"/>
        </w:rPr>
        <w:t xml:space="preserve">of </w:t>
      </w:r>
      <w:r w:rsidR="000267CA" w:rsidRPr="00DE40CF">
        <w:rPr>
          <w:rFonts w:asciiTheme="minorHAnsi" w:hAnsiTheme="minorHAnsi" w:cstheme="minorHAnsi"/>
          <w:sz w:val="22"/>
          <w:szCs w:val="22"/>
          <w:lang w:val="en-GB"/>
        </w:rPr>
        <w:t>each bootstrap model applied to the original</w:t>
      </w:r>
      <w:r w:rsidR="00DE40CF">
        <w:rPr>
          <w:rFonts w:asciiTheme="minorHAnsi" w:hAnsiTheme="minorHAnsi" w:cstheme="minorHAnsi"/>
          <w:sz w:val="22"/>
          <w:szCs w:val="22"/>
          <w:lang w:val="en-GB"/>
        </w:rPr>
        <w:t xml:space="preserve"> IPD</w:t>
      </w:r>
      <w:r w:rsidR="000267CA" w:rsidRPr="00DE40CF">
        <w:rPr>
          <w:rFonts w:asciiTheme="minorHAnsi" w:hAnsiTheme="minorHAnsi" w:cstheme="minorHAnsi"/>
          <w:sz w:val="22"/>
          <w:szCs w:val="22"/>
          <w:lang w:val="en-GB"/>
        </w:rPr>
        <w:t xml:space="preserve">.   </w:t>
      </w:r>
    </w:p>
    <w:p w14:paraId="0FC2416F" w14:textId="76252411" w:rsidR="00312212" w:rsidRPr="00A65EEE" w:rsidRDefault="00312212" w:rsidP="00D6770A">
      <w:pPr>
        <w:spacing w:line="480" w:lineRule="auto"/>
        <w:rPr>
          <w:rFonts w:asciiTheme="minorHAnsi" w:hAnsiTheme="minorHAnsi" w:cstheme="minorHAnsi"/>
          <w:i/>
          <w:iCs/>
          <w:sz w:val="22"/>
          <w:szCs w:val="22"/>
          <w:lang w:val="en-GB"/>
        </w:rPr>
      </w:pPr>
      <w:r w:rsidRPr="00A65EEE">
        <w:rPr>
          <w:rFonts w:asciiTheme="minorHAnsi" w:hAnsiTheme="minorHAnsi" w:cstheme="minorHAnsi"/>
          <w:i/>
          <w:iCs/>
          <w:sz w:val="22"/>
          <w:szCs w:val="22"/>
          <w:lang w:val="en-GB"/>
        </w:rPr>
        <w:t>Performance metrics</w:t>
      </w:r>
    </w:p>
    <w:p w14:paraId="61C86DD0" w14:textId="0ECE0AEB" w:rsidR="005D7A9E" w:rsidRDefault="00D6770A"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Predictive performance was assessed by </w:t>
      </w:r>
      <w:r w:rsidR="00346368">
        <w:rPr>
          <w:rFonts w:asciiTheme="minorHAnsi" w:hAnsiTheme="minorHAnsi" w:cstheme="minorHAnsi"/>
          <w:sz w:val="22"/>
          <w:szCs w:val="22"/>
          <w:lang w:val="en-GB"/>
        </w:rPr>
        <w:t xml:space="preserve">simultaneously </w:t>
      </w:r>
      <w:r w:rsidR="00F12F36" w:rsidRPr="00C91EF0">
        <w:rPr>
          <w:rFonts w:asciiTheme="minorHAnsi" w:hAnsiTheme="minorHAnsi" w:cstheme="minorHAnsi"/>
          <w:sz w:val="22"/>
          <w:szCs w:val="22"/>
          <w:lang w:val="en-GB"/>
        </w:rPr>
        <w:t>using 250 bootstrap samples</w:t>
      </w:r>
      <w:r w:rsidR="00346368">
        <w:rPr>
          <w:rFonts w:asciiTheme="minorHAnsi" w:hAnsiTheme="minorHAnsi" w:cstheme="minorHAnsi"/>
          <w:sz w:val="22"/>
          <w:szCs w:val="22"/>
          <w:lang w:val="en-GB"/>
        </w:rPr>
        <w:t xml:space="preserve"> internally</w:t>
      </w:r>
      <w:r w:rsidR="00F12F36"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author":[{"dropping-particle":"","family":"Efron","given":"B","non-dropping-particle":"","parse-names":false,"suffix":""},{"dropping-particle":"","family":"Tibshirani","given":"RJ","non-dropping-particle":"","parse-names":false,"suffix":""}],"id":"ITEM-1","issued":{"date-parts":[["1993"]]},"publisher":"Chapman &amp; Hall","publisher-place":"CRC Boca Raton London New York Washington, D.C.","title":"An introduction to the bootstrap","type":"book"},"uris":["http://www.mendeley.com/documents/?uuid=8245eadd-c402-426e-9eae-1a7b8a6e094e"]}],"mendeley":{"formattedCitation":"(67)","plainTextFormattedCitation":"(67)","previouslyFormattedCitation":"(66)"},"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(67)</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and </w:t>
      </w:r>
      <w:r w:rsidR="00003AD0">
        <w:rPr>
          <w:rFonts w:asciiTheme="minorHAnsi" w:hAnsiTheme="minorHAnsi" w:cstheme="minorHAnsi"/>
          <w:sz w:val="22"/>
          <w:szCs w:val="22"/>
          <w:lang w:val="en-GB"/>
        </w:rPr>
        <w:t xml:space="preserve">employing </w:t>
      </w:r>
      <w:r w:rsidRPr="00C91EF0">
        <w:rPr>
          <w:rFonts w:asciiTheme="minorHAnsi" w:hAnsiTheme="minorHAnsi" w:cstheme="minorHAnsi"/>
          <w:sz w:val="22"/>
          <w:szCs w:val="22"/>
          <w:lang w:val="en-GB"/>
        </w:rPr>
        <w:t xml:space="preserve">IECV to assess generalizability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{"citationItems":[{"id":"ITEM-1","itemData":{"DOI":"10.1002/sim.1691","ISBN":"0277-6715 (Print)\\r0277-6715 (Linking)","ISSN":"02776715","PMID":"15027080","abstract":"Many models for clinical prediction (prognosis or diagnosis) are published in the medical literature every year but few such models find their way into clinical practice. The reason may be that since in most cases models have not been validated in independent data, they lack generality and/or credibility. In this paper we consider the situation in which several compatible, independent data sets relating to a given disease with a time-to-event endpoint are available for analysis. The aim is to construct and evaluate a single prognostic model. Building a multivariable model from the available prognostic factors is accomplished within the Cox proportional hazards framework, stratifying by study. Non-linear relationships with continuous predictors are modelled by using fractional polynomials. To assess the discrimination or separation of a survival model, we use the D statistic of Royston and Sauerbrei. D may be interpreted as the separation (log hazard ratio) between the survival distributions for two independent prognostic groups. To evaluate the generality of a prognostic model across the data sets, we propose 'internal-external cross-validation' on D: each study is omitted in turn, the model parameters are estimated from the remaining studies and D is evaluated in the omitted study. Because the linear predictor of a survival model tells only part of the story, we also suggest a method for investigating heterogeneity in the baseline distribution function across studies which involves fitting completely specified, flexible parametric survival models (Royston and Parmar). Our final models combine the prognostic index (obtained with stratification by study) with the pooled baseline survival distribution (estimated parametrically). By applying this methodology, we construct two prognostic scores in superficial bladder cancer. The simpler of the two scores is more suited to clinical application. We show that a three-group prognostic classification scheme based on either score produces well-separated survival curves for each of the data sets, despite identifiable heterogeneity among the baseline distribution functions and to a lesser extent among the prognostic indexes for the individual studies.","author":[{"dropping-particle":"","family":"Royston","given":"Patrick","non-dropping-particle":"","parse-names":false,"suffix":""},{"dropping-particle":"","family":"Parmar","given":"Mahesh K B","non-dropping-particle":"","parse-names":false,"suffix":""},{"dropping-particle":"","family":"Sylvester","given":"Richard","non-dropping-particle":"","parse-names":false,"suffix":""}],"container-title":"Statistics in Medicine","id":"ITEM-1","issue":"6","issued":{"date-parts":[["2004"]]},"page":"907-926","title":"Construction and validation of a prognostic model across several studies, with an application in superficial bladder cancer","type":"article-journal","volume":"23"},"uris":["http://www.mendeley.com/documents/?uuid=58b89e83-67cf-4b9c-a502-4c47db9d2d52"]},{"id":"ITEM-2","itemData":{"DOI":"10.1002/sim.5732","ISBN":"1097-0258 (Electronic)\\r0277-6715 (Linking)","ISSN":"02776715","PMID":"23307585","abstract":"The use of individual participant data (IPD) from multiple studies is an increasingly popular approach when developing a multivariable risk prediction model. Corresponding datasets, however, typically differ in important aspects, such as baseline risk. This has driven the adoption of meta-analytical approaches for appropriately dealing with heterogeneity between study populations. Although these approaches provide an averaged prediction model across all studies, little guidance exists about how to apply or validate this model to new individuals or study populations outside the derivation data. We consider several approaches to develop a multivariable logistic regression model from an IPD meta-analysis (IPD-MA) with potential between-study heterogeneity. We also propose strategies for choosing a valid model intercept for when the model is to be validated or applied to new individuals or study populations. These strategies can be implemented by the IPD-MA developers or future model validators. Finally, we show how model generalizability can be evaluated when external validation data are lacking using internal-external cross-validation and extend our framework to count and time-to-event data. In an empirical evaluation, our results show how stratified estimation allows study-specific model intercepts, which can then inform the intercept to be used when applying the model in practice, even to a population not represented by included studies. In summary, our framework allows the development (through stratified estimation), implementation in new individuals (through focused intercept choice), and evaluation (through internal-external validation) of a single, integrated prediction model from an IPD-MA in order to achieve improved model performance and generalizability.","author":[{"dropping-particle":"","family":"Debray","given":"Thomas P A","non-dropping-particle":"","parse-names":false,"suffix":""},{"dropping-particle":"","family":"Moons","given":"Karel G M","non-dropping-particle":"","parse-names":false,"suffix":""},{"dropping-particle":"","family":"Ahmed","given":"Ikhlaaq","non-dropping-particle":"","parse-names":false,"suffix":""},{"dropping-particle":"","family":"Koffijberg","given":"Hendrik","non-dropping-particle":"","parse-names":false,"suffix":""},{"dropping-particle":"","family":"Riley","given":"Richard David","non-dropping-particle":"","parse-names":false,"suffix":""}],"container-title":"Statistics in Medicine","id":"ITEM-2","issue":"18","issued":{"date-parts":[["2013"]]},"page":"3158-3180","title":"A framework for developing, implementing, and evaluating clinical prediction models in an individual participant data meta-analysis","type":"article-journal","volume":"32"},"uris":["http://www.mendeley.com/documents/?uuid=d1119011-70e4-4a72-813a-0db6da13316f"]}],"mendeley":{"formattedCitation":"(17,64)","plainTextFormattedCitation":"(17,64)","previouslyFormattedCitation":"(16,63)"},"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(17,64)</w:t>
      </w:r>
      <w:r w:rsidR="00776DB8" w:rsidRPr="00C91EF0">
        <w:rPr>
          <w:rFonts w:asciiTheme="minorHAnsi" w:hAnsiTheme="minorHAnsi" w:cstheme="minorHAnsi"/>
          <w:sz w:val="22"/>
          <w:szCs w:val="22"/>
          <w:lang w:val="en-GB"/>
        </w:rPr>
        <w:fldChar w:fldCharType="end"/>
      </w:r>
      <w:r w:rsidR="005A6ECF"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 xml:space="preserve">Model performance </w:t>
      </w:r>
      <w:r w:rsidR="00346368">
        <w:rPr>
          <w:rFonts w:asciiTheme="minorHAnsi" w:hAnsiTheme="minorHAnsi" w:cstheme="minorHAnsi"/>
          <w:sz w:val="22"/>
          <w:szCs w:val="22"/>
          <w:lang w:val="en-GB"/>
        </w:rPr>
        <w:t xml:space="preserve">in terms of </w:t>
      </w:r>
      <w:r w:rsidRPr="00C91EF0">
        <w:rPr>
          <w:rFonts w:asciiTheme="minorHAnsi" w:hAnsiTheme="minorHAnsi" w:cstheme="minorHAnsi"/>
          <w:sz w:val="22"/>
          <w:szCs w:val="22"/>
          <w:lang w:val="en-GB"/>
        </w:rPr>
        <w:t xml:space="preserve">discriminatory ability to </w:t>
      </w:r>
      <w:r w:rsidR="00EA6868">
        <w:rPr>
          <w:rFonts w:asciiTheme="minorHAnsi" w:hAnsiTheme="minorHAnsi" w:cstheme="minorHAnsi"/>
          <w:sz w:val="22"/>
          <w:szCs w:val="22"/>
          <w:lang w:val="en-GB"/>
        </w:rPr>
        <w:t xml:space="preserve">differentiate </w:t>
      </w:r>
      <w:r w:rsidRPr="00C91EF0">
        <w:rPr>
          <w:rFonts w:asciiTheme="minorHAnsi" w:hAnsiTheme="minorHAnsi" w:cstheme="minorHAnsi"/>
          <w:sz w:val="22"/>
          <w:szCs w:val="22"/>
          <w:lang w:val="en-GB"/>
        </w:rPr>
        <w:t xml:space="preserve">patients </w:t>
      </w:r>
      <w:r w:rsidR="00F12F36" w:rsidRPr="00C91EF0">
        <w:rPr>
          <w:rFonts w:asciiTheme="minorHAnsi" w:hAnsiTheme="minorHAnsi" w:cstheme="minorHAnsi"/>
          <w:sz w:val="22"/>
          <w:szCs w:val="22"/>
          <w:lang w:val="en-GB"/>
        </w:rPr>
        <w:t xml:space="preserve">with </w:t>
      </w:r>
      <w:proofErr w:type="spellStart"/>
      <w:r w:rsidR="00346368">
        <w:rPr>
          <w:rFonts w:asciiTheme="minorHAnsi" w:hAnsiTheme="minorHAnsi" w:cstheme="minorHAnsi"/>
          <w:sz w:val="22"/>
          <w:szCs w:val="22"/>
          <w:lang w:val="en-GB"/>
        </w:rPr>
        <w:t>d</w:t>
      </w:r>
      <w:r w:rsidR="00F12F36" w:rsidRPr="00C91EF0">
        <w:rPr>
          <w:rFonts w:asciiTheme="minorHAnsi" w:hAnsiTheme="minorHAnsi" w:cstheme="minorHAnsi"/>
          <w:sz w:val="22"/>
          <w:szCs w:val="22"/>
          <w:lang w:val="en-GB"/>
        </w:rPr>
        <w:t>HRQoL</w:t>
      </w:r>
      <w:proofErr w:type="spellEnd"/>
      <w:r w:rsidRPr="00C91EF0">
        <w:rPr>
          <w:rFonts w:asciiTheme="minorHAnsi" w:hAnsiTheme="minorHAnsi" w:cstheme="minorHAnsi"/>
          <w:sz w:val="22"/>
          <w:szCs w:val="22"/>
          <w:lang w:val="en-GB"/>
        </w:rPr>
        <w:t xml:space="preserve"> from the rest w</w:t>
      </w:r>
      <w:r w:rsidR="00197651" w:rsidRPr="00C91EF0">
        <w:rPr>
          <w:rFonts w:asciiTheme="minorHAnsi" w:hAnsiTheme="minorHAnsi" w:cstheme="minorHAnsi"/>
          <w:sz w:val="22"/>
          <w:szCs w:val="22"/>
          <w:lang w:val="en-GB"/>
        </w:rPr>
        <w:t>as</w:t>
      </w:r>
      <w:r w:rsidRPr="00C91EF0">
        <w:rPr>
          <w:rFonts w:asciiTheme="minorHAnsi" w:hAnsiTheme="minorHAnsi" w:cstheme="minorHAnsi"/>
          <w:sz w:val="22"/>
          <w:szCs w:val="22"/>
          <w:lang w:val="en-GB"/>
        </w:rPr>
        <w:t xml:space="preserve"> quantified </w:t>
      </w:r>
      <w:r w:rsidR="00346368">
        <w:rPr>
          <w:rFonts w:asciiTheme="minorHAnsi" w:hAnsiTheme="minorHAnsi" w:cstheme="minorHAnsi"/>
          <w:sz w:val="22"/>
          <w:szCs w:val="22"/>
          <w:lang w:val="en-GB"/>
        </w:rPr>
        <w:t xml:space="preserve">using </w:t>
      </w:r>
      <w:r w:rsidRPr="00C91EF0">
        <w:rPr>
          <w:rFonts w:asciiTheme="minorHAnsi" w:hAnsiTheme="minorHAnsi" w:cstheme="minorHAnsi"/>
          <w:sz w:val="22"/>
          <w:szCs w:val="22"/>
          <w:lang w:val="en-GB"/>
        </w:rPr>
        <w:t xml:space="preserve">the </w:t>
      </w:r>
      <w:r w:rsidR="008E28B3" w:rsidRPr="00C91EF0">
        <w:rPr>
          <w:rFonts w:asciiTheme="minorHAnsi" w:hAnsiTheme="minorHAnsi" w:cstheme="minorHAnsi"/>
          <w:sz w:val="22"/>
          <w:szCs w:val="22"/>
          <w:lang w:val="en-GB"/>
        </w:rPr>
        <w:t>C</w:t>
      </w:r>
      <w:r w:rsidR="006A1349"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statistic (equivalent to the area under the </w:t>
      </w:r>
      <w:r w:rsidR="00430506" w:rsidRPr="00C91EF0">
        <w:rPr>
          <w:rFonts w:asciiTheme="minorHAnsi" w:hAnsiTheme="minorHAnsi" w:cstheme="minorHAnsi"/>
          <w:sz w:val="22"/>
          <w:szCs w:val="22"/>
          <w:lang w:val="en-GB"/>
        </w:rPr>
        <w:t>receiver-operat</w:t>
      </w:r>
      <w:r w:rsidR="00430506">
        <w:rPr>
          <w:rFonts w:asciiTheme="minorHAnsi" w:hAnsiTheme="minorHAnsi" w:cstheme="minorHAnsi"/>
          <w:sz w:val="22"/>
          <w:szCs w:val="22"/>
          <w:lang w:val="en-GB"/>
        </w:rPr>
        <w:t>ing</w:t>
      </w:r>
      <w:r w:rsidR="00430506"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 xml:space="preserve">characteristic curve, ROC). Performance metrics for model calibration </w:t>
      </w:r>
      <w:r w:rsidR="00346368">
        <w:rPr>
          <w:rFonts w:asciiTheme="minorHAnsi" w:hAnsiTheme="minorHAnsi" w:cstheme="minorHAnsi"/>
          <w:sz w:val="22"/>
          <w:szCs w:val="22"/>
          <w:lang w:val="en-GB"/>
        </w:rPr>
        <w:t xml:space="preserve">to </w:t>
      </w:r>
      <w:r w:rsidRPr="00C91EF0">
        <w:rPr>
          <w:rFonts w:asciiTheme="minorHAnsi" w:hAnsiTheme="minorHAnsi" w:cstheme="minorHAnsi"/>
          <w:sz w:val="22"/>
          <w:szCs w:val="22"/>
          <w:lang w:val="en-GB"/>
        </w:rPr>
        <w:t>assess agreement between observed event frequencies and predicted probabilities w</w:t>
      </w:r>
      <w:r w:rsidR="00197651" w:rsidRPr="00C91EF0">
        <w:rPr>
          <w:rFonts w:asciiTheme="minorHAnsi" w:hAnsiTheme="minorHAnsi" w:cstheme="minorHAnsi"/>
          <w:sz w:val="22"/>
          <w:szCs w:val="22"/>
          <w:lang w:val="en-GB"/>
        </w:rPr>
        <w:t>er</w:t>
      </w:r>
      <w:r w:rsidRPr="00C91EF0">
        <w:rPr>
          <w:rFonts w:asciiTheme="minorHAnsi" w:hAnsiTheme="minorHAnsi" w:cstheme="minorHAnsi"/>
          <w:sz w:val="22"/>
          <w:szCs w:val="22"/>
          <w:lang w:val="en-GB"/>
        </w:rPr>
        <w:t>e based on the slope of the calibration curve and calibration-in-the-large (CITL)</w:t>
      </w:r>
      <w:r w:rsidR="00FC6CE7">
        <w:rPr>
          <w:rFonts w:asciiTheme="minorHAnsi" w:hAnsiTheme="minorHAnsi" w:cstheme="minorHAnsi"/>
          <w:sz w:val="22"/>
          <w:szCs w:val="22"/>
          <w:lang w:val="en-GB"/>
        </w:rPr>
        <w:t>,</w:t>
      </w:r>
      <w:r w:rsidR="00581D22">
        <w:rPr>
          <w:rFonts w:asciiTheme="minorHAnsi" w:hAnsiTheme="minorHAnsi" w:cstheme="minorHAnsi"/>
          <w:sz w:val="22"/>
          <w:szCs w:val="22"/>
          <w:lang w:val="en-GB"/>
        </w:rPr>
        <w:t xml:space="preserve"> and additionally inspected visually by means of calibration plots</w:t>
      </w:r>
      <w:r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{"citationItems":[{"id":"ITEM-1","itemData":{"DOI":"10.1097/EDE.0b013e3181c30fb2.Assessing","ISBN":"1531-5487 (Electronic) 1044-3983 (Linking)","ISSN":"1531-5487","PMID":"20010215","abstract":"The performance of prediction models can be assessed using a variety of different methods and metrics. Traditional measures for binary and survival outcomes include the Brier score to indicate overall model performance, the concordance (or c ) statistic for discriminative ability (or area under the receiver operating characteristic (ROC) curve), and goodness-of-fit statistics for calibration. Several new measures have recently been proposed that can be seen as refinements of discrimination measures, including variants of the c statistic for survival, reclassification tables, net reclassification improvement (NRI), and integrated discrimination improvement (IDI). Moreover, decision–analytic measures have been proposed, including decision curves to plot the net benefit achieved by making decisions based on model predictions. We aimed to define the role of these relatively novel approaches in the evaluation of the performance of prediction models. For illustration we present a case study of predicting the presence of residual tumor versus benign tissue in patients with testicular cancer (n=544 for model development, n=273 for external validation). We suggest that reporting discrimination and calibration will always be important for a prediction model. Decision-analytic measures should be reported if the predictive model is to be used for making clinical decisions. Other measures of performance may be warranted in specific applications, such as reclassification metrics to gain insight into the value of adding a novel predictor","author":[{"dropping-particle":"","family":"Steyerberg","given":"Ewout W","non-dropping-particle":"","parse-names":false,"suffix":""},{"dropping-particle":"","family":"Vickers","given":"Andrew J","non-dropping-particle":"","parse-names":false,"suffix":""},{"dropping-particle":"","family":"Cook","given":"Nancy R","non-dropping-particle":"","parse-names":false,"suffix":""},{"dropping-particle":"","family":"Gerds","given":"Thomas","non-dropping-particle":"","parse-names":false,"suffix":""},{"dropping-particle":"","family":"Obuchowski","given":"Nancy","non-dropping-particle":"","parse-names":false,"suffix":""},{"dropping-particle":"","family":"Pencina","given":"Michael J","non-dropping-particle":"","parse-names":false,"suffix":""},{"dropping-particle":"","family":"Kattan","given":"Michael W","non-dropping-particle":"","parse-names":false,"suffix":""}],"container-title":"Epidemiology","id":"ITEM-1","issue":"1","issued":{"date-parts":[["2010"]]},"page":"128-138","title":"Assessing the performance of prediction models: A framework for some traditional and novel measures","type":"article-journal","volume":"21"},"uris":["http://www.mendeley.com/documents/?uuid=15edbf4b-b852-4338-b23c-12cd5b9301dc"]}],"mendeley":{"formattedCitation":"(68)","plainTextFormattedCitation":"(68)","previouslyFormattedCitation":"(67)"},"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(68)</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w:t>
      </w:r>
    </w:p>
    <w:p w14:paraId="118582E2" w14:textId="0B536EDC" w:rsidR="00312212" w:rsidRPr="00A65EEE" w:rsidRDefault="00312212" w:rsidP="00D6770A">
      <w:pPr>
        <w:spacing w:line="480" w:lineRule="auto"/>
        <w:rPr>
          <w:rFonts w:asciiTheme="minorHAnsi" w:hAnsiTheme="minorHAnsi" w:cstheme="minorHAnsi"/>
          <w:i/>
          <w:iCs/>
          <w:sz w:val="22"/>
          <w:szCs w:val="22"/>
          <w:lang w:val="en-GB"/>
        </w:rPr>
      </w:pPr>
      <w:r w:rsidRPr="00A65EEE">
        <w:rPr>
          <w:rFonts w:asciiTheme="minorHAnsi" w:hAnsiTheme="minorHAnsi" w:cstheme="minorHAnsi"/>
          <w:i/>
          <w:iCs/>
          <w:sz w:val="22"/>
          <w:szCs w:val="22"/>
          <w:lang w:val="en-GB"/>
        </w:rPr>
        <w:t>Model validation</w:t>
      </w:r>
    </w:p>
    <w:p w14:paraId="6129AC90" w14:textId="40CC20C4" w:rsidR="000267CA" w:rsidRDefault="000267CA" w:rsidP="00D6770A">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With regard to internal bootstrap validation, the prediction model was developed </w:t>
      </w:r>
      <w:r w:rsidRPr="00C75562">
        <w:rPr>
          <w:rFonts w:asciiTheme="minorHAnsi" w:hAnsiTheme="minorHAnsi" w:cstheme="minorHAnsi"/>
          <w:i/>
          <w:sz w:val="22"/>
          <w:szCs w:val="22"/>
          <w:lang w:val="en-GB"/>
        </w:rPr>
        <w:t>de-novo</w:t>
      </w:r>
      <w:r>
        <w:rPr>
          <w:rFonts w:asciiTheme="minorHAnsi" w:hAnsiTheme="minorHAnsi" w:cstheme="minorHAnsi"/>
          <w:sz w:val="22"/>
          <w:szCs w:val="22"/>
          <w:lang w:val="en-GB"/>
        </w:rPr>
        <w:t xml:space="preserve"> </w:t>
      </w:r>
      <w:r w:rsidR="00FC6CE7">
        <w:rPr>
          <w:rFonts w:asciiTheme="minorHAnsi" w:hAnsiTheme="minorHAnsi" w:cstheme="minorHAnsi"/>
          <w:sz w:val="22"/>
          <w:szCs w:val="22"/>
          <w:lang w:val="en-GB"/>
        </w:rPr>
        <w:t xml:space="preserve">for each of the </w:t>
      </w:r>
      <w:r>
        <w:rPr>
          <w:rFonts w:asciiTheme="minorHAnsi" w:hAnsiTheme="minorHAnsi" w:cstheme="minorHAnsi"/>
          <w:sz w:val="22"/>
          <w:szCs w:val="22"/>
          <w:lang w:val="en-GB"/>
        </w:rPr>
        <w:t>250 bootstrap samples</w:t>
      </w:r>
      <w:r w:rsidR="00FC6CE7">
        <w:rPr>
          <w:rFonts w:asciiTheme="minorHAnsi" w:hAnsiTheme="minorHAnsi" w:cstheme="minorHAnsi"/>
          <w:sz w:val="22"/>
          <w:szCs w:val="22"/>
          <w:lang w:val="en-GB"/>
        </w:rPr>
        <w:t>, thus</w:t>
      </w:r>
      <w:r>
        <w:rPr>
          <w:rFonts w:asciiTheme="minorHAnsi" w:hAnsiTheme="minorHAnsi" w:cstheme="minorHAnsi"/>
          <w:sz w:val="22"/>
          <w:szCs w:val="22"/>
          <w:lang w:val="en-GB"/>
        </w:rPr>
        <w:t xml:space="preserve"> maintaining the proportions of the original trial data in the IPD. Performance metrics </w:t>
      </w:r>
      <w:r w:rsidRPr="000267CA">
        <w:rPr>
          <w:rFonts w:asciiTheme="minorHAnsi" w:hAnsiTheme="minorHAnsi" w:cstheme="minorHAnsi"/>
          <w:sz w:val="22"/>
          <w:szCs w:val="22"/>
          <w:lang w:val="en-GB"/>
        </w:rPr>
        <w:t>were calculated from models</w:t>
      </w:r>
      <w:r w:rsidR="00581D22">
        <w:rPr>
          <w:rFonts w:asciiTheme="minorHAnsi" w:hAnsiTheme="minorHAnsi" w:cstheme="minorHAnsi"/>
          <w:sz w:val="22"/>
          <w:szCs w:val="22"/>
          <w:lang w:val="en-GB"/>
        </w:rPr>
        <w:t xml:space="preserve"> fitted to the bootstrap samples</w:t>
      </w:r>
      <w:r w:rsidRPr="000267CA">
        <w:rPr>
          <w:rFonts w:asciiTheme="minorHAnsi" w:hAnsiTheme="minorHAnsi" w:cstheme="minorHAnsi"/>
          <w:sz w:val="22"/>
          <w:szCs w:val="22"/>
          <w:lang w:val="en-GB"/>
        </w:rPr>
        <w:t xml:space="preserve"> </w:t>
      </w:r>
      <w:r w:rsidR="00581D22">
        <w:rPr>
          <w:rFonts w:asciiTheme="minorHAnsi" w:hAnsiTheme="minorHAnsi" w:cstheme="minorHAnsi"/>
          <w:sz w:val="22"/>
          <w:szCs w:val="22"/>
          <w:lang w:val="en-GB"/>
        </w:rPr>
        <w:t xml:space="preserve">that were subsequently </w:t>
      </w:r>
      <w:r w:rsidRPr="000267CA">
        <w:rPr>
          <w:rFonts w:asciiTheme="minorHAnsi" w:hAnsiTheme="minorHAnsi" w:cstheme="minorHAnsi"/>
          <w:sz w:val="22"/>
          <w:szCs w:val="22"/>
          <w:lang w:val="en-GB"/>
        </w:rPr>
        <w:t xml:space="preserve">applied to the original IPD. The mean </w:t>
      </w:r>
      <w:r w:rsidR="00027FBA">
        <w:rPr>
          <w:rFonts w:asciiTheme="minorHAnsi" w:hAnsiTheme="minorHAnsi" w:cstheme="minorHAnsi"/>
          <w:sz w:val="22"/>
          <w:szCs w:val="22"/>
          <w:lang w:val="en-GB"/>
        </w:rPr>
        <w:t xml:space="preserve">difference </w:t>
      </w:r>
      <w:r w:rsidRPr="000267CA">
        <w:rPr>
          <w:rFonts w:asciiTheme="minorHAnsi" w:hAnsiTheme="minorHAnsi" w:cstheme="minorHAnsi"/>
          <w:sz w:val="22"/>
          <w:szCs w:val="22"/>
          <w:lang w:val="en-GB"/>
        </w:rPr>
        <w:t xml:space="preserve">across all bootstrap </w:t>
      </w:r>
      <w:r w:rsidRPr="000267CA">
        <w:rPr>
          <w:rFonts w:asciiTheme="minorHAnsi" w:hAnsiTheme="minorHAnsi" w:cstheme="minorHAnsi"/>
          <w:sz w:val="22"/>
          <w:szCs w:val="22"/>
          <w:lang w:val="en-GB"/>
        </w:rPr>
        <w:lastRenderedPageBreak/>
        <w:t>sample</w:t>
      </w:r>
      <w:r w:rsidR="00027FBA">
        <w:rPr>
          <w:rFonts w:asciiTheme="minorHAnsi" w:hAnsiTheme="minorHAnsi" w:cstheme="minorHAnsi"/>
          <w:sz w:val="22"/>
          <w:szCs w:val="22"/>
          <w:lang w:val="en-GB"/>
        </w:rPr>
        <w:t>s</w:t>
      </w:r>
      <w:r w:rsidRPr="000267CA">
        <w:rPr>
          <w:rFonts w:asciiTheme="minorHAnsi" w:hAnsiTheme="minorHAnsi" w:cstheme="minorHAnsi"/>
          <w:sz w:val="22"/>
          <w:szCs w:val="22"/>
          <w:lang w:val="en-GB"/>
        </w:rPr>
        <w:t xml:space="preserve"> </w:t>
      </w:r>
      <w:r w:rsidR="00870FF3">
        <w:rPr>
          <w:rFonts w:asciiTheme="minorHAnsi" w:hAnsiTheme="minorHAnsi" w:cstheme="minorHAnsi"/>
          <w:sz w:val="22"/>
          <w:szCs w:val="22"/>
          <w:lang w:val="en-GB"/>
        </w:rPr>
        <w:t>was</w:t>
      </w:r>
      <w:r w:rsidR="00027FBA">
        <w:rPr>
          <w:rFonts w:asciiTheme="minorHAnsi" w:hAnsiTheme="minorHAnsi" w:cstheme="minorHAnsi"/>
          <w:sz w:val="22"/>
          <w:szCs w:val="22"/>
          <w:lang w:val="en-GB"/>
        </w:rPr>
        <w:t xml:space="preserve"> the estimated optimism</w:t>
      </w:r>
      <w:r w:rsidR="00FC6CE7">
        <w:rPr>
          <w:rFonts w:asciiTheme="minorHAnsi" w:hAnsiTheme="minorHAnsi" w:cstheme="minorHAnsi"/>
          <w:sz w:val="22"/>
          <w:szCs w:val="22"/>
          <w:lang w:val="en-GB"/>
        </w:rPr>
        <w:t>, while t</w:t>
      </w:r>
      <w:r w:rsidR="00FC6CE7" w:rsidRPr="000267CA">
        <w:rPr>
          <w:rFonts w:asciiTheme="minorHAnsi" w:hAnsiTheme="minorHAnsi" w:cstheme="minorHAnsi"/>
          <w:sz w:val="22"/>
          <w:szCs w:val="22"/>
          <w:lang w:val="en-GB"/>
        </w:rPr>
        <w:t>he optimism-corrected performance metric</w:t>
      </w:r>
      <w:r w:rsidR="00FC6CE7">
        <w:rPr>
          <w:rFonts w:asciiTheme="minorHAnsi" w:hAnsiTheme="minorHAnsi" w:cstheme="minorHAnsi"/>
          <w:sz w:val="22"/>
          <w:szCs w:val="22"/>
          <w:lang w:val="en-GB"/>
        </w:rPr>
        <w:t xml:space="preserve"> was obtained by subtracting estimated optimism </w:t>
      </w:r>
      <w:r w:rsidR="00027FBA">
        <w:rPr>
          <w:rFonts w:asciiTheme="minorHAnsi" w:hAnsiTheme="minorHAnsi" w:cstheme="minorHAnsi"/>
          <w:sz w:val="22"/>
          <w:szCs w:val="22"/>
          <w:lang w:val="en-GB"/>
        </w:rPr>
        <w:t xml:space="preserve">from the original </w:t>
      </w:r>
      <w:r w:rsidR="00DA033F">
        <w:rPr>
          <w:rFonts w:asciiTheme="minorHAnsi" w:hAnsiTheme="minorHAnsi" w:cstheme="minorHAnsi"/>
          <w:sz w:val="22"/>
          <w:szCs w:val="22"/>
          <w:lang w:val="en-GB"/>
        </w:rPr>
        <w:t>apparent performance metric</w:t>
      </w:r>
      <w:r w:rsidRPr="000267CA">
        <w:rPr>
          <w:rFonts w:asciiTheme="minorHAnsi" w:hAnsiTheme="minorHAnsi" w:cstheme="minorHAnsi"/>
          <w:sz w:val="22"/>
          <w:szCs w:val="22"/>
          <w:lang w:val="en-GB"/>
        </w:rPr>
        <w:t>.</w:t>
      </w:r>
      <w:r>
        <w:rPr>
          <w:rFonts w:asciiTheme="minorHAnsi" w:hAnsiTheme="minorHAnsi" w:cstheme="minorHAnsi"/>
          <w:sz w:val="22"/>
          <w:szCs w:val="22"/>
          <w:lang w:val="en-GB"/>
        </w:rPr>
        <w:t xml:space="preserve"> </w:t>
      </w:r>
    </w:p>
    <w:p w14:paraId="16CDEEA6" w14:textId="2AC58359" w:rsidR="00D6770A" w:rsidRDefault="00D6770A"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In IECV loops in particular, CITL was used to reflect </w:t>
      </w:r>
      <w:r w:rsidR="00DA033F">
        <w:rPr>
          <w:rFonts w:asciiTheme="minorHAnsi" w:hAnsiTheme="minorHAnsi" w:cstheme="minorHAnsi"/>
          <w:sz w:val="22"/>
          <w:szCs w:val="22"/>
          <w:lang w:val="en-GB"/>
        </w:rPr>
        <w:t xml:space="preserve">overall </w:t>
      </w:r>
      <w:r w:rsidRPr="00C91EF0">
        <w:rPr>
          <w:rFonts w:asciiTheme="minorHAnsi" w:hAnsiTheme="minorHAnsi" w:cstheme="minorHAnsi"/>
          <w:sz w:val="22"/>
          <w:szCs w:val="22"/>
          <w:lang w:val="en-GB"/>
        </w:rPr>
        <w:t xml:space="preserve">calibration. Mimicking </w:t>
      </w:r>
      <w:r w:rsidR="00EA6868">
        <w:rPr>
          <w:rFonts w:asciiTheme="minorHAnsi" w:hAnsiTheme="minorHAnsi" w:cstheme="minorHAnsi"/>
          <w:sz w:val="22"/>
          <w:szCs w:val="22"/>
          <w:lang w:val="en-GB"/>
        </w:rPr>
        <w:t>the</w:t>
      </w:r>
      <w:r w:rsidRPr="00C91EF0">
        <w:rPr>
          <w:rFonts w:asciiTheme="minorHAnsi" w:hAnsiTheme="minorHAnsi" w:cstheme="minorHAnsi"/>
          <w:sz w:val="22"/>
          <w:szCs w:val="22"/>
          <w:lang w:val="en-GB"/>
        </w:rPr>
        <w:t xml:space="preserve"> application </w:t>
      </w:r>
      <w:r w:rsidR="003F0E31">
        <w:rPr>
          <w:rFonts w:asciiTheme="minorHAnsi" w:hAnsiTheme="minorHAnsi" w:cstheme="minorHAnsi"/>
          <w:sz w:val="22"/>
          <w:szCs w:val="22"/>
          <w:lang w:val="en-GB"/>
        </w:rPr>
        <w:t>in</w:t>
      </w:r>
      <w:r w:rsidRPr="00C91EF0">
        <w:rPr>
          <w:rFonts w:asciiTheme="minorHAnsi" w:hAnsiTheme="minorHAnsi" w:cstheme="minorHAnsi"/>
          <w:sz w:val="22"/>
          <w:szCs w:val="22"/>
          <w:lang w:val="en-GB"/>
        </w:rPr>
        <w:t xml:space="preserve"> a new population, the IECV loop </w:t>
      </w:r>
      <w:r w:rsidR="00F12F36" w:rsidRPr="00C91EF0">
        <w:rPr>
          <w:rFonts w:asciiTheme="minorHAnsi" w:hAnsiTheme="minorHAnsi" w:cstheme="minorHAnsi"/>
          <w:sz w:val="22"/>
          <w:szCs w:val="22"/>
          <w:lang w:val="en-GB"/>
        </w:rPr>
        <w:t xml:space="preserve">repeatedly </w:t>
      </w:r>
      <w:r w:rsidR="00581D22">
        <w:rPr>
          <w:rFonts w:asciiTheme="minorHAnsi" w:hAnsiTheme="minorHAnsi" w:cstheme="minorHAnsi"/>
          <w:sz w:val="22"/>
          <w:szCs w:val="22"/>
          <w:lang w:val="en-GB"/>
        </w:rPr>
        <w:t>select</w:t>
      </w:r>
      <w:r w:rsidR="00EA6868">
        <w:rPr>
          <w:rFonts w:asciiTheme="minorHAnsi" w:hAnsiTheme="minorHAnsi" w:cstheme="minorHAnsi"/>
          <w:sz w:val="22"/>
          <w:szCs w:val="22"/>
          <w:lang w:val="en-GB"/>
        </w:rPr>
        <w:t>s</w:t>
      </w:r>
      <w:r w:rsidR="00581D22">
        <w:rPr>
          <w:rFonts w:asciiTheme="minorHAnsi" w:hAnsiTheme="minorHAnsi" w:cstheme="minorHAnsi"/>
          <w:sz w:val="22"/>
          <w:szCs w:val="22"/>
          <w:lang w:val="en-GB"/>
        </w:rPr>
        <w:t xml:space="preserve"> variables and thus fit</w:t>
      </w:r>
      <w:r w:rsidR="00EA6868">
        <w:rPr>
          <w:rFonts w:asciiTheme="minorHAnsi" w:hAnsiTheme="minorHAnsi" w:cstheme="minorHAnsi"/>
          <w:sz w:val="22"/>
          <w:szCs w:val="22"/>
          <w:lang w:val="en-GB"/>
        </w:rPr>
        <w:t>s</w:t>
      </w:r>
      <w:r w:rsidR="00581D22">
        <w:rPr>
          <w:rFonts w:asciiTheme="minorHAnsi" w:hAnsiTheme="minorHAnsi" w:cstheme="minorHAnsi"/>
          <w:sz w:val="22"/>
          <w:szCs w:val="22"/>
          <w:lang w:val="en-GB"/>
        </w:rPr>
        <w:t xml:space="preserve"> </w:t>
      </w:r>
      <w:r w:rsidR="00F12F36" w:rsidRPr="00C91EF0">
        <w:rPr>
          <w:rFonts w:asciiTheme="minorHAnsi" w:hAnsiTheme="minorHAnsi" w:cstheme="minorHAnsi"/>
          <w:sz w:val="22"/>
          <w:szCs w:val="22"/>
          <w:lang w:val="en-GB"/>
        </w:rPr>
        <w:t xml:space="preserve">a prediction model in </w:t>
      </w:r>
      <w:r w:rsidRPr="00C91EF0">
        <w:rPr>
          <w:rFonts w:asciiTheme="minorHAnsi" w:hAnsiTheme="minorHAnsi" w:cstheme="minorHAnsi"/>
          <w:sz w:val="22"/>
          <w:szCs w:val="22"/>
          <w:lang w:val="en-GB"/>
        </w:rPr>
        <w:t xml:space="preserve">all but one of the IPD </w:t>
      </w:r>
      <w:r w:rsidR="00AF67CB" w:rsidRPr="00C91EF0">
        <w:rPr>
          <w:rFonts w:asciiTheme="minorHAnsi" w:hAnsiTheme="minorHAnsi" w:cstheme="minorHAnsi"/>
          <w:sz w:val="22"/>
          <w:szCs w:val="22"/>
          <w:lang w:val="en-GB"/>
        </w:rPr>
        <w:t xml:space="preserve">trials </w:t>
      </w:r>
      <w:r w:rsidRPr="00C91EF0">
        <w:rPr>
          <w:rFonts w:asciiTheme="minorHAnsi" w:hAnsiTheme="minorHAnsi" w:cstheme="minorHAnsi"/>
          <w:sz w:val="22"/>
          <w:szCs w:val="22"/>
          <w:lang w:val="en-GB"/>
        </w:rPr>
        <w:t>(i.e. training set)</w:t>
      </w:r>
      <w:r w:rsidR="00FC6CE7">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while </w:t>
      </w:r>
      <w:r w:rsidR="00FC6CE7">
        <w:rPr>
          <w:rFonts w:asciiTheme="minorHAnsi" w:hAnsiTheme="minorHAnsi" w:cstheme="minorHAnsi"/>
          <w:sz w:val="22"/>
          <w:szCs w:val="22"/>
          <w:lang w:val="en-GB"/>
        </w:rPr>
        <w:t xml:space="preserve">also </w:t>
      </w:r>
      <w:r w:rsidRPr="00C91EF0">
        <w:rPr>
          <w:rFonts w:asciiTheme="minorHAnsi" w:hAnsiTheme="minorHAnsi" w:cstheme="minorHAnsi"/>
          <w:sz w:val="22"/>
          <w:szCs w:val="22"/>
          <w:lang w:val="en-GB"/>
        </w:rPr>
        <w:t xml:space="preserve">checking predictive performance </w:t>
      </w:r>
      <w:r w:rsidR="003F0E31">
        <w:rPr>
          <w:rFonts w:asciiTheme="minorHAnsi" w:hAnsiTheme="minorHAnsi" w:cstheme="minorHAnsi"/>
          <w:sz w:val="22"/>
          <w:szCs w:val="22"/>
          <w:lang w:val="en-GB"/>
        </w:rPr>
        <w:t>in</w:t>
      </w:r>
      <w:r w:rsidR="00FC6CE7">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 xml:space="preserve">the omitted study (i.e. test set). </w:t>
      </w:r>
      <w:r w:rsidR="00FC6CE7">
        <w:rPr>
          <w:rFonts w:asciiTheme="minorHAnsi" w:hAnsiTheme="minorHAnsi" w:cstheme="minorHAnsi"/>
          <w:sz w:val="22"/>
          <w:szCs w:val="22"/>
          <w:lang w:val="en-GB"/>
        </w:rPr>
        <w:t>W</w:t>
      </w:r>
      <w:r w:rsidRPr="00C91EF0">
        <w:rPr>
          <w:rFonts w:asciiTheme="minorHAnsi" w:hAnsiTheme="minorHAnsi" w:cstheme="minorHAnsi"/>
          <w:sz w:val="22"/>
          <w:szCs w:val="22"/>
          <w:lang w:val="en-GB"/>
        </w:rPr>
        <w:t xml:space="preserve">e chose the </w:t>
      </w:r>
      <w:r w:rsidR="00FC6CE7">
        <w:rPr>
          <w:rFonts w:asciiTheme="minorHAnsi" w:hAnsiTheme="minorHAnsi" w:cstheme="minorHAnsi"/>
          <w:sz w:val="22"/>
          <w:szCs w:val="22"/>
          <w:lang w:val="en-GB"/>
        </w:rPr>
        <w:t xml:space="preserve">conservative option of the </w:t>
      </w:r>
      <w:r w:rsidRPr="00C91EF0">
        <w:rPr>
          <w:rFonts w:asciiTheme="minorHAnsi" w:hAnsiTheme="minorHAnsi" w:cstheme="minorHAnsi"/>
          <w:sz w:val="22"/>
          <w:szCs w:val="22"/>
          <w:lang w:val="en-GB"/>
        </w:rPr>
        <w:t xml:space="preserve">average intercept of the IECV training set. </w:t>
      </w:r>
      <w:r w:rsidR="00F12F36" w:rsidRPr="00C91EF0">
        <w:rPr>
          <w:rFonts w:asciiTheme="minorHAnsi" w:hAnsiTheme="minorHAnsi" w:cstheme="minorHAnsi"/>
          <w:sz w:val="22"/>
          <w:szCs w:val="22"/>
          <w:lang w:val="en-GB"/>
        </w:rPr>
        <w:t>A</w:t>
      </w:r>
      <w:r w:rsidR="00FC6CE7">
        <w:rPr>
          <w:rFonts w:asciiTheme="minorHAnsi" w:hAnsiTheme="minorHAnsi" w:cstheme="minorHAnsi"/>
          <w:sz w:val="22"/>
          <w:szCs w:val="22"/>
          <w:lang w:val="en-GB"/>
        </w:rPr>
        <w:t xml:space="preserve">s they are of special importance for external validation, we </w:t>
      </w:r>
      <w:r w:rsidRPr="00C91EF0">
        <w:rPr>
          <w:rFonts w:asciiTheme="minorHAnsi" w:hAnsiTheme="minorHAnsi" w:cstheme="minorHAnsi"/>
          <w:sz w:val="22"/>
          <w:szCs w:val="22"/>
          <w:lang w:val="en-GB"/>
        </w:rPr>
        <w:t xml:space="preserve">extracted the </w:t>
      </w:r>
      <w:r w:rsidR="008E28B3" w:rsidRPr="00C91EF0">
        <w:rPr>
          <w:rFonts w:asciiTheme="minorHAnsi" w:hAnsiTheme="minorHAnsi" w:cstheme="minorHAnsi"/>
          <w:sz w:val="22"/>
          <w:szCs w:val="22"/>
          <w:lang w:val="en-GB"/>
        </w:rPr>
        <w:t>C</w:t>
      </w:r>
      <w:r w:rsidR="006A1349"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statistic and </w:t>
      </w:r>
      <w:r w:rsidR="00F12F36" w:rsidRPr="00C91EF0">
        <w:rPr>
          <w:rFonts w:asciiTheme="minorHAnsi" w:hAnsiTheme="minorHAnsi" w:cstheme="minorHAnsi"/>
          <w:sz w:val="22"/>
          <w:szCs w:val="22"/>
          <w:lang w:val="en-GB"/>
        </w:rPr>
        <w:t>CITL estimate</w:t>
      </w:r>
      <w:r w:rsidR="00AA2969">
        <w:rPr>
          <w:rFonts w:asciiTheme="minorHAnsi" w:hAnsiTheme="minorHAnsi" w:cstheme="minorHAnsi"/>
          <w:sz w:val="22"/>
          <w:szCs w:val="22"/>
          <w:lang w:val="en-GB"/>
        </w:rPr>
        <w:t xml:space="preserve"> for each omitted study</w:t>
      </w:r>
      <w:r w:rsidR="005D0F2B">
        <w:rPr>
          <w:rFonts w:asciiTheme="minorHAnsi" w:hAnsiTheme="minorHAnsi" w:cstheme="minorHAnsi"/>
          <w:sz w:val="22"/>
          <w:szCs w:val="22"/>
          <w:lang w:val="en-GB"/>
        </w:rPr>
        <w:t xml:space="preserve"> a</w:t>
      </w:r>
      <w:r w:rsidR="00FC6CE7">
        <w:rPr>
          <w:rFonts w:asciiTheme="minorHAnsi" w:hAnsiTheme="minorHAnsi" w:cstheme="minorHAnsi"/>
          <w:sz w:val="22"/>
          <w:szCs w:val="22"/>
          <w:lang w:val="en-GB"/>
        </w:rPr>
        <w:t>t each</w:t>
      </w:r>
      <w:r w:rsidR="00FC6CE7" w:rsidRPr="00C91EF0">
        <w:rPr>
          <w:rFonts w:asciiTheme="minorHAnsi" w:hAnsiTheme="minorHAnsi" w:cstheme="minorHAnsi"/>
          <w:sz w:val="22"/>
          <w:szCs w:val="22"/>
          <w:lang w:val="en-GB"/>
        </w:rPr>
        <w:t xml:space="preserve"> stage of the IECV loop</w:t>
      </w:r>
      <w:r w:rsidR="005D0F2B">
        <w:rPr>
          <w:rFonts w:asciiTheme="minorHAnsi" w:hAnsiTheme="minorHAnsi" w:cstheme="minorHAnsi"/>
          <w:sz w:val="22"/>
          <w:szCs w:val="22"/>
          <w:lang w:val="en-GB"/>
        </w:rPr>
        <w:t xml:space="preserve"> </w:t>
      </w:r>
      <w:r w:rsidR="00776DB8">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10.1186/s12916-019-1466-7","ISSN":"1741-7015","author":[{"dropping-particle":"","family":"Calster","given":"Ben","non-dropping-particle":"Van","parse-names":false,"suffix":""},{"dropping-particle":"","family":"McLernon","given":"David J.","non-dropping-particle":"","parse-names":false,"suffix":""},{"dropping-particle":"","family":"Smeden","given":"Maarten","non-dropping-particle":"van","parse-names":false,"suffix":""},{"dropping-particle":"","family":"Wynants","given":"Laure","non-dropping-particle":"","parse-names":false,"suffix":""},{"dropping-particle":"","family":"Steyerberg","given":"Ewout W.","non-dropping-particle":"","parse-names":false,"suffix":""}],"container-title":"BMC Medicine","id":"ITEM-1","issue":"1","issued":{"date-parts":[["2019","12","16"]]},"page":"230","title":"Calibration: the Achilles heel of predictive analytics","type":"article-journal","volume":"17"},"uris":["http://www.mendeley.com/documents/?uuid=bf0e0a1e-b12b-484e-8ce6-f9f1b864f2ca","http://www.mendeley.com/documents/?uuid=919f6404-046b-489d-b6d2-2eae6288ae6b"]}],"mendeley":{"formattedCitation":"(69)","plainTextFormattedCitation":"(69)","previouslyFormattedCitation":"(68)"},"properties":{"noteIndex":0},"schema":"https://github.com/citation-style-language/schema/raw/master/csl-citation.json"}</w:instrText>
      </w:r>
      <w:r w:rsidR="00776DB8">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(69)</w:t>
      </w:r>
      <w:r w:rsidR="00776DB8">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Based on the within-study correlation between the </w:t>
      </w:r>
      <w:r w:rsidR="008E28B3" w:rsidRPr="00C91EF0">
        <w:rPr>
          <w:rFonts w:asciiTheme="minorHAnsi" w:hAnsiTheme="minorHAnsi" w:cstheme="minorHAnsi"/>
          <w:sz w:val="22"/>
          <w:szCs w:val="22"/>
          <w:lang w:val="en-GB"/>
        </w:rPr>
        <w:t>C</w:t>
      </w:r>
      <w:r w:rsidR="006A1349" w:rsidRPr="00C91EF0">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statistic and CITL obtained </w:t>
      </w:r>
      <w:r w:rsidR="00FC6CE7">
        <w:rPr>
          <w:rFonts w:asciiTheme="minorHAnsi" w:hAnsiTheme="minorHAnsi" w:cstheme="minorHAnsi"/>
          <w:sz w:val="22"/>
          <w:szCs w:val="22"/>
          <w:lang w:val="en-GB"/>
        </w:rPr>
        <w:t xml:space="preserve">using </w:t>
      </w:r>
      <w:r w:rsidRPr="00C91EF0">
        <w:rPr>
          <w:rFonts w:asciiTheme="minorHAnsi" w:hAnsiTheme="minorHAnsi" w:cstheme="minorHAnsi"/>
          <w:sz w:val="22"/>
          <w:szCs w:val="22"/>
          <w:lang w:val="en-GB"/>
        </w:rPr>
        <w:t xml:space="preserve">a non-parametric bootstrap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{"citationItems":[{"id":"ITEM-1","itemData":{"DOI":"10.1016/j.jclinepi.2015.05.009","ISSN":"08954356","author":[{"dropping-particle":"","family":"Snell","given":"Kym I.E.","non-dropping-particle":"","parse-names":false,"suffix":""},{"dropping-particle":"","family":"Hua","given":"Harry","non-dropping-particle":"","parse-names":false,"suffix":""},{"dropping-particle":"","family":"Debray","given":"Thomas P.A.","non-dropping-particle":"","parse-names":false,"suffix":""},{"dropping-particle":"","family":"Ensor","given":"Joie","non-dropping-particle":"","parse-names":false,"suffix":""},{"dropping-particle":"","family":"Look","given":"Maxime P.","non-dropping-particle":"","parse-names":false,"suffix":""},{"dropping-particle":"","family":"Moons","given":"Karel G.M.","non-dropping-particle":"","parse-names":false,"suffix":""},{"dropping-particle":"","family":"Riley","given":"Richard D.","non-dropping-particle":"","parse-names":false,"suffix":""}],"container-title":"Journal of Clinical Epidemiology","id":"ITEM-1","issued":{"date-parts":[["2016","1"]]},"page":"40-50","title":"Multivariate meta-analysis of individual participant data helped externally validate the performance and implementation of a prediction model","type":"article-journal","volume":"69"},"uris":["http://www.mendeley.com/documents/?uuid=662bbb60-0f02-4444-9449-155fc32fe45a"]}],"mendeley":{"formattedCitation":"(70)","plainTextFormattedCitation":"(70)","previouslyFormattedCitation":"(69)"},"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(70)</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the respective estimates were pooled </w:t>
      </w:r>
      <w:r w:rsidR="00DA033F">
        <w:rPr>
          <w:rFonts w:asciiTheme="minorHAnsi" w:hAnsiTheme="minorHAnsi" w:cstheme="minorHAnsi"/>
          <w:sz w:val="22"/>
          <w:szCs w:val="22"/>
          <w:lang w:val="en-GB"/>
        </w:rPr>
        <w:t>using</w:t>
      </w:r>
      <w:r w:rsidRPr="00C91EF0">
        <w:rPr>
          <w:rFonts w:asciiTheme="minorHAnsi" w:hAnsiTheme="minorHAnsi" w:cstheme="minorHAnsi"/>
          <w:sz w:val="22"/>
          <w:szCs w:val="22"/>
          <w:lang w:val="en-GB"/>
        </w:rPr>
        <w:t xml:space="preserve"> </w:t>
      </w:r>
      <w:r w:rsidR="00F12F36" w:rsidRPr="00C91EF0">
        <w:rPr>
          <w:rFonts w:asciiTheme="minorHAnsi" w:hAnsiTheme="minorHAnsi" w:cstheme="minorHAnsi"/>
          <w:sz w:val="22"/>
          <w:szCs w:val="22"/>
          <w:lang w:val="en-GB"/>
        </w:rPr>
        <w:t xml:space="preserve">multivariate </w:t>
      </w:r>
      <w:r w:rsidR="00AA2969">
        <w:rPr>
          <w:rFonts w:asciiTheme="minorHAnsi" w:hAnsiTheme="minorHAnsi" w:cstheme="minorHAnsi"/>
          <w:sz w:val="22"/>
          <w:szCs w:val="22"/>
          <w:lang w:val="en-GB"/>
        </w:rPr>
        <w:t xml:space="preserve">random-effects </w:t>
      </w:r>
      <w:r w:rsidR="00F12F36" w:rsidRPr="00C91EF0">
        <w:rPr>
          <w:rFonts w:asciiTheme="minorHAnsi" w:hAnsiTheme="minorHAnsi" w:cstheme="minorHAnsi"/>
          <w:sz w:val="22"/>
          <w:szCs w:val="22"/>
          <w:lang w:val="en-GB"/>
        </w:rPr>
        <w:t xml:space="preserve">meta-analysis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{"citationItems":[{"id":"ITEM-1","itemData":{"DOI":"10.18637/jss.v036.i03","ISSN":"1548-7660","author":[{"dropping-particle":"","family":"Viechtbauer","given":"Wolfgang","non-dropping-particle":"","parse-names":false,"suffix":""}],"container-title":"Journal of Statistical Software","id":"ITEM-1","issue":"3","issued":{"date-parts":[["2010"]]},"title":"Conducting meta-analyses in R with the metafor package","type":"article-journal","volume":"36"},"uris":["http://www.mendeley.com/documents/?uuid=19bdc3db-6333-453d-856b-967f7cdc6027"]}],"mendeley":{"formattedCitation":"(71)","plainTextFormattedCitation":"(71)","previouslyFormattedCitation":"(70)"},"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(71)</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w:t>
      </w:r>
      <w:r w:rsidR="00FC6CE7">
        <w:rPr>
          <w:rFonts w:asciiTheme="minorHAnsi" w:hAnsiTheme="minorHAnsi" w:cstheme="minorHAnsi"/>
          <w:sz w:val="22"/>
          <w:szCs w:val="22"/>
          <w:lang w:val="en-GB"/>
        </w:rPr>
        <w:t xml:space="preserve">Taking </w:t>
      </w:r>
      <w:r w:rsidRPr="00C91EF0">
        <w:rPr>
          <w:rFonts w:asciiTheme="minorHAnsi" w:hAnsiTheme="minorHAnsi" w:cstheme="minorHAnsi"/>
          <w:sz w:val="22"/>
          <w:szCs w:val="22"/>
          <w:lang w:val="en-GB"/>
        </w:rPr>
        <w:t>a Bayesian approach with an uninformative prior</w:t>
      </w:r>
      <w:r w:rsidR="00AF67CB" w:rsidRPr="00C91EF0">
        <w:rPr>
          <w:rFonts w:asciiTheme="minorHAnsi" w:hAnsiTheme="minorHAnsi" w:cstheme="minorHAnsi"/>
          <w:sz w:val="22"/>
          <w:szCs w:val="22"/>
          <w:lang w:val="en-GB"/>
        </w:rPr>
        <w:t xml:space="preserve"> distribution</w:t>
      </w:r>
      <w:r w:rsidRPr="00C91EF0">
        <w:rPr>
          <w:rFonts w:asciiTheme="minorHAnsi" w:hAnsiTheme="minorHAnsi" w:cstheme="minorHAnsi"/>
          <w:sz w:val="22"/>
          <w:szCs w:val="22"/>
          <w:lang w:val="en-GB"/>
        </w:rPr>
        <w:t xml:space="preserve">, a multivariate </w:t>
      </w:r>
      <w:r w:rsidRPr="00C91EF0">
        <w:rPr>
          <w:rFonts w:asciiTheme="minorHAnsi" w:hAnsiTheme="minorHAnsi" w:cstheme="minorHAnsi"/>
          <w:i/>
          <w:sz w:val="22"/>
          <w:szCs w:val="22"/>
          <w:lang w:val="en-GB"/>
        </w:rPr>
        <w:t>t</w:t>
      </w:r>
      <w:r w:rsidRPr="00C91EF0">
        <w:rPr>
          <w:rFonts w:asciiTheme="minorHAnsi" w:hAnsiTheme="minorHAnsi" w:cstheme="minorHAnsi"/>
          <w:sz w:val="22"/>
          <w:szCs w:val="22"/>
          <w:lang w:val="en-GB"/>
        </w:rPr>
        <w:t>-distribution (</w:t>
      </w:r>
      <w:r w:rsidR="00AE3686">
        <w:rPr>
          <w:rFonts w:asciiTheme="minorHAnsi" w:hAnsiTheme="minorHAnsi" w:cstheme="minorHAnsi"/>
          <w:sz w:val="22"/>
          <w:szCs w:val="22"/>
          <w:lang w:val="en-GB"/>
        </w:rPr>
        <w:t xml:space="preserve">of </w:t>
      </w:r>
      <w:r w:rsidRPr="00C91EF0">
        <w:rPr>
          <w:rFonts w:asciiTheme="minorHAnsi" w:hAnsiTheme="minorHAnsi" w:cstheme="minorHAnsi"/>
          <w:sz w:val="22"/>
          <w:szCs w:val="22"/>
          <w:lang w:val="en-GB"/>
        </w:rPr>
        <w:t xml:space="preserve">the pooled means and covariance matrix from the multivariate meta-analysis) was used as an approximate posterior distribution </w:t>
      </w:r>
      <w:r w:rsidR="00AE3686">
        <w:rPr>
          <w:rFonts w:asciiTheme="minorHAnsi" w:hAnsiTheme="minorHAnsi" w:cstheme="minorHAnsi"/>
          <w:sz w:val="22"/>
          <w:szCs w:val="22"/>
          <w:lang w:val="en-GB"/>
        </w:rPr>
        <w:t xml:space="preserve">to assess </w:t>
      </w:r>
      <w:r w:rsidRPr="00C91EF0">
        <w:rPr>
          <w:rFonts w:asciiTheme="minorHAnsi" w:hAnsiTheme="minorHAnsi" w:cstheme="minorHAnsi"/>
          <w:sz w:val="22"/>
          <w:szCs w:val="22"/>
          <w:lang w:val="en-GB"/>
        </w:rPr>
        <w:t xml:space="preserve">the model’s combined discrimination and </w:t>
      </w:r>
      <w:r w:rsidR="00F12F36" w:rsidRPr="00C91EF0">
        <w:rPr>
          <w:rFonts w:asciiTheme="minorHAnsi" w:hAnsiTheme="minorHAnsi" w:cstheme="minorHAnsi"/>
          <w:sz w:val="22"/>
          <w:szCs w:val="22"/>
          <w:lang w:val="en-GB"/>
        </w:rPr>
        <w:t xml:space="preserve">average </w:t>
      </w:r>
      <w:r w:rsidRPr="00C91EF0">
        <w:rPr>
          <w:rFonts w:asciiTheme="minorHAnsi" w:hAnsiTheme="minorHAnsi" w:cstheme="minorHAnsi"/>
          <w:sz w:val="22"/>
          <w:szCs w:val="22"/>
          <w:lang w:val="en-GB"/>
        </w:rPr>
        <w:t xml:space="preserve">calibration performance. Requiring at least </w:t>
      </w:r>
      <w:r w:rsidR="00734718" w:rsidRPr="00C91EF0">
        <w:rPr>
          <w:rFonts w:asciiTheme="minorHAnsi" w:hAnsiTheme="minorHAnsi" w:cstheme="minorHAnsi"/>
          <w:sz w:val="22"/>
          <w:szCs w:val="22"/>
          <w:lang w:val="en-GB"/>
        </w:rPr>
        <w:t xml:space="preserve">modest </w:t>
      </w:r>
      <w:r w:rsidRPr="00C91EF0">
        <w:rPr>
          <w:rFonts w:asciiTheme="minorHAnsi" w:hAnsiTheme="minorHAnsi" w:cstheme="minorHAnsi"/>
          <w:sz w:val="22"/>
          <w:szCs w:val="22"/>
          <w:lang w:val="en-GB"/>
        </w:rPr>
        <w:t>discriminatory ability</w:t>
      </w:r>
      <w:r w:rsidR="00734718" w:rsidRPr="00C91EF0">
        <w:rPr>
          <w:rFonts w:asciiTheme="minorHAnsi" w:hAnsiTheme="minorHAnsi" w:cstheme="minorHAnsi"/>
          <w:sz w:val="22"/>
          <w:szCs w:val="22"/>
          <w:lang w:val="en-GB"/>
        </w:rPr>
        <w:t xml:space="preserve"> of 0.65</w:t>
      </w:r>
      <w:r w:rsidRPr="00C91EF0">
        <w:rPr>
          <w:rFonts w:asciiTheme="minorHAnsi" w:hAnsiTheme="minorHAnsi" w:cstheme="minorHAnsi"/>
          <w:sz w:val="22"/>
          <w:szCs w:val="22"/>
          <w:lang w:val="en-GB"/>
        </w:rPr>
        <w:t xml:space="preserve"> and a CITL between -0.1 and 0.1, the proportion of samples from the posterior distributions </w:t>
      </w:r>
      <w:r w:rsidR="00AE3686">
        <w:rPr>
          <w:rFonts w:asciiTheme="minorHAnsi" w:hAnsiTheme="minorHAnsi" w:cstheme="minorHAnsi"/>
          <w:sz w:val="22"/>
          <w:szCs w:val="22"/>
          <w:lang w:val="en-GB"/>
        </w:rPr>
        <w:t xml:space="preserve">that achieved this </w:t>
      </w:r>
      <w:r w:rsidRPr="00C91EF0">
        <w:rPr>
          <w:rFonts w:asciiTheme="minorHAnsi" w:hAnsiTheme="minorHAnsi" w:cstheme="minorHAnsi"/>
          <w:sz w:val="22"/>
          <w:szCs w:val="22"/>
          <w:lang w:val="en-GB"/>
        </w:rPr>
        <w:t xml:space="preserve">allowed us to calculate the probability of </w:t>
      </w:r>
      <w:r w:rsidR="00AE3686">
        <w:rPr>
          <w:rFonts w:asciiTheme="minorHAnsi" w:hAnsiTheme="minorHAnsi" w:cstheme="minorHAnsi"/>
          <w:sz w:val="22"/>
          <w:szCs w:val="22"/>
          <w:lang w:val="en-GB"/>
        </w:rPr>
        <w:t xml:space="preserve">satisfying </w:t>
      </w:r>
      <w:r w:rsidRPr="00C91EF0">
        <w:rPr>
          <w:rFonts w:asciiTheme="minorHAnsi" w:hAnsiTheme="minorHAnsi" w:cstheme="minorHAnsi"/>
          <w:sz w:val="22"/>
          <w:szCs w:val="22"/>
          <w:lang w:val="en-GB"/>
        </w:rPr>
        <w:t xml:space="preserve">these requirements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{"citationItems":[{"id":"ITEM-1","itemData":{"DOI":"10.1016/j.jclinepi.2015.05.009","ISSN":"08954356","author":[{"dropping-particle":"","family":"Snell","given":"Kym I.E.","non-dropping-particle":"","parse-names":false,"suffix":""},{"dropping-particle":"","family":"Hua","given":"Harry","non-dropping-particle":"","parse-names":false,"suffix":""},{"dropping-particle":"","family":"Debray","given":"Thomas P.A.","non-dropping-particle":"","parse-names":false,"suffix":""},{"dropping-particle":"","family":"Ensor","given":"Joie","non-dropping-particle":"","parse-names":false,"suffix":""},{"dropping-particle":"","family":"Look","given":"Maxime P.","non-dropping-particle":"","parse-names":false,"suffix":""},{"dropping-particle":"","family":"Moons","given":"Karel G.M.","non-dropping-particle":"","parse-names":false,"suffix":""},{"dropping-particle":"","family":"Riley","given":"Richard D.","non-dropping-particle":"","parse-names":false,"suffix":""}],"container-title":"Journal of Clinical Epidemiology","id":"ITEM-1","issued":{"date-parts":[["2016","1"]]},"page":"40-50","title":"Multivariate meta-analysis of individual participant data helped externally validate the performance and implementation of a prediction model","type":"article-journal","volume":"69"},"uris":["http://www.mendeley.com/documents/?uuid=662bbb60-0f02-4444-9449-155fc32fe45a"]}],"mendeley":{"formattedCitation":"(70)","plainTextFormattedCitation":"(70)","previouslyFormattedCitation":"(69)"},"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(70)</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w:t>
      </w:r>
    </w:p>
    <w:p w14:paraId="764CAA2C" w14:textId="18250F9D" w:rsidR="00312212" w:rsidRPr="00A65EEE" w:rsidRDefault="00312212" w:rsidP="00D6770A">
      <w:pPr>
        <w:spacing w:line="480" w:lineRule="auto"/>
        <w:rPr>
          <w:rFonts w:asciiTheme="minorHAnsi" w:hAnsiTheme="minorHAnsi" w:cstheme="minorHAnsi"/>
          <w:i/>
          <w:iCs/>
          <w:sz w:val="22"/>
          <w:szCs w:val="22"/>
          <w:lang w:val="en-GB"/>
        </w:rPr>
      </w:pPr>
      <w:r w:rsidRPr="00A65EEE">
        <w:rPr>
          <w:rFonts w:asciiTheme="minorHAnsi" w:hAnsiTheme="minorHAnsi" w:cstheme="minorHAnsi"/>
          <w:i/>
          <w:iCs/>
          <w:sz w:val="22"/>
          <w:szCs w:val="22"/>
          <w:lang w:val="en-GB"/>
        </w:rPr>
        <w:t>Technical implementation and reporting</w:t>
      </w:r>
    </w:p>
    <w:p w14:paraId="75492414" w14:textId="0F13FA5C" w:rsidR="00D6770A" w:rsidRPr="00C91EF0" w:rsidRDefault="00D6770A"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All analyses were conducted using the R software environment in version 3.</w:t>
      </w:r>
      <w:r w:rsidR="00593996" w:rsidRPr="00C91EF0">
        <w:rPr>
          <w:rFonts w:asciiTheme="minorHAnsi" w:hAnsiTheme="minorHAnsi" w:cstheme="minorHAnsi"/>
          <w:sz w:val="22"/>
          <w:szCs w:val="22"/>
          <w:lang w:val="en-GB"/>
        </w:rPr>
        <w:t>6</w:t>
      </w:r>
      <w:r w:rsidRPr="00C91EF0">
        <w:rPr>
          <w:rFonts w:asciiTheme="minorHAnsi" w:hAnsiTheme="minorHAnsi" w:cstheme="minorHAnsi"/>
          <w:sz w:val="22"/>
          <w:szCs w:val="22"/>
          <w:lang w:val="en-GB"/>
        </w:rPr>
        <w:t xml:space="preserve">.1 (R Foundation for Statistical Computing, Vienna, Austria) with the key packages of </w:t>
      </w:r>
      <w:proofErr w:type="spellStart"/>
      <w:r w:rsidRPr="00C91EF0">
        <w:rPr>
          <w:rFonts w:asciiTheme="minorHAnsi" w:hAnsiTheme="minorHAnsi" w:cstheme="minorHAnsi"/>
          <w:i/>
          <w:sz w:val="22"/>
          <w:szCs w:val="22"/>
          <w:lang w:val="en-GB"/>
        </w:rPr>
        <w:t>glmnet</w:t>
      </w:r>
      <w:proofErr w:type="spellEnd"/>
      <w:r w:rsidRPr="00C91EF0">
        <w:rPr>
          <w:rFonts w:asciiTheme="minorHAnsi" w:hAnsiTheme="minorHAnsi" w:cstheme="minorHAnsi"/>
          <w: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{"citationItems":[{"id":"ITEM-1","itemData":{"ISSN":"1548-7660","PMID":"20808728","abstract":"We develop fast algorithms for estimation of generalized linear models with convex penalties. The models include linear regression, two-class logistic regression, and multinomial regression problems while the penalties include ℓ(1) (the lasso), ℓ(2) (ridge regression) and mixtures of the two (the elastic net). The algorithms use cyclical coordinate descent, computed along a regularization path. The methods can handle large problems and can also deal efficiently with sparse features. In comparative timings we find that the new algorithms are considerably faster than competing methods.","author":[{"dropping-particle":"","family":"Friedman","given":"Jerome","non-dropping-particle":"","parse-names":false,"suffix":""},{"dropping-particle":"","family":"Hastie","given":"Trevor","non-dropping-particle":"","parse-names":false,"suffix":""},{"dropping-particle":"","family":"Tibshirani","given":"Rob","non-dropping-particle":"","parse-names":false,"suffix":""}],"container-title":"Journal of statistical software","id":"ITEM-1","issue":"1","issued":{"date-parts":[["2010"]]},"page":"1-22","title":"Regularization paths for generalized linear models via coordinate descent.","type":"article-journal","volume":"33"},"uris":["http://www.mendeley.com/documents/?uuid=a281b7bb-3b66-4651-adfe-4f85fa9b8b1e"]}],"mendeley":{"formattedCitation":"(65)","plainTextFormattedCitation":"(65)","previouslyFormattedCitation":"(64)"},"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(65)</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w:t>
      </w:r>
      <w:r w:rsidRPr="00C91EF0">
        <w:rPr>
          <w:rFonts w:asciiTheme="minorHAnsi" w:hAnsiTheme="minorHAnsi" w:cstheme="minorHAnsi"/>
          <w:i/>
          <w:sz w:val="22"/>
          <w:szCs w:val="22"/>
          <w:lang w:val="en-GB"/>
        </w:rPr>
        <w:t xml:space="preserve">metaphor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{"citationItems":[{"id":"ITEM-1","itemData":{"DOI":"10.18637/jss.v036.i03","ISSN":"1548-7660","author":[{"dropping-particle":"","family":"Viechtbauer","given":"Wolfgang","non-dropping-particle":"","parse-names":false,"suffix":""}],"container-title":"Journal of Statistical Software","id":"ITEM-1","issue":"3","issued":{"date-parts":[["2010"]]},"title":"Conducting meta-analyses in R with the metafor package","type":"article-journal","volume":"36"},"uris":["http://www.mendeley.com/documents/?uuid=19bdc3db-6333-453d-856b-967f7cdc6027"]}],"mendeley":{"formattedCitation":"(71)","plainTextFormattedCitation":"(71)","previouslyFormattedCitation":"(70)"},"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(71)</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 xml:space="preserve">, </w:t>
      </w:r>
      <w:r w:rsidRPr="00C91EF0">
        <w:rPr>
          <w:rFonts w:asciiTheme="minorHAnsi" w:hAnsiTheme="minorHAnsi" w:cstheme="minorHAnsi"/>
          <w:i/>
          <w:sz w:val="22"/>
          <w:szCs w:val="22"/>
          <w:lang w:val="en-GB"/>
        </w:rPr>
        <w:t xml:space="preserve">caret </w:t>
      </w:r>
      <w:r w:rsidR="00776DB8" w:rsidRPr="00C91EF0">
        <w:rPr>
          <w:rFonts w:asciiTheme="minorHAnsi" w:hAnsiTheme="minorHAnsi" w:cstheme="minorHAnsi"/>
          <w:i/>
          <w:sz w:val="22"/>
          <w:szCs w:val="22"/>
          <w:lang w:val="en-GB"/>
        </w:rPr>
        <w:fldChar w:fldCharType="begin" w:fldLock="1"/>
      </w:r>
      <w:r w:rsidR="006819A8">
        <w:rPr>
          <w:rFonts w:asciiTheme="minorHAnsi" w:hAnsiTheme="minorHAnsi" w:cstheme="minorHAnsi"/>
          <w:i/>
          <w:sz w:val="22"/>
          <w:szCs w:val="22"/>
          <w:lang w:val="en-GB"/>
        </w:rPr>
        <w:instrText>ADDIN CSL_CITATION {"citationItems":[{"id":"ITEM-1","itemData":{"DOI":"10.18637/jss.v028.i05","ISSN":"1548-7660","author":[{"dropping-particle":"","family":"Kuhn","given":"Max","non-dropping-particle":"","parse-names":false,"suffix":""}],"container-title":"Journal of Statistical Software","id":"ITEM-1","issue":"5","issued":{"date-parts":[["2008"]]},"title":"Building predictive models in R using the caret package","type":"article-journal","volume":"28"},"uris":["http://www.mendeley.com/documents/?uuid=cb467ace-a3bc-4a91-9bd5-5fe955391b91"]}],"mendeley":{"formattedCitation":"(72)","plainTextFormattedCitation":"(72)","previouslyFormattedCitation":"(71)"},"properties":{"noteIndex":0},"schema":"https://github.com/citation-style-language/schema/raw/master/csl-citation.json"}</w:instrText>
      </w:r>
      <w:r w:rsidR="00776DB8" w:rsidRPr="00C91EF0">
        <w:rPr>
          <w:rFonts w:asciiTheme="minorHAnsi" w:hAnsiTheme="minorHAnsi" w:cstheme="minorHAnsi"/>
          <w:i/>
          <w:sz w:val="22"/>
          <w:szCs w:val="22"/>
          <w:lang w:val="en-GB"/>
        </w:rPr>
        <w:fldChar w:fldCharType="separate"/>
      </w:r>
      <w:r w:rsidR="006819A8" w:rsidRPr="006819A8">
        <w:rPr>
          <w:rFonts w:asciiTheme="minorHAnsi" w:hAnsiTheme="minorHAnsi" w:cstheme="minorHAnsi"/>
          <w:noProof/>
          <w:sz w:val="22"/>
          <w:szCs w:val="22"/>
          <w:lang w:val="en-GB"/>
        </w:rPr>
        <w:t>(72)</w:t>
      </w:r>
      <w:r w:rsidR="00776DB8" w:rsidRPr="00C91EF0">
        <w:rPr>
          <w:rFonts w:asciiTheme="minorHAnsi" w:hAnsiTheme="minorHAnsi" w:cstheme="minorHAnsi"/>
          <w:i/>
          <w:sz w:val="22"/>
          <w:szCs w:val="22"/>
          <w:lang w:val="en-GB"/>
        </w:rPr>
        <w:fldChar w:fldCharType="end"/>
      </w:r>
      <w:r w:rsidR="00015264" w:rsidRPr="00C91EF0">
        <w:rPr>
          <w:rFonts w:asciiTheme="minorHAnsi" w:hAnsiTheme="minorHAnsi" w:cstheme="minorHAnsi"/>
          <w:i/>
          <w:sz w:val="22"/>
          <w:szCs w:val="22"/>
          <w:lang w:val="en-GB"/>
        </w:rPr>
        <w:t>,</w:t>
      </w:r>
      <w:r w:rsidR="00C739D7" w:rsidRPr="00C91EF0">
        <w:rPr>
          <w:rFonts w:asciiTheme="minorHAnsi" w:hAnsiTheme="minorHAnsi" w:cstheme="minorHAnsi"/>
          <w:sz w:val="22"/>
          <w:szCs w:val="22"/>
          <w:lang w:val="en-GB"/>
        </w:rPr>
        <w:t xml:space="preserve"> </w:t>
      </w:r>
      <w:r w:rsidRPr="00C91EF0">
        <w:rPr>
          <w:rFonts w:asciiTheme="minorHAnsi" w:hAnsiTheme="minorHAnsi" w:cstheme="minorHAnsi"/>
          <w:i/>
          <w:sz w:val="22"/>
          <w:szCs w:val="22"/>
          <w:lang w:val="en-GB"/>
        </w:rPr>
        <w:t>mice</w:t>
      </w:r>
      <w:r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10.18637/jss.v045.i03","ISSN":"1548-7660","author":[{"dropping-particle":"","family":"Buuren","given":"Stef","non-dropping-particle":"van","parse-names":false,"suffix":""},{"dropping-particle":"","family":"Groothuis-Oudshoorn","given":"Karin","non-dropping-particle":"","parse-names":false,"suffix":""}],"container-title":"Journal of Statistical Software","id":"ITEM-1","issue":"3","issued":{"date-parts":[["2011"]]},"title":"mice: Multivariate imputation by chained equations in R","type":"article-journal","volume":"1"},"uris":["http://www.mendeley.com/documents/?uuid=e2ec7a6b-bebf-4b74-bbfa-fc92b53ad2ff"]}],"mendeley":{"formattedCitation":"(58)","plainTextFormattedCitation":"(58)","previouslyFormattedCitation":"(57)"},"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(58)</w:t>
      </w:r>
      <w:r w:rsidR="00776DB8" w:rsidRPr="00C91EF0">
        <w:rPr>
          <w:rFonts w:asciiTheme="minorHAnsi" w:hAnsiTheme="minorHAnsi" w:cstheme="minorHAnsi"/>
          <w:sz w:val="22"/>
          <w:szCs w:val="22"/>
          <w:lang w:val="en-GB"/>
        </w:rPr>
        <w:fldChar w:fldCharType="end"/>
      </w:r>
      <w:r w:rsidR="00FE3F24">
        <w:rPr>
          <w:rFonts w:asciiTheme="minorHAnsi" w:hAnsiTheme="minorHAnsi" w:cstheme="minorHAnsi"/>
          <w:sz w:val="22"/>
          <w:szCs w:val="22"/>
          <w:lang w:val="en-GB"/>
        </w:rPr>
        <w:t xml:space="preserve">, and </w:t>
      </w:r>
      <w:proofErr w:type="spellStart"/>
      <w:r w:rsidR="00FE3F24">
        <w:rPr>
          <w:rFonts w:asciiTheme="minorHAnsi" w:hAnsiTheme="minorHAnsi" w:cstheme="minorHAnsi"/>
          <w:sz w:val="22"/>
          <w:szCs w:val="22"/>
          <w:lang w:val="en-GB"/>
        </w:rPr>
        <w:t>pmsampsize</w:t>
      </w:r>
      <w:proofErr w:type="spellEnd"/>
      <w:r w:rsidR="0080227B">
        <w:rPr>
          <w:rFonts w:asciiTheme="minorHAnsi" w:hAnsiTheme="minorHAnsi" w:cstheme="minorHAnsi"/>
          <w:sz w:val="22"/>
          <w:szCs w:val="22"/>
          <w:lang w:val="en-GB"/>
        </w:rPr>
        <w:t xml:space="preserve"> </w:t>
      </w:r>
      <w:r w:rsidR="00776DB8">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{"citationItems":[{"id":"ITEM-1","itemData":{"DOI":"10.1002/sim.7992","ISSN":"02776715","author":[{"dropping-particle":"","family":"Riley","given":"Richard David","non-dropping-particle":"","parse-names":false,"suffix":""},{"dropping-particle":"","family":"Snell","given":"Kym I.E.","non-dropping-particle":"","parse-names":false,"suffix":""},{"dropping-particle":"","family":"Ensor","given":"Joie","non-dropping-particle":"","parse-names":false,"suffix":""},{"dropping-particle":"","family":"Burke","given":"Danielle L","non-dropping-particle":"","parse-names":false,"suffix":""},{"dropping-particle":"","family":"Harrell Jr","given":"Frank E","non-dropping-particle":"","parse-names":false,"suffix":""},{"dropping-particle":"","family":"Moons","given":"Karel GM","non-dropping-particle":"","parse-names":false,"suffix":""},{"dropping-particle":"","family":"Collins","given":"Gary S","non-dropping-particle":"","parse-names":false,"suffix":""}],"container-title":"Statistics in Medicine","id":"ITEM-1","issue":"7","issued":{"date-parts":[["2019","3","30"]]},"page":"1276-1296","title":"Minimum sample size for developing a multivariable prediction model: PART II - binary and time-to-event outcomes","type":"article-journal","volume":"38"},"uris":["http://www.mendeley.com/documents/?uuid=e444ea2f-6ef7-4aec-9314-525addf2f48d"]}],"mendeley":{"formattedCitation":"(55)","plainTextFormattedCitation":"(55)","previouslyFormattedCitation":"(54)"},"properties":{"noteIndex":0},"schema":"https://github.com/citation-style-language/schema/raw/master/csl-citation.json"}</w:instrText>
      </w:r>
      <w:r w:rsidR="00776DB8">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(55)</w:t>
      </w:r>
      <w:r w:rsidR="00776DB8">
        <w:rPr>
          <w:rFonts w:asciiTheme="minorHAnsi" w:hAnsiTheme="minorHAnsi" w:cstheme="minorHAnsi"/>
          <w:sz w:val="22"/>
          <w:szCs w:val="22"/>
          <w:lang w:val="en-GB"/>
        </w:rPr>
        <w:fldChar w:fldCharType="end"/>
      </w:r>
      <w:r w:rsidR="00C70A82" w:rsidRPr="00C91EF0">
        <w:rPr>
          <w:rFonts w:asciiTheme="minorHAnsi" w:hAnsiTheme="minorHAnsi" w:cstheme="minorHAnsi"/>
          <w:sz w:val="22"/>
          <w:szCs w:val="22"/>
          <w:lang w:val="en-GB"/>
        </w:rPr>
        <w:t>.</w:t>
      </w:r>
    </w:p>
    <w:p w14:paraId="11FA01F0" w14:textId="27C9DD66" w:rsidR="00D6770A" w:rsidRPr="00C91EF0" w:rsidRDefault="00D6770A"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This research study was </w:t>
      </w:r>
      <w:r w:rsidR="000F5758" w:rsidRPr="00C91EF0">
        <w:rPr>
          <w:rFonts w:asciiTheme="minorHAnsi" w:hAnsiTheme="minorHAnsi" w:cstheme="minorHAnsi"/>
          <w:sz w:val="22"/>
          <w:szCs w:val="22"/>
          <w:lang w:val="en-GB"/>
        </w:rPr>
        <w:t>reported</w:t>
      </w:r>
      <w:r w:rsidRPr="00C91EF0">
        <w:rPr>
          <w:rFonts w:asciiTheme="minorHAnsi" w:hAnsiTheme="minorHAnsi" w:cstheme="minorHAnsi"/>
          <w:sz w:val="22"/>
          <w:szCs w:val="22"/>
          <w:lang w:val="en-GB"/>
        </w:rPr>
        <w:t xml:space="preserve"> in accordance with the TRIPOD statement </w:t>
      </w:r>
      <w:r w:rsidRPr="00C91EF0">
        <w:rPr>
          <w:rFonts w:asciiTheme="minorHAnsi" w:hAnsiTheme="minorHAnsi" w:cstheme="minorHAnsi"/>
          <w:b/>
          <w:bCs/>
          <w:sz w:val="22"/>
          <w:szCs w:val="22"/>
          <w:lang w:val="en-GB"/>
        </w:rPr>
        <w:t>(Supplementa</w:t>
      </w:r>
      <w:r w:rsidR="0055111B" w:rsidRPr="00C91EF0">
        <w:rPr>
          <w:rFonts w:asciiTheme="minorHAnsi" w:hAnsiTheme="minorHAnsi" w:cstheme="minorHAnsi"/>
          <w:b/>
          <w:bCs/>
          <w:sz w:val="22"/>
          <w:szCs w:val="22"/>
          <w:lang w:val="en-GB"/>
        </w:rPr>
        <w:t>l</w:t>
      </w:r>
      <w:r w:rsidR="00CA26FA" w:rsidRPr="00C91EF0">
        <w:rPr>
          <w:rFonts w:asciiTheme="minorHAnsi" w:hAnsiTheme="minorHAnsi" w:cstheme="minorHAnsi"/>
          <w:b/>
          <w:bCs/>
          <w:sz w:val="22"/>
          <w:szCs w:val="22"/>
          <w:lang w:val="en-GB"/>
        </w:rPr>
        <w:t xml:space="preserve"> table</w:t>
      </w:r>
      <w:r w:rsidRPr="00C91EF0">
        <w:rPr>
          <w:rFonts w:asciiTheme="minorHAnsi" w:hAnsiTheme="minorHAnsi" w:cstheme="minorHAnsi"/>
          <w:b/>
          <w:bCs/>
          <w:sz w:val="22"/>
          <w:szCs w:val="22"/>
          <w:lang w:val="en-GB"/>
        </w:rPr>
        <w:t xml:space="preserve"> </w:t>
      </w:r>
      <w:r w:rsidR="000363B5">
        <w:rPr>
          <w:rFonts w:asciiTheme="minorHAnsi" w:hAnsiTheme="minorHAnsi" w:cstheme="minorHAnsi"/>
          <w:b/>
          <w:bCs/>
          <w:sz w:val="22"/>
          <w:szCs w:val="22"/>
          <w:lang w:val="en-GB"/>
        </w:rPr>
        <w:t>3</w:t>
      </w:r>
      <w:r w:rsidRPr="00C91EF0">
        <w:rPr>
          <w:rFonts w:asciiTheme="minorHAnsi" w:hAnsiTheme="minorHAnsi" w:cstheme="minorHAnsi"/>
          <w:b/>
          <w:bCs/>
          <w:sz w:val="22"/>
          <w:szCs w:val="22"/>
          <w:lang w:val="en-GB"/>
        </w:rPr>
        <w:t>)</w:t>
      </w:r>
      <w:r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{"citationItems":[{"id":"ITEM-1","itemData":{"DOI":"10.7326/M14-0698","ISSN":"0003-4819","author":[{"dropping-particle":"","family":"Moons","given":"Karel G.M.","non-dropping-particle":"","parse-names":false,"suffix":""},{"dropping-particle":"","family":"Altman","given":"Douglas G.","non-dropping-particle":"","parse-names":false,"suffix":""},{"dropping-particle":"","family":"Reitsma","given":"Johannes B.","non-dropping-particle":"","parse-names":false,"suffix":""},{"dropping-particle":"","family":"Ioannidis","given":"John P.A.","non-dropping-particle":"","parse-names":false,"suffix":""},{"dropping-particle":"","family":"Macaskill","given":"Petra","non-dropping-particle":"","parse-names":false,"suffix":""},{"dropping-particle":"","family":"Steyerberg","given":"Ewout W","non-dropping-particle":"","parse-names":false,"suffix":""},{"dropping-particle":"","family":"Vickers","given":"Andrew J","non-dropping-particle":"","parse-names":false,"suffix":""},{"dropping-particle":"","family":"Ransohoff","given":"David F","non-dropping-particle":"","parse-names":false,"suffix":""},{"dropping-particle":"","family":"Collins","given":"Gary S","non-dropping-particle":"","parse-names":false,"suffix":""}],"container-title":"Annals of Internal Medicine","id":"ITEM-1","issue":"1","issued":{"date-parts":[["2015","1","6"]]},"page":"W1","title":"Transparent Reporting of a multivariable prediction model for Individual Prognosis Or Diagnosis (TRIPOD): Explanation and Elaboration","type":"article-journal","volume":"162"},"uris":["http://www.mendeley.com/documents/?uuid=48e1d272-bac8-4e39-a62f-32b040d5e50f"]}],"mendeley":{"formattedCitation":"(73)","plainTextFormattedCitation":"(73)","previouslyFormattedCitation":"(72)"},"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(73)</w:t>
      </w:r>
      <w:r w:rsidR="00776DB8" w:rsidRPr="00C91EF0">
        <w:rPr>
          <w:rFonts w:asciiTheme="minorHAnsi" w:hAnsiTheme="minorHAnsi" w:cstheme="minorHAnsi"/>
          <w:sz w:val="22"/>
          <w:szCs w:val="22"/>
          <w:lang w:val="en-GB"/>
        </w:rPr>
        <w:fldChar w:fldCharType="end"/>
      </w:r>
      <w:r w:rsidRPr="00C91EF0">
        <w:rPr>
          <w:rFonts w:asciiTheme="minorHAnsi" w:hAnsiTheme="minorHAnsi" w:cstheme="minorHAnsi"/>
          <w:sz w:val="22"/>
          <w:szCs w:val="22"/>
          <w:lang w:val="en-GB"/>
        </w:rPr>
        <w:t>.</w:t>
      </w:r>
    </w:p>
    <w:p w14:paraId="3F29129A" w14:textId="77777777" w:rsidR="00D427A9" w:rsidRPr="00C91EF0" w:rsidRDefault="00D6770A" w:rsidP="00940416">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[About here link to: Supplementa</w:t>
      </w:r>
      <w:r w:rsidR="0055111B" w:rsidRPr="00C91EF0">
        <w:rPr>
          <w:rFonts w:asciiTheme="minorHAnsi" w:hAnsiTheme="minorHAnsi" w:cstheme="minorHAnsi"/>
          <w:sz w:val="22"/>
          <w:szCs w:val="22"/>
          <w:lang w:val="en-GB"/>
        </w:rPr>
        <w:t>l</w:t>
      </w:r>
      <w:r w:rsidRPr="00C91EF0">
        <w:rPr>
          <w:rFonts w:asciiTheme="minorHAnsi" w:hAnsiTheme="minorHAnsi" w:cstheme="minorHAnsi"/>
          <w:sz w:val="22"/>
          <w:szCs w:val="22"/>
          <w:lang w:val="en-GB"/>
        </w:rPr>
        <w:t xml:space="preserve"> </w:t>
      </w:r>
      <w:r w:rsidR="00E84ACF" w:rsidRPr="00C91EF0">
        <w:rPr>
          <w:rFonts w:asciiTheme="minorHAnsi" w:hAnsiTheme="minorHAnsi" w:cstheme="minorHAnsi"/>
          <w:sz w:val="22"/>
          <w:szCs w:val="22"/>
          <w:lang w:val="en-GB"/>
        </w:rPr>
        <w:t xml:space="preserve">Table </w:t>
      </w:r>
      <w:r w:rsidR="000363B5">
        <w:rPr>
          <w:rFonts w:asciiTheme="minorHAnsi" w:hAnsiTheme="minorHAnsi" w:cstheme="minorHAnsi"/>
          <w:sz w:val="22"/>
          <w:szCs w:val="22"/>
          <w:lang w:val="en-GB"/>
        </w:rPr>
        <w:t>3</w:t>
      </w:r>
      <w:r w:rsidRPr="00C91EF0">
        <w:rPr>
          <w:rFonts w:asciiTheme="minorHAnsi" w:hAnsiTheme="minorHAnsi" w:cstheme="minorHAnsi"/>
          <w:sz w:val="22"/>
          <w:szCs w:val="22"/>
          <w:lang w:val="en-GB"/>
        </w:rPr>
        <w:t xml:space="preserve"> on TRIPOD Checklist: Prediction Model Development and Validation] </w:t>
      </w:r>
      <w:bookmarkStart w:id="5" w:name="_MON_1618912029"/>
      <w:bookmarkEnd w:id="5"/>
    </w:p>
    <w:p w14:paraId="25BB838D" w14:textId="77777777" w:rsidR="00940416" w:rsidRDefault="00940416" w:rsidP="00940416">
      <w:pPr>
        <w:spacing w:line="480" w:lineRule="auto"/>
        <w:rPr>
          <w:rFonts w:asciiTheme="minorHAnsi" w:hAnsiTheme="minorHAnsi" w:cstheme="minorHAnsi"/>
          <w:b/>
          <w:sz w:val="22"/>
          <w:szCs w:val="22"/>
          <w:lang w:val="en-GB"/>
        </w:rPr>
      </w:pPr>
    </w:p>
    <w:p w14:paraId="25B27764" w14:textId="77777777" w:rsidR="00D6770A" w:rsidRPr="00C91EF0" w:rsidRDefault="000363B5" w:rsidP="00940416">
      <w:pPr>
        <w:spacing w:line="480" w:lineRule="auto"/>
        <w:rPr>
          <w:rFonts w:asciiTheme="minorHAnsi" w:hAnsiTheme="minorHAnsi" w:cstheme="minorHAnsi"/>
          <w:b/>
          <w:sz w:val="22"/>
          <w:szCs w:val="22"/>
          <w:lang w:val="en-GB"/>
        </w:rPr>
      </w:pPr>
      <w:r>
        <w:rPr>
          <w:rFonts w:asciiTheme="minorHAnsi" w:hAnsiTheme="minorHAnsi" w:cstheme="minorHAnsi"/>
          <w:b/>
          <w:sz w:val="22"/>
          <w:szCs w:val="22"/>
          <w:lang w:val="en-GB"/>
        </w:rPr>
        <w:lastRenderedPageBreak/>
        <w:t>RESULTS</w:t>
      </w:r>
    </w:p>
    <w:p w14:paraId="4A9AEF86" w14:textId="250E9C97" w:rsidR="00305B3B" w:rsidRDefault="00D6770A" w:rsidP="00940416">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eastAsia="nb-NO"/>
        </w:rPr>
        <w:t xml:space="preserve">Of all eligible 4,561 patients from the PROPERmed database </w:t>
      </w:r>
      <w:r w:rsidR="008F3C3D">
        <w:rPr>
          <w:rFonts w:asciiTheme="minorHAnsi" w:hAnsiTheme="minorHAnsi" w:cstheme="minorHAnsi"/>
          <w:sz w:val="22"/>
          <w:szCs w:val="22"/>
          <w:lang w:val="en-GB" w:eastAsia="nb-NO"/>
        </w:rPr>
        <w:t xml:space="preserve">for whom </w:t>
      </w:r>
      <w:r w:rsidRPr="00C91EF0">
        <w:rPr>
          <w:rFonts w:asciiTheme="minorHAnsi" w:hAnsiTheme="minorHAnsi" w:cstheme="minorHAnsi"/>
          <w:sz w:val="22"/>
          <w:szCs w:val="22"/>
          <w:lang w:val="en-GB" w:eastAsia="nb-NO"/>
        </w:rPr>
        <w:t>multiple imputation datasets</w:t>
      </w:r>
      <w:r w:rsidR="008F3C3D">
        <w:rPr>
          <w:rFonts w:asciiTheme="minorHAnsi" w:hAnsiTheme="minorHAnsi" w:cstheme="minorHAnsi"/>
          <w:sz w:val="22"/>
          <w:szCs w:val="22"/>
          <w:lang w:val="en-GB" w:eastAsia="nb-NO"/>
        </w:rPr>
        <w:t xml:space="preserve"> were available</w:t>
      </w:r>
      <w:r w:rsidRPr="00C91EF0">
        <w:rPr>
          <w:rFonts w:asciiTheme="minorHAnsi" w:hAnsiTheme="minorHAnsi" w:cstheme="minorHAnsi"/>
          <w:sz w:val="22"/>
          <w:szCs w:val="22"/>
          <w:lang w:val="en-GB" w:eastAsia="nb-NO"/>
        </w:rPr>
        <w:t>, 3,582 patients w</w:t>
      </w:r>
      <w:r w:rsidR="003F0E31">
        <w:rPr>
          <w:rFonts w:asciiTheme="minorHAnsi" w:hAnsiTheme="minorHAnsi" w:cstheme="minorHAnsi"/>
          <w:sz w:val="22"/>
          <w:szCs w:val="22"/>
          <w:lang w:val="en-GB" w:eastAsia="nb-NO"/>
        </w:rPr>
        <w:t>ith full data for all candidate prognostic variables w</w:t>
      </w:r>
      <w:r w:rsidRPr="00C91EF0">
        <w:rPr>
          <w:rFonts w:asciiTheme="minorHAnsi" w:hAnsiTheme="minorHAnsi" w:cstheme="minorHAnsi"/>
          <w:sz w:val="22"/>
          <w:szCs w:val="22"/>
          <w:lang w:val="en-GB" w:eastAsia="nb-NO"/>
        </w:rPr>
        <w:t>ere included in the complete-case population</w:t>
      </w:r>
      <w:r w:rsidR="006B6DE6" w:rsidRPr="00C91EF0">
        <w:rPr>
          <w:rFonts w:asciiTheme="minorHAnsi" w:hAnsiTheme="minorHAnsi" w:cstheme="minorHAnsi"/>
          <w:sz w:val="22"/>
          <w:szCs w:val="22"/>
          <w:lang w:val="en-GB" w:eastAsia="nb-NO"/>
        </w:rPr>
        <w:t xml:space="preserve"> </w:t>
      </w:r>
      <w:r w:rsidRPr="00C91EF0">
        <w:rPr>
          <w:rFonts w:asciiTheme="minorHAnsi" w:hAnsiTheme="minorHAnsi" w:cstheme="minorHAnsi"/>
          <w:sz w:val="22"/>
          <w:szCs w:val="22"/>
          <w:lang w:val="en-GB" w:eastAsia="nb-NO"/>
        </w:rPr>
        <w:t>(</w:t>
      </w:r>
      <w:r w:rsidRPr="00C91EF0">
        <w:rPr>
          <w:rFonts w:asciiTheme="minorHAnsi" w:hAnsiTheme="minorHAnsi" w:cstheme="minorHAnsi"/>
          <w:b/>
          <w:sz w:val="22"/>
          <w:szCs w:val="22"/>
          <w:lang w:val="en-GB" w:eastAsia="nb-NO"/>
        </w:rPr>
        <w:t>Figure 1</w:t>
      </w:r>
      <w:r w:rsidRPr="00C91EF0">
        <w:rPr>
          <w:rFonts w:asciiTheme="minorHAnsi" w:hAnsiTheme="minorHAnsi" w:cstheme="minorHAnsi"/>
          <w:sz w:val="22"/>
          <w:szCs w:val="22"/>
          <w:lang w:val="en-GB" w:eastAsia="nb-NO"/>
        </w:rPr>
        <w:t xml:space="preserve">). In this subset, </w:t>
      </w:r>
      <w:r w:rsidR="008F3C3D">
        <w:rPr>
          <w:rFonts w:asciiTheme="minorHAnsi" w:hAnsiTheme="minorHAnsi" w:cstheme="minorHAnsi"/>
          <w:sz w:val="22"/>
          <w:szCs w:val="22"/>
          <w:lang w:val="en-GB" w:eastAsia="nb-NO"/>
        </w:rPr>
        <w:t xml:space="preserve">the HRQoL of </w:t>
      </w:r>
      <w:r w:rsidRPr="00C91EF0">
        <w:rPr>
          <w:rFonts w:asciiTheme="minorHAnsi" w:hAnsiTheme="minorHAnsi" w:cstheme="minorHAnsi"/>
          <w:sz w:val="22"/>
          <w:szCs w:val="22"/>
          <w:lang w:val="en-GB"/>
        </w:rPr>
        <w:t xml:space="preserve">1,046 </w:t>
      </w:r>
      <w:r w:rsidR="00F12F36" w:rsidRPr="00C91EF0">
        <w:rPr>
          <w:rFonts w:asciiTheme="minorHAnsi" w:hAnsiTheme="minorHAnsi" w:cstheme="minorHAnsi"/>
          <w:sz w:val="22"/>
          <w:szCs w:val="22"/>
          <w:lang w:val="en-GB"/>
        </w:rPr>
        <w:t xml:space="preserve">(29.2 %) </w:t>
      </w:r>
      <w:r w:rsidRPr="00C91EF0">
        <w:rPr>
          <w:rFonts w:asciiTheme="minorHAnsi" w:hAnsiTheme="minorHAnsi" w:cstheme="minorHAnsi"/>
          <w:sz w:val="22"/>
          <w:szCs w:val="22"/>
          <w:lang w:val="en-GB"/>
        </w:rPr>
        <w:t xml:space="preserve">patients </w:t>
      </w:r>
      <w:r w:rsidR="008F3C3D">
        <w:rPr>
          <w:rFonts w:asciiTheme="minorHAnsi" w:hAnsiTheme="minorHAnsi" w:cstheme="minorHAnsi"/>
          <w:sz w:val="22"/>
          <w:szCs w:val="22"/>
          <w:lang w:val="en-GB"/>
        </w:rPr>
        <w:t xml:space="preserve">deteriorated </w:t>
      </w:r>
      <w:r w:rsidR="00DA033F" w:rsidRPr="00C91EF0">
        <w:rPr>
          <w:rFonts w:asciiTheme="minorHAnsi" w:hAnsiTheme="minorHAnsi" w:cstheme="minorHAnsi"/>
          <w:sz w:val="22"/>
          <w:szCs w:val="22"/>
          <w:lang w:val="en-GB"/>
        </w:rPr>
        <w:t xml:space="preserve">by </w:t>
      </w:r>
      <w:r w:rsidRPr="00C91EF0">
        <w:rPr>
          <w:rFonts w:asciiTheme="minorHAnsi" w:hAnsiTheme="minorHAnsi" w:cstheme="minorHAnsi"/>
          <w:sz w:val="22"/>
          <w:szCs w:val="22"/>
          <w:lang w:val="en-GB"/>
        </w:rPr>
        <w:t xml:space="preserve">at least five percent </w:t>
      </w:r>
      <w:r w:rsidR="008F3C3D">
        <w:rPr>
          <w:rFonts w:asciiTheme="minorHAnsi" w:hAnsiTheme="minorHAnsi" w:cstheme="minorHAnsi"/>
          <w:sz w:val="22"/>
          <w:szCs w:val="22"/>
          <w:lang w:val="en-GB"/>
        </w:rPr>
        <w:t xml:space="preserve">according to </w:t>
      </w:r>
      <w:r w:rsidRPr="00C91EF0">
        <w:rPr>
          <w:rFonts w:asciiTheme="minorHAnsi" w:hAnsiTheme="minorHAnsi" w:cstheme="minorHAnsi"/>
          <w:sz w:val="22"/>
          <w:szCs w:val="22"/>
          <w:lang w:val="en-GB"/>
        </w:rPr>
        <w:t xml:space="preserve">the EQ-5D-3L index </w:t>
      </w:r>
      <w:r w:rsidR="00CC7D75" w:rsidRPr="00C91EF0">
        <w:rPr>
          <w:rFonts w:asciiTheme="minorHAnsi" w:hAnsiTheme="minorHAnsi" w:cstheme="minorHAnsi"/>
          <w:sz w:val="22"/>
          <w:szCs w:val="22"/>
          <w:lang w:val="en-GB"/>
        </w:rPr>
        <w:t>at</w:t>
      </w:r>
      <w:r w:rsidRPr="00C91EF0">
        <w:rPr>
          <w:rFonts w:asciiTheme="minorHAnsi" w:hAnsiTheme="minorHAnsi" w:cstheme="minorHAnsi"/>
          <w:sz w:val="22"/>
          <w:szCs w:val="22"/>
          <w:lang w:val="en-GB"/>
        </w:rPr>
        <w:t xml:space="preserve"> </w:t>
      </w:r>
      <w:r w:rsidR="00ED0FD9" w:rsidRPr="00C91EF0">
        <w:rPr>
          <w:rFonts w:asciiTheme="minorHAnsi" w:hAnsiTheme="minorHAnsi" w:cstheme="minorHAnsi"/>
          <w:sz w:val="22"/>
          <w:szCs w:val="22"/>
          <w:lang w:val="en-GB"/>
        </w:rPr>
        <w:t>six</w:t>
      </w:r>
      <w:r w:rsidR="008F3C3D">
        <w:rPr>
          <w:rFonts w:asciiTheme="minorHAnsi" w:hAnsiTheme="minorHAnsi" w:cstheme="minorHAnsi"/>
          <w:sz w:val="22"/>
          <w:szCs w:val="22"/>
          <w:lang w:val="en-GB"/>
        </w:rPr>
        <w:t>-</w:t>
      </w:r>
      <w:r w:rsidRPr="00C91EF0">
        <w:rPr>
          <w:rFonts w:asciiTheme="minorHAnsi" w:hAnsiTheme="minorHAnsi" w:cstheme="minorHAnsi"/>
          <w:sz w:val="22"/>
          <w:szCs w:val="22"/>
          <w:lang w:val="en-GB"/>
        </w:rPr>
        <w:t>month follow-up</w:t>
      </w:r>
      <w:r w:rsidR="00B67332">
        <w:rPr>
          <w:rFonts w:asciiTheme="minorHAnsi" w:hAnsiTheme="minorHAnsi" w:cstheme="minorHAnsi"/>
          <w:sz w:val="22"/>
          <w:szCs w:val="22"/>
          <w:lang w:val="en-GB"/>
        </w:rPr>
        <w:t>: 105 (27.6</w:t>
      </w:r>
      <w:r w:rsidR="0010590A">
        <w:rPr>
          <w:rFonts w:asciiTheme="minorHAnsi" w:hAnsiTheme="minorHAnsi" w:cstheme="minorHAnsi"/>
          <w:sz w:val="22"/>
          <w:szCs w:val="22"/>
          <w:lang w:val="en-GB"/>
        </w:rPr>
        <w:t xml:space="preserve"> </w:t>
      </w:r>
      <w:r w:rsidR="00B67332">
        <w:rPr>
          <w:rFonts w:asciiTheme="minorHAnsi" w:hAnsiTheme="minorHAnsi" w:cstheme="minorHAnsi"/>
          <w:sz w:val="22"/>
          <w:szCs w:val="22"/>
          <w:lang w:val="en-GB"/>
        </w:rPr>
        <w:t>%) patients from PRIMUM, 94 (</w:t>
      </w:r>
      <w:r w:rsidR="0010590A">
        <w:rPr>
          <w:rFonts w:asciiTheme="minorHAnsi" w:hAnsiTheme="minorHAnsi" w:cstheme="minorHAnsi"/>
          <w:sz w:val="22"/>
          <w:szCs w:val="22"/>
          <w:lang w:val="en-GB"/>
        </w:rPr>
        <w:t>24.4 %</w:t>
      </w:r>
      <w:r w:rsidR="00B67332">
        <w:rPr>
          <w:rFonts w:asciiTheme="minorHAnsi" w:hAnsiTheme="minorHAnsi" w:cstheme="minorHAnsi"/>
          <w:sz w:val="22"/>
          <w:szCs w:val="22"/>
          <w:lang w:val="en-GB"/>
        </w:rPr>
        <w:t>) from Opti-Med, 131 (</w:t>
      </w:r>
      <w:r w:rsidR="0010590A">
        <w:rPr>
          <w:rFonts w:asciiTheme="minorHAnsi" w:hAnsiTheme="minorHAnsi" w:cstheme="minorHAnsi"/>
          <w:sz w:val="22"/>
          <w:szCs w:val="22"/>
          <w:lang w:val="en-GB"/>
        </w:rPr>
        <w:t>29.2 %</w:t>
      </w:r>
      <w:r w:rsidR="00B67332">
        <w:rPr>
          <w:rFonts w:asciiTheme="minorHAnsi" w:hAnsiTheme="minorHAnsi" w:cstheme="minorHAnsi"/>
          <w:sz w:val="22"/>
          <w:szCs w:val="22"/>
          <w:lang w:val="en-GB"/>
        </w:rPr>
        <w:t>) from PIL, 442 (</w:t>
      </w:r>
      <w:r w:rsidR="0010590A">
        <w:rPr>
          <w:rFonts w:asciiTheme="minorHAnsi" w:hAnsiTheme="minorHAnsi" w:cstheme="minorHAnsi"/>
          <w:sz w:val="22"/>
          <w:szCs w:val="22"/>
          <w:lang w:val="en-GB"/>
        </w:rPr>
        <w:t>32.8 %</w:t>
      </w:r>
      <w:r w:rsidR="00B67332">
        <w:rPr>
          <w:rFonts w:asciiTheme="minorHAnsi" w:hAnsiTheme="minorHAnsi" w:cstheme="minorHAnsi"/>
          <w:sz w:val="22"/>
          <w:szCs w:val="22"/>
          <w:lang w:val="en-GB"/>
        </w:rPr>
        <w:t xml:space="preserve">) </w:t>
      </w:r>
      <w:r w:rsidR="0010590A">
        <w:rPr>
          <w:rFonts w:asciiTheme="minorHAnsi" w:hAnsiTheme="minorHAnsi" w:cstheme="minorHAnsi"/>
          <w:sz w:val="22"/>
          <w:szCs w:val="22"/>
          <w:lang w:val="en-GB"/>
        </w:rPr>
        <w:t xml:space="preserve">from ISCOPE </w:t>
      </w:r>
      <w:r w:rsidR="00B67332">
        <w:rPr>
          <w:rFonts w:asciiTheme="minorHAnsi" w:hAnsiTheme="minorHAnsi" w:cstheme="minorHAnsi"/>
          <w:sz w:val="22"/>
          <w:szCs w:val="22"/>
          <w:lang w:val="en-GB"/>
        </w:rPr>
        <w:t>and 274 (</w:t>
      </w:r>
      <w:r w:rsidR="0010590A">
        <w:rPr>
          <w:rFonts w:asciiTheme="minorHAnsi" w:hAnsiTheme="minorHAnsi" w:cstheme="minorHAnsi"/>
          <w:sz w:val="22"/>
          <w:szCs w:val="22"/>
          <w:lang w:val="en-GB"/>
        </w:rPr>
        <w:t>26.9%</w:t>
      </w:r>
      <w:r w:rsidR="00B67332">
        <w:rPr>
          <w:rFonts w:asciiTheme="minorHAnsi" w:hAnsiTheme="minorHAnsi" w:cstheme="minorHAnsi"/>
          <w:sz w:val="22"/>
          <w:szCs w:val="22"/>
          <w:lang w:val="en-GB"/>
        </w:rPr>
        <w:t xml:space="preserve">) from RIME. </w:t>
      </w:r>
    </w:p>
    <w:p w14:paraId="34E3CA5C" w14:textId="6351B6F2" w:rsidR="00305B3B" w:rsidRDefault="00305B3B" w:rsidP="00940416">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The mean age of the complete-case population was 78 (SD 7) years</w:t>
      </w:r>
      <w:r w:rsidR="008F3C3D">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58 % were women, 96 % lived at home, </w:t>
      </w:r>
      <w:r w:rsidR="00EA6868">
        <w:rPr>
          <w:rFonts w:asciiTheme="minorHAnsi" w:hAnsiTheme="minorHAnsi" w:cstheme="minorHAnsi"/>
          <w:sz w:val="22"/>
          <w:szCs w:val="22"/>
          <w:lang w:val="en-GB"/>
        </w:rPr>
        <w:t xml:space="preserve">and </w:t>
      </w:r>
      <w:r>
        <w:rPr>
          <w:rFonts w:asciiTheme="minorHAnsi" w:hAnsiTheme="minorHAnsi" w:cstheme="minorHAnsi"/>
          <w:sz w:val="22"/>
          <w:szCs w:val="22"/>
          <w:lang w:val="en-GB"/>
        </w:rPr>
        <w:t xml:space="preserve">88 % had </w:t>
      </w:r>
      <w:r w:rsidR="008F3C3D">
        <w:rPr>
          <w:rFonts w:asciiTheme="minorHAnsi" w:hAnsiTheme="minorHAnsi" w:cstheme="minorHAnsi"/>
          <w:sz w:val="22"/>
          <w:szCs w:val="22"/>
          <w:lang w:val="en-GB"/>
        </w:rPr>
        <w:t xml:space="preserve">a </w:t>
      </w:r>
      <w:r>
        <w:rPr>
          <w:rFonts w:asciiTheme="minorHAnsi" w:hAnsiTheme="minorHAnsi" w:cstheme="minorHAnsi"/>
          <w:sz w:val="22"/>
          <w:szCs w:val="22"/>
          <w:lang w:val="en-GB"/>
        </w:rPr>
        <w:t xml:space="preserve">low/medium </w:t>
      </w:r>
      <w:r w:rsidR="008F3C3D">
        <w:rPr>
          <w:rFonts w:asciiTheme="minorHAnsi" w:hAnsiTheme="minorHAnsi" w:cstheme="minorHAnsi"/>
          <w:sz w:val="22"/>
          <w:szCs w:val="22"/>
          <w:lang w:val="en-GB"/>
        </w:rPr>
        <w:t xml:space="preserve">level of </w:t>
      </w:r>
      <w:r>
        <w:rPr>
          <w:rFonts w:asciiTheme="minorHAnsi" w:hAnsiTheme="minorHAnsi" w:cstheme="minorHAnsi"/>
          <w:sz w:val="22"/>
          <w:szCs w:val="22"/>
          <w:lang w:val="en-GB"/>
        </w:rPr>
        <w:t>education</w:t>
      </w:r>
      <w:r w:rsidR="008F3C3D">
        <w:rPr>
          <w:rFonts w:asciiTheme="minorHAnsi" w:hAnsiTheme="minorHAnsi" w:cstheme="minorHAnsi"/>
          <w:sz w:val="22"/>
          <w:szCs w:val="22"/>
          <w:lang w:val="en-GB"/>
        </w:rPr>
        <w:t xml:space="preserve">. The population had </w:t>
      </w:r>
      <w:r>
        <w:rPr>
          <w:rFonts w:asciiTheme="minorHAnsi" w:hAnsiTheme="minorHAnsi" w:cstheme="minorHAnsi"/>
          <w:sz w:val="22"/>
          <w:szCs w:val="22"/>
          <w:lang w:val="en-GB"/>
        </w:rPr>
        <w:t xml:space="preserve">an average of 3 (SD 2) chronic conditions </w:t>
      </w:r>
      <w:r w:rsidR="00316301">
        <w:rPr>
          <w:rFonts w:asciiTheme="minorHAnsi" w:hAnsiTheme="minorHAnsi" w:cstheme="minorHAnsi"/>
          <w:sz w:val="22"/>
          <w:szCs w:val="22"/>
          <w:lang w:val="en-GB"/>
        </w:rPr>
        <w:t xml:space="preserve">(multimorbidity) </w:t>
      </w:r>
      <w:r>
        <w:rPr>
          <w:rFonts w:asciiTheme="minorHAnsi" w:hAnsiTheme="minorHAnsi" w:cstheme="minorHAnsi"/>
          <w:sz w:val="22"/>
          <w:szCs w:val="22"/>
          <w:lang w:val="en-GB"/>
        </w:rPr>
        <w:t>and 8 (SD 4) chronic prescriptions</w:t>
      </w:r>
      <w:r w:rsidR="00316301">
        <w:rPr>
          <w:rFonts w:asciiTheme="minorHAnsi" w:hAnsiTheme="minorHAnsi" w:cstheme="minorHAnsi"/>
          <w:sz w:val="22"/>
          <w:szCs w:val="22"/>
          <w:lang w:val="en-GB"/>
        </w:rPr>
        <w:t xml:space="preserve"> (polypharmacy)</w:t>
      </w:r>
      <w:r>
        <w:rPr>
          <w:rFonts w:asciiTheme="minorHAnsi" w:hAnsiTheme="minorHAnsi" w:cstheme="minorHAnsi"/>
          <w:sz w:val="22"/>
          <w:szCs w:val="22"/>
          <w:lang w:val="en-GB"/>
        </w:rPr>
        <w:t xml:space="preserve">. Seventy-eight percent of patients were taking </w:t>
      </w:r>
      <w:r w:rsidR="00316301">
        <w:rPr>
          <w:rFonts w:asciiTheme="minorHAnsi" w:hAnsiTheme="minorHAnsi" w:cstheme="minorHAnsi"/>
          <w:sz w:val="22"/>
          <w:szCs w:val="22"/>
          <w:lang w:val="en-GB"/>
        </w:rPr>
        <w:t>three</w:t>
      </w:r>
      <w:r>
        <w:rPr>
          <w:rFonts w:asciiTheme="minorHAnsi" w:hAnsiTheme="minorHAnsi" w:cstheme="minorHAnsi"/>
          <w:sz w:val="22"/>
          <w:szCs w:val="22"/>
          <w:lang w:val="en-GB"/>
        </w:rPr>
        <w:t xml:space="preserve"> or more medications. Sixty-seven percent </w:t>
      </w:r>
      <w:r w:rsidR="006860A8">
        <w:rPr>
          <w:rFonts w:asciiTheme="minorHAnsi" w:hAnsiTheme="minorHAnsi" w:cstheme="minorHAnsi"/>
          <w:sz w:val="22"/>
          <w:szCs w:val="22"/>
          <w:lang w:val="en-GB"/>
        </w:rPr>
        <w:t>suffered from</w:t>
      </w:r>
      <w:r>
        <w:rPr>
          <w:rFonts w:asciiTheme="minorHAnsi" w:hAnsiTheme="minorHAnsi" w:cstheme="minorHAnsi"/>
          <w:sz w:val="22"/>
          <w:szCs w:val="22"/>
          <w:lang w:val="en-GB"/>
        </w:rPr>
        <w:t xml:space="preserve"> pain and 20 % had depressive symptoms.</w:t>
      </w:r>
    </w:p>
    <w:p w14:paraId="21D70DBB" w14:textId="4DEE2CB5" w:rsidR="00D6770A" w:rsidRPr="00C91EF0" w:rsidRDefault="00D6770A" w:rsidP="00940416">
      <w:pPr>
        <w:spacing w:line="480" w:lineRule="auto"/>
        <w:rPr>
          <w:rFonts w:asciiTheme="minorHAnsi" w:hAnsiTheme="minorHAnsi" w:cstheme="minorHAnsi"/>
          <w:sz w:val="22"/>
          <w:szCs w:val="22"/>
          <w:lang w:val="en-GB"/>
        </w:rPr>
      </w:pPr>
      <w:r w:rsidRPr="00C91EF0">
        <w:rPr>
          <w:rFonts w:asciiTheme="minorHAnsi" w:hAnsiTheme="minorHAnsi" w:cstheme="minorHAnsi"/>
          <w:b/>
          <w:bCs/>
          <w:sz w:val="22"/>
          <w:szCs w:val="22"/>
          <w:lang w:val="en-GB"/>
        </w:rPr>
        <w:t>Table</w:t>
      </w:r>
      <w:r w:rsidR="00AF67CB" w:rsidRPr="00C91EF0">
        <w:rPr>
          <w:rFonts w:asciiTheme="minorHAnsi" w:hAnsiTheme="minorHAnsi" w:cstheme="minorHAnsi"/>
          <w:b/>
          <w:bCs/>
          <w:sz w:val="22"/>
          <w:szCs w:val="22"/>
          <w:lang w:val="en-GB"/>
        </w:rPr>
        <w:t> </w:t>
      </w:r>
      <w:r w:rsidRPr="00C91EF0">
        <w:rPr>
          <w:rFonts w:asciiTheme="minorHAnsi" w:hAnsiTheme="minorHAnsi" w:cstheme="minorHAnsi"/>
          <w:b/>
          <w:bCs/>
          <w:sz w:val="22"/>
          <w:szCs w:val="22"/>
          <w:lang w:val="en-GB"/>
        </w:rPr>
        <w:t>1</w:t>
      </w:r>
      <w:r w:rsidR="004C2FB0" w:rsidRPr="00C91EF0">
        <w:rPr>
          <w:rFonts w:asciiTheme="minorHAnsi" w:hAnsiTheme="minorHAnsi" w:cstheme="minorHAnsi"/>
          <w:b/>
          <w:bCs/>
          <w:sz w:val="22"/>
          <w:szCs w:val="22"/>
          <w:lang w:val="en-GB"/>
        </w:rPr>
        <w:t xml:space="preserve"> and Supplementa</w:t>
      </w:r>
      <w:r w:rsidR="0055111B" w:rsidRPr="00C91EF0">
        <w:rPr>
          <w:rFonts w:asciiTheme="minorHAnsi" w:hAnsiTheme="minorHAnsi" w:cstheme="minorHAnsi"/>
          <w:b/>
          <w:bCs/>
          <w:sz w:val="22"/>
          <w:szCs w:val="22"/>
          <w:lang w:val="en-GB"/>
        </w:rPr>
        <w:t>l</w:t>
      </w:r>
      <w:r w:rsidR="004C2FB0" w:rsidRPr="00C91EF0">
        <w:rPr>
          <w:rFonts w:asciiTheme="minorHAnsi" w:hAnsiTheme="minorHAnsi" w:cstheme="minorHAnsi"/>
          <w:b/>
          <w:bCs/>
          <w:sz w:val="22"/>
          <w:szCs w:val="22"/>
          <w:lang w:val="en-GB"/>
        </w:rPr>
        <w:t xml:space="preserve"> </w:t>
      </w:r>
      <w:r w:rsidR="000363B5">
        <w:rPr>
          <w:rFonts w:asciiTheme="minorHAnsi" w:hAnsiTheme="minorHAnsi" w:cstheme="minorHAnsi"/>
          <w:b/>
          <w:bCs/>
          <w:sz w:val="22"/>
          <w:szCs w:val="22"/>
          <w:lang w:val="en-GB"/>
        </w:rPr>
        <w:t>t</w:t>
      </w:r>
      <w:r w:rsidR="004C2FB0" w:rsidRPr="00C91EF0">
        <w:rPr>
          <w:rFonts w:asciiTheme="minorHAnsi" w:hAnsiTheme="minorHAnsi" w:cstheme="minorHAnsi"/>
          <w:b/>
          <w:bCs/>
          <w:sz w:val="22"/>
          <w:szCs w:val="22"/>
          <w:lang w:val="en-GB"/>
        </w:rPr>
        <w:t xml:space="preserve">able </w:t>
      </w:r>
      <w:r w:rsidR="000363B5">
        <w:rPr>
          <w:rFonts w:asciiTheme="minorHAnsi" w:hAnsiTheme="minorHAnsi" w:cstheme="minorHAnsi"/>
          <w:b/>
          <w:bCs/>
          <w:sz w:val="22"/>
          <w:szCs w:val="22"/>
          <w:lang w:val="en-GB"/>
        </w:rPr>
        <w:t>4</w:t>
      </w:r>
      <w:r w:rsidRPr="00C91EF0">
        <w:rPr>
          <w:rFonts w:asciiTheme="minorHAnsi" w:hAnsiTheme="minorHAnsi" w:cstheme="minorHAnsi"/>
          <w:sz w:val="22"/>
          <w:szCs w:val="22"/>
          <w:lang w:val="en-GB"/>
        </w:rPr>
        <w:t xml:space="preserve"> </w:t>
      </w:r>
      <w:r w:rsidR="008F3C3D">
        <w:rPr>
          <w:rFonts w:asciiTheme="minorHAnsi" w:hAnsiTheme="minorHAnsi" w:cstheme="minorHAnsi"/>
          <w:sz w:val="22"/>
          <w:szCs w:val="22"/>
          <w:lang w:val="en-GB"/>
        </w:rPr>
        <w:t xml:space="preserve">show the </w:t>
      </w:r>
      <w:r w:rsidR="00E40081" w:rsidRPr="00C91EF0">
        <w:rPr>
          <w:rFonts w:asciiTheme="minorHAnsi" w:hAnsiTheme="minorHAnsi" w:cstheme="minorHAnsi"/>
          <w:sz w:val="22"/>
          <w:szCs w:val="22"/>
          <w:lang w:val="en-GB"/>
        </w:rPr>
        <w:t xml:space="preserve">prognostic </w:t>
      </w:r>
      <w:r w:rsidR="0062066E" w:rsidRPr="00C91EF0">
        <w:rPr>
          <w:rFonts w:asciiTheme="minorHAnsi" w:hAnsiTheme="minorHAnsi" w:cstheme="minorHAnsi"/>
          <w:sz w:val="22"/>
          <w:szCs w:val="22"/>
          <w:lang w:val="en-GB"/>
        </w:rPr>
        <w:t>variables</w:t>
      </w:r>
      <w:r w:rsidR="0077463C">
        <w:rPr>
          <w:rFonts w:asciiTheme="minorHAnsi" w:hAnsiTheme="minorHAnsi" w:cstheme="minorHAnsi"/>
          <w:sz w:val="22"/>
          <w:szCs w:val="22"/>
          <w:lang w:val="en-GB"/>
        </w:rPr>
        <w:t xml:space="preserve"> </w:t>
      </w:r>
      <w:r w:rsidR="008F3C3D">
        <w:rPr>
          <w:rFonts w:asciiTheme="minorHAnsi" w:hAnsiTheme="minorHAnsi" w:cstheme="minorHAnsi"/>
          <w:sz w:val="22"/>
          <w:szCs w:val="22"/>
          <w:lang w:val="en-GB"/>
        </w:rPr>
        <w:t xml:space="preserve">both overall and </w:t>
      </w:r>
      <w:r w:rsidRPr="00C91EF0">
        <w:rPr>
          <w:rFonts w:asciiTheme="minorHAnsi" w:hAnsiTheme="minorHAnsi" w:cstheme="minorHAnsi"/>
          <w:sz w:val="22"/>
          <w:szCs w:val="22"/>
          <w:lang w:val="en-GB"/>
        </w:rPr>
        <w:t xml:space="preserve">stratified according to observed </w:t>
      </w:r>
      <w:proofErr w:type="spellStart"/>
      <w:r w:rsidR="008F3C3D">
        <w:rPr>
          <w:rFonts w:asciiTheme="minorHAnsi" w:hAnsiTheme="minorHAnsi" w:cstheme="minorHAnsi"/>
          <w:sz w:val="22"/>
          <w:szCs w:val="22"/>
          <w:lang w:val="en-GB"/>
        </w:rPr>
        <w:t>d</w:t>
      </w:r>
      <w:r w:rsidRPr="00C91EF0">
        <w:rPr>
          <w:rFonts w:asciiTheme="minorHAnsi" w:hAnsiTheme="minorHAnsi" w:cstheme="minorHAnsi"/>
          <w:sz w:val="22"/>
          <w:szCs w:val="22"/>
          <w:lang w:val="en-GB"/>
        </w:rPr>
        <w:t>HRQoL</w:t>
      </w:r>
      <w:proofErr w:type="spellEnd"/>
      <w:r w:rsidR="0077463C">
        <w:rPr>
          <w:rFonts w:asciiTheme="minorHAnsi" w:hAnsiTheme="minorHAnsi" w:cstheme="minorHAnsi"/>
          <w:sz w:val="22"/>
          <w:szCs w:val="22"/>
          <w:lang w:val="en-GB"/>
        </w:rPr>
        <w:t xml:space="preserve"> status</w:t>
      </w:r>
      <w:r w:rsidR="00B10A87" w:rsidRPr="00C91EF0">
        <w:rPr>
          <w:rFonts w:asciiTheme="minorHAnsi" w:hAnsiTheme="minorHAnsi" w:cstheme="minorHAnsi"/>
          <w:sz w:val="22"/>
          <w:szCs w:val="22"/>
          <w:lang w:val="en-GB"/>
        </w:rPr>
        <w:t xml:space="preserve"> in</w:t>
      </w:r>
      <w:r w:rsidRPr="00C91EF0">
        <w:rPr>
          <w:rFonts w:asciiTheme="minorHAnsi" w:hAnsiTheme="minorHAnsi" w:cstheme="minorHAnsi"/>
          <w:sz w:val="22"/>
          <w:szCs w:val="22"/>
          <w:lang w:val="en-GB"/>
        </w:rPr>
        <w:t xml:space="preserve"> the </w:t>
      </w:r>
      <w:r w:rsidR="00F12F36" w:rsidRPr="00C91EF0">
        <w:rPr>
          <w:rFonts w:asciiTheme="minorHAnsi" w:hAnsiTheme="minorHAnsi" w:cstheme="minorHAnsi"/>
          <w:sz w:val="22"/>
          <w:szCs w:val="22"/>
          <w:lang w:val="en-GB"/>
        </w:rPr>
        <w:t>complete-case population</w:t>
      </w:r>
      <w:r w:rsidRPr="00C91EF0">
        <w:rPr>
          <w:rFonts w:asciiTheme="minorHAnsi" w:hAnsiTheme="minorHAnsi" w:cstheme="minorHAnsi"/>
          <w:sz w:val="22"/>
          <w:szCs w:val="22"/>
          <w:lang w:val="en-GB"/>
        </w:rPr>
        <w:t xml:space="preserve">. </w:t>
      </w:r>
      <w:r w:rsidR="00E7637F">
        <w:rPr>
          <w:rFonts w:asciiTheme="minorHAnsi" w:hAnsiTheme="minorHAnsi" w:cstheme="minorHAnsi"/>
          <w:sz w:val="22"/>
          <w:szCs w:val="22"/>
          <w:lang w:val="en-GB"/>
        </w:rPr>
        <w:t xml:space="preserve">In </w:t>
      </w:r>
      <w:r w:rsidR="009A75FE">
        <w:rPr>
          <w:rFonts w:asciiTheme="minorHAnsi" w:hAnsiTheme="minorHAnsi" w:cstheme="minorHAnsi"/>
          <w:sz w:val="22"/>
          <w:szCs w:val="22"/>
          <w:lang w:val="en-GB"/>
        </w:rPr>
        <w:t>Supplemental table 5</w:t>
      </w:r>
      <w:r w:rsidR="00E7637F">
        <w:rPr>
          <w:rFonts w:asciiTheme="minorHAnsi" w:hAnsiTheme="minorHAnsi" w:cstheme="minorHAnsi"/>
          <w:sz w:val="22"/>
          <w:szCs w:val="22"/>
          <w:lang w:val="en-GB"/>
        </w:rPr>
        <w:t>, prognostic variables are shown both overall and stratified according to the interventional status of the original trials in the complete-case population</w:t>
      </w:r>
      <w:r w:rsidR="009A75FE">
        <w:rPr>
          <w:rFonts w:asciiTheme="minorHAnsi" w:hAnsiTheme="minorHAnsi" w:cstheme="minorHAnsi"/>
          <w:sz w:val="22"/>
          <w:szCs w:val="22"/>
          <w:lang w:val="en-GB"/>
        </w:rPr>
        <w:t>.</w:t>
      </w:r>
      <w:r w:rsidR="00E7637F">
        <w:rPr>
          <w:rFonts w:asciiTheme="minorHAnsi" w:hAnsiTheme="minorHAnsi" w:cstheme="minorHAnsi"/>
          <w:sz w:val="22"/>
          <w:szCs w:val="22"/>
          <w:lang w:val="en-GB"/>
        </w:rPr>
        <w:t xml:space="preserve"> Supplemental figures 1 and 2 show the baseline </w:t>
      </w:r>
      <w:proofErr w:type="spellStart"/>
      <w:r w:rsidR="00E7637F">
        <w:rPr>
          <w:rFonts w:asciiTheme="minorHAnsi" w:hAnsiTheme="minorHAnsi" w:cstheme="minorHAnsi"/>
          <w:sz w:val="22"/>
          <w:szCs w:val="22"/>
          <w:lang w:val="en-GB"/>
        </w:rPr>
        <w:t>HRQoL</w:t>
      </w:r>
      <w:proofErr w:type="spellEnd"/>
      <w:r w:rsidR="00E7637F">
        <w:rPr>
          <w:rFonts w:asciiTheme="minorHAnsi" w:hAnsiTheme="minorHAnsi" w:cstheme="minorHAnsi"/>
          <w:sz w:val="22"/>
          <w:szCs w:val="22"/>
          <w:lang w:val="en-GB"/>
        </w:rPr>
        <w:t xml:space="preserve"> distribution across countries and study arms.</w:t>
      </w:r>
    </w:p>
    <w:p w14:paraId="52367E66" w14:textId="77777777" w:rsidR="00D6770A" w:rsidRPr="009544B8" w:rsidRDefault="00D6770A"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[About here Figure 1 on </w:t>
      </w:r>
      <w:r w:rsidRPr="00C91EF0">
        <w:rPr>
          <w:rFonts w:asciiTheme="minorHAnsi" w:hAnsiTheme="minorHAnsi" w:cstheme="minorHAnsi"/>
          <w:bCs/>
          <w:sz w:val="22"/>
          <w:szCs w:val="22"/>
          <w:lang w:val="en-GB"/>
        </w:rPr>
        <w:t xml:space="preserve">Flow chart and schematic course of </w:t>
      </w:r>
      <w:r w:rsidRPr="009544B8">
        <w:rPr>
          <w:rFonts w:asciiTheme="minorHAnsi" w:hAnsiTheme="minorHAnsi" w:cstheme="minorHAnsi"/>
          <w:bCs/>
          <w:sz w:val="22"/>
          <w:szCs w:val="22"/>
          <w:lang w:val="en-GB"/>
        </w:rPr>
        <w:t>action</w:t>
      </w:r>
      <w:r w:rsidRPr="009544B8">
        <w:rPr>
          <w:rFonts w:asciiTheme="minorHAnsi" w:hAnsiTheme="minorHAnsi" w:cstheme="minorHAnsi"/>
          <w:sz w:val="22"/>
          <w:szCs w:val="22"/>
          <w:lang w:val="en-GB"/>
        </w:rPr>
        <w:t xml:space="preserve">] </w:t>
      </w:r>
    </w:p>
    <w:p w14:paraId="0F9BE321" w14:textId="58893E0F" w:rsidR="00D6770A" w:rsidRPr="009544B8" w:rsidRDefault="00D6770A" w:rsidP="00D6770A">
      <w:pPr>
        <w:spacing w:line="480" w:lineRule="auto"/>
        <w:rPr>
          <w:rFonts w:asciiTheme="minorHAnsi" w:hAnsiTheme="minorHAnsi" w:cstheme="minorHAnsi"/>
          <w:sz w:val="22"/>
          <w:szCs w:val="22"/>
          <w:lang w:val="en-GB"/>
        </w:rPr>
      </w:pPr>
      <w:r w:rsidRPr="009544B8">
        <w:rPr>
          <w:rFonts w:asciiTheme="minorHAnsi" w:hAnsiTheme="minorHAnsi" w:cstheme="minorHAnsi"/>
          <w:sz w:val="22"/>
          <w:szCs w:val="22"/>
          <w:lang w:val="en-GB"/>
        </w:rPr>
        <w:t xml:space="preserve">[About here Table 1 on </w:t>
      </w:r>
      <w:r w:rsidR="00E40081" w:rsidRPr="009544B8">
        <w:rPr>
          <w:rFonts w:asciiTheme="minorHAnsi" w:hAnsiTheme="minorHAnsi" w:cstheme="minorHAnsi"/>
          <w:sz w:val="22"/>
          <w:szCs w:val="22"/>
          <w:lang w:val="en-GB"/>
        </w:rPr>
        <w:t xml:space="preserve">Prognostic </w:t>
      </w:r>
      <w:r w:rsidR="0062066E" w:rsidRPr="009544B8">
        <w:rPr>
          <w:rFonts w:asciiTheme="minorHAnsi" w:hAnsiTheme="minorHAnsi" w:cstheme="minorHAnsi"/>
          <w:sz w:val="22"/>
          <w:szCs w:val="22"/>
          <w:lang w:val="en-GB"/>
        </w:rPr>
        <w:t>variables</w:t>
      </w:r>
      <w:r w:rsidRPr="009544B8">
        <w:rPr>
          <w:rFonts w:asciiTheme="minorHAnsi" w:hAnsiTheme="minorHAnsi" w:cstheme="minorHAnsi"/>
          <w:sz w:val="22"/>
          <w:szCs w:val="22"/>
          <w:lang w:val="en-GB"/>
        </w:rPr>
        <w:t xml:space="preserve"> and </w:t>
      </w:r>
      <w:r w:rsidR="004C2FB0" w:rsidRPr="009544B8">
        <w:rPr>
          <w:rFonts w:asciiTheme="minorHAnsi" w:hAnsiTheme="minorHAnsi" w:cstheme="minorHAnsi"/>
          <w:sz w:val="22"/>
          <w:szCs w:val="22"/>
          <w:lang w:val="en-GB"/>
        </w:rPr>
        <w:t xml:space="preserve">statistically significant </w:t>
      </w:r>
      <w:r w:rsidRPr="009544B8">
        <w:rPr>
          <w:rFonts w:asciiTheme="minorHAnsi" w:hAnsiTheme="minorHAnsi" w:cstheme="minorHAnsi"/>
          <w:sz w:val="22"/>
          <w:szCs w:val="22"/>
          <w:lang w:val="en-GB"/>
        </w:rPr>
        <w:t>univaria</w:t>
      </w:r>
      <w:r w:rsidR="001F7B19">
        <w:rPr>
          <w:rFonts w:asciiTheme="minorHAnsi" w:hAnsiTheme="minorHAnsi" w:cstheme="minorHAnsi"/>
          <w:sz w:val="22"/>
          <w:szCs w:val="22"/>
          <w:lang w:val="en-GB"/>
        </w:rPr>
        <w:t>ble</w:t>
      </w:r>
      <w:r w:rsidRPr="009544B8">
        <w:rPr>
          <w:rFonts w:asciiTheme="minorHAnsi" w:hAnsiTheme="minorHAnsi" w:cstheme="minorHAnsi"/>
          <w:sz w:val="22"/>
          <w:szCs w:val="22"/>
          <w:lang w:val="en-GB"/>
        </w:rPr>
        <w:t xml:space="preserve"> associations </w:t>
      </w:r>
      <w:r w:rsidR="008F3C3D">
        <w:rPr>
          <w:rFonts w:asciiTheme="minorHAnsi" w:hAnsiTheme="minorHAnsi" w:cstheme="minorHAnsi"/>
          <w:sz w:val="22"/>
          <w:szCs w:val="22"/>
          <w:lang w:val="en-GB"/>
        </w:rPr>
        <w:t xml:space="preserve">with </w:t>
      </w:r>
      <w:proofErr w:type="spellStart"/>
      <w:r w:rsidR="008F3C3D">
        <w:rPr>
          <w:rFonts w:asciiTheme="minorHAnsi" w:hAnsiTheme="minorHAnsi" w:cstheme="minorHAnsi"/>
          <w:sz w:val="22"/>
          <w:szCs w:val="22"/>
          <w:lang w:val="en-GB"/>
        </w:rPr>
        <w:t>d</w:t>
      </w:r>
      <w:r w:rsidRPr="009544B8">
        <w:rPr>
          <w:rFonts w:asciiTheme="minorHAnsi" w:hAnsiTheme="minorHAnsi" w:cstheme="minorHAnsi"/>
          <w:sz w:val="22"/>
          <w:szCs w:val="22"/>
          <w:lang w:val="en-GB"/>
        </w:rPr>
        <w:t>HRQoL</w:t>
      </w:r>
      <w:proofErr w:type="spellEnd"/>
      <w:r w:rsidRPr="009544B8">
        <w:rPr>
          <w:rFonts w:asciiTheme="minorHAnsi" w:hAnsiTheme="minorHAnsi" w:cstheme="minorHAnsi"/>
          <w:sz w:val="22"/>
          <w:szCs w:val="22"/>
          <w:lang w:val="en-GB"/>
        </w:rPr>
        <w:t>]</w:t>
      </w:r>
    </w:p>
    <w:p w14:paraId="6A6514D2" w14:textId="25A88184" w:rsidR="004C2FB0" w:rsidRDefault="004C2FB0" w:rsidP="00D6770A">
      <w:pPr>
        <w:spacing w:line="480" w:lineRule="auto"/>
        <w:rPr>
          <w:rFonts w:asciiTheme="minorHAnsi" w:hAnsiTheme="minorHAnsi" w:cstheme="minorHAnsi"/>
          <w:sz w:val="22"/>
          <w:szCs w:val="22"/>
          <w:lang w:val="en-GB"/>
        </w:rPr>
      </w:pPr>
      <w:r w:rsidRPr="009544B8">
        <w:rPr>
          <w:rFonts w:asciiTheme="minorHAnsi" w:hAnsiTheme="minorHAnsi" w:cstheme="minorHAnsi"/>
          <w:sz w:val="22"/>
          <w:szCs w:val="22"/>
          <w:lang w:val="en-GB"/>
        </w:rPr>
        <w:t>[About here link to: Supplementa</w:t>
      </w:r>
      <w:r w:rsidR="00511699" w:rsidRPr="009544B8">
        <w:rPr>
          <w:rFonts w:asciiTheme="minorHAnsi" w:hAnsiTheme="minorHAnsi" w:cstheme="minorHAnsi"/>
          <w:sz w:val="22"/>
          <w:szCs w:val="22"/>
          <w:lang w:val="en-GB"/>
        </w:rPr>
        <w:t>l</w:t>
      </w:r>
      <w:r w:rsidRPr="009544B8">
        <w:rPr>
          <w:rFonts w:asciiTheme="minorHAnsi" w:hAnsiTheme="minorHAnsi" w:cstheme="minorHAnsi"/>
          <w:sz w:val="22"/>
          <w:szCs w:val="22"/>
          <w:lang w:val="en-GB"/>
        </w:rPr>
        <w:t xml:space="preserve"> table </w:t>
      </w:r>
      <w:r w:rsidR="000363B5">
        <w:rPr>
          <w:rFonts w:asciiTheme="minorHAnsi" w:hAnsiTheme="minorHAnsi" w:cstheme="minorHAnsi"/>
          <w:sz w:val="22"/>
          <w:szCs w:val="22"/>
          <w:lang w:val="en-GB"/>
        </w:rPr>
        <w:t>4</w:t>
      </w:r>
      <w:r w:rsidRPr="009544B8">
        <w:rPr>
          <w:rFonts w:asciiTheme="minorHAnsi" w:hAnsiTheme="minorHAnsi" w:cstheme="minorHAnsi"/>
          <w:sz w:val="22"/>
          <w:szCs w:val="22"/>
          <w:lang w:val="en-GB"/>
        </w:rPr>
        <w:t xml:space="preserve"> on Prognostic variables and univaria</w:t>
      </w:r>
      <w:r w:rsidR="001F7B19">
        <w:rPr>
          <w:rFonts w:asciiTheme="minorHAnsi" w:hAnsiTheme="minorHAnsi" w:cstheme="minorHAnsi"/>
          <w:sz w:val="22"/>
          <w:szCs w:val="22"/>
          <w:lang w:val="en-GB"/>
        </w:rPr>
        <w:t>ble</w:t>
      </w:r>
      <w:r w:rsidRPr="009544B8">
        <w:rPr>
          <w:rFonts w:asciiTheme="minorHAnsi" w:hAnsiTheme="minorHAnsi" w:cstheme="minorHAnsi"/>
          <w:sz w:val="22"/>
          <w:szCs w:val="22"/>
          <w:lang w:val="en-GB"/>
        </w:rPr>
        <w:t xml:space="preserve"> associations</w:t>
      </w:r>
      <w:r w:rsidRPr="00C91EF0">
        <w:rPr>
          <w:rFonts w:asciiTheme="minorHAnsi" w:hAnsiTheme="minorHAnsi" w:cstheme="minorHAnsi"/>
          <w:sz w:val="22"/>
          <w:szCs w:val="22"/>
          <w:lang w:val="en-GB"/>
        </w:rPr>
        <w:t xml:space="preserve"> </w:t>
      </w:r>
      <w:r w:rsidR="001C25CE">
        <w:rPr>
          <w:rFonts w:asciiTheme="minorHAnsi" w:hAnsiTheme="minorHAnsi" w:cstheme="minorHAnsi"/>
          <w:sz w:val="22"/>
          <w:szCs w:val="22"/>
          <w:lang w:val="en-GB"/>
        </w:rPr>
        <w:t xml:space="preserve">with </w:t>
      </w:r>
      <w:proofErr w:type="spellStart"/>
      <w:r w:rsidR="00EA6868">
        <w:rPr>
          <w:rFonts w:asciiTheme="minorHAnsi" w:hAnsiTheme="minorHAnsi" w:cstheme="minorHAnsi"/>
          <w:sz w:val="22"/>
          <w:szCs w:val="22"/>
          <w:lang w:val="en-GB"/>
        </w:rPr>
        <w:t>d</w:t>
      </w:r>
      <w:r w:rsidRPr="00C91EF0">
        <w:rPr>
          <w:rFonts w:asciiTheme="minorHAnsi" w:hAnsiTheme="minorHAnsi" w:cstheme="minorHAnsi"/>
          <w:sz w:val="22"/>
          <w:szCs w:val="22"/>
          <w:lang w:val="en-GB"/>
        </w:rPr>
        <w:t>HRQoL</w:t>
      </w:r>
      <w:proofErr w:type="spellEnd"/>
      <w:r w:rsidRPr="00C91EF0">
        <w:rPr>
          <w:rFonts w:asciiTheme="minorHAnsi" w:hAnsiTheme="minorHAnsi" w:cstheme="minorHAnsi"/>
          <w:sz w:val="22"/>
          <w:szCs w:val="22"/>
          <w:lang w:val="en-GB"/>
        </w:rPr>
        <w:t>]</w:t>
      </w:r>
    </w:p>
    <w:p w14:paraId="4C7D5A14" w14:textId="094B53DA" w:rsidR="009A75FE" w:rsidRDefault="009A75FE" w:rsidP="00D6770A">
      <w:pPr>
        <w:spacing w:line="480" w:lineRule="auto"/>
        <w:rPr>
          <w:rFonts w:asciiTheme="minorHAnsi" w:hAnsiTheme="minorHAnsi" w:cstheme="minorHAnsi"/>
          <w:sz w:val="22"/>
          <w:szCs w:val="22"/>
          <w:lang w:val="en-GB"/>
        </w:rPr>
      </w:pPr>
      <w:r w:rsidRPr="009544B8">
        <w:rPr>
          <w:rFonts w:asciiTheme="minorHAnsi" w:hAnsiTheme="minorHAnsi" w:cstheme="minorHAnsi"/>
          <w:sz w:val="22"/>
          <w:szCs w:val="22"/>
          <w:lang w:val="en-GB"/>
        </w:rPr>
        <w:t xml:space="preserve">[About here link to: Supplemental table </w:t>
      </w:r>
      <w:r>
        <w:rPr>
          <w:rFonts w:asciiTheme="minorHAnsi" w:hAnsiTheme="minorHAnsi" w:cstheme="minorHAnsi"/>
          <w:sz w:val="22"/>
          <w:szCs w:val="22"/>
          <w:lang w:val="en-GB"/>
        </w:rPr>
        <w:t>5</w:t>
      </w:r>
      <w:r w:rsidRPr="009544B8">
        <w:rPr>
          <w:rFonts w:asciiTheme="minorHAnsi" w:hAnsiTheme="minorHAnsi" w:cstheme="minorHAnsi"/>
          <w:sz w:val="22"/>
          <w:szCs w:val="22"/>
          <w:lang w:val="en-GB"/>
        </w:rPr>
        <w:t xml:space="preserve"> on</w:t>
      </w:r>
      <w:r>
        <w:rPr>
          <w:rFonts w:asciiTheme="minorHAnsi" w:hAnsiTheme="minorHAnsi" w:cstheme="minorHAnsi"/>
          <w:sz w:val="22"/>
          <w:szCs w:val="22"/>
          <w:lang w:val="en-GB"/>
        </w:rPr>
        <w:t xml:space="preserve"> </w:t>
      </w:r>
      <w:r w:rsidR="00E7637F">
        <w:rPr>
          <w:rFonts w:asciiTheme="minorHAnsi" w:hAnsiTheme="minorHAnsi" w:cstheme="minorHAnsi"/>
          <w:sz w:val="22"/>
          <w:szCs w:val="22"/>
          <w:lang w:val="en-GB"/>
        </w:rPr>
        <w:t xml:space="preserve">Candidate </w:t>
      </w:r>
      <w:r>
        <w:rPr>
          <w:rFonts w:asciiTheme="minorHAnsi" w:hAnsiTheme="minorHAnsi" w:cstheme="minorHAnsi"/>
          <w:sz w:val="22"/>
          <w:szCs w:val="22"/>
          <w:lang w:val="en-GB"/>
        </w:rPr>
        <w:t xml:space="preserve">prognostic variables </w:t>
      </w:r>
      <w:r w:rsidR="008B52E1">
        <w:rPr>
          <w:rFonts w:asciiTheme="minorHAnsi" w:hAnsiTheme="minorHAnsi" w:cstheme="minorHAnsi"/>
          <w:sz w:val="22"/>
          <w:szCs w:val="22"/>
          <w:lang w:val="en-GB"/>
        </w:rPr>
        <w:t>and outcome</w:t>
      </w:r>
      <w:r w:rsidR="00E7637F">
        <w:rPr>
          <w:rFonts w:asciiTheme="minorHAnsi" w:hAnsiTheme="minorHAnsi" w:cstheme="minorHAnsi"/>
          <w:sz w:val="22"/>
          <w:szCs w:val="22"/>
          <w:lang w:val="en-GB"/>
        </w:rPr>
        <w:t xml:space="preserve"> of the five randomized controlled trial </w:t>
      </w:r>
      <w:r w:rsidR="008B52E1">
        <w:rPr>
          <w:rFonts w:asciiTheme="minorHAnsi" w:hAnsiTheme="minorHAnsi" w:cstheme="minorHAnsi"/>
          <w:sz w:val="22"/>
          <w:szCs w:val="22"/>
          <w:lang w:val="en-GB"/>
        </w:rPr>
        <w:t>stratified by interventional status</w:t>
      </w:r>
      <w:r w:rsidRPr="00C91EF0">
        <w:rPr>
          <w:rFonts w:asciiTheme="minorHAnsi" w:hAnsiTheme="minorHAnsi" w:cstheme="minorHAnsi"/>
          <w:sz w:val="22"/>
          <w:szCs w:val="22"/>
          <w:lang w:val="en-GB"/>
        </w:rPr>
        <w:t>]</w:t>
      </w:r>
    </w:p>
    <w:p w14:paraId="29DC946F" w14:textId="52F23142" w:rsidR="00E7637F" w:rsidRDefault="00E7637F" w:rsidP="00D6770A">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[About here link to: Supplemental figure 1 on Baseline </w:t>
      </w:r>
      <w:proofErr w:type="spellStart"/>
      <w:r>
        <w:rPr>
          <w:rFonts w:asciiTheme="minorHAnsi" w:hAnsiTheme="minorHAnsi" w:cstheme="minorHAnsi"/>
          <w:sz w:val="22"/>
          <w:szCs w:val="22"/>
          <w:lang w:val="en-GB"/>
        </w:rPr>
        <w:t>HRQoL</w:t>
      </w:r>
      <w:proofErr w:type="spellEnd"/>
      <w:r>
        <w:rPr>
          <w:rFonts w:asciiTheme="minorHAnsi" w:hAnsiTheme="minorHAnsi" w:cstheme="minorHAnsi"/>
          <w:sz w:val="22"/>
          <w:szCs w:val="22"/>
          <w:lang w:val="en-GB"/>
        </w:rPr>
        <w:t xml:space="preserve"> distribution across countries]</w:t>
      </w:r>
    </w:p>
    <w:p w14:paraId="30589FA6" w14:textId="40DD7CBB" w:rsidR="00E7637F" w:rsidRPr="00C91EF0" w:rsidRDefault="00E7637F" w:rsidP="00D6770A">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t xml:space="preserve">[About here link to: Supplemental figure 2 on Baseline </w:t>
      </w:r>
      <w:proofErr w:type="spellStart"/>
      <w:r>
        <w:rPr>
          <w:rFonts w:asciiTheme="minorHAnsi" w:hAnsiTheme="minorHAnsi" w:cstheme="minorHAnsi"/>
          <w:sz w:val="22"/>
          <w:szCs w:val="22"/>
          <w:lang w:val="en-GB"/>
        </w:rPr>
        <w:t>HRQoL</w:t>
      </w:r>
      <w:proofErr w:type="spellEnd"/>
      <w:r>
        <w:rPr>
          <w:rFonts w:asciiTheme="minorHAnsi" w:hAnsiTheme="minorHAnsi" w:cstheme="minorHAnsi"/>
          <w:sz w:val="22"/>
          <w:szCs w:val="22"/>
          <w:lang w:val="en-GB"/>
        </w:rPr>
        <w:t xml:space="preserve"> distribution in study arms]</w:t>
      </w:r>
    </w:p>
    <w:p w14:paraId="42DCA018" w14:textId="6E86D0B9" w:rsidR="00D6770A" w:rsidRPr="00940416" w:rsidRDefault="00AF67CB" w:rsidP="00D6770A">
      <w:pPr>
        <w:spacing w:line="480" w:lineRule="auto"/>
        <w:rPr>
          <w:rFonts w:asciiTheme="minorHAnsi" w:hAnsiTheme="minorHAnsi" w:cstheme="minorHAnsi"/>
          <w:color w:val="000000" w:themeColor="text1"/>
          <w:sz w:val="22"/>
          <w:szCs w:val="22"/>
          <w:lang w:val="en-GB"/>
        </w:rPr>
      </w:pPr>
      <w:r w:rsidRPr="00C91EF0">
        <w:rPr>
          <w:rFonts w:asciiTheme="minorHAnsi" w:hAnsiTheme="minorHAnsi" w:cstheme="minorHAnsi"/>
          <w:sz w:val="22"/>
          <w:szCs w:val="22"/>
          <w:lang w:val="en-GB"/>
        </w:rPr>
        <w:lastRenderedPageBreak/>
        <w:t>When d</w:t>
      </w:r>
      <w:r w:rsidR="00D6770A" w:rsidRPr="00C91EF0">
        <w:rPr>
          <w:rFonts w:asciiTheme="minorHAnsi" w:hAnsiTheme="minorHAnsi" w:cstheme="minorHAnsi"/>
          <w:sz w:val="22"/>
          <w:szCs w:val="22"/>
          <w:lang w:val="en-GB"/>
        </w:rPr>
        <w:t xml:space="preserve">eveloping the prognostic model for </w:t>
      </w:r>
      <w:proofErr w:type="spellStart"/>
      <w:r w:rsidR="001C25CE">
        <w:rPr>
          <w:rFonts w:asciiTheme="minorHAnsi" w:hAnsiTheme="minorHAnsi" w:cstheme="minorHAnsi"/>
          <w:sz w:val="22"/>
          <w:szCs w:val="22"/>
          <w:lang w:val="en-GB"/>
        </w:rPr>
        <w:t>d</w:t>
      </w:r>
      <w:r w:rsidR="00D6770A" w:rsidRPr="00C91EF0">
        <w:rPr>
          <w:rFonts w:asciiTheme="minorHAnsi" w:hAnsiTheme="minorHAnsi" w:cstheme="minorHAnsi"/>
          <w:sz w:val="22"/>
          <w:szCs w:val="22"/>
          <w:lang w:val="en-GB"/>
        </w:rPr>
        <w:t>HRQoL</w:t>
      </w:r>
      <w:proofErr w:type="spellEnd"/>
      <w:r w:rsidR="00D6770A" w:rsidRPr="00C91EF0">
        <w:rPr>
          <w:rFonts w:asciiTheme="minorHAnsi" w:hAnsiTheme="minorHAnsi" w:cstheme="minorHAnsi"/>
          <w:sz w:val="22"/>
          <w:szCs w:val="22"/>
          <w:lang w:val="en-GB"/>
        </w:rPr>
        <w:t xml:space="preserve"> </w:t>
      </w:r>
      <w:r w:rsidR="001C25CE">
        <w:rPr>
          <w:rFonts w:asciiTheme="minorHAnsi" w:hAnsiTheme="minorHAnsi" w:cstheme="minorHAnsi"/>
          <w:sz w:val="22"/>
          <w:szCs w:val="22"/>
          <w:lang w:val="en-GB"/>
        </w:rPr>
        <w:t xml:space="preserve">using </w:t>
      </w:r>
      <w:r w:rsidR="00D6770A" w:rsidRPr="00C91EF0">
        <w:rPr>
          <w:rFonts w:asciiTheme="minorHAnsi" w:hAnsiTheme="minorHAnsi" w:cstheme="minorHAnsi"/>
          <w:sz w:val="22"/>
          <w:szCs w:val="22"/>
          <w:lang w:val="en-GB"/>
        </w:rPr>
        <w:t xml:space="preserve">the </w:t>
      </w:r>
      <w:r w:rsidR="00F12F36" w:rsidRPr="00C91EF0">
        <w:rPr>
          <w:rFonts w:asciiTheme="minorHAnsi" w:hAnsiTheme="minorHAnsi" w:cstheme="minorHAnsi"/>
          <w:sz w:val="22"/>
          <w:szCs w:val="22"/>
          <w:lang w:val="en-GB"/>
        </w:rPr>
        <w:t>candidate</w:t>
      </w:r>
      <w:r w:rsidR="001C25CE">
        <w:rPr>
          <w:rFonts w:asciiTheme="minorHAnsi" w:hAnsiTheme="minorHAnsi" w:cstheme="minorHAnsi"/>
          <w:sz w:val="22"/>
          <w:szCs w:val="22"/>
          <w:lang w:val="en-GB"/>
        </w:rPr>
        <w:t>s’</w:t>
      </w:r>
      <w:r w:rsidR="00F12F36" w:rsidRPr="00C91EF0">
        <w:rPr>
          <w:rFonts w:asciiTheme="minorHAnsi" w:hAnsiTheme="minorHAnsi" w:cstheme="minorHAnsi"/>
          <w:sz w:val="22"/>
          <w:szCs w:val="22"/>
          <w:lang w:val="en-GB"/>
        </w:rPr>
        <w:t xml:space="preserve"> </w:t>
      </w:r>
      <w:r w:rsidR="00E40081" w:rsidRPr="00C91EF0">
        <w:rPr>
          <w:rFonts w:asciiTheme="minorHAnsi" w:hAnsiTheme="minorHAnsi" w:cstheme="minorHAnsi"/>
          <w:sz w:val="22"/>
          <w:szCs w:val="22"/>
          <w:lang w:val="en-GB"/>
        </w:rPr>
        <w:t xml:space="preserve">prognostic </w:t>
      </w:r>
      <w:r w:rsidR="0062066E" w:rsidRPr="00C91EF0">
        <w:rPr>
          <w:rFonts w:asciiTheme="minorHAnsi" w:hAnsiTheme="minorHAnsi" w:cstheme="minorHAnsi"/>
          <w:sz w:val="22"/>
          <w:szCs w:val="22"/>
          <w:lang w:val="en-GB"/>
        </w:rPr>
        <w:t>variables</w:t>
      </w:r>
      <w:r w:rsidR="00D6770A" w:rsidRPr="00C91EF0">
        <w:rPr>
          <w:rFonts w:asciiTheme="minorHAnsi" w:hAnsiTheme="minorHAnsi" w:cstheme="minorHAnsi"/>
          <w:sz w:val="22"/>
          <w:szCs w:val="22"/>
          <w:lang w:val="en-GB"/>
        </w:rPr>
        <w:t xml:space="preserve">, variable selection using LASSO yielded a structural model with the </w:t>
      </w:r>
      <w:r w:rsidR="00C61932" w:rsidRPr="00C91EF0">
        <w:rPr>
          <w:rFonts w:asciiTheme="minorHAnsi" w:hAnsiTheme="minorHAnsi" w:cstheme="minorHAnsi"/>
          <w:sz w:val="22"/>
          <w:szCs w:val="22"/>
          <w:lang w:val="en-GB"/>
        </w:rPr>
        <w:t xml:space="preserve">items </w:t>
      </w:r>
      <w:r w:rsidR="00D6770A" w:rsidRPr="00C91EF0">
        <w:rPr>
          <w:rFonts w:asciiTheme="minorHAnsi" w:hAnsiTheme="minorHAnsi" w:cstheme="minorHAnsi"/>
          <w:sz w:val="22"/>
          <w:szCs w:val="22"/>
          <w:lang w:val="en-GB"/>
        </w:rPr>
        <w:t xml:space="preserve">listed in </w:t>
      </w:r>
      <w:r w:rsidR="00D6770A" w:rsidRPr="00C91EF0">
        <w:rPr>
          <w:rFonts w:asciiTheme="minorHAnsi" w:hAnsiTheme="minorHAnsi" w:cstheme="minorHAnsi"/>
          <w:b/>
          <w:sz w:val="22"/>
          <w:szCs w:val="22"/>
          <w:lang w:val="en-GB"/>
        </w:rPr>
        <w:t>Table 2</w:t>
      </w:r>
      <w:r w:rsidR="00D6770A" w:rsidRPr="00C91EF0">
        <w:rPr>
          <w:rFonts w:asciiTheme="minorHAnsi" w:hAnsiTheme="minorHAnsi" w:cstheme="minorHAnsi"/>
          <w:sz w:val="22"/>
          <w:szCs w:val="22"/>
          <w:lang w:val="en-GB"/>
        </w:rPr>
        <w:t xml:space="preserve">. Refitting the LASSO-derived </w:t>
      </w:r>
      <w:r w:rsidR="00D6770A" w:rsidRPr="00940416">
        <w:rPr>
          <w:rFonts w:asciiTheme="minorHAnsi" w:hAnsiTheme="minorHAnsi" w:cstheme="minorHAnsi"/>
          <w:color w:val="000000" w:themeColor="text1"/>
          <w:sz w:val="22"/>
          <w:szCs w:val="22"/>
          <w:lang w:val="en-GB"/>
        </w:rPr>
        <w:t xml:space="preserve">model </w:t>
      </w:r>
      <w:r w:rsidR="00D6770A" w:rsidRPr="000267CA">
        <w:rPr>
          <w:rFonts w:asciiTheme="minorHAnsi" w:hAnsiTheme="minorHAnsi" w:cstheme="minorHAnsi"/>
          <w:color w:val="000000" w:themeColor="text1"/>
          <w:sz w:val="22"/>
          <w:szCs w:val="22"/>
          <w:lang w:val="en-GB"/>
        </w:rPr>
        <w:t xml:space="preserve">formula </w:t>
      </w:r>
      <w:r w:rsidR="00EA6868">
        <w:rPr>
          <w:rFonts w:asciiTheme="minorHAnsi" w:hAnsiTheme="minorHAnsi" w:cstheme="minorHAnsi"/>
          <w:color w:val="000000" w:themeColor="text1"/>
          <w:sz w:val="22"/>
          <w:szCs w:val="22"/>
          <w:lang w:val="en-GB"/>
        </w:rPr>
        <w:t>to</w:t>
      </w:r>
      <w:r w:rsidR="00D6770A" w:rsidRPr="000267CA">
        <w:rPr>
          <w:rFonts w:asciiTheme="minorHAnsi" w:hAnsiTheme="minorHAnsi" w:cstheme="minorHAnsi"/>
          <w:color w:val="000000" w:themeColor="text1"/>
          <w:sz w:val="22"/>
          <w:szCs w:val="22"/>
          <w:lang w:val="en-GB"/>
        </w:rPr>
        <w:t xml:space="preserve"> CC, </w:t>
      </w:r>
      <w:r w:rsidR="00F12F36" w:rsidRPr="000267CA">
        <w:rPr>
          <w:rFonts w:asciiTheme="minorHAnsi" w:hAnsiTheme="minorHAnsi" w:cstheme="minorHAnsi"/>
          <w:color w:val="000000" w:themeColor="text1"/>
          <w:sz w:val="22"/>
          <w:szCs w:val="22"/>
          <w:lang w:val="en-GB"/>
        </w:rPr>
        <w:t>MIM</w:t>
      </w:r>
      <w:r w:rsidR="00D6770A" w:rsidRPr="000267CA">
        <w:rPr>
          <w:rFonts w:asciiTheme="minorHAnsi" w:hAnsiTheme="minorHAnsi" w:cstheme="minorHAnsi"/>
          <w:color w:val="000000" w:themeColor="text1"/>
          <w:sz w:val="22"/>
          <w:szCs w:val="22"/>
          <w:lang w:val="en-GB"/>
        </w:rPr>
        <w:t xml:space="preserve">, and MI datasets yielded nearly </w:t>
      </w:r>
      <w:r w:rsidR="000267CA" w:rsidRPr="000267CA">
        <w:rPr>
          <w:rFonts w:asciiTheme="minorHAnsi" w:hAnsiTheme="minorHAnsi" w:cstheme="minorHAnsi"/>
          <w:sz w:val="22"/>
          <w:szCs w:val="22"/>
          <w:lang w:val="en-GB"/>
        </w:rPr>
        <w:t xml:space="preserve">identical performance metrics </w:t>
      </w:r>
      <w:r w:rsidR="001C25CE">
        <w:rPr>
          <w:rFonts w:asciiTheme="minorHAnsi" w:hAnsiTheme="minorHAnsi" w:cstheme="minorHAnsi"/>
          <w:sz w:val="22"/>
          <w:szCs w:val="22"/>
          <w:lang w:val="en-GB"/>
        </w:rPr>
        <w:t xml:space="preserve">in terms of </w:t>
      </w:r>
      <w:r w:rsidR="000267CA" w:rsidRPr="000267CA">
        <w:rPr>
          <w:rFonts w:asciiTheme="minorHAnsi" w:hAnsiTheme="minorHAnsi" w:cstheme="minorHAnsi"/>
          <w:sz w:val="22"/>
          <w:szCs w:val="22"/>
          <w:lang w:val="en-GB"/>
        </w:rPr>
        <w:t>model discrimination (</w:t>
      </w:r>
      <w:r w:rsidR="000267CA" w:rsidRPr="000267CA">
        <w:rPr>
          <w:rFonts w:asciiTheme="minorHAnsi" w:hAnsiTheme="minorHAnsi" w:cstheme="minorHAnsi"/>
          <w:b/>
          <w:bCs/>
          <w:sz w:val="22"/>
          <w:szCs w:val="22"/>
          <w:lang w:val="en-GB"/>
        </w:rPr>
        <w:t>Figure 2A</w:t>
      </w:r>
      <w:r w:rsidR="000267CA" w:rsidRPr="000267CA">
        <w:rPr>
          <w:rFonts w:asciiTheme="minorHAnsi" w:hAnsiTheme="minorHAnsi" w:cstheme="minorHAnsi"/>
          <w:sz w:val="22"/>
          <w:szCs w:val="22"/>
          <w:lang w:val="en-GB"/>
        </w:rPr>
        <w:t>) and model calibration (</w:t>
      </w:r>
      <w:r w:rsidR="000267CA" w:rsidRPr="000267CA">
        <w:rPr>
          <w:rFonts w:asciiTheme="minorHAnsi" w:hAnsiTheme="minorHAnsi" w:cstheme="minorHAnsi"/>
          <w:b/>
          <w:bCs/>
          <w:sz w:val="22"/>
          <w:szCs w:val="22"/>
          <w:lang w:val="en-GB"/>
        </w:rPr>
        <w:t>Figure 2B</w:t>
      </w:r>
      <w:r w:rsidR="000267CA" w:rsidRPr="000267CA">
        <w:rPr>
          <w:rFonts w:asciiTheme="minorHAnsi" w:hAnsiTheme="minorHAnsi" w:cstheme="minorHAnsi"/>
          <w:sz w:val="22"/>
          <w:szCs w:val="22"/>
          <w:lang w:val="en-GB"/>
        </w:rPr>
        <w:t xml:space="preserve">). </w:t>
      </w:r>
      <w:r w:rsidR="000B0456" w:rsidRPr="000267CA">
        <w:rPr>
          <w:rFonts w:asciiTheme="minorHAnsi" w:hAnsiTheme="minorHAnsi" w:cstheme="minorHAnsi"/>
          <w:color w:val="000000" w:themeColor="text1"/>
          <w:sz w:val="22"/>
          <w:szCs w:val="22"/>
          <w:lang w:val="en-GB"/>
        </w:rPr>
        <w:t>V</w:t>
      </w:r>
      <w:r w:rsidR="003F542D" w:rsidRPr="000267CA">
        <w:rPr>
          <w:rFonts w:asciiTheme="minorHAnsi" w:hAnsiTheme="minorHAnsi" w:cstheme="minorHAnsi"/>
          <w:color w:val="000000" w:themeColor="text1"/>
          <w:sz w:val="22"/>
          <w:szCs w:val="22"/>
          <w:lang w:val="en-GB"/>
        </w:rPr>
        <w:t>ariable importance metrics</w:t>
      </w:r>
      <w:r w:rsidR="003F542D" w:rsidRPr="00940416">
        <w:rPr>
          <w:rFonts w:asciiTheme="minorHAnsi" w:hAnsiTheme="minorHAnsi" w:cstheme="minorHAnsi"/>
          <w:color w:val="000000" w:themeColor="text1"/>
          <w:sz w:val="22"/>
          <w:szCs w:val="22"/>
          <w:lang w:val="en-GB"/>
        </w:rPr>
        <w:t xml:space="preserve"> </w:t>
      </w:r>
      <w:r w:rsidR="000B0456" w:rsidRPr="00940416">
        <w:rPr>
          <w:rFonts w:asciiTheme="minorHAnsi" w:hAnsiTheme="minorHAnsi" w:cstheme="minorHAnsi"/>
          <w:color w:val="000000" w:themeColor="text1"/>
          <w:sz w:val="22"/>
          <w:szCs w:val="22"/>
          <w:lang w:val="en-GB"/>
        </w:rPr>
        <w:t xml:space="preserve">illustrated the predictive value of the </w:t>
      </w:r>
      <w:r w:rsidR="00DA033F">
        <w:rPr>
          <w:rFonts w:asciiTheme="minorHAnsi" w:hAnsiTheme="minorHAnsi" w:cstheme="minorHAnsi"/>
          <w:color w:val="000000" w:themeColor="text1"/>
          <w:sz w:val="22"/>
          <w:szCs w:val="22"/>
          <w:lang w:val="en-GB"/>
        </w:rPr>
        <w:t>individual</w:t>
      </w:r>
      <w:r w:rsidR="00DA033F" w:rsidRPr="00940416">
        <w:rPr>
          <w:rFonts w:asciiTheme="minorHAnsi" w:hAnsiTheme="minorHAnsi" w:cstheme="minorHAnsi"/>
          <w:color w:val="000000" w:themeColor="text1"/>
          <w:sz w:val="22"/>
          <w:szCs w:val="22"/>
          <w:lang w:val="en-GB"/>
        </w:rPr>
        <w:t xml:space="preserve"> </w:t>
      </w:r>
      <w:r w:rsidR="000B0456" w:rsidRPr="00940416">
        <w:rPr>
          <w:rFonts w:asciiTheme="minorHAnsi" w:hAnsiTheme="minorHAnsi" w:cstheme="minorHAnsi"/>
          <w:color w:val="000000" w:themeColor="text1"/>
          <w:sz w:val="22"/>
          <w:szCs w:val="22"/>
          <w:lang w:val="en-GB"/>
        </w:rPr>
        <w:t xml:space="preserve">prognostic variables </w:t>
      </w:r>
      <w:r w:rsidR="00D6770A" w:rsidRPr="00940416">
        <w:rPr>
          <w:rFonts w:asciiTheme="minorHAnsi" w:hAnsiTheme="minorHAnsi" w:cstheme="minorHAnsi"/>
          <w:color w:val="000000" w:themeColor="text1"/>
          <w:sz w:val="22"/>
          <w:szCs w:val="22"/>
          <w:lang w:val="en-GB"/>
        </w:rPr>
        <w:t>(</w:t>
      </w:r>
      <w:r w:rsidR="00D6770A" w:rsidRPr="00940416">
        <w:rPr>
          <w:rFonts w:asciiTheme="minorHAnsi" w:hAnsiTheme="minorHAnsi" w:cstheme="minorHAnsi"/>
          <w:b/>
          <w:color w:val="000000" w:themeColor="text1"/>
          <w:sz w:val="22"/>
          <w:szCs w:val="22"/>
          <w:lang w:val="en-GB"/>
        </w:rPr>
        <w:t>Table 2</w:t>
      </w:r>
      <w:r w:rsidR="00D6770A" w:rsidRPr="00940416">
        <w:rPr>
          <w:rFonts w:asciiTheme="minorHAnsi" w:hAnsiTheme="minorHAnsi" w:cstheme="minorHAnsi"/>
          <w:color w:val="000000" w:themeColor="text1"/>
          <w:sz w:val="22"/>
          <w:szCs w:val="22"/>
          <w:lang w:val="en-GB"/>
        </w:rPr>
        <w:t>)</w:t>
      </w:r>
      <w:r w:rsidR="00EA6868">
        <w:rPr>
          <w:rFonts w:asciiTheme="minorHAnsi" w:hAnsiTheme="minorHAnsi" w:cstheme="minorHAnsi"/>
          <w:color w:val="000000" w:themeColor="text1"/>
          <w:sz w:val="22"/>
          <w:szCs w:val="22"/>
          <w:lang w:val="en-GB"/>
        </w:rPr>
        <w:t>. B</w:t>
      </w:r>
      <w:r w:rsidR="001C25CE" w:rsidRPr="00940416">
        <w:rPr>
          <w:rFonts w:asciiTheme="minorHAnsi" w:hAnsiTheme="minorHAnsi" w:cstheme="minorHAnsi"/>
          <w:color w:val="000000" w:themeColor="text1"/>
          <w:sz w:val="22"/>
          <w:szCs w:val="22"/>
          <w:lang w:val="en-GB"/>
        </w:rPr>
        <w:t>aseline quality of life and functional status</w:t>
      </w:r>
      <w:r w:rsidR="001C25CE">
        <w:rPr>
          <w:rFonts w:asciiTheme="minorHAnsi" w:hAnsiTheme="minorHAnsi" w:cstheme="minorHAnsi"/>
          <w:color w:val="000000" w:themeColor="text1"/>
          <w:sz w:val="22"/>
          <w:szCs w:val="22"/>
          <w:lang w:val="en-GB"/>
        </w:rPr>
        <w:t xml:space="preserve"> show</w:t>
      </w:r>
      <w:r w:rsidR="00EA6868">
        <w:rPr>
          <w:rFonts w:asciiTheme="minorHAnsi" w:hAnsiTheme="minorHAnsi" w:cstheme="minorHAnsi"/>
          <w:color w:val="000000" w:themeColor="text1"/>
          <w:sz w:val="22"/>
          <w:szCs w:val="22"/>
          <w:lang w:val="en-GB"/>
        </w:rPr>
        <w:t>ed</w:t>
      </w:r>
      <w:r w:rsidR="001C25CE">
        <w:rPr>
          <w:rFonts w:asciiTheme="minorHAnsi" w:hAnsiTheme="minorHAnsi" w:cstheme="minorHAnsi"/>
          <w:color w:val="000000" w:themeColor="text1"/>
          <w:sz w:val="22"/>
          <w:szCs w:val="22"/>
          <w:lang w:val="en-GB"/>
        </w:rPr>
        <w:t xml:space="preserve"> the greatest </w:t>
      </w:r>
      <w:r w:rsidR="00D6770A" w:rsidRPr="00940416">
        <w:rPr>
          <w:rFonts w:asciiTheme="minorHAnsi" w:hAnsiTheme="minorHAnsi" w:cstheme="minorHAnsi"/>
          <w:color w:val="000000" w:themeColor="text1"/>
          <w:sz w:val="22"/>
          <w:szCs w:val="22"/>
          <w:lang w:val="en-GB"/>
        </w:rPr>
        <w:t>pr</w:t>
      </w:r>
      <w:r w:rsidR="00C445BB" w:rsidRPr="00940416">
        <w:rPr>
          <w:rFonts w:asciiTheme="minorHAnsi" w:hAnsiTheme="minorHAnsi" w:cstheme="minorHAnsi"/>
          <w:color w:val="000000" w:themeColor="text1"/>
          <w:sz w:val="22"/>
          <w:szCs w:val="22"/>
          <w:lang w:val="en-GB"/>
        </w:rPr>
        <w:t>ognostic</w:t>
      </w:r>
      <w:r w:rsidR="00D6770A" w:rsidRPr="00940416">
        <w:rPr>
          <w:rFonts w:asciiTheme="minorHAnsi" w:hAnsiTheme="minorHAnsi" w:cstheme="minorHAnsi"/>
          <w:color w:val="000000" w:themeColor="text1"/>
          <w:sz w:val="22"/>
          <w:szCs w:val="22"/>
          <w:lang w:val="en-GB"/>
        </w:rPr>
        <w:t xml:space="preserve"> relevance</w:t>
      </w:r>
      <w:r w:rsidR="001C25CE">
        <w:rPr>
          <w:rFonts w:asciiTheme="minorHAnsi" w:hAnsiTheme="minorHAnsi" w:cstheme="minorHAnsi"/>
          <w:color w:val="000000" w:themeColor="text1"/>
          <w:sz w:val="22"/>
          <w:szCs w:val="22"/>
          <w:lang w:val="en-GB"/>
        </w:rPr>
        <w:t xml:space="preserve">, </w:t>
      </w:r>
      <w:r w:rsidR="00CB789D">
        <w:rPr>
          <w:rFonts w:asciiTheme="minorHAnsi" w:hAnsiTheme="minorHAnsi" w:cstheme="minorHAnsi"/>
          <w:color w:val="000000" w:themeColor="text1"/>
          <w:sz w:val="22"/>
          <w:szCs w:val="22"/>
          <w:lang w:val="en-GB"/>
        </w:rPr>
        <w:t>with a relative contribution to the model</w:t>
      </w:r>
      <w:r w:rsidR="001C25CE">
        <w:rPr>
          <w:rFonts w:asciiTheme="minorHAnsi" w:hAnsiTheme="minorHAnsi" w:cstheme="minorHAnsi"/>
          <w:color w:val="000000" w:themeColor="text1"/>
          <w:sz w:val="22"/>
          <w:szCs w:val="22"/>
          <w:lang w:val="en-GB"/>
        </w:rPr>
        <w:t>’s</w:t>
      </w:r>
      <w:r w:rsidR="00CB789D">
        <w:rPr>
          <w:rFonts w:asciiTheme="minorHAnsi" w:hAnsiTheme="minorHAnsi" w:cstheme="minorHAnsi"/>
          <w:color w:val="000000" w:themeColor="text1"/>
          <w:sz w:val="22"/>
          <w:szCs w:val="22"/>
          <w:lang w:val="en-GB"/>
        </w:rPr>
        <w:t xml:space="preserve"> performance of 62% and 31% respectively</w:t>
      </w:r>
      <w:r w:rsidR="00D6770A" w:rsidRPr="00940416">
        <w:rPr>
          <w:rFonts w:asciiTheme="minorHAnsi" w:hAnsiTheme="minorHAnsi" w:cstheme="minorHAnsi"/>
          <w:color w:val="000000" w:themeColor="text1"/>
          <w:sz w:val="22"/>
          <w:szCs w:val="22"/>
          <w:lang w:val="en-GB"/>
        </w:rPr>
        <w:t xml:space="preserve"> (</w:t>
      </w:r>
      <w:r w:rsidR="00D6770A" w:rsidRPr="00940416">
        <w:rPr>
          <w:rFonts w:asciiTheme="minorHAnsi" w:hAnsiTheme="minorHAnsi" w:cstheme="minorHAnsi"/>
          <w:b/>
          <w:color w:val="000000" w:themeColor="text1"/>
          <w:sz w:val="22"/>
          <w:szCs w:val="22"/>
          <w:lang w:val="en-GB"/>
        </w:rPr>
        <w:t>Figure 2C</w:t>
      </w:r>
      <w:r w:rsidR="00D6770A" w:rsidRPr="00940416">
        <w:rPr>
          <w:rFonts w:asciiTheme="minorHAnsi" w:hAnsiTheme="minorHAnsi" w:cstheme="minorHAnsi"/>
          <w:color w:val="000000" w:themeColor="text1"/>
          <w:sz w:val="22"/>
          <w:szCs w:val="22"/>
          <w:lang w:val="en-GB"/>
        </w:rPr>
        <w:t xml:space="preserve">). </w:t>
      </w:r>
      <w:r w:rsidR="00D6770A" w:rsidRPr="000267CA">
        <w:rPr>
          <w:rFonts w:asciiTheme="minorHAnsi" w:hAnsiTheme="minorHAnsi" w:cstheme="minorHAnsi"/>
          <w:color w:val="000000" w:themeColor="text1"/>
          <w:sz w:val="22"/>
          <w:szCs w:val="22"/>
          <w:lang w:val="en-GB"/>
        </w:rPr>
        <w:t xml:space="preserve">Bootstrap internal validation from </w:t>
      </w:r>
      <w:r w:rsidR="00D6770A" w:rsidRPr="000267CA">
        <w:rPr>
          <w:rFonts w:asciiTheme="minorHAnsi" w:hAnsiTheme="minorHAnsi" w:cstheme="minorHAnsi"/>
          <w:b/>
          <w:color w:val="000000" w:themeColor="text1"/>
          <w:sz w:val="22"/>
          <w:szCs w:val="22"/>
          <w:lang w:val="en-GB"/>
        </w:rPr>
        <w:t>Table 2</w:t>
      </w:r>
      <w:r w:rsidR="00D6770A" w:rsidRPr="000267CA">
        <w:rPr>
          <w:rFonts w:asciiTheme="minorHAnsi" w:hAnsiTheme="minorHAnsi" w:cstheme="minorHAnsi"/>
          <w:color w:val="000000" w:themeColor="text1"/>
          <w:sz w:val="22"/>
          <w:szCs w:val="22"/>
          <w:lang w:val="en-GB"/>
        </w:rPr>
        <w:t xml:space="preserve"> </w:t>
      </w:r>
      <w:r w:rsidRPr="000267CA">
        <w:rPr>
          <w:rFonts w:asciiTheme="minorHAnsi" w:hAnsiTheme="minorHAnsi" w:cstheme="minorHAnsi"/>
          <w:color w:val="000000" w:themeColor="text1"/>
          <w:sz w:val="22"/>
          <w:szCs w:val="22"/>
          <w:lang w:val="en-GB"/>
        </w:rPr>
        <w:t>yield</w:t>
      </w:r>
      <w:r w:rsidR="00D6770A" w:rsidRPr="000267CA">
        <w:rPr>
          <w:rFonts w:asciiTheme="minorHAnsi" w:hAnsiTheme="minorHAnsi" w:cstheme="minorHAnsi"/>
          <w:color w:val="000000" w:themeColor="text1"/>
          <w:sz w:val="22"/>
          <w:szCs w:val="22"/>
          <w:lang w:val="en-GB"/>
        </w:rPr>
        <w:t>ed a</w:t>
      </w:r>
      <w:r w:rsidR="00581D22">
        <w:rPr>
          <w:rFonts w:asciiTheme="minorHAnsi" w:hAnsiTheme="minorHAnsi" w:cstheme="minorHAnsi"/>
          <w:color w:val="000000" w:themeColor="text1"/>
          <w:sz w:val="22"/>
          <w:szCs w:val="22"/>
          <w:lang w:val="en-GB"/>
        </w:rPr>
        <w:t>n optimism-corrected</w:t>
      </w:r>
      <w:r w:rsidR="00D6770A" w:rsidRPr="000267CA">
        <w:rPr>
          <w:rFonts w:asciiTheme="minorHAnsi" w:hAnsiTheme="minorHAnsi" w:cstheme="minorHAnsi"/>
          <w:color w:val="000000" w:themeColor="text1"/>
          <w:sz w:val="22"/>
          <w:szCs w:val="22"/>
          <w:lang w:val="en-GB"/>
        </w:rPr>
        <w:t xml:space="preserve"> </w:t>
      </w:r>
      <w:r w:rsidR="00CA5F47" w:rsidRPr="000267CA">
        <w:rPr>
          <w:rFonts w:asciiTheme="minorHAnsi" w:hAnsiTheme="minorHAnsi" w:cstheme="minorHAnsi"/>
          <w:color w:val="000000" w:themeColor="text1"/>
          <w:sz w:val="22"/>
          <w:szCs w:val="22"/>
          <w:lang w:val="en-GB"/>
        </w:rPr>
        <w:t>C</w:t>
      </w:r>
      <w:r w:rsidR="00D6770A" w:rsidRPr="000267CA">
        <w:rPr>
          <w:rFonts w:asciiTheme="minorHAnsi" w:hAnsiTheme="minorHAnsi" w:cstheme="minorHAnsi"/>
          <w:color w:val="000000" w:themeColor="text1"/>
          <w:sz w:val="22"/>
          <w:szCs w:val="22"/>
          <w:lang w:val="en-GB"/>
        </w:rPr>
        <w:t xml:space="preserve">-statistic of 0.71 </w:t>
      </w:r>
      <w:r w:rsidR="007F16D2" w:rsidRPr="000267CA">
        <w:rPr>
          <w:rFonts w:asciiTheme="minorHAnsi" w:hAnsiTheme="minorHAnsi" w:cstheme="minorHAnsi"/>
          <w:color w:val="000000" w:themeColor="text1"/>
          <w:sz w:val="22"/>
          <w:szCs w:val="22"/>
          <w:lang w:val="en-GB"/>
        </w:rPr>
        <w:t>(</w:t>
      </w:r>
      <w:r w:rsidR="00D6770A" w:rsidRPr="000267CA">
        <w:rPr>
          <w:rFonts w:asciiTheme="minorHAnsi" w:hAnsiTheme="minorHAnsi" w:cstheme="minorHAnsi"/>
          <w:color w:val="000000" w:themeColor="text1"/>
          <w:sz w:val="22"/>
          <w:szCs w:val="22"/>
          <w:lang w:val="en-GB"/>
        </w:rPr>
        <w:t>95 % confidence interval: 0.69</w:t>
      </w:r>
      <w:r w:rsidR="007F16D2" w:rsidRPr="000267CA">
        <w:rPr>
          <w:rFonts w:asciiTheme="minorHAnsi" w:hAnsiTheme="minorHAnsi" w:cstheme="minorHAnsi"/>
          <w:color w:val="000000" w:themeColor="text1"/>
          <w:sz w:val="22"/>
          <w:szCs w:val="22"/>
          <w:lang w:val="en-GB"/>
        </w:rPr>
        <w:t xml:space="preserve"> to </w:t>
      </w:r>
      <w:r w:rsidR="00D6770A" w:rsidRPr="000267CA">
        <w:rPr>
          <w:rFonts w:asciiTheme="minorHAnsi" w:hAnsiTheme="minorHAnsi" w:cstheme="minorHAnsi"/>
          <w:color w:val="000000" w:themeColor="text1"/>
          <w:sz w:val="22"/>
          <w:szCs w:val="22"/>
          <w:lang w:val="en-GB"/>
        </w:rPr>
        <w:t>0.7</w:t>
      </w:r>
      <w:r w:rsidR="00C445BB" w:rsidRPr="000267CA">
        <w:rPr>
          <w:rFonts w:asciiTheme="minorHAnsi" w:hAnsiTheme="minorHAnsi" w:cstheme="minorHAnsi"/>
          <w:color w:val="000000" w:themeColor="text1"/>
          <w:sz w:val="22"/>
          <w:szCs w:val="22"/>
          <w:lang w:val="en-GB"/>
        </w:rPr>
        <w:t>2</w:t>
      </w:r>
      <w:r w:rsidR="007F16D2" w:rsidRPr="000267CA">
        <w:rPr>
          <w:rFonts w:asciiTheme="minorHAnsi" w:hAnsiTheme="minorHAnsi" w:cstheme="minorHAnsi"/>
          <w:color w:val="000000" w:themeColor="text1"/>
          <w:sz w:val="22"/>
          <w:szCs w:val="22"/>
          <w:lang w:val="en-GB"/>
        </w:rPr>
        <w:t>)</w:t>
      </w:r>
      <w:r w:rsidR="00D6770A" w:rsidRPr="000267CA">
        <w:rPr>
          <w:rFonts w:asciiTheme="minorHAnsi" w:hAnsiTheme="minorHAnsi" w:cstheme="minorHAnsi"/>
          <w:color w:val="000000" w:themeColor="text1"/>
          <w:sz w:val="22"/>
          <w:szCs w:val="22"/>
          <w:lang w:val="en-GB"/>
        </w:rPr>
        <w:t xml:space="preserve"> </w:t>
      </w:r>
      <w:r w:rsidR="00581D22">
        <w:rPr>
          <w:rFonts w:asciiTheme="minorHAnsi" w:hAnsiTheme="minorHAnsi" w:cstheme="minorHAnsi"/>
          <w:color w:val="000000" w:themeColor="text1"/>
          <w:sz w:val="22"/>
          <w:szCs w:val="22"/>
          <w:lang w:val="en-GB"/>
        </w:rPr>
        <w:t xml:space="preserve">which was close to </w:t>
      </w:r>
      <w:r w:rsidR="001C25CE">
        <w:rPr>
          <w:rFonts w:asciiTheme="minorHAnsi" w:hAnsiTheme="minorHAnsi" w:cstheme="minorHAnsi"/>
          <w:color w:val="000000" w:themeColor="text1"/>
          <w:sz w:val="22"/>
          <w:szCs w:val="22"/>
          <w:lang w:val="en-GB"/>
        </w:rPr>
        <w:t xml:space="preserve">the </w:t>
      </w:r>
      <w:r w:rsidR="00581D22">
        <w:rPr>
          <w:rFonts w:asciiTheme="minorHAnsi" w:hAnsiTheme="minorHAnsi" w:cstheme="minorHAnsi"/>
          <w:color w:val="000000" w:themeColor="text1"/>
          <w:sz w:val="22"/>
          <w:szCs w:val="22"/>
          <w:lang w:val="en-GB"/>
        </w:rPr>
        <w:t xml:space="preserve">C-statistic of 0.72 and </w:t>
      </w:r>
      <w:r w:rsidR="00D6770A" w:rsidRPr="000267CA">
        <w:rPr>
          <w:rFonts w:asciiTheme="minorHAnsi" w:hAnsiTheme="minorHAnsi" w:cstheme="minorHAnsi"/>
          <w:color w:val="000000" w:themeColor="text1"/>
          <w:sz w:val="22"/>
          <w:szCs w:val="22"/>
          <w:lang w:val="en-GB"/>
        </w:rPr>
        <w:t>indicat</w:t>
      </w:r>
      <w:r w:rsidR="00581D22">
        <w:rPr>
          <w:rFonts w:asciiTheme="minorHAnsi" w:hAnsiTheme="minorHAnsi" w:cstheme="minorHAnsi"/>
          <w:color w:val="000000" w:themeColor="text1"/>
          <w:sz w:val="22"/>
          <w:szCs w:val="22"/>
          <w:lang w:val="en-GB"/>
        </w:rPr>
        <w:t>ed</w:t>
      </w:r>
      <w:r w:rsidR="00D6770A" w:rsidRPr="000267CA">
        <w:rPr>
          <w:rFonts w:asciiTheme="minorHAnsi" w:hAnsiTheme="minorHAnsi" w:cstheme="minorHAnsi"/>
          <w:color w:val="000000" w:themeColor="text1"/>
          <w:sz w:val="22"/>
          <w:szCs w:val="22"/>
          <w:lang w:val="en-GB"/>
        </w:rPr>
        <w:t xml:space="preserve"> good discrimination</w:t>
      </w:r>
      <w:r w:rsidR="00581D22">
        <w:rPr>
          <w:rFonts w:asciiTheme="minorHAnsi" w:hAnsiTheme="minorHAnsi" w:cstheme="minorHAnsi"/>
          <w:color w:val="000000" w:themeColor="text1"/>
          <w:sz w:val="22"/>
          <w:szCs w:val="22"/>
          <w:lang w:val="en-GB"/>
        </w:rPr>
        <w:t xml:space="preserve">. </w:t>
      </w:r>
      <w:r w:rsidR="001C25CE">
        <w:rPr>
          <w:rFonts w:asciiTheme="minorHAnsi" w:hAnsiTheme="minorHAnsi" w:cstheme="minorHAnsi"/>
          <w:color w:val="000000" w:themeColor="text1"/>
          <w:sz w:val="22"/>
          <w:szCs w:val="22"/>
          <w:lang w:val="en-GB"/>
        </w:rPr>
        <w:t>An</w:t>
      </w:r>
      <w:r w:rsidR="00581D22">
        <w:rPr>
          <w:rFonts w:asciiTheme="minorHAnsi" w:hAnsiTheme="minorHAnsi" w:cstheme="minorHAnsi"/>
          <w:color w:val="000000" w:themeColor="text1"/>
          <w:sz w:val="22"/>
          <w:szCs w:val="22"/>
          <w:lang w:val="en-GB"/>
        </w:rPr>
        <w:t xml:space="preserve"> optimism-corrected</w:t>
      </w:r>
      <w:r w:rsidR="00D6770A" w:rsidRPr="000267CA">
        <w:rPr>
          <w:rFonts w:asciiTheme="minorHAnsi" w:hAnsiTheme="minorHAnsi" w:cstheme="minorHAnsi"/>
          <w:color w:val="000000" w:themeColor="text1"/>
          <w:sz w:val="22"/>
          <w:szCs w:val="22"/>
          <w:lang w:val="en-GB"/>
        </w:rPr>
        <w:t xml:space="preserve"> </w:t>
      </w:r>
      <w:r w:rsidR="003F542D" w:rsidRPr="000267CA">
        <w:rPr>
          <w:rFonts w:asciiTheme="minorHAnsi" w:hAnsiTheme="minorHAnsi" w:cstheme="minorHAnsi"/>
          <w:color w:val="000000" w:themeColor="text1"/>
          <w:sz w:val="22"/>
          <w:szCs w:val="22"/>
          <w:lang w:val="en-GB"/>
        </w:rPr>
        <w:t xml:space="preserve">calibration </w:t>
      </w:r>
      <w:r w:rsidR="00D6770A" w:rsidRPr="000267CA">
        <w:rPr>
          <w:rFonts w:asciiTheme="minorHAnsi" w:hAnsiTheme="minorHAnsi" w:cstheme="minorHAnsi"/>
          <w:color w:val="000000" w:themeColor="text1"/>
          <w:sz w:val="22"/>
          <w:szCs w:val="22"/>
          <w:lang w:val="en-GB"/>
        </w:rPr>
        <w:t>slope of 0.</w:t>
      </w:r>
      <w:r w:rsidR="000267CA" w:rsidRPr="000267CA">
        <w:rPr>
          <w:rFonts w:asciiTheme="minorHAnsi" w:hAnsiTheme="minorHAnsi" w:cstheme="minorHAnsi"/>
          <w:color w:val="000000" w:themeColor="text1"/>
          <w:sz w:val="22"/>
          <w:szCs w:val="22"/>
          <w:lang w:val="en-GB"/>
        </w:rPr>
        <w:t>88</w:t>
      </w:r>
      <w:r w:rsidR="00D6770A" w:rsidRPr="000267CA">
        <w:rPr>
          <w:rFonts w:asciiTheme="minorHAnsi" w:hAnsiTheme="minorHAnsi" w:cstheme="minorHAnsi"/>
          <w:color w:val="000000" w:themeColor="text1"/>
          <w:sz w:val="22"/>
          <w:szCs w:val="22"/>
          <w:lang w:val="en-GB"/>
        </w:rPr>
        <w:t xml:space="preserve"> </w:t>
      </w:r>
      <w:r w:rsidR="007F16D2" w:rsidRPr="000267CA">
        <w:rPr>
          <w:rFonts w:asciiTheme="minorHAnsi" w:hAnsiTheme="minorHAnsi" w:cstheme="minorHAnsi"/>
          <w:color w:val="000000" w:themeColor="text1"/>
          <w:sz w:val="22"/>
          <w:szCs w:val="22"/>
          <w:lang w:val="en-GB"/>
        </w:rPr>
        <w:t>(</w:t>
      </w:r>
      <w:r w:rsidR="00D6770A" w:rsidRPr="000267CA">
        <w:rPr>
          <w:rFonts w:asciiTheme="minorHAnsi" w:hAnsiTheme="minorHAnsi" w:cstheme="minorHAnsi"/>
          <w:color w:val="000000" w:themeColor="text1"/>
          <w:sz w:val="22"/>
          <w:szCs w:val="22"/>
          <w:lang w:val="en-GB"/>
        </w:rPr>
        <w:t>0.</w:t>
      </w:r>
      <w:r w:rsidR="000267CA" w:rsidRPr="000267CA">
        <w:rPr>
          <w:rFonts w:asciiTheme="minorHAnsi" w:hAnsiTheme="minorHAnsi" w:cstheme="minorHAnsi"/>
          <w:color w:val="000000" w:themeColor="text1"/>
          <w:sz w:val="22"/>
          <w:szCs w:val="22"/>
          <w:lang w:val="en-GB"/>
        </w:rPr>
        <w:t>78</w:t>
      </w:r>
      <w:r w:rsidR="007F16D2" w:rsidRPr="000267CA">
        <w:rPr>
          <w:rFonts w:asciiTheme="minorHAnsi" w:hAnsiTheme="minorHAnsi" w:cstheme="minorHAnsi"/>
          <w:color w:val="000000" w:themeColor="text1"/>
          <w:sz w:val="22"/>
          <w:szCs w:val="22"/>
          <w:lang w:val="en-GB"/>
        </w:rPr>
        <w:t xml:space="preserve"> to </w:t>
      </w:r>
      <w:r w:rsidR="000267CA">
        <w:rPr>
          <w:rFonts w:asciiTheme="minorHAnsi" w:hAnsiTheme="minorHAnsi" w:cstheme="minorHAnsi"/>
          <w:color w:val="000000" w:themeColor="text1"/>
          <w:sz w:val="22"/>
          <w:szCs w:val="22"/>
          <w:lang w:val="en-GB"/>
        </w:rPr>
        <w:t>0.98</w:t>
      </w:r>
      <w:r w:rsidR="007F16D2" w:rsidRPr="00940416">
        <w:rPr>
          <w:rFonts w:asciiTheme="minorHAnsi" w:hAnsiTheme="minorHAnsi" w:cstheme="minorHAnsi"/>
          <w:color w:val="000000" w:themeColor="text1"/>
          <w:sz w:val="22"/>
          <w:szCs w:val="22"/>
          <w:lang w:val="en-GB"/>
        </w:rPr>
        <w:t>)</w:t>
      </w:r>
      <w:r w:rsidR="001C25CE">
        <w:rPr>
          <w:rFonts w:asciiTheme="minorHAnsi" w:hAnsiTheme="minorHAnsi" w:cstheme="minorHAnsi"/>
          <w:color w:val="000000" w:themeColor="text1"/>
          <w:sz w:val="22"/>
          <w:szCs w:val="22"/>
          <w:lang w:val="en-GB"/>
        </w:rPr>
        <w:t xml:space="preserve"> indicated moderate calibration</w:t>
      </w:r>
      <w:r w:rsidR="00D6770A" w:rsidRPr="00940416">
        <w:rPr>
          <w:rFonts w:asciiTheme="minorHAnsi" w:hAnsiTheme="minorHAnsi" w:cstheme="minorHAnsi"/>
          <w:color w:val="000000" w:themeColor="text1"/>
          <w:sz w:val="22"/>
          <w:szCs w:val="22"/>
          <w:lang w:val="en-GB"/>
        </w:rPr>
        <w:t xml:space="preserve">. </w:t>
      </w:r>
      <w:r w:rsidR="008076B0">
        <w:rPr>
          <w:rFonts w:asciiTheme="minorHAnsi" w:hAnsiTheme="minorHAnsi" w:cstheme="minorHAnsi"/>
          <w:color w:val="000000" w:themeColor="text1"/>
          <w:sz w:val="22"/>
          <w:szCs w:val="22"/>
          <w:lang w:val="en-GB"/>
        </w:rPr>
        <w:t xml:space="preserve">In </w:t>
      </w:r>
      <w:r w:rsidR="00581D22">
        <w:rPr>
          <w:rFonts w:asciiTheme="minorHAnsi" w:hAnsiTheme="minorHAnsi" w:cstheme="minorHAnsi"/>
          <w:color w:val="000000" w:themeColor="text1"/>
          <w:sz w:val="22"/>
          <w:szCs w:val="22"/>
          <w:lang w:val="en-GB"/>
        </w:rPr>
        <w:t>an e</w:t>
      </w:r>
      <w:r w:rsidR="00D6770A" w:rsidRPr="00940416">
        <w:rPr>
          <w:rFonts w:asciiTheme="minorHAnsi" w:hAnsiTheme="minorHAnsi" w:cstheme="minorHAnsi"/>
          <w:color w:val="000000" w:themeColor="text1"/>
          <w:sz w:val="22"/>
          <w:szCs w:val="22"/>
          <w:lang w:val="en-GB"/>
        </w:rPr>
        <w:t>xplorative</w:t>
      </w:r>
      <w:r w:rsidR="00581D22">
        <w:rPr>
          <w:rFonts w:asciiTheme="minorHAnsi" w:hAnsiTheme="minorHAnsi" w:cstheme="minorHAnsi"/>
          <w:color w:val="000000" w:themeColor="text1"/>
          <w:sz w:val="22"/>
          <w:szCs w:val="22"/>
          <w:lang w:val="en-GB"/>
        </w:rPr>
        <w:t xml:space="preserve"> analysis, we grouped </w:t>
      </w:r>
      <w:r w:rsidR="00D6770A" w:rsidRPr="00940416">
        <w:rPr>
          <w:rFonts w:asciiTheme="minorHAnsi" w:hAnsiTheme="minorHAnsi" w:cstheme="minorHAnsi"/>
          <w:color w:val="000000" w:themeColor="text1"/>
          <w:sz w:val="22"/>
          <w:szCs w:val="22"/>
          <w:lang w:val="en-GB"/>
        </w:rPr>
        <w:t xml:space="preserve">the </w:t>
      </w:r>
      <w:r w:rsidR="008A3259" w:rsidRPr="00940416">
        <w:rPr>
          <w:rFonts w:asciiTheme="minorHAnsi" w:hAnsiTheme="minorHAnsi" w:cstheme="minorHAnsi"/>
          <w:color w:val="000000" w:themeColor="text1"/>
          <w:sz w:val="22"/>
          <w:szCs w:val="22"/>
          <w:lang w:val="en-GB"/>
        </w:rPr>
        <w:t xml:space="preserve">prognostic </w:t>
      </w:r>
      <w:r w:rsidR="0062066E" w:rsidRPr="00940416">
        <w:rPr>
          <w:rFonts w:asciiTheme="minorHAnsi" w:hAnsiTheme="minorHAnsi" w:cstheme="minorHAnsi"/>
          <w:color w:val="000000" w:themeColor="text1"/>
          <w:sz w:val="22"/>
          <w:szCs w:val="22"/>
          <w:lang w:val="en-GB"/>
        </w:rPr>
        <w:t>variables</w:t>
      </w:r>
      <w:r w:rsidR="008A3259" w:rsidRPr="00940416">
        <w:rPr>
          <w:rFonts w:asciiTheme="minorHAnsi" w:hAnsiTheme="minorHAnsi" w:cstheme="minorHAnsi"/>
          <w:color w:val="000000" w:themeColor="text1"/>
          <w:sz w:val="22"/>
          <w:szCs w:val="22"/>
          <w:lang w:val="en-GB"/>
        </w:rPr>
        <w:t xml:space="preserve"> </w:t>
      </w:r>
      <w:r w:rsidR="00D6770A" w:rsidRPr="00940416">
        <w:rPr>
          <w:rFonts w:asciiTheme="minorHAnsi" w:hAnsiTheme="minorHAnsi" w:cstheme="minorHAnsi"/>
          <w:color w:val="000000" w:themeColor="text1"/>
          <w:sz w:val="22"/>
          <w:szCs w:val="22"/>
          <w:lang w:val="en-GB"/>
        </w:rPr>
        <w:t>according</w:t>
      </w:r>
      <w:r w:rsidRPr="00940416">
        <w:rPr>
          <w:rFonts w:asciiTheme="minorHAnsi" w:hAnsiTheme="minorHAnsi" w:cstheme="minorHAnsi"/>
          <w:color w:val="000000" w:themeColor="text1"/>
          <w:sz w:val="22"/>
          <w:szCs w:val="22"/>
          <w:lang w:val="en-GB"/>
        </w:rPr>
        <w:t xml:space="preserve"> to</w:t>
      </w:r>
      <w:r w:rsidR="00D6770A" w:rsidRPr="00940416">
        <w:rPr>
          <w:rFonts w:asciiTheme="minorHAnsi" w:hAnsiTheme="minorHAnsi" w:cstheme="minorHAnsi"/>
          <w:color w:val="000000" w:themeColor="text1"/>
          <w:sz w:val="22"/>
          <w:szCs w:val="22"/>
          <w:lang w:val="en-GB"/>
        </w:rPr>
        <w:t xml:space="preserve"> </w:t>
      </w:r>
      <w:r w:rsidR="001C205C">
        <w:rPr>
          <w:rFonts w:asciiTheme="minorHAnsi" w:hAnsiTheme="minorHAnsi" w:cstheme="minorHAnsi"/>
          <w:color w:val="000000" w:themeColor="text1"/>
          <w:sz w:val="22"/>
          <w:szCs w:val="22"/>
          <w:lang w:val="en-GB"/>
        </w:rPr>
        <w:t xml:space="preserve">clinical </w:t>
      </w:r>
      <w:r w:rsidR="00D6770A" w:rsidRPr="00940416">
        <w:rPr>
          <w:rFonts w:asciiTheme="minorHAnsi" w:hAnsiTheme="minorHAnsi" w:cstheme="minorHAnsi"/>
          <w:color w:val="000000" w:themeColor="text1"/>
          <w:sz w:val="22"/>
          <w:szCs w:val="22"/>
          <w:lang w:val="en-GB"/>
        </w:rPr>
        <w:t>or</w:t>
      </w:r>
      <w:r w:rsidR="00D6770A" w:rsidRPr="00C91EF0">
        <w:rPr>
          <w:rFonts w:asciiTheme="minorHAnsi" w:hAnsiTheme="minorHAnsi" w:cstheme="minorHAnsi"/>
          <w:sz w:val="22"/>
          <w:szCs w:val="22"/>
          <w:lang w:val="en-GB"/>
        </w:rPr>
        <w:t>igin</w:t>
      </w:r>
      <w:r w:rsidR="001C205C">
        <w:rPr>
          <w:rFonts w:asciiTheme="minorHAnsi" w:hAnsiTheme="minorHAnsi" w:cstheme="minorHAnsi"/>
          <w:sz w:val="22"/>
          <w:szCs w:val="22"/>
          <w:lang w:val="en-GB"/>
        </w:rPr>
        <w:t xml:space="preserve">; this </w:t>
      </w:r>
      <w:r w:rsidR="008076B0">
        <w:rPr>
          <w:rFonts w:asciiTheme="minorHAnsi" w:hAnsiTheme="minorHAnsi" w:cstheme="minorHAnsi"/>
          <w:sz w:val="22"/>
          <w:szCs w:val="22"/>
          <w:lang w:val="en-GB"/>
        </w:rPr>
        <w:t xml:space="preserve">process </w:t>
      </w:r>
      <w:r w:rsidR="00D6770A" w:rsidRPr="00C91EF0">
        <w:rPr>
          <w:rFonts w:asciiTheme="minorHAnsi" w:hAnsiTheme="minorHAnsi" w:cstheme="minorHAnsi"/>
          <w:sz w:val="22"/>
          <w:szCs w:val="22"/>
          <w:lang w:val="en-GB"/>
        </w:rPr>
        <w:t xml:space="preserve">consistently </w:t>
      </w:r>
      <w:r w:rsidRPr="00C91EF0">
        <w:rPr>
          <w:rFonts w:asciiTheme="minorHAnsi" w:hAnsiTheme="minorHAnsi" w:cstheme="minorHAnsi"/>
          <w:sz w:val="22"/>
          <w:szCs w:val="22"/>
          <w:lang w:val="en-GB"/>
        </w:rPr>
        <w:t>reveal</w:t>
      </w:r>
      <w:r w:rsidR="00D6770A" w:rsidRPr="00C91EF0">
        <w:rPr>
          <w:rFonts w:asciiTheme="minorHAnsi" w:hAnsiTheme="minorHAnsi" w:cstheme="minorHAnsi"/>
          <w:sz w:val="22"/>
          <w:szCs w:val="22"/>
          <w:lang w:val="en-GB"/>
        </w:rPr>
        <w:t xml:space="preserve">ed </w:t>
      </w:r>
      <w:r w:rsidR="008076B0">
        <w:rPr>
          <w:rFonts w:asciiTheme="minorHAnsi" w:hAnsiTheme="minorHAnsi" w:cstheme="minorHAnsi"/>
          <w:sz w:val="22"/>
          <w:szCs w:val="22"/>
          <w:lang w:val="en-GB"/>
        </w:rPr>
        <w:t xml:space="preserve">the </w:t>
      </w:r>
      <w:r w:rsidR="00EA6868">
        <w:rPr>
          <w:rFonts w:asciiTheme="minorHAnsi" w:hAnsiTheme="minorHAnsi" w:cstheme="minorHAnsi"/>
          <w:sz w:val="22"/>
          <w:szCs w:val="22"/>
          <w:lang w:val="en-GB"/>
        </w:rPr>
        <w:t xml:space="preserve">considerable significance </w:t>
      </w:r>
      <w:r w:rsidR="00D6770A" w:rsidRPr="00C91EF0">
        <w:rPr>
          <w:rFonts w:asciiTheme="minorHAnsi" w:hAnsiTheme="minorHAnsi" w:cstheme="minorHAnsi"/>
          <w:sz w:val="22"/>
          <w:szCs w:val="22"/>
          <w:lang w:val="en-GB"/>
        </w:rPr>
        <w:t>of f</w:t>
      </w:r>
      <w:r w:rsidR="00D6770A" w:rsidRPr="00C91EF0">
        <w:rPr>
          <w:rFonts w:asciiTheme="minorHAnsi" w:hAnsiTheme="minorHAnsi" w:cstheme="minorHAnsi"/>
          <w:bCs/>
          <w:sz w:val="22"/>
          <w:szCs w:val="22"/>
          <w:lang w:val="en-GB"/>
        </w:rPr>
        <w:t>unctional status and well-being</w:t>
      </w:r>
      <w:r w:rsidR="001C205C">
        <w:rPr>
          <w:rFonts w:asciiTheme="minorHAnsi" w:hAnsiTheme="minorHAnsi" w:cstheme="minorHAnsi"/>
          <w:bCs/>
          <w:sz w:val="22"/>
          <w:szCs w:val="22"/>
          <w:lang w:val="en-GB"/>
        </w:rPr>
        <w:t xml:space="preserve"> to discriminatory performance</w:t>
      </w:r>
      <w:r w:rsidR="00D6770A" w:rsidRPr="00C91EF0">
        <w:rPr>
          <w:rFonts w:asciiTheme="minorHAnsi" w:hAnsiTheme="minorHAnsi" w:cstheme="minorHAnsi"/>
          <w:bCs/>
          <w:sz w:val="22"/>
          <w:szCs w:val="22"/>
          <w:lang w:val="en-GB"/>
        </w:rPr>
        <w:t xml:space="preserve"> (</w:t>
      </w:r>
      <w:r w:rsidR="00D6770A" w:rsidRPr="00C91EF0">
        <w:rPr>
          <w:rFonts w:asciiTheme="minorHAnsi" w:hAnsiTheme="minorHAnsi" w:cstheme="minorHAnsi"/>
          <w:b/>
          <w:bCs/>
          <w:sz w:val="22"/>
          <w:szCs w:val="22"/>
          <w:lang w:val="en-GB"/>
        </w:rPr>
        <w:t>Figure 2D</w:t>
      </w:r>
      <w:r w:rsidR="00D6770A" w:rsidRPr="00C91EF0">
        <w:rPr>
          <w:rFonts w:asciiTheme="minorHAnsi" w:hAnsiTheme="minorHAnsi" w:cstheme="minorHAnsi"/>
          <w:bCs/>
          <w:sz w:val="22"/>
          <w:szCs w:val="22"/>
          <w:lang w:val="en-GB"/>
        </w:rPr>
        <w:t>)</w:t>
      </w:r>
      <w:r w:rsidR="00D6770A" w:rsidRPr="00C91EF0">
        <w:rPr>
          <w:rFonts w:asciiTheme="minorHAnsi" w:hAnsiTheme="minorHAnsi" w:cstheme="minorHAnsi"/>
          <w:sz w:val="22"/>
          <w:szCs w:val="22"/>
          <w:lang w:val="en-GB"/>
        </w:rPr>
        <w:t xml:space="preserve">, while </w:t>
      </w:r>
      <w:r w:rsidR="00305871">
        <w:rPr>
          <w:rFonts w:asciiTheme="minorHAnsi" w:hAnsiTheme="minorHAnsi" w:cstheme="minorHAnsi"/>
          <w:sz w:val="22"/>
          <w:szCs w:val="22"/>
          <w:lang w:val="en-GB"/>
        </w:rPr>
        <w:t xml:space="preserve">the model derived using </w:t>
      </w:r>
      <w:r w:rsidR="00D6770A" w:rsidRPr="00C91EF0">
        <w:rPr>
          <w:rFonts w:asciiTheme="minorHAnsi" w:hAnsiTheme="minorHAnsi" w:cstheme="minorHAnsi"/>
          <w:sz w:val="22"/>
          <w:szCs w:val="22"/>
          <w:lang w:val="en-GB"/>
        </w:rPr>
        <w:t xml:space="preserve">variable selection </w:t>
      </w:r>
      <w:r w:rsidR="008076B0">
        <w:rPr>
          <w:rFonts w:asciiTheme="minorHAnsi" w:hAnsiTheme="minorHAnsi" w:cstheme="minorHAnsi"/>
          <w:sz w:val="22"/>
          <w:szCs w:val="22"/>
          <w:lang w:val="en-GB"/>
        </w:rPr>
        <w:t xml:space="preserve">was </w:t>
      </w:r>
      <w:r w:rsidR="00D6770A" w:rsidRPr="00C91EF0">
        <w:rPr>
          <w:rFonts w:asciiTheme="minorHAnsi" w:hAnsiTheme="minorHAnsi" w:cstheme="minorHAnsi"/>
          <w:sz w:val="22"/>
          <w:szCs w:val="22"/>
          <w:lang w:val="en-GB"/>
        </w:rPr>
        <w:t xml:space="preserve">comparable to full models in internal validation metrics. </w:t>
      </w:r>
      <w:r w:rsidR="00451DE2">
        <w:rPr>
          <w:rFonts w:asciiTheme="minorHAnsi" w:hAnsiTheme="minorHAnsi" w:cstheme="minorHAnsi"/>
          <w:sz w:val="22"/>
          <w:szCs w:val="22"/>
          <w:lang w:val="en-GB"/>
        </w:rPr>
        <w:t xml:space="preserve">Between-study heterogeneity was </w:t>
      </w:r>
      <w:r w:rsidR="008076B0">
        <w:rPr>
          <w:rFonts w:asciiTheme="minorHAnsi" w:hAnsiTheme="minorHAnsi" w:cstheme="minorHAnsi"/>
          <w:sz w:val="22"/>
          <w:szCs w:val="22"/>
          <w:lang w:val="en-GB"/>
        </w:rPr>
        <w:t xml:space="preserve">clearly </w:t>
      </w:r>
      <w:r w:rsidR="00451DE2">
        <w:rPr>
          <w:rFonts w:asciiTheme="minorHAnsi" w:hAnsiTheme="minorHAnsi" w:cstheme="minorHAnsi"/>
          <w:sz w:val="22"/>
          <w:szCs w:val="22"/>
          <w:lang w:val="en-GB"/>
        </w:rPr>
        <w:t xml:space="preserve">visible in </w:t>
      </w:r>
      <w:r w:rsidR="00EA6868">
        <w:rPr>
          <w:rFonts w:asciiTheme="minorHAnsi" w:hAnsiTheme="minorHAnsi" w:cstheme="minorHAnsi"/>
          <w:sz w:val="22"/>
          <w:szCs w:val="22"/>
          <w:lang w:val="en-GB"/>
        </w:rPr>
        <w:t xml:space="preserve">the </w:t>
      </w:r>
      <w:r w:rsidR="00451DE2">
        <w:rPr>
          <w:rFonts w:asciiTheme="minorHAnsi" w:hAnsiTheme="minorHAnsi" w:cstheme="minorHAnsi"/>
          <w:sz w:val="22"/>
          <w:szCs w:val="22"/>
          <w:lang w:val="en-GB"/>
        </w:rPr>
        <w:t>stratified trial intercepts (</w:t>
      </w:r>
      <w:r w:rsidR="00451DE2" w:rsidRPr="00451DE2">
        <w:rPr>
          <w:rFonts w:asciiTheme="minorHAnsi" w:hAnsiTheme="minorHAnsi" w:cstheme="minorHAnsi"/>
          <w:b/>
          <w:sz w:val="22"/>
          <w:szCs w:val="22"/>
          <w:lang w:val="en-GB"/>
        </w:rPr>
        <w:t>Table 2</w:t>
      </w:r>
      <w:r w:rsidR="00451DE2">
        <w:rPr>
          <w:rFonts w:asciiTheme="minorHAnsi" w:hAnsiTheme="minorHAnsi" w:cstheme="minorHAnsi"/>
          <w:sz w:val="22"/>
          <w:szCs w:val="22"/>
          <w:lang w:val="en-GB"/>
        </w:rPr>
        <w:t xml:space="preserve">). </w:t>
      </w:r>
      <w:r w:rsidR="008076B0">
        <w:rPr>
          <w:rFonts w:asciiTheme="minorHAnsi" w:hAnsiTheme="minorHAnsi" w:cstheme="minorHAnsi"/>
          <w:color w:val="000000" w:themeColor="text1"/>
          <w:sz w:val="22"/>
          <w:szCs w:val="22"/>
          <w:lang w:val="en-GB"/>
        </w:rPr>
        <w:t xml:space="preserve">The model performed well for </w:t>
      </w:r>
      <w:r w:rsidR="00D6770A" w:rsidRPr="000267CA">
        <w:rPr>
          <w:rFonts w:asciiTheme="minorHAnsi" w:hAnsiTheme="minorHAnsi" w:cstheme="minorHAnsi"/>
          <w:color w:val="000000" w:themeColor="text1"/>
          <w:sz w:val="22"/>
          <w:szCs w:val="22"/>
          <w:lang w:val="en-GB"/>
        </w:rPr>
        <w:t>all trials</w:t>
      </w:r>
      <w:r w:rsidRPr="000267CA">
        <w:rPr>
          <w:rFonts w:asciiTheme="minorHAnsi" w:hAnsiTheme="minorHAnsi" w:cstheme="minorHAnsi"/>
          <w:color w:val="000000" w:themeColor="text1"/>
          <w:sz w:val="22"/>
          <w:szCs w:val="22"/>
          <w:lang w:val="en-GB"/>
        </w:rPr>
        <w:t xml:space="preserve"> used</w:t>
      </w:r>
      <w:r w:rsidR="00D6770A" w:rsidRPr="000267CA">
        <w:rPr>
          <w:rFonts w:asciiTheme="minorHAnsi" w:hAnsiTheme="minorHAnsi" w:cstheme="minorHAnsi"/>
          <w:color w:val="000000" w:themeColor="text1"/>
          <w:sz w:val="22"/>
          <w:szCs w:val="22"/>
          <w:lang w:val="en-GB"/>
        </w:rPr>
        <w:t xml:space="preserve"> as validation datasets in the IECV loop</w:t>
      </w:r>
      <w:r w:rsidR="000267CA" w:rsidRPr="000267CA">
        <w:rPr>
          <w:rFonts w:asciiTheme="minorHAnsi" w:hAnsiTheme="minorHAnsi" w:cstheme="minorHAnsi"/>
          <w:sz w:val="22"/>
          <w:szCs w:val="22"/>
          <w:lang w:val="en-GB"/>
        </w:rPr>
        <w:t>, with a pooled C-statistic of 0.68 (0.65 to 0.70)</w:t>
      </w:r>
      <w:r w:rsidR="008076B0">
        <w:rPr>
          <w:rFonts w:asciiTheme="minorHAnsi" w:hAnsiTheme="minorHAnsi" w:cstheme="minorHAnsi"/>
          <w:sz w:val="22"/>
          <w:szCs w:val="22"/>
          <w:lang w:val="en-GB"/>
        </w:rPr>
        <w:t xml:space="preserve">, a </w:t>
      </w:r>
      <w:r w:rsidR="000267CA" w:rsidRPr="000267CA">
        <w:rPr>
          <w:rFonts w:asciiTheme="minorHAnsi" w:hAnsiTheme="minorHAnsi" w:cstheme="minorHAnsi"/>
          <w:sz w:val="22"/>
          <w:szCs w:val="22"/>
          <w:lang w:val="en-GB"/>
        </w:rPr>
        <w:t>CITL of 0 (-0.13 to 0.13) (</w:t>
      </w:r>
      <w:r w:rsidR="000267CA" w:rsidRPr="000267CA">
        <w:rPr>
          <w:rFonts w:asciiTheme="minorHAnsi" w:hAnsiTheme="minorHAnsi" w:cstheme="minorHAnsi"/>
          <w:b/>
          <w:sz w:val="22"/>
          <w:szCs w:val="22"/>
          <w:lang w:val="en-GB"/>
        </w:rPr>
        <w:t>Figure 3</w:t>
      </w:r>
      <w:r w:rsidR="000267CA" w:rsidRPr="000267CA">
        <w:rPr>
          <w:rFonts w:asciiTheme="minorHAnsi" w:hAnsiTheme="minorHAnsi" w:cstheme="minorHAnsi"/>
          <w:sz w:val="22"/>
          <w:szCs w:val="22"/>
          <w:lang w:val="en-GB"/>
        </w:rPr>
        <w:t xml:space="preserve">) </w:t>
      </w:r>
      <w:r w:rsidR="008076B0">
        <w:rPr>
          <w:rFonts w:asciiTheme="minorHAnsi" w:hAnsiTheme="minorHAnsi" w:cstheme="minorHAnsi"/>
          <w:sz w:val="22"/>
          <w:szCs w:val="22"/>
          <w:lang w:val="en-GB"/>
        </w:rPr>
        <w:t xml:space="preserve">and </w:t>
      </w:r>
      <w:r w:rsidR="000267CA" w:rsidRPr="000267CA">
        <w:rPr>
          <w:rFonts w:asciiTheme="minorHAnsi" w:hAnsiTheme="minorHAnsi" w:cstheme="minorHAnsi"/>
          <w:sz w:val="22"/>
          <w:szCs w:val="22"/>
          <w:lang w:val="en-GB"/>
        </w:rPr>
        <w:t xml:space="preserve">between-study </w:t>
      </w:r>
      <w:r w:rsidR="001C205C">
        <w:rPr>
          <w:rFonts w:asciiTheme="minorHAnsi" w:hAnsiTheme="minorHAnsi" w:cstheme="minorHAnsi"/>
          <w:sz w:val="22"/>
          <w:szCs w:val="22"/>
          <w:lang w:val="en-GB"/>
        </w:rPr>
        <w:t>heterogeneity I</w:t>
      </w:r>
      <w:r w:rsidR="001C205C" w:rsidRPr="001C205C">
        <w:rPr>
          <w:rFonts w:asciiTheme="minorHAnsi" w:hAnsiTheme="minorHAnsi" w:cstheme="minorHAnsi"/>
          <w:sz w:val="22"/>
          <w:szCs w:val="22"/>
          <w:vertAlign w:val="superscript"/>
          <w:lang w:val="en-GB"/>
        </w:rPr>
        <w:t>2</w:t>
      </w:r>
      <w:r w:rsidR="001C205C" w:rsidRPr="000267CA">
        <w:rPr>
          <w:rFonts w:asciiTheme="minorHAnsi" w:hAnsiTheme="minorHAnsi" w:cstheme="minorHAnsi"/>
          <w:sz w:val="22"/>
          <w:szCs w:val="22"/>
          <w:lang w:val="en-GB"/>
        </w:rPr>
        <w:t xml:space="preserve"> </w:t>
      </w:r>
      <w:r w:rsidR="000267CA" w:rsidRPr="000267CA">
        <w:rPr>
          <w:rFonts w:asciiTheme="minorHAnsi" w:hAnsiTheme="minorHAnsi" w:cstheme="minorHAnsi"/>
          <w:sz w:val="22"/>
          <w:szCs w:val="22"/>
          <w:lang w:val="en-GB"/>
        </w:rPr>
        <w:t xml:space="preserve">of 24.6 % and 78.6 % respectively. </w:t>
      </w:r>
      <w:r w:rsidR="008076B0">
        <w:rPr>
          <w:rFonts w:asciiTheme="minorHAnsi" w:hAnsiTheme="minorHAnsi" w:cstheme="minorHAnsi"/>
          <w:sz w:val="22"/>
          <w:szCs w:val="22"/>
          <w:lang w:val="en-GB"/>
        </w:rPr>
        <w:t xml:space="preserve">We also </w:t>
      </w:r>
      <w:r w:rsidR="000267CA" w:rsidRPr="000267CA">
        <w:rPr>
          <w:rFonts w:asciiTheme="minorHAnsi" w:hAnsiTheme="minorHAnsi" w:cstheme="minorHAnsi"/>
          <w:sz w:val="22"/>
          <w:szCs w:val="22"/>
          <w:lang w:val="en-GB"/>
        </w:rPr>
        <w:t>obtained a joint probability of 75 % of achieving a C-statistic of 0.65 and CITL between -0.1 and 0.1 in an independent but similar population.</w:t>
      </w:r>
    </w:p>
    <w:p w14:paraId="24F69076" w14:textId="0C090168" w:rsidR="00D6770A" w:rsidRPr="00C91EF0" w:rsidRDefault="00D6770A"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[About here: Table 2 on Final multivariable analysis </w:t>
      </w:r>
      <w:r w:rsidR="008076B0">
        <w:rPr>
          <w:rFonts w:asciiTheme="minorHAnsi" w:hAnsiTheme="minorHAnsi" w:cstheme="minorHAnsi"/>
          <w:sz w:val="22"/>
          <w:szCs w:val="22"/>
          <w:lang w:val="en-GB"/>
        </w:rPr>
        <w:t xml:space="preserve">of </w:t>
      </w:r>
      <w:proofErr w:type="spellStart"/>
      <w:r w:rsidR="008076B0">
        <w:rPr>
          <w:rFonts w:asciiTheme="minorHAnsi" w:hAnsiTheme="minorHAnsi" w:cstheme="minorHAnsi"/>
          <w:sz w:val="22"/>
          <w:szCs w:val="22"/>
          <w:lang w:val="en-GB"/>
        </w:rPr>
        <w:t>d</w:t>
      </w:r>
      <w:r w:rsidRPr="00C91EF0">
        <w:rPr>
          <w:rFonts w:asciiTheme="minorHAnsi" w:hAnsiTheme="minorHAnsi" w:cstheme="minorHAnsi"/>
          <w:sz w:val="22"/>
          <w:szCs w:val="22"/>
          <w:lang w:val="en-GB"/>
        </w:rPr>
        <w:t>HRQoL</w:t>
      </w:r>
      <w:proofErr w:type="spellEnd"/>
      <w:r w:rsidRPr="00C91EF0">
        <w:rPr>
          <w:rFonts w:asciiTheme="minorHAnsi" w:hAnsiTheme="minorHAnsi" w:cstheme="minorHAnsi"/>
          <w:sz w:val="22"/>
          <w:szCs w:val="22"/>
          <w:lang w:val="en-GB"/>
        </w:rPr>
        <w:t xml:space="preserve"> at six</w:t>
      </w:r>
      <w:r w:rsidR="008076B0">
        <w:rPr>
          <w:rFonts w:asciiTheme="minorHAnsi" w:hAnsiTheme="minorHAnsi" w:cstheme="minorHAnsi"/>
          <w:sz w:val="22"/>
          <w:szCs w:val="22"/>
          <w:lang w:val="en-GB"/>
        </w:rPr>
        <w:t>-</w:t>
      </w:r>
      <w:r w:rsidRPr="00C91EF0">
        <w:rPr>
          <w:rFonts w:asciiTheme="minorHAnsi" w:hAnsiTheme="minorHAnsi" w:cstheme="minorHAnsi"/>
          <w:sz w:val="22"/>
          <w:szCs w:val="22"/>
          <w:lang w:val="en-GB"/>
        </w:rPr>
        <w:t>month follow-up]</w:t>
      </w:r>
    </w:p>
    <w:p w14:paraId="2210CD3F" w14:textId="77777777" w:rsidR="00D6770A" w:rsidRPr="00C91EF0" w:rsidRDefault="00D6770A"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[About here: Figure 2 on model development and validation]</w:t>
      </w:r>
    </w:p>
    <w:p w14:paraId="799E9D36" w14:textId="77777777" w:rsidR="00D6770A" w:rsidRPr="00C91EF0" w:rsidRDefault="00D6770A"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[About here: Figure 3 on meta-analytical summary of IECV loop]</w:t>
      </w:r>
    </w:p>
    <w:p w14:paraId="55020AB7" w14:textId="7C7089F9" w:rsidR="00A95F60" w:rsidRPr="00C91EF0" w:rsidRDefault="00A95F60" w:rsidP="00D6770A">
      <w:pPr>
        <w:spacing w:line="480" w:lineRule="auto"/>
        <w:rPr>
          <w:rFonts w:asciiTheme="minorHAnsi" w:hAnsiTheme="minorHAnsi" w:cstheme="minorHAnsi"/>
          <w:b/>
          <w:sz w:val="22"/>
          <w:szCs w:val="22"/>
          <w:lang w:val="en-GB"/>
        </w:rPr>
      </w:pPr>
    </w:p>
    <w:p w14:paraId="4A61F01D" w14:textId="77777777" w:rsidR="00D6770A" w:rsidRPr="00C91EF0" w:rsidRDefault="00D6770A" w:rsidP="00D6770A">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D</w:t>
      </w:r>
      <w:r w:rsidR="000363B5">
        <w:rPr>
          <w:rFonts w:asciiTheme="minorHAnsi" w:hAnsiTheme="minorHAnsi" w:cstheme="minorHAnsi"/>
          <w:b/>
          <w:sz w:val="22"/>
          <w:szCs w:val="22"/>
          <w:lang w:val="en-GB"/>
        </w:rPr>
        <w:t>ISCUSSION</w:t>
      </w:r>
    </w:p>
    <w:p w14:paraId="2A455603" w14:textId="6B06CACB" w:rsidR="003F319D" w:rsidRPr="00C91EF0" w:rsidRDefault="00C241E9" w:rsidP="00D6770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lastRenderedPageBreak/>
        <w:t xml:space="preserve">This is the first IPD-based </w:t>
      </w:r>
      <w:r w:rsidR="00F6253A" w:rsidRPr="00C91EF0">
        <w:rPr>
          <w:rFonts w:asciiTheme="minorHAnsi" w:hAnsiTheme="minorHAnsi" w:cstheme="minorHAnsi"/>
          <w:sz w:val="22"/>
          <w:szCs w:val="22"/>
          <w:lang w:val="en-GB"/>
        </w:rPr>
        <w:t xml:space="preserve">prognostic model for </w:t>
      </w:r>
      <w:proofErr w:type="spellStart"/>
      <w:r w:rsidR="008076B0">
        <w:rPr>
          <w:rFonts w:asciiTheme="minorHAnsi" w:hAnsiTheme="minorHAnsi" w:cstheme="minorHAnsi"/>
          <w:sz w:val="22"/>
          <w:szCs w:val="22"/>
          <w:lang w:val="en-GB"/>
        </w:rPr>
        <w:t>d</w:t>
      </w:r>
      <w:r w:rsidR="00F6253A" w:rsidRPr="00C91EF0">
        <w:rPr>
          <w:rFonts w:asciiTheme="minorHAnsi" w:hAnsiTheme="minorHAnsi" w:cstheme="minorHAnsi"/>
          <w:sz w:val="22"/>
          <w:szCs w:val="22"/>
          <w:lang w:val="en-GB"/>
        </w:rPr>
        <w:t>HRQ</w:t>
      </w:r>
      <w:r w:rsidR="00C93DC3" w:rsidRPr="00C91EF0">
        <w:rPr>
          <w:rFonts w:asciiTheme="minorHAnsi" w:hAnsiTheme="minorHAnsi" w:cstheme="minorHAnsi"/>
          <w:sz w:val="22"/>
          <w:szCs w:val="22"/>
          <w:lang w:val="en-GB"/>
        </w:rPr>
        <w:t>o</w:t>
      </w:r>
      <w:r w:rsidR="00F6253A" w:rsidRPr="00C91EF0">
        <w:rPr>
          <w:rFonts w:asciiTheme="minorHAnsi" w:hAnsiTheme="minorHAnsi" w:cstheme="minorHAnsi"/>
          <w:sz w:val="22"/>
          <w:szCs w:val="22"/>
          <w:lang w:val="en-GB"/>
        </w:rPr>
        <w:t>L</w:t>
      </w:r>
      <w:proofErr w:type="spellEnd"/>
      <w:r w:rsidR="00F6253A" w:rsidRPr="00C91EF0">
        <w:rPr>
          <w:rFonts w:asciiTheme="minorHAnsi" w:hAnsiTheme="minorHAnsi" w:cstheme="minorHAnsi"/>
          <w:sz w:val="22"/>
          <w:szCs w:val="22"/>
          <w:lang w:val="en-GB"/>
        </w:rPr>
        <w:t xml:space="preserve"> in a population of older patients with </w:t>
      </w:r>
      <w:r w:rsidR="003F542D" w:rsidRPr="00C91EF0">
        <w:rPr>
          <w:rFonts w:asciiTheme="minorHAnsi" w:hAnsiTheme="minorHAnsi" w:cstheme="minorHAnsi"/>
          <w:sz w:val="22"/>
          <w:szCs w:val="22"/>
          <w:lang w:val="en-GB"/>
        </w:rPr>
        <w:t xml:space="preserve">multiple conditions </w:t>
      </w:r>
      <w:r w:rsidR="00316301">
        <w:rPr>
          <w:rFonts w:asciiTheme="minorHAnsi" w:hAnsiTheme="minorHAnsi" w:cstheme="minorHAnsi"/>
          <w:sz w:val="22"/>
          <w:szCs w:val="22"/>
          <w:lang w:val="en-GB"/>
        </w:rPr>
        <w:t xml:space="preserve">(two or more) </w:t>
      </w:r>
      <w:r w:rsidR="00F6253A" w:rsidRPr="00C91EF0">
        <w:rPr>
          <w:rFonts w:asciiTheme="minorHAnsi" w:hAnsiTheme="minorHAnsi" w:cstheme="minorHAnsi"/>
          <w:sz w:val="22"/>
          <w:szCs w:val="22"/>
          <w:lang w:val="en-GB"/>
        </w:rPr>
        <w:t>and polypharmacy</w:t>
      </w:r>
      <w:r w:rsidR="00316301">
        <w:rPr>
          <w:rFonts w:asciiTheme="minorHAnsi" w:hAnsiTheme="minorHAnsi" w:cstheme="minorHAnsi"/>
          <w:sz w:val="22"/>
          <w:szCs w:val="22"/>
          <w:lang w:val="en-GB"/>
        </w:rPr>
        <w:t xml:space="preserve"> (five or more</w:t>
      </w:r>
      <w:r w:rsidR="00E7637F">
        <w:rPr>
          <w:rFonts w:asciiTheme="minorHAnsi" w:hAnsiTheme="minorHAnsi" w:cstheme="minorHAnsi"/>
          <w:sz w:val="22"/>
          <w:szCs w:val="22"/>
          <w:lang w:val="en-GB"/>
        </w:rPr>
        <w:t xml:space="preserve"> prescriptions</w:t>
      </w:r>
      <w:r w:rsidR="00316301">
        <w:rPr>
          <w:rFonts w:asciiTheme="minorHAnsi" w:hAnsiTheme="minorHAnsi" w:cstheme="minorHAnsi"/>
          <w:sz w:val="22"/>
          <w:szCs w:val="22"/>
          <w:lang w:val="en-GB"/>
        </w:rPr>
        <w:t>)</w:t>
      </w:r>
      <w:r w:rsidR="00F6253A" w:rsidRPr="00C91EF0">
        <w:rPr>
          <w:rFonts w:asciiTheme="minorHAnsi" w:hAnsiTheme="minorHAnsi" w:cstheme="minorHAnsi"/>
          <w:sz w:val="22"/>
          <w:szCs w:val="22"/>
          <w:lang w:val="en-GB"/>
        </w:rPr>
        <w:t xml:space="preserve"> in general practice. </w:t>
      </w:r>
      <w:r w:rsidR="001C205C">
        <w:rPr>
          <w:rFonts w:asciiTheme="minorHAnsi" w:hAnsiTheme="minorHAnsi" w:cstheme="minorHAnsi"/>
          <w:sz w:val="22"/>
          <w:szCs w:val="22"/>
          <w:lang w:val="en-GB"/>
        </w:rPr>
        <w:t>While t</w:t>
      </w:r>
      <w:r w:rsidR="00F56DCB" w:rsidRPr="00C91EF0">
        <w:rPr>
          <w:rFonts w:asciiTheme="minorHAnsi" w:hAnsiTheme="minorHAnsi" w:cstheme="minorHAnsi"/>
          <w:sz w:val="22"/>
          <w:szCs w:val="22"/>
          <w:lang w:val="en-GB"/>
        </w:rPr>
        <w:t>he prognostic model</w:t>
      </w:r>
      <w:r w:rsidR="00F6253A" w:rsidRPr="00C91EF0">
        <w:rPr>
          <w:rFonts w:asciiTheme="minorHAnsi" w:hAnsiTheme="minorHAnsi" w:cstheme="minorHAnsi"/>
          <w:sz w:val="22"/>
          <w:szCs w:val="22"/>
          <w:lang w:val="en-GB"/>
        </w:rPr>
        <w:t xml:space="preserve"> discriminat</w:t>
      </w:r>
      <w:r w:rsidR="00BF6F4B">
        <w:rPr>
          <w:rFonts w:asciiTheme="minorHAnsi" w:hAnsiTheme="minorHAnsi" w:cstheme="minorHAnsi"/>
          <w:sz w:val="22"/>
          <w:szCs w:val="22"/>
          <w:lang w:val="en-GB"/>
        </w:rPr>
        <w:t>ed well</w:t>
      </w:r>
      <w:r w:rsidR="00F6253A" w:rsidRPr="00C91EF0">
        <w:rPr>
          <w:rFonts w:asciiTheme="minorHAnsi" w:hAnsiTheme="minorHAnsi" w:cstheme="minorHAnsi"/>
          <w:sz w:val="22"/>
          <w:szCs w:val="22"/>
          <w:lang w:val="en-GB"/>
        </w:rPr>
        <w:t xml:space="preserve"> and </w:t>
      </w:r>
      <w:r w:rsidR="00BF6F4B">
        <w:rPr>
          <w:rFonts w:asciiTheme="minorHAnsi" w:hAnsiTheme="minorHAnsi" w:cstheme="minorHAnsi"/>
          <w:sz w:val="22"/>
          <w:szCs w:val="22"/>
          <w:lang w:val="en-GB"/>
        </w:rPr>
        <w:t xml:space="preserve">demonstrated reasonable </w:t>
      </w:r>
      <w:r w:rsidR="00F6253A" w:rsidRPr="00C91EF0">
        <w:rPr>
          <w:rFonts w:asciiTheme="minorHAnsi" w:hAnsiTheme="minorHAnsi" w:cstheme="minorHAnsi"/>
          <w:sz w:val="22"/>
          <w:szCs w:val="22"/>
          <w:lang w:val="en-GB"/>
        </w:rPr>
        <w:t>generalizability</w:t>
      </w:r>
      <w:r w:rsidR="00BF6F4B">
        <w:rPr>
          <w:rFonts w:asciiTheme="minorHAnsi" w:hAnsiTheme="minorHAnsi" w:cstheme="minorHAnsi"/>
          <w:sz w:val="22"/>
          <w:szCs w:val="22"/>
          <w:lang w:val="en-GB"/>
        </w:rPr>
        <w:t xml:space="preserve"> in the IECV</w:t>
      </w:r>
      <w:r w:rsidR="001C205C" w:rsidRPr="00E56A26">
        <w:rPr>
          <w:rFonts w:asciiTheme="minorHAnsi" w:hAnsiTheme="minorHAnsi" w:cstheme="minorHAnsi"/>
          <w:sz w:val="22"/>
          <w:szCs w:val="22"/>
          <w:lang w:val="en-US"/>
        </w:rPr>
        <w:t xml:space="preserve">, intercept recalibration </w:t>
      </w:r>
      <w:r w:rsidR="008076B0">
        <w:rPr>
          <w:rFonts w:asciiTheme="minorHAnsi" w:hAnsiTheme="minorHAnsi" w:cstheme="minorHAnsi"/>
          <w:sz w:val="22"/>
          <w:szCs w:val="22"/>
          <w:lang w:val="en-US"/>
        </w:rPr>
        <w:t xml:space="preserve">to consider further </w:t>
      </w:r>
      <w:r w:rsidR="001C205C" w:rsidRPr="00E56A26">
        <w:rPr>
          <w:rFonts w:asciiTheme="minorHAnsi" w:hAnsiTheme="minorHAnsi" w:cstheme="minorHAnsi"/>
          <w:sz w:val="22"/>
          <w:szCs w:val="22"/>
          <w:lang w:val="en-US"/>
        </w:rPr>
        <w:t>population</w:t>
      </w:r>
      <w:r w:rsidR="008076B0">
        <w:rPr>
          <w:rFonts w:asciiTheme="minorHAnsi" w:hAnsiTheme="minorHAnsi" w:cstheme="minorHAnsi"/>
          <w:sz w:val="22"/>
          <w:szCs w:val="22"/>
          <w:lang w:val="en-US"/>
        </w:rPr>
        <w:t>s</w:t>
      </w:r>
      <w:r w:rsidR="001C205C" w:rsidRPr="00E56A26">
        <w:rPr>
          <w:rFonts w:asciiTheme="minorHAnsi" w:hAnsiTheme="minorHAnsi" w:cstheme="minorHAnsi"/>
          <w:sz w:val="22"/>
          <w:szCs w:val="22"/>
          <w:lang w:val="en-US"/>
        </w:rPr>
        <w:t xml:space="preserve"> of interest would nevertheless be necessary </w:t>
      </w:r>
      <w:r w:rsidR="00900F54">
        <w:rPr>
          <w:rFonts w:asciiTheme="minorHAnsi" w:hAnsiTheme="minorHAnsi" w:cstheme="minorHAnsi"/>
          <w:sz w:val="22"/>
          <w:szCs w:val="22"/>
          <w:lang w:val="en-US"/>
        </w:rPr>
        <w:t xml:space="preserve">before </w:t>
      </w:r>
      <w:r w:rsidR="001C205C" w:rsidRPr="00E56A26">
        <w:rPr>
          <w:rFonts w:asciiTheme="minorHAnsi" w:hAnsiTheme="minorHAnsi" w:cstheme="minorHAnsi"/>
          <w:sz w:val="22"/>
          <w:szCs w:val="22"/>
          <w:lang w:val="en-US"/>
        </w:rPr>
        <w:t>implementation</w:t>
      </w:r>
      <w:r w:rsidR="005A2371" w:rsidRPr="00C91EF0">
        <w:rPr>
          <w:rFonts w:asciiTheme="minorHAnsi" w:hAnsiTheme="minorHAnsi" w:cstheme="minorHAnsi"/>
          <w:sz w:val="22"/>
          <w:szCs w:val="22"/>
          <w:lang w:val="en-GB"/>
        </w:rPr>
        <w:t xml:space="preserve">. </w:t>
      </w:r>
      <w:r w:rsidR="001C205C">
        <w:rPr>
          <w:rFonts w:asciiTheme="minorHAnsi" w:hAnsiTheme="minorHAnsi" w:cstheme="minorHAnsi"/>
          <w:sz w:val="22"/>
          <w:szCs w:val="22"/>
          <w:lang w:val="en-GB"/>
        </w:rPr>
        <w:t>Our model</w:t>
      </w:r>
      <w:r w:rsidR="001C205C" w:rsidRPr="00C91EF0">
        <w:rPr>
          <w:rFonts w:asciiTheme="minorHAnsi" w:hAnsiTheme="minorHAnsi" w:cstheme="minorHAnsi"/>
          <w:sz w:val="22"/>
          <w:szCs w:val="22"/>
          <w:lang w:val="en-GB"/>
        </w:rPr>
        <w:t xml:space="preserve"> </w:t>
      </w:r>
      <w:r w:rsidR="0083208F" w:rsidRPr="00C91EF0">
        <w:rPr>
          <w:rFonts w:asciiTheme="minorHAnsi" w:hAnsiTheme="minorHAnsi" w:cstheme="minorHAnsi"/>
          <w:sz w:val="22"/>
          <w:szCs w:val="22"/>
          <w:lang w:val="en-GB"/>
        </w:rPr>
        <w:t xml:space="preserve">included a wide selection of </w:t>
      </w:r>
      <w:r w:rsidR="008A3259" w:rsidRPr="00C91EF0">
        <w:rPr>
          <w:rFonts w:asciiTheme="minorHAnsi" w:hAnsiTheme="minorHAnsi" w:cstheme="minorHAnsi"/>
          <w:sz w:val="22"/>
          <w:szCs w:val="22"/>
          <w:lang w:val="en-GB"/>
        </w:rPr>
        <w:t xml:space="preserve">prognostic </w:t>
      </w:r>
      <w:r w:rsidR="0062066E" w:rsidRPr="00C91EF0">
        <w:rPr>
          <w:rFonts w:asciiTheme="minorHAnsi" w:hAnsiTheme="minorHAnsi" w:cstheme="minorHAnsi"/>
          <w:sz w:val="22"/>
          <w:szCs w:val="22"/>
          <w:lang w:val="en-GB"/>
        </w:rPr>
        <w:t>variables</w:t>
      </w:r>
      <w:r w:rsidR="00D42094" w:rsidRPr="00C91EF0">
        <w:rPr>
          <w:rFonts w:asciiTheme="minorHAnsi" w:hAnsiTheme="minorHAnsi" w:cstheme="minorHAnsi"/>
          <w:sz w:val="22"/>
          <w:szCs w:val="22"/>
          <w:lang w:val="en-GB"/>
        </w:rPr>
        <w:t xml:space="preserve"> related to</w:t>
      </w:r>
      <w:r w:rsidR="00C538E5" w:rsidRPr="00C91EF0">
        <w:rPr>
          <w:rFonts w:asciiTheme="minorHAnsi" w:hAnsiTheme="minorHAnsi" w:cstheme="minorHAnsi"/>
          <w:sz w:val="22"/>
          <w:szCs w:val="22"/>
          <w:lang w:val="en-GB"/>
        </w:rPr>
        <w:t xml:space="preserve"> </w:t>
      </w:r>
      <w:r w:rsidR="003B66C2" w:rsidRPr="00C91EF0">
        <w:rPr>
          <w:rFonts w:asciiTheme="minorHAnsi" w:hAnsiTheme="minorHAnsi" w:cstheme="minorHAnsi"/>
          <w:sz w:val="22"/>
          <w:szCs w:val="22"/>
          <w:lang w:val="en-GB"/>
        </w:rPr>
        <w:t>demog</w:t>
      </w:r>
      <w:r w:rsidR="00D971D5" w:rsidRPr="00C91EF0">
        <w:rPr>
          <w:rFonts w:asciiTheme="minorHAnsi" w:hAnsiTheme="minorHAnsi" w:cstheme="minorHAnsi"/>
          <w:sz w:val="22"/>
          <w:szCs w:val="22"/>
          <w:lang w:val="en-GB"/>
        </w:rPr>
        <w:t>r</w:t>
      </w:r>
      <w:r w:rsidR="003B66C2" w:rsidRPr="00C91EF0">
        <w:rPr>
          <w:rFonts w:asciiTheme="minorHAnsi" w:hAnsiTheme="minorHAnsi" w:cstheme="minorHAnsi"/>
          <w:sz w:val="22"/>
          <w:szCs w:val="22"/>
          <w:lang w:val="en-GB"/>
        </w:rPr>
        <w:t>aphics</w:t>
      </w:r>
      <w:r w:rsidR="00C538E5" w:rsidRPr="00C91EF0">
        <w:rPr>
          <w:rFonts w:asciiTheme="minorHAnsi" w:hAnsiTheme="minorHAnsi" w:cstheme="minorHAnsi"/>
          <w:sz w:val="22"/>
          <w:szCs w:val="22"/>
          <w:lang w:val="en-GB"/>
        </w:rPr>
        <w:t xml:space="preserve">, prescribed medication, </w:t>
      </w:r>
      <w:r w:rsidR="00AF4081" w:rsidRPr="00C91EF0">
        <w:rPr>
          <w:rFonts w:asciiTheme="minorHAnsi" w:hAnsiTheme="minorHAnsi" w:cstheme="minorHAnsi"/>
          <w:sz w:val="22"/>
          <w:szCs w:val="22"/>
          <w:lang w:val="en-GB"/>
        </w:rPr>
        <w:t xml:space="preserve">potentially </w:t>
      </w:r>
      <w:r w:rsidR="00C538E5" w:rsidRPr="00C91EF0">
        <w:rPr>
          <w:rFonts w:asciiTheme="minorHAnsi" w:hAnsiTheme="minorHAnsi" w:cstheme="minorHAnsi"/>
          <w:sz w:val="22"/>
          <w:szCs w:val="22"/>
          <w:lang w:val="en-GB"/>
        </w:rPr>
        <w:t>inappropriate medication</w:t>
      </w:r>
      <w:r w:rsidR="008A3259" w:rsidRPr="00C91EF0">
        <w:rPr>
          <w:rFonts w:asciiTheme="minorHAnsi" w:hAnsiTheme="minorHAnsi" w:cstheme="minorHAnsi"/>
          <w:sz w:val="22"/>
          <w:szCs w:val="22"/>
          <w:lang w:val="en-GB"/>
        </w:rPr>
        <w:t xml:space="preserve"> and omissions</w:t>
      </w:r>
      <w:r w:rsidR="00AF4081" w:rsidRPr="00C91EF0">
        <w:rPr>
          <w:rFonts w:asciiTheme="minorHAnsi" w:hAnsiTheme="minorHAnsi" w:cstheme="minorHAnsi"/>
          <w:sz w:val="22"/>
          <w:szCs w:val="22"/>
          <w:lang w:val="en-GB"/>
        </w:rPr>
        <w:t xml:space="preserve">, </w:t>
      </w:r>
      <w:r w:rsidR="00C538E5" w:rsidRPr="00C91EF0">
        <w:rPr>
          <w:rFonts w:asciiTheme="minorHAnsi" w:hAnsiTheme="minorHAnsi" w:cstheme="minorHAnsi"/>
          <w:sz w:val="22"/>
          <w:szCs w:val="22"/>
          <w:lang w:val="en-GB"/>
        </w:rPr>
        <w:t xml:space="preserve">functional status, </w:t>
      </w:r>
      <w:r w:rsidR="005A2371" w:rsidRPr="00C91EF0">
        <w:rPr>
          <w:rFonts w:asciiTheme="minorHAnsi" w:hAnsiTheme="minorHAnsi" w:cstheme="minorHAnsi"/>
          <w:sz w:val="22"/>
          <w:szCs w:val="22"/>
          <w:lang w:val="en-GB"/>
        </w:rPr>
        <w:t xml:space="preserve">and </w:t>
      </w:r>
      <w:r w:rsidR="00C538E5" w:rsidRPr="00C91EF0">
        <w:rPr>
          <w:rFonts w:asciiTheme="minorHAnsi" w:hAnsiTheme="minorHAnsi" w:cstheme="minorHAnsi"/>
          <w:sz w:val="22"/>
          <w:szCs w:val="22"/>
          <w:lang w:val="en-GB"/>
        </w:rPr>
        <w:t>well-being</w:t>
      </w:r>
      <w:r w:rsidR="00A151DA" w:rsidRPr="00C91EF0">
        <w:rPr>
          <w:rFonts w:asciiTheme="minorHAnsi" w:hAnsiTheme="minorHAnsi" w:cstheme="minorHAnsi"/>
          <w:sz w:val="22"/>
          <w:szCs w:val="22"/>
          <w:lang w:val="en-GB"/>
        </w:rPr>
        <w:t>,</w:t>
      </w:r>
      <w:r w:rsidR="00C538E5" w:rsidRPr="00C91EF0">
        <w:rPr>
          <w:rFonts w:asciiTheme="minorHAnsi" w:hAnsiTheme="minorHAnsi" w:cstheme="minorHAnsi"/>
          <w:sz w:val="22"/>
          <w:szCs w:val="22"/>
          <w:lang w:val="en-GB"/>
        </w:rPr>
        <w:t xml:space="preserve"> </w:t>
      </w:r>
      <w:r w:rsidR="00A151DA" w:rsidRPr="00C91EF0">
        <w:rPr>
          <w:rFonts w:asciiTheme="minorHAnsi" w:hAnsiTheme="minorHAnsi" w:cstheme="minorHAnsi"/>
          <w:sz w:val="22"/>
          <w:szCs w:val="22"/>
          <w:lang w:val="en-GB"/>
        </w:rPr>
        <w:t xml:space="preserve">which all </w:t>
      </w:r>
      <w:r w:rsidR="00C538E5" w:rsidRPr="00C91EF0">
        <w:rPr>
          <w:rFonts w:asciiTheme="minorHAnsi" w:hAnsiTheme="minorHAnsi" w:cstheme="minorHAnsi"/>
          <w:sz w:val="22"/>
          <w:szCs w:val="22"/>
          <w:lang w:val="en-GB"/>
        </w:rPr>
        <w:t>significantly contributed</w:t>
      </w:r>
      <w:r w:rsidR="005B2EC3" w:rsidRPr="00C91EF0">
        <w:rPr>
          <w:rFonts w:asciiTheme="minorHAnsi" w:hAnsiTheme="minorHAnsi" w:cstheme="minorHAnsi"/>
          <w:sz w:val="22"/>
          <w:szCs w:val="22"/>
          <w:lang w:val="en-GB"/>
        </w:rPr>
        <w:t xml:space="preserve"> to the prediction of </w:t>
      </w:r>
      <w:proofErr w:type="spellStart"/>
      <w:r w:rsidR="008076B0">
        <w:rPr>
          <w:rFonts w:asciiTheme="minorHAnsi" w:hAnsiTheme="minorHAnsi" w:cstheme="minorHAnsi"/>
          <w:sz w:val="22"/>
          <w:szCs w:val="22"/>
          <w:lang w:val="en-GB"/>
        </w:rPr>
        <w:t>d</w:t>
      </w:r>
      <w:r w:rsidR="005B2EC3" w:rsidRPr="00C91EF0">
        <w:rPr>
          <w:rFonts w:asciiTheme="minorHAnsi" w:hAnsiTheme="minorHAnsi" w:cstheme="minorHAnsi"/>
          <w:sz w:val="22"/>
          <w:szCs w:val="22"/>
          <w:lang w:val="en-GB"/>
        </w:rPr>
        <w:t>HRQoL</w:t>
      </w:r>
      <w:proofErr w:type="spellEnd"/>
      <w:r w:rsidR="00C538E5" w:rsidRPr="00C91EF0">
        <w:rPr>
          <w:rFonts w:asciiTheme="minorHAnsi" w:hAnsiTheme="minorHAnsi" w:cstheme="minorHAnsi"/>
          <w:sz w:val="22"/>
          <w:szCs w:val="22"/>
          <w:lang w:val="en-GB"/>
        </w:rPr>
        <w:t xml:space="preserve">. </w:t>
      </w:r>
      <w:r w:rsidR="00F829D4" w:rsidRPr="00C91EF0">
        <w:rPr>
          <w:rFonts w:asciiTheme="minorHAnsi" w:hAnsiTheme="minorHAnsi" w:cstheme="minorHAnsi"/>
          <w:sz w:val="22"/>
          <w:szCs w:val="22"/>
          <w:lang w:val="en-GB"/>
        </w:rPr>
        <w:t xml:space="preserve">Among them, </w:t>
      </w:r>
      <w:r w:rsidR="00C538E5" w:rsidRPr="00C91EF0">
        <w:rPr>
          <w:rFonts w:asciiTheme="minorHAnsi" w:hAnsiTheme="minorHAnsi" w:cstheme="minorHAnsi"/>
          <w:sz w:val="22"/>
          <w:szCs w:val="22"/>
          <w:lang w:val="en-GB"/>
        </w:rPr>
        <w:t>baseline HRQoL (high face vali</w:t>
      </w:r>
      <w:r w:rsidR="005A2371" w:rsidRPr="00C91EF0">
        <w:rPr>
          <w:rFonts w:asciiTheme="minorHAnsi" w:hAnsiTheme="minorHAnsi" w:cstheme="minorHAnsi"/>
          <w:sz w:val="22"/>
          <w:szCs w:val="22"/>
          <w:lang w:val="en-GB"/>
        </w:rPr>
        <w:t>di</w:t>
      </w:r>
      <w:r w:rsidR="00C538E5" w:rsidRPr="00C91EF0">
        <w:rPr>
          <w:rFonts w:asciiTheme="minorHAnsi" w:hAnsiTheme="minorHAnsi" w:cstheme="minorHAnsi"/>
          <w:sz w:val="22"/>
          <w:szCs w:val="22"/>
          <w:lang w:val="en-GB"/>
        </w:rPr>
        <w:t>ty)</w:t>
      </w:r>
      <w:r w:rsidR="00F829D4" w:rsidRPr="00C91EF0">
        <w:rPr>
          <w:rFonts w:asciiTheme="minorHAnsi" w:hAnsiTheme="minorHAnsi" w:cstheme="minorHAnsi"/>
          <w:sz w:val="22"/>
          <w:szCs w:val="22"/>
          <w:lang w:val="en-GB"/>
        </w:rPr>
        <w:t xml:space="preserve"> </w:t>
      </w:r>
      <w:r w:rsidR="008076B0">
        <w:rPr>
          <w:rFonts w:asciiTheme="minorHAnsi" w:hAnsiTheme="minorHAnsi" w:cstheme="minorHAnsi"/>
          <w:sz w:val="22"/>
          <w:szCs w:val="22"/>
          <w:lang w:val="en-GB"/>
        </w:rPr>
        <w:t>was the most importan</w:t>
      </w:r>
      <w:r w:rsidR="00E7637F">
        <w:rPr>
          <w:rFonts w:asciiTheme="minorHAnsi" w:hAnsiTheme="minorHAnsi" w:cstheme="minorHAnsi"/>
          <w:sz w:val="22"/>
          <w:szCs w:val="22"/>
          <w:lang w:val="en-GB"/>
        </w:rPr>
        <w:t>t</w:t>
      </w:r>
      <w:r w:rsidR="008076B0">
        <w:rPr>
          <w:rFonts w:asciiTheme="minorHAnsi" w:hAnsiTheme="minorHAnsi" w:cstheme="minorHAnsi"/>
          <w:sz w:val="22"/>
          <w:szCs w:val="22"/>
          <w:lang w:val="en-GB"/>
        </w:rPr>
        <w:t xml:space="preserve">, </w:t>
      </w:r>
      <w:r w:rsidR="00F829D4" w:rsidRPr="00C91EF0">
        <w:rPr>
          <w:rFonts w:asciiTheme="minorHAnsi" w:hAnsiTheme="minorHAnsi" w:cstheme="minorHAnsi"/>
          <w:sz w:val="22"/>
          <w:szCs w:val="22"/>
          <w:lang w:val="en-GB"/>
        </w:rPr>
        <w:t xml:space="preserve">followed by </w:t>
      </w:r>
      <w:r w:rsidR="00C538E5" w:rsidRPr="00C91EF0">
        <w:rPr>
          <w:rFonts w:asciiTheme="minorHAnsi" w:hAnsiTheme="minorHAnsi" w:cstheme="minorHAnsi"/>
          <w:sz w:val="22"/>
          <w:szCs w:val="22"/>
          <w:lang w:val="en-GB"/>
        </w:rPr>
        <w:t>functional status (</w:t>
      </w:r>
      <w:r w:rsidR="00F56DCB" w:rsidRPr="00C91EF0">
        <w:rPr>
          <w:rFonts w:asciiTheme="minorHAnsi" w:hAnsiTheme="minorHAnsi" w:cstheme="minorHAnsi"/>
          <w:sz w:val="22"/>
          <w:szCs w:val="22"/>
          <w:lang w:val="en-GB"/>
        </w:rPr>
        <w:t xml:space="preserve">well known to be associated with </w:t>
      </w:r>
      <w:proofErr w:type="spellStart"/>
      <w:r w:rsidR="008076B0">
        <w:rPr>
          <w:rFonts w:asciiTheme="minorHAnsi" w:hAnsiTheme="minorHAnsi" w:cstheme="minorHAnsi"/>
          <w:sz w:val="22"/>
          <w:szCs w:val="22"/>
          <w:lang w:val="en-GB"/>
        </w:rPr>
        <w:t>d</w:t>
      </w:r>
      <w:r w:rsidR="00F56DCB" w:rsidRPr="00C91EF0">
        <w:rPr>
          <w:rFonts w:asciiTheme="minorHAnsi" w:hAnsiTheme="minorHAnsi" w:cstheme="minorHAnsi"/>
          <w:sz w:val="22"/>
          <w:szCs w:val="22"/>
          <w:lang w:val="en-GB"/>
        </w:rPr>
        <w:t>HRQoL</w:t>
      </w:r>
      <w:proofErr w:type="spellEnd"/>
      <w:r w:rsidR="00F66AE6" w:rsidRPr="00C91EF0">
        <w:rPr>
          <w:rFonts w:asciiTheme="minorHAnsi" w:hAnsiTheme="minorHAnsi" w:cstheme="minorHAnsi"/>
          <w:sz w:val="22"/>
          <w:szCs w:val="22"/>
          <w:lang w:val="en-GB"/>
        </w:rPr>
        <w:t xml:space="preserv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10.1111/joim.12843","ISSN":"09546820","author":[{"dropping-particle":"","family":"Calderón-Larrañaga","given":"Amaia","non-dropping-particle":"","parse-names":false,"suffix":""},{"dropping-particle":"","family":"Vetrano","given":"Davide L","non-dropping-particle":"","parse-names":false,"suffix":""},{"dropping-particle":"","family":"Ferrucci","given":"Luigi","non-dropping-particle":"","parse-names":false,"suffix":""},{"dropping-particle":"","family":"Mercer","given":"Stewart W","non-dropping-particle":"","parse-names":false,"suffix":""},{"dropping-particle":"","family":"Marengoni","given":"Alessandra","non-dropping-particle":"","parse-names":false,"suffix":""},{"dropping-particle":"","family":"Onder","given":"Graziano","non-dropping-particle":"","parse-names":false,"suffix":""},{"dropping-particle":"","family":"Eriksdotter","given":"Maria","non-dropping-particle":"","parse-names":false,"suffix":""},{"dropping-particle":"","family":"Fratiglioni","given":"Laura","non-dropping-particle":"","parse-names":false,"suffix":""}],"container-title":"Journal of Internal Medicine","id":"ITEM-1","issued":{"date-parts":[["2018","10","24"]]},"title":"Multimorbidity and functional impairment: bidirectional interplay, synergistic effects and common pathways","type":"article-journal"},"uris":["http://www.mendeley.com/documents/?uuid=1a7ef7da-49ea-42e1-8a4b-d5cf96281d65"]}],"mendeley":{"formattedCitation":"(74)","plainTextFormattedCitation":"(74)","previouslyFormattedCitation":"(73)"},"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(74)</w:t>
      </w:r>
      <w:r w:rsidR="00776DB8" w:rsidRPr="00C91EF0">
        <w:rPr>
          <w:rFonts w:asciiTheme="minorHAnsi" w:hAnsiTheme="minorHAnsi" w:cstheme="minorHAnsi"/>
          <w:sz w:val="22"/>
          <w:szCs w:val="22"/>
          <w:lang w:val="en-GB"/>
        </w:rPr>
        <w:fldChar w:fldCharType="end"/>
      </w:r>
      <w:r w:rsidR="003F319D" w:rsidRPr="00C91EF0">
        <w:rPr>
          <w:rFonts w:asciiTheme="minorHAnsi" w:hAnsiTheme="minorHAnsi" w:cstheme="minorHAnsi"/>
          <w:sz w:val="22"/>
          <w:szCs w:val="22"/>
          <w:lang w:val="en-GB"/>
        </w:rPr>
        <w:t>).</w:t>
      </w:r>
      <w:r w:rsidR="00D244EA">
        <w:rPr>
          <w:rFonts w:asciiTheme="minorHAnsi" w:hAnsiTheme="minorHAnsi" w:cstheme="minorHAnsi"/>
          <w:sz w:val="22"/>
          <w:szCs w:val="22"/>
          <w:lang w:val="en-GB"/>
        </w:rPr>
        <w:t xml:space="preserve"> </w:t>
      </w:r>
      <w:r w:rsidR="008076B0">
        <w:rPr>
          <w:rFonts w:asciiTheme="minorHAnsi" w:hAnsiTheme="minorHAnsi" w:cstheme="minorHAnsi"/>
          <w:sz w:val="22"/>
          <w:szCs w:val="22"/>
          <w:lang w:val="en-GB"/>
        </w:rPr>
        <w:t xml:space="preserve">Simple counts of </w:t>
      </w:r>
      <w:r w:rsidR="00D244EA">
        <w:rPr>
          <w:rFonts w:asciiTheme="minorHAnsi" w:hAnsiTheme="minorHAnsi" w:cstheme="minorHAnsi"/>
          <w:sz w:val="22"/>
          <w:szCs w:val="22"/>
          <w:lang w:val="en-GB"/>
        </w:rPr>
        <w:t xml:space="preserve">multimorbidity </w:t>
      </w:r>
      <w:r w:rsidR="00776DB8" w:rsidRPr="00C91EF0">
        <w:rPr>
          <w:rFonts w:asciiTheme="minorHAnsi" w:hAnsiTheme="minorHAnsi" w:cstheme="minorHAnsi"/>
          <w:sz w:val="22"/>
          <w:szCs w:val="22"/>
          <w:lang w:val="en-GB" w:eastAsia="nb-NO"/>
        </w:rPr>
        <w:fldChar w:fldCharType="begin" w:fldLock="1"/>
      </w:r>
      <w:r w:rsidR="006819A8">
        <w:rPr>
          <w:rFonts w:asciiTheme="minorHAnsi" w:hAnsiTheme="minorHAnsi" w:cstheme="minorHAnsi"/>
          <w:sz w:val="22"/>
          <w:szCs w:val="22"/>
          <w:lang w:val="en-GB" w:eastAsia="nb-NO"/>
        </w:rPr>
        <w:instrText>ADDIN CSL_CITATION {"citationItems":[{"id":"ITEM-1","itemData":{"DOI":"10.1093/gerona/glq208","ISBN":"1758-535X (Electronic)\\r1079-5006 (Linking)","ISSN":"1079-5006","PMID":"21112963","abstract":"Multimorbidity, defined as the coexistence of 2 or more chronic diseases, is a common phenomenon especially in older people. Numerous efforts to establish a standardized instrument to assess the level of multimorbidity have failed until now, and indices are primarily characterized by their high heterogeneity. Thus, the objective is to provide a comprehensive overview on existing instruments on the basis of a systematic literature review.","author":[{"dropping-particle":"","family":"Diederichs","given":"Claudia","non-dropping-particle":"","parse-names":false,"suffix":""},{"dropping-particle":"","family":"Berger","given":"Klaus","non-dropping-particle":"","parse-names":false,"suffix":""},{"dropping-particle":"","family":"Bartels","given":"Dorothée B.","non-dropping-particle":"","parse-names":false,"suffix":""}],"container-title":"J Gerontol - Ser A Biol Sci Med Sci","id":"ITEM-1","issue":"3","issued":{"date-parts":[["2011","3","1"]]},"page":"301-311","title":"The Measurement of Multiple Chronic Diseases--A Systematic Review on Existing Multimorbidity Indices","type":"article-journal","volume":"66A"},"uris":["http://www.mendeley.com/documents/?uuid=2df83a69-903e-42ff-b15f-8f5c8b9dd70c"]}],"mendeley":{"formattedCitation":"(30)","plainTextFormattedCitation":"(30)","previouslyFormattedCitation":"(29)"},"properties":{"noteIndex":0},"schema":"https://github.com/citation-style-language/schema/raw/master/csl-citation.json"}</w:instrText>
      </w:r>
      <w:r w:rsidR="00776DB8" w:rsidRPr="00C91EF0">
        <w:rPr>
          <w:rFonts w:asciiTheme="minorHAnsi" w:hAnsiTheme="minorHAnsi" w:cstheme="minorHAnsi"/>
          <w:sz w:val="22"/>
          <w:szCs w:val="22"/>
          <w:lang w:val="en-GB" w:eastAsia="nb-NO"/>
        </w:rPr>
        <w:fldChar w:fldCharType="separate"/>
      </w:r>
      <w:r w:rsidR="006819A8" w:rsidRPr="006819A8">
        <w:rPr>
          <w:rFonts w:asciiTheme="minorHAnsi" w:hAnsiTheme="minorHAnsi" w:cstheme="minorHAnsi"/>
          <w:noProof/>
          <w:sz w:val="22"/>
          <w:szCs w:val="22"/>
          <w:lang w:val="en-GB" w:eastAsia="nb-NO"/>
        </w:rPr>
        <w:t>(30)</w:t>
      </w:r>
      <w:r w:rsidR="00776DB8" w:rsidRPr="00C91EF0">
        <w:rPr>
          <w:rFonts w:asciiTheme="minorHAnsi" w:hAnsiTheme="minorHAnsi" w:cstheme="minorHAnsi"/>
          <w:sz w:val="22"/>
          <w:szCs w:val="22"/>
          <w:lang w:val="en-GB" w:eastAsia="nb-NO"/>
        </w:rPr>
        <w:fldChar w:fldCharType="end"/>
      </w:r>
      <w:r w:rsidR="00D244EA">
        <w:rPr>
          <w:rFonts w:asciiTheme="minorHAnsi" w:hAnsiTheme="minorHAnsi" w:cstheme="minorHAnsi"/>
          <w:sz w:val="22"/>
          <w:szCs w:val="22"/>
          <w:lang w:val="en-GB" w:eastAsia="nb-NO"/>
        </w:rPr>
        <w:t xml:space="preserve"> </w:t>
      </w:r>
      <w:r w:rsidR="00D244EA">
        <w:rPr>
          <w:rFonts w:asciiTheme="minorHAnsi" w:hAnsiTheme="minorHAnsi" w:cstheme="minorHAnsi"/>
          <w:sz w:val="22"/>
          <w:szCs w:val="22"/>
          <w:lang w:val="en-GB"/>
        </w:rPr>
        <w:t>and polypharmacy did not indicate that patients were at risk per se</w:t>
      </w:r>
      <w:r w:rsidR="00A37749">
        <w:rPr>
          <w:rFonts w:asciiTheme="minorHAnsi" w:hAnsiTheme="minorHAnsi" w:cstheme="minorHAnsi"/>
          <w:sz w:val="22"/>
          <w:szCs w:val="22"/>
          <w:lang w:val="en-GB"/>
        </w:rPr>
        <w:t xml:space="preserve"> w</w:t>
      </w:r>
      <w:r w:rsidR="00D244EA">
        <w:rPr>
          <w:rFonts w:asciiTheme="minorHAnsi" w:hAnsiTheme="minorHAnsi" w:cstheme="minorHAnsi"/>
          <w:sz w:val="22"/>
          <w:szCs w:val="22"/>
          <w:lang w:val="en-GB"/>
        </w:rPr>
        <w:t xml:space="preserve">ith regard to </w:t>
      </w:r>
      <w:proofErr w:type="spellStart"/>
      <w:r w:rsidR="008076B0">
        <w:rPr>
          <w:rFonts w:asciiTheme="minorHAnsi" w:hAnsiTheme="minorHAnsi" w:cstheme="minorHAnsi"/>
          <w:sz w:val="22"/>
          <w:szCs w:val="22"/>
          <w:lang w:val="en-GB"/>
        </w:rPr>
        <w:t>d</w:t>
      </w:r>
      <w:r w:rsidR="00D244EA">
        <w:rPr>
          <w:rFonts w:asciiTheme="minorHAnsi" w:hAnsiTheme="minorHAnsi" w:cstheme="minorHAnsi"/>
          <w:sz w:val="22"/>
          <w:szCs w:val="22"/>
          <w:lang w:val="en-GB"/>
        </w:rPr>
        <w:t>HRQoL</w:t>
      </w:r>
      <w:proofErr w:type="spellEnd"/>
      <w:r w:rsidR="00D1064D">
        <w:rPr>
          <w:rFonts w:asciiTheme="minorHAnsi" w:hAnsiTheme="minorHAnsi" w:cstheme="minorHAnsi"/>
          <w:sz w:val="22"/>
          <w:szCs w:val="22"/>
          <w:lang w:val="en-GB"/>
        </w:rPr>
        <w:t xml:space="preserve">, contrary to </w:t>
      </w:r>
      <w:r w:rsidR="007150BB">
        <w:rPr>
          <w:rFonts w:asciiTheme="minorHAnsi" w:hAnsiTheme="minorHAnsi" w:cstheme="minorHAnsi"/>
          <w:sz w:val="22"/>
          <w:szCs w:val="22"/>
          <w:lang w:val="en-GB"/>
        </w:rPr>
        <w:t xml:space="preserve">what </w:t>
      </w:r>
      <w:r w:rsidR="00D1064D">
        <w:rPr>
          <w:rFonts w:asciiTheme="minorHAnsi" w:hAnsiTheme="minorHAnsi" w:cstheme="minorHAnsi"/>
          <w:sz w:val="22"/>
          <w:szCs w:val="22"/>
          <w:lang w:val="en-GB"/>
        </w:rPr>
        <w:t xml:space="preserve">is found in the </w:t>
      </w:r>
      <w:r w:rsidR="00D244EA">
        <w:rPr>
          <w:rFonts w:asciiTheme="minorHAnsi" w:hAnsiTheme="minorHAnsi" w:cstheme="minorHAnsi"/>
          <w:sz w:val="22"/>
          <w:szCs w:val="22"/>
          <w:lang w:val="en-GB"/>
        </w:rPr>
        <w:t xml:space="preserve">literature </w:t>
      </w:r>
      <w:r w:rsidR="00776DB8">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{"citationItems":[{"id":"ITEM-1","itemData":{"DOI":"10.1093/fampra/cms060","ISSN":"0263-2136","author":[{"dropping-particle":"","family":"Brilleman","given":"S. L.","non-dropping-particle":"","parse-names":false,"suffix":""},{"dropping-particle":"","family":"Salisbury","given":"C.","non-dropping-particle":"","parse-names":false,"suffix":""}],"container-title":"Family Practice","id":"ITEM-1","issue":"2","issued":{"date-parts":[["2013","4","1"]]},"page":"172-178","title":"Comparing measures of multimorbidity to predict outcomes in primary care: a cross sectional study","type":"article-journal","volume":"30"},"uris":["http://www.mendeley.com/documents/?uuid=739d25e7-31a0-4a1c-b6f7-dc8e842ef8ee"]},{"id":"ITEM-2","itemData":{"DOI":"10.1016/j.arr.2011.03.003","ISSN":"1872-9649","PMID":"21402176","abstract":"A literature search was carried out to summarize the existing scientific evidence concerning occurrence, causes, and consequences of multimorbidity (the coexistence of multiple chronic diseases) in the elderly as well as models and quality of care of persons with multimorbidity. According to pre-established inclusion criteria, and using different search strategies, 41 articles were included (four of these were methodological papers only). Prevalence of multimorbidity in older persons ranges from 55 to 98%. In cross-sectional studies, older age, female gender, and low socioeconomic status are factors associated with multimorbidity, confirmed by longitudinal studies as well. Major consequences of multimorbidity are disability and functional decline, poor quality of life, and high health care costs. Controversial results were found on multimorbidity and mortality risk. Methodological issues in evaluating multimorbidity are discussed as well as future research needs, especially concerning etiological factors, combinations and clustering of chronic diseases, and care models for persons affected by multiple disorders. New insights in this field can lead to the identification of preventive strategies and better treatment of multimorbid patients.","author":[{"dropping-particle":"","family":"Marengoni","given":"Alessandra","non-dropping-particle":"","parse-names":false,"suffix":""},{"dropping-particle":"","family":"Angleman","given":"Sara","non-dropping-particle":"","parse-names":false,"suffix":""},{"dropping-particle":"","family":"Melis","given":"René","non-dropping-particle":"","parse-names":false,"suffix":""},{"dropping-particle":"","family":"Mangialasche","given":"Francesca","non-dropping-particle":"","parse-names":false,"suffix":""},{"dropping-particle":"","family":"Karp","given":"Anita","non-dropping-particle":"","parse-names":false,"suffix":""},{"dropping-particle":"","family":"Garmen","given":"Annika","non-dropping-particle":"","parse-names":false,"suffix":""},{"dropping-particle":"","family":"Meinow","given":"Bettina","non-dropping-particle":"","parse-names":false,"suffix":""},{"dropping-particle":"","family":"Fratiglioni","given":"Laura","non-dropping-particle":"","parse-names":false,"suffix":""}],"container-title":"Ageing research reviews","id":"ITEM-2","issue":"4","issued":{"date-parts":[["2011","9"]]},"page":"430-9","title":"Aging with multimorbidity: a systematic review of the literature.","type":"article-journal","volume":"10"},"uris":["http://www.mendeley.com/documents/?uuid=37c1c41c-03ed-4a46-af0f-2b98d1f4961a"]}],"mendeley":{"formattedCitation":"(7,75)","plainTextFormattedCitation":"(7,75)","previouslyFormattedCitation":"(6,74)"},"properties":{"noteIndex":0},"schema":"https://github.com/citation-style-language/schema/raw/master/csl-citation.json"}</w:instrText>
      </w:r>
      <w:r w:rsidR="00776DB8">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(7,75)</w:t>
      </w:r>
      <w:r w:rsidR="00776DB8">
        <w:rPr>
          <w:rFonts w:asciiTheme="minorHAnsi" w:hAnsiTheme="minorHAnsi" w:cstheme="minorHAnsi"/>
          <w:sz w:val="22"/>
          <w:szCs w:val="22"/>
          <w:lang w:val="en-GB"/>
        </w:rPr>
        <w:fldChar w:fldCharType="end"/>
      </w:r>
      <w:r w:rsidR="00D244EA">
        <w:rPr>
          <w:rFonts w:asciiTheme="minorHAnsi" w:hAnsiTheme="minorHAnsi" w:cstheme="minorHAnsi"/>
          <w:sz w:val="22"/>
          <w:szCs w:val="22"/>
          <w:lang w:val="en-GB"/>
        </w:rPr>
        <w:t>.</w:t>
      </w:r>
    </w:p>
    <w:p w14:paraId="410183E3" w14:textId="554BC344" w:rsidR="008D163F" w:rsidRPr="00C91EF0" w:rsidRDefault="004D132B" w:rsidP="00AD57B1">
      <w:pPr>
        <w:spacing w:line="480" w:lineRule="auto"/>
        <w:rPr>
          <w:rFonts w:asciiTheme="minorHAnsi" w:hAnsiTheme="minorHAnsi" w:cs="Calibri"/>
          <w:sz w:val="22"/>
          <w:szCs w:val="22"/>
          <w:lang w:val="en-GB"/>
        </w:rPr>
      </w:pPr>
      <w:r w:rsidRPr="00C91EF0">
        <w:rPr>
          <w:rFonts w:asciiTheme="minorHAnsi" w:hAnsiTheme="minorHAnsi" w:cstheme="minorHAnsi"/>
          <w:sz w:val="22"/>
          <w:szCs w:val="22"/>
          <w:lang w:val="en-GB"/>
        </w:rPr>
        <w:t xml:space="preserve">Using an IPD-MA </w:t>
      </w:r>
      <w:r w:rsidR="00474874">
        <w:rPr>
          <w:rFonts w:asciiTheme="minorHAnsi" w:hAnsiTheme="minorHAnsi" w:cstheme="minorHAnsi"/>
          <w:sz w:val="22"/>
          <w:szCs w:val="22"/>
          <w:lang w:val="en-GB"/>
        </w:rPr>
        <w:t xml:space="preserve">to create a model based on </w:t>
      </w:r>
      <w:r w:rsidR="00451DE2">
        <w:rPr>
          <w:rFonts w:asciiTheme="minorHAnsi" w:hAnsiTheme="minorHAnsi" w:cstheme="minorHAnsi"/>
          <w:sz w:val="22"/>
          <w:szCs w:val="22"/>
          <w:lang w:val="en-GB"/>
        </w:rPr>
        <w:t xml:space="preserve">primary research </w:t>
      </w:r>
      <w:r w:rsidRPr="00C91EF0">
        <w:rPr>
          <w:rFonts w:asciiTheme="minorHAnsi" w:hAnsiTheme="minorHAnsi" w:cstheme="minorHAnsi"/>
          <w:sz w:val="22"/>
          <w:szCs w:val="22"/>
          <w:lang w:val="en-GB"/>
        </w:rPr>
        <w:t>data provide</w:t>
      </w:r>
      <w:r w:rsidR="00F16DA7" w:rsidRPr="00C91EF0">
        <w:rPr>
          <w:rFonts w:asciiTheme="minorHAnsi" w:hAnsiTheme="minorHAnsi" w:cstheme="minorHAnsi"/>
          <w:sz w:val="22"/>
          <w:szCs w:val="22"/>
          <w:lang w:val="en-GB"/>
        </w:rPr>
        <w:t>d</w:t>
      </w:r>
      <w:r w:rsidR="00754315" w:rsidRPr="00C91EF0">
        <w:rPr>
          <w:rFonts w:asciiTheme="minorHAnsi" w:hAnsiTheme="minorHAnsi" w:cstheme="minorHAnsi"/>
          <w:sz w:val="22"/>
          <w:szCs w:val="22"/>
          <w:lang w:val="en-GB"/>
        </w:rPr>
        <w:t xml:space="preserve"> a</w:t>
      </w:r>
      <w:r w:rsidRPr="00C91EF0">
        <w:rPr>
          <w:rFonts w:asciiTheme="minorHAnsi" w:hAnsiTheme="minorHAnsi" w:cstheme="minorHAnsi"/>
          <w:sz w:val="22"/>
          <w:szCs w:val="22"/>
          <w:lang w:val="en-GB"/>
        </w:rPr>
        <w:t xml:space="preserve"> </w:t>
      </w:r>
      <w:r w:rsidR="001C205C">
        <w:rPr>
          <w:rFonts w:asciiTheme="minorHAnsi" w:hAnsiTheme="minorHAnsi" w:cstheme="minorHAnsi"/>
          <w:sz w:val="22"/>
          <w:szCs w:val="22"/>
          <w:lang w:val="en-GB"/>
        </w:rPr>
        <w:t>suitable</w:t>
      </w:r>
      <w:r w:rsidR="001C205C" w:rsidRPr="00C91EF0">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 xml:space="preserve">and comprehensive </w:t>
      </w:r>
      <w:r w:rsidR="00F829D4" w:rsidRPr="00C91EF0">
        <w:rPr>
          <w:rFonts w:asciiTheme="minorHAnsi" w:hAnsiTheme="minorHAnsi" w:cstheme="minorHAnsi"/>
          <w:sz w:val="22"/>
          <w:szCs w:val="22"/>
          <w:lang w:val="en-GB"/>
        </w:rPr>
        <w:t>source</w:t>
      </w:r>
      <w:r w:rsidR="00451DE2">
        <w:rPr>
          <w:rFonts w:asciiTheme="minorHAnsi" w:hAnsiTheme="minorHAnsi" w:cstheme="minorHAnsi"/>
          <w:sz w:val="22"/>
          <w:szCs w:val="22"/>
          <w:lang w:val="en-GB"/>
        </w:rPr>
        <w:t xml:space="preserve"> of information</w:t>
      </w:r>
      <w:r w:rsidRPr="00C91EF0">
        <w:rPr>
          <w:rFonts w:asciiTheme="minorHAnsi" w:hAnsiTheme="minorHAnsi" w:cstheme="minorHAnsi"/>
          <w:sz w:val="22"/>
          <w:szCs w:val="22"/>
          <w:lang w:val="en-GB"/>
        </w:rPr>
        <w:t xml:space="preserve"> that cover</w:t>
      </w:r>
      <w:r w:rsidR="00F16DA7" w:rsidRPr="00C91EF0">
        <w:rPr>
          <w:rFonts w:asciiTheme="minorHAnsi" w:hAnsiTheme="minorHAnsi" w:cstheme="minorHAnsi"/>
          <w:sz w:val="22"/>
          <w:szCs w:val="22"/>
          <w:lang w:val="en-GB"/>
        </w:rPr>
        <w:t>ed</w:t>
      </w:r>
      <w:r w:rsidRPr="00C91EF0">
        <w:rPr>
          <w:rFonts w:asciiTheme="minorHAnsi" w:hAnsiTheme="minorHAnsi" w:cstheme="minorHAnsi"/>
          <w:sz w:val="22"/>
          <w:szCs w:val="22"/>
          <w:lang w:val="en-GB"/>
        </w:rPr>
        <w:t xml:space="preserve"> all relevant dimensions that </w:t>
      </w:r>
      <w:r w:rsidR="00474874">
        <w:rPr>
          <w:rFonts w:asciiTheme="minorHAnsi" w:hAnsiTheme="minorHAnsi" w:cstheme="minorHAnsi"/>
          <w:sz w:val="22"/>
          <w:szCs w:val="22"/>
          <w:lang w:val="en-GB"/>
        </w:rPr>
        <w:t xml:space="preserve">are required </w:t>
      </w:r>
      <w:r w:rsidRPr="00C91EF0">
        <w:rPr>
          <w:rFonts w:asciiTheme="minorHAnsi" w:hAnsiTheme="minorHAnsi" w:cstheme="minorHAnsi"/>
          <w:sz w:val="22"/>
          <w:szCs w:val="22"/>
          <w:lang w:val="en-GB"/>
        </w:rPr>
        <w:t xml:space="preserve">in a prognostic model </w:t>
      </w:r>
      <w:r w:rsidR="00900F54">
        <w:rPr>
          <w:rFonts w:asciiTheme="minorHAnsi" w:hAnsiTheme="minorHAnsi" w:cstheme="minorHAnsi"/>
          <w:sz w:val="22"/>
          <w:szCs w:val="22"/>
          <w:lang w:val="en-GB"/>
        </w:rPr>
        <w:t>of</w:t>
      </w:r>
      <w:r w:rsidRPr="00C91EF0">
        <w:rPr>
          <w:rFonts w:asciiTheme="minorHAnsi" w:hAnsiTheme="minorHAnsi" w:cstheme="minorHAnsi"/>
          <w:sz w:val="22"/>
          <w:szCs w:val="22"/>
          <w:lang w:val="en-GB"/>
        </w:rPr>
        <w:t xml:space="preserve"> </w:t>
      </w:r>
      <w:proofErr w:type="spellStart"/>
      <w:r w:rsidR="00474874">
        <w:rPr>
          <w:rFonts w:asciiTheme="minorHAnsi" w:hAnsiTheme="minorHAnsi" w:cstheme="minorHAnsi"/>
          <w:sz w:val="22"/>
          <w:szCs w:val="22"/>
          <w:lang w:val="en-GB"/>
        </w:rPr>
        <w:t>d</w:t>
      </w:r>
      <w:r w:rsidRPr="00C91EF0">
        <w:rPr>
          <w:rFonts w:asciiTheme="minorHAnsi" w:hAnsiTheme="minorHAnsi" w:cstheme="minorHAnsi"/>
          <w:sz w:val="22"/>
          <w:szCs w:val="22"/>
          <w:lang w:val="en-GB"/>
        </w:rPr>
        <w:t>HRQoL</w:t>
      </w:r>
      <w:proofErr w:type="spellEnd"/>
      <w:r w:rsidRPr="00C91EF0">
        <w:rPr>
          <w:rFonts w:asciiTheme="minorHAnsi" w:hAnsiTheme="minorHAnsi" w:cstheme="minorHAnsi"/>
          <w:sz w:val="22"/>
          <w:szCs w:val="22"/>
          <w:lang w:val="en-GB"/>
        </w:rPr>
        <w:t xml:space="preserve">. </w:t>
      </w:r>
      <w:r w:rsidR="00474874">
        <w:rPr>
          <w:rFonts w:asciiTheme="minorHAnsi" w:hAnsiTheme="minorHAnsi" w:cstheme="minorHAnsi"/>
          <w:sz w:val="22"/>
          <w:szCs w:val="22"/>
          <w:lang w:val="en-GB"/>
        </w:rPr>
        <w:t>T</w:t>
      </w:r>
      <w:r w:rsidR="00C538E5" w:rsidRPr="00C91EF0">
        <w:rPr>
          <w:rFonts w:asciiTheme="minorHAnsi" w:hAnsiTheme="minorHAnsi" w:cstheme="minorHAnsi"/>
          <w:sz w:val="22"/>
          <w:szCs w:val="22"/>
          <w:lang w:val="en-GB"/>
        </w:rPr>
        <w:t xml:space="preserve">he </w:t>
      </w:r>
      <w:r w:rsidR="001F6AEC" w:rsidRPr="00C91EF0">
        <w:rPr>
          <w:rFonts w:asciiTheme="minorHAnsi" w:hAnsiTheme="minorHAnsi" w:cstheme="minorHAnsi"/>
          <w:sz w:val="22"/>
          <w:szCs w:val="22"/>
          <w:lang w:val="en-GB"/>
        </w:rPr>
        <w:t xml:space="preserve">case-mix variability </w:t>
      </w:r>
      <w:r w:rsidR="00C538E5" w:rsidRPr="00C91EF0">
        <w:rPr>
          <w:rFonts w:asciiTheme="minorHAnsi" w:hAnsiTheme="minorHAnsi" w:cstheme="minorHAnsi"/>
          <w:sz w:val="22"/>
          <w:szCs w:val="22"/>
          <w:lang w:val="en-GB"/>
        </w:rPr>
        <w:t xml:space="preserve">of this </w:t>
      </w:r>
      <w:r w:rsidR="00884B0C" w:rsidRPr="00C91EF0">
        <w:rPr>
          <w:rFonts w:asciiTheme="minorHAnsi" w:hAnsiTheme="minorHAnsi" w:cstheme="minorHAnsi"/>
          <w:sz w:val="22"/>
          <w:szCs w:val="22"/>
          <w:lang w:val="en-GB"/>
        </w:rPr>
        <w:t>database</w:t>
      </w:r>
      <w:r w:rsidR="00474874">
        <w:rPr>
          <w:rFonts w:asciiTheme="minorHAnsi" w:hAnsiTheme="minorHAnsi" w:cstheme="minorHAnsi"/>
          <w:sz w:val="22"/>
          <w:szCs w:val="22"/>
          <w:lang w:val="en-GB"/>
        </w:rPr>
        <w:t xml:space="preserve">, which includes </w:t>
      </w:r>
      <w:r w:rsidR="00884B0C" w:rsidRPr="00C91EF0">
        <w:rPr>
          <w:rFonts w:asciiTheme="minorHAnsi" w:hAnsiTheme="minorHAnsi" w:cstheme="minorHAnsi"/>
          <w:sz w:val="22"/>
          <w:szCs w:val="22"/>
          <w:lang w:val="en-GB"/>
        </w:rPr>
        <w:t xml:space="preserve">patients </w:t>
      </w:r>
      <w:r w:rsidR="00474874">
        <w:rPr>
          <w:rFonts w:asciiTheme="minorHAnsi" w:hAnsiTheme="minorHAnsi" w:cstheme="minorHAnsi"/>
          <w:sz w:val="22"/>
          <w:szCs w:val="22"/>
          <w:lang w:val="en-GB"/>
        </w:rPr>
        <w:t xml:space="preserve">from </w:t>
      </w:r>
      <w:r w:rsidR="00B036DD">
        <w:rPr>
          <w:rFonts w:asciiTheme="minorHAnsi" w:hAnsiTheme="minorHAnsi" w:cstheme="minorHAnsi"/>
          <w:sz w:val="22"/>
          <w:szCs w:val="22"/>
          <w:lang w:val="en-GB"/>
        </w:rPr>
        <w:t xml:space="preserve">two </w:t>
      </w:r>
      <w:r w:rsidR="00884B0C" w:rsidRPr="00C91EF0">
        <w:rPr>
          <w:rFonts w:asciiTheme="minorHAnsi" w:hAnsiTheme="minorHAnsi" w:cstheme="minorHAnsi"/>
          <w:sz w:val="22"/>
          <w:szCs w:val="22"/>
          <w:lang w:val="en-GB"/>
        </w:rPr>
        <w:t>different health care contexts</w:t>
      </w:r>
      <w:r w:rsidR="00B036DD">
        <w:rPr>
          <w:rFonts w:asciiTheme="minorHAnsi" w:hAnsiTheme="minorHAnsi" w:cstheme="minorHAnsi"/>
          <w:sz w:val="22"/>
          <w:szCs w:val="22"/>
          <w:lang w:val="en-GB"/>
        </w:rPr>
        <w:t xml:space="preserve"> and </w:t>
      </w:r>
      <w:r w:rsidR="00E7637F">
        <w:rPr>
          <w:rFonts w:asciiTheme="minorHAnsi" w:hAnsiTheme="minorHAnsi" w:cstheme="minorHAnsi"/>
          <w:sz w:val="22"/>
          <w:szCs w:val="22"/>
          <w:lang w:val="en-GB"/>
        </w:rPr>
        <w:t xml:space="preserve">involves </w:t>
      </w:r>
      <w:r w:rsidR="00B036DD">
        <w:rPr>
          <w:rFonts w:asciiTheme="minorHAnsi" w:hAnsiTheme="minorHAnsi" w:cstheme="minorHAnsi"/>
          <w:sz w:val="22"/>
          <w:szCs w:val="22"/>
          <w:lang w:val="en-GB"/>
        </w:rPr>
        <w:t xml:space="preserve">a reasonable time frame </w:t>
      </w:r>
      <w:r w:rsidR="00E7637F">
        <w:rPr>
          <w:rFonts w:asciiTheme="minorHAnsi" w:hAnsiTheme="minorHAnsi" w:cstheme="minorHAnsi"/>
          <w:sz w:val="22"/>
          <w:szCs w:val="22"/>
          <w:lang w:val="en-GB"/>
        </w:rPr>
        <w:t>to avoid limiting</w:t>
      </w:r>
      <w:r w:rsidR="00B036DD">
        <w:rPr>
          <w:rFonts w:asciiTheme="minorHAnsi" w:hAnsiTheme="minorHAnsi" w:cstheme="minorHAnsi"/>
          <w:sz w:val="22"/>
          <w:szCs w:val="22"/>
          <w:lang w:val="en-GB"/>
        </w:rPr>
        <w:t xml:space="preserve"> external validity</w:t>
      </w:r>
      <w:r w:rsidR="00BC05A8">
        <w:rPr>
          <w:rFonts w:asciiTheme="minorHAnsi" w:hAnsiTheme="minorHAnsi" w:cstheme="minorHAnsi"/>
          <w:sz w:val="22"/>
          <w:szCs w:val="22"/>
          <w:lang w:val="en-GB"/>
        </w:rPr>
        <w:t xml:space="preserve">, </w:t>
      </w:r>
      <w:r w:rsidR="009321A1">
        <w:rPr>
          <w:rFonts w:asciiTheme="minorHAnsi" w:hAnsiTheme="minorHAnsi" w:cstheme="minorHAnsi"/>
          <w:sz w:val="22"/>
          <w:szCs w:val="22"/>
          <w:lang w:val="en-GB"/>
        </w:rPr>
        <w:t xml:space="preserve">helped us achieve </w:t>
      </w:r>
      <w:r w:rsidR="00F829D4" w:rsidRPr="00C91EF0">
        <w:rPr>
          <w:rFonts w:asciiTheme="minorHAnsi" w:hAnsiTheme="minorHAnsi" w:cstheme="minorHAnsi"/>
          <w:sz w:val="22"/>
          <w:szCs w:val="22"/>
          <w:lang w:val="en-GB"/>
        </w:rPr>
        <w:t>good</w:t>
      </w:r>
      <w:r w:rsidR="00C538E5" w:rsidRPr="00C91EF0">
        <w:rPr>
          <w:rFonts w:asciiTheme="minorHAnsi" w:hAnsiTheme="minorHAnsi" w:cstheme="minorHAnsi"/>
          <w:sz w:val="22"/>
          <w:szCs w:val="22"/>
          <w:lang w:val="en-GB"/>
        </w:rPr>
        <w:t xml:space="preserve"> model performance and </w:t>
      </w:r>
      <w:r w:rsidR="00F829D4" w:rsidRPr="00C91EF0">
        <w:rPr>
          <w:rFonts w:asciiTheme="minorHAnsi" w:hAnsiTheme="minorHAnsi" w:cstheme="minorHAnsi"/>
          <w:sz w:val="22"/>
          <w:szCs w:val="22"/>
          <w:lang w:val="en-GB"/>
        </w:rPr>
        <w:t xml:space="preserve">promising </w:t>
      </w:r>
      <w:r w:rsidR="00C538E5" w:rsidRPr="00C91EF0">
        <w:rPr>
          <w:rFonts w:asciiTheme="minorHAnsi" w:hAnsiTheme="minorHAnsi" w:cstheme="minorHAnsi"/>
          <w:sz w:val="22"/>
          <w:szCs w:val="22"/>
          <w:lang w:val="en-GB"/>
        </w:rPr>
        <w:t>generalizability. Thus, the IPD framework allow</w:t>
      </w:r>
      <w:r w:rsidR="005A2371" w:rsidRPr="00C91EF0">
        <w:rPr>
          <w:rFonts w:asciiTheme="minorHAnsi" w:hAnsiTheme="minorHAnsi" w:cstheme="minorHAnsi"/>
          <w:sz w:val="22"/>
          <w:szCs w:val="22"/>
          <w:lang w:val="en-GB"/>
        </w:rPr>
        <w:t>ed</w:t>
      </w:r>
      <w:r w:rsidR="00C538E5" w:rsidRPr="00C91EF0">
        <w:rPr>
          <w:rFonts w:asciiTheme="minorHAnsi" w:hAnsiTheme="minorHAnsi" w:cstheme="minorHAnsi"/>
          <w:sz w:val="22"/>
          <w:szCs w:val="22"/>
          <w:lang w:val="en-GB"/>
        </w:rPr>
        <w:t xml:space="preserve"> </w:t>
      </w:r>
      <w:r w:rsidR="00474874">
        <w:rPr>
          <w:rFonts w:asciiTheme="minorHAnsi" w:hAnsiTheme="minorHAnsi" w:cstheme="minorHAnsi"/>
          <w:sz w:val="22"/>
          <w:szCs w:val="22"/>
          <w:lang w:val="en-GB"/>
        </w:rPr>
        <w:t xml:space="preserve">the generalizability of the </w:t>
      </w:r>
      <w:r w:rsidR="00C538E5" w:rsidRPr="00C91EF0">
        <w:rPr>
          <w:rFonts w:asciiTheme="minorHAnsi" w:hAnsiTheme="minorHAnsi" w:cstheme="minorHAnsi"/>
          <w:sz w:val="22"/>
          <w:szCs w:val="22"/>
          <w:lang w:val="en-GB"/>
        </w:rPr>
        <w:t xml:space="preserve">prediction model </w:t>
      </w:r>
      <w:r w:rsidR="00474874">
        <w:rPr>
          <w:rFonts w:asciiTheme="minorHAnsi" w:hAnsiTheme="minorHAnsi" w:cstheme="minorHAnsi"/>
          <w:sz w:val="22"/>
          <w:szCs w:val="22"/>
          <w:lang w:val="en-GB"/>
        </w:rPr>
        <w:t xml:space="preserve">to be estimated, </w:t>
      </w:r>
      <w:r w:rsidR="00C538E5" w:rsidRPr="00C91EF0">
        <w:rPr>
          <w:rFonts w:asciiTheme="minorHAnsi" w:hAnsiTheme="minorHAnsi" w:cstheme="minorHAnsi"/>
          <w:sz w:val="22"/>
          <w:szCs w:val="22"/>
          <w:lang w:val="en-GB"/>
        </w:rPr>
        <w:t>a</w:t>
      </w:r>
      <w:r w:rsidR="00474874">
        <w:rPr>
          <w:rFonts w:asciiTheme="minorHAnsi" w:hAnsiTheme="minorHAnsi" w:cstheme="minorHAnsi"/>
          <w:sz w:val="22"/>
          <w:szCs w:val="22"/>
          <w:lang w:val="en-GB"/>
        </w:rPr>
        <w:t xml:space="preserve">s well as </w:t>
      </w:r>
      <w:r w:rsidR="00C538E5" w:rsidRPr="00C91EF0">
        <w:rPr>
          <w:rFonts w:asciiTheme="minorHAnsi" w:hAnsiTheme="minorHAnsi" w:cstheme="minorHAnsi"/>
          <w:sz w:val="22"/>
          <w:szCs w:val="22"/>
          <w:lang w:val="en-GB"/>
        </w:rPr>
        <w:t xml:space="preserve">the probability of adequate performance in an independent population. </w:t>
      </w:r>
      <w:r w:rsidR="00AD57B1">
        <w:rPr>
          <w:rFonts w:asciiTheme="minorHAnsi" w:hAnsiTheme="minorHAnsi" w:cstheme="minorHAnsi"/>
          <w:sz w:val="22"/>
          <w:szCs w:val="22"/>
          <w:lang w:val="en-GB"/>
        </w:rPr>
        <w:t xml:space="preserve">However, </w:t>
      </w:r>
      <w:r w:rsidR="008D163F" w:rsidRPr="00C91EF0">
        <w:rPr>
          <w:rFonts w:asciiTheme="minorHAnsi" w:hAnsiTheme="minorHAnsi" w:cstheme="minorHAnsi"/>
          <w:sz w:val="22"/>
          <w:szCs w:val="22"/>
          <w:lang w:val="en-GB"/>
        </w:rPr>
        <w:t>the IPD-MA</w:t>
      </w:r>
      <w:r w:rsidR="00A151DA" w:rsidRPr="00C91EF0">
        <w:rPr>
          <w:rFonts w:asciiTheme="minorHAnsi" w:hAnsiTheme="minorHAnsi" w:cstheme="minorHAnsi"/>
          <w:sz w:val="22"/>
          <w:szCs w:val="22"/>
          <w:lang w:val="en-GB"/>
        </w:rPr>
        <w:t>-</w:t>
      </w:r>
      <w:r w:rsidR="008D163F" w:rsidRPr="00C91EF0">
        <w:rPr>
          <w:rFonts w:asciiTheme="minorHAnsi" w:hAnsiTheme="minorHAnsi" w:cstheme="minorHAnsi"/>
          <w:sz w:val="22"/>
          <w:szCs w:val="22"/>
          <w:lang w:val="en-GB"/>
        </w:rPr>
        <w:t xml:space="preserve">based modelling approach also </w:t>
      </w:r>
      <w:r w:rsidR="00474874">
        <w:rPr>
          <w:rFonts w:asciiTheme="minorHAnsi" w:hAnsiTheme="minorHAnsi" w:cstheme="minorHAnsi"/>
          <w:sz w:val="22"/>
          <w:szCs w:val="22"/>
          <w:lang w:val="en-GB"/>
        </w:rPr>
        <w:t xml:space="preserve">entailed the loss of </w:t>
      </w:r>
      <w:r w:rsidR="008D163F" w:rsidRPr="00C91EF0">
        <w:rPr>
          <w:rFonts w:asciiTheme="minorHAnsi" w:hAnsiTheme="minorHAnsi" w:cstheme="minorHAnsi"/>
          <w:sz w:val="22"/>
          <w:szCs w:val="22"/>
          <w:lang w:val="en-GB"/>
        </w:rPr>
        <w:t>some information (</w:t>
      </w:r>
      <w:r w:rsidR="00D11113" w:rsidRPr="00C91EF0">
        <w:rPr>
          <w:rFonts w:asciiTheme="minorHAnsi" w:hAnsiTheme="minorHAnsi" w:cstheme="minorHAnsi"/>
          <w:sz w:val="22"/>
          <w:szCs w:val="22"/>
          <w:lang w:val="en-GB"/>
        </w:rPr>
        <w:t>e.g.</w:t>
      </w:r>
      <w:r w:rsidR="00AD57B1">
        <w:rPr>
          <w:rFonts w:asciiTheme="minorHAnsi" w:hAnsiTheme="minorHAnsi" w:cstheme="minorHAnsi"/>
          <w:sz w:val="22"/>
          <w:szCs w:val="22"/>
          <w:lang w:val="en-GB"/>
        </w:rPr>
        <w:t xml:space="preserve">, the </w:t>
      </w:r>
      <w:r w:rsidR="00474874">
        <w:rPr>
          <w:rFonts w:asciiTheme="minorHAnsi" w:hAnsiTheme="minorHAnsi" w:cstheme="minorHAnsi"/>
          <w:sz w:val="22"/>
          <w:szCs w:val="22"/>
          <w:lang w:val="en-GB"/>
        </w:rPr>
        <w:t xml:space="preserve">smoking status variable was </w:t>
      </w:r>
      <w:r w:rsidR="00AD57B1">
        <w:rPr>
          <w:rFonts w:asciiTheme="minorHAnsi" w:hAnsiTheme="minorHAnsi" w:cstheme="minorHAnsi"/>
          <w:sz w:val="22"/>
          <w:szCs w:val="22"/>
          <w:lang w:val="en-GB"/>
        </w:rPr>
        <w:t>systematically missing</w:t>
      </w:r>
      <w:r w:rsidR="00474874">
        <w:rPr>
          <w:rFonts w:asciiTheme="minorHAnsi" w:hAnsiTheme="minorHAnsi" w:cstheme="minorHAnsi"/>
          <w:sz w:val="22"/>
          <w:szCs w:val="22"/>
          <w:lang w:val="en-GB"/>
        </w:rPr>
        <w:t xml:space="preserve">, and consideration of </w:t>
      </w:r>
      <w:r w:rsidR="0021530C" w:rsidRPr="00C91EF0">
        <w:rPr>
          <w:rFonts w:asciiTheme="minorHAnsi" w:hAnsiTheme="minorHAnsi" w:cstheme="minorHAnsi"/>
          <w:sz w:val="22"/>
          <w:szCs w:val="22"/>
          <w:lang w:val="en-GB"/>
        </w:rPr>
        <w:t xml:space="preserve">common </w:t>
      </w:r>
      <w:r w:rsidR="008D163F" w:rsidRPr="00C91EF0">
        <w:rPr>
          <w:rFonts w:asciiTheme="minorHAnsi" w:hAnsiTheme="minorHAnsi" w:cstheme="minorHAnsi"/>
          <w:sz w:val="22"/>
          <w:szCs w:val="22"/>
          <w:lang w:val="en-GB"/>
        </w:rPr>
        <w:t>chronic conditions</w:t>
      </w:r>
      <w:r w:rsidR="00900F54">
        <w:rPr>
          <w:rFonts w:asciiTheme="minorHAnsi" w:hAnsiTheme="minorHAnsi" w:cstheme="minorHAnsi"/>
          <w:sz w:val="22"/>
          <w:szCs w:val="22"/>
          <w:lang w:val="en-GB"/>
        </w:rPr>
        <w:t xml:space="preserve"> was limited</w:t>
      </w:r>
      <w:r w:rsidR="0021530C" w:rsidRPr="00C91EF0">
        <w:rPr>
          <w:rFonts w:asciiTheme="minorHAnsi" w:hAnsiTheme="minorHAnsi" w:cstheme="minorHAnsi"/>
          <w:sz w:val="22"/>
          <w:szCs w:val="22"/>
          <w:lang w:val="en-GB"/>
        </w:rPr>
        <w:t>)</w:t>
      </w:r>
      <w:r w:rsidR="008D163F" w:rsidRPr="00C91EF0">
        <w:rPr>
          <w:rFonts w:asciiTheme="minorHAnsi" w:hAnsiTheme="minorHAnsi" w:cstheme="minorHAnsi"/>
          <w:sz w:val="22"/>
          <w:szCs w:val="22"/>
          <w:lang w:val="en-GB"/>
        </w:rPr>
        <w:t xml:space="preserve"> </w:t>
      </w:r>
      <w:r w:rsidR="0021530C" w:rsidRPr="00C91EF0">
        <w:rPr>
          <w:rFonts w:asciiTheme="minorHAnsi" w:hAnsiTheme="minorHAnsi" w:cstheme="minorHAnsi"/>
          <w:sz w:val="22"/>
          <w:szCs w:val="22"/>
          <w:lang w:val="en-GB"/>
        </w:rPr>
        <w:t xml:space="preserve">and </w:t>
      </w:r>
      <w:r w:rsidR="00474874">
        <w:rPr>
          <w:rFonts w:asciiTheme="minorHAnsi" w:hAnsiTheme="minorHAnsi" w:cstheme="minorHAnsi"/>
          <w:sz w:val="22"/>
          <w:szCs w:val="22"/>
          <w:lang w:val="en-GB"/>
        </w:rPr>
        <w:t xml:space="preserve">made it difficult to clinically interpret </w:t>
      </w:r>
      <w:r w:rsidR="0021530C" w:rsidRPr="00C91EF0">
        <w:rPr>
          <w:rFonts w:asciiTheme="minorHAnsi" w:hAnsiTheme="minorHAnsi" w:cstheme="minorHAnsi"/>
          <w:sz w:val="22"/>
          <w:szCs w:val="22"/>
          <w:lang w:val="en-GB"/>
        </w:rPr>
        <w:t xml:space="preserve">some </w:t>
      </w:r>
      <w:r w:rsidR="00E1764C" w:rsidRPr="00C91EF0">
        <w:rPr>
          <w:rFonts w:asciiTheme="minorHAnsi" w:hAnsiTheme="minorHAnsi" w:cstheme="minorHAnsi"/>
          <w:sz w:val="22"/>
          <w:szCs w:val="22"/>
          <w:lang w:val="en-GB"/>
        </w:rPr>
        <w:t xml:space="preserve">prognostic </w:t>
      </w:r>
      <w:r w:rsidR="0062066E" w:rsidRPr="00C91EF0">
        <w:rPr>
          <w:rFonts w:asciiTheme="minorHAnsi" w:hAnsiTheme="minorHAnsi" w:cstheme="minorHAnsi"/>
          <w:sz w:val="22"/>
          <w:szCs w:val="22"/>
          <w:lang w:val="en-GB"/>
        </w:rPr>
        <w:t>variables</w:t>
      </w:r>
      <w:r w:rsidR="0021530C" w:rsidRPr="00C91EF0">
        <w:rPr>
          <w:rFonts w:asciiTheme="minorHAnsi" w:hAnsiTheme="minorHAnsi" w:cstheme="minorHAnsi"/>
          <w:sz w:val="22"/>
          <w:szCs w:val="22"/>
          <w:lang w:val="en-GB"/>
        </w:rPr>
        <w:t xml:space="preserve"> (</w:t>
      </w:r>
      <w:r w:rsidR="00474874">
        <w:rPr>
          <w:rFonts w:asciiTheme="minorHAnsi" w:hAnsiTheme="minorHAnsi" w:cstheme="minorHAnsi"/>
          <w:sz w:val="22"/>
          <w:szCs w:val="22"/>
          <w:lang w:val="en-GB"/>
        </w:rPr>
        <w:t>e.g.,</w:t>
      </w:r>
      <w:r w:rsidR="0021530C" w:rsidRPr="00C91EF0">
        <w:rPr>
          <w:rFonts w:asciiTheme="minorHAnsi" w:hAnsiTheme="minorHAnsi" w:cstheme="minorHAnsi"/>
          <w:sz w:val="22"/>
          <w:szCs w:val="22"/>
          <w:lang w:val="en-GB"/>
        </w:rPr>
        <w:t xml:space="preserve"> standardization of functional status measures).</w:t>
      </w:r>
      <w:r w:rsidR="00D971D5" w:rsidRPr="00C91EF0">
        <w:rPr>
          <w:rFonts w:asciiTheme="minorHAnsi" w:hAnsiTheme="minorHAnsi" w:cstheme="minorHAnsi"/>
          <w:sz w:val="22"/>
          <w:szCs w:val="22"/>
          <w:lang w:val="en-GB"/>
        </w:rPr>
        <w:t xml:space="preserve"> </w:t>
      </w:r>
      <w:r w:rsidR="00B036DD">
        <w:rPr>
          <w:rFonts w:asciiTheme="minorHAnsi" w:hAnsiTheme="minorHAnsi" w:cstheme="minorHAnsi"/>
          <w:sz w:val="22"/>
          <w:szCs w:val="22"/>
          <w:lang w:val="en-GB"/>
        </w:rPr>
        <w:t>Furthermore, the exclusion criteria of a short life expectancy and dementia limit the generalizability of the findings.</w:t>
      </w:r>
    </w:p>
    <w:p w14:paraId="722D6A49" w14:textId="2C024275" w:rsidR="00AF4081" w:rsidRDefault="00474874" w:rsidP="00D6770A">
      <w:pPr>
        <w:spacing w:line="480" w:lineRule="auto"/>
        <w:rPr>
          <w:rFonts w:asciiTheme="minorHAnsi" w:hAnsiTheme="minorHAnsi" w:cstheme="minorHAnsi"/>
          <w:sz w:val="22"/>
          <w:szCs w:val="22"/>
          <w:lang w:val="en-GB"/>
        </w:rPr>
      </w:pPr>
      <w:r>
        <w:rPr>
          <w:rFonts w:asciiTheme="minorHAnsi" w:hAnsiTheme="minorHAnsi" w:cstheme="minorHAnsi"/>
          <w:sz w:val="22"/>
          <w:szCs w:val="22"/>
          <w:lang w:val="en-GB"/>
        </w:rPr>
        <w:lastRenderedPageBreak/>
        <w:t xml:space="preserve">To the best of our knowledge, </w:t>
      </w:r>
      <w:r w:rsidR="00675CF2">
        <w:rPr>
          <w:rFonts w:asciiTheme="minorHAnsi" w:hAnsiTheme="minorHAnsi" w:cstheme="minorHAnsi"/>
          <w:sz w:val="22"/>
          <w:szCs w:val="22"/>
          <w:lang w:val="en-GB"/>
        </w:rPr>
        <w:t xml:space="preserve">our </w:t>
      </w:r>
      <w:proofErr w:type="spellStart"/>
      <w:r>
        <w:rPr>
          <w:rFonts w:asciiTheme="minorHAnsi" w:hAnsiTheme="minorHAnsi" w:cstheme="minorHAnsi"/>
          <w:sz w:val="22"/>
          <w:szCs w:val="22"/>
          <w:lang w:val="en-GB"/>
        </w:rPr>
        <w:t>d</w:t>
      </w:r>
      <w:r w:rsidR="006A4D6A" w:rsidRPr="00C91EF0">
        <w:rPr>
          <w:rFonts w:asciiTheme="minorHAnsi" w:hAnsiTheme="minorHAnsi" w:cstheme="minorHAnsi"/>
          <w:sz w:val="22"/>
          <w:szCs w:val="22"/>
          <w:lang w:val="en-GB"/>
        </w:rPr>
        <w:t>HRQoL</w:t>
      </w:r>
      <w:proofErr w:type="spellEnd"/>
      <w:r w:rsidR="006A4D6A" w:rsidRPr="00C91EF0">
        <w:rPr>
          <w:rFonts w:asciiTheme="minorHAnsi" w:hAnsiTheme="minorHAnsi" w:cstheme="minorHAnsi"/>
          <w:sz w:val="22"/>
          <w:szCs w:val="22"/>
          <w:lang w:val="en-GB"/>
        </w:rPr>
        <w:t xml:space="preserve"> prognostic model for older patients with chronic conditions and polypharmacy in general practice</w:t>
      </w:r>
      <w:r w:rsidR="00675CF2">
        <w:rPr>
          <w:rFonts w:asciiTheme="minorHAnsi" w:hAnsiTheme="minorHAnsi" w:cstheme="minorHAnsi"/>
          <w:sz w:val="22"/>
          <w:szCs w:val="22"/>
          <w:lang w:val="en-GB"/>
        </w:rPr>
        <w:t xml:space="preserve"> is the only one of its kind. </w:t>
      </w:r>
      <w:r w:rsidR="00AF4081" w:rsidRPr="00C91EF0">
        <w:rPr>
          <w:rFonts w:asciiTheme="minorHAnsi" w:hAnsiTheme="minorHAnsi" w:cstheme="minorHAnsi"/>
          <w:sz w:val="22"/>
          <w:szCs w:val="22"/>
          <w:lang w:val="en-GB"/>
        </w:rPr>
        <w:t xml:space="preserve">Existing risk stratification tools </w:t>
      </w:r>
      <w:r w:rsidR="00675CF2">
        <w:rPr>
          <w:rFonts w:asciiTheme="minorHAnsi" w:hAnsiTheme="minorHAnsi" w:cstheme="minorHAnsi"/>
          <w:sz w:val="22"/>
          <w:szCs w:val="22"/>
          <w:lang w:val="en-GB"/>
        </w:rPr>
        <w:t xml:space="preserve">that have been </w:t>
      </w:r>
      <w:r w:rsidR="00AF4081" w:rsidRPr="00C91EF0">
        <w:rPr>
          <w:rFonts w:asciiTheme="minorHAnsi" w:hAnsiTheme="minorHAnsi" w:cstheme="minorHAnsi"/>
          <w:sz w:val="22"/>
          <w:szCs w:val="22"/>
          <w:lang w:val="en-GB"/>
        </w:rPr>
        <w:t xml:space="preserve">developed </w:t>
      </w:r>
      <w:r w:rsidR="00047501" w:rsidRPr="00C91EF0">
        <w:rPr>
          <w:rFonts w:asciiTheme="minorHAnsi" w:hAnsiTheme="minorHAnsi" w:cstheme="minorHAnsi"/>
          <w:sz w:val="22"/>
          <w:szCs w:val="22"/>
          <w:lang w:val="en-GB"/>
        </w:rPr>
        <w:t>and validate</w:t>
      </w:r>
      <w:r w:rsidR="002C011C" w:rsidRPr="00C91EF0">
        <w:rPr>
          <w:rFonts w:asciiTheme="minorHAnsi" w:hAnsiTheme="minorHAnsi" w:cstheme="minorHAnsi"/>
          <w:sz w:val="22"/>
          <w:szCs w:val="22"/>
          <w:lang w:val="en-GB"/>
        </w:rPr>
        <w:t>d</w:t>
      </w:r>
      <w:r w:rsidR="00047501" w:rsidRPr="00C91EF0">
        <w:rPr>
          <w:rFonts w:asciiTheme="minorHAnsi" w:hAnsiTheme="minorHAnsi" w:cstheme="minorHAnsi"/>
          <w:sz w:val="22"/>
          <w:szCs w:val="22"/>
          <w:lang w:val="en-GB"/>
        </w:rPr>
        <w:t xml:space="preserve"> </w:t>
      </w:r>
      <w:r w:rsidR="00AF4081" w:rsidRPr="00C91EF0">
        <w:rPr>
          <w:rFonts w:asciiTheme="minorHAnsi" w:hAnsiTheme="minorHAnsi" w:cstheme="minorHAnsi"/>
          <w:sz w:val="22"/>
          <w:szCs w:val="22"/>
          <w:lang w:val="en-GB"/>
        </w:rPr>
        <w:t>to predict negative outcomes in older patients with multi</w:t>
      </w:r>
      <w:r w:rsidR="00754315" w:rsidRPr="00C91EF0">
        <w:rPr>
          <w:rFonts w:asciiTheme="minorHAnsi" w:hAnsiTheme="minorHAnsi" w:cstheme="minorHAnsi"/>
          <w:sz w:val="22"/>
          <w:szCs w:val="22"/>
          <w:lang w:val="en-GB"/>
        </w:rPr>
        <w:t xml:space="preserve">ple </w:t>
      </w:r>
      <w:r w:rsidR="00AF4081" w:rsidRPr="00C91EF0">
        <w:rPr>
          <w:rFonts w:asciiTheme="minorHAnsi" w:hAnsiTheme="minorHAnsi" w:cstheme="minorHAnsi"/>
          <w:sz w:val="22"/>
          <w:szCs w:val="22"/>
          <w:lang w:val="en-GB"/>
        </w:rPr>
        <w:t>morbidit</w:t>
      </w:r>
      <w:r w:rsidR="00754315" w:rsidRPr="00C91EF0">
        <w:rPr>
          <w:rFonts w:asciiTheme="minorHAnsi" w:hAnsiTheme="minorHAnsi" w:cstheme="minorHAnsi"/>
          <w:sz w:val="22"/>
          <w:szCs w:val="22"/>
          <w:lang w:val="en-GB"/>
        </w:rPr>
        <w:t>ies</w:t>
      </w:r>
      <w:r w:rsidR="00AF4081" w:rsidRPr="00C91EF0">
        <w:rPr>
          <w:rFonts w:asciiTheme="minorHAnsi" w:hAnsiTheme="minorHAnsi" w:cstheme="minorHAnsi"/>
          <w:sz w:val="22"/>
          <w:szCs w:val="22"/>
          <w:lang w:val="en-GB"/>
        </w:rPr>
        <w:t xml:space="preserve"> </w:t>
      </w:r>
      <w:r w:rsidR="009524EB" w:rsidRPr="00C91EF0">
        <w:rPr>
          <w:rFonts w:asciiTheme="minorHAnsi" w:hAnsiTheme="minorHAnsi" w:cstheme="minorHAnsi"/>
          <w:sz w:val="22"/>
          <w:szCs w:val="22"/>
          <w:lang w:val="en-GB"/>
        </w:rPr>
        <w:t xml:space="preserve">have </w:t>
      </w:r>
      <w:r w:rsidR="00AF4081" w:rsidRPr="00C91EF0">
        <w:rPr>
          <w:rFonts w:asciiTheme="minorHAnsi" w:hAnsiTheme="minorHAnsi" w:cstheme="minorHAnsi"/>
          <w:sz w:val="22"/>
          <w:szCs w:val="22"/>
          <w:lang w:val="en-GB"/>
        </w:rPr>
        <w:t xml:space="preserve">focused </w:t>
      </w:r>
      <w:r w:rsidR="009524EB" w:rsidRPr="00C91EF0">
        <w:rPr>
          <w:rFonts w:asciiTheme="minorHAnsi" w:hAnsiTheme="minorHAnsi" w:cstheme="minorHAnsi"/>
          <w:sz w:val="22"/>
          <w:szCs w:val="22"/>
          <w:lang w:val="en-GB"/>
        </w:rPr>
        <w:t xml:space="preserve">mainly </w:t>
      </w:r>
      <w:r w:rsidR="00A151DA" w:rsidRPr="00C91EF0">
        <w:rPr>
          <w:rFonts w:asciiTheme="minorHAnsi" w:hAnsiTheme="minorHAnsi" w:cstheme="minorHAnsi"/>
          <w:sz w:val="22"/>
          <w:szCs w:val="22"/>
          <w:lang w:val="en-GB"/>
        </w:rPr>
        <w:t>o</w:t>
      </w:r>
      <w:r w:rsidR="00AF4081" w:rsidRPr="00C91EF0">
        <w:rPr>
          <w:rFonts w:asciiTheme="minorHAnsi" w:hAnsiTheme="minorHAnsi" w:cstheme="minorHAnsi"/>
          <w:sz w:val="22"/>
          <w:szCs w:val="22"/>
          <w:lang w:val="en-GB"/>
        </w:rPr>
        <w:t>n predicting hospital (re-)</w:t>
      </w:r>
      <w:r w:rsidR="009321A1">
        <w:rPr>
          <w:rFonts w:asciiTheme="minorHAnsi" w:hAnsiTheme="minorHAnsi" w:cstheme="minorHAnsi"/>
          <w:sz w:val="22"/>
          <w:szCs w:val="22"/>
          <w:lang w:val="en-GB"/>
        </w:rPr>
        <w:t xml:space="preserve"> </w:t>
      </w:r>
      <w:r w:rsidR="00AF4081" w:rsidRPr="00C91EF0">
        <w:rPr>
          <w:rFonts w:asciiTheme="minorHAnsi" w:hAnsiTheme="minorHAnsi" w:cstheme="minorHAnsi"/>
          <w:sz w:val="22"/>
          <w:szCs w:val="22"/>
          <w:lang w:val="en-GB"/>
        </w:rPr>
        <w:t xml:space="preserve">admissions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{"citationItems":[{"id":"ITEM-1","itemData":{"DOI":"10.1016/j.ejim.2015.02.010","ISSN":"18790828","PMID":"25753935","abstract":"Introduction Risk stratification tools were developed to assess risk of negative health outcomes. These tools assess a variety of variables and clinical factors and they can be used to identify targets of potential interventions and to develop care plans. The role of multimorbidity in these tools has never been assessed. Objectives To summarize validated risk stratification tools for predicting negative outcomes, with a specific focus on multimorbidity. Methods MEDLINE, Cochrane Central Register of Controlled Trials and PubMed database were interrogated for studies concerning risk prediction models in medical populations. Review was conducted to identify prediction models tested with patients in both derivation and validation cohorts. A qualitative synthesis was performed focusing particularly on how multimorbidity is assessed by each algorithm and how much this weighs in the ability of discrimination. Results Of 3674 citations reviewed, 36 articles met criteria. Of these, 29 had as outcome hospital admission/readmission. The most common multimorbidity measure employed in the models was the Charlson Comorbidity Index (12 articles). C-statistics ranged between 0.5 and 0.85 in predicting hospital admission/ readmission. The highest c-statistics was 0.83 in models with disability as outcome. For healthcare cost, models which used ACG-PM case mix explained better the variability of total costs. Conclusions This review suggests that predictive risk models which employ multimorbidity as predictor variable are more accurate; CHF, cerebro-vascular disease, COPD and diabetes were strong predictors in some of the reviewed models. However, the variability in the risk factors used in these models does not allow making assumptions.","author":[{"dropping-particle":"","family":"Alonso-Morán","given":"Edurne","non-dropping-particle":"","parse-names":false,"suffix":""},{"dropping-particle":"","family":"Nuño-Solinis","given":"Roberto","non-dropping-particle":"","parse-names":false,"suffix":""},{"dropping-particle":"","family":"Onder","given":"Graziano","non-dropping-particle":"","parse-names":false,"suffix":""},{"dropping-particle":"","family":"Tonnara","given":"Giuseppe","non-dropping-particle":"","parse-names":false,"suffix":""}],"container-title":"European Journal of Internal Medicine","id":"ITEM-1","issue":"3","issued":{"date-parts":[["2015"]]},"page":"182-189","publisher":"European Federation of Internal Medicine.","title":"Multimorbidity in risk stratification tools to predict negative outcomes in adult population","type":"article-journal","volume":"26"},"uris":["http://www.mendeley.com/documents/?uuid=2e3069cf-e97b-41c2-8898-bf5c8c417c44"]}],"mendeley":{"formattedCitation":"(76)","plainTextFormattedCitation":"(76)","previouslyFormattedCitation":"(75)"},"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(76)</w:t>
      </w:r>
      <w:r w:rsidR="00776DB8" w:rsidRPr="00C91EF0">
        <w:rPr>
          <w:rFonts w:asciiTheme="minorHAnsi" w:hAnsiTheme="minorHAnsi" w:cstheme="minorHAnsi"/>
          <w:sz w:val="22"/>
          <w:szCs w:val="22"/>
          <w:lang w:val="en-GB"/>
        </w:rPr>
        <w:fldChar w:fldCharType="end"/>
      </w:r>
      <w:r w:rsidR="00AF4081" w:rsidRPr="00C91EF0">
        <w:rPr>
          <w:rFonts w:asciiTheme="minorHAnsi" w:hAnsiTheme="minorHAnsi" w:cstheme="minorHAnsi"/>
          <w:sz w:val="22"/>
          <w:szCs w:val="22"/>
          <w:lang w:val="en-GB"/>
        </w:rPr>
        <w:t xml:space="preserve">. </w:t>
      </w:r>
      <w:r w:rsidR="00675CF2">
        <w:rPr>
          <w:rFonts w:asciiTheme="minorHAnsi" w:hAnsiTheme="minorHAnsi" w:cstheme="minorHAnsi"/>
          <w:sz w:val="22"/>
          <w:szCs w:val="22"/>
          <w:lang w:val="en-GB"/>
        </w:rPr>
        <w:t xml:space="preserve">The </w:t>
      </w:r>
      <w:r w:rsidR="00AF4081" w:rsidRPr="00C91EF0">
        <w:rPr>
          <w:rFonts w:asciiTheme="minorHAnsi" w:hAnsiTheme="minorHAnsi" w:cstheme="minorHAnsi"/>
          <w:sz w:val="22"/>
          <w:szCs w:val="22"/>
          <w:lang w:val="en-GB"/>
        </w:rPr>
        <w:t xml:space="preserve">C-statistics </w:t>
      </w:r>
      <w:r w:rsidR="00675CF2">
        <w:rPr>
          <w:rFonts w:asciiTheme="minorHAnsi" w:hAnsiTheme="minorHAnsi" w:cstheme="minorHAnsi"/>
          <w:sz w:val="22"/>
          <w:szCs w:val="22"/>
          <w:lang w:val="en-GB"/>
        </w:rPr>
        <w:t xml:space="preserve">of these tools </w:t>
      </w:r>
      <w:r w:rsidR="00AF4081" w:rsidRPr="00C91EF0">
        <w:rPr>
          <w:rFonts w:asciiTheme="minorHAnsi" w:hAnsiTheme="minorHAnsi" w:cstheme="minorHAnsi"/>
          <w:sz w:val="22"/>
          <w:szCs w:val="22"/>
          <w:lang w:val="en-GB"/>
        </w:rPr>
        <w:t>varied between 0.5 and 0.85</w:t>
      </w:r>
      <w:r w:rsidR="00675CF2">
        <w:rPr>
          <w:rFonts w:asciiTheme="minorHAnsi" w:hAnsiTheme="minorHAnsi" w:cstheme="minorHAnsi"/>
          <w:sz w:val="22"/>
          <w:szCs w:val="22"/>
          <w:lang w:val="en-GB"/>
        </w:rPr>
        <w:t xml:space="preserve">, with </w:t>
      </w:r>
      <w:r w:rsidR="00AF4081" w:rsidRPr="00C91EF0">
        <w:rPr>
          <w:rFonts w:asciiTheme="minorHAnsi" w:hAnsiTheme="minorHAnsi" w:cstheme="minorHAnsi"/>
          <w:sz w:val="22"/>
          <w:szCs w:val="22"/>
          <w:lang w:val="en-GB"/>
        </w:rPr>
        <w:t xml:space="preserve">the highest </w:t>
      </w:r>
      <w:r w:rsidR="00D971D5" w:rsidRPr="00C91EF0">
        <w:rPr>
          <w:rFonts w:asciiTheme="minorHAnsi" w:hAnsiTheme="minorHAnsi" w:cstheme="minorHAnsi"/>
          <w:sz w:val="22"/>
          <w:szCs w:val="22"/>
          <w:lang w:val="en-GB"/>
        </w:rPr>
        <w:t>C</w:t>
      </w:r>
      <w:r w:rsidR="00047501" w:rsidRPr="00C91EF0">
        <w:rPr>
          <w:rFonts w:asciiTheme="minorHAnsi" w:hAnsiTheme="minorHAnsi" w:cstheme="minorHAnsi"/>
          <w:sz w:val="22"/>
          <w:szCs w:val="22"/>
          <w:lang w:val="en-GB"/>
        </w:rPr>
        <w:t xml:space="preserve">-statistics </w:t>
      </w:r>
      <w:r w:rsidR="00675CF2">
        <w:rPr>
          <w:rFonts w:asciiTheme="minorHAnsi" w:hAnsiTheme="minorHAnsi" w:cstheme="minorHAnsi"/>
          <w:sz w:val="22"/>
          <w:szCs w:val="22"/>
          <w:lang w:val="en-GB"/>
        </w:rPr>
        <w:t xml:space="preserve">found </w:t>
      </w:r>
      <w:r w:rsidR="00047501" w:rsidRPr="00C91EF0">
        <w:rPr>
          <w:rFonts w:asciiTheme="minorHAnsi" w:hAnsiTheme="minorHAnsi" w:cstheme="minorHAnsi"/>
          <w:sz w:val="22"/>
          <w:szCs w:val="22"/>
          <w:lang w:val="en-GB"/>
        </w:rPr>
        <w:t xml:space="preserve">in models that included functional status as an outcome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{"citationItems":[{"id":"ITEM-1","itemData":{"DOI":"10.1016/j.ejim.2015.02.010","ISSN":"18790828","PMID":"25753935","abstract":"Introduction Risk stratification tools were developed to assess risk of negative health outcomes. These tools assess a variety of variables and clinical factors and they can be used to identify targets of potential interventions and to develop care plans. The role of multimorbidity in these tools has never been assessed. Objectives To summarize validated risk stratification tools for predicting negative outcomes, with a specific focus on multimorbidity. Methods MEDLINE, Cochrane Central Register of Controlled Trials and PubMed database were interrogated for studies concerning risk prediction models in medical populations. Review was conducted to identify prediction models tested with patients in both derivation and validation cohorts. A qualitative synthesis was performed focusing particularly on how multimorbidity is assessed by each algorithm and how much this weighs in the ability of discrimination. Results Of 3674 citations reviewed, 36 articles met criteria. Of these, 29 had as outcome hospital admission/readmission. The most common multimorbidity measure employed in the models was the Charlson Comorbidity Index (12 articles). C-statistics ranged between 0.5 and 0.85 in predicting hospital admission/ readmission. The highest c-statistics was 0.83 in models with disability as outcome. For healthcare cost, models which used ACG-PM case mix explained better the variability of total costs. Conclusions This review suggests that predictive risk models which employ multimorbidity as predictor variable are more accurate; CHF, cerebro-vascular disease, COPD and diabetes were strong predictors in some of the reviewed models. However, the variability in the risk factors used in these models does not allow making assumptions.","author":[{"dropping-particle":"","family":"Alonso-Morán","given":"Edurne","non-dropping-particle":"","parse-names":false,"suffix":""},{"dropping-particle":"","family":"Nuño-Solinis","given":"Roberto","non-dropping-particle":"","parse-names":false,"suffix":""},{"dropping-particle":"","family":"Onder","given":"Graziano","non-dropping-particle":"","parse-names":false,"suffix":""},{"dropping-particle":"","family":"Tonnara","given":"Giuseppe","non-dropping-particle":"","parse-names":false,"suffix":""}],"container-title":"European Journal of Internal Medicine","id":"ITEM-1","issue":"3","issued":{"date-parts":[["2015"]]},"page":"182-189","publisher":"European Federation of Internal Medicine.","title":"Multimorbidity in risk stratification tools to predict negative outcomes in adult population","type":"article-journal","volume":"26"},"uris":["http://www.mendeley.com/documents/?uuid=2e3069cf-e97b-41c2-8898-bf5c8c417c44"]}],"mendeley":{"formattedCitation":"(76)","plainTextFormattedCitation":"(76)","previouslyFormattedCitation":"(75)"},"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(76)</w:t>
      </w:r>
      <w:r w:rsidR="00776DB8" w:rsidRPr="00C91EF0">
        <w:rPr>
          <w:rFonts w:asciiTheme="minorHAnsi" w:hAnsiTheme="minorHAnsi" w:cstheme="minorHAnsi"/>
          <w:sz w:val="22"/>
          <w:szCs w:val="22"/>
          <w:lang w:val="en-GB"/>
        </w:rPr>
        <w:fldChar w:fldCharType="end"/>
      </w:r>
      <w:r w:rsidR="00047501" w:rsidRPr="00C91EF0">
        <w:rPr>
          <w:rFonts w:asciiTheme="minorHAnsi" w:hAnsiTheme="minorHAnsi" w:cstheme="minorHAnsi"/>
          <w:sz w:val="22"/>
          <w:szCs w:val="22"/>
          <w:lang w:val="en-GB"/>
        </w:rPr>
        <w:t>.</w:t>
      </w:r>
      <w:r w:rsidR="002C011C" w:rsidRPr="00C91EF0">
        <w:rPr>
          <w:rFonts w:asciiTheme="minorHAnsi" w:hAnsiTheme="minorHAnsi" w:cstheme="minorHAnsi"/>
          <w:sz w:val="22"/>
          <w:szCs w:val="22"/>
          <w:lang w:val="en-GB"/>
        </w:rPr>
        <w:t xml:space="preserve"> </w:t>
      </w:r>
      <w:r w:rsidR="00700EEF" w:rsidRPr="00C91EF0">
        <w:rPr>
          <w:rFonts w:asciiTheme="minorHAnsi" w:hAnsiTheme="minorHAnsi" w:cstheme="minorHAnsi"/>
          <w:sz w:val="22"/>
          <w:szCs w:val="22"/>
          <w:lang w:val="en-GB"/>
        </w:rPr>
        <w:t xml:space="preserve">Two studies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{"citationItems":[{"id":"ITEM-1","itemData":{"DOI":"10.1186/1477-7525-3-74","ISSN":"1477-7525","PMID":"16305743","abstract":"BACKGROUND Measures of multimorbidity are often applied to source data, populations or outcomes outside the scope of their original developmental work. As the development of a multimorbidity measure is influenced by the population and outcome used, these influences should be taken into account when selecting a multimorbidity index. The aim of this study was to compare the strength of the association of health-related quality of life (HRQOL) with three multimorbidity indices: the Cumulative Illness Rating Scale (CIRS), the Charlson index (Charlson) and the Functional Comorbidity Index (FCI). The first two indices were not developed in light of HRQOL. METHODS We used data on chronic diseases and on the SF-36 questionnaire assessing HRQOL of 238 adult primary care patients who participated in a previous study. We extracted all the diagnoses for every patient from chart review to score the CIRS, the FCI and the Charlson. Data for potential confounders (age, sex, self-perceived economic status and self-perceived social support) were also collected. We calculated the Pearson correlation coefficients (r) of the SF-36 scores with the three measures of multimorbidity, as well as the coefficient of determination, R2, while controlling for confounders. RESULTS The r values for the CIRS (range: -0.55 to -0.18) were always higher than those for the FCI (-0.47 to -0.10) and Charlson (-0.31 to -0.04) indices. The CIRS explained the highest percent of variation in all scores of the SF-36, except for the Mental Component Summary Score where the variation was not significant. Variations explained by the FCI were significant in all scores of SF-36 measuring physical health and in two scales evaluating mental health. Variations explained by the Charlson were significant in only three scores measuring physical health. CONCLUSION The CIRS is a better choice as a measure of multimorbidity than the FCI and the Charlson when HRQOL is the outcome of interest. However, the FCI may provide a good option to evaluate the physical aspect of HRQOL for the ease in its administration and scoring. The Charlson index may not be recommended as a measure of multimorbidity in studies related to either physical or mental aspects of HRQOL.","author":[{"dropping-particle":"","family":"Fortin","given":"Martin","non-dropping-particle":"","parse-names":false,"suffix":""},{"dropping-particle":"","family":"Hudon","given":"Catherine","non-dropping-particle":"","parse-names":false,"suffix":""},{"dropping-particle":"","family":"Dubois","given":"Marie-France","non-dropping-particle":"","parse-names":false,"suffix":""},{"dropping-particle":"","family":"Almirall","given":"José","non-dropping-particle":"","parse-names":false,"suffix":""},{"dropping-particle":"","family":"Lapointe","given":"Lise","non-dropping-particle":"","parse-names":false,"suffix":""},{"dropping-particle":"","family":"Soubhi","given":"Hassan","non-dropping-particle":"","parse-names":false,"suffix":""}],"container-title":"Health and quality of life outcomes","id":"ITEM-1","issued":{"date-parts":[["2005","11","23"]]},"page":"74","title":"Comparative assessment of three different indices of multimorbidity for studies on health-related quality of life.","type":"article-journal","volume":"3"},"uris":["http://www.mendeley.com/documents/?uuid=8ad33586-b565-4d52-9fb4-cc6aac4e63f6"]},{"id":"ITEM-2","itemData":{"DOI":"10.2147/CIA.S56086","ISSN":"1178-1998","author":[{"dropping-particle":"","family":"Beaton","given":"Kate","non-dropping-particle":"","parse-names":false,"suffix":""},{"dropping-particle":"","family":"Grimmer","given":"Karen","non-dropping-particle":"","parse-names":false,"suffix":""},{"dropping-particle":"","family":"Milanese","given":"Steve","non-dropping-particle":"","parse-names":false,"suffix":""},{"dropping-particle":"","family":"Atlas","given":"Alvin","non-dropping-particle":"","parse-names":false,"suffix":""}],"container-title":"Clinical Interventions in Aging","id":"ITEM-2","issued":{"date-parts":[["2014","1"]]},"page":"233","title":"Additional measures do not improve the diagnostic accuracy of the Hospital Admission Risk Profile for detecting downstream quality of life in community-dwelling older people presenting to a hospital emergency department","type":"article-journal"},"uris":["http://www.mendeley.com/documents/?uuid=75f2df58-3086-4e9a-a6ef-ba7c84c0a063"]}],"mendeley":{"formattedCitation":"(77,78)","plainTextFormattedCitation":"(77,78)","previouslyFormattedCitation":"(76,77)"},"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(77,78)</w:t>
      </w:r>
      <w:r w:rsidR="00776DB8" w:rsidRPr="00C91EF0">
        <w:rPr>
          <w:rFonts w:asciiTheme="minorHAnsi" w:hAnsiTheme="minorHAnsi" w:cstheme="minorHAnsi"/>
          <w:sz w:val="22"/>
          <w:szCs w:val="22"/>
          <w:lang w:val="en-GB"/>
        </w:rPr>
        <w:fldChar w:fldCharType="end"/>
      </w:r>
      <w:r w:rsidR="009039F4" w:rsidRPr="00C91EF0">
        <w:rPr>
          <w:rFonts w:asciiTheme="minorHAnsi" w:hAnsiTheme="minorHAnsi" w:cstheme="minorHAnsi"/>
          <w:sz w:val="22"/>
          <w:szCs w:val="22"/>
          <w:lang w:val="en-GB"/>
        </w:rPr>
        <w:t xml:space="preserve"> </w:t>
      </w:r>
      <w:r w:rsidR="00700EEF" w:rsidRPr="00C91EF0">
        <w:rPr>
          <w:rFonts w:asciiTheme="minorHAnsi" w:hAnsiTheme="minorHAnsi" w:cstheme="minorHAnsi"/>
          <w:noProof/>
          <w:sz w:val="22"/>
          <w:szCs w:val="22"/>
          <w:lang w:val="en-GB"/>
        </w:rPr>
        <w:t xml:space="preserve">that evaluated four </w:t>
      </w:r>
      <w:r w:rsidR="00700EEF" w:rsidRPr="00C91EF0">
        <w:rPr>
          <w:rFonts w:asciiTheme="minorHAnsi" w:hAnsiTheme="minorHAnsi" w:cstheme="minorHAnsi"/>
          <w:sz w:val="22"/>
          <w:szCs w:val="22"/>
          <w:lang w:val="en-GB"/>
        </w:rPr>
        <w:t xml:space="preserve">risk tools </w:t>
      </w:r>
      <w:r w:rsidR="009321A1">
        <w:rPr>
          <w:rFonts w:asciiTheme="minorHAnsi" w:hAnsiTheme="minorHAnsi" w:cstheme="minorHAnsi"/>
          <w:sz w:val="22"/>
          <w:szCs w:val="22"/>
          <w:lang w:val="en-GB"/>
        </w:rPr>
        <w:t xml:space="preserve">with the aim of identifying </w:t>
      </w:r>
      <w:r w:rsidR="00700EEF" w:rsidRPr="00C91EF0">
        <w:rPr>
          <w:rFonts w:asciiTheme="minorHAnsi" w:hAnsiTheme="minorHAnsi" w:cstheme="minorHAnsi"/>
          <w:sz w:val="22"/>
          <w:szCs w:val="22"/>
          <w:lang w:val="en-GB"/>
        </w:rPr>
        <w:t xml:space="preserve">people with multiple conditions </w:t>
      </w:r>
      <w:r w:rsidR="009321A1">
        <w:rPr>
          <w:rFonts w:asciiTheme="minorHAnsi" w:hAnsiTheme="minorHAnsi" w:cstheme="minorHAnsi"/>
          <w:sz w:val="22"/>
          <w:szCs w:val="22"/>
          <w:lang w:val="en-GB"/>
        </w:rPr>
        <w:t xml:space="preserve">that were </w:t>
      </w:r>
      <w:r w:rsidR="00700EEF" w:rsidRPr="00C91EF0">
        <w:rPr>
          <w:rFonts w:asciiTheme="minorHAnsi" w:hAnsiTheme="minorHAnsi" w:cstheme="minorHAnsi"/>
          <w:sz w:val="22"/>
          <w:szCs w:val="22"/>
          <w:lang w:val="en-GB"/>
        </w:rPr>
        <w:t xml:space="preserve">at risk of reduced HRQoL were recently assessed in a NICE guideline review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{"citationItems":[{"id":"ITEM-1","itemData":{"ISBN":"978-1-4731-2065-5","abstract":"The recommendations in this guideline represent the view of NICE, arrived at after careful consideration of the evidence available. When exercising their judgement, professionals and practitioners are expected to take this guideline fully into account, alongside the individual needs, preferences and values of their patients or the people using their service. It is not mandatory to apply the recommendations, and the guideline does not override the responsibility to make decisions appropriate to the circumstances of the individual, in consultation with them and their families and carers or guardian. Local commissioners and providers of healthcare have a responsibility to enable the guideline to be applied when individual professionals and people using services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complying with those duties. Commissioners and providers have a responsibility to promote an environmentally sustainable health and care system and should assess and reduce the environmental impact of implementing NICE recommendations wherever possible. Multimorbidity: clinical assessment and management (NG56)","author":[{"dropping-particle":"","family":"NICE Clinical Guideline","given":"","non-dropping-particle":"","parse-names":false,"suffix":""}],"id":"ITEM-1","issue":"March","issued":{"date-parts":[["2016"]]},"number-of-pages":"1-18","title":"Multimorbidity: clinical assessment and management","type":"report"},"uris":["http://www.mendeley.com/documents/?uuid=94e8f60e-ac71-4f4a-95b0-02d5d5ace975"]}],"mendeley":{"formattedCitation":"(79)","plainTextFormattedCitation":"(79)","previouslyFormattedCitation":"(78)"},"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(79)</w:t>
      </w:r>
      <w:r w:rsidR="00776DB8" w:rsidRPr="00C91EF0">
        <w:rPr>
          <w:rFonts w:asciiTheme="minorHAnsi" w:hAnsiTheme="minorHAnsi" w:cstheme="minorHAnsi"/>
          <w:sz w:val="22"/>
          <w:szCs w:val="22"/>
          <w:lang w:val="en-GB"/>
        </w:rPr>
        <w:fldChar w:fldCharType="end"/>
      </w:r>
      <w:r w:rsidR="00700EEF" w:rsidRPr="00C91EF0">
        <w:rPr>
          <w:rFonts w:asciiTheme="minorHAnsi" w:hAnsiTheme="minorHAnsi" w:cstheme="minorHAnsi"/>
          <w:sz w:val="22"/>
          <w:szCs w:val="22"/>
          <w:lang w:val="en-GB"/>
        </w:rPr>
        <w:t xml:space="preserve">. </w:t>
      </w:r>
      <w:r w:rsidR="00675CF2">
        <w:rPr>
          <w:rFonts w:asciiTheme="minorHAnsi" w:hAnsiTheme="minorHAnsi" w:cstheme="minorHAnsi"/>
          <w:sz w:val="22"/>
          <w:szCs w:val="22"/>
          <w:lang w:val="en-GB"/>
        </w:rPr>
        <w:t>All o</w:t>
      </w:r>
      <w:r w:rsidR="00700EEF" w:rsidRPr="00C91EF0">
        <w:rPr>
          <w:rFonts w:asciiTheme="minorHAnsi" w:hAnsiTheme="minorHAnsi" w:cstheme="minorHAnsi"/>
          <w:sz w:val="22"/>
          <w:szCs w:val="22"/>
          <w:lang w:val="en-GB"/>
        </w:rPr>
        <w:t>f these tools</w:t>
      </w:r>
      <w:r w:rsidR="00675CF2">
        <w:rPr>
          <w:rFonts w:asciiTheme="minorHAnsi" w:hAnsiTheme="minorHAnsi" w:cstheme="minorHAnsi"/>
          <w:sz w:val="22"/>
          <w:szCs w:val="22"/>
          <w:lang w:val="en-GB"/>
        </w:rPr>
        <w:t xml:space="preserve"> </w:t>
      </w:r>
      <w:r w:rsidR="00700EEF" w:rsidRPr="00C91EF0">
        <w:rPr>
          <w:rFonts w:asciiTheme="minorHAnsi" w:hAnsiTheme="minorHAnsi" w:cstheme="minorHAnsi"/>
          <w:sz w:val="22"/>
          <w:szCs w:val="22"/>
          <w:lang w:val="en-GB"/>
        </w:rPr>
        <w:t xml:space="preserve">demonstrated poor discrimination and calibration </w:t>
      </w:r>
      <w:r w:rsidR="00675CF2">
        <w:rPr>
          <w:rFonts w:asciiTheme="minorHAnsi" w:hAnsiTheme="minorHAnsi" w:cstheme="minorHAnsi"/>
          <w:sz w:val="22"/>
          <w:szCs w:val="22"/>
          <w:lang w:val="en-GB"/>
        </w:rPr>
        <w:t xml:space="preserve">in </w:t>
      </w:r>
      <w:r w:rsidR="00700EEF" w:rsidRPr="00C91EF0">
        <w:rPr>
          <w:rFonts w:asciiTheme="minorHAnsi" w:hAnsiTheme="minorHAnsi" w:cstheme="minorHAnsi"/>
          <w:sz w:val="22"/>
          <w:szCs w:val="22"/>
          <w:lang w:val="en-GB"/>
        </w:rPr>
        <w:t xml:space="preserve">predicting </w:t>
      </w:r>
      <w:proofErr w:type="spellStart"/>
      <w:r w:rsidR="00675CF2">
        <w:rPr>
          <w:rFonts w:asciiTheme="minorHAnsi" w:hAnsiTheme="minorHAnsi" w:cstheme="minorHAnsi"/>
          <w:sz w:val="22"/>
          <w:szCs w:val="22"/>
          <w:lang w:val="en-GB"/>
        </w:rPr>
        <w:t>d</w:t>
      </w:r>
      <w:r w:rsidR="00700EEF" w:rsidRPr="00C91EF0">
        <w:rPr>
          <w:rFonts w:asciiTheme="minorHAnsi" w:hAnsiTheme="minorHAnsi" w:cstheme="minorHAnsi"/>
          <w:sz w:val="22"/>
          <w:szCs w:val="22"/>
          <w:lang w:val="en-GB"/>
        </w:rPr>
        <w:t>HRQoL</w:t>
      </w:r>
      <w:proofErr w:type="spellEnd"/>
      <w:r w:rsidR="00675CF2">
        <w:rPr>
          <w:rFonts w:asciiTheme="minorHAnsi" w:hAnsiTheme="minorHAnsi" w:cstheme="minorHAnsi"/>
          <w:sz w:val="22"/>
          <w:szCs w:val="22"/>
          <w:lang w:val="en-GB"/>
        </w:rPr>
        <w:t>,</w:t>
      </w:r>
      <w:r w:rsidR="00700EEF" w:rsidRPr="00C91EF0">
        <w:rPr>
          <w:rFonts w:asciiTheme="minorHAnsi" w:hAnsiTheme="minorHAnsi" w:cstheme="minorHAnsi"/>
          <w:noProof/>
          <w:sz w:val="22"/>
          <w:szCs w:val="22"/>
          <w:lang w:val="en-GB"/>
        </w:rPr>
        <w:t xml:space="preserve"> and their </w:t>
      </w:r>
      <w:r w:rsidR="009524EB" w:rsidRPr="00C91EF0">
        <w:rPr>
          <w:rFonts w:asciiTheme="minorHAnsi" w:hAnsiTheme="minorHAnsi" w:cstheme="minorHAnsi"/>
          <w:noProof/>
          <w:sz w:val="22"/>
          <w:szCs w:val="22"/>
          <w:lang w:val="en-GB"/>
        </w:rPr>
        <w:t xml:space="preserve">certainty of </w:t>
      </w:r>
      <w:r w:rsidR="00700EEF" w:rsidRPr="00C91EF0">
        <w:rPr>
          <w:rFonts w:asciiTheme="minorHAnsi" w:hAnsiTheme="minorHAnsi" w:cstheme="minorHAnsi"/>
          <w:noProof/>
          <w:sz w:val="22"/>
          <w:szCs w:val="22"/>
          <w:lang w:val="en-GB"/>
        </w:rPr>
        <w:t xml:space="preserve">evidence </w:t>
      </w:r>
      <w:r w:rsidR="006A4D6A" w:rsidRPr="00C91EF0">
        <w:rPr>
          <w:rFonts w:asciiTheme="minorHAnsi" w:hAnsiTheme="minorHAnsi" w:cstheme="minorHAnsi"/>
          <w:sz w:val="22"/>
          <w:szCs w:val="22"/>
          <w:lang w:val="en-GB"/>
        </w:rPr>
        <w:t xml:space="preserve">according to GRADE </w:t>
      </w:r>
      <w:r w:rsidR="00776DB8" w:rsidRPr="00C91EF0">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{"citationItems":[{"id":"ITEM-1","itemData":{"URL":"http://www.gradeworkinggroup.org","accessed":{"date-parts":[["2016","1","27"]]},"author":[{"dropping-particle":"","family":"GRADE Working Group","given":"","non-dropping-particle":"","parse-names":false,"suffix":""}],"id":"ITEM-1","issued":{"date-parts":[["0"]]},"title":"GRADE","type":"webpage"},"uris":["http://www.mendeley.com/documents/?uuid=4c5d1a55-8450-458f-92b8-8354af1704fb","http://www.mendeley.com/documents/?uuid=ce725b0e-435e-4606-82cd-30312a0a6e9c"]}],"mendeley":{"formattedCitation":"(80)","plainTextFormattedCitation":"(80)","previouslyFormattedCitation":"(79)"},"properties":{"noteIndex":0},"schema":"https://github.com/citation-style-language/schema/raw/master/csl-citation.json"}</w:instrText>
      </w:r>
      <w:r w:rsidR="00776DB8" w:rsidRPr="00C91EF0">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(80)</w:t>
      </w:r>
      <w:r w:rsidR="00776DB8" w:rsidRPr="00C91EF0">
        <w:rPr>
          <w:rFonts w:asciiTheme="minorHAnsi" w:hAnsiTheme="minorHAnsi" w:cstheme="minorHAnsi"/>
          <w:sz w:val="22"/>
          <w:szCs w:val="22"/>
          <w:lang w:val="en-GB"/>
        </w:rPr>
        <w:fldChar w:fldCharType="end"/>
      </w:r>
      <w:r w:rsidR="006A4D6A" w:rsidRPr="00C91EF0">
        <w:rPr>
          <w:rFonts w:asciiTheme="minorHAnsi" w:hAnsiTheme="minorHAnsi" w:cstheme="minorHAnsi"/>
          <w:sz w:val="22"/>
          <w:szCs w:val="22"/>
          <w:lang w:val="en-GB"/>
        </w:rPr>
        <w:t xml:space="preserve"> </w:t>
      </w:r>
      <w:r w:rsidR="00700EEF" w:rsidRPr="00C91EF0">
        <w:rPr>
          <w:rFonts w:asciiTheme="minorHAnsi" w:hAnsiTheme="minorHAnsi" w:cstheme="minorHAnsi"/>
          <w:noProof/>
          <w:sz w:val="22"/>
          <w:szCs w:val="22"/>
          <w:lang w:val="en-GB"/>
        </w:rPr>
        <w:t xml:space="preserve">ranged from </w:t>
      </w:r>
      <w:r w:rsidR="00700EEF" w:rsidRPr="00C91EF0">
        <w:rPr>
          <w:rFonts w:asciiTheme="minorHAnsi" w:hAnsiTheme="minorHAnsi" w:cstheme="minorHAnsi"/>
          <w:sz w:val="22"/>
          <w:szCs w:val="22"/>
          <w:lang w:val="en-GB"/>
        </w:rPr>
        <w:t xml:space="preserve">low to very low. </w:t>
      </w:r>
      <w:r w:rsidR="00CD046E" w:rsidRPr="00C91EF0">
        <w:rPr>
          <w:rFonts w:asciiTheme="minorHAnsi" w:hAnsiTheme="minorHAnsi" w:cstheme="minorHAnsi"/>
          <w:sz w:val="22"/>
          <w:szCs w:val="22"/>
          <w:lang w:val="en-GB"/>
        </w:rPr>
        <w:t xml:space="preserve">To date and </w:t>
      </w:r>
      <w:r w:rsidR="00675CF2">
        <w:rPr>
          <w:rFonts w:asciiTheme="minorHAnsi" w:hAnsiTheme="minorHAnsi" w:cstheme="minorHAnsi"/>
          <w:sz w:val="22"/>
          <w:szCs w:val="22"/>
          <w:lang w:val="en-GB"/>
        </w:rPr>
        <w:t xml:space="preserve">as far as we are aware, </w:t>
      </w:r>
      <w:r w:rsidR="00CD046E" w:rsidRPr="00C91EF0">
        <w:rPr>
          <w:rFonts w:asciiTheme="minorHAnsi" w:hAnsiTheme="minorHAnsi" w:cstheme="minorHAnsi"/>
          <w:sz w:val="22"/>
          <w:szCs w:val="22"/>
          <w:lang w:val="en-GB"/>
        </w:rPr>
        <w:t xml:space="preserve">no relevant studies </w:t>
      </w:r>
      <w:r w:rsidR="00675CF2">
        <w:rPr>
          <w:rFonts w:asciiTheme="minorHAnsi" w:hAnsiTheme="minorHAnsi" w:cstheme="minorHAnsi"/>
          <w:sz w:val="22"/>
          <w:szCs w:val="22"/>
          <w:lang w:val="en-GB"/>
        </w:rPr>
        <w:t xml:space="preserve">exist that predict </w:t>
      </w:r>
      <w:proofErr w:type="spellStart"/>
      <w:r w:rsidR="00675CF2">
        <w:rPr>
          <w:rFonts w:asciiTheme="minorHAnsi" w:hAnsiTheme="minorHAnsi" w:cstheme="minorHAnsi"/>
          <w:sz w:val="22"/>
          <w:szCs w:val="22"/>
          <w:lang w:val="en-GB"/>
        </w:rPr>
        <w:t>dH</w:t>
      </w:r>
      <w:r w:rsidR="0047404F">
        <w:rPr>
          <w:rFonts w:asciiTheme="minorHAnsi" w:hAnsiTheme="minorHAnsi" w:cstheme="minorHAnsi"/>
          <w:sz w:val="22"/>
          <w:szCs w:val="22"/>
          <w:lang w:val="en-GB"/>
        </w:rPr>
        <w:t>R</w:t>
      </w:r>
      <w:r w:rsidR="00675CF2">
        <w:rPr>
          <w:rFonts w:asciiTheme="minorHAnsi" w:hAnsiTheme="minorHAnsi" w:cstheme="minorHAnsi"/>
          <w:sz w:val="22"/>
          <w:szCs w:val="22"/>
          <w:lang w:val="en-GB"/>
        </w:rPr>
        <w:t>QoL</w:t>
      </w:r>
      <w:proofErr w:type="spellEnd"/>
      <w:r w:rsidR="00675CF2">
        <w:rPr>
          <w:rFonts w:asciiTheme="minorHAnsi" w:hAnsiTheme="minorHAnsi" w:cstheme="minorHAnsi"/>
          <w:sz w:val="22"/>
          <w:szCs w:val="22"/>
          <w:lang w:val="en-GB"/>
        </w:rPr>
        <w:t xml:space="preserve"> in older populations based on </w:t>
      </w:r>
      <w:r w:rsidR="00CD046E" w:rsidRPr="00C91EF0">
        <w:rPr>
          <w:rFonts w:asciiTheme="minorHAnsi" w:hAnsiTheme="minorHAnsi" w:cstheme="minorHAnsi"/>
          <w:sz w:val="22"/>
          <w:szCs w:val="22"/>
          <w:lang w:val="en-GB"/>
        </w:rPr>
        <w:t xml:space="preserve">polypharmacy </w:t>
      </w:r>
      <w:r w:rsidR="00884B0C" w:rsidRPr="00C91EF0">
        <w:rPr>
          <w:rFonts w:asciiTheme="minorHAnsi" w:hAnsiTheme="minorHAnsi" w:cstheme="minorHAnsi"/>
          <w:sz w:val="22"/>
          <w:szCs w:val="22"/>
          <w:lang w:val="en-GB"/>
        </w:rPr>
        <w:t>or any other medication-related information</w:t>
      </w:r>
      <w:r w:rsidR="00CD046E" w:rsidRPr="00C91EF0">
        <w:rPr>
          <w:rFonts w:asciiTheme="minorHAnsi" w:hAnsiTheme="minorHAnsi" w:cstheme="minorHAnsi"/>
          <w:sz w:val="22"/>
          <w:szCs w:val="22"/>
          <w:lang w:val="en-GB"/>
        </w:rPr>
        <w:t>.</w:t>
      </w:r>
    </w:p>
    <w:p w14:paraId="53537605" w14:textId="6E2416C0" w:rsidR="00F56DCB" w:rsidRPr="00C91EF0" w:rsidRDefault="007E1946" w:rsidP="007E1946">
      <w:pPr>
        <w:spacing w:line="480" w:lineRule="auto"/>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According to the results of the PROPERmed prognostic model, assessment of </w:t>
      </w:r>
      <w:r w:rsidRPr="00C91EF0">
        <w:rPr>
          <w:rFonts w:asciiTheme="minorHAnsi" w:hAnsiTheme="minorHAnsi" w:cstheme="minorHAnsi"/>
          <w:sz w:val="22"/>
          <w:szCs w:val="22"/>
          <w:lang w:val="en-GB"/>
        </w:rPr>
        <w:t>health-related quality of life and functional status</w:t>
      </w:r>
      <w:r>
        <w:rPr>
          <w:rFonts w:asciiTheme="minorHAnsi" w:hAnsiTheme="minorHAnsi" w:cstheme="minorHAnsi"/>
          <w:sz w:val="22"/>
          <w:szCs w:val="22"/>
          <w:lang w:val="en-GB"/>
        </w:rPr>
        <w:t xml:space="preserve"> m</w:t>
      </w:r>
      <w:r w:rsidR="00B036DD">
        <w:rPr>
          <w:rFonts w:asciiTheme="minorHAnsi" w:hAnsiTheme="minorHAnsi" w:cstheme="minorHAnsi"/>
          <w:sz w:val="22"/>
          <w:szCs w:val="22"/>
          <w:lang w:val="en-GB"/>
        </w:rPr>
        <w:t>ight</w:t>
      </w:r>
      <w:r>
        <w:rPr>
          <w:rFonts w:asciiTheme="minorHAnsi" w:hAnsiTheme="minorHAnsi" w:cstheme="minorHAnsi"/>
          <w:sz w:val="22"/>
          <w:szCs w:val="22"/>
          <w:lang w:val="en-GB"/>
        </w:rPr>
        <w:t xml:space="preserve"> help physicians to detect patients with multimorbidity and polypharmacy at risk for a potentially preventable deterioration</w:t>
      </w:r>
      <w:r w:rsidRPr="00C91EF0">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6C59FF">
        <w:rPr>
          <w:rFonts w:asciiTheme="minorHAnsi" w:hAnsiTheme="minorHAnsi" w:cstheme="minorHAnsi"/>
          <w:sz w:val="22"/>
          <w:szCs w:val="22"/>
          <w:lang w:val="en-GB"/>
        </w:rPr>
        <w:t xml:space="preserve">However, </w:t>
      </w:r>
      <w:r w:rsidR="00117838">
        <w:rPr>
          <w:rFonts w:asciiTheme="minorHAnsi" w:hAnsiTheme="minorHAnsi" w:cstheme="minorHAnsi"/>
          <w:sz w:val="22"/>
          <w:szCs w:val="22"/>
          <w:lang w:val="en-GB"/>
        </w:rPr>
        <w:t xml:space="preserve">for use in our model, </w:t>
      </w:r>
      <w:r w:rsidR="008704FE">
        <w:rPr>
          <w:rFonts w:asciiTheme="minorHAnsi" w:hAnsiTheme="minorHAnsi" w:cstheme="minorHAnsi"/>
          <w:sz w:val="22"/>
          <w:szCs w:val="22"/>
          <w:lang w:val="en-GB"/>
        </w:rPr>
        <w:t xml:space="preserve">the latter would have to be standardized </w:t>
      </w:r>
      <w:r w:rsidR="00900F54">
        <w:rPr>
          <w:rFonts w:asciiTheme="minorHAnsi" w:hAnsiTheme="minorHAnsi" w:cstheme="minorHAnsi"/>
          <w:sz w:val="22"/>
          <w:szCs w:val="22"/>
          <w:lang w:val="en-GB"/>
        </w:rPr>
        <w:t xml:space="preserve">to take </w:t>
      </w:r>
      <w:r w:rsidR="00FA6F92">
        <w:rPr>
          <w:rFonts w:asciiTheme="minorHAnsi" w:hAnsiTheme="minorHAnsi" w:cstheme="minorHAnsi"/>
          <w:sz w:val="22"/>
          <w:szCs w:val="22"/>
          <w:lang w:val="en-GB"/>
        </w:rPr>
        <w:t xml:space="preserve">into account </w:t>
      </w:r>
      <w:r w:rsidR="008704FE">
        <w:rPr>
          <w:rFonts w:asciiTheme="minorHAnsi" w:hAnsiTheme="minorHAnsi" w:cstheme="minorHAnsi"/>
          <w:sz w:val="22"/>
          <w:szCs w:val="22"/>
          <w:lang w:val="en-GB"/>
        </w:rPr>
        <w:t xml:space="preserve">mean values and deviation </w:t>
      </w:r>
      <w:r w:rsidR="006C59FF">
        <w:rPr>
          <w:rFonts w:asciiTheme="minorHAnsi" w:hAnsiTheme="minorHAnsi" w:cstheme="minorHAnsi"/>
          <w:sz w:val="22"/>
          <w:szCs w:val="22"/>
          <w:lang w:val="en-GB"/>
        </w:rPr>
        <w:t>in the target population</w:t>
      </w:r>
      <w:r w:rsidR="008704FE">
        <w:rPr>
          <w:rFonts w:asciiTheme="minorHAnsi" w:hAnsiTheme="minorHAnsi" w:cstheme="minorHAnsi"/>
          <w:sz w:val="22"/>
          <w:szCs w:val="22"/>
          <w:lang w:val="en-GB"/>
        </w:rPr>
        <w:t xml:space="preserve">. Additionally, we recommend using </w:t>
      </w:r>
      <w:r w:rsidR="00A526F7">
        <w:rPr>
          <w:rFonts w:asciiTheme="minorHAnsi" w:hAnsiTheme="minorHAnsi" w:cstheme="minorHAnsi"/>
          <w:sz w:val="22"/>
          <w:szCs w:val="22"/>
          <w:lang w:val="en-GB"/>
        </w:rPr>
        <w:t xml:space="preserve">shrunken </w:t>
      </w:r>
      <w:r w:rsidR="008704FE">
        <w:rPr>
          <w:rFonts w:asciiTheme="minorHAnsi" w:hAnsiTheme="minorHAnsi" w:cstheme="minorHAnsi"/>
          <w:sz w:val="22"/>
          <w:szCs w:val="22"/>
          <w:lang w:val="en-GB"/>
        </w:rPr>
        <w:t xml:space="preserve">estimates </w:t>
      </w:r>
      <w:r w:rsidR="00117838">
        <w:rPr>
          <w:rFonts w:asciiTheme="minorHAnsi" w:hAnsiTheme="minorHAnsi" w:cstheme="minorHAnsi"/>
          <w:sz w:val="22"/>
          <w:szCs w:val="22"/>
          <w:lang w:val="en-GB"/>
        </w:rPr>
        <w:t xml:space="preserve">to </w:t>
      </w:r>
      <w:r w:rsidR="005E27FA">
        <w:rPr>
          <w:rFonts w:asciiTheme="minorHAnsi" w:hAnsiTheme="minorHAnsi" w:cstheme="minorHAnsi"/>
          <w:sz w:val="22"/>
          <w:szCs w:val="22"/>
          <w:lang w:val="en-GB"/>
        </w:rPr>
        <w:t xml:space="preserve">multiply </w:t>
      </w:r>
      <w:r w:rsidR="00117838">
        <w:rPr>
          <w:rFonts w:asciiTheme="minorHAnsi" w:hAnsiTheme="minorHAnsi" w:cstheme="minorHAnsi"/>
          <w:sz w:val="22"/>
          <w:szCs w:val="22"/>
          <w:lang w:val="en-GB"/>
        </w:rPr>
        <w:t xml:space="preserve">the effects of </w:t>
      </w:r>
      <w:r w:rsidR="008704FE">
        <w:rPr>
          <w:rFonts w:asciiTheme="minorHAnsi" w:hAnsiTheme="minorHAnsi" w:cstheme="minorHAnsi"/>
          <w:sz w:val="22"/>
          <w:szCs w:val="22"/>
          <w:lang w:val="en-GB"/>
        </w:rPr>
        <w:t>our prognostic variable</w:t>
      </w:r>
      <w:r w:rsidR="00117838">
        <w:rPr>
          <w:rFonts w:asciiTheme="minorHAnsi" w:hAnsiTheme="minorHAnsi" w:cstheme="minorHAnsi"/>
          <w:sz w:val="22"/>
          <w:szCs w:val="22"/>
          <w:lang w:val="en-GB"/>
        </w:rPr>
        <w:t>s</w:t>
      </w:r>
      <w:r w:rsidR="008704FE">
        <w:rPr>
          <w:rFonts w:asciiTheme="minorHAnsi" w:hAnsiTheme="minorHAnsi" w:cstheme="minorHAnsi"/>
          <w:sz w:val="22"/>
          <w:szCs w:val="22"/>
          <w:lang w:val="en-GB"/>
        </w:rPr>
        <w:t xml:space="preserve"> </w:t>
      </w:r>
      <w:r w:rsidR="00117838">
        <w:rPr>
          <w:rFonts w:asciiTheme="minorHAnsi" w:hAnsiTheme="minorHAnsi" w:cstheme="minorHAnsi"/>
          <w:sz w:val="22"/>
          <w:szCs w:val="22"/>
          <w:lang w:val="en-GB"/>
        </w:rPr>
        <w:t xml:space="preserve">with </w:t>
      </w:r>
      <w:r w:rsidR="008704FE">
        <w:rPr>
          <w:rFonts w:asciiTheme="minorHAnsi" w:hAnsiTheme="minorHAnsi" w:cstheme="minorHAnsi"/>
          <w:sz w:val="22"/>
          <w:szCs w:val="22"/>
          <w:lang w:val="en-GB"/>
        </w:rPr>
        <w:t xml:space="preserve">the uniform shrinkage factor obtained from internal bootstrap validation. </w:t>
      </w:r>
      <w:r w:rsidR="00117838">
        <w:rPr>
          <w:rFonts w:asciiTheme="minorHAnsi" w:hAnsiTheme="minorHAnsi" w:cstheme="minorHAnsi"/>
          <w:sz w:val="22"/>
          <w:szCs w:val="22"/>
          <w:lang w:val="en-GB"/>
        </w:rPr>
        <w:t xml:space="preserve">It is also </w:t>
      </w:r>
      <w:r w:rsidR="008B00D1">
        <w:rPr>
          <w:rFonts w:asciiTheme="minorHAnsi" w:hAnsiTheme="minorHAnsi" w:cstheme="minorHAnsi"/>
          <w:sz w:val="22"/>
          <w:szCs w:val="22"/>
          <w:lang w:val="en-GB"/>
        </w:rPr>
        <w:t xml:space="preserve">important </w:t>
      </w:r>
      <w:r w:rsidR="00117838">
        <w:rPr>
          <w:rFonts w:asciiTheme="minorHAnsi" w:hAnsiTheme="minorHAnsi" w:cstheme="minorHAnsi"/>
          <w:sz w:val="22"/>
          <w:szCs w:val="22"/>
          <w:lang w:val="en-GB"/>
        </w:rPr>
        <w:t xml:space="preserve">to consider </w:t>
      </w:r>
      <w:r w:rsidR="008B00D1">
        <w:rPr>
          <w:rFonts w:asciiTheme="minorHAnsi" w:hAnsiTheme="minorHAnsi" w:cstheme="minorHAnsi"/>
          <w:sz w:val="22"/>
          <w:szCs w:val="22"/>
          <w:lang w:val="en-GB"/>
        </w:rPr>
        <w:t xml:space="preserve">how </w:t>
      </w:r>
      <w:r w:rsidR="00117838">
        <w:rPr>
          <w:rFonts w:asciiTheme="minorHAnsi" w:hAnsiTheme="minorHAnsi" w:cstheme="minorHAnsi"/>
          <w:sz w:val="22"/>
          <w:szCs w:val="22"/>
          <w:lang w:val="en-GB"/>
        </w:rPr>
        <w:t xml:space="preserve">best </w:t>
      </w:r>
      <w:r w:rsidR="008B00D1">
        <w:rPr>
          <w:rFonts w:asciiTheme="minorHAnsi" w:hAnsiTheme="minorHAnsi" w:cstheme="minorHAnsi"/>
          <w:sz w:val="22"/>
          <w:szCs w:val="22"/>
          <w:lang w:val="en-GB"/>
        </w:rPr>
        <w:t xml:space="preserve">to choose the baseline risk for </w:t>
      </w:r>
      <w:proofErr w:type="spellStart"/>
      <w:r w:rsidR="00117838">
        <w:rPr>
          <w:rFonts w:asciiTheme="minorHAnsi" w:hAnsiTheme="minorHAnsi" w:cstheme="minorHAnsi"/>
          <w:sz w:val="22"/>
          <w:szCs w:val="22"/>
          <w:lang w:val="en-GB"/>
        </w:rPr>
        <w:t>d</w:t>
      </w:r>
      <w:r w:rsidR="008B00D1">
        <w:rPr>
          <w:rFonts w:asciiTheme="minorHAnsi" w:hAnsiTheme="minorHAnsi" w:cstheme="minorHAnsi"/>
          <w:sz w:val="22"/>
          <w:szCs w:val="22"/>
          <w:lang w:val="en-GB"/>
        </w:rPr>
        <w:t>HRQoL</w:t>
      </w:r>
      <w:proofErr w:type="spellEnd"/>
      <w:r w:rsidR="008B00D1">
        <w:rPr>
          <w:rFonts w:asciiTheme="minorHAnsi" w:hAnsiTheme="minorHAnsi" w:cstheme="minorHAnsi"/>
          <w:sz w:val="22"/>
          <w:szCs w:val="22"/>
          <w:lang w:val="en-GB"/>
        </w:rPr>
        <w:t xml:space="preserve"> (intercept) in the new population. While </w:t>
      </w:r>
      <w:r w:rsidR="00117838">
        <w:rPr>
          <w:rFonts w:asciiTheme="minorHAnsi" w:hAnsiTheme="minorHAnsi" w:cstheme="minorHAnsi"/>
          <w:sz w:val="22"/>
          <w:szCs w:val="22"/>
          <w:lang w:val="en-GB"/>
        </w:rPr>
        <w:t xml:space="preserve">for the original trials </w:t>
      </w:r>
      <w:r w:rsidR="008B00D1">
        <w:rPr>
          <w:rFonts w:asciiTheme="minorHAnsi" w:hAnsiTheme="minorHAnsi" w:cstheme="minorHAnsi"/>
          <w:sz w:val="22"/>
          <w:szCs w:val="22"/>
          <w:lang w:val="en-GB"/>
        </w:rPr>
        <w:t>an average intercept appeared reasonable for IECV</w:t>
      </w:r>
      <w:r w:rsidR="00D92693">
        <w:rPr>
          <w:rFonts w:asciiTheme="minorHAnsi" w:hAnsiTheme="minorHAnsi" w:cstheme="minorHAnsi"/>
          <w:sz w:val="22"/>
          <w:szCs w:val="22"/>
          <w:lang w:val="en-GB"/>
        </w:rPr>
        <w:t xml:space="preserve"> (</w:t>
      </w:r>
      <w:r w:rsidR="00D92693" w:rsidRPr="000267CA">
        <w:rPr>
          <w:rFonts w:asciiTheme="minorHAnsi" w:hAnsiTheme="minorHAnsi" w:cstheme="minorHAnsi"/>
          <w:sz w:val="22"/>
          <w:szCs w:val="22"/>
          <w:lang w:val="en-GB"/>
        </w:rPr>
        <w:t xml:space="preserve">between-study </w:t>
      </w:r>
      <w:r w:rsidR="00D92693">
        <w:rPr>
          <w:rFonts w:asciiTheme="minorHAnsi" w:hAnsiTheme="minorHAnsi" w:cstheme="minorHAnsi"/>
          <w:sz w:val="22"/>
          <w:szCs w:val="22"/>
          <w:lang w:val="en-GB"/>
        </w:rPr>
        <w:t>heterogeneity I</w:t>
      </w:r>
      <w:r w:rsidR="00D92693" w:rsidRPr="001C205C">
        <w:rPr>
          <w:rFonts w:asciiTheme="minorHAnsi" w:hAnsiTheme="minorHAnsi" w:cstheme="minorHAnsi"/>
          <w:sz w:val="22"/>
          <w:szCs w:val="22"/>
          <w:vertAlign w:val="superscript"/>
          <w:lang w:val="en-GB"/>
        </w:rPr>
        <w:t>2</w:t>
      </w:r>
      <w:r w:rsidR="00D92693" w:rsidRPr="000267CA">
        <w:rPr>
          <w:rFonts w:asciiTheme="minorHAnsi" w:hAnsiTheme="minorHAnsi" w:cstheme="minorHAnsi"/>
          <w:sz w:val="22"/>
          <w:szCs w:val="22"/>
          <w:lang w:val="en-GB"/>
        </w:rPr>
        <w:t xml:space="preserve"> of 78.6 %</w:t>
      </w:r>
      <w:r w:rsidR="00D92693">
        <w:rPr>
          <w:rFonts w:asciiTheme="minorHAnsi" w:hAnsiTheme="minorHAnsi" w:cstheme="minorHAnsi"/>
          <w:sz w:val="22"/>
          <w:szCs w:val="22"/>
          <w:lang w:val="en-GB"/>
        </w:rPr>
        <w:t xml:space="preserve"> in CITL)</w:t>
      </w:r>
      <w:r w:rsidR="008B00D1">
        <w:rPr>
          <w:rFonts w:asciiTheme="minorHAnsi" w:hAnsiTheme="minorHAnsi" w:cstheme="minorHAnsi"/>
          <w:sz w:val="22"/>
          <w:szCs w:val="22"/>
          <w:lang w:val="en-GB"/>
        </w:rPr>
        <w:t xml:space="preserve">, implementation </w:t>
      </w:r>
      <w:r w:rsidR="00117838">
        <w:rPr>
          <w:rFonts w:asciiTheme="minorHAnsi" w:hAnsiTheme="minorHAnsi" w:cstheme="minorHAnsi"/>
          <w:sz w:val="22"/>
          <w:szCs w:val="22"/>
          <w:lang w:val="en-GB"/>
        </w:rPr>
        <w:t>in</w:t>
      </w:r>
      <w:r w:rsidR="008B00D1">
        <w:rPr>
          <w:rFonts w:asciiTheme="minorHAnsi" w:hAnsiTheme="minorHAnsi" w:cstheme="minorHAnsi"/>
          <w:sz w:val="22"/>
          <w:szCs w:val="22"/>
          <w:lang w:val="en-GB"/>
        </w:rPr>
        <w:t xml:space="preserve"> a completely new setting </w:t>
      </w:r>
      <w:r w:rsidR="00117838">
        <w:rPr>
          <w:rFonts w:asciiTheme="minorHAnsi" w:hAnsiTheme="minorHAnsi" w:cstheme="minorHAnsi"/>
          <w:sz w:val="22"/>
          <w:szCs w:val="22"/>
          <w:lang w:val="en-GB"/>
        </w:rPr>
        <w:t xml:space="preserve">may </w:t>
      </w:r>
      <w:r w:rsidR="008B00D1">
        <w:rPr>
          <w:rFonts w:asciiTheme="minorHAnsi" w:hAnsiTheme="minorHAnsi" w:cstheme="minorHAnsi"/>
          <w:sz w:val="22"/>
          <w:szCs w:val="22"/>
          <w:lang w:val="en-GB"/>
        </w:rPr>
        <w:t>require adjustment</w:t>
      </w:r>
      <w:r w:rsidR="00117838">
        <w:rPr>
          <w:rFonts w:asciiTheme="minorHAnsi" w:hAnsiTheme="minorHAnsi" w:cstheme="minorHAnsi"/>
          <w:sz w:val="22"/>
          <w:szCs w:val="22"/>
          <w:lang w:val="en-GB"/>
        </w:rPr>
        <w:t>s</w:t>
      </w:r>
      <w:r w:rsidR="008B00D1">
        <w:rPr>
          <w:rFonts w:asciiTheme="minorHAnsi" w:hAnsiTheme="minorHAnsi" w:cstheme="minorHAnsi"/>
          <w:sz w:val="22"/>
          <w:szCs w:val="22"/>
          <w:lang w:val="en-GB"/>
        </w:rPr>
        <w:t xml:space="preserve"> </w:t>
      </w:r>
      <w:r w:rsidR="00900F54">
        <w:rPr>
          <w:rFonts w:asciiTheme="minorHAnsi" w:hAnsiTheme="minorHAnsi" w:cstheme="minorHAnsi"/>
          <w:sz w:val="22"/>
          <w:szCs w:val="22"/>
          <w:lang w:val="en-GB"/>
        </w:rPr>
        <w:t xml:space="preserve">to account for </w:t>
      </w:r>
      <w:r w:rsidR="008B00D1">
        <w:rPr>
          <w:rFonts w:asciiTheme="minorHAnsi" w:hAnsiTheme="minorHAnsi" w:cstheme="minorHAnsi"/>
          <w:sz w:val="22"/>
          <w:szCs w:val="22"/>
          <w:lang w:val="en-GB"/>
        </w:rPr>
        <w:t>outcome frequencies</w:t>
      </w:r>
      <w:r w:rsidR="00117838">
        <w:rPr>
          <w:rFonts w:asciiTheme="minorHAnsi" w:hAnsiTheme="minorHAnsi" w:cstheme="minorHAnsi"/>
          <w:sz w:val="22"/>
          <w:szCs w:val="22"/>
          <w:lang w:val="en-GB"/>
        </w:rPr>
        <w:t>,</w:t>
      </w:r>
      <w:r w:rsidR="008B00D1">
        <w:rPr>
          <w:rFonts w:asciiTheme="minorHAnsi" w:hAnsiTheme="minorHAnsi" w:cstheme="minorHAnsi"/>
          <w:sz w:val="22"/>
          <w:szCs w:val="22"/>
          <w:lang w:val="en-GB"/>
        </w:rPr>
        <w:t xml:space="preserve"> or </w:t>
      </w:r>
      <w:r w:rsidR="00117838">
        <w:rPr>
          <w:rFonts w:asciiTheme="minorHAnsi" w:hAnsiTheme="minorHAnsi" w:cstheme="minorHAnsi"/>
          <w:sz w:val="22"/>
          <w:szCs w:val="22"/>
          <w:lang w:val="en-GB"/>
        </w:rPr>
        <w:t xml:space="preserve">even </w:t>
      </w:r>
      <w:r w:rsidR="008B00D1">
        <w:rPr>
          <w:rFonts w:asciiTheme="minorHAnsi" w:hAnsiTheme="minorHAnsi" w:cstheme="minorHAnsi"/>
          <w:sz w:val="22"/>
          <w:szCs w:val="22"/>
          <w:lang w:val="en-GB"/>
        </w:rPr>
        <w:t>complete re-estimation</w:t>
      </w:r>
      <w:r w:rsidR="00940416">
        <w:rPr>
          <w:rFonts w:asciiTheme="minorHAnsi" w:hAnsiTheme="minorHAnsi" w:cstheme="minorHAnsi"/>
          <w:sz w:val="22"/>
          <w:szCs w:val="22"/>
          <w:lang w:val="en-GB"/>
        </w:rPr>
        <w:t xml:space="preserve"> </w:t>
      </w:r>
      <w:r w:rsidR="00776DB8">
        <w:rPr>
          <w:rFonts w:asciiTheme="minorHAnsi" w:hAnsiTheme="minorHAnsi" w:cstheme="minorHAnsi"/>
          <w:sz w:val="22"/>
          <w:szCs w:val="22"/>
          <w:lang w:val="en-GB"/>
        </w:rPr>
        <w:fldChar w:fldCharType="begin" w:fldLock="1"/>
      </w:r>
      <w:r w:rsidR="006819A8">
        <w:rPr>
          <w:rFonts w:asciiTheme="minorHAnsi" w:hAnsiTheme="minorHAnsi" w:cstheme="minorHAnsi"/>
          <w:sz w:val="22"/>
          <w:szCs w:val="22"/>
          <w:lang w:val="en-GB"/>
        </w:rPr>
        <w:instrText>ADDIN CSL_CITATION {"citationItems":[{"id":"ITEM-1","itemData":{"DOI":"10.1002/sim.5732","ISBN":"1097-0258 (Electronic)\\r0277-6715 (Linking)","ISSN":"02776715","PMID":"23307585","abstract":"The use of individual participant data (IPD) from multiple studies is an increasingly popular approach when developing a multivariable risk prediction model. Corresponding datasets, however, typically differ in important aspects, such as baseline risk. This has driven the adoption of meta-analytical approaches for appropriately dealing with heterogeneity between study populations. Although these approaches provide an averaged prediction model across all studies, little guidance exists about how to apply or validate this model to new individuals or study populations outside the derivation data. We consider several approaches to develop a multivariable logistic regression model from an IPD meta-analysis (IPD-MA) with potential between-study heterogeneity. We also propose strategies for choosing a valid model intercept for when the model is to be validated or applied to new individuals or study populations. These strategies can be implemented by the IPD-MA developers or future model validators. Finally, we show how model generalizability can be evaluated when external validation data are lacking using internal-external cross-validation and extend our framework to count and time-to-event data. In an empirical evaluation, our results show how stratified estimation allows study-specific model intercepts, which can then inform the intercept to be used when applying the model in practice, even to a population not represented by included studies. In summary, our framework allows the development (through stratified estimation), implementation in new individuals (through focused intercept choice), and evaluation (through internal-external validation) of a single, integrated prediction model from an IPD-MA in order to achieve improved model performance and generalizability.","author":[{"dropping-particle":"","family":"Debray","given":"Thomas P A","non-dropping-particle":"","parse-names":false,"suffix":""},{"dropping-particle":"","family":"Moons","given":"Karel G M","non-dropping-particle":"","parse-names":false,"suffix":""},{"dropping-particle":"","family":"Ahmed","given":"Ikhlaaq","non-dropping-particle":"","parse-names":false,"suffix":""},{"dropping-particle":"","family":"Koffijberg","given":"Hendrik","non-dropping-particle":"","parse-names":false,"suffix":""},{"dropping-particle":"","family":"Riley","given":"Richard David","non-dropping-particle":"","parse-names":false,"suffix":""}],"container-title":"Statistics in Medicine","id":"ITEM-1","issue":"18","issued":{"date-parts":[["2013"]]},"page":"3158-3180","title":"A framework for developing, implementing, and evaluating clinical prediction models in an individual participant data meta-analysis","type":"article-journal","volume":"32"},"uris":["http://www.mendeley.com/documents/?uuid=79168b1a-9ebb-4727-aa6f-6503720d8dac"]}],"mendeley":{"formattedCitation":"(17)","plainTextFormattedCitation":"(17)","previouslyFormattedCitation":"(16)"},"properties":{"noteIndex":0},"schema":"https://github.com/citation-style-language/schema/raw/master/csl-citation.json"}</w:instrText>
      </w:r>
      <w:r w:rsidR="00776DB8">
        <w:rPr>
          <w:rFonts w:asciiTheme="minorHAnsi" w:hAnsiTheme="minorHAnsi" w:cstheme="minorHAnsi"/>
          <w:sz w:val="22"/>
          <w:szCs w:val="22"/>
          <w:lang w:val="en-GB"/>
        </w:rPr>
        <w:fldChar w:fldCharType="separate"/>
      </w:r>
      <w:r w:rsidR="006819A8" w:rsidRPr="006819A8">
        <w:rPr>
          <w:rFonts w:asciiTheme="minorHAnsi" w:hAnsiTheme="minorHAnsi" w:cstheme="minorHAnsi"/>
          <w:noProof/>
          <w:sz w:val="22"/>
          <w:szCs w:val="22"/>
          <w:lang w:val="en-GB"/>
        </w:rPr>
        <w:t>(17)</w:t>
      </w:r>
      <w:r w:rsidR="00776DB8">
        <w:rPr>
          <w:rFonts w:asciiTheme="minorHAnsi" w:hAnsiTheme="minorHAnsi" w:cstheme="minorHAnsi"/>
          <w:sz w:val="22"/>
          <w:szCs w:val="22"/>
          <w:lang w:val="en-GB"/>
        </w:rPr>
        <w:fldChar w:fldCharType="end"/>
      </w:r>
      <w:r w:rsidR="008B00D1">
        <w:rPr>
          <w:rFonts w:asciiTheme="minorHAnsi" w:hAnsiTheme="minorHAnsi" w:cstheme="minorHAnsi"/>
          <w:sz w:val="22"/>
          <w:szCs w:val="22"/>
          <w:lang w:val="en-GB"/>
        </w:rPr>
        <w:t xml:space="preserve">. </w:t>
      </w:r>
      <w:r w:rsidR="00B91FE3">
        <w:rPr>
          <w:rFonts w:asciiTheme="minorHAnsi" w:hAnsiTheme="minorHAnsi" w:cstheme="minorHAnsi"/>
          <w:sz w:val="22"/>
          <w:szCs w:val="22"/>
          <w:lang w:val="en-GB"/>
        </w:rPr>
        <w:t xml:space="preserve">Therefore, implementation of the </w:t>
      </w:r>
      <w:proofErr w:type="spellStart"/>
      <w:r w:rsidR="00B91FE3">
        <w:rPr>
          <w:rFonts w:asciiTheme="minorHAnsi" w:hAnsiTheme="minorHAnsi" w:cstheme="minorHAnsi"/>
          <w:sz w:val="22"/>
          <w:szCs w:val="22"/>
          <w:lang w:val="en-GB"/>
        </w:rPr>
        <w:t>PROPERmed</w:t>
      </w:r>
      <w:proofErr w:type="spellEnd"/>
      <w:r w:rsidR="00B91FE3">
        <w:rPr>
          <w:rFonts w:asciiTheme="minorHAnsi" w:hAnsiTheme="minorHAnsi" w:cstheme="minorHAnsi"/>
          <w:sz w:val="22"/>
          <w:szCs w:val="22"/>
          <w:lang w:val="en-GB"/>
        </w:rPr>
        <w:t xml:space="preserve"> </w:t>
      </w:r>
      <w:proofErr w:type="spellStart"/>
      <w:r w:rsidR="00B91FE3">
        <w:rPr>
          <w:rFonts w:asciiTheme="minorHAnsi" w:hAnsiTheme="minorHAnsi" w:cstheme="minorHAnsi"/>
          <w:sz w:val="22"/>
          <w:szCs w:val="22"/>
          <w:lang w:val="en-GB"/>
        </w:rPr>
        <w:t>dHRQoL</w:t>
      </w:r>
      <w:proofErr w:type="spellEnd"/>
      <w:r w:rsidR="00B91FE3">
        <w:rPr>
          <w:rFonts w:asciiTheme="minorHAnsi" w:hAnsiTheme="minorHAnsi" w:cstheme="minorHAnsi"/>
          <w:sz w:val="22"/>
          <w:szCs w:val="22"/>
          <w:lang w:val="en-GB"/>
        </w:rPr>
        <w:t xml:space="preserve"> model in a completely new setting will require </w:t>
      </w:r>
      <w:r w:rsidR="00D655AC">
        <w:rPr>
          <w:rFonts w:asciiTheme="minorHAnsi" w:hAnsiTheme="minorHAnsi" w:cstheme="minorHAnsi"/>
          <w:sz w:val="22"/>
          <w:szCs w:val="22"/>
          <w:lang w:val="en-GB"/>
        </w:rPr>
        <w:t xml:space="preserve">taking </w:t>
      </w:r>
      <w:r w:rsidR="00B91FE3">
        <w:rPr>
          <w:rFonts w:asciiTheme="minorHAnsi" w:hAnsiTheme="minorHAnsi" w:cstheme="minorHAnsi"/>
          <w:sz w:val="22"/>
          <w:szCs w:val="22"/>
          <w:lang w:val="en-GB"/>
        </w:rPr>
        <w:t>the intermediate steps</w:t>
      </w:r>
      <w:r w:rsidR="00E7637F">
        <w:rPr>
          <w:rFonts w:asciiTheme="minorHAnsi" w:hAnsiTheme="minorHAnsi" w:cstheme="minorHAnsi"/>
          <w:sz w:val="22"/>
          <w:szCs w:val="22"/>
          <w:lang w:val="en-GB"/>
        </w:rPr>
        <w:t xml:space="preserve"> mentioned above</w:t>
      </w:r>
      <w:r w:rsidR="00B91FE3">
        <w:rPr>
          <w:rFonts w:asciiTheme="minorHAnsi" w:hAnsiTheme="minorHAnsi" w:cstheme="minorHAnsi"/>
          <w:sz w:val="22"/>
          <w:szCs w:val="22"/>
          <w:lang w:val="en-GB"/>
        </w:rPr>
        <w:t>, especially</w:t>
      </w:r>
      <w:r w:rsidR="00D655AC">
        <w:rPr>
          <w:rFonts w:asciiTheme="minorHAnsi" w:hAnsiTheme="minorHAnsi" w:cstheme="minorHAnsi"/>
          <w:sz w:val="22"/>
          <w:szCs w:val="22"/>
          <w:lang w:val="en-GB"/>
        </w:rPr>
        <w:t xml:space="preserve"> </w:t>
      </w:r>
      <w:r w:rsidR="00E7637F">
        <w:rPr>
          <w:rFonts w:asciiTheme="minorHAnsi" w:hAnsiTheme="minorHAnsi" w:cstheme="minorHAnsi"/>
          <w:sz w:val="22"/>
          <w:szCs w:val="22"/>
          <w:lang w:val="en-GB"/>
        </w:rPr>
        <w:t>as data from</w:t>
      </w:r>
      <w:r w:rsidR="00B91FE3">
        <w:rPr>
          <w:rFonts w:asciiTheme="minorHAnsi" w:hAnsiTheme="minorHAnsi" w:cstheme="minorHAnsi"/>
          <w:sz w:val="22"/>
          <w:szCs w:val="22"/>
          <w:lang w:val="en-GB"/>
        </w:rPr>
        <w:t xml:space="preserve"> the target population is likely to differ from our </w:t>
      </w:r>
      <w:r w:rsidR="00E7637F">
        <w:rPr>
          <w:rFonts w:asciiTheme="minorHAnsi" w:hAnsiTheme="minorHAnsi" w:cstheme="minorHAnsi"/>
          <w:sz w:val="22"/>
          <w:szCs w:val="22"/>
          <w:lang w:val="en-GB"/>
        </w:rPr>
        <w:t>own</w:t>
      </w:r>
      <w:r w:rsidR="00B91FE3">
        <w:rPr>
          <w:rFonts w:asciiTheme="minorHAnsi" w:hAnsiTheme="minorHAnsi" w:cstheme="minorHAnsi"/>
          <w:sz w:val="22"/>
          <w:szCs w:val="22"/>
          <w:lang w:val="en-GB"/>
        </w:rPr>
        <w:t xml:space="preserve">. </w:t>
      </w:r>
      <w:r w:rsidR="00ED0963">
        <w:rPr>
          <w:rFonts w:asciiTheme="minorHAnsi" w:hAnsiTheme="minorHAnsi" w:cstheme="minorHAnsi"/>
          <w:sz w:val="22"/>
          <w:szCs w:val="22"/>
          <w:lang w:val="en-GB"/>
        </w:rPr>
        <w:t xml:space="preserve">Furthermore, </w:t>
      </w:r>
      <w:r w:rsidR="00ED0963" w:rsidRPr="00C91EF0">
        <w:rPr>
          <w:rFonts w:asciiTheme="minorHAnsi" w:hAnsiTheme="minorHAnsi" w:cstheme="minorHAnsi"/>
          <w:sz w:val="22"/>
          <w:szCs w:val="22"/>
          <w:lang w:val="en-GB"/>
        </w:rPr>
        <w:t xml:space="preserve">the </w:t>
      </w:r>
      <w:proofErr w:type="spellStart"/>
      <w:r w:rsidR="00ED0963" w:rsidRPr="00C91EF0">
        <w:rPr>
          <w:rFonts w:asciiTheme="minorHAnsi" w:hAnsiTheme="minorHAnsi" w:cstheme="minorHAnsi"/>
          <w:sz w:val="22"/>
          <w:szCs w:val="22"/>
          <w:lang w:val="en-GB"/>
        </w:rPr>
        <w:t>PROPERmed</w:t>
      </w:r>
      <w:proofErr w:type="spellEnd"/>
      <w:r w:rsidR="00ED0963" w:rsidRPr="00C91EF0">
        <w:rPr>
          <w:rFonts w:asciiTheme="minorHAnsi" w:hAnsiTheme="minorHAnsi" w:cstheme="minorHAnsi"/>
          <w:sz w:val="22"/>
          <w:szCs w:val="22"/>
          <w:lang w:val="en-GB"/>
        </w:rPr>
        <w:t xml:space="preserve"> </w:t>
      </w:r>
      <w:proofErr w:type="spellStart"/>
      <w:r w:rsidR="00ED0963">
        <w:rPr>
          <w:rFonts w:asciiTheme="minorHAnsi" w:hAnsiTheme="minorHAnsi" w:cstheme="minorHAnsi"/>
          <w:sz w:val="22"/>
          <w:szCs w:val="22"/>
          <w:lang w:val="en-GB"/>
        </w:rPr>
        <w:t>d</w:t>
      </w:r>
      <w:r w:rsidR="00ED0963" w:rsidRPr="00C91EF0">
        <w:rPr>
          <w:rFonts w:asciiTheme="minorHAnsi" w:hAnsiTheme="minorHAnsi" w:cstheme="minorHAnsi"/>
          <w:sz w:val="22"/>
          <w:szCs w:val="22"/>
          <w:lang w:val="en-GB"/>
        </w:rPr>
        <w:t>HRQoL</w:t>
      </w:r>
      <w:proofErr w:type="spellEnd"/>
      <w:r w:rsidR="00ED0963" w:rsidRPr="00C91EF0">
        <w:rPr>
          <w:rFonts w:asciiTheme="minorHAnsi" w:hAnsiTheme="minorHAnsi" w:cstheme="minorHAnsi"/>
          <w:sz w:val="22"/>
          <w:szCs w:val="22"/>
          <w:lang w:val="en-GB"/>
        </w:rPr>
        <w:t xml:space="preserve"> model</w:t>
      </w:r>
      <w:r w:rsidR="00ED0963">
        <w:rPr>
          <w:rFonts w:asciiTheme="minorHAnsi" w:hAnsiTheme="minorHAnsi" w:cstheme="minorHAnsi"/>
          <w:sz w:val="22"/>
          <w:szCs w:val="22"/>
          <w:lang w:val="en-GB"/>
        </w:rPr>
        <w:t xml:space="preserve"> should undergo an impact assessment, </w:t>
      </w:r>
      <w:r w:rsidR="00ED0963">
        <w:rPr>
          <w:rFonts w:asciiTheme="minorHAnsi" w:hAnsiTheme="minorHAnsi" w:cstheme="minorHAnsi"/>
          <w:sz w:val="22"/>
          <w:szCs w:val="22"/>
          <w:lang w:val="en-GB"/>
        </w:rPr>
        <w:lastRenderedPageBreak/>
        <w:t xml:space="preserve">whereby it is particularly important to evaluate its ability </w:t>
      </w:r>
      <w:r w:rsidR="00C538E5" w:rsidRPr="00C91EF0">
        <w:rPr>
          <w:rFonts w:asciiTheme="minorHAnsi" w:hAnsiTheme="minorHAnsi" w:cstheme="minorHAnsi"/>
          <w:sz w:val="22"/>
          <w:szCs w:val="22"/>
          <w:lang w:val="en-GB"/>
        </w:rPr>
        <w:t xml:space="preserve">as a </w:t>
      </w:r>
      <w:r w:rsidR="00613073" w:rsidRPr="00C91EF0">
        <w:rPr>
          <w:rFonts w:asciiTheme="minorHAnsi" w:hAnsiTheme="minorHAnsi" w:cstheme="minorHAnsi"/>
          <w:sz w:val="22"/>
          <w:szCs w:val="22"/>
          <w:lang w:val="en-GB"/>
        </w:rPr>
        <w:t xml:space="preserve">prognostic </w:t>
      </w:r>
      <w:r w:rsidR="00C538E5" w:rsidRPr="00C91EF0">
        <w:rPr>
          <w:rFonts w:asciiTheme="minorHAnsi" w:hAnsiTheme="minorHAnsi" w:cstheme="minorHAnsi"/>
          <w:sz w:val="22"/>
          <w:szCs w:val="22"/>
          <w:lang w:val="en-GB"/>
        </w:rPr>
        <w:t xml:space="preserve">tool to prioritize (complex) interventions </w:t>
      </w:r>
      <w:r w:rsidR="00613073" w:rsidRPr="00C91EF0">
        <w:rPr>
          <w:rFonts w:asciiTheme="minorHAnsi" w:hAnsiTheme="minorHAnsi" w:cstheme="minorHAnsi"/>
          <w:sz w:val="22"/>
          <w:szCs w:val="22"/>
          <w:lang w:val="en-GB"/>
        </w:rPr>
        <w:t>in general practice</w:t>
      </w:r>
      <w:r w:rsidR="00FA6F92">
        <w:rPr>
          <w:rFonts w:asciiTheme="minorHAnsi" w:hAnsiTheme="minorHAnsi" w:cstheme="minorHAnsi"/>
          <w:sz w:val="22"/>
          <w:szCs w:val="22"/>
          <w:lang w:val="en-GB"/>
        </w:rPr>
        <w:t>,</w:t>
      </w:r>
      <w:r w:rsidR="00613073" w:rsidRPr="00C91EF0">
        <w:rPr>
          <w:rFonts w:asciiTheme="minorHAnsi" w:hAnsiTheme="minorHAnsi" w:cstheme="minorHAnsi"/>
          <w:sz w:val="22"/>
          <w:szCs w:val="22"/>
          <w:lang w:val="en-GB"/>
        </w:rPr>
        <w:t xml:space="preserve"> </w:t>
      </w:r>
      <w:r w:rsidR="00FA6F92">
        <w:rPr>
          <w:rFonts w:asciiTheme="minorHAnsi" w:hAnsiTheme="minorHAnsi" w:cstheme="minorHAnsi"/>
          <w:sz w:val="22"/>
          <w:szCs w:val="22"/>
          <w:lang w:val="en-GB"/>
        </w:rPr>
        <w:t xml:space="preserve">and thus </w:t>
      </w:r>
      <w:r w:rsidR="00ED0963">
        <w:rPr>
          <w:rFonts w:asciiTheme="minorHAnsi" w:hAnsiTheme="minorHAnsi" w:cstheme="minorHAnsi"/>
          <w:sz w:val="22"/>
          <w:szCs w:val="22"/>
          <w:lang w:val="en-GB"/>
        </w:rPr>
        <w:t xml:space="preserve">to determine </w:t>
      </w:r>
      <w:r w:rsidR="00613073" w:rsidRPr="00C91EF0">
        <w:rPr>
          <w:rFonts w:asciiTheme="minorHAnsi" w:hAnsiTheme="minorHAnsi" w:cstheme="minorHAnsi"/>
          <w:sz w:val="22"/>
          <w:szCs w:val="22"/>
          <w:lang w:val="en-GB"/>
        </w:rPr>
        <w:t>whether it c</w:t>
      </w:r>
      <w:r w:rsidR="00FA6F92">
        <w:rPr>
          <w:rFonts w:asciiTheme="minorHAnsi" w:hAnsiTheme="minorHAnsi" w:cstheme="minorHAnsi"/>
          <w:sz w:val="22"/>
          <w:szCs w:val="22"/>
          <w:lang w:val="en-GB"/>
        </w:rPr>
        <w:t>ould</w:t>
      </w:r>
      <w:r w:rsidR="00613073" w:rsidRPr="00C91EF0">
        <w:rPr>
          <w:rFonts w:asciiTheme="minorHAnsi" w:hAnsiTheme="minorHAnsi" w:cstheme="minorHAnsi"/>
          <w:sz w:val="22"/>
          <w:szCs w:val="22"/>
          <w:lang w:val="en-GB"/>
        </w:rPr>
        <w:t xml:space="preserve"> </w:t>
      </w:r>
      <w:r w:rsidR="00BF1E35">
        <w:rPr>
          <w:rFonts w:asciiTheme="minorHAnsi" w:hAnsiTheme="minorHAnsi" w:cstheme="minorHAnsi"/>
          <w:sz w:val="22"/>
          <w:szCs w:val="22"/>
          <w:lang w:val="en-GB"/>
        </w:rPr>
        <w:t xml:space="preserve">actually </w:t>
      </w:r>
      <w:r w:rsidR="00613073" w:rsidRPr="00C91EF0">
        <w:rPr>
          <w:rFonts w:asciiTheme="minorHAnsi" w:hAnsiTheme="minorHAnsi" w:cstheme="minorHAnsi"/>
          <w:sz w:val="22"/>
          <w:szCs w:val="22"/>
          <w:lang w:val="en-GB"/>
        </w:rPr>
        <w:t xml:space="preserve">help </w:t>
      </w:r>
      <w:r w:rsidR="00C538E5" w:rsidRPr="00C91EF0">
        <w:rPr>
          <w:rFonts w:asciiTheme="minorHAnsi" w:hAnsiTheme="minorHAnsi" w:cstheme="minorHAnsi"/>
          <w:sz w:val="22"/>
          <w:szCs w:val="22"/>
          <w:lang w:val="en-GB"/>
        </w:rPr>
        <w:t>optimiz</w:t>
      </w:r>
      <w:r w:rsidR="001F6AEC" w:rsidRPr="00C91EF0">
        <w:rPr>
          <w:rFonts w:asciiTheme="minorHAnsi" w:hAnsiTheme="minorHAnsi" w:cstheme="minorHAnsi"/>
          <w:sz w:val="22"/>
          <w:szCs w:val="22"/>
          <w:lang w:val="en-GB"/>
        </w:rPr>
        <w:t>e</w:t>
      </w:r>
      <w:r w:rsidR="00C538E5" w:rsidRPr="00C91EF0">
        <w:rPr>
          <w:rFonts w:asciiTheme="minorHAnsi" w:hAnsiTheme="minorHAnsi" w:cstheme="minorHAnsi"/>
          <w:sz w:val="22"/>
          <w:szCs w:val="22"/>
          <w:lang w:val="en-GB"/>
        </w:rPr>
        <w:t xml:space="preserve"> medication</w:t>
      </w:r>
      <w:r w:rsidR="00613073" w:rsidRPr="00C91EF0">
        <w:rPr>
          <w:rFonts w:asciiTheme="minorHAnsi" w:hAnsiTheme="minorHAnsi" w:cstheme="minorHAnsi"/>
          <w:sz w:val="22"/>
          <w:szCs w:val="22"/>
          <w:lang w:val="en-GB"/>
        </w:rPr>
        <w:t xml:space="preserve"> regimens</w:t>
      </w:r>
      <w:r w:rsidR="00C538E5" w:rsidRPr="00C91EF0">
        <w:rPr>
          <w:rFonts w:asciiTheme="minorHAnsi" w:hAnsiTheme="minorHAnsi" w:cstheme="minorHAnsi"/>
          <w:sz w:val="22"/>
          <w:szCs w:val="22"/>
          <w:lang w:val="en-GB"/>
        </w:rPr>
        <w:t>.</w:t>
      </w:r>
      <w:r w:rsidR="00DA6A63">
        <w:rPr>
          <w:rFonts w:asciiTheme="minorHAnsi" w:hAnsiTheme="minorHAnsi" w:cstheme="minorHAnsi"/>
          <w:sz w:val="22"/>
          <w:szCs w:val="22"/>
          <w:lang w:val="en-GB"/>
        </w:rPr>
        <w:t xml:space="preserve"> </w:t>
      </w:r>
    </w:p>
    <w:p w14:paraId="43E36F43" w14:textId="77777777" w:rsidR="00D971D5" w:rsidRPr="00C91EF0" w:rsidRDefault="00D971D5" w:rsidP="00D6770A">
      <w:pPr>
        <w:spacing w:line="480" w:lineRule="auto"/>
        <w:rPr>
          <w:rFonts w:asciiTheme="minorHAnsi" w:hAnsiTheme="minorHAnsi" w:cstheme="minorHAnsi"/>
          <w:sz w:val="22"/>
          <w:szCs w:val="22"/>
          <w:lang w:val="en-GB"/>
        </w:rPr>
      </w:pPr>
    </w:p>
    <w:p w14:paraId="07304831" w14:textId="77777777" w:rsidR="00C93DC3" w:rsidRPr="00C91EF0" w:rsidRDefault="00C93DC3" w:rsidP="00C93DC3">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C</w:t>
      </w:r>
      <w:r w:rsidR="00D467AD">
        <w:rPr>
          <w:rFonts w:asciiTheme="minorHAnsi" w:hAnsiTheme="minorHAnsi" w:cstheme="minorHAnsi"/>
          <w:b/>
          <w:sz w:val="22"/>
          <w:szCs w:val="22"/>
          <w:lang w:val="en-GB"/>
        </w:rPr>
        <w:t>ONCLUSION</w:t>
      </w:r>
    </w:p>
    <w:p w14:paraId="09CF65CD" w14:textId="227D5AB9" w:rsidR="00E13DAD" w:rsidRDefault="00C93DC3" w:rsidP="00E13DAD">
      <w:pPr>
        <w:spacing w:line="480" w:lineRule="auto"/>
        <w:jc w:val="both"/>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The first IPD-based </w:t>
      </w:r>
      <w:r w:rsidR="00597626" w:rsidRPr="00C91EF0">
        <w:rPr>
          <w:rFonts w:asciiTheme="minorHAnsi" w:hAnsiTheme="minorHAnsi" w:cstheme="minorHAnsi"/>
          <w:sz w:val="22"/>
          <w:szCs w:val="22"/>
          <w:lang w:val="en-GB"/>
        </w:rPr>
        <w:t>prognostic</w:t>
      </w:r>
      <w:r w:rsidRPr="00C91EF0">
        <w:rPr>
          <w:rFonts w:asciiTheme="minorHAnsi" w:hAnsiTheme="minorHAnsi" w:cstheme="minorHAnsi"/>
          <w:sz w:val="22"/>
          <w:szCs w:val="22"/>
          <w:lang w:val="en-GB"/>
        </w:rPr>
        <w:t xml:space="preserve"> model </w:t>
      </w:r>
      <w:r w:rsidR="00ED0963">
        <w:rPr>
          <w:rFonts w:asciiTheme="minorHAnsi" w:hAnsiTheme="minorHAnsi" w:cstheme="minorHAnsi"/>
          <w:sz w:val="22"/>
          <w:szCs w:val="22"/>
          <w:lang w:val="en-GB"/>
        </w:rPr>
        <w:t xml:space="preserve">of </w:t>
      </w:r>
      <w:proofErr w:type="spellStart"/>
      <w:r w:rsidR="00ED0963">
        <w:rPr>
          <w:rFonts w:asciiTheme="minorHAnsi" w:hAnsiTheme="minorHAnsi" w:cstheme="minorHAnsi"/>
          <w:sz w:val="22"/>
          <w:szCs w:val="22"/>
          <w:lang w:val="en-GB"/>
        </w:rPr>
        <w:t>d</w:t>
      </w:r>
      <w:r w:rsidRPr="00C91EF0">
        <w:rPr>
          <w:rFonts w:asciiTheme="minorHAnsi" w:hAnsiTheme="minorHAnsi" w:cstheme="minorHAnsi"/>
          <w:sz w:val="22"/>
          <w:szCs w:val="22"/>
          <w:lang w:val="en-GB"/>
        </w:rPr>
        <w:t>HRQoL</w:t>
      </w:r>
      <w:proofErr w:type="spellEnd"/>
      <w:r w:rsidRPr="00C91EF0">
        <w:rPr>
          <w:rFonts w:asciiTheme="minorHAnsi" w:hAnsiTheme="minorHAnsi" w:cstheme="minorHAnsi"/>
          <w:sz w:val="22"/>
          <w:szCs w:val="22"/>
          <w:lang w:val="en-GB"/>
        </w:rPr>
        <w:t xml:space="preserve"> in older patients with multiple chronic conditions and medication in general practice performed well in calibration, discrimination and m</w:t>
      </w:r>
      <w:r w:rsidR="00527EE1">
        <w:rPr>
          <w:rFonts w:asciiTheme="minorHAnsi" w:hAnsiTheme="minorHAnsi" w:cstheme="minorHAnsi"/>
          <w:sz w:val="22"/>
          <w:szCs w:val="22"/>
          <w:lang w:val="en-GB"/>
        </w:rPr>
        <w:t>ight</w:t>
      </w:r>
      <w:r w:rsidRPr="00C91EF0">
        <w:rPr>
          <w:rFonts w:asciiTheme="minorHAnsi" w:hAnsiTheme="minorHAnsi" w:cstheme="minorHAnsi"/>
          <w:sz w:val="22"/>
          <w:szCs w:val="22"/>
          <w:lang w:val="en-GB"/>
        </w:rPr>
        <w:t xml:space="preserve"> </w:t>
      </w:r>
      <w:r w:rsidR="000C45EC">
        <w:rPr>
          <w:rFonts w:asciiTheme="minorHAnsi" w:hAnsiTheme="minorHAnsi" w:cstheme="minorHAnsi"/>
          <w:sz w:val="22"/>
          <w:szCs w:val="22"/>
          <w:lang w:val="en-GB"/>
        </w:rPr>
        <w:t xml:space="preserve">thus effectively </w:t>
      </w:r>
      <w:r w:rsidRPr="00C91EF0">
        <w:rPr>
          <w:rFonts w:asciiTheme="minorHAnsi" w:hAnsiTheme="minorHAnsi" w:cstheme="minorHAnsi"/>
          <w:sz w:val="22"/>
          <w:szCs w:val="22"/>
          <w:lang w:val="en-GB"/>
        </w:rPr>
        <w:t xml:space="preserve">assist </w:t>
      </w:r>
      <w:r w:rsidR="00ED0963">
        <w:rPr>
          <w:rFonts w:asciiTheme="minorHAnsi" w:hAnsiTheme="minorHAnsi" w:cstheme="minorHAnsi"/>
          <w:sz w:val="22"/>
          <w:szCs w:val="22"/>
          <w:lang w:val="en-GB"/>
        </w:rPr>
        <w:t xml:space="preserve">in </w:t>
      </w:r>
      <w:r w:rsidRPr="00C91EF0">
        <w:rPr>
          <w:rFonts w:asciiTheme="minorHAnsi" w:hAnsiTheme="minorHAnsi" w:cstheme="minorHAnsi"/>
          <w:sz w:val="22"/>
          <w:szCs w:val="22"/>
          <w:lang w:val="en-GB"/>
        </w:rPr>
        <w:t xml:space="preserve">the identification of high-risk patients. </w:t>
      </w:r>
    </w:p>
    <w:p w14:paraId="771847FB" w14:textId="77777777" w:rsidR="00E13DAD" w:rsidRDefault="00E13DAD" w:rsidP="00F6253A">
      <w:pPr>
        <w:spacing w:line="480" w:lineRule="auto"/>
        <w:rPr>
          <w:rFonts w:asciiTheme="minorHAnsi" w:hAnsiTheme="minorHAnsi" w:cstheme="minorHAnsi"/>
          <w:sz w:val="22"/>
          <w:szCs w:val="22"/>
          <w:lang w:val="en-GB"/>
        </w:rPr>
      </w:pPr>
    </w:p>
    <w:p w14:paraId="34CF5D87" w14:textId="53441CF8" w:rsidR="00F6253A" w:rsidRPr="00C91EF0" w:rsidRDefault="00F6253A" w:rsidP="00F6253A">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A</w:t>
      </w:r>
      <w:r w:rsidR="00D467AD">
        <w:rPr>
          <w:rFonts w:asciiTheme="minorHAnsi" w:hAnsiTheme="minorHAnsi" w:cstheme="minorHAnsi"/>
          <w:b/>
          <w:sz w:val="22"/>
          <w:szCs w:val="22"/>
          <w:lang w:val="en-GB"/>
        </w:rPr>
        <w:t>CKNOWLEDGMENTS</w:t>
      </w:r>
    </w:p>
    <w:p w14:paraId="2232E904" w14:textId="45BB8C00" w:rsidR="006643F9" w:rsidRPr="006643F9" w:rsidRDefault="001536EC" w:rsidP="006643F9">
      <w:pPr>
        <w:spacing w:line="480" w:lineRule="auto"/>
        <w:jc w:val="both"/>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The authors would like to thank all participating local data </w:t>
      </w:r>
      <w:r w:rsidRPr="006643F9">
        <w:rPr>
          <w:rFonts w:asciiTheme="minorHAnsi" w:hAnsiTheme="minorHAnsi" w:cstheme="minorHAnsi"/>
          <w:sz w:val="22"/>
          <w:szCs w:val="22"/>
          <w:lang w:val="en-GB"/>
        </w:rPr>
        <w:t xml:space="preserve">managers (Sandra </w:t>
      </w:r>
      <w:proofErr w:type="spellStart"/>
      <w:r w:rsidRPr="006643F9">
        <w:rPr>
          <w:rFonts w:asciiTheme="minorHAnsi" w:hAnsiTheme="minorHAnsi" w:cstheme="minorHAnsi"/>
          <w:sz w:val="22"/>
          <w:szCs w:val="22"/>
          <w:lang w:val="en-GB"/>
        </w:rPr>
        <w:t>Rauck</w:t>
      </w:r>
      <w:proofErr w:type="spellEnd"/>
      <w:r w:rsidRPr="006643F9">
        <w:rPr>
          <w:rFonts w:asciiTheme="minorHAnsi" w:hAnsiTheme="minorHAnsi" w:cstheme="minorHAnsi"/>
          <w:sz w:val="22"/>
          <w:szCs w:val="22"/>
          <w:lang w:val="en-GB"/>
        </w:rPr>
        <w:t xml:space="preserve">, Masha </w:t>
      </w:r>
      <w:proofErr w:type="spellStart"/>
      <w:r w:rsidRPr="006643F9">
        <w:rPr>
          <w:rFonts w:asciiTheme="minorHAnsi" w:hAnsiTheme="minorHAnsi" w:cstheme="minorHAnsi"/>
          <w:sz w:val="22"/>
          <w:szCs w:val="22"/>
          <w:lang w:val="en-GB"/>
        </w:rPr>
        <w:t>Twellaar</w:t>
      </w:r>
      <w:proofErr w:type="spellEnd"/>
      <w:r w:rsidRPr="006643F9">
        <w:rPr>
          <w:rFonts w:asciiTheme="minorHAnsi" w:hAnsiTheme="minorHAnsi" w:cstheme="minorHAnsi"/>
          <w:sz w:val="22"/>
          <w:szCs w:val="22"/>
          <w:lang w:val="en-GB"/>
        </w:rPr>
        <w:t xml:space="preserve">, Karin </w:t>
      </w:r>
      <w:proofErr w:type="spellStart"/>
      <w:r w:rsidRPr="006643F9">
        <w:rPr>
          <w:rFonts w:asciiTheme="minorHAnsi" w:hAnsiTheme="minorHAnsi" w:cstheme="minorHAnsi"/>
          <w:sz w:val="22"/>
          <w:szCs w:val="22"/>
          <w:lang w:val="en-GB"/>
        </w:rPr>
        <w:t>Aretz</w:t>
      </w:r>
      <w:proofErr w:type="spellEnd"/>
      <w:r w:rsidR="00613073" w:rsidRPr="006643F9">
        <w:rPr>
          <w:rFonts w:asciiTheme="minorHAnsi" w:hAnsiTheme="minorHAnsi" w:cstheme="minorHAnsi"/>
          <w:sz w:val="22"/>
          <w:szCs w:val="22"/>
          <w:lang w:val="en-GB"/>
        </w:rPr>
        <w:t>,</w:t>
      </w:r>
      <w:r w:rsidR="007E10D2" w:rsidRPr="006643F9">
        <w:rPr>
          <w:rFonts w:asciiTheme="minorHAnsi" w:hAnsiTheme="minorHAnsi" w:cstheme="minorHAnsi"/>
          <w:sz w:val="22"/>
          <w:szCs w:val="22"/>
          <w:lang w:val="en-GB"/>
        </w:rPr>
        <w:t xml:space="preserve"> </w:t>
      </w:r>
      <w:r w:rsidR="009661E1" w:rsidRPr="006643F9">
        <w:rPr>
          <w:rFonts w:asciiTheme="minorHAnsi" w:hAnsiTheme="minorHAnsi" w:cstheme="minorHAnsi"/>
          <w:sz w:val="22"/>
          <w:szCs w:val="22"/>
          <w:lang w:val="en-GB"/>
        </w:rPr>
        <w:t xml:space="preserve">Antonio </w:t>
      </w:r>
      <w:proofErr w:type="spellStart"/>
      <w:r w:rsidR="009661E1" w:rsidRPr="006643F9">
        <w:rPr>
          <w:rFonts w:asciiTheme="minorHAnsi" w:hAnsiTheme="minorHAnsi" w:cstheme="minorHAnsi"/>
          <w:sz w:val="22"/>
          <w:szCs w:val="22"/>
          <w:lang w:val="en-GB"/>
        </w:rPr>
        <w:t>Fenoy</w:t>
      </w:r>
      <w:proofErr w:type="spellEnd"/>
      <w:r w:rsidR="007E10D2" w:rsidRPr="006643F9">
        <w:rPr>
          <w:rFonts w:asciiTheme="minorHAnsi" w:hAnsiTheme="minorHAnsi" w:cstheme="minorHAnsi"/>
          <w:sz w:val="22"/>
          <w:szCs w:val="22"/>
          <w:lang w:val="en-GB"/>
        </w:rPr>
        <w:t xml:space="preserve"> and Kiran </w:t>
      </w:r>
      <w:proofErr w:type="spellStart"/>
      <w:r w:rsidR="007E10D2" w:rsidRPr="006643F9">
        <w:rPr>
          <w:rFonts w:asciiTheme="minorHAnsi" w:hAnsiTheme="minorHAnsi" w:cstheme="minorHAnsi"/>
          <w:sz w:val="22"/>
          <w:szCs w:val="22"/>
          <w:lang w:val="en-GB"/>
        </w:rPr>
        <w:t>Chapidi</w:t>
      </w:r>
      <w:proofErr w:type="spellEnd"/>
      <w:r w:rsidRPr="006643F9">
        <w:rPr>
          <w:rFonts w:asciiTheme="minorHAnsi" w:hAnsiTheme="minorHAnsi" w:cstheme="minorHAnsi"/>
          <w:sz w:val="22"/>
          <w:szCs w:val="22"/>
          <w:lang w:val="en-GB"/>
        </w:rPr>
        <w:t xml:space="preserve">). </w:t>
      </w:r>
      <w:r w:rsidR="006643F9" w:rsidRPr="006643F9">
        <w:rPr>
          <w:rFonts w:asciiTheme="minorHAnsi" w:hAnsiTheme="minorHAnsi" w:cstheme="minorHAnsi"/>
          <w:sz w:val="22"/>
          <w:szCs w:val="22"/>
          <w:lang w:val="en-GB"/>
        </w:rPr>
        <w:t>We would also like to thank Phillip Elliot</w:t>
      </w:r>
      <w:r w:rsidR="003A75FB">
        <w:rPr>
          <w:rFonts w:asciiTheme="minorHAnsi" w:hAnsiTheme="minorHAnsi" w:cstheme="minorHAnsi"/>
          <w:sz w:val="22"/>
          <w:szCs w:val="22"/>
          <w:lang w:val="en-GB"/>
        </w:rPr>
        <w:t>t</w:t>
      </w:r>
      <w:r w:rsidR="006643F9" w:rsidRPr="006643F9">
        <w:rPr>
          <w:rFonts w:asciiTheme="minorHAnsi" w:hAnsiTheme="minorHAnsi" w:cstheme="minorHAnsi"/>
          <w:sz w:val="22"/>
          <w:szCs w:val="22"/>
          <w:lang w:val="en-GB"/>
        </w:rPr>
        <w:t xml:space="preserve"> for editing the manuscript.</w:t>
      </w:r>
    </w:p>
    <w:p w14:paraId="1243D618" w14:textId="0AB30BDE" w:rsidR="001536EC" w:rsidRPr="00C91EF0" w:rsidRDefault="001536EC" w:rsidP="001536EC">
      <w:pPr>
        <w:spacing w:line="480" w:lineRule="auto"/>
        <w:rPr>
          <w:rFonts w:asciiTheme="minorHAnsi" w:hAnsiTheme="minorHAnsi" w:cstheme="minorHAnsi"/>
          <w:b/>
          <w:sz w:val="22"/>
          <w:szCs w:val="22"/>
          <w:lang w:val="en-GB"/>
        </w:rPr>
      </w:pPr>
    </w:p>
    <w:p w14:paraId="4F790639" w14:textId="77777777" w:rsidR="004C483B" w:rsidRPr="00C91EF0" w:rsidRDefault="004C483B" w:rsidP="004C483B">
      <w:pPr>
        <w:autoSpaceDE w:val="0"/>
        <w:autoSpaceDN w:val="0"/>
        <w:adjustRightInd w:val="0"/>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F</w:t>
      </w:r>
      <w:r w:rsidR="00D467AD">
        <w:rPr>
          <w:rFonts w:asciiTheme="minorHAnsi" w:hAnsiTheme="minorHAnsi" w:cstheme="minorHAnsi"/>
          <w:b/>
          <w:sz w:val="22"/>
          <w:szCs w:val="22"/>
          <w:lang w:val="en-GB"/>
        </w:rPr>
        <w:t>UNDING</w:t>
      </w:r>
    </w:p>
    <w:p w14:paraId="70F098B0" w14:textId="416AA6D1" w:rsidR="004C483B" w:rsidRPr="00C91EF0" w:rsidRDefault="004C483B" w:rsidP="004C483B">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This work was supported by the German Innovation Funds </w:t>
      </w:r>
      <w:r w:rsidR="000B509A">
        <w:rPr>
          <w:rFonts w:asciiTheme="minorHAnsi" w:hAnsiTheme="minorHAnsi" w:cstheme="minorHAnsi"/>
          <w:sz w:val="22"/>
          <w:szCs w:val="22"/>
          <w:lang w:val="en-GB"/>
        </w:rPr>
        <w:t xml:space="preserve">in accordance with </w:t>
      </w:r>
      <w:r w:rsidRPr="00C91EF0">
        <w:rPr>
          <w:rFonts w:asciiTheme="minorHAnsi" w:hAnsiTheme="minorHAnsi" w:cstheme="minorHAnsi"/>
          <w:sz w:val="22"/>
          <w:szCs w:val="22"/>
          <w:lang w:val="en-GB"/>
        </w:rPr>
        <w:t xml:space="preserve">§ 92a (2) Volume V of the Social Insurance Code (§ 92a Abs. 2, SGB V - </w:t>
      </w:r>
      <w:proofErr w:type="spellStart"/>
      <w:r w:rsidRPr="00C91EF0">
        <w:rPr>
          <w:rFonts w:asciiTheme="minorHAnsi" w:hAnsiTheme="minorHAnsi" w:cstheme="minorHAnsi"/>
          <w:sz w:val="22"/>
          <w:szCs w:val="22"/>
          <w:lang w:val="en-GB"/>
        </w:rPr>
        <w:t>Fünftes</w:t>
      </w:r>
      <w:proofErr w:type="spellEnd"/>
      <w:r w:rsidRPr="00C91EF0">
        <w:rPr>
          <w:rFonts w:asciiTheme="minorHAnsi" w:hAnsiTheme="minorHAnsi" w:cstheme="minorHAnsi"/>
          <w:sz w:val="22"/>
          <w:szCs w:val="22"/>
          <w:lang w:val="en-GB"/>
        </w:rPr>
        <w:t xml:space="preserve"> Buch </w:t>
      </w:r>
      <w:proofErr w:type="spellStart"/>
      <w:r w:rsidRPr="00C91EF0">
        <w:rPr>
          <w:rFonts w:asciiTheme="minorHAnsi" w:hAnsiTheme="minorHAnsi" w:cstheme="minorHAnsi"/>
          <w:sz w:val="22"/>
          <w:szCs w:val="22"/>
          <w:lang w:val="en-GB"/>
        </w:rPr>
        <w:t>Sozialgesetzbuch</w:t>
      </w:r>
      <w:proofErr w:type="spellEnd"/>
      <w:r w:rsidRPr="00C91EF0">
        <w:rPr>
          <w:rFonts w:asciiTheme="minorHAnsi" w:hAnsiTheme="minorHAnsi" w:cstheme="minorHAnsi"/>
          <w:sz w:val="22"/>
          <w:szCs w:val="22"/>
          <w:lang w:val="en-GB"/>
        </w:rPr>
        <w:t>), grant number: 01VSF16018. The funding body did not play any role in the design of the study</w:t>
      </w:r>
      <w:r w:rsidR="000B509A">
        <w:rPr>
          <w:rFonts w:asciiTheme="minorHAnsi" w:hAnsiTheme="minorHAnsi" w:cstheme="minorHAnsi"/>
          <w:sz w:val="22"/>
          <w:szCs w:val="22"/>
          <w:lang w:val="en-GB"/>
        </w:rPr>
        <w:t xml:space="preserve">, the </w:t>
      </w:r>
      <w:r w:rsidRPr="00C91EF0">
        <w:rPr>
          <w:rFonts w:asciiTheme="minorHAnsi" w:hAnsiTheme="minorHAnsi" w:cstheme="minorHAnsi"/>
          <w:sz w:val="22"/>
          <w:szCs w:val="22"/>
          <w:lang w:val="en-GB"/>
        </w:rPr>
        <w:t>collection, analysis, and interpretation of data</w:t>
      </w:r>
      <w:r w:rsidR="000B509A">
        <w:rPr>
          <w:rFonts w:asciiTheme="minorHAnsi" w:hAnsiTheme="minorHAnsi" w:cstheme="minorHAnsi"/>
          <w:sz w:val="22"/>
          <w:szCs w:val="22"/>
          <w:lang w:val="en-GB"/>
        </w:rPr>
        <w:t>,</w:t>
      </w:r>
      <w:r w:rsidRPr="00C91EF0">
        <w:rPr>
          <w:rFonts w:asciiTheme="minorHAnsi" w:hAnsiTheme="minorHAnsi" w:cstheme="minorHAnsi"/>
          <w:sz w:val="22"/>
          <w:szCs w:val="22"/>
          <w:lang w:val="en-GB"/>
        </w:rPr>
        <w:t xml:space="preserve"> and in writing the manuscript. Andreas D. Meid is funded by the Physician-Scientist Programme of Heidelberg University, Faculty of Medicine. </w:t>
      </w:r>
      <w:r w:rsidR="00E41AD4" w:rsidRPr="003D40D2">
        <w:rPr>
          <w:rFonts w:asciiTheme="minorHAnsi" w:hAnsiTheme="minorHAnsi" w:cstheme="minorHAnsi"/>
          <w:sz w:val="22"/>
          <w:szCs w:val="22"/>
          <w:lang w:val="en-GB"/>
        </w:rPr>
        <w:t xml:space="preserve">Rafael </w:t>
      </w:r>
      <w:proofErr w:type="spellStart"/>
      <w:r w:rsidR="00E41AD4" w:rsidRPr="003D40D2">
        <w:rPr>
          <w:rFonts w:asciiTheme="minorHAnsi" w:hAnsiTheme="minorHAnsi" w:cstheme="minorHAnsi"/>
          <w:sz w:val="22"/>
          <w:szCs w:val="22"/>
          <w:lang w:val="en-GB"/>
        </w:rPr>
        <w:t>Perera</w:t>
      </w:r>
      <w:proofErr w:type="spellEnd"/>
      <w:r w:rsidR="00E41AD4" w:rsidRPr="003D40D2">
        <w:rPr>
          <w:rFonts w:asciiTheme="minorHAnsi" w:hAnsiTheme="minorHAnsi" w:cstheme="minorHAnsi"/>
          <w:sz w:val="22"/>
          <w:szCs w:val="22"/>
          <w:lang w:val="en-GB"/>
        </w:rPr>
        <w:t xml:space="preserve"> receives funding from the NIHR Oxford Biomedical Research Council (BRC), the NIHR Oxford </w:t>
      </w:r>
      <w:proofErr w:type="spellStart"/>
      <w:r w:rsidR="00E41AD4" w:rsidRPr="003D40D2">
        <w:rPr>
          <w:rFonts w:asciiTheme="minorHAnsi" w:hAnsiTheme="minorHAnsi" w:cstheme="minorHAnsi"/>
          <w:sz w:val="22"/>
          <w:szCs w:val="22"/>
          <w:lang w:val="en-GB"/>
        </w:rPr>
        <w:t>Medtech</w:t>
      </w:r>
      <w:proofErr w:type="spellEnd"/>
      <w:r w:rsidR="00E41AD4" w:rsidRPr="003D40D2">
        <w:rPr>
          <w:rFonts w:asciiTheme="minorHAnsi" w:hAnsiTheme="minorHAnsi" w:cstheme="minorHAnsi"/>
          <w:sz w:val="22"/>
          <w:szCs w:val="22"/>
          <w:lang w:val="en-GB"/>
        </w:rPr>
        <w:t xml:space="preserve"> and In-Vitro Diagnostics Co- operative (MIC), </w:t>
      </w:r>
      <w:r w:rsidR="00E41AD4" w:rsidRPr="006A435A">
        <w:rPr>
          <w:rFonts w:asciiTheme="minorHAnsi" w:hAnsiTheme="minorHAnsi" w:cstheme="minorHAnsi"/>
          <w:sz w:val="22"/>
          <w:szCs w:val="22"/>
          <w:lang w:val="en-GB"/>
        </w:rPr>
        <w:t>the NIHR Applied Research Collaboration (ARC) Oxford and Thames Valley</w:t>
      </w:r>
      <w:r w:rsidR="00E41AD4">
        <w:rPr>
          <w:rFonts w:asciiTheme="minorHAnsi" w:hAnsiTheme="minorHAnsi" w:cstheme="minorHAnsi"/>
          <w:sz w:val="22"/>
          <w:szCs w:val="22"/>
          <w:lang w:val="en-GB"/>
        </w:rPr>
        <w:t>,</w:t>
      </w:r>
      <w:r w:rsidR="00E41AD4" w:rsidRPr="00701481">
        <w:rPr>
          <w:rFonts w:asciiTheme="minorHAnsi" w:hAnsiTheme="minorHAnsi" w:cstheme="minorHAnsi"/>
          <w:sz w:val="22"/>
          <w:szCs w:val="22"/>
          <w:lang w:val="en-GB"/>
        </w:rPr>
        <w:t xml:space="preserve"> </w:t>
      </w:r>
      <w:r w:rsidR="00E41AD4" w:rsidRPr="003D40D2">
        <w:rPr>
          <w:rFonts w:asciiTheme="minorHAnsi" w:hAnsiTheme="minorHAnsi" w:cstheme="minorHAnsi"/>
          <w:sz w:val="22"/>
          <w:szCs w:val="22"/>
          <w:lang w:val="en-GB"/>
        </w:rPr>
        <w:t>and the Oxford Martin School</w:t>
      </w:r>
      <w:r w:rsidR="00E41AD4">
        <w:rPr>
          <w:rFonts w:asciiTheme="minorHAnsi" w:hAnsiTheme="minorHAnsi" w:cstheme="minorHAnsi"/>
          <w:sz w:val="22"/>
          <w:szCs w:val="22"/>
          <w:lang w:val="en-GB"/>
        </w:rPr>
        <w:t>.</w:t>
      </w:r>
      <w:r w:rsidR="00E41AD4" w:rsidRPr="003D40D2">
        <w:rPr>
          <w:rFonts w:asciiTheme="minorHAnsi" w:hAnsiTheme="minorHAnsi" w:cstheme="minorHAnsi"/>
          <w:sz w:val="22"/>
          <w:szCs w:val="22"/>
          <w:lang w:val="en-GB"/>
        </w:rPr>
        <w:t xml:space="preserve"> </w:t>
      </w:r>
      <w:r w:rsidRPr="00C91EF0">
        <w:rPr>
          <w:rFonts w:asciiTheme="minorHAnsi" w:hAnsiTheme="minorHAnsi" w:cstheme="minorHAnsi"/>
          <w:sz w:val="22"/>
          <w:szCs w:val="22"/>
          <w:lang w:val="en-GB"/>
        </w:rPr>
        <w:t xml:space="preserve">Kym Snell is funded by the National Institute for Health Research School for Primary Care </w:t>
      </w:r>
      <w:r w:rsidR="00D655AC">
        <w:rPr>
          <w:rFonts w:asciiTheme="minorHAnsi" w:hAnsiTheme="minorHAnsi" w:cstheme="minorHAnsi"/>
          <w:sz w:val="22"/>
          <w:szCs w:val="22"/>
          <w:lang w:val="en-GB"/>
        </w:rPr>
        <w:t xml:space="preserve">Research </w:t>
      </w:r>
      <w:r w:rsidRPr="00C91EF0">
        <w:rPr>
          <w:rFonts w:asciiTheme="minorHAnsi" w:hAnsiTheme="minorHAnsi" w:cstheme="minorHAnsi"/>
          <w:sz w:val="22"/>
          <w:szCs w:val="22"/>
          <w:lang w:val="en-GB"/>
        </w:rPr>
        <w:t>(NIHR SPCR</w:t>
      </w:r>
      <w:r w:rsidR="001F6AEC" w:rsidRPr="00C91EF0">
        <w:rPr>
          <w:rFonts w:asciiTheme="minorHAnsi" w:hAnsiTheme="minorHAnsi" w:cstheme="minorHAnsi"/>
          <w:sz w:val="22"/>
          <w:szCs w:val="22"/>
          <w:lang w:val="en-GB"/>
        </w:rPr>
        <w:t xml:space="preserve"> Launching Fellowship</w:t>
      </w:r>
      <w:r w:rsidRPr="00C91EF0">
        <w:rPr>
          <w:rFonts w:asciiTheme="minorHAnsi" w:hAnsiTheme="minorHAnsi" w:cstheme="minorHAnsi"/>
          <w:sz w:val="22"/>
          <w:szCs w:val="22"/>
          <w:lang w:val="en-GB"/>
        </w:rPr>
        <w:t>). The views expressed are those of the authors and not necessarily those of the NHS, the NIHR or the Department of Health.</w:t>
      </w:r>
    </w:p>
    <w:p w14:paraId="591E8BED" w14:textId="77777777" w:rsidR="00D52D54" w:rsidRPr="00C91EF0" w:rsidRDefault="004C483B" w:rsidP="00F6253A">
      <w:pPr>
        <w:autoSpaceDE w:val="0"/>
        <w:autoSpaceDN w:val="0"/>
        <w:adjustRightInd w:val="0"/>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lastRenderedPageBreak/>
        <w:t>A</w:t>
      </w:r>
      <w:r w:rsidR="00D467AD">
        <w:rPr>
          <w:rFonts w:asciiTheme="minorHAnsi" w:hAnsiTheme="minorHAnsi" w:cstheme="minorHAnsi"/>
          <w:b/>
          <w:sz w:val="22"/>
          <w:szCs w:val="22"/>
          <w:lang w:val="en-GB"/>
        </w:rPr>
        <w:t>UTHOR CONTRIBUTIONS</w:t>
      </w:r>
    </w:p>
    <w:p w14:paraId="03EAE3D6" w14:textId="2F22D543" w:rsidR="000F3CE5" w:rsidRPr="00C91EF0" w:rsidRDefault="00721868" w:rsidP="00F6253A">
      <w:pPr>
        <w:autoSpaceDE w:val="0"/>
        <w:autoSpaceDN w:val="0"/>
        <w:adjustRightInd w:val="0"/>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JWB, </w:t>
      </w:r>
      <w:proofErr w:type="spellStart"/>
      <w:r w:rsidRPr="00C91EF0">
        <w:rPr>
          <w:rFonts w:asciiTheme="minorHAnsi" w:hAnsiTheme="minorHAnsi" w:cstheme="minorHAnsi"/>
          <w:sz w:val="22"/>
          <w:szCs w:val="22"/>
          <w:lang w:val="en-GB"/>
        </w:rPr>
        <w:t>MvdA</w:t>
      </w:r>
      <w:proofErr w:type="spellEnd"/>
      <w:r w:rsidRPr="00C91EF0">
        <w:rPr>
          <w:rFonts w:asciiTheme="minorHAnsi" w:hAnsiTheme="minorHAnsi" w:cstheme="minorHAnsi"/>
          <w:sz w:val="22"/>
          <w:szCs w:val="22"/>
          <w:lang w:val="en-GB"/>
        </w:rPr>
        <w:t>, UT, WEH, HJT, PJME</w:t>
      </w:r>
      <w:r w:rsidR="00084573">
        <w:rPr>
          <w:rFonts w:asciiTheme="minorHAnsi" w:hAnsiTheme="minorHAnsi" w:cstheme="minorHAnsi"/>
          <w:sz w:val="22"/>
          <w:szCs w:val="22"/>
          <w:lang w:val="en-GB"/>
        </w:rPr>
        <w:t xml:space="preserve">, </w:t>
      </w:r>
      <w:r w:rsidR="003D7FDE" w:rsidRPr="00C91EF0">
        <w:rPr>
          <w:rFonts w:asciiTheme="minorHAnsi" w:hAnsiTheme="minorHAnsi" w:cstheme="minorHAnsi"/>
          <w:sz w:val="22"/>
          <w:szCs w:val="22"/>
          <w:lang w:val="en-GB"/>
        </w:rPr>
        <w:t>GK, J</w:t>
      </w:r>
      <w:r w:rsidR="006860A8">
        <w:rPr>
          <w:rFonts w:asciiTheme="minorHAnsi" w:hAnsiTheme="minorHAnsi" w:cstheme="minorHAnsi"/>
          <w:sz w:val="22"/>
          <w:szCs w:val="22"/>
          <w:lang w:val="en-GB"/>
        </w:rPr>
        <w:t>J</w:t>
      </w:r>
      <w:r w:rsidR="003D7FDE" w:rsidRPr="00C91EF0">
        <w:rPr>
          <w:rFonts w:asciiTheme="minorHAnsi" w:hAnsiTheme="minorHAnsi" w:cstheme="minorHAnsi"/>
          <w:sz w:val="22"/>
          <w:szCs w:val="22"/>
          <w:lang w:val="en-GB"/>
        </w:rPr>
        <w:t>M,</w:t>
      </w:r>
      <w:r w:rsidR="001C4FB8" w:rsidRPr="00C91EF0">
        <w:rPr>
          <w:rFonts w:asciiTheme="minorHAnsi" w:hAnsiTheme="minorHAnsi" w:cstheme="minorHAnsi"/>
          <w:sz w:val="22"/>
          <w:szCs w:val="22"/>
          <w:lang w:val="en-GB"/>
        </w:rPr>
        <w:t xml:space="preserve"> </w:t>
      </w:r>
      <w:proofErr w:type="spellStart"/>
      <w:r w:rsidR="001C4FB8" w:rsidRPr="00C91EF0">
        <w:rPr>
          <w:rFonts w:asciiTheme="minorHAnsi" w:hAnsiTheme="minorHAnsi" w:cstheme="minorHAnsi"/>
          <w:sz w:val="22"/>
          <w:szCs w:val="22"/>
          <w:lang w:val="en-GB"/>
        </w:rPr>
        <w:t>DKdG</w:t>
      </w:r>
      <w:proofErr w:type="spellEnd"/>
      <w:r w:rsidR="001C4FB8" w:rsidRPr="00C91EF0">
        <w:rPr>
          <w:rFonts w:asciiTheme="minorHAnsi" w:hAnsiTheme="minorHAnsi" w:cstheme="minorHAnsi"/>
          <w:sz w:val="22"/>
          <w:szCs w:val="22"/>
          <w:lang w:val="en-GB"/>
        </w:rPr>
        <w:t xml:space="preserve">, RP, </w:t>
      </w:r>
      <w:r w:rsidRPr="00C91EF0">
        <w:rPr>
          <w:rFonts w:asciiTheme="minorHAnsi" w:hAnsiTheme="minorHAnsi" w:cstheme="minorHAnsi"/>
          <w:sz w:val="22"/>
          <w:szCs w:val="22"/>
          <w:lang w:val="en-GB"/>
        </w:rPr>
        <w:t>P</w:t>
      </w:r>
      <w:r w:rsidR="006860A8">
        <w:rPr>
          <w:rFonts w:asciiTheme="minorHAnsi" w:hAnsiTheme="minorHAnsi" w:cstheme="minorHAnsi"/>
          <w:sz w:val="22"/>
          <w:szCs w:val="22"/>
          <w:lang w:val="en-GB"/>
        </w:rPr>
        <w:t>P</w:t>
      </w:r>
      <w:r w:rsidRPr="00C91EF0">
        <w:rPr>
          <w:rFonts w:asciiTheme="minorHAnsi" w:hAnsiTheme="minorHAnsi" w:cstheme="minorHAnsi"/>
          <w:sz w:val="22"/>
          <w:szCs w:val="22"/>
          <w:lang w:val="en-GB"/>
        </w:rPr>
        <w:t>G</w:t>
      </w:r>
      <w:r w:rsidR="008606A3">
        <w:rPr>
          <w:rFonts w:asciiTheme="minorHAnsi" w:hAnsiTheme="minorHAnsi" w:cstheme="minorHAnsi"/>
          <w:sz w:val="22"/>
          <w:szCs w:val="22"/>
          <w:lang w:val="en-GB"/>
        </w:rPr>
        <w:t>, ADM</w:t>
      </w:r>
      <w:r w:rsidRPr="00C91EF0">
        <w:rPr>
          <w:rFonts w:asciiTheme="minorHAnsi" w:hAnsiTheme="minorHAnsi" w:cstheme="minorHAnsi"/>
          <w:sz w:val="22"/>
          <w:szCs w:val="22"/>
          <w:lang w:val="en-GB"/>
        </w:rPr>
        <w:t xml:space="preserve"> and CM</w:t>
      </w:r>
      <w:r w:rsidR="000F3CE5" w:rsidRPr="00C91EF0">
        <w:rPr>
          <w:rFonts w:asciiTheme="minorHAnsi" w:hAnsiTheme="minorHAnsi" w:cstheme="minorHAnsi"/>
          <w:sz w:val="22"/>
          <w:szCs w:val="22"/>
          <w:lang w:val="en-GB"/>
        </w:rPr>
        <w:t xml:space="preserve"> contributed to the design of the PROPERmed study</w:t>
      </w:r>
      <w:r w:rsidR="00924D84" w:rsidRPr="00C91EF0">
        <w:rPr>
          <w:rFonts w:asciiTheme="minorHAnsi" w:hAnsiTheme="minorHAnsi" w:cstheme="minorHAnsi"/>
          <w:sz w:val="22"/>
          <w:szCs w:val="22"/>
          <w:lang w:val="en-GB"/>
        </w:rPr>
        <w:t xml:space="preserve">. </w:t>
      </w:r>
      <w:r w:rsidR="004216F1" w:rsidRPr="00C91EF0">
        <w:rPr>
          <w:rFonts w:asciiTheme="minorHAnsi" w:hAnsiTheme="minorHAnsi" w:cstheme="minorHAnsi"/>
          <w:sz w:val="22"/>
          <w:szCs w:val="22"/>
          <w:lang w:val="en-GB"/>
        </w:rPr>
        <w:t xml:space="preserve">CM is the guarantor. </w:t>
      </w:r>
      <w:r w:rsidR="00924D84" w:rsidRPr="00C91EF0">
        <w:rPr>
          <w:rFonts w:asciiTheme="minorHAnsi" w:hAnsiTheme="minorHAnsi" w:cstheme="minorHAnsi"/>
          <w:sz w:val="22"/>
          <w:szCs w:val="22"/>
          <w:lang w:val="en-GB"/>
        </w:rPr>
        <w:t>AIG</w:t>
      </w:r>
      <w:r w:rsidR="00084573">
        <w:rPr>
          <w:rFonts w:asciiTheme="minorHAnsi" w:hAnsiTheme="minorHAnsi" w:cstheme="minorHAnsi"/>
          <w:sz w:val="22"/>
          <w:szCs w:val="22"/>
          <w:lang w:val="en-GB"/>
        </w:rPr>
        <w:t>G</w:t>
      </w:r>
      <w:r w:rsidR="00924D84" w:rsidRPr="00C91EF0">
        <w:rPr>
          <w:rFonts w:asciiTheme="minorHAnsi" w:hAnsiTheme="minorHAnsi" w:cstheme="minorHAnsi"/>
          <w:sz w:val="22"/>
          <w:szCs w:val="22"/>
          <w:lang w:val="en-GB"/>
        </w:rPr>
        <w:t xml:space="preserve"> and A</w:t>
      </w:r>
      <w:r w:rsidR="008606A3">
        <w:rPr>
          <w:rFonts w:asciiTheme="minorHAnsi" w:hAnsiTheme="minorHAnsi" w:cstheme="minorHAnsi"/>
          <w:sz w:val="22"/>
          <w:szCs w:val="22"/>
          <w:lang w:val="en-GB"/>
        </w:rPr>
        <w:t>D</w:t>
      </w:r>
      <w:r w:rsidR="00924D84" w:rsidRPr="00C91EF0">
        <w:rPr>
          <w:rFonts w:asciiTheme="minorHAnsi" w:hAnsiTheme="minorHAnsi" w:cstheme="minorHAnsi"/>
          <w:sz w:val="22"/>
          <w:szCs w:val="22"/>
          <w:lang w:val="en-GB"/>
        </w:rPr>
        <w:t xml:space="preserve">M wrote the first draft of the manuscript. </w:t>
      </w:r>
      <w:r w:rsidR="001C4FB8" w:rsidRPr="00C91EF0">
        <w:rPr>
          <w:rFonts w:asciiTheme="minorHAnsi" w:hAnsiTheme="minorHAnsi" w:cstheme="minorHAnsi"/>
          <w:sz w:val="22"/>
          <w:szCs w:val="22"/>
          <w:lang w:val="en-GB"/>
        </w:rPr>
        <w:t xml:space="preserve">JWB, </w:t>
      </w:r>
      <w:proofErr w:type="spellStart"/>
      <w:r w:rsidR="001C4FB8" w:rsidRPr="00C91EF0">
        <w:rPr>
          <w:rFonts w:asciiTheme="minorHAnsi" w:hAnsiTheme="minorHAnsi" w:cstheme="minorHAnsi"/>
          <w:sz w:val="22"/>
          <w:szCs w:val="22"/>
          <w:lang w:val="en-GB"/>
        </w:rPr>
        <w:t>MvdA</w:t>
      </w:r>
      <w:proofErr w:type="spellEnd"/>
      <w:r w:rsidR="001C4FB8" w:rsidRPr="00C91EF0">
        <w:rPr>
          <w:rFonts w:asciiTheme="minorHAnsi" w:hAnsiTheme="minorHAnsi" w:cstheme="minorHAnsi"/>
          <w:sz w:val="22"/>
          <w:szCs w:val="22"/>
          <w:lang w:val="en-GB"/>
        </w:rPr>
        <w:t xml:space="preserve">, DBL, UT, HR, HJT, PJME and CM represent the five included trials and provided all data needed for the IPD-MA. </w:t>
      </w:r>
      <w:r w:rsidR="0050444E" w:rsidRPr="00C91EF0">
        <w:rPr>
          <w:rFonts w:asciiTheme="minorHAnsi" w:hAnsiTheme="minorHAnsi" w:cstheme="minorHAnsi"/>
          <w:sz w:val="22"/>
          <w:szCs w:val="22"/>
          <w:lang w:val="en-GB"/>
        </w:rPr>
        <w:t>AIG</w:t>
      </w:r>
      <w:r w:rsidR="00084573">
        <w:rPr>
          <w:rFonts w:asciiTheme="minorHAnsi" w:hAnsiTheme="minorHAnsi" w:cstheme="minorHAnsi"/>
          <w:sz w:val="22"/>
          <w:szCs w:val="22"/>
          <w:lang w:val="en-GB"/>
        </w:rPr>
        <w:t>G</w:t>
      </w:r>
      <w:r w:rsidR="0050444E" w:rsidRPr="00C91EF0">
        <w:rPr>
          <w:rFonts w:asciiTheme="minorHAnsi" w:hAnsiTheme="minorHAnsi" w:cstheme="minorHAnsi"/>
          <w:sz w:val="22"/>
          <w:szCs w:val="22"/>
          <w:lang w:val="en-GB"/>
        </w:rPr>
        <w:t xml:space="preserve"> and T</w:t>
      </w:r>
      <w:r w:rsidR="00084573">
        <w:rPr>
          <w:rFonts w:asciiTheme="minorHAnsi" w:hAnsiTheme="minorHAnsi" w:cstheme="minorHAnsi"/>
          <w:sz w:val="22"/>
          <w:szCs w:val="22"/>
          <w:lang w:val="en-GB"/>
        </w:rPr>
        <w:t>S</w:t>
      </w:r>
      <w:r w:rsidR="00E141C7">
        <w:rPr>
          <w:rFonts w:asciiTheme="minorHAnsi" w:hAnsiTheme="minorHAnsi" w:cstheme="minorHAnsi"/>
          <w:sz w:val="22"/>
          <w:szCs w:val="22"/>
          <w:lang w:val="en-GB"/>
        </w:rPr>
        <w:t>D</w:t>
      </w:r>
      <w:r w:rsidR="0050444E" w:rsidRPr="00C91EF0">
        <w:rPr>
          <w:rFonts w:asciiTheme="minorHAnsi" w:hAnsiTheme="minorHAnsi" w:cstheme="minorHAnsi"/>
          <w:sz w:val="22"/>
          <w:szCs w:val="22"/>
          <w:lang w:val="en-GB"/>
        </w:rPr>
        <w:t xml:space="preserve"> developed the harmonized PROPERmed database</w:t>
      </w:r>
      <w:r w:rsidR="003D7FDE" w:rsidRPr="00C91EF0">
        <w:rPr>
          <w:rFonts w:asciiTheme="minorHAnsi" w:hAnsiTheme="minorHAnsi" w:cstheme="minorHAnsi"/>
          <w:sz w:val="22"/>
          <w:szCs w:val="22"/>
          <w:lang w:val="en-GB"/>
        </w:rPr>
        <w:t>; KMAS, HR and BF supported</w:t>
      </w:r>
      <w:r w:rsidR="0050444E" w:rsidRPr="00C91EF0">
        <w:rPr>
          <w:rFonts w:asciiTheme="minorHAnsi" w:hAnsiTheme="minorHAnsi" w:cstheme="minorHAnsi"/>
          <w:sz w:val="22"/>
          <w:szCs w:val="22"/>
          <w:lang w:val="en-GB"/>
        </w:rPr>
        <w:t>. A</w:t>
      </w:r>
      <w:r w:rsidR="008606A3">
        <w:rPr>
          <w:rFonts w:asciiTheme="minorHAnsi" w:hAnsiTheme="minorHAnsi" w:cstheme="minorHAnsi"/>
          <w:sz w:val="22"/>
          <w:szCs w:val="22"/>
          <w:lang w:val="en-GB"/>
        </w:rPr>
        <w:t>D</w:t>
      </w:r>
      <w:r w:rsidR="0050444E" w:rsidRPr="00C91EF0">
        <w:rPr>
          <w:rFonts w:asciiTheme="minorHAnsi" w:hAnsiTheme="minorHAnsi" w:cstheme="minorHAnsi"/>
          <w:sz w:val="22"/>
          <w:szCs w:val="22"/>
          <w:lang w:val="en-GB"/>
        </w:rPr>
        <w:t>M performed the statistical analysis</w:t>
      </w:r>
      <w:r w:rsidR="00900F54">
        <w:rPr>
          <w:rFonts w:asciiTheme="minorHAnsi" w:hAnsiTheme="minorHAnsi" w:cstheme="minorHAnsi"/>
          <w:sz w:val="22"/>
          <w:szCs w:val="22"/>
          <w:lang w:val="en-GB"/>
        </w:rPr>
        <w:t xml:space="preserve"> with the support of </w:t>
      </w:r>
      <w:r w:rsidR="003D7FDE" w:rsidRPr="00C91EF0">
        <w:rPr>
          <w:rFonts w:asciiTheme="minorHAnsi" w:hAnsiTheme="minorHAnsi" w:cstheme="minorHAnsi"/>
          <w:sz w:val="22"/>
          <w:szCs w:val="22"/>
          <w:lang w:val="en-GB"/>
        </w:rPr>
        <w:t>RP, K</w:t>
      </w:r>
      <w:r w:rsidR="00084573">
        <w:rPr>
          <w:rFonts w:asciiTheme="minorHAnsi" w:hAnsiTheme="minorHAnsi" w:cstheme="minorHAnsi"/>
          <w:sz w:val="22"/>
          <w:szCs w:val="22"/>
          <w:lang w:val="en-GB"/>
        </w:rPr>
        <w:t>IE</w:t>
      </w:r>
      <w:r w:rsidR="003D7FDE" w:rsidRPr="00C91EF0">
        <w:rPr>
          <w:rFonts w:asciiTheme="minorHAnsi" w:hAnsiTheme="minorHAnsi" w:cstheme="minorHAnsi"/>
          <w:sz w:val="22"/>
          <w:szCs w:val="22"/>
          <w:lang w:val="en-GB"/>
        </w:rPr>
        <w:t>S and HR</w:t>
      </w:r>
      <w:r w:rsidR="0050444E" w:rsidRPr="00C91EF0">
        <w:rPr>
          <w:rFonts w:asciiTheme="minorHAnsi" w:hAnsiTheme="minorHAnsi" w:cstheme="minorHAnsi"/>
          <w:sz w:val="22"/>
          <w:szCs w:val="22"/>
          <w:lang w:val="en-GB"/>
        </w:rPr>
        <w:t xml:space="preserve">. </w:t>
      </w:r>
      <w:r w:rsidR="00924D84" w:rsidRPr="00C91EF0">
        <w:rPr>
          <w:rFonts w:asciiTheme="minorHAnsi" w:hAnsiTheme="minorHAnsi" w:cstheme="minorHAnsi"/>
          <w:sz w:val="22"/>
          <w:szCs w:val="22"/>
          <w:lang w:val="en-GB"/>
        </w:rPr>
        <w:t xml:space="preserve">All authors </w:t>
      </w:r>
      <w:r w:rsidR="00084573">
        <w:rPr>
          <w:rFonts w:asciiTheme="minorHAnsi" w:hAnsiTheme="minorHAnsi" w:cstheme="minorHAnsi"/>
          <w:sz w:val="22"/>
          <w:szCs w:val="22"/>
          <w:lang w:val="en-GB"/>
        </w:rPr>
        <w:t>contributed to the manuscript and agreed on its publication</w:t>
      </w:r>
      <w:r w:rsidR="00924D84" w:rsidRPr="00C91EF0">
        <w:rPr>
          <w:rFonts w:asciiTheme="minorHAnsi" w:hAnsiTheme="minorHAnsi" w:cstheme="minorHAnsi"/>
          <w:sz w:val="22"/>
          <w:szCs w:val="22"/>
          <w:lang w:val="en-GB"/>
        </w:rPr>
        <w:t xml:space="preserve">. The corresponding author attests that all listed authors meet authorship criteria and that no others </w:t>
      </w:r>
      <w:r w:rsidR="00900F54">
        <w:rPr>
          <w:rFonts w:asciiTheme="minorHAnsi" w:hAnsiTheme="minorHAnsi" w:cstheme="minorHAnsi"/>
          <w:sz w:val="22"/>
          <w:szCs w:val="22"/>
          <w:lang w:val="en-GB"/>
        </w:rPr>
        <w:t xml:space="preserve">meeting </w:t>
      </w:r>
      <w:r w:rsidR="00924D84" w:rsidRPr="00C91EF0">
        <w:rPr>
          <w:rFonts w:asciiTheme="minorHAnsi" w:hAnsiTheme="minorHAnsi" w:cstheme="minorHAnsi"/>
          <w:sz w:val="22"/>
          <w:szCs w:val="22"/>
          <w:lang w:val="en-GB"/>
        </w:rPr>
        <w:t xml:space="preserve">the criteria </w:t>
      </w:r>
      <w:r w:rsidR="00900F54">
        <w:rPr>
          <w:rFonts w:asciiTheme="minorHAnsi" w:hAnsiTheme="minorHAnsi" w:cstheme="minorHAnsi"/>
          <w:sz w:val="22"/>
          <w:szCs w:val="22"/>
          <w:lang w:val="en-GB"/>
        </w:rPr>
        <w:t xml:space="preserve">were </w:t>
      </w:r>
      <w:r w:rsidR="00924D84" w:rsidRPr="00C91EF0">
        <w:rPr>
          <w:rFonts w:asciiTheme="minorHAnsi" w:hAnsiTheme="minorHAnsi" w:cstheme="minorHAnsi"/>
          <w:sz w:val="22"/>
          <w:szCs w:val="22"/>
          <w:lang w:val="en-GB"/>
        </w:rPr>
        <w:t>omitted.</w:t>
      </w:r>
    </w:p>
    <w:p w14:paraId="653328F6" w14:textId="77777777" w:rsidR="00924D84" w:rsidRPr="00C91EF0" w:rsidRDefault="00924D84" w:rsidP="00924D84">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C</w:t>
      </w:r>
      <w:r w:rsidR="00D467AD">
        <w:rPr>
          <w:rFonts w:asciiTheme="minorHAnsi" w:hAnsiTheme="minorHAnsi" w:cstheme="minorHAnsi"/>
          <w:b/>
          <w:sz w:val="22"/>
          <w:szCs w:val="22"/>
          <w:lang w:val="en-GB"/>
        </w:rPr>
        <w:t>OMPETING INTEREST</w:t>
      </w:r>
    </w:p>
    <w:p w14:paraId="76B74340" w14:textId="5F07D26C" w:rsidR="00924D84" w:rsidRPr="00C91EF0" w:rsidRDefault="00924D84" w:rsidP="00F6253A">
      <w:pPr>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All authors have completed the ICMJE uniform disclosure form at </w:t>
      </w:r>
      <w:hyperlink r:id="rId9" w:history="1">
        <w:r w:rsidRPr="00C91EF0">
          <w:rPr>
            <w:rStyle w:val="CommentReference"/>
            <w:rFonts w:asciiTheme="minorHAnsi" w:hAnsiTheme="minorHAnsi" w:cstheme="minorHAnsi"/>
            <w:sz w:val="22"/>
            <w:szCs w:val="22"/>
            <w:lang w:val="en-GB"/>
          </w:rPr>
          <w:t>www.icmje.org/coi_disclosure.pdf</w:t>
        </w:r>
      </w:hyperlink>
      <w:r w:rsidRPr="00C91EF0">
        <w:rPr>
          <w:rFonts w:asciiTheme="minorHAnsi" w:hAnsiTheme="minorHAnsi" w:cstheme="minorHAnsi"/>
          <w:sz w:val="22"/>
          <w:szCs w:val="22"/>
          <w:lang w:val="en-GB"/>
        </w:rPr>
        <w:t xml:space="preserve"> and declare: no support from any additional organi</w:t>
      </w:r>
      <w:r w:rsidR="000B509A">
        <w:rPr>
          <w:rFonts w:asciiTheme="minorHAnsi" w:hAnsiTheme="minorHAnsi" w:cstheme="minorHAnsi"/>
          <w:sz w:val="22"/>
          <w:szCs w:val="22"/>
          <w:lang w:val="en-GB"/>
        </w:rPr>
        <w:t>z</w:t>
      </w:r>
      <w:r w:rsidRPr="00C91EF0">
        <w:rPr>
          <w:rFonts w:asciiTheme="minorHAnsi" w:hAnsiTheme="minorHAnsi" w:cstheme="minorHAnsi"/>
          <w:sz w:val="22"/>
          <w:szCs w:val="22"/>
          <w:lang w:val="en-GB"/>
        </w:rPr>
        <w:t xml:space="preserve">ations for the submitted work; no financial relationships </w:t>
      </w:r>
      <w:r w:rsidR="000B509A">
        <w:rPr>
          <w:rFonts w:asciiTheme="minorHAnsi" w:hAnsiTheme="minorHAnsi" w:cstheme="minorHAnsi"/>
          <w:sz w:val="22"/>
          <w:szCs w:val="22"/>
          <w:lang w:val="en-GB"/>
        </w:rPr>
        <w:t xml:space="preserve">over the past three years </w:t>
      </w:r>
      <w:r w:rsidRPr="00C91EF0">
        <w:rPr>
          <w:rFonts w:asciiTheme="minorHAnsi" w:hAnsiTheme="minorHAnsi" w:cstheme="minorHAnsi"/>
          <w:sz w:val="22"/>
          <w:szCs w:val="22"/>
          <w:lang w:val="en-GB"/>
        </w:rPr>
        <w:t>with any organi</w:t>
      </w:r>
      <w:r w:rsidR="000B509A">
        <w:rPr>
          <w:rFonts w:asciiTheme="minorHAnsi" w:hAnsiTheme="minorHAnsi" w:cstheme="minorHAnsi"/>
          <w:sz w:val="22"/>
          <w:szCs w:val="22"/>
          <w:lang w:val="en-GB"/>
        </w:rPr>
        <w:t>z</w:t>
      </w:r>
      <w:r w:rsidRPr="00C91EF0">
        <w:rPr>
          <w:rFonts w:asciiTheme="minorHAnsi" w:hAnsiTheme="minorHAnsi" w:cstheme="minorHAnsi"/>
          <w:sz w:val="22"/>
          <w:szCs w:val="22"/>
          <w:lang w:val="en-GB"/>
        </w:rPr>
        <w:t>ations that might have an interest in the submitted work; no other relationships or activities that could have influenced the submitted work.</w:t>
      </w:r>
    </w:p>
    <w:p w14:paraId="6F9BDEF1" w14:textId="77777777" w:rsidR="00F6253A" w:rsidRPr="00C91EF0" w:rsidRDefault="00F6253A" w:rsidP="00F6253A">
      <w:pPr>
        <w:autoSpaceDE w:val="0"/>
        <w:autoSpaceDN w:val="0"/>
        <w:adjustRightInd w:val="0"/>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E</w:t>
      </w:r>
      <w:r w:rsidR="00D467AD">
        <w:rPr>
          <w:rFonts w:asciiTheme="minorHAnsi" w:hAnsiTheme="minorHAnsi" w:cstheme="minorHAnsi"/>
          <w:b/>
          <w:sz w:val="22"/>
          <w:szCs w:val="22"/>
          <w:lang w:val="en-GB"/>
        </w:rPr>
        <w:t>THICAL APPROVAL</w:t>
      </w:r>
    </w:p>
    <w:p w14:paraId="49C4A495" w14:textId="74873DBC" w:rsidR="00F6253A" w:rsidRPr="00C91EF0" w:rsidRDefault="00F6253A" w:rsidP="00F6253A">
      <w:pPr>
        <w:autoSpaceDE w:val="0"/>
        <w:autoSpaceDN w:val="0"/>
        <w:adjustRightInd w:val="0"/>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The </w:t>
      </w:r>
      <w:r w:rsidR="00754315" w:rsidRPr="00C91EF0">
        <w:rPr>
          <w:rFonts w:asciiTheme="minorHAnsi" w:hAnsiTheme="minorHAnsi" w:cstheme="minorHAnsi"/>
          <w:sz w:val="22"/>
          <w:szCs w:val="22"/>
          <w:lang w:val="en-GB"/>
        </w:rPr>
        <w:t>E</w:t>
      </w:r>
      <w:r w:rsidRPr="00C91EF0">
        <w:rPr>
          <w:rFonts w:asciiTheme="minorHAnsi" w:hAnsiTheme="minorHAnsi" w:cstheme="minorHAnsi"/>
          <w:sz w:val="22"/>
          <w:szCs w:val="22"/>
          <w:lang w:val="en-GB"/>
        </w:rPr>
        <w:t xml:space="preserve">thics </w:t>
      </w:r>
      <w:r w:rsidR="00754315" w:rsidRPr="00C91EF0">
        <w:rPr>
          <w:rFonts w:asciiTheme="minorHAnsi" w:hAnsiTheme="minorHAnsi" w:cstheme="minorHAnsi"/>
          <w:sz w:val="22"/>
          <w:szCs w:val="22"/>
          <w:lang w:val="en-GB"/>
        </w:rPr>
        <w:t>C</w:t>
      </w:r>
      <w:r w:rsidRPr="00C91EF0">
        <w:rPr>
          <w:rFonts w:asciiTheme="minorHAnsi" w:hAnsiTheme="minorHAnsi" w:cstheme="minorHAnsi"/>
          <w:sz w:val="22"/>
          <w:szCs w:val="22"/>
          <w:lang w:val="en-GB"/>
        </w:rPr>
        <w:t xml:space="preserve">ommission of the </w:t>
      </w:r>
      <w:r w:rsidR="00754315" w:rsidRPr="00C91EF0">
        <w:rPr>
          <w:rFonts w:asciiTheme="minorHAnsi" w:hAnsiTheme="minorHAnsi" w:cstheme="minorHAnsi"/>
          <w:sz w:val="22"/>
          <w:szCs w:val="22"/>
          <w:lang w:val="en-GB"/>
        </w:rPr>
        <w:t>M</w:t>
      </w:r>
      <w:r w:rsidRPr="00C91EF0">
        <w:rPr>
          <w:rFonts w:asciiTheme="minorHAnsi" w:hAnsiTheme="minorHAnsi" w:cstheme="minorHAnsi"/>
          <w:sz w:val="22"/>
          <w:szCs w:val="22"/>
          <w:lang w:val="en-GB"/>
        </w:rPr>
        <w:t xml:space="preserve">edical </w:t>
      </w:r>
      <w:r w:rsidR="00754315" w:rsidRPr="00C91EF0">
        <w:rPr>
          <w:rFonts w:asciiTheme="minorHAnsi" w:hAnsiTheme="minorHAnsi" w:cstheme="minorHAnsi"/>
          <w:sz w:val="22"/>
          <w:szCs w:val="22"/>
          <w:lang w:val="en-GB"/>
        </w:rPr>
        <w:t>F</w:t>
      </w:r>
      <w:r w:rsidRPr="00C91EF0">
        <w:rPr>
          <w:rFonts w:asciiTheme="minorHAnsi" w:hAnsiTheme="minorHAnsi" w:cstheme="minorHAnsi"/>
          <w:sz w:val="22"/>
          <w:szCs w:val="22"/>
          <w:lang w:val="en-GB"/>
        </w:rPr>
        <w:t xml:space="preserve">aculty of the Johann Wolfgang Goethe University, Frankfurt / Main confirmed that no extra vote was necessary for the anonymous use of data </w:t>
      </w:r>
      <w:r w:rsidR="000B509A">
        <w:rPr>
          <w:rFonts w:asciiTheme="minorHAnsi" w:hAnsiTheme="minorHAnsi" w:cstheme="minorHAnsi"/>
          <w:sz w:val="22"/>
          <w:szCs w:val="22"/>
          <w:lang w:val="en-GB"/>
        </w:rPr>
        <w:t xml:space="preserve">from </w:t>
      </w:r>
      <w:r w:rsidRPr="00C91EF0">
        <w:rPr>
          <w:rFonts w:asciiTheme="minorHAnsi" w:hAnsiTheme="minorHAnsi" w:cstheme="minorHAnsi"/>
          <w:sz w:val="22"/>
          <w:szCs w:val="22"/>
          <w:lang w:val="en-GB"/>
        </w:rPr>
        <w:t xml:space="preserve">the PROPERmed IPD-MA (13/07/2017). All included trials were </w:t>
      </w:r>
      <w:r w:rsidR="000B509A">
        <w:rPr>
          <w:rFonts w:asciiTheme="minorHAnsi" w:hAnsiTheme="minorHAnsi" w:cstheme="minorHAnsi"/>
          <w:sz w:val="22"/>
          <w:szCs w:val="22"/>
          <w:lang w:val="en-GB"/>
        </w:rPr>
        <w:t xml:space="preserve">separately </w:t>
      </w:r>
      <w:r w:rsidRPr="00C91EF0">
        <w:rPr>
          <w:rFonts w:asciiTheme="minorHAnsi" w:hAnsiTheme="minorHAnsi" w:cstheme="minorHAnsi"/>
          <w:sz w:val="22"/>
          <w:szCs w:val="22"/>
          <w:lang w:val="en-GB"/>
        </w:rPr>
        <w:t>approved by the</w:t>
      </w:r>
      <w:r w:rsidR="000B509A">
        <w:rPr>
          <w:rFonts w:asciiTheme="minorHAnsi" w:hAnsiTheme="minorHAnsi" w:cstheme="minorHAnsi"/>
          <w:sz w:val="22"/>
          <w:szCs w:val="22"/>
          <w:lang w:val="en-GB"/>
        </w:rPr>
        <w:t xml:space="preserve"> relevant </w:t>
      </w:r>
      <w:r w:rsidRPr="00C91EF0">
        <w:rPr>
          <w:rFonts w:asciiTheme="minorHAnsi" w:hAnsiTheme="minorHAnsi" w:cstheme="minorHAnsi"/>
          <w:sz w:val="22"/>
          <w:szCs w:val="22"/>
          <w:lang w:val="en-GB"/>
        </w:rPr>
        <w:t>ethics commissions as follows:</w:t>
      </w:r>
    </w:p>
    <w:p w14:paraId="17EACAAA" w14:textId="77777777" w:rsidR="00F6253A" w:rsidRPr="00C91EF0" w:rsidRDefault="00F6253A" w:rsidP="00F6253A">
      <w:pPr>
        <w:autoSpaceDE w:val="0"/>
        <w:autoSpaceDN w:val="0"/>
        <w:adjustRightInd w:val="0"/>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ISCOPE: The </w:t>
      </w:r>
      <w:r w:rsidR="00754315" w:rsidRPr="00C91EF0">
        <w:rPr>
          <w:rFonts w:asciiTheme="minorHAnsi" w:hAnsiTheme="minorHAnsi" w:cstheme="minorHAnsi"/>
          <w:sz w:val="22"/>
          <w:szCs w:val="22"/>
          <w:lang w:val="en-GB"/>
        </w:rPr>
        <w:t>M</w:t>
      </w:r>
      <w:r w:rsidRPr="00C91EF0">
        <w:rPr>
          <w:rFonts w:asciiTheme="minorHAnsi" w:hAnsiTheme="minorHAnsi" w:cstheme="minorHAnsi"/>
          <w:sz w:val="22"/>
          <w:szCs w:val="22"/>
          <w:lang w:val="en-GB"/>
        </w:rPr>
        <w:t xml:space="preserve">edical </w:t>
      </w:r>
      <w:r w:rsidR="00754315" w:rsidRPr="00C91EF0">
        <w:rPr>
          <w:rFonts w:asciiTheme="minorHAnsi" w:hAnsiTheme="minorHAnsi" w:cstheme="minorHAnsi"/>
          <w:sz w:val="22"/>
          <w:szCs w:val="22"/>
          <w:lang w:val="en-GB"/>
        </w:rPr>
        <w:t>E</w:t>
      </w:r>
      <w:r w:rsidRPr="00C91EF0">
        <w:rPr>
          <w:rFonts w:asciiTheme="minorHAnsi" w:hAnsiTheme="minorHAnsi" w:cstheme="minorHAnsi"/>
          <w:sz w:val="22"/>
          <w:szCs w:val="22"/>
          <w:lang w:val="en-GB"/>
        </w:rPr>
        <w:t xml:space="preserve">thical </w:t>
      </w:r>
      <w:r w:rsidR="00754315" w:rsidRPr="00C91EF0">
        <w:rPr>
          <w:rFonts w:asciiTheme="minorHAnsi" w:hAnsiTheme="minorHAnsi" w:cstheme="minorHAnsi"/>
          <w:sz w:val="22"/>
          <w:szCs w:val="22"/>
          <w:lang w:val="en-GB"/>
        </w:rPr>
        <w:t>C</w:t>
      </w:r>
      <w:r w:rsidRPr="00C91EF0">
        <w:rPr>
          <w:rFonts w:asciiTheme="minorHAnsi" w:hAnsiTheme="minorHAnsi" w:cstheme="minorHAnsi"/>
          <w:sz w:val="22"/>
          <w:szCs w:val="22"/>
          <w:lang w:val="en-GB"/>
        </w:rPr>
        <w:t xml:space="preserve">ommittee of Leiden University Medical </w:t>
      </w:r>
      <w:proofErr w:type="spellStart"/>
      <w:r w:rsidRPr="00C91EF0">
        <w:rPr>
          <w:rFonts w:asciiTheme="minorHAnsi" w:hAnsiTheme="minorHAnsi" w:cstheme="minorHAnsi"/>
          <w:sz w:val="22"/>
          <w:szCs w:val="22"/>
          <w:lang w:val="en-GB"/>
        </w:rPr>
        <w:t>Center</w:t>
      </w:r>
      <w:proofErr w:type="spellEnd"/>
      <w:r w:rsidRPr="00C91EF0">
        <w:rPr>
          <w:rFonts w:asciiTheme="minorHAnsi" w:hAnsiTheme="minorHAnsi" w:cstheme="minorHAnsi"/>
          <w:sz w:val="22"/>
          <w:szCs w:val="22"/>
          <w:lang w:val="en-GB"/>
        </w:rPr>
        <w:t xml:space="preserve"> approved the study (date: 30.06.2009, reference: P09.096).</w:t>
      </w:r>
    </w:p>
    <w:p w14:paraId="256D89C4" w14:textId="77777777" w:rsidR="00F6253A" w:rsidRPr="00C91EF0" w:rsidRDefault="00F6253A" w:rsidP="00F6253A">
      <w:pPr>
        <w:autoSpaceDE w:val="0"/>
        <w:autoSpaceDN w:val="0"/>
        <w:adjustRightInd w:val="0"/>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Opti-Med: The Medical Ethics Committee of the VU University Medical Centre Amsterdam approved the study (date: 12.01.2012, reference: 2011/408).</w:t>
      </w:r>
    </w:p>
    <w:p w14:paraId="764AEBE8" w14:textId="77777777" w:rsidR="00F6253A" w:rsidRPr="00C91EF0" w:rsidRDefault="00F6253A" w:rsidP="00F6253A">
      <w:pPr>
        <w:autoSpaceDE w:val="0"/>
        <w:autoSpaceDN w:val="0"/>
        <w:adjustRightInd w:val="0"/>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PIL: The Medical Ethics Review Board Atrium-Orbis-</w:t>
      </w:r>
      <w:proofErr w:type="spellStart"/>
      <w:r w:rsidRPr="00C91EF0">
        <w:rPr>
          <w:rFonts w:asciiTheme="minorHAnsi" w:hAnsiTheme="minorHAnsi" w:cstheme="minorHAnsi"/>
          <w:sz w:val="22"/>
          <w:szCs w:val="22"/>
          <w:lang w:val="en-GB"/>
        </w:rPr>
        <w:t>Zuyd</w:t>
      </w:r>
      <w:proofErr w:type="spellEnd"/>
      <w:r w:rsidRPr="00C91EF0">
        <w:rPr>
          <w:rFonts w:asciiTheme="minorHAnsi" w:hAnsiTheme="minorHAnsi" w:cstheme="minorHAnsi"/>
          <w:sz w:val="22"/>
          <w:szCs w:val="22"/>
          <w:lang w:val="en-GB"/>
        </w:rPr>
        <w:t xml:space="preserve"> approved the study (date: 15.12.2009, reference: 09-T-72 NL3037.096.09).</w:t>
      </w:r>
    </w:p>
    <w:p w14:paraId="33491CF7" w14:textId="5A5BF194" w:rsidR="00F6253A" w:rsidRPr="00C91EF0" w:rsidRDefault="00F6253A" w:rsidP="00F6253A">
      <w:pPr>
        <w:autoSpaceDE w:val="0"/>
        <w:autoSpaceDN w:val="0"/>
        <w:adjustRightInd w:val="0"/>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lastRenderedPageBreak/>
        <w:t xml:space="preserve">PRIMUM: The </w:t>
      </w:r>
      <w:r w:rsidR="00754315" w:rsidRPr="00C91EF0">
        <w:rPr>
          <w:rFonts w:asciiTheme="minorHAnsi" w:hAnsiTheme="minorHAnsi" w:cstheme="minorHAnsi"/>
          <w:sz w:val="22"/>
          <w:szCs w:val="22"/>
          <w:lang w:val="en-GB"/>
        </w:rPr>
        <w:t>E</w:t>
      </w:r>
      <w:r w:rsidRPr="00C91EF0">
        <w:rPr>
          <w:rFonts w:asciiTheme="minorHAnsi" w:hAnsiTheme="minorHAnsi" w:cstheme="minorHAnsi"/>
          <w:sz w:val="22"/>
          <w:szCs w:val="22"/>
          <w:lang w:val="en-GB"/>
        </w:rPr>
        <w:t xml:space="preserve">thics </w:t>
      </w:r>
      <w:r w:rsidR="00754315" w:rsidRPr="00C91EF0">
        <w:rPr>
          <w:rFonts w:asciiTheme="minorHAnsi" w:hAnsiTheme="minorHAnsi" w:cstheme="minorHAnsi"/>
          <w:sz w:val="22"/>
          <w:szCs w:val="22"/>
          <w:lang w:val="en-GB"/>
        </w:rPr>
        <w:t>C</w:t>
      </w:r>
      <w:r w:rsidRPr="00C91EF0">
        <w:rPr>
          <w:rFonts w:asciiTheme="minorHAnsi" w:hAnsiTheme="minorHAnsi" w:cstheme="minorHAnsi"/>
          <w:sz w:val="22"/>
          <w:szCs w:val="22"/>
          <w:lang w:val="en-GB"/>
        </w:rPr>
        <w:t xml:space="preserve">ommission of the </w:t>
      </w:r>
      <w:r w:rsidR="00754315" w:rsidRPr="00C91EF0">
        <w:rPr>
          <w:rFonts w:asciiTheme="minorHAnsi" w:hAnsiTheme="minorHAnsi" w:cstheme="minorHAnsi"/>
          <w:sz w:val="22"/>
          <w:szCs w:val="22"/>
          <w:lang w:val="en-GB"/>
        </w:rPr>
        <w:t>M</w:t>
      </w:r>
      <w:r w:rsidRPr="00C91EF0">
        <w:rPr>
          <w:rFonts w:asciiTheme="minorHAnsi" w:hAnsiTheme="minorHAnsi" w:cstheme="minorHAnsi"/>
          <w:sz w:val="22"/>
          <w:szCs w:val="22"/>
          <w:lang w:val="en-GB"/>
        </w:rPr>
        <w:t xml:space="preserve">edical </w:t>
      </w:r>
      <w:r w:rsidR="00754315" w:rsidRPr="00C91EF0">
        <w:rPr>
          <w:rFonts w:asciiTheme="minorHAnsi" w:hAnsiTheme="minorHAnsi" w:cstheme="minorHAnsi"/>
          <w:sz w:val="22"/>
          <w:szCs w:val="22"/>
          <w:lang w:val="en-GB"/>
        </w:rPr>
        <w:t>F</w:t>
      </w:r>
      <w:r w:rsidRPr="00C91EF0">
        <w:rPr>
          <w:rFonts w:asciiTheme="minorHAnsi" w:hAnsiTheme="minorHAnsi" w:cstheme="minorHAnsi"/>
          <w:sz w:val="22"/>
          <w:szCs w:val="22"/>
          <w:lang w:val="en-GB"/>
        </w:rPr>
        <w:t xml:space="preserve">aculty of Johann Wolfgang Goethe University, Frankfurt / Main approved the study (date: 20/05/2010, reference: E 46/10). </w:t>
      </w:r>
    </w:p>
    <w:p w14:paraId="16E908F9" w14:textId="4E85D324" w:rsidR="00F6253A" w:rsidRPr="00C91EF0" w:rsidRDefault="00F6253A" w:rsidP="00F6253A">
      <w:pPr>
        <w:autoSpaceDE w:val="0"/>
        <w:autoSpaceDN w:val="0"/>
        <w:adjustRightInd w:val="0"/>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RIME: The </w:t>
      </w:r>
      <w:r w:rsidR="00754315" w:rsidRPr="00C91EF0">
        <w:rPr>
          <w:rFonts w:asciiTheme="minorHAnsi" w:hAnsiTheme="minorHAnsi" w:cstheme="minorHAnsi"/>
          <w:sz w:val="22"/>
          <w:szCs w:val="22"/>
          <w:lang w:val="en-GB"/>
        </w:rPr>
        <w:t>E</w:t>
      </w:r>
      <w:r w:rsidRPr="00C91EF0">
        <w:rPr>
          <w:rFonts w:asciiTheme="minorHAnsi" w:hAnsiTheme="minorHAnsi" w:cstheme="minorHAnsi"/>
          <w:sz w:val="22"/>
          <w:szCs w:val="22"/>
          <w:lang w:val="en-GB"/>
        </w:rPr>
        <w:t xml:space="preserve">thics </w:t>
      </w:r>
      <w:r w:rsidR="00754315" w:rsidRPr="00C91EF0">
        <w:rPr>
          <w:rFonts w:asciiTheme="minorHAnsi" w:hAnsiTheme="minorHAnsi" w:cstheme="minorHAnsi"/>
          <w:sz w:val="22"/>
          <w:szCs w:val="22"/>
          <w:lang w:val="en-GB"/>
        </w:rPr>
        <w:t>C</w:t>
      </w:r>
      <w:r w:rsidRPr="00C91EF0">
        <w:rPr>
          <w:rFonts w:asciiTheme="minorHAnsi" w:hAnsiTheme="minorHAnsi" w:cstheme="minorHAnsi"/>
          <w:sz w:val="22"/>
          <w:szCs w:val="22"/>
          <w:lang w:val="en-GB"/>
        </w:rPr>
        <w:t xml:space="preserve">ommission of </w:t>
      </w:r>
      <w:r w:rsidR="000B509A">
        <w:rPr>
          <w:rFonts w:asciiTheme="minorHAnsi" w:hAnsiTheme="minorHAnsi" w:cstheme="minorHAnsi"/>
          <w:sz w:val="22"/>
          <w:szCs w:val="22"/>
          <w:lang w:val="en-GB"/>
        </w:rPr>
        <w:t xml:space="preserve">Witten </w:t>
      </w:r>
      <w:r w:rsidRPr="00C91EF0">
        <w:rPr>
          <w:rFonts w:asciiTheme="minorHAnsi" w:hAnsiTheme="minorHAnsi" w:cstheme="minorHAnsi"/>
          <w:sz w:val="22"/>
          <w:szCs w:val="22"/>
          <w:lang w:val="en-GB"/>
        </w:rPr>
        <w:t xml:space="preserve">University / </w:t>
      </w:r>
      <w:proofErr w:type="spellStart"/>
      <w:r w:rsidRPr="00C91EF0">
        <w:rPr>
          <w:rFonts w:asciiTheme="minorHAnsi" w:hAnsiTheme="minorHAnsi" w:cstheme="minorHAnsi"/>
          <w:sz w:val="22"/>
          <w:szCs w:val="22"/>
          <w:lang w:val="en-GB"/>
        </w:rPr>
        <w:t>Herdecke</w:t>
      </w:r>
      <w:proofErr w:type="spellEnd"/>
      <w:r w:rsidRPr="00C91EF0">
        <w:rPr>
          <w:rFonts w:asciiTheme="minorHAnsi" w:hAnsiTheme="minorHAnsi" w:cstheme="minorHAnsi"/>
          <w:sz w:val="22"/>
          <w:szCs w:val="22"/>
          <w:lang w:val="en-GB"/>
        </w:rPr>
        <w:t xml:space="preserve"> </w:t>
      </w:r>
      <w:r w:rsidR="00430506">
        <w:rPr>
          <w:rFonts w:asciiTheme="minorHAnsi" w:hAnsiTheme="minorHAnsi" w:cstheme="minorHAnsi"/>
          <w:sz w:val="22"/>
          <w:szCs w:val="22"/>
          <w:lang w:val="en-GB"/>
        </w:rPr>
        <w:t xml:space="preserve">also </w:t>
      </w:r>
      <w:r w:rsidRPr="00C91EF0">
        <w:rPr>
          <w:rFonts w:asciiTheme="minorHAnsi" w:hAnsiTheme="minorHAnsi" w:cstheme="minorHAnsi"/>
          <w:sz w:val="22"/>
          <w:szCs w:val="22"/>
          <w:lang w:val="en-GB"/>
        </w:rPr>
        <w:t>approved the study (date: 28.02.2012, reference: 147/2011).</w:t>
      </w:r>
    </w:p>
    <w:p w14:paraId="0509F8C0" w14:textId="77777777" w:rsidR="00F6253A" w:rsidRPr="00C91EF0" w:rsidRDefault="00F6253A" w:rsidP="00F6253A">
      <w:pPr>
        <w:spacing w:line="480" w:lineRule="auto"/>
        <w:rPr>
          <w:rFonts w:asciiTheme="minorHAnsi" w:hAnsiTheme="minorHAnsi" w:cstheme="minorHAnsi"/>
          <w:sz w:val="22"/>
          <w:szCs w:val="22"/>
          <w:lang w:val="en-GB"/>
        </w:rPr>
      </w:pPr>
    </w:p>
    <w:p w14:paraId="6A988B61" w14:textId="77777777" w:rsidR="00F6253A" w:rsidRPr="00C91EF0" w:rsidRDefault="00F6253A" w:rsidP="00D6770A">
      <w:pPr>
        <w:spacing w:line="480" w:lineRule="auto"/>
        <w:rPr>
          <w:rFonts w:asciiTheme="minorHAnsi" w:hAnsiTheme="minorHAnsi" w:cstheme="minorHAnsi"/>
          <w:b/>
          <w:sz w:val="22"/>
          <w:szCs w:val="22"/>
          <w:lang w:val="en-GB"/>
        </w:rPr>
      </w:pPr>
      <w:r w:rsidRPr="00C91EF0">
        <w:rPr>
          <w:rFonts w:asciiTheme="minorHAnsi" w:hAnsiTheme="minorHAnsi" w:cstheme="minorHAnsi"/>
          <w:b/>
          <w:sz w:val="22"/>
          <w:szCs w:val="22"/>
          <w:lang w:val="en-GB"/>
        </w:rPr>
        <w:t>R</w:t>
      </w:r>
      <w:r w:rsidR="00D467AD">
        <w:rPr>
          <w:rFonts w:asciiTheme="minorHAnsi" w:hAnsiTheme="minorHAnsi" w:cstheme="minorHAnsi"/>
          <w:b/>
          <w:sz w:val="22"/>
          <w:szCs w:val="22"/>
          <w:lang w:val="en-GB"/>
        </w:rPr>
        <w:t>EFERENCES</w:t>
      </w:r>
    </w:p>
    <w:p w14:paraId="0327691C" w14:textId="523C0E5D" w:rsidR="006819A8" w:rsidRPr="00E141C7" w:rsidRDefault="00776DB8" w:rsidP="006819A8">
      <w:pPr>
        <w:widowControl w:val="0"/>
        <w:autoSpaceDE w:val="0"/>
        <w:autoSpaceDN w:val="0"/>
        <w:adjustRightInd w:val="0"/>
        <w:spacing w:line="480" w:lineRule="auto"/>
        <w:ind w:left="640" w:hanging="640"/>
        <w:rPr>
          <w:rFonts w:ascii="Calibri" w:hAnsi="Calibri" w:cs="Calibri"/>
          <w:noProof/>
          <w:sz w:val="22"/>
          <w:lang w:val="en-US"/>
        </w:rPr>
      </w:pPr>
      <w:r w:rsidRPr="00C91EF0">
        <w:rPr>
          <w:rFonts w:asciiTheme="minorHAnsi" w:hAnsiTheme="minorHAnsi" w:cstheme="minorHAnsi"/>
          <w:sz w:val="22"/>
          <w:szCs w:val="22"/>
          <w:lang w:val="en-GB"/>
        </w:rPr>
        <w:fldChar w:fldCharType="begin" w:fldLock="1"/>
      </w:r>
      <w:r w:rsidR="008A7429" w:rsidRPr="00C91EF0">
        <w:rPr>
          <w:rFonts w:asciiTheme="minorHAnsi" w:hAnsiTheme="minorHAnsi" w:cstheme="minorHAnsi"/>
          <w:sz w:val="22"/>
          <w:szCs w:val="22"/>
          <w:lang w:val="en-GB"/>
        </w:rPr>
        <w:instrText xml:space="preserve">ADDIN Mendeley Bibliography CSL_BIBLIOGRAPHY </w:instrText>
      </w:r>
      <w:r w:rsidRPr="00C91EF0">
        <w:rPr>
          <w:rFonts w:asciiTheme="minorHAnsi" w:hAnsiTheme="minorHAnsi" w:cstheme="minorHAnsi"/>
          <w:sz w:val="22"/>
          <w:szCs w:val="22"/>
          <w:lang w:val="en-GB"/>
        </w:rPr>
        <w:fldChar w:fldCharType="separate"/>
      </w:r>
      <w:r w:rsidR="006819A8" w:rsidRPr="00E141C7">
        <w:rPr>
          <w:rFonts w:ascii="Calibri" w:hAnsi="Calibri" w:cs="Calibri"/>
          <w:noProof/>
          <w:sz w:val="22"/>
          <w:lang w:val="en-US"/>
        </w:rPr>
        <w:t xml:space="preserve">1. </w:t>
      </w:r>
      <w:r w:rsidR="006819A8" w:rsidRPr="00E141C7">
        <w:rPr>
          <w:rFonts w:ascii="Calibri" w:hAnsi="Calibri" w:cs="Calibri"/>
          <w:noProof/>
          <w:sz w:val="22"/>
          <w:lang w:val="en-US"/>
        </w:rPr>
        <w:tab/>
        <w:t xml:space="preserve">Barnett K, Mercer SW, Norbury M, Watt G, Wyke S, Guthrie B. Epidemiology of multimorbidity and implications for health care, research, and medical education: A cross-sectional study. Lancet. 2012;380(9836):37–43. </w:t>
      </w:r>
    </w:p>
    <w:p w14:paraId="19F81A4F"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 </w:t>
      </w:r>
      <w:r w:rsidRPr="00E141C7">
        <w:rPr>
          <w:rFonts w:ascii="Calibri" w:hAnsi="Calibri" w:cs="Calibri"/>
          <w:noProof/>
          <w:sz w:val="22"/>
          <w:lang w:val="en-US"/>
        </w:rPr>
        <w:tab/>
        <w:t xml:space="preserve">Haefeli WE, Meid AD. Pill-count and the arithmetic of risk: Evidence that polypharmacy is a health status marker rather than a predictive surrogate for the risk of adverse drug events. Int J Clin Pharmacol Ther. 2018 Dec;56(12):572–6. </w:t>
      </w:r>
    </w:p>
    <w:p w14:paraId="5E1618F3"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 </w:t>
      </w:r>
      <w:r w:rsidRPr="00E141C7">
        <w:rPr>
          <w:rFonts w:ascii="Calibri" w:hAnsi="Calibri" w:cs="Calibri"/>
          <w:noProof/>
          <w:sz w:val="22"/>
          <w:lang w:val="en-US"/>
        </w:rPr>
        <w:tab/>
        <w:t xml:space="preserve">Rankin A, Cadogan CA, In Ryan C, Clyne B, Smith SM, Hughes CM. Core outcome set for trials aimed at improving the appropriateness of polypharmacy in older people in primary care. J Am Geriatr Soc. 2018 Jul;66(6):1206–12. </w:t>
      </w:r>
    </w:p>
    <w:p w14:paraId="10C8015D"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 </w:t>
      </w:r>
      <w:r w:rsidRPr="00E141C7">
        <w:rPr>
          <w:rFonts w:ascii="Calibri" w:hAnsi="Calibri" w:cs="Calibri"/>
          <w:noProof/>
          <w:sz w:val="22"/>
          <w:lang w:val="en-US"/>
        </w:rPr>
        <w:tab/>
        <w:t xml:space="preserve">Beuscart J-B, Knol W, Cullinan S, Schneider C, Dalleur O, Boland B, et al. International core outcome set for clinical trials of medication review in multi-morbid older patients with polypharmacy. BMC Med. 2018 Dec 13;16(1):21. </w:t>
      </w:r>
    </w:p>
    <w:p w14:paraId="63E91384"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 </w:t>
      </w:r>
      <w:r w:rsidRPr="00E141C7">
        <w:rPr>
          <w:rFonts w:ascii="Calibri" w:hAnsi="Calibri" w:cs="Calibri"/>
          <w:noProof/>
          <w:sz w:val="22"/>
          <w:lang w:val="en-US"/>
        </w:rPr>
        <w:tab/>
        <w:t xml:space="preserve">Saqlain M, Ali H, Kamran S, Munir MU, Jahan S, Mazhar F. Potentially inappropriate medications use and its association with health-related quality of life among elderly cardiac patients. Qual Life Res. 2020 May 20; </w:t>
      </w:r>
    </w:p>
    <w:p w14:paraId="7F9E9AC5"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 </w:t>
      </w:r>
      <w:r w:rsidRPr="00E141C7">
        <w:rPr>
          <w:rFonts w:ascii="Calibri" w:hAnsi="Calibri" w:cs="Calibri"/>
          <w:noProof/>
          <w:sz w:val="22"/>
          <w:lang w:val="en-US"/>
        </w:rPr>
        <w:tab/>
        <w:t xml:space="preserve">Wallace E, Hinchey T, Dimitrov BD, Bennett K, Fahey T, Smith SM. A systematic review of the probability of repeated admission score in community-dwelling adults. J Am Geriatr Soc. 2013 Mar;61(3):357–64. </w:t>
      </w:r>
    </w:p>
    <w:p w14:paraId="02A48662"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 </w:t>
      </w:r>
      <w:r w:rsidRPr="00E141C7">
        <w:rPr>
          <w:rFonts w:ascii="Calibri" w:hAnsi="Calibri" w:cs="Calibri"/>
          <w:noProof/>
          <w:sz w:val="22"/>
          <w:lang w:val="en-US"/>
        </w:rPr>
        <w:tab/>
        <w:t xml:space="preserve">Marengoni A, Angleman S, Melis R, Mangialasche F, Karp A, Garmen A, et al. Aging with multimorbidity: a systematic review of the literature. Ageing Res Rev. 2011 </w:t>
      </w:r>
      <w:r w:rsidRPr="00E141C7">
        <w:rPr>
          <w:rFonts w:ascii="Calibri" w:hAnsi="Calibri" w:cs="Calibri"/>
          <w:noProof/>
          <w:sz w:val="22"/>
          <w:lang w:val="en-US"/>
        </w:rPr>
        <w:lastRenderedPageBreak/>
        <w:t xml:space="preserve">Sep;10(4):430–9. </w:t>
      </w:r>
    </w:p>
    <w:p w14:paraId="7CC4192B"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8. </w:t>
      </w:r>
      <w:r w:rsidRPr="00E141C7">
        <w:rPr>
          <w:rFonts w:ascii="Calibri" w:hAnsi="Calibri" w:cs="Calibri"/>
          <w:noProof/>
          <w:sz w:val="22"/>
          <w:lang w:val="en-US"/>
        </w:rPr>
        <w:tab/>
        <w:t xml:space="preserve">Muth C, Uhlmann L, Haefeli WE, Rochon J, van den Akker M, Perera R, et al. Effectiveness of a complex intervention on Prioritising Multimedication in Multimorbidity (PRIMUM) in primary care: results of a pragmatic cluster randomised controlled trial. BMJ Open. 2018;8(2):e017740. </w:t>
      </w:r>
    </w:p>
    <w:p w14:paraId="0A066FFA"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9. </w:t>
      </w:r>
      <w:r w:rsidRPr="00E141C7">
        <w:rPr>
          <w:rFonts w:ascii="Calibri" w:hAnsi="Calibri" w:cs="Calibri"/>
          <w:noProof/>
          <w:sz w:val="22"/>
          <w:lang w:val="en-US"/>
        </w:rPr>
        <w:tab/>
        <w:t xml:space="preserve">Glasziou PP, Irwig LM. An evidence based approach to individualising treatment. BMJ. 1995 Nov 18;311(7016):1356–9. </w:t>
      </w:r>
    </w:p>
    <w:p w14:paraId="34027CD9"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10. </w:t>
      </w:r>
      <w:r w:rsidRPr="00E141C7">
        <w:rPr>
          <w:rFonts w:ascii="Calibri" w:hAnsi="Calibri" w:cs="Calibri"/>
          <w:noProof/>
          <w:sz w:val="22"/>
          <w:lang w:val="en-US"/>
        </w:rPr>
        <w:tab/>
        <w:t xml:space="preserve">Romskaug R, Skovlund E, Straand J, Molden E, Kersten H, Pitkala KH, et al. Effect of Clinical Geriatric Assessments and Collaborative Medication Reviews by Geriatrician and Family Physician for Improving Health-Related Quality of Life in Home-Dwelling Older Patients Receiving Polypharmacy. JAMA Intern Med. 2020 Feb 1;180(2):181. </w:t>
      </w:r>
    </w:p>
    <w:p w14:paraId="5E7C5F0E"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11. </w:t>
      </w:r>
      <w:r w:rsidRPr="00E141C7">
        <w:rPr>
          <w:rFonts w:ascii="Calibri" w:hAnsi="Calibri" w:cs="Calibri"/>
          <w:noProof/>
          <w:sz w:val="22"/>
          <w:lang w:val="en-US"/>
        </w:rPr>
        <w:tab/>
        <w:t xml:space="preserve">Rankin A, Cadogan CA, Patterson SM, Kerse N, Cardwell CR, Bradley MC, et al. Interventions to improve the appropriate use of polypharmacy for older people. Cochrane Database Syst Rev. 2018 Sep 3;9. </w:t>
      </w:r>
    </w:p>
    <w:p w14:paraId="64578E33"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12. </w:t>
      </w:r>
      <w:r w:rsidRPr="00E141C7">
        <w:rPr>
          <w:rFonts w:ascii="Calibri" w:hAnsi="Calibri" w:cs="Calibri"/>
          <w:noProof/>
          <w:sz w:val="22"/>
          <w:lang w:val="en-US"/>
        </w:rPr>
        <w:tab/>
        <w:t>Smith SM, Wallace E, O’Dowd T, Fortin M. Interventions for improving outcomes in patients with multimorbidity in primary care and community settings. In: Smith SM, editor. Cochrane Database of Systematic Reviews [Internet]. Chichester, UK: John Wiley &amp; Sons, Ltd; 2016. Available from: http://doi.wiley.com/10.1002/14651858.CD006560.pub3</w:t>
      </w:r>
    </w:p>
    <w:p w14:paraId="0DF72CDF"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13. </w:t>
      </w:r>
      <w:r w:rsidRPr="00E141C7">
        <w:rPr>
          <w:rFonts w:ascii="Calibri" w:hAnsi="Calibri" w:cs="Calibri"/>
          <w:noProof/>
          <w:sz w:val="22"/>
          <w:lang w:val="en-US"/>
        </w:rPr>
        <w:tab/>
        <w:t xml:space="preserve">Meid AD, Groll A, Schieborr U, Walker J, Haefeli WE. How can we define and analyse drug exposure more precisely to improve the prediction of hospitalizations in longitudinal (claims) data? Eur J Clin Pharmacol. 2017 Mar 24;73(3):373–80. </w:t>
      </w:r>
    </w:p>
    <w:p w14:paraId="5E812187"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14. </w:t>
      </w:r>
      <w:r w:rsidRPr="00E141C7">
        <w:rPr>
          <w:rFonts w:ascii="Calibri" w:hAnsi="Calibri" w:cs="Calibri"/>
          <w:noProof/>
          <w:sz w:val="22"/>
          <w:lang w:val="en-US"/>
        </w:rPr>
        <w:tab/>
        <w:t xml:space="preserve">Meid AD, Quinzler R, Groll A, Wild B, Saum K-U, Schöttker B, et al. Longitudinal evaluation of medication underuse in older outpatients and its association with quality of life. Eur J Clin Pharmacol. 2016 Jul 29;72(7):877–85. </w:t>
      </w:r>
    </w:p>
    <w:p w14:paraId="1AF032EE"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15. </w:t>
      </w:r>
      <w:r w:rsidRPr="00E141C7">
        <w:rPr>
          <w:rFonts w:ascii="Calibri" w:hAnsi="Calibri" w:cs="Calibri"/>
          <w:noProof/>
          <w:sz w:val="22"/>
          <w:lang w:val="en-US"/>
        </w:rPr>
        <w:tab/>
        <w:t xml:space="preserve">Lynn J. “Living long in fragile health: the new demographics shape end of life care”, </w:t>
      </w:r>
      <w:r w:rsidRPr="00E141C7">
        <w:rPr>
          <w:rFonts w:ascii="Calibri" w:hAnsi="Calibri" w:cs="Calibri"/>
          <w:noProof/>
          <w:sz w:val="22"/>
          <w:lang w:val="en-US"/>
        </w:rPr>
        <w:lastRenderedPageBreak/>
        <w:t xml:space="preserve">Improving end of life care: why has it been so difficult? In: Hastings Center Report Special Report 35, no6. 2005. p. S14–8. </w:t>
      </w:r>
    </w:p>
    <w:p w14:paraId="0BDE83BF"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16. </w:t>
      </w:r>
      <w:r w:rsidRPr="00E141C7">
        <w:rPr>
          <w:rFonts w:ascii="Calibri" w:hAnsi="Calibri" w:cs="Calibri"/>
          <w:noProof/>
          <w:sz w:val="22"/>
          <w:lang w:val="en-US"/>
        </w:rPr>
        <w:tab/>
        <w:t xml:space="preserve">Smith SM, Soubhi H, Fortin M, Hudon C, O’Dowd T. Managing patients with multimorbidity: systematic review of interventions in primary care and community settings. BMJ. 2012 Sep 3;345(sep03 1):e5205–e5205. </w:t>
      </w:r>
    </w:p>
    <w:p w14:paraId="7270DB19"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17. </w:t>
      </w:r>
      <w:r w:rsidRPr="00E141C7">
        <w:rPr>
          <w:rFonts w:ascii="Calibri" w:hAnsi="Calibri" w:cs="Calibri"/>
          <w:noProof/>
          <w:sz w:val="22"/>
          <w:lang w:val="en-US"/>
        </w:rPr>
        <w:tab/>
        <w:t xml:space="preserve">Debray TPA, Moons KGM, Ahmed I, Koffijberg H, Riley RD. A framework for developing, implementing, and evaluating clinical prediction models in an individual participant data meta-analysis. Stat Med. 2013;32(18):3158–80. </w:t>
      </w:r>
    </w:p>
    <w:p w14:paraId="6E924E6F"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18. </w:t>
      </w:r>
      <w:r w:rsidRPr="00E141C7">
        <w:rPr>
          <w:rFonts w:ascii="Calibri" w:hAnsi="Calibri" w:cs="Calibri"/>
          <w:noProof/>
          <w:sz w:val="22"/>
          <w:lang w:val="en-US"/>
        </w:rPr>
        <w:tab/>
        <w:t xml:space="preserve">Blom J, Elzen W Den, Houwelingen AHV, Heijmans M, Stijnen T, Van Den Hout W, et al. Effectiveness and cost-effectiveness of a proactive, goal-oriented, integrated care model in general practice for older people. A cluster randomised controlled trial: Integrated systematic care for older people-the ISCOPE study. Age Ageing. 2016;45(1):30–41. </w:t>
      </w:r>
    </w:p>
    <w:p w14:paraId="7DD7D801"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19. </w:t>
      </w:r>
      <w:r w:rsidRPr="00E141C7">
        <w:rPr>
          <w:rFonts w:ascii="Calibri" w:hAnsi="Calibri" w:cs="Calibri"/>
          <w:noProof/>
          <w:sz w:val="22"/>
          <w:lang w:val="en-US"/>
        </w:rPr>
        <w:tab/>
        <w:t xml:space="preserve">Willeboordse F, Hugtenburg JG, van Dijk L, Bosmans JE, de Vries OJ, Schellevis FG, et al. Opti-Med: the effectiveness of optimised clinical medication reviews in older people with ‘geriatric giants’ in general practice; study protocol of a cluster randomised controlled trial. BMC Geriatr. 2014;14(1):116. </w:t>
      </w:r>
    </w:p>
    <w:p w14:paraId="5C869CEA"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20. </w:t>
      </w:r>
      <w:r w:rsidRPr="00E141C7">
        <w:rPr>
          <w:rFonts w:ascii="Calibri" w:hAnsi="Calibri" w:cs="Calibri"/>
          <w:noProof/>
          <w:sz w:val="22"/>
          <w:lang w:val="en-US"/>
        </w:rPr>
        <w:tab/>
        <w:t xml:space="preserve">Willeboordse F, Schellevis FG, Chau SH, Hugtenburg JG, Elders PJM. The effectiveness of optimised clinical medication reviews for geriatric patients: Opti-Med a cluster randomised controlled trial. Fam Pract. 2017;34(4):437–45. </w:t>
      </w:r>
    </w:p>
    <w:p w14:paraId="333EB545"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21. </w:t>
      </w:r>
      <w:r w:rsidRPr="00E141C7">
        <w:rPr>
          <w:rFonts w:ascii="Calibri" w:hAnsi="Calibri" w:cs="Calibri"/>
          <w:noProof/>
          <w:sz w:val="22"/>
          <w:lang w:val="en-US"/>
        </w:rPr>
        <w:tab/>
        <w:t xml:space="preserve">Bosch-Lenders D, Maessen DWHA, Stoffers HEJH (Jelle), Knottnerus JA, Winkens B, van den Akker M. Factors associated with appropriate knowledge of the indications for prescribed drugs among community-dwelling older patients with polypharmacy. Age Ageing. 2016 May;45(3):402–8. </w:t>
      </w:r>
    </w:p>
    <w:p w14:paraId="07BCE000"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22. </w:t>
      </w:r>
      <w:r w:rsidRPr="00E141C7">
        <w:rPr>
          <w:rFonts w:ascii="Calibri" w:hAnsi="Calibri" w:cs="Calibri"/>
          <w:noProof/>
          <w:sz w:val="22"/>
          <w:lang w:val="en-US"/>
        </w:rPr>
        <w:tab/>
        <w:t xml:space="preserve">Muth C, Harder S, Uhlmann L, Rochon J, Fullerton B, Güthlin C, et al. Pilot study to test the feasibility of a trial design and complex intervention on PRIoritising </w:t>
      </w:r>
      <w:r w:rsidRPr="00E141C7">
        <w:rPr>
          <w:rFonts w:ascii="Calibri" w:hAnsi="Calibri" w:cs="Calibri"/>
          <w:noProof/>
          <w:sz w:val="22"/>
          <w:lang w:val="en-US"/>
        </w:rPr>
        <w:lastRenderedPageBreak/>
        <w:t xml:space="preserve">MUltimedication in Multimorbidity in general practices (PRIMUM pilot). BMJ Open. 2016 Jul 25;6(7):e011613. </w:t>
      </w:r>
    </w:p>
    <w:p w14:paraId="73EA21DC"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23. </w:t>
      </w:r>
      <w:r w:rsidRPr="00E141C7">
        <w:rPr>
          <w:rFonts w:ascii="Calibri" w:hAnsi="Calibri" w:cs="Calibri"/>
          <w:noProof/>
          <w:sz w:val="22"/>
          <w:lang w:val="en-US"/>
        </w:rPr>
        <w:tab/>
        <w:t xml:space="preserve">O’Halloran J, Miller GC, Britt H. Defining chronic conditions for primary care with ICPC-2. Fam Pract. 2004 Aug;21(4):381–6. </w:t>
      </w:r>
    </w:p>
    <w:p w14:paraId="7821E829"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24. </w:t>
      </w:r>
      <w:r w:rsidRPr="00E141C7">
        <w:rPr>
          <w:rFonts w:ascii="Calibri" w:hAnsi="Calibri" w:cs="Calibri"/>
          <w:noProof/>
          <w:sz w:val="22"/>
          <w:lang w:val="en-US"/>
        </w:rPr>
        <w:tab/>
        <w:t xml:space="preserve">Kaplan RM. The minimally clinically important difference in generic utility-based measures. COPD. 2005 Mar;2(1):91–7. </w:t>
      </w:r>
    </w:p>
    <w:p w14:paraId="47D454D2"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25. </w:t>
      </w:r>
      <w:r w:rsidRPr="00E141C7">
        <w:rPr>
          <w:rFonts w:ascii="Calibri" w:hAnsi="Calibri" w:cs="Calibri"/>
          <w:noProof/>
          <w:sz w:val="22"/>
          <w:lang w:val="en-US"/>
        </w:rPr>
        <w:tab/>
        <w:t xml:space="preserve">Walters SJ, Brazier JE. Comparison of the minimally important difference for two health state utility measures: EQ-5D and SF-6D. Qual Life Res. 2005 Aug;14(6):1523–32. </w:t>
      </w:r>
    </w:p>
    <w:p w14:paraId="37C6D3BB"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26. </w:t>
      </w:r>
      <w:r w:rsidRPr="00E141C7">
        <w:rPr>
          <w:rFonts w:ascii="Calibri" w:hAnsi="Calibri" w:cs="Calibri"/>
          <w:noProof/>
          <w:sz w:val="22"/>
          <w:lang w:val="en-US"/>
        </w:rPr>
        <w:tab/>
        <w:t xml:space="preserve">Coretti S, Ruggeri M, McNamee P. The minimum clinically important difference for EQ-5D index: a critical review. Expert Rev Pharmacoecon Outcomes Res. 2014 Apr;14(2):221–33. </w:t>
      </w:r>
    </w:p>
    <w:p w14:paraId="61B585CC"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27. </w:t>
      </w:r>
      <w:r w:rsidRPr="00E141C7">
        <w:rPr>
          <w:rFonts w:ascii="Calibri" w:hAnsi="Calibri" w:cs="Calibri"/>
          <w:noProof/>
          <w:sz w:val="22"/>
          <w:lang w:val="en-US"/>
        </w:rPr>
        <w:tab/>
        <w:t xml:space="preserve">Lutomski JE, Baars MAE, Schalk BWM, Boter H, Buurman BM, den Elzen WPJ, et al. The development of The Older Persons and Informal Caregivers Survey Minimum DataSet (TOPICS-MDS): A Large-Scale Data Sharing Initiative. Bayer A, editor. PLoS One. 2013 Dec 4;8(12):e81673. </w:t>
      </w:r>
    </w:p>
    <w:p w14:paraId="0BDACD49"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28. </w:t>
      </w:r>
      <w:r w:rsidRPr="00E141C7">
        <w:rPr>
          <w:rFonts w:ascii="Calibri" w:hAnsi="Calibri" w:cs="Calibri"/>
          <w:noProof/>
          <w:sz w:val="22"/>
          <w:lang w:val="en-US"/>
        </w:rPr>
        <w:tab/>
        <w:t>Eurostat Statistics Explained. International Standard Classification of Education (ISCED) [Internet]. 2016 [cited 2017 Nov 6]. Available from: http://ec.europa.eu/eurostat/statistics-explained/index.php/International_Standard_Classification_of_Education_(ISCED)</w:t>
      </w:r>
    </w:p>
    <w:p w14:paraId="64022BC1"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29. </w:t>
      </w:r>
      <w:r w:rsidRPr="00E141C7">
        <w:rPr>
          <w:rFonts w:ascii="Calibri" w:hAnsi="Calibri" w:cs="Calibri"/>
          <w:noProof/>
          <w:sz w:val="22"/>
          <w:lang w:val="en-US"/>
        </w:rPr>
        <w:tab/>
        <w:t xml:space="preserve">WONCA. ICPC-2. International Classification of Primary Care. Oxford: Oxford University Press; 1998. </w:t>
      </w:r>
    </w:p>
    <w:p w14:paraId="42557AD5"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30. </w:t>
      </w:r>
      <w:r w:rsidRPr="00E141C7">
        <w:rPr>
          <w:rFonts w:ascii="Calibri" w:hAnsi="Calibri" w:cs="Calibri"/>
          <w:noProof/>
          <w:sz w:val="22"/>
          <w:lang w:val="en-US"/>
        </w:rPr>
        <w:tab/>
        <w:t xml:space="preserve">Diederichs C, Berger K, Bartels DB. The Measurement of Multiple Chronic Diseases--A Systematic Review on Existing Multimorbidity Indices. J Gerontol - Ser A Biol Sci Med Sci. 2011 Mar 1;66A(3):301–11. </w:t>
      </w:r>
    </w:p>
    <w:p w14:paraId="6456108C"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31. </w:t>
      </w:r>
      <w:r w:rsidRPr="00E141C7">
        <w:rPr>
          <w:rFonts w:ascii="Calibri" w:hAnsi="Calibri" w:cs="Calibri"/>
          <w:noProof/>
          <w:sz w:val="22"/>
          <w:lang w:val="en-US"/>
        </w:rPr>
        <w:tab/>
        <w:t xml:space="preserve">Charlson ME, Pompei P, Ales KL, MacKenzie CR. A new method of classifying prognostic comorbidity in longitudinal studies: development and validation. J Chronic Dis. </w:t>
      </w:r>
      <w:r w:rsidRPr="00E141C7">
        <w:rPr>
          <w:rFonts w:ascii="Calibri" w:hAnsi="Calibri" w:cs="Calibri"/>
          <w:noProof/>
          <w:sz w:val="22"/>
          <w:lang w:val="en-US"/>
        </w:rPr>
        <w:lastRenderedPageBreak/>
        <w:t xml:space="preserve">1987;40(5):373–83. </w:t>
      </w:r>
    </w:p>
    <w:p w14:paraId="54C5BC86"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32. </w:t>
      </w:r>
      <w:r w:rsidRPr="00E141C7">
        <w:rPr>
          <w:rFonts w:ascii="Calibri" w:hAnsi="Calibri" w:cs="Calibri"/>
          <w:noProof/>
          <w:sz w:val="22"/>
          <w:lang w:val="en-US"/>
        </w:rPr>
        <w:tab/>
        <w:t xml:space="preserve">Renom-Guiteras A, Meyer G, Thürmann P a. The EU(7)-PIM list: a list of potentially inappropriate medications for older people consented by experts from seven European countries. Eur J Clin Pharmacol. 2015;71(7):861–75. </w:t>
      </w:r>
    </w:p>
    <w:p w14:paraId="40DE4F93"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33. </w:t>
      </w:r>
      <w:r w:rsidRPr="00E141C7">
        <w:rPr>
          <w:rFonts w:ascii="Calibri" w:hAnsi="Calibri" w:cs="Calibri"/>
          <w:noProof/>
          <w:sz w:val="22"/>
          <w:lang w:val="en-US"/>
        </w:rPr>
        <w:tab/>
        <w:t xml:space="preserve">O’Mahony D, O’Sullivan D, Byrne S, O’Connor MN, Ryan C, Gallagher P. STOPP/START criteria for potentially inappropriate prescribing in older people: Version 2. Age Ageing. 2015;44(2):213–8. </w:t>
      </w:r>
    </w:p>
    <w:p w14:paraId="2B9F8DA6"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34. </w:t>
      </w:r>
      <w:r w:rsidRPr="00E141C7">
        <w:rPr>
          <w:rFonts w:ascii="Calibri" w:hAnsi="Calibri" w:cs="Calibri"/>
          <w:noProof/>
          <w:sz w:val="22"/>
          <w:lang w:val="en-US"/>
        </w:rPr>
        <w:tab/>
        <w:t xml:space="preserve">Dreischulte T, Donnan P, Grant A, Hapca A, McCowan C, Guthrie B. Safer prescribing — a trial of education, informatics, and financial incentives. N Engl J Med. 2016;374(11):1053–64. </w:t>
      </w:r>
    </w:p>
    <w:p w14:paraId="2309EB94"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35. </w:t>
      </w:r>
      <w:r w:rsidRPr="00E141C7">
        <w:rPr>
          <w:rFonts w:ascii="Calibri" w:hAnsi="Calibri" w:cs="Calibri"/>
          <w:noProof/>
          <w:sz w:val="22"/>
          <w:lang w:val="en-US"/>
        </w:rPr>
        <w:tab/>
        <w:t xml:space="preserve">Carnahan RM, Lund BC, Perry PJ, Pollock BG, Culp KR. The Anticholinergic Drug Scale as a measure of drug-related anticholinergic burden: associations with serum anticholinergic activity. J Clin Pharmacol. 2006;46:1481–6. </w:t>
      </w:r>
    </w:p>
    <w:p w14:paraId="4E9F512D"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36. </w:t>
      </w:r>
      <w:r w:rsidRPr="00E141C7">
        <w:rPr>
          <w:rFonts w:ascii="Calibri" w:hAnsi="Calibri" w:cs="Calibri"/>
          <w:noProof/>
          <w:sz w:val="22"/>
          <w:lang w:val="en-US"/>
        </w:rPr>
        <w:tab/>
        <w:t xml:space="preserve">Carnahan RM, Lund BC, Perry PJ, Culp KR, Pollock BG. The relationship of an anticholinergic rating scale with serum anticholinergic activity in elderly nursing home residents. Psychopharmacol Bull. 2002;36(4):14–9. </w:t>
      </w:r>
    </w:p>
    <w:p w14:paraId="50F9FEF8"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37. </w:t>
      </w:r>
      <w:r w:rsidRPr="00E141C7">
        <w:rPr>
          <w:rFonts w:ascii="Calibri" w:hAnsi="Calibri" w:cs="Calibri"/>
          <w:noProof/>
          <w:sz w:val="22"/>
          <w:lang w:val="en-US"/>
        </w:rPr>
        <w:tab/>
        <w:t xml:space="preserve">Hilmer SN, Mager DE, Simonsick EM, Ling SM, Windham BG, Harris TB, et al. Drug burden index score and functional decline in older people. Am J Med. 2009 Dec;122(12):1142-1149.e1-2. </w:t>
      </w:r>
    </w:p>
    <w:p w14:paraId="21B73ED8"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38. </w:t>
      </w:r>
      <w:r w:rsidRPr="00E141C7">
        <w:rPr>
          <w:rFonts w:ascii="Calibri" w:hAnsi="Calibri" w:cs="Calibri"/>
          <w:noProof/>
          <w:sz w:val="22"/>
          <w:lang w:val="en-US"/>
        </w:rPr>
        <w:tab/>
        <w:t xml:space="preserve">Cao Y-J, Mager DE, Simonsick EM, Hilmer SN, Ling SM, Windham BG, et al. Physical and cognitive performance and burden of anticholinergics, sedatives, and ACE inhibitors in older women. Clin Pharmacol Ther. 2008 Mar;83(3):422–9. </w:t>
      </w:r>
    </w:p>
    <w:p w14:paraId="0DF2BAA4"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39. </w:t>
      </w:r>
      <w:r w:rsidRPr="00E141C7">
        <w:rPr>
          <w:rFonts w:ascii="Calibri" w:hAnsi="Calibri" w:cs="Calibri"/>
          <w:noProof/>
          <w:sz w:val="22"/>
          <w:lang w:val="en-US"/>
        </w:rPr>
        <w:tab/>
        <w:t xml:space="preserve">Hilmer SN. A drug burden index to define the functional burden of medications in older people. Arch Intern Med. 2007 Apr 23;167(8):781. </w:t>
      </w:r>
    </w:p>
    <w:p w14:paraId="33EED4B6"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40. </w:t>
      </w:r>
      <w:r w:rsidRPr="00E141C7">
        <w:rPr>
          <w:rFonts w:ascii="Calibri" w:hAnsi="Calibri" w:cs="Calibri"/>
          <w:noProof/>
          <w:sz w:val="22"/>
          <w:lang w:val="en-US"/>
        </w:rPr>
        <w:tab/>
        <w:t xml:space="preserve">Durán CE, Azermai M, Vander Stichele RH. Systematic review of anticholinergic risk scales in older adults. Eur J Clin Pharmacol. 2013 Jul;69(7):1485–96. </w:t>
      </w:r>
    </w:p>
    <w:p w14:paraId="6C630742"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lastRenderedPageBreak/>
        <w:t xml:space="preserve">41. </w:t>
      </w:r>
      <w:r w:rsidRPr="00E141C7">
        <w:rPr>
          <w:rFonts w:ascii="Calibri" w:hAnsi="Calibri" w:cs="Calibri"/>
          <w:noProof/>
          <w:sz w:val="22"/>
          <w:lang w:val="en-US"/>
        </w:rPr>
        <w:tab/>
        <w:t xml:space="preserve">Palmer M, Harley D. Models and measurement in disability: an international review. Health Policy Plan. 2012 Aug;27(5):357–64. </w:t>
      </w:r>
    </w:p>
    <w:p w14:paraId="2E1A5135"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42. </w:t>
      </w:r>
      <w:r w:rsidRPr="00E141C7">
        <w:rPr>
          <w:rFonts w:ascii="Calibri" w:hAnsi="Calibri" w:cs="Calibri"/>
          <w:noProof/>
          <w:sz w:val="22"/>
          <w:lang w:val="en-US"/>
        </w:rPr>
        <w:tab/>
        <w:t xml:space="preserve">Saliba D, Elliott M, Rubenstein LZ, Solomon DH, Young RT, Kamberg CJ, et al. The Vulnerable Elders Survey: a tool for identifying vulnerable older people in the community. J Am Geriatr Soc. 2001 Dec;49(12):1691–9. </w:t>
      </w:r>
    </w:p>
    <w:p w14:paraId="42AA3D30"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43. </w:t>
      </w:r>
      <w:r w:rsidRPr="00E141C7">
        <w:rPr>
          <w:rFonts w:ascii="Calibri" w:hAnsi="Calibri" w:cs="Calibri"/>
          <w:noProof/>
          <w:sz w:val="22"/>
          <w:lang w:val="en-US"/>
        </w:rPr>
        <w:tab/>
        <w:t xml:space="preserve">Isaacs B. An Introduction to Geriatrics. London: Bailliere, Tindall &amp; Cassell; 1965. </w:t>
      </w:r>
    </w:p>
    <w:p w14:paraId="17FA3999"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44. </w:t>
      </w:r>
      <w:r w:rsidRPr="00E141C7">
        <w:rPr>
          <w:rFonts w:ascii="Calibri" w:hAnsi="Calibri" w:cs="Calibri"/>
          <w:noProof/>
          <w:sz w:val="22"/>
          <w:lang w:val="en-US"/>
        </w:rPr>
        <w:tab/>
        <w:t xml:space="preserve">Sheikh JI, Yesavage JA, Brooks JO, Friedman L, Gratzinger P, Hill RD, et al. Proposed factor structure of the Geriatric Depression Scale. Int psychogeriatrics. 1991;3(1):23–8. </w:t>
      </w:r>
    </w:p>
    <w:p w14:paraId="75807048"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45. </w:t>
      </w:r>
      <w:r w:rsidRPr="00E141C7">
        <w:rPr>
          <w:rFonts w:ascii="Calibri" w:hAnsi="Calibri" w:cs="Calibri"/>
          <w:noProof/>
          <w:sz w:val="22"/>
          <w:lang w:val="en-US"/>
        </w:rPr>
        <w:tab/>
        <w:t xml:space="preserve">Yesavage JA, Brink TL, Rose TL, Lum O, Huang V, Adey M, et al. Development and validation of a geriatric depression screening scale: a preliminary report. J Psychiatr Res. 1982;17(1):37–49. </w:t>
      </w:r>
    </w:p>
    <w:p w14:paraId="5B6061DB"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46. </w:t>
      </w:r>
      <w:r w:rsidRPr="00E141C7">
        <w:rPr>
          <w:rFonts w:ascii="Calibri" w:hAnsi="Calibri" w:cs="Calibri"/>
          <w:noProof/>
          <w:sz w:val="22"/>
          <w:lang w:val="en-US"/>
        </w:rPr>
        <w:tab/>
        <w:t xml:space="preserve">Hoyl MT, Alessi CA, Harker JO, Josephson KR, Pietruszka FM, Koelfgen M, et al. Development and testing of a five-item version of the Geriatric Depression Scale. J Am Geriatr Soc. 1999 Jul;47(7):873–8. </w:t>
      </w:r>
    </w:p>
    <w:p w14:paraId="1B96F763"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47. </w:t>
      </w:r>
      <w:r w:rsidRPr="00E141C7">
        <w:rPr>
          <w:rFonts w:ascii="Calibri" w:hAnsi="Calibri" w:cs="Calibri"/>
          <w:noProof/>
          <w:sz w:val="22"/>
          <w:lang w:val="en-US"/>
        </w:rPr>
        <w:tab/>
        <w:t xml:space="preserve">Gandek B, Ware JE, Aaronson NK, Apolone G, Bjorner JB, Brazier JE, et al. Cross-validation of item selection and scoring for the SF-12 Health Survey in nine countries: results from the IQOLA Project. International Quality of Life Assessment. J Clin Epidemiol. 1998 Nov;51(11):1171–8. </w:t>
      </w:r>
    </w:p>
    <w:p w14:paraId="099D48DD"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48. </w:t>
      </w:r>
      <w:r w:rsidRPr="00E141C7">
        <w:rPr>
          <w:rFonts w:ascii="Calibri" w:hAnsi="Calibri" w:cs="Calibri"/>
          <w:noProof/>
          <w:sz w:val="22"/>
          <w:lang w:val="en-US"/>
        </w:rPr>
        <w:tab/>
        <w:t xml:space="preserve">Ware J, Kosinski M, Keller SD. A 12-Item Short-Form Health Survey: construction of scales and preliminary tests of reliability and validity. Med Care. 1996 Mar;34(3):220–33. </w:t>
      </w:r>
    </w:p>
    <w:p w14:paraId="72010D17"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49. </w:t>
      </w:r>
      <w:r w:rsidRPr="00E141C7">
        <w:rPr>
          <w:rFonts w:ascii="Calibri" w:hAnsi="Calibri" w:cs="Calibri"/>
          <w:noProof/>
          <w:sz w:val="22"/>
          <w:lang w:val="en-US"/>
        </w:rPr>
        <w:tab/>
        <w:t xml:space="preserve">Aaronson NK, Muller M, Cohen PD, Essink-Bot ML, Fekkes M, Sanderman R, et al. Translation, validation, and norming of the Dutch language version of the SF-36 Health Survey in community and chronic disease populations. J Clin Epidemiol. 1998 Nov;51(11):1055–68. </w:t>
      </w:r>
    </w:p>
    <w:p w14:paraId="2D601E26"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50. </w:t>
      </w:r>
      <w:r w:rsidRPr="00E141C7">
        <w:rPr>
          <w:rFonts w:ascii="Calibri" w:hAnsi="Calibri" w:cs="Calibri"/>
          <w:noProof/>
          <w:sz w:val="22"/>
          <w:lang w:val="en-US"/>
        </w:rPr>
        <w:tab/>
        <w:t xml:space="preserve">Von Korff M, Ormel J, Keefe FJ, Dworkin SF. Grading the severity of chronic pain. Pain. </w:t>
      </w:r>
      <w:r w:rsidRPr="00E141C7">
        <w:rPr>
          <w:rFonts w:ascii="Calibri" w:hAnsi="Calibri" w:cs="Calibri"/>
          <w:noProof/>
          <w:sz w:val="22"/>
          <w:lang w:val="en-US"/>
        </w:rPr>
        <w:lastRenderedPageBreak/>
        <w:t xml:space="preserve">1992 Aug;50(2):133–49. </w:t>
      </w:r>
    </w:p>
    <w:p w14:paraId="5B7155C5"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51. </w:t>
      </w:r>
      <w:r w:rsidRPr="00E141C7">
        <w:rPr>
          <w:rFonts w:ascii="Calibri" w:hAnsi="Calibri" w:cs="Calibri"/>
          <w:noProof/>
          <w:sz w:val="22"/>
          <w:lang w:val="en-US"/>
        </w:rPr>
        <w:tab/>
        <w:t xml:space="preserve">EuroQol Group. EuroQol - a new facility for the measurement of health-related quality of life. Health Policy (New York). 1990 Dec;16(3):199–208. </w:t>
      </w:r>
    </w:p>
    <w:p w14:paraId="25F448B9"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52. </w:t>
      </w:r>
      <w:r w:rsidRPr="00E141C7">
        <w:rPr>
          <w:rFonts w:ascii="Calibri" w:hAnsi="Calibri" w:cs="Calibri"/>
          <w:noProof/>
          <w:sz w:val="22"/>
          <w:lang w:val="en-US"/>
        </w:rPr>
        <w:tab/>
        <w:t>Mukherjee B, Ou H-T, Wang F, Erickson SR. A new comorbidity index: the health-related quality of life comorbidity index. J Clin Epidemiol [Internet]. 2011 Mar;64(3):309–19. Available from: http://linkinghub.elsevier.com/retrieve/pii/S0895435610003471</w:t>
      </w:r>
    </w:p>
    <w:p w14:paraId="2796B91A"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53. </w:t>
      </w:r>
      <w:r w:rsidRPr="00E141C7">
        <w:rPr>
          <w:rFonts w:ascii="Calibri" w:hAnsi="Calibri" w:cs="Calibri"/>
          <w:noProof/>
          <w:sz w:val="22"/>
          <w:lang w:val="en-US"/>
        </w:rPr>
        <w:tab/>
        <w:t xml:space="preserve">Ou H-T, Mukherjee B, Erickson SR, Piette JD, Bagozzi RP, Balkrishnan R. Comparative Performance of Comorbidity Indices in Predicting Health Care-Related Behaviors and Outcomes among Medicaid Enrollees with Type 2 Diabetes. Popul Health Manag. 2012 Aug;15(4):220–9. </w:t>
      </w:r>
    </w:p>
    <w:p w14:paraId="5C47D064"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54. </w:t>
      </w:r>
      <w:r w:rsidRPr="00E141C7">
        <w:rPr>
          <w:rFonts w:ascii="Calibri" w:hAnsi="Calibri" w:cs="Calibri"/>
          <w:noProof/>
          <w:sz w:val="22"/>
          <w:lang w:val="en-US"/>
        </w:rPr>
        <w:tab/>
        <w:t xml:space="preserve">Cheng L, Cumber S, Dumas C, Winter R, Nguyen KM, Nieman LZ. Health related quality of life in pregeriatric patients with chronic diseases at urban, public supported clinics. Health Qual Life Outcomes. 2003 Oct 31;1(63):63. </w:t>
      </w:r>
    </w:p>
    <w:p w14:paraId="4A128423"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55. </w:t>
      </w:r>
      <w:r w:rsidRPr="00E141C7">
        <w:rPr>
          <w:rFonts w:ascii="Calibri" w:hAnsi="Calibri" w:cs="Calibri"/>
          <w:noProof/>
          <w:sz w:val="22"/>
          <w:lang w:val="en-US"/>
        </w:rPr>
        <w:tab/>
        <w:t xml:space="preserve">Riley RD, Snell KIE, Ensor J, Burke DL, Harrell Jr FE, Moons KG, et al. Minimum sample size for developing a multivariable prediction model: PART II - binary and time-to-event outcomes. Stat Med. 2019 Mar 30;38(7):1276–96. </w:t>
      </w:r>
    </w:p>
    <w:p w14:paraId="43641D90"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56. </w:t>
      </w:r>
      <w:r w:rsidRPr="00E141C7">
        <w:rPr>
          <w:rFonts w:ascii="Calibri" w:hAnsi="Calibri" w:cs="Calibri"/>
          <w:noProof/>
          <w:sz w:val="22"/>
          <w:lang w:val="en-US"/>
        </w:rPr>
        <w:tab/>
        <w:t xml:space="preserve">van der Heijden GJMG, T. Donders AR, Stijnen T, Moons KGM. Imputation of missing values is superior to complete case analysis and the missing-indicator method in multivariable diagnostic research: A clinical example. J Clin Epidemiol. 2006 Oct;59(10):1102–9. </w:t>
      </w:r>
    </w:p>
    <w:p w14:paraId="72CEF7E6"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57. </w:t>
      </w:r>
      <w:r w:rsidRPr="00E141C7">
        <w:rPr>
          <w:rFonts w:ascii="Calibri" w:hAnsi="Calibri" w:cs="Calibri"/>
          <w:noProof/>
          <w:sz w:val="22"/>
          <w:lang w:val="en-US"/>
        </w:rPr>
        <w:tab/>
        <w:t xml:space="preserve">Groenwold RHH, White IR, Donders ART, Carpenter JR, Altman DG, Moons KGM. Missing covariate data in clinical research: when and when not to use the missing-indicator method for analysis. CMAJ. 2012 Aug 7;184(11):1265–9. </w:t>
      </w:r>
    </w:p>
    <w:p w14:paraId="0909238D"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58. </w:t>
      </w:r>
      <w:r w:rsidRPr="00E141C7">
        <w:rPr>
          <w:rFonts w:ascii="Calibri" w:hAnsi="Calibri" w:cs="Calibri"/>
          <w:noProof/>
          <w:sz w:val="22"/>
          <w:lang w:val="en-US"/>
        </w:rPr>
        <w:tab/>
        <w:t xml:space="preserve">van Buuren S, Groothuis-Oudshoorn K. mice: Multivariate imputation by chained equations in R. J Stat Softw. 2011;1(3). </w:t>
      </w:r>
    </w:p>
    <w:p w14:paraId="3EA58867"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59. </w:t>
      </w:r>
      <w:r w:rsidRPr="00E141C7">
        <w:rPr>
          <w:rFonts w:ascii="Calibri" w:hAnsi="Calibri" w:cs="Calibri"/>
          <w:noProof/>
          <w:sz w:val="22"/>
          <w:lang w:val="en-US"/>
        </w:rPr>
        <w:tab/>
        <w:t xml:space="preserve">Rubin D. Multiple Imputation for Nonresponse in Surveys. New York: Wiley; 1987. </w:t>
      </w:r>
    </w:p>
    <w:p w14:paraId="6F6EA963"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lastRenderedPageBreak/>
        <w:t xml:space="preserve">60. </w:t>
      </w:r>
      <w:r w:rsidRPr="00E141C7">
        <w:rPr>
          <w:rFonts w:ascii="Calibri" w:hAnsi="Calibri" w:cs="Calibri"/>
          <w:noProof/>
          <w:sz w:val="22"/>
          <w:lang w:val="en-US"/>
        </w:rPr>
        <w:tab/>
        <w:t xml:space="preserve">Zhang Z. Missing data exploration: highlighting graphical presentation of missing pattern. Ann Transl Med. 2015 Dec;3(22):356. </w:t>
      </w:r>
    </w:p>
    <w:p w14:paraId="0365303B"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61. </w:t>
      </w:r>
      <w:r w:rsidRPr="00E141C7">
        <w:rPr>
          <w:rFonts w:ascii="Calibri" w:hAnsi="Calibri" w:cs="Calibri"/>
          <w:noProof/>
          <w:sz w:val="22"/>
          <w:lang w:val="en-US"/>
        </w:rPr>
        <w:tab/>
        <w:t xml:space="preserve">Kowarik A, Templ M. Imputation with the R Package VIM. J Stat Softw. 2016;74(7). </w:t>
      </w:r>
    </w:p>
    <w:p w14:paraId="5BF80540"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62. </w:t>
      </w:r>
      <w:r w:rsidRPr="00E141C7">
        <w:rPr>
          <w:rFonts w:ascii="Calibri" w:hAnsi="Calibri" w:cs="Calibri"/>
          <w:noProof/>
          <w:sz w:val="22"/>
          <w:lang w:val="en-US"/>
        </w:rPr>
        <w:tab/>
        <w:t xml:space="preserve">Jolani S, Debray TPA, Koffijberg H, van Buuren S, Moons KGM. Imputation of systematically missing predictors in an individual participant data meta-analysis: a generalized approach using MICE. Stat Med. 2015 May 20;34(11):1841–63. </w:t>
      </w:r>
    </w:p>
    <w:p w14:paraId="54EE3C78"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63. </w:t>
      </w:r>
      <w:r w:rsidRPr="00E141C7">
        <w:rPr>
          <w:rFonts w:ascii="Calibri" w:hAnsi="Calibri" w:cs="Calibri"/>
          <w:noProof/>
          <w:sz w:val="22"/>
          <w:lang w:val="en-US"/>
        </w:rPr>
        <w:tab/>
        <w:t xml:space="preserve">Te Grotenhuis M, Pelzer B, Eisinga R, Nieuwenhuis R, Schmidt-Catran A, Konig R. When size matters: advantages of weighted effect coding in observational studies. Int J Public Health. 2017 Jan;62(1):163–7. </w:t>
      </w:r>
    </w:p>
    <w:p w14:paraId="5292A7BA"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64. </w:t>
      </w:r>
      <w:r w:rsidRPr="00E141C7">
        <w:rPr>
          <w:rFonts w:ascii="Calibri" w:hAnsi="Calibri" w:cs="Calibri"/>
          <w:noProof/>
          <w:sz w:val="22"/>
          <w:lang w:val="en-US"/>
        </w:rPr>
        <w:tab/>
        <w:t xml:space="preserve">Royston P, Parmar MKB, Sylvester R. Construction and validation of a prognostic model across several studies, with an application in superficial bladder cancer. Stat Med. 2004;23(6):907–26. </w:t>
      </w:r>
    </w:p>
    <w:p w14:paraId="5F396622"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65. </w:t>
      </w:r>
      <w:r w:rsidRPr="00E141C7">
        <w:rPr>
          <w:rFonts w:ascii="Calibri" w:hAnsi="Calibri" w:cs="Calibri"/>
          <w:noProof/>
          <w:sz w:val="22"/>
          <w:lang w:val="en-US"/>
        </w:rPr>
        <w:tab/>
        <w:t xml:space="preserve">Friedman J, Hastie T, Tibshirani R. Regularization paths for generalized linear models via coordinate descent. J Stat Softw. 2010;33(1):1–22. </w:t>
      </w:r>
    </w:p>
    <w:p w14:paraId="380FFED8"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66. </w:t>
      </w:r>
      <w:r w:rsidRPr="00E141C7">
        <w:rPr>
          <w:rFonts w:ascii="Calibri" w:hAnsi="Calibri" w:cs="Calibri"/>
          <w:noProof/>
          <w:sz w:val="22"/>
          <w:lang w:val="en-US"/>
        </w:rPr>
        <w:tab/>
        <w:t xml:space="preserve">Thao LTP, Geskus R. A comparison of model selection methods for prediction in the presence of multiply imputed data. Biom J. 2019 Mar;61(2):343–56. </w:t>
      </w:r>
    </w:p>
    <w:p w14:paraId="58B06BCD"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67. </w:t>
      </w:r>
      <w:r w:rsidRPr="00E141C7">
        <w:rPr>
          <w:rFonts w:ascii="Calibri" w:hAnsi="Calibri" w:cs="Calibri"/>
          <w:noProof/>
          <w:sz w:val="22"/>
          <w:lang w:val="en-US"/>
        </w:rPr>
        <w:tab/>
        <w:t xml:space="preserve">Efron B, Tibshirani R. An introduction to the bootstrap. CRC Boca Raton London New York Washington, D.C.: Chapman &amp; Hall; 1993. </w:t>
      </w:r>
    </w:p>
    <w:p w14:paraId="03246E52"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68. </w:t>
      </w:r>
      <w:r w:rsidRPr="00E141C7">
        <w:rPr>
          <w:rFonts w:ascii="Calibri" w:hAnsi="Calibri" w:cs="Calibri"/>
          <w:noProof/>
          <w:sz w:val="22"/>
          <w:lang w:val="en-US"/>
        </w:rPr>
        <w:tab/>
        <w:t xml:space="preserve">Steyerberg EW, Vickers AJ, Cook NR, Gerds T, Obuchowski N, Pencina MJ, et al. Assessing the performance of prediction models: A framework for some traditional and novel measures. Epidemiology. 2010;21(1):128–38. </w:t>
      </w:r>
    </w:p>
    <w:p w14:paraId="27A8E0E9"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69. </w:t>
      </w:r>
      <w:r w:rsidRPr="00E141C7">
        <w:rPr>
          <w:rFonts w:ascii="Calibri" w:hAnsi="Calibri" w:cs="Calibri"/>
          <w:noProof/>
          <w:sz w:val="22"/>
          <w:lang w:val="en-US"/>
        </w:rPr>
        <w:tab/>
        <w:t xml:space="preserve">Van Calster B, McLernon DJ, van Smeden M, Wynants L, Steyerberg EW. Calibration: the Achilles heel of predictive analytics. BMC Med. 2019 Dec 16;17(1):230. </w:t>
      </w:r>
    </w:p>
    <w:p w14:paraId="14C90911"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70. </w:t>
      </w:r>
      <w:r w:rsidRPr="00E141C7">
        <w:rPr>
          <w:rFonts w:ascii="Calibri" w:hAnsi="Calibri" w:cs="Calibri"/>
          <w:noProof/>
          <w:sz w:val="22"/>
          <w:lang w:val="en-US"/>
        </w:rPr>
        <w:tab/>
        <w:t xml:space="preserve">Snell KIE, Hua H, Debray TPA, Ensor J, Look MP, Moons KGM, et al. Multivariate meta-analysis of individual participant data helped externally validate the performance and implementation of a prediction model. J Clin Epidemiol. 2016 Jan;69:40–50. </w:t>
      </w:r>
    </w:p>
    <w:p w14:paraId="7F6D810D"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lastRenderedPageBreak/>
        <w:t xml:space="preserve">71. </w:t>
      </w:r>
      <w:r w:rsidRPr="00E141C7">
        <w:rPr>
          <w:rFonts w:ascii="Calibri" w:hAnsi="Calibri" w:cs="Calibri"/>
          <w:noProof/>
          <w:sz w:val="22"/>
          <w:lang w:val="en-US"/>
        </w:rPr>
        <w:tab/>
        <w:t xml:space="preserve">Viechtbauer W. Conducting meta-analyses in R with the metafor package. J Stat Softw. 2010;36(3). </w:t>
      </w:r>
    </w:p>
    <w:p w14:paraId="26FCD28D"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72. </w:t>
      </w:r>
      <w:r w:rsidRPr="00E141C7">
        <w:rPr>
          <w:rFonts w:ascii="Calibri" w:hAnsi="Calibri" w:cs="Calibri"/>
          <w:noProof/>
          <w:sz w:val="22"/>
          <w:lang w:val="en-US"/>
        </w:rPr>
        <w:tab/>
        <w:t xml:space="preserve">Kuhn M. Building predictive models in R using the caret package. J Stat Softw. 2008;28(5). </w:t>
      </w:r>
    </w:p>
    <w:p w14:paraId="4C262464"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73. </w:t>
      </w:r>
      <w:r w:rsidRPr="00E141C7">
        <w:rPr>
          <w:rFonts w:ascii="Calibri" w:hAnsi="Calibri" w:cs="Calibri"/>
          <w:noProof/>
          <w:sz w:val="22"/>
          <w:lang w:val="en-US"/>
        </w:rPr>
        <w:tab/>
        <w:t xml:space="preserve">Moons KGM, Altman DG, Reitsma JB, Ioannidis JPA, Macaskill P, Steyerberg EW, et al. Transparent Reporting of a multivariable prediction model for Individual Prognosis Or Diagnosis (TRIPOD): Explanation and Elaboration. Ann Intern Med. 2015 Jan 6;162(1):W1. </w:t>
      </w:r>
    </w:p>
    <w:p w14:paraId="6E4F00DE"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74. </w:t>
      </w:r>
      <w:r w:rsidRPr="00E141C7">
        <w:rPr>
          <w:rFonts w:ascii="Calibri" w:hAnsi="Calibri" w:cs="Calibri"/>
          <w:noProof/>
          <w:sz w:val="22"/>
          <w:lang w:val="en-US"/>
        </w:rPr>
        <w:tab/>
        <w:t xml:space="preserve">Calderón-Larrañaga A, Vetrano DL, Ferrucci L, Mercer SW, Marengoni A, Onder G, et al. Multimorbidity and functional impairment: bidirectional interplay, synergistic effects and common pathways. J Intern Med. 2018 Oct 24; </w:t>
      </w:r>
    </w:p>
    <w:p w14:paraId="67E13E1B"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75. </w:t>
      </w:r>
      <w:r w:rsidRPr="00E141C7">
        <w:rPr>
          <w:rFonts w:ascii="Calibri" w:hAnsi="Calibri" w:cs="Calibri"/>
          <w:noProof/>
          <w:sz w:val="22"/>
          <w:lang w:val="en-US"/>
        </w:rPr>
        <w:tab/>
        <w:t xml:space="preserve">Brilleman SL, Salisbury C. Comparing measures of multimorbidity to predict outcomes in primary care: a cross sectional study. Fam Pract. 2013 Apr 1;30(2):172–8. </w:t>
      </w:r>
    </w:p>
    <w:p w14:paraId="47187C95"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76. </w:t>
      </w:r>
      <w:r w:rsidRPr="00E141C7">
        <w:rPr>
          <w:rFonts w:ascii="Calibri" w:hAnsi="Calibri" w:cs="Calibri"/>
          <w:noProof/>
          <w:sz w:val="22"/>
          <w:lang w:val="en-US"/>
        </w:rPr>
        <w:tab/>
        <w:t xml:space="preserve">Alonso-Morán E, Nuño-Solinis R, Onder G, Tonnara G. Multimorbidity in risk stratification tools to predict negative outcomes in adult population. Eur J Intern Med. 2015;26(3):182–9. </w:t>
      </w:r>
    </w:p>
    <w:p w14:paraId="117033C1"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77. </w:t>
      </w:r>
      <w:r w:rsidRPr="00E141C7">
        <w:rPr>
          <w:rFonts w:ascii="Calibri" w:hAnsi="Calibri" w:cs="Calibri"/>
          <w:noProof/>
          <w:sz w:val="22"/>
          <w:lang w:val="en-US"/>
        </w:rPr>
        <w:tab/>
        <w:t xml:space="preserve">Fortin M, Hudon C, Dubois M-F, Almirall J, Lapointe L, Soubhi H. Comparative assessment of three different indices of multimorbidity for studies on health-related quality of life. Health Qual Life Outcomes. 2005 Nov 23;3:74. </w:t>
      </w:r>
    </w:p>
    <w:p w14:paraId="187E1B81"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78. </w:t>
      </w:r>
      <w:r w:rsidRPr="00E141C7">
        <w:rPr>
          <w:rFonts w:ascii="Calibri" w:hAnsi="Calibri" w:cs="Calibri"/>
          <w:noProof/>
          <w:sz w:val="22"/>
          <w:lang w:val="en-US"/>
        </w:rPr>
        <w:tab/>
        <w:t xml:space="preserve">Beaton K, Grimmer K, Milanese S, Atlas A. Additional measures do not improve the diagnostic accuracy of the Hospital Admission Risk Profile for detecting downstream quality of life in community-dwelling older people presenting to a hospital emergency department. Clin Interv Aging. 2014 Jan;233. </w:t>
      </w:r>
    </w:p>
    <w:p w14:paraId="38F1D3AB"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79. </w:t>
      </w:r>
      <w:r w:rsidRPr="00E141C7">
        <w:rPr>
          <w:rFonts w:ascii="Calibri" w:hAnsi="Calibri" w:cs="Calibri"/>
          <w:noProof/>
          <w:sz w:val="22"/>
          <w:lang w:val="en-US"/>
        </w:rPr>
        <w:tab/>
        <w:t>NICE Clinical Guideline. Multimorbidity: clinical assessment and management [Internet]. 2016. Available from: https://www.nice.org.uk/guidance/ng56</w:t>
      </w:r>
    </w:p>
    <w:p w14:paraId="30521C9E" w14:textId="77777777" w:rsidR="006819A8" w:rsidRPr="00E141C7" w:rsidRDefault="006819A8" w:rsidP="006819A8">
      <w:pPr>
        <w:widowControl w:val="0"/>
        <w:autoSpaceDE w:val="0"/>
        <w:autoSpaceDN w:val="0"/>
        <w:adjustRightInd w:val="0"/>
        <w:spacing w:line="480" w:lineRule="auto"/>
        <w:ind w:left="640" w:hanging="640"/>
        <w:rPr>
          <w:rFonts w:ascii="Calibri" w:hAnsi="Calibri" w:cs="Calibri"/>
          <w:noProof/>
          <w:sz w:val="22"/>
          <w:lang w:val="en-US"/>
        </w:rPr>
      </w:pPr>
      <w:r w:rsidRPr="00E141C7">
        <w:rPr>
          <w:rFonts w:ascii="Calibri" w:hAnsi="Calibri" w:cs="Calibri"/>
          <w:noProof/>
          <w:sz w:val="22"/>
          <w:lang w:val="en-US"/>
        </w:rPr>
        <w:t xml:space="preserve">80. </w:t>
      </w:r>
      <w:r w:rsidRPr="00E141C7">
        <w:rPr>
          <w:rFonts w:ascii="Calibri" w:hAnsi="Calibri" w:cs="Calibri"/>
          <w:noProof/>
          <w:sz w:val="22"/>
          <w:lang w:val="en-US"/>
        </w:rPr>
        <w:tab/>
        <w:t xml:space="preserve">GRADE Working Group. GRADE [Internet]. [cited 2016 Jan 27]. Available from: </w:t>
      </w:r>
      <w:r w:rsidRPr="00E141C7">
        <w:rPr>
          <w:rFonts w:ascii="Calibri" w:hAnsi="Calibri" w:cs="Calibri"/>
          <w:noProof/>
          <w:sz w:val="22"/>
          <w:lang w:val="en-US"/>
        </w:rPr>
        <w:lastRenderedPageBreak/>
        <w:t>http://www.gradeworkinggroup.org</w:t>
      </w:r>
    </w:p>
    <w:p w14:paraId="7746982E" w14:textId="5920968A" w:rsidR="008A7429" w:rsidRPr="00C91EF0" w:rsidRDefault="00776DB8" w:rsidP="006819A8">
      <w:pPr>
        <w:widowControl w:val="0"/>
        <w:autoSpaceDE w:val="0"/>
        <w:autoSpaceDN w:val="0"/>
        <w:adjustRightInd w:val="0"/>
        <w:spacing w:line="480" w:lineRule="auto"/>
        <w:ind w:left="640" w:hanging="640"/>
        <w:rPr>
          <w:rFonts w:asciiTheme="minorHAnsi" w:hAnsiTheme="minorHAnsi" w:cstheme="minorHAnsi"/>
          <w:sz w:val="22"/>
          <w:szCs w:val="22"/>
          <w:lang w:val="en-GB"/>
        </w:rPr>
      </w:pPr>
      <w:r w:rsidRPr="00C91EF0">
        <w:rPr>
          <w:rFonts w:asciiTheme="minorHAnsi" w:hAnsiTheme="minorHAnsi" w:cstheme="minorHAnsi"/>
          <w:sz w:val="22"/>
          <w:szCs w:val="22"/>
          <w:lang w:val="en-GB"/>
        </w:rPr>
        <w:fldChar w:fldCharType="end"/>
      </w:r>
    </w:p>
    <w:p w14:paraId="6A49035C" w14:textId="77777777" w:rsidR="00A151DA" w:rsidRPr="00C91EF0" w:rsidRDefault="00A151DA" w:rsidP="00EA72EE">
      <w:pPr>
        <w:widowControl w:val="0"/>
        <w:autoSpaceDE w:val="0"/>
        <w:autoSpaceDN w:val="0"/>
        <w:adjustRightInd w:val="0"/>
        <w:spacing w:line="480" w:lineRule="auto"/>
        <w:ind w:left="640" w:hanging="640"/>
        <w:rPr>
          <w:rFonts w:asciiTheme="minorHAnsi" w:hAnsiTheme="minorHAnsi" w:cstheme="minorHAnsi"/>
          <w:sz w:val="22"/>
          <w:szCs w:val="22"/>
          <w:lang w:val="en-GB"/>
        </w:rPr>
        <w:sectPr w:rsidR="00A151DA" w:rsidRPr="00C91EF0" w:rsidSect="00F6253A">
          <w:pgSz w:w="11900" w:h="16840"/>
          <w:pgMar w:top="1417" w:right="1701" w:bottom="1417" w:left="1701" w:header="708" w:footer="708" w:gutter="0"/>
          <w:lnNumType w:countBy="1" w:restart="continuous"/>
          <w:cols w:space="708"/>
          <w:docGrid w:linePitch="360"/>
        </w:sectPr>
      </w:pPr>
    </w:p>
    <w:p w14:paraId="0E12DAEF" w14:textId="77777777" w:rsidR="004C483B" w:rsidRPr="00C91EF0" w:rsidRDefault="009126CA" w:rsidP="007D358C">
      <w:pPr>
        <w:suppressLineNumbers/>
        <w:spacing w:line="480" w:lineRule="auto"/>
        <w:rPr>
          <w:rFonts w:asciiTheme="minorHAnsi" w:eastAsia="Calibri" w:hAnsiTheme="minorHAnsi" w:cstheme="minorHAnsi"/>
          <w:b/>
          <w:bCs/>
          <w:sz w:val="22"/>
          <w:szCs w:val="22"/>
          <w:lang w:val="en-GB"/>
        </w:rPr>
      </w:pPr>
      <w:r w:rsidRPr="00C91EF0">
        <w:rPr>
          <w:rFonts w:asciiTheme="minorHAnsi" w:eastAsia="Calibri" w:hAnsiTheme="minorHAnsi" w:cstheme="minorHAnsi"/>
          <w:b/>
          <w:bCs/>
          <w:sz w:val="22"/>
          <w:szCs w:val="22"/>
          <w:lang w:val="en-GB"/>
        </w:rPr>
        <w:lastRenderedPageBreak/>
        <w:t>Figure legends</w:t>
      </w:r>
    </w:p>
    <w:p w14:paraId="0465B5A1" w14:textId="77777777" w:rsidR="000B5E74" w:rsidRPr="00C91EF0" w:rsidRDefault="00867661" w:rsidP="007D358C">
      <w:pPr>
        <w:suppressLineNumbers/>
        <w:spacing w:line="480" w:lineRule="auto"/>
        <w:rPr>
          <w:rFonts w:asciiTheme="minorHAnsi" w:eastAsia="Calibri" w:hAnsiTheme="minorHAnsi" w:cstheme="minorHAnsi"/>
          <w:b/>
          <w:bCs/>
          <w:sz w:val="22"/>
          <w:szCs w:val="22"/>
          <w:lang w:val="en-GB"/>
        </w:rPr>
      </w:pPr>
      <w:r w:rsidRPr="00C91EF0">
        <w:rPr>
          <w:rFonts w:asciiTheme="minorHAnsi" w:eastAsia="Calibri" w:hAnsiTheme="minorHAnsi" w:cstheme="minorHAnsi"/>
          <w:b/>
          <w:bCs/>
          <w:sz w:val="22"/>
          <w:szCs w:val="22"/>
          <w:lang w:val="en-GB"/>
        </w:rPr>
        <w:t xml:space="preserve">Figure 1: </w:t>
      </w:r>
      <w:r w:rsidR="000B5E74" w:rsidRPr="00C91EF0">
        <w:rPr>
          <w:rFonts w:asciiTheme="minorHAnsi" w:hAnsiTheme="minorHAnsi" w:cstheme="minorHAnsi"/>
          <w:b/>
          <w:bCs/>
          <w:sz w:val="22"/>
          <w:szCs w:val="22"/>
          <w:lang w:val="en-GB"/>
        </w:rPr>
        <w:t>Flow chart and schematic course of action</w:t>
      </w:r>
    </w:p>
    <w:p w14:paraId="4CF59ACF" w14:textId="6E818512" w:rsidR="007D358C" w:rsidRPr="00C91EF0" w:rsidRDefault="007D358C" w:rsidP="007D358C">
      <w:pPr>
        <w:suppressLineNumbers/>
        <w:spacing w:line="480" w:lineRule="auto"/>
        <w:rPr>
          <w:rFonts w:asciiTheme="minorHAnsi" w:hAnsiTheme="minorHAnsi" w:cstheme="minorHAnsi"/>
          <w:sz w:val="22"/>
          <w:szCs w:val="22"/>
          <w:lang w:val="en-GB"/>
        </w:rPr>
      </w:pPr>
      <w:r w:rsidRPr="00C91EF0">
        <w:rPr>
          <w:rFonts w:asciiTheme="minorHAnsi" w:hAnsiTheme="minorHAnsi" w:cstheme="minorHAnsi"/>
          <w:sz w:val="22"/>
          <w:szCs w:val="22"/>
          <w:lang w:val="en-GB"/>
        </w:rPr>
        <w:t xml:space="preserve">CC = Complete Cases; IPD = Individual Participant Data; LASSO = Least Absolute Shrinkage and Selection Operator; MI = Multiply Imputed; MIM = Missing-Indicator Method; </w:t>
      </w:r>
      <w:proofErr w:type="spellStart"/>
      <w:r w:rsidR="000B509A">
        <w:rPr>
          <w:rFonts w:asciiTheme="minorHAnsi" w:hAnsiTheme="minorHAnsi" w:cstheme="minorHAnsi"/>
          <w:sz w:val="22"/>
          <w:szCs w:val="22"/>
          <w:lang w:val="en-GB"/>
        </w:rPr>
        <w:t>d</w:t>
      </w:r>
      <w:r w:rsidRPr="00C91EF0">
        <w:rPr>
          <w:rFonts w:asciiTheme="minorHAnsi" w:hAnsiTheme="minorHAnsi" w:cstheme="minorHAnsi"/>
          <w:sz w:val="22"/>
          <w:szCs w:val="22"/>
          <w:lang w:val="en-GB"/>
        </w:rPr>
        <w:t>HRQoL</w:t>
      </w:r>
      <w:proofErr w:type="spellEnd"/>
      <w:r w:rsidRPr="00C91EF0">
        <w:rPr>
          <w:rFonts w:asciiTheme="minorHAnsi" w:hAnsiTheme="minorHAnsi" w:cstheme="minorHAnsi"/>
          <w:sz w:val="22"/>
          <w:szCs w:val="22"/>
          <w:lang w:val="en-GB"/>
        </w:rPr>
        <w:t xml:space="preserve"> = </w:t>
      </w:r>
      <w:r w:rsidR="000B509A">
        <w:rPr>
          <w:rFonts w:asciiTheme="minorHAnsi" w:hAnsiTheme="minorHAnsi" w:cstheme="minorHAnsi"/>
          <w:sz w:val="22"/>
          <w:szCs w:val="22"/>
          <w:lang w:val="en-GB"/>
        </w:rPr>
        <w:t xml:space="preserve">deterioration in </w:t>
      </w:r>
      <w:r w:rsidRPr="00C91EF0">
        <w:rPr>
          <w:rFonts w:asciiTheme="minorHAnsi" w:hAnsiTheme="minorHAnsi" w:cstheme="minorHAnsi"/>
          <w:sz w:val="22"/>
          <w:szCs w:val="22"/>
          <w:lang w:val="en-GB"/>
        </w:rPr>
        <w:t>Health-Related Quality of Life.</w:t>
      </w:r>
    </w:p>
    <w:p w14:paraId="0EB3C32E" w14:textId="77777777" w:rsidR="006A4EDA" w:rsidRPr="006A4EDA" w:rsidRDefault="007D358C" w:rsidP="006A4EDA">
      <w:pPr>
        <w:pStyle w:val="CommentText"/>
        <w:spacing w:line="480" w:lineRule="auto"/>
        <w:jc w:val="both"/>
        <w:rPr>
          <w:rFonts w:asciiTheme="minorHAnsi" w:eastAsia="Calibri" w:hAnsiTheme="minorHAnsi" w:cstheme="minorHAnsi"/>
          <w:bCs/>
          <w:sz w:val="22"/>
          <w:szCs w:val="22"/>
          <w:lang w:val="en-GB"/>
        </w:rPr>
      </w:pPr>
      <w:r w:rsidRPr="00C91EF0">
        <w:rPr>
          <w:rFonts w:asciiTheme="minorHAnsi" w:hAnsiTheme="minorHAnsi" w:cstheme="minorHAnsi"/>
          <w:b/>
          <w:sz w:val="22"/>
          <w:szCs w:val="22"/>
          <w:lang w:val="en-GB"/>
        </w:rPr>
        <w:t>Figure 2</w:t>
      </w:r>
      <w:r w:rsidRPr="00C91EF0">
        <w:rPr>
          <w:rFonts w:asciiTheme="minorHAnsi" w:hAnsiTheme="minorHAnsi" w:cstheme="minorHAnsi"/>
          <w:sz w:val="22"/>
          <w:szCs w:val="22"/>
          <w:lang w:val="en-GB"/>
        </w:rPr>
        <w:t xml:space="preserve">: </w:t>
      </w:r>
      <w:r w:rsidR="000B5E74" w:rsidRPr="00C91EF0">
        <w:rPr>
          <w:rFonts w:asciiTheme="minorHAnsi" w:eastAsia="Calibri" w:hAnsiTheme="minorHAnsi" w:cstheme="minorHAnsi"/>
          <w:b/>
          <w:bCs/>
          <w:sz w:val="22"/>
          <w:szCs w:val="22"/>
          <w:lang w:val="en-GB"/>
        </w:rPr>
        <w:t>Model development and validation</w:t>
      </w:r>
      <w:r w:rsidR="00F46AEA" w:rsidRPr="00C91EF0">
        <w:rPr>
          <w:rFonts w:asciiTheme="minorHAnsi" w:eastAsia="Calibri" w:hAnsiTheme="minorHAnsi" w:cstheme="minorHAnsi"/>
          <w:bCs/>
          <w:sz w:val="22"/>
          <w:szCs w:val="22"/>
          <w:lang w:val="en-GB"/>
        </w:rPr>
        <w:t xml:space="preserve">. </w:t>
      </w:r>
      <w:r w:rsidR="00724A36" w:rsidRPr="00C91EF0">
        <w:rPr>
          <w:rFonts w:asciiTheme="minorHAnsi" w:eastAsia="Calibri" w:hAnsiTheme="minorHAnsi" w:cstheme="minorHAnsi"/>
          <w:bCs/>
          <w:sz w:val="22"/>
          <w:szCs w:val="22"/>
          <w:lang w:val="en-GB"/>
        </w:rPr>
        <w:t xml:space="preserve">(A) </w:t>
      </w:r>
      <w:r w:rsidR="00430506">
        <w:rPr>
          <w:rFonts w:asciiTheme="minorHAnsi" w:eastAsia="Calibri" w:hAnsiTheme="minorHAnsi" w:cstheme="minorHAnsi"/>
          <w:bCs/>
          <w:sz w:val="22"/>
          <w:szCs w:val="22"/>
          <w:lang w:val="en-GB"/>
        </w:rPr>
        <w:t xml:space="preserve">By yielding </w:t>
      </w:r>
      <w:r w:rsidR="00430506" w:rsidRPr="00C91EF0">
        <w:rPr>
          <w:rFonts w:asciiTheme="minorHAnsi" w:eastAsia="Calibri" w:hAnsiTheme="minorHAnsi" w:cstheme="minorHAnsi"/>
          <w:bCs/>
          <w:sz w:val="22"/>
          <w:szCs w:val="22"/>
          <w:lang w:val="en-GB"/>
        </w:rPr>
        <w:t>receiver-operat</w:t>
      </w:r>
      <w:r w:rsidR="00430506">
        <w:rPr>
          <w:rFonts w:asciiTheme="minorHAnsi" w:eastAsia="Calibri" w:hAnsiTheme="minorHAnsi" w:cstheme="minorHAnsi"/>
          <w:bCs/>
          <w:sz w:val="22"/>
          <w:szCs w:val="22"/>
          <w:lang w:val="en-GB"/>
        </w:rPr>
        <w:t>ing</w:t>
      </w:r>
      <w:r w:rsidR="00430506" w:rsidRPr="00C91EF0">
        <w:rPr>
          <w:rFonts w:asciiTheme="minorHAnsi" w:eastAsia="Calibri" w:hAnsiTheme="minorHAnsi" w:cstheme="minorHAnsi"/>
          <w:bCs/>
          <w:sz w:val="22"/>
          <w:szCs w:val="22"/>
          <w:lang w:val="en-GB"/>
        </w:rPr>
        <w:t xml:space="preserve"> characteristic (ROC) curves</w:t>
      </w:r>
      <w:r w:rsidR="00430506">
        <w:rPr>
          <w:rFonts w:asciiTheme="minorHAnsi" w:eastAsia="Calibri" w:hAnsiTheme="minorHAnsi" w:cstheme="minorHAnsi"/>
          <w:bCs/>
          <w:sz w:val="22"/>
          <w:szCs w:val="22"/>
          <w:lang w:val="en-GB"/>
        </w:rPr>
        <w:t>, t</w:t>
      </w:r>
      <w:r w:rsidR="00DC038E" w:rsidRPr="00C91EF0">
        <w:rPr>
          <w:rFonts w:asciiTheme="minorHAnsi" w:eastAsia="Calibri" w:hAnsiTheme="minorHAnsi" w:cstheme="minorHAnsi"/>
          <w:bCs/>
          <w:sz w:val="22"/>
          <w:szCs w:val="22"/>
          <w:lang w:val="en-GB"/>
        </w:rPr>
        <w:t xml:space="preserve">he model’s estimates of sensitivity and specificity for calculated risks discriminate between patients with and without </w:t>
      </w:r>
      <w:proofErr w:type="spellStart"/>
      <w:r w:rsidR="00A96B61">
        <w:rPr>
          <w:rFonts w:asciiTheme="minorHAnsi" w:eastAsia="Calibri" w:hAnsiTheme="minorHAnsi" w:cstheme="minorHAnsi"/>
          <w:bCs/>
          <w:sz w:val="22"/>
          <w:szCs w:val="22"/>
          <w:lang w:val="en-GB"/>
        </w:rPr>
        <w:t>d</w:t>
      </w:r>
      <w:r w:rsidR="00DC038E" w:rsidRPr="00C91EF0">
        <w:rPr>
          <w:rFonts w:asciiTheme="minorHAnsi" w:eastAsia="Calibri" w:hAnsiTheme="minorHAnsi" w:cstheme="minorHAnsi"/>
          <w:bCs/>
          <w:sz w:val="22"/>
          <w:szCs w:val="22"/>
          <w:lang w:val="en-GB"/>
        </w:rPr>
        <w:t>HRQoL</w:t>
      </w:r>
      <w:proofErr w:type="spellEnd"/>
      <w:r w:rsidR="00DC038E" w:rsidRPr="00C91EF0">
        <w:rPr>
          <w:rFonts w:asciiTheme="minorHAnsi" w:eastAsia="Calibri" w:hAnsiTheme="minorHAnsi" w:cstheme="minorHAnsi"/>
          <w:bCs/>
          <w:sz w:val="22"/>
          <w:szCs w:val="22"/>
          <w:lang w:val="en-GB"/>
        </w:rPr>
        <w:t xml:space="preserve">. ROC curves are visualized </w:t>
      </w:r>
      <w:r w:rsidR="00A96B61">
        <w:rPr>
          <w:rFonts w:asciiTheme="minorHAnsi" w:eastAsia="Calibri" w:hAnsiTheme="minorHAnsi" w:cstheme="minorHAnsi"/>
          <w:bCs/>
          <w:sz w:val="22"/>
          <w:szCs w:val="22"/>
          <w:lang w:val="en-GB"/>
        </w:rPr>
        <w:t xml:space="preserve">for the following </w:t>
      </w:r>
      <w:r w:rsidR="00DC038E" w:rsidRPr="00C91EF0">
        <w:rPr>
          <w:rFonts w:asciiTheme="minorHAnsi" w:eastAsia="Calibri" w:hAnsiTheme="minorHAnsi" w:cstheme="minorHAnsi"/>
          <w:bCs/>
          <w:sz w:val="22"/>
          <w:szCs w:val="22"/>
          <w:lang w:val="en-GB"/>
        </w:rPr>
        <w:t>study populations</w:t>
      </w:r>
      <w:r w:rsidR="00A96B61">
        <w:rPr>
          <w:rFonts w:asciiTheme="minorHAnsi" w:eastAsia="Calibri" w:hAnsiTheme="minorHAnsi" w:cstheme="minorHAnsi"/>
          <w:bCs/>
          <w:sz w:val="22"/>
          <w:szCs w:val="22"/>
          <w:lang w:val="en-GB"/>
        </w:rPr>
        <w:t>:</w:t>
      </w:r>
      <w:r w:rsidR="00DC038E" w:rsidRPr="00C91EF0">
        <w:rPr>
          <w:rFonts w:asciiTheme="minorHAnsi" w:eastAsia="Calibri" w:hAnsiTheme="minorHAnsi" w:cstheme="minorHAnsi"/>
          <w:bCs/>
          <w:sz w:val="22"/>
          <w:szCs w:val="22"/>
          <w:lang w:val="en-GB"/>
        </w:rPr>
        <w:t xml:space="preserve"> complete cases (CC), one </w:t>
      </w:r>
      <w:r w:rsidR="00DC038E" w:rsidRPr="000267CA">
        <w:rPr>
          <w:rFonts w:asciiTheme="minorHAnsi" w:eastAsia="Calibri" w:hAnsiTheme="minorHAnsi" w:cstheme="minorHAnsi"/>
          <w:bCs/>
          <w:sz w:val="22"/>
          <w:szCs w:val="22"/>
          <w:lang w:val="en-GB"/>
        </w:rPr>
        <w:t xml:space="preserve">multiply imputed dataset (MI), and </w:t>
      </w:r>
      <w:r w:rsidR="00724A36" w:rsidRPr="000267CA">
        <w:rPr>
          <w:rFonts w:asciiTheme="minorHAnsi" w:eastAsia="Calibri" w:hAnsiTheme="minorHAnsi" w:cstheme="minorHAnsi"/>
          <w:bCs/>
          <w:sz w:val="22"/>
          <w:szCs w:val="22"/>
          <w:lang w:val="en-GB"/>
        </w:rPr>
        <w:t xml:space="preserve">data </w:t>
      </w:r>
      <w:r w:rsidR="00430506">
        <w:rPr>
          <w:rFonts w:asciiTheme="minorHAnsi" w:eastAsia="Calibri" w:hAnsiTheme="minorHAnsi" w:cstheme="minorHAnsi"/>
          <w:bCs/>
          <w:sz w:val="22"/>
          <w:szCs w:val="22"/>
          <w:lang w:val="en-GB"/>
        </w:rPr>
        <w:t xml:space="preserve">added </w:t>
      </w:r>
      <w:r w:rsidR="00A96B61">
        <w:rPr>
          <w:rFonts w:asciiTheme="minorHAnsi" w:eastAsia="Calibri" w:hAnsiTheme="minorHAnsi" w:cstheme="minorHAnsi"/>
          <w:bCs/>
          <w:sz w:val="22"/>
          <w:szCs w:val="22"/>
          <w:lang w:val="en-GB"/>
        </w:rPr>
        <w:t xml:space="preserve">using </w:t>
      </w:r>
      <w:r w:rsidR="00724A36" w:rsidRPr="000267CA">
        <w:rPr>
          <w:rFonts w:asciiTheme="minorHAnsi" w:eastAsia="Calibri" w:hAnsiTheme="minorHAnsi" w:cstheme="minorHAnsi"/>
          <w:bCs/>
          <w:sz w:val="22"/>
          <w:szCs w:val="22"/>
          <w:lang w:val="en-GB"/>
        </w:rPr>
        <w:t xml:space="preserve">the missing-indicator method (MIM). </w:t>
      </w:r>
      <w:r w:rsidR="000267CA" w:rsidRPr="000267CA">
        <w:rPr>
          <w:rFonts w:asciiTheme="minorHAnsi" w:eastAsia="Calibri" w:hAnsiTheme="minorHAnsi" w:cstheme="minorHAnsi"/>
          <w:bCs/>
          <w:sz w:val="22"/>
          <w:szCs w:val="22"/>
          <w:lang w:val="en-GB"/>
        </w:rPr>
        <w:t>The added lines mark the median risk cut-off</w:t>
      </w:r>
      <w:r w:rsidR="005E27FA">
        <w:rPr>
          <w:rFonts w:asciiTheme="minorHAnsi" w:eastAsia="Calibri" w:hAnsiTheme="minorHAnsi" w:cstheme="minorHAnsi"/>
          <w:bCs/>
          <w:sz w:val="22"/>
          <w:szCs w:val="22"/>
          <w:lang w:val="en-GB"/>
        </w:rPr>
        <w:t xml:space="preserve"> of </w:t>
      </w:r>
      <w:r w:rsidR="005E27FA" w:rsidRPr="005E27FA">
        <w:rPr>
          <w:rFonts w:asciiTheme="minorHAnsi" w:eastAsia="Calibri" w:hAnsiTheme="minorHAnsi" w:cstheme="minorHAnsi"/>
          <w:bCs/>
          <w:sz w:val="22"/>
          <w:szCs w:val="22"/>
          <w:lang w:val="en-GB"/>
        </w:rPr>
        <w:t>0.41</w:t>
      </w:r>
      <w:r w:rsidR="00430506">
        <w:rPr>
          <w:rFonts w:asciiTheme="minorHAnsi" w:eastAsia="Calibri" w:hAnsiTheme="minorHAnsi" w:cstheme="minorHAnsi"/>
          <w:bCs/>
          <w:sz w:val="22"/>
          <w:szCs w:val="22"/>
          <w:lang w:val="en-GB"/>
        </w:rPr>
        <w:t>,</w:t>
      </w:r>
      <w:r w:rsidR="005E27FA">
        <w:rPr>
          <w:rFonts w:asciiTheme="minorHAnsi" w:eastAsia="Calibri" w:hAnsiTheme="minorHAnsi" w:cstheme="minorHAnsi"/>
          <w:bCs/>
          <w:sz w:val="22"/>
          <w:szCs w:val="22"/>
          <w:lang w:val="en-GB"/>
        </w:rPr>
        <w:t xml:space="preserve"> </w:t>
      </w:r>
      <w:r w:rsidR="000267CA" w:rsidRPr="000267CA">
        <w:rPr>
          <w:rFonts w:asciiTheme="minorHAnsi" w:eastAsia="Calibri" w:hAnsiTheme="minorHAnsi" w:cstheme="minorHAnsi"/>
          <w:bCs/>
          <w:sz w:val="22"/>
          <w:szCs w:val="22"/>
          <w:lang w:val="en-GB"/>
        </w:rPr>
        <w:t xml:space="preserve">with a sensitivity of 72% and specificity of 59%. </w:t>
      </w:r>
      <w:r w:rsidR="006E5BC6" w:rsidRPr="000267CA">
        <w:rPr>
          <w:rFonts w:asciiTheme="minorHAnsi" w:eastAsia="Calibri" w:hAnsiTheme="minorHAnsi" w:cstheme="minorHAnsi"/>
          <w:bCs/>
          <w:sz w:val="22"/>
          <w:szCs w:val="22"/>
          <w:lang w:val="en-GB"/>
        </w:rPr>
        <w:t>(B) Similarly</w:t>
      </w:r>
      <w:r w:rsidR="006E5BC6" w:rsidRPr="00C91EF0">
        <w:rPr>
          <w:rFonts w:asciiTheme="minorHAnsi" w:eastAsia="Calibri" w:hAnsiTheme="minorHAnsi" w:cstheme="minorHAnsi"/>
          <w:bCs/>
          <w:sz w:val="22"/>
          <w:szCs w:val="22"/>
          <w:lang w:val="en-GB"/>
        </w:rPr>
        <w:t xml:space="preserve">, calibration curves are generated by plotting predicted event probabilities against (cumulative) event frequencies. (C) </w:t>
      </w:r>
      <w:r w:rsidR="00331B38" w:rsidRPr="00C91EF0">
        <w:rPr>
          <w:rFonts w:asciiTheme="minorHAnsi" w:eastAsia="Calibri" w:hAnsiTheme="minorHAnsi" w:cstheme="minorHAnsi"/>
          <w:bCs/>
          <w:sz w:val="22"/>
          <w:szCs w:val="22"/>
          <w:lang w:val="en-GB"/>
        </w:rPr>
        <w:t xml:space="preserve">Scrutinizing the </w:t>
      </w:r>
      <w:r w:rsidR="001501C9" w:rsidRPr="00C91EF0">
        <w:rPr>
          <w:rFonts w:asciiTheme="minorHAnsi" w:eastAsia="Calibri" w:hAnsiTheme="minorHAnsi" w:cstheme="minorHAnsi"/>
          <w:bCs/>
          <w:sz w:val="22"/>
          <w:szCs w:val="22"/>
          <w:lang w:val="en-GB"/>
        </w:rPr>
        <w:t xml:space="preserve">impact of </w:t>
      </w:r>
      <w:r w:rsidR="00331B38" w:rsidRPr="00C91EF0">
        <w:rPr>
          <w:rFonts w:asciiTheme="minorHAnsi" w:eastAsia="Calibri" w:hAnsiTheme="minorHAnsi" w:cstheme="minorHAnsi"/>
          <w:bCs/>
          <w:sz w:val="22"/>
          <w:szCs w:val="22"/>
          <w:lang w:val="en-GB"/>
        </w:rPr>
        <w:t>model parameters</w:t>
      </w:r>
      <w:r w:rsidR="008D686F" w:rsidRPr="00C91EF0">
        <w:rPr>
          <w:rFonts w:asciiTheme="minorHAnsi" w:eastAsia="Calibri" w:hAnsiTheme="minorHAnsi" w:cstheme="minorHAnsi"/>
          <w:bCs/>
          <w:sz w:val="22"/>
          <w:szCs w:val="22"/>
          <w:lang w:val="en-GB"/>
        </w:rPr>
        <w:t xml:space="preserve">, a variable importance plot highlights their relative </w:t>
      </w:r>
      <w:r w:rsidR="00331B38" w:rsidRPr="00C91EF0">
        <w:rPr>
          <w:rFonts w:asciiTheme="minorHAnsi" w:eastAsia="Calibri" w:hAnsiTheme="minorHAnsi" w:cstheme="minorHAnsi"/>
          <w:bCs/>
          <w:sz w:val="22"/>
          <w:szCs w:val="22"/>
          <w:lang w:val="en-GB"/>
        </w:rPr>
        <w:t>contribution to</w:t>
      </w:r>
      <w:r w:rsidR="008D686F" w:rsidRPr="00C91EF0">
        <w:rPr>
          <w:rFonts w:asciiTheme="minorHAnsi" w:eastAsia="Calibri" w:hAnsiTheme="minorHAnsi" w:cstheme="minorHAnsi"/>
          <w:bCs/>
          <w:sz w:val="22"/>
          <w:szCs w:val="22"/>
          <w:lang w:val="en-GB"/>
        </w:rPr>
        <w:t xml:space="preserve"> model performance</w:t>
      </w:r>
      <w:r w:rsidR="00A96B61">
        <w:rPr>
          <w:rFonts w:asciiTheme="minorHAnsi" w:eastAsia="Calibri" w:hAnsiTheme="minorHAnsi" w:cstheme="minorHAnsi"/>
          <w:bCs/>
          <w:sz w:val="22"/>
          <w:szCs w:val="22"/>
          <w:lang w:val="en-GB"/>
        </w:rPr>
        <w:t>,</w:t>
      </w:r>
      <w:r w:rsidR="008D686F" w:rsidRPr="00C91EF0">
        <w:rPr>
          <w:rFonts w:asciiTheme="minorHAnsi" w:eastAsia="Calibri" w:hAnsiTheme="minorHAnsi" w:cstheme="minorHAnsi"/>
          <w:bCs/>
          <w:sz w:val="22"/>
          <w:szCs w:val="22"/>
          <w:lang w:val="en-GB"/>
        </w:rPr>
        <w:t xml:space="preserve"> </w:t>
      </w:r>
      <w:r w:rsidR="00331B38" w:rsidRPr="00C91EF0">
        <w:rPr>
          <w:rFonts w:asciiTheme="minorHAnsi" w:eastAsia="Calibri" w:hAnsiTheme="minorHAnsi" w:cstheme="minorHAnsi"/>
          <w:bCs/>
          <w:sz w:val="22"/>
          <w:szCs w:val="22"/>
          <w:lang w:val="en-GB"/>
        </w:rPr>
        <w:t xml:space="preserve">adjusted </w:t>
      </w:r>
      <w:r w:rsidR="00A96B61">
        <w:rPr>
          <w:rFonts w:asciiTheme="minorHAnsi" w:eastAsia="Calibri" w:hAnsiTheme="minorHAnsi" w:cstheme="minorHAnsi"/>
          <w:bCs/>
          <w:sz w:val="22"/>
          <w:szCs w:val="22"/>
          <w:lang w:val="en-GB"/>
        </w:rPr>
        <w:t xml:space="preserve">in relation </w:t>
      </w:r>
      <w:r w:rsidR="00331B38" w:rsidRPr="00C91EF0">
        <w:rPr>
          <w:rFonts w:asciiTheme="minorHAnsi" w:eastAsia="Calibri" w:hAnsiTheme="minorHAnsi" w:cstheme="minorHAnsi"/>
          <w:bCs/>
          <w:sz w:val="22"/>
          <w:szCs w:val="22"/>
          <w:lang w:val="en-GB"/>
        </w:rPr>
        <w:t xml:space="preserve">to the most </w:t>
      </w:r>
      <w:r w:rsidR="00A96B61">
        <w:rPr>
          <w:rFonts w:asciiTheme="minorHAnsi" w:eastAsia="Calibri" w:hAnsiTheme="minorHAnsi" w:cstheme="minorHAnsi"/>
          <w:bCs/>
          <w:sz w:val="22"/>
          <w:szCs w:val="22"/>
          <w:lang w:val="en-GB"/>
        </w:rPr>
        <w:t xml:space="preserve">important </w:t>
      </w:r>
      <w:r w:rsidR="00331B38" w:rsidRPr="00C91EF0">
        <w:rPr>
          <w:rFonts w:asciiTheme="minorHAnsi" w:eastAsia="Calibri" w:hAnsiTheme="minorHAnsi" w:cstheme="minorHAnsi"/>
          <w:bCs/>
          <w:sz w:val="22"/>
          <w:szCs w:val="22"/>
          <w:lang w:val="en-GB"/>
        </w:rPr>
        <w:t>prognostic variable</w:t>
      </w:r>
      <w:r w:rsidR="008D686F" w:rsidRPr="00C91EF0">
        <w:rPr>
          <w:rFonts w:asciiTheme="minorHAnsi" w:eastAsia="Calibri" w:hAnsiTheme="minorHAnsi" w:cstheme="minorHAnsi"/>
          <w:bCs/>
          <w:sz w:val="22"/>
          <w:szCs w:val="22"/>
          <w:lang w:val="en-GB"/>
        </w:rPr>
        <w:t xml:space="preserve">. </w:t>
      </w:r>
      <w:r w:rsidR="006A4EDA" w:rsidRPr="006A4EDA">
        <w:rPr>
          <w:rFonts w:asciiTheme="minorHAnsi" w:eastAsia="Calibri" w:hAnsiTheme="minorHAnsi" w:cstheme="minorHAnsi"/>
          <w:bCs/>
          <w:sz w:val="22"/>
          <w:szCs w:val="22"/>
          <w:lang w:val="en-GB"/>
        </w:rPr>
        <w:t>(D) Exploring the influence of variable origin, we fitted models composed of variables that are sociodemographic and lifestyle-related alone (α), or combinations of α and morbidity-related (β), medication-related (γ) predictors, and</w:t>
      </w:r>
      <w:r w:rsidR="006A4EDA" w:rsidRPr="006A4EDA" w:rsidDel="000540CC">
        <w:rPr>
          <w:rFonts w:asciiTheme="minorHAnsi" w:eastAsia="Calibri" w:hAnsiTheme="minorHAnsi" w:cstheme="minorHAnsi"/>
          <w:bCs/>
          <w:sz w:val="22"/>
          <w:szCs w:val="22"/>
          <w:lang w:val="en-GB"/>
        </w:rPr>
        <w:t xml:space="preserve"> </w:t>
      </w:r>
      <w:r w:rsidR="006A4EDA" w:rsidRPr="006A4EDA">
        <w:rPr>
          <w:rFonts w:asciiTheme="minorHAnsi" w:eastAsia="Calibri" w:hAnsiTheme="minorHAnsi" w:cstheme="minorHAnsi"/>
          <w:bCs/>
          <w:sz w:val="22"/>
          <w:szCs w:val="22"/>
          <w:lang w:val="en-GB"/>
        </w:rPr>
        <w:t xml:space="preserve">/ or predictors related to functional status and well-being (δ) in accordance with </w:t>
      </w:r>
      <w:r w:rsidR="006A4EDA" w:rsidRPr="006A4EDA">
        <w:rPr>
          <w:rFonts w:asciiTheme="minorHAnsi" w:eastAsia="Calibri" w:hAnsiTheme="minorHAnsi" w:cstheme="minorHAnsi"/>
          <w:b/>
          <w:bCs/>
          <w:sz w:val="22"/>
          <w:szCs w:val="22"/>
          <w:lang w:val="en-GB"/>
        </w:rPr>
        <w:t xml:space="preserve">Table 1. </w:t>
      </w:r>
      <w:r w:rsidR="006A4EDA" w:rsidRPr="006A4EDA">
        <w:rPr>
          <w:rFonts w:asciiTheme="minorHAnsi" w:eastAsia="Calibri" w:hAnsiTheme="minorHAnsi" w:cstheme="minorHAnsi"/>
          <w:bCs/>
          <w:sz w:val="22"/>
          <w:szCs w:val="22"/>
          <w:lang w:val="en-GB"/>
        </w:rPr>
        <w:t>Resulting estimates of C-statistics are presented for bootstrap internal validation and internal-external cross-validation (IECV) if all available variables were included into the model (i.e., full model – grey circles) or only those having actually been selected during model development (black circles).</w:t>
      </w:r>
    </w:p>
    <w:p w14:paraId="225E2148" w14:textId="208E5085" w:rsidR="00FE179E" w:rsidRPr="00C91EF0" w:rsidRDefault="007D358C" w:rsidP="006A4EDA">
      <w:pPr>
        <w:suppressLineNumbers/>
        <w:spacing w:line="480" w:lineRule="auto"/>
        <w:rPr>
          <w:rFonts w:asciiTheme="minorHAnsi" w:eastAsia="Calibri" w:hAnsiTheme="minorHAnsi" w:cstheme="minorHAnsi"/>
          <w:bCs/>
          <w:sz w:val="22"/>
          <w:szCs w:val="22"/>
          <w:lang w:val="en-GB"/>
        </w:rPr>
      </w:pPr>
      <w:r w:rsidRPr="00C91EF0">
        <w:rPr>
          <w:rFonts w:asciiTheme="minorHAnsi" w:hAnsiTheme="minorHAnsi" w:cstheme="minorHAnsi"/>
          <w:b/>
          <w:sz w:val="22"/>
          <w:szCs w:val="22"/>
          <w:lang w:val="en-GB"/>
        </w:rPr>
        <w:t xml:space="preserve">Figure 3: </w:t>
      </w:r>
      <w:r w:rsidR="000B5E74" w:rsidRPr="00C91EF0">
        <w:rPr>
          <w:rFonts w:asciiTheme="minorHAnsi" w:eastAsia="Calibri" w:hAnsiTheme="minorHAnsi" w:cstheme="minorHAnsi"/>
          <w:b/>
          <w:bCs/>
          <w:sz w:val="22"/>
          <w:szCs w:val="22"/>
          <w:lang w:val="en-GB"/>
        </w:rPr>
        <w:t>Meta-analytic summary of model generalizability</w:t>
      </w:r>
      <w:r w:rsidR="002C2C83" w:rsidRPr="00C91EF0">
        <w:rPr>
          <w:rFonts w:asciiTheme="minorHAnsi" w:eastAsia="Calibri" w:hAnsiTheme="minorHAnsi" w:cstheme="minorHAnsi"/>
          <w:bCs/>
          <w:sz w:val="22"/>
          <w:szCs w:val="22"/>
          <w:lang w:val="en-GB"/>
        </w:rPr>
        <w:t xml:space="preserve">. </w:t>
      </w:r>
    </w:p>
    <w:p w14:paraId="65324AB6" w14:textId="17113E6D" w:rsidR="00F6253A" w:rsidRDefault="002C2C83" w:rsidP="00E141C7">
      <w:pPr>
        <w:spacing w:line="480" w:lineRule="auto"/>
        <w:rPr>
          <w:rFonts w:asciiTheme="minorHAnsi" w:eastAsia="Calibri" w:hAnsiTheme="minorHAnsi" w:cstheme="minorHAnsi"/>
          <w:bCs/>
          <w:sz w:val="22"/>
          <w:szCs w:val="22"/>
          <w:lang w:val="en-GB"/>
        </w:rPr>
      </w:pPr>
      <w:r w:rsidRPr="00C91EF0">
        <w:rPr>
          <w:rFonts w:asciiTheme="minorHAnsi" w:eastAsia="Calibri" w:hAnsiTheme="minorHAnsi" w:cstheme="minorHAnsi"/>
          <w:bCs/>
          <w:sz w:val="22"/>
          <w:szCs w:val="22"/>
          <w:lang w:val="en-GB"/>
        </w:rPr>
        <w:t xml:space="preserve">A bivariate random-effects meta-analysis was </w:t>
      </w:r>
      <w:r w:rsidR="001037B1">
        <w:rPr>
          <w:rFonts w:asciiTheme="minorHAnsi" w:eastAsia="Calibri" w:hAnsiTheme="minorHAnsi" w:cstheme="minorHAnsi"/>
          <w:bCs/>
          <w:sz w:val="22"/>
          <w:szCs w:val="22"/>
          <w:lang w:val="en-GB"/>
        </w:rPr>
        <w:t xml:space="preserve">conducted </w:t>
      </w:r>
      <w:r w:rsidRPr="00C91EF0">
        <w:rPr>
          <w:rFonts w:asciiTheme="minorHAnsi" w:eastAsia="Calibri" w:hAnsiTheme="minorHAnsi" w:cstheme="minorHAnsi"/>
          <w:bCs/>
          <w:sz w:val="22"/>
          <w:szCs w:val="22"/>
          <w:lang w:val="en-GB"/>
        </w:rPr>
        <w:t xml:space="preserve">to determine the pooled performance metrics of C-statistics and </w:t>
      </w:r>
      <w:r w:rsidR="00EE7B4C" w:rsidRPr="00C91EF0">
        <w:rPr>
          <w:rFonts w:asciiTheme="minorHAnsi" w:eastAsia="Calibri" w:hAnsiTheme="minorHAnsi" w:cstheme="minorHAnsi"/>
          <w:bCs/>
          <w:sz w:val="22"/>
          <w:szCs w:val="22"/>
          <w:lang w:val="en-GB"/>
        </w:rPr>
        <w:t>calibration-in-the-large (CITL)</w:t>
      </w:r>
      <w:r w:rsidRPr="00C91EF0">
        <w:rPr>
          <w:rFonts w:asciiTheme="minorHAnsi" w:eastAsia="Calibri" w:hAnsiTheme="minorHAnsi" w:cstheme="minorHAnsi"/>
          <w:bCs/>
          <w:sz w:val="22"/>
          <w:szCs w:val="22"/>
          <w:lang w:val="en-GB"/>
        </w:rPr>
        <w:t xml:space="preserve"> from </w:t>
      </w:r>
      <w:r w:rsidR="00EE7B4C" w:rsidRPr="00C91EF0">
        <w:rPr>
          <w:rFonts w:asciiTheme="minorHAnsi" w:eastAsia="Calibri" w:hAnsiTheme="minorHAnsi" w:cstheme="minorHAnsi"/>
          <w:bCs/>
          <w:sz w:val="22"/>
          <w:szCs w:val="22"/>
          <w:lang w:val="en-GB"/>
        </w:rPr>
        <w:t>internal-external cross-validation (IECV)</w:t>
      </w:r>
      <w:r w:rsidR="00493A99">
        <w:rPr>
          <w:rFonts w:asciiTheme="minorHAnsi" w:eastAsia="Calibri" w:hAnsiTheme="minorHAnsi" w:cstheme="minorHAnsi"/>
          <w:bCs/>
          <w:sz w:val="22"/>
          <w:szCs w:val="22"/>
          <w:lang w:val="en-GB"/>
        </w:rPr>
        <w:t xml:space="preserve">, with </w:t>
      </w:r>
      <w:r w:rsidRPr="00C91EF0">
        <w:rPr>
          <w:rFonts w:asciiTheme="minorHAnsi" w:eastAsia="Calibri" w:hAnsiTheme="minorHAnsi" w:cstheme="minorHAnsi"/>
          <w:bCs/>
          <w:sz w:val="22"/>
          <w:szCs w:val="22"/>
          <w:lang w:val="en-GB"/>
        </w:rPr>
        <w:t>the</w:t>
      </w:r>
      <w:r w:rsidR="00EE7B4C" w:rsidRPr="00C91EF0">
        <w:rPr>
          <w:rFonts w:asciiTheme="minorHAnsi" w:eastAsia="Calibri" w:hAnsiTheme="minorHAnsi" w:cstheme="minorHAnsi"/>
          <w:bCs/>
          <w:sz w:val="22"/>
          <w:szCs w:val="22"/>
          <w:lang w:val="en-GB"/>
        </w:rPr>
        <w:t xml:space="preserve"> respective trial serv</w:t>
      </w:r>
      <w:r w:rsidR="00493A99">
        <w:rPr>
          <w:rFonts w:asciiTheme="minorHAnsi" w:eastAsia="Calibri" w:hAnsiTheme="minorHAnsi" w:cstheme="minorHAnsi"/>
          <w:bCs/>
          <w:sz w:val="22"/>
          <w:szCs w:val="22"/>
          <w:lang w:val="en-GB"/>
        </w:rPr>
        <w:t>ing</w:t>
      </w:r>
      <w:r w:rsidR="00EE7B4C" w:rsidRPr="00C91EF0">
        <w:rPr>
          <w:rFonts w:asciiTheme="minorHAnsi" w:eastAsia="Calibri" w:hAnsiTheme="minorHAnsi" w:cstheme="minorHAnsi"/>
          <w:bCs/>
          <w:sz w:val="22"/>
          <w:szCs w:val="22"/>
          <w:lang w:val="en-GB"/>
        </w:rPr>
        <w:t xml:space="preserve"> as the validation set for the model </w:t>
      </w:r>
      <w:r w:rsidR="00493A99">
        <w:rPr>
          <w:rFonts w:asciiTheme="minorHAnsi" w:eastAsia="Calibri" w:hAnsiTheme="minorHAnsi" w:cstheme="minorHAnsi"/>
          <w:bCs/>
          <w:sz w:val="22"/>
          <w:szCs w:val="22"/>
          <w:lang w:val="en-GB"/>
        </w:rPr>
        <w:t xml:space="preserve">that </w:t>
      </w:r>
      <w:r w:rsidR="00493A99">
        <w:rPr>
          <w:rFonts w:asciiTheme="minorHAnsi" w:eastAsia="Calibri" w:hAnsiTheme="minorHAnsi" w:cstheme="minorHAnsi"/>
          <w:bCs/>
          <w:sz w:val="22"/>
          <w:szCs w:val="22"/>
          <w:lang w:val="en-GB"/>
        </w:rPr>
        <w:lastRenderedPageBreak/>
        <w:t xml:space="preserve">was </w:t>
      </w:r>
      <w:r w:rsidR="00EE7B4C" w:rsidRPr="00C91EF0">
        <w:rPr>
          <w:rFonts w:asciiTheme="minorHAnsi" w:eastAsia="Calibri" w:hAnsiTheme="minorHAnsi" w:cstheme="minorHAnsi"/>
          <w:bCs/>
          <w:sz w:val="22"/>
          <w:szCs w:val="22"/>
          <w:lang w:val="en-GB"/>
        </w:rPr>
        <w:t xml:space="preserve">refitted in the remaining trials. The Forest plot visualizes trial-specific estimates and their pooled results. </w:t>
      </w:r>
    </w:p>
    <w:p w14:paraId="0B9498D1" w14:textId="57B91263" w:rsidR="00E141C7" w:rsidRDefault="00E141C7" w:rsidP="00E141C7">
      <w:pPr>
        <w:spacing w:line="480" w:lineRule="auto"/>
        <w:rPr>
          <w:rFonts w:asciiTheme="minorHAnsi" w:eastAsia="Calibri" w:hAnsiTheme="minorHAnsi" w:cstheme="minorHAnsi"/>
          <w:bCs/>
          <w:sz w:val="22"/>
          <w:szCs w:val="22"/>
          <w:lang w:val="en-GB"/>
        </w:rPr>
      </w:pPr>
      <w:r>
        <w:rPr>
          <w:rFonts w:asciiTheme="minorHAnsi" w:eastAsia="Calibri" w:hAnsiTheme="minorHAnsi" w:cstheme="minorHAnsi"/>
          <w:b/>
          <w:sz w:val="22"/>
          <w:szCs w:val="22"/>
          <w:lang w:val="en-GB"/>
        </w:rPr>
        <w:t xml:space="preserve">Supplemental figure 1: Baseline </w:t>
      </w:r>
      <w:proofErr w:type="spellStart"/>
      <w:r>
        <w:rPr>
          <w:rFonts w:asciiTheme="minorHAnsi" w:eastAsia="Calibri" w:hAnsiTheme="minorHAnsi" w:cstheme="minorHAnsi"/>
          <w:b/>
          <w:sz w:val="22"/>
          <w:szCs w:val="22"/>
          <w:lang w:val="en-GB"/>
        </w:rPr>
        <w:t>HRQoL</w:t>
      </w:r>
      <w:proofErr w:type="spellEnd"/>
      <w:r>
        <w:rPr>
          <w:rFonts w:asciiTheme="minorHAnsi" w:eastAsia="Calibri" w:hAnsiTheme="minorHAnsi" w:cstheme="minorHAnsi"/>
          <w:b/>
          <w:sz w:val="22"/>
          <w:szCs w:val="22"/>
          <w:lang w:val="en-GB"/>
        </w:rPr>
        <w:t xml:space="preserve"> distribution across countries.</w:t>
      </w:r>
    </w:p>
    <w:p w14:paraId="72034591" w14:textId="26190CDB" w:rsidR="00E141C7" w:rsidRDefault="00E141C7" w:rsidP="00E141C7">
      <w:pPr>
        <w:spacing w:line="480" w:lineRule="auto"/>
        <w:rPr>
          <w:rFonts w:asciiTheme="minorHAnsi" w:eastAsia="Calibri" w:hAnsiTheme="minorHAnsi" w:cstheme="minorHAnsi"/>
          <w:bCs/>
          <w:sz w:val="22"/>
          <w:szCs w:val="22"/>
          <w:lang w:val="en-GB"/>
        </w:rPr>
      </w:pPr>
      <w:r>
        <w:rPr>
          <w:rFonts w:asciiTheme="minorHAnsi" w:eastAsia="Calibri" w:hAnsiTheme="minorHAnsi" w:cstheme="minorHAnsi"/>
          <w:bCs/>
          <w:sz w:val="22"/>
          <w:szCs w:val="22"/>
          <w:lang w:val="en-GB"/>
        </w:rPr>
        <w:t xml:space="preserve">Boxplot of </w:t>
      </w:r>
      <w:proofErr w:type="spellStart"/>
      <w:r>
        <w:rPr>
          <w:rFonts w:asciiTheme="minorHAnsi" w:eastAsia="Calibri" w:hAnsiTheme="minorHAnsi" w:cstheme="minorHAnsi"/>
          <w:bCs/>
          <w:sz w:val="22"/>
          <w:szCs w:val="22"/>
          <w:lang w:val="en-GB"/>
        </w:rPr>
        <w:t>HRQoL</w:t>
      </w:r>
      <w:proofErr w:type="spellEnd"/>
      <w:r>
        <w:rPr>
          <w:rFonts w:asciiTheme="minorHAnsi" w:eastAsia="Calibri" w:hAnsiTheme="minorHAnsi" w:cstheme="minorHAnsi"/>
          <w:bCs/>
          <w:sz w:val="22"/>
          <w:szCs w:val="22"/>
          <w:lang w:val="en-GB"/>
        </w:rPr>
        <w:t xml:space="preserve"> measurements at baseline on the respective EQ5D scale of the country the original study came from. Distinct values from the original studies are superimposed to highlight between-study variability.</w:t>
      </w:r>
    </w:p>
    <w:p w14:paraId="66BA025A" w14:textId="4ACB89B2" w:rsidR="00E141C7" w:rsidRDefault="00E141C7" w:rsidP="00E141C7">
      <w:pPr>
        <w:spacing w:line="480" w:lineRule="auto"/>
        <w:rPr>
          <w:rFonts w:asciiTheme="minorHAnsi" w:eastAsia="Calibri" w:hAnsiTheme="minorHAnsi" w:cstheme="minorHAnsi"/>
          <w:b/>
          <w:sz w:val="22"/>
          <w:szCs w:val="22"/>
          <w:lang w:val="en-GB"/>
        </w:rPr>
      </w:pPr>
      <w:r>
        <w:rPr>
          <w:rFonts w:asciiTheme="minorHAnsi" w:eastAsia="Calibri" w:hAnsiTheme="minorHAnsi" w:cstheme="minorHAnsi"/>
          <w:b/>
          <w:sz w:val="22"/>
          <w:szCs w:val="22"/>
          <w:lang w:val="en-GB"/>
        </w:rPr>
        <w:t xml:space="preserve">Supplemental figure </w:t>
      </w:r>
      <w:proofErr w:type="gramStart"/>
      <w:r>
        <w:rPr>
          <w:rFonts w:asciiTheme="minorHAnsi" w:eastAsia="Calibri" w:hAnsiTheme="minorHAnsi" w:cstheme="minorHAnsi"/>
          <w:b/>
          <w:sz w:val="22"/>
          <w:szCs w:val="22"/>
          <w:lang w:val="en-GB"/>
        </w:rPr>
        <w:t>2:;</w:t>
      </w:r>
      <w:proofErr w:type="gramEnd"/>
      <w:r>
        <w:rPr>
          <w:rFonts w:asciiTheme="minorHAnsi" w:eastAsia="Calibri" w:hAnsiTheme="minorHAnsi" w:cstheme="minorHAnsi"/>
          <w:b/>
          <w:sz w:val="22"/>
          <w:szCs w:val="22"/>
          <w:lang w:val="en-GB"/>
        </w:rPr>
        <w:t xml:space="preserve"> Baseline </w:t>
      </w:r>
      <w:proofErr w:type="spellStart"/>
      <w:r>
        <w:rPr>
          <w:rFonts w:asciiTheme="minorHAnsi" w:eastAsia="Calibri" w:hAnsiTheme="minorHAnsi" w:cstheme="minorHAnsi"/>
          <w:b/>
          <w:sz w:val="22"/>
          <w:szCs w:val="22"/>
          <w:lang w:val="en-GB"/>
        </w:rPr>
        <w:t>HRQoL</w:t>
      </w:r>
      <w:proofErr w:type="spellEnd"/>
      <w:r>
        <w:rPr>
          <w:rFonts w:asciiTheme="minorHAnsi" w:eastAsia="Calibri" w:hAnsiTheme="minorHAnsi" w:cstheme="minorHAnsi"/>
          <w:b/>
          <w:sz w:val="22"/>
          <w:szCs w:val="22"/>
          <w:lang w:val="en-GB"/>
        </w:rPr>
        <w:t xml:space="preserve"> distribution in study arms.</w:t>
      </w:r>
    </w:p>
    <w:p w14:paraId="7D6E4DD3" w14:textId="29EC2BF9" w:rsidR="00A453A4" w:rsidRDefault="00E141C7" w:rsidP="00E141C7">
      <w:pPr>
        <w:spacing w:line="480" w:lineRule="auto"/>
        <w:rPr>
          <w:rFonts w:asciiTheme="minorHAnsi" w:eastAsia="Calibri" w:hAnsiTheme="minorHAnsi" w:cstheme="minorHAnsi"/>
          <w:bCs/>
          <w:sz w:val="22"/>
          <w:szCs w:val="22"/>
          <w:lang w:val="en-GB"/>
        </w:rPr>
      </w:pPr>
      <w:r>
        <w:rPr>
          <w:rFonts w:asciiTheme="minorHAnsi" w:eastAsia="Calibri" w:hAnsiTheme="minorHAnsi" w:cstheme="minorHAnsi"/>
          <w:bCs/>
          <w:sz w:val="22"/>
          <w:szCs w:val="22"/>
          <w:lang w:val="en-GB"/>
        </w:rPr>
        <w:t xml:space="preserve">Boxplot of </w:t>
      </w:r>
      <w:proofErr w:type="spellStart"/>
      <w:r>
        <w:rPr>
          <w:rFonts w:asciiTheme="minorHAnsi" w:eastAsia="Calibri" w:hAnsiTheme="minorHAnsi" w:cstheme="minorHAnsi"/>
          <w:bCs/>
          <w:sz w:val="22"/>
          <w:szCs w:val="22"/>
          <w:lang w:val="en-GB"/>
        </w:rPr>
        <w:t>HRQoL</w:t>
      </w:r>
      <w:proofErr w:type="spellEnd"/>
      <w:r>
        <w:rPr>
          <w:rFonts w:asciiTheme="minorHAnsi" w:eastAsia="Calibri" w:hAnsiTheme="minorHAnsi" w:cstheme="minorHAnsi"/>
          <w:bCs/>
          <w:sz w:val="22"/>
          <w:szCs w:val="22"/>
          <w:lang w:val="en-GB"/>
        </w:rPr>
        <w:t xml:space="preserve"> measurements at baseline on the respective EQ5D scale of the country the original study came from, according to interventional status. Distinct values from the original studies are superimposed to highlight between-study variability.</w:t>
      </w:r>
      <w:r w:rsidR="00A453A4">
        <w:rPr>
          <w:rFonts w:asciiTheme="minorHAnsi" w:eastAsia="Calibri" w:hAnsiTheme="minorHAnsi" w:cstheme="minorHAnsi"/>
          <w:bCs/>
          <w:sz w:val="22"/>
          <w:szCs w:val="22"/>
          <w:lang w:val="en-GB"/>
        </w:rPr>
        <w:br w:type="page"/>
      </w:r>
    </w:p>
    <w:p w14:paraId="645FAD7F" w14:textId="12D3798A" w:rsidR="00A453A4" w:rsidRDefault="00A453A4" w:rsidP="00E141C7">
      <w:pPr>
        <w:spacing w:line="480" w:lineRule="auto"/>
        <w:rPr>
          <w:rFonts w:asciiTheme="minorHAnsi" w:eastAsia="Calibri" w:hAnsiTheme="minorHAnsi" w:cstheme="minorHAnsi"/>
          <w:b/>
          <w:sz w:val="22"/>
          <w:szCs w:val="22"/>
          <w:lang w:val="en-GB"/>
        </w:rPr>
      </w:pPr>
      <w:r>
        <w:rPr>
          <w:rFonts w:asciiTheme="minorHAnsi" w:eastAsia="Calibri" w:hAnsiTheme="minorHAnsi" w:cstheme="minorHAnsi"/>
          <w:b/>
          <w:sz w:val="22"/>
          <w:szCs w:val="22"/>
          <w:lang w:val="en-GB"/>
        </w:rPr>
        <w:lastRenderedPageBreak/>
        <w:t>Figure 1</w:t>
      </w:r>
    </w:p>
    <w:p w14:paraId="1B27E71B" w14:textId="763B3DD3" w:rsidR="00A453A4" w:rsidRDefault="00A453A4" w:rsidP="00A453A4">
      <w:pPr>
        <w:spacing w:line="480" w:lineRule="auto"/>
        <w:jc w:val="center"/>
        <w:rPr>
          <w:rFonts w:cstheme="minorHAnsi"/>
          <w:b/>
          <w:bCs/>
          <w:sz w:val="22"/>
          <w:szCs w:val="22"/>
          <w:lang w:val="en-GB"/>
        </w:rPr>
      </w:pPr>
      <w:r>
        <w:rPr>
          <w:rFonts w:cstheme="minorHAnsi"/>
          <w:b/>
          <w:noProof/>
          <w:sz w:val="22"/>
          <w:szCs w:val="22"/>
          <w:lang w:val="en-GB"/>
        </w:rPr>
        <w:drawing>
          <wp:inline distT="0" distB="0" distL="0" distR="0" wp14:anchorId="0220FF59" wp14:editId="00B6EFBF">
            <wp:extent cx="6124575" cy="4248150"/>
            <wp:effectExtent l="0" t="0" r="9525" b="0"/>
            <wp:docPr id="1" name="Picture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captura de pantall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4248150"/>
                    </a:xfrm>
                    <a:prstGeom prst="rect">
                      <a:avLst/>
                    </a:prstGeom>
                    <a:noFill/>
                    <a:ln>
                      <a:noFill/>
                    </a:ln>
                  </pic:spPr>
                </pic:pic>
              </a:graphicData>
            </a:graphic>
          </wp:inline>
        </w:drawing>
      </w:r>
    </w:p>
    <w:p w14:paraId="64D9C974" w14:textId="77777777" w:rsidR="00A453A4" w:rsidRDefault="00A453A4" w:rsidP="00A453A4">
      <w:pPr>
        <w:rPr>
          <w:rFonts w:cstheme="minorBidi"/>
          <w:sz w:val="20"/>
          <w:szCs w:val="20"/>
          <w:lang w:val="en-US"/>
        </w:rPr>
      </w:pPr>
    </w:p>
    <w:p w14:paraId="2B52061A" w14:textId="77777777" w:rsidR="00A453A4" w:rsidRDefault="00A453A4">
      <w:pPr>
        <w:rPr>
          <w:rFonts w:ascii="Calibri" w:eastAsia="Calibri" w:hAnsi="Calibri" w:cs="Calibri"/>
          <w:b/>
          <w:bCs/>
          <w:sz w:val="22"/>
          <w:szCs w:val="22"/>
          <w:lang w:val="en-GB"/>
        </w:rPr>
      </w:pPr>
      <w:r>
        <w:rPr>
          <w:rFonts w:ascii="Calibri" w:eastAsia="Calibri" w:hAnsi="Calibri" w:cs="Calibri"/>
          <w:b/>
          <w:bCs/>
          <w:sz w:val="22"/>
          <w:szCs w:val="22"/>
          <w:lang w:val="en-GB"/>
        </w:rPr>
        <w:br w:type="page"/>
      </w:r>
    </w:p>
    <w:p w14:paraId="1C06703D" w14:textId="04C0EAD1" w:rsidR="00A453A4" w:rsidRDefault="00A453A4" w:rsidP="00A453A4">
      <w:pPr>
        <w:rPr>
          <w:rFonts w:ascii="Calibri" w:eastAsia="Calibri" w:hAnsi="Calibri" w:cs="Calibri"/>
          <w:sz w:val="22"/>
          <w:szCs w:val="22"/>
          <w:lang w:val="en-GB" w:eastAsia="en-US"/>
        </w:rPr>
      </w:pPr>
      <w:r>
        <w:rPr>
          <w:rFonts w:ascii="Calibri" w:eastAsia="Calibri" w:hAnsi="Calibri" w:cs="Calibri"/>
          <w:b/>
          <w:bCs/>
          <w:sz w:val="22"/>
          <w:szCs w:val="22"/>
          <w:lang w:val="en-GB"/>
        </w:rPr>
        <w:lastRenderedPageBreak/>
        <w:t>Figure 2</w:t>
      </w:r>
    </w:p>
    <w:p w14:paraId="3E0C9DD1" w14:textId="6BEED17E" w:rsidR="00A453A4" w:rsidRDefault="00A453A4" w:rsidP="00A453A4">
      <w:pPr>
        <w:rPr>
          <w:rFonts w:asciiTheme="minorHAnsi" w:eastAsiaTheme="minorHAnsi" w:hAnsiTheme="minorHAnsi" w:cstheme="minorBidi"/>
        </w:rPr>
      </w:pPr>
      <w:r>
        <w:rPr>
          <w:noProof/>
        </w:rPr>
        <w:drawing>
          <wp:inline distT="0" distB="0" distL="0" distR="0" wp14:anchorId="43E7BB0B" wp14:editId="414766D9">
            <wp:extent cx="5396865" cy="7825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6865" cy="7825740"/>
                    </a:xfrm>
                    <a:prstGeom prst="rect">
                      <a:avLst/>
                    </a:prstGeom>
                  </pic:spPr>
                </pic:pic>
              </a:graphicData>
            </a:graphic>
          </wp:inline>
        </w:drawing>
      </w:r>
    </w:p>
    <w:p w14:paraId="3FE119CC" w14:textId="77777777" w:rsidR="00A453A4" w:rsidRDefault="00A453A4">
      <w:pPr>
        <w:rPr>
          <w:rFonts w:ascii="Calibri" w:eastAsia="Calibri" w:hAnsi="Calibri" w:cs="Calibri"/>
          <w:b/>
          <w:bCs/>
          <w:sz w:val="22"/>
          <w:szCs w:val="22"/>
          <w:lang w:val="en-GB"/>
        </w:rPr>
      </w:pPr>
      <w:r>
        <w:rPr>
          <w:rFonts w:ascii="Calibri" w:eastAsia="Calibri" w:hAnsi="Calibri" w:cs="Calibri"/>
          <w:b/>
          <w:bCs/>
          <w:sz w:val="22"/>
          <w:szCs w:val="22"/>
          <w:lang w:val="en-GB"/>
        </w:rPr>
        <w:br w:type="page"/>
      </w:r>
    </w:p>
    <w:p w14:paraId="7BF2E6FC" w14:textId="54845F9A" w:rsidR="00A453A4" w:rsidRDefault="00A453A4" w:rsidP="00A453A4">
      <w:pPr>
        <w:spacing w:line="480" w:lineRule="auto"/>
        <w:rPr>
          <w:rFonts w:ascii="Calibri" w:eastAsia="Calibri" w:hAnsi="Calibri" w:cs="Calibri"/>
          <w:b/>
          <w:bCs/>
          <w:sz w:val="22"/>
          <w:szCs w:val="22"/>
          <w:lang w:val="en-GB" w:eastAsia="en-US"/>
        </w:rPr>
      </w:pPr>
      <w:r>
        <w:rPr>
          <w:rFonts w:ascii="Calibri" w:eastAsia="Calibri" w:hAnsi="Calibri" w:cs="Calibri"/>
          <w:b/>
          <w:bCs/>
          <w:sz w:val="22"/>
          <w:szCs w:val="22"/>
          <w:lang w:val="en-GB"/>
        </w:rPr>
        <w:lastRenderedPageBreak/>
        <w:t>Figure 3</w:t>
      </w:r>
    </w:p>
    <w:p w14:paraId="7E665251" w14:textId="77777777" w:rsidR="00A453A4" w:rsidRDefault="00A453A4" w:rsidP="00A453A4">
      <w:pPr>
        <w:rPr>
          <w:rFonts w:asciiTheme="minorHAnsi" w:eastAsiaTheme="minorHAnsi" w:hAnsiTheme="minorHAnsi" w:cstheme="minorBidi"/>
        </w:rPr>
        <w:sectPr w:rsidR="00A453A4" w:rsidSect="004A5C44">
          <w:pgSz w:w="11901" w:h="16840"/>
          <w:pgMar w:top="1418" w:right="1701" w:bottom="1418" w:left="1701" w:header="709" w:footer="709" w:gutter="0"/>
          <w:cols w:space="708"/>
          <w:docGrid w:linePitch="360"/>
        </w:sectPr>
      </w:pPr>
      <w:r>
        <w:rPr>
          <w:noProof/>
        </w:rPr>
        <w:drawing>
          <wp:inline distT="0" distB="0" distL="0" distR="0" wp14:anchorId="44DFCA71" wp14:editId="0ECC6D22">
            <wp:extent cx="5396865" cy="4446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6865" cy="4446905"/>
                    </a:xfrm>
                    <a:prstGeom prst="rect">
                      <a:avLst/>
                    </a:prstGeom>
                  </pic:spPr>
                </pic:pic>
              </a:graphicData>
            </a:graphic>
          </wp:inline>
        </w:drawing>
      </w:r>
    </w:p>
    <w:p w14:paraId="0FC3557F" w14:textId="77777777" w:rsidR="00075001" w:rsidRPr="00075001" w:rsidRDefault="00075001" w:rsidP="00075001">
      <w:pPr>
        <w:spacing w:before="55"/>
        <w:ind w:left="116"/>
        <w:rPr>
          <w:rFonts w:asciiTheme="minorHAnsi" w:hAnsiTheme="minorHAnsi" w:cstheme="minorHAnsi"/>
          <w:b/>
        </w:rPr>
      </w:pPr>
      <w:r w:rsidRPr="00075001">
        <w:rPr>
          <w:rFonts w:asciiTheme="minorHAnsi" w:hAnsiTheme="minorHAnsi" w:cstheme="minorHAnsi"/>
          <w:b/>
          <w:sz w:val="22"/>
        </w:rPr>
        <w:lastRenderedPageBreak/>
        <w:t xml:space="preserve">Table 1. </w:t>
      </w:r>
      <w:proofErr w:type="spellStart"/>
      <w:r w:rsidRPr="00075001">
        <w:rPr>
          <w:rFonts w:asciiTheme="minorHAnsi" w:hAnsiTheme="minorHAnsi" w:cstheme="minorHAnsi"/>
          <w:b/>
          <w:sz w:val="22"/>
        </w:rPr>
        <w:t>Candidate</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prognostic</w:t>
      </w:r>
      <w:proofErr w:type="spellEnd"/>
      <w:r w:rsidRPr="00075001">
        <w:rPr>
          <w:rFonts w:asciiTheme="minorHAnsi" w:hAnsiTheme="minorHAnsi" w:cstheme="minorHAnsi"/>
          <w:b/>
          <w:sz w:val="22"/>
        </w:rPr>
        <w:t xml:space="preserve"> variables and </w:t>
      </w:r>
      <w:proofErr w:type="spellStart"/>
      <w:r w:rsidRPr="00075001">
        <w:rPr>
          <w:rFonts w:asciiTheme="minorHAnsi" w:hAnsiTheme="minorHAnsi" w:cstheme="minorHAnsi"/>
          <w:b/>
          <w:sz w:val="22"/>
        </w:rPr>
        <w:t>statistically</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significant</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univariable</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associations</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with</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dHRQoL</w:t>
      </w:r>
      <w:proofErr w:type="spellEnd"/>
    </w:p>
    <w:p w14:paraId="53B3956B" w14:textId="77777777" w:rsidR="00075001" w:rsidRDefault="00075001" w:rsidP="00075001">
      <w:pPr>
        <w:pStyle w:val="BodyText"/>
        <w:spacing w:before="11"/>
        <w:rPr>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9"/>
        <w:gridCol w:w="1984"/>
        <w:gridCol w:w="1843"/>
        <w:gridCol w:w="1843"/>
      </w:tblGrid>
      <w:tr w:rsidR="00075001" w14:paraId="6B042768" w14:textId="77777777" w:rsidTr="00075001">
        <w:trPr>
          <w:trHeight w:hRule="exact" w:val="279"/>
        </w:trPr>
        <w:tc>
          <w:tcPr>
            <w:tcW w:w="8359" w:type="dxa"/>
            <w:vMerge w:val="restart"/>
          </w:tcPr>
          <w:p w14:paraId="2B781120" w14:textId="77777777" w:rsidR="00075001" w:rsidRDefault="00075001" w:rsidP="00075001">
            <w:pPr>
              <w:pStyle w:val="TableParagraph"/>
              <w:spacing w:before="5"/>
              <w:ind w:left="0"/>
              <w:rPr>
                <w:b/>
              </w:rPr>
            </w:pPr>
          </w:p>
          <w:p w14:paraId="3835B7A4" w14:textId="77777777" w:rsidR="00075001" w:rsidRDefault="00075001" w:rsidP="00075001">
            <w:pPr>
              <w:pStyle w:val="TableParagraph"/>
              <w:rPr>
                <w:b/>
              </w:rPr>
            </w:pPr>
            <w:r>
              <w:rPr>
                <w:b/>
              </w:rPr>
              <w:t>Candidate prognostic variable</w:t>
            </w:r>
          </w:p>
        </w:tc>
        <w:tc>
          <w:tcPr>
            <w:tcW w:w="3827" w:type="dxa"/>
            <w:gridSpan w:val="2"/>
          </w:tcPr>
          <w:p w14:paraId="7FD2DF33" w14:textId="77777777" w:rsidR="00075001" w:rsidRDefault="00075001" w:rsidP="00075001">
            <w:pPr>
              <w:pStyle w:val="TableParagraph"/>
              <w:ind w:left="255"/>
              <w:rPr>
                <w:b/>
              </w:rPr>
            </w:pPr>
            <w:proofErr w:type="spellStart"/>
            <w:r>
              <w:rPr>
                <w:b/>
              </w:rPr>
              <w:t>dHRQoL</w:t>
            </w:r>
            <w:proofErr w:type="spellEnd"/>
            <w:r>
              <w:rPr>
                <w:b/>
              </w:rPr>
              <w:t xml:space="preserve"> (complete-case population)</w:t>
            </w:r>
          </w:p>
        </w:tc>
        <w:tc>
          <w:tcPr>
            <w:tcW w:w="1843" w:type="dxa"/>
            <w:vMerge w:val="restart"/>
          </w:tcPr>
          <w:p w14:paraId="57C99273" w14:textId="77777777" w:rsidR="00075001" w:rsidRDefault="00075001" w:rsidP="00075001">
            <w:pPr>
              <w:pStyle w:val="TableParagraph"/>
              <w:spacing w:before="5"/>
              <w:ind w:left="102" w:right="701"/>
              <w:jc w:val="both"/>
              <w:rPr>
                <w:b/>
              </w:rPr>
            </w:pPr>
            <w:r>
              <w:rPr>
                <w:b/>
              </w:rPr>
              <w:t>Descriptive univariable p-value</w:t>
            </w:r>
          </w:p>
        </w:tc>
      </w:tr>
      <w:tr w:rsidR="00075001" w14:paraId="0179B714" w14:textId="77777777" w:rsidTr="00075001">
        <w:trPr>
          <w:trHeight w:hRule="exact" w:val="547"/>
        </w:trPr>
        <w:tc>
          <w:tcPr>
            <w:tcW w:w="8359" w:type="dxa"/>
            <w:vMerge/>
          </w:tcPr>
          <w:p w14:paraId="1968B4A0" w14:textId="77777777" w:rsidR="00075001" w:rsidRDefault="00075001" w:rsidP="00075001"/>
        </w:tc>
        <w:tc>
          <w:tcPr>
            <w:tcW w:w="1984" w:type="dxa"/>
          </w:tcPr>
          <w:p w14:paraId="60E60AB5" w14:textId="77777777" w:rsidR="00075001" w:rsidRDefault="00075001" w:rsidP="00075001">
            <w:pPr>
              <w:pStyle w:val="TableParagraph"/>
              <w:rPr>
                <w:b/>
              </w:rPr>
            </w:pPr>
            <w:r>
              <w:rPr>
                <w:b/>
              </w:rPr>
              <w:t>No</w:t>
            </w:r>
          </w:p>
          <w:p w14:paraId="74359E83" w14:textId="77777777" w:rsidR="00075001" w:rsidRDefault="00075001" w:rsidP="00075001">
            <w:pPr>
              <w:pStyle w:val="TableParagraph"/>
              <w:rPr>
                <w:b/>
              </w:rPr>
            </w:pPr>
            <w:r>
              <w:rPr>
                <w:b/>
              </w:rPr>
              <w:t>n = 2,536</w:t>
            </w:r>
          </w:p>
        </w:tc>
        <w:tc>
          <w:tcPr>
            <w:tcW w:w="1843" w:type="dxa"/>
          </w:tcPr>
          <w:p w14:paraId="480F02D9" w14:textId="77777777" w:rsidR="00075001" w:rsidRDefault="00075001" w:rsidP="00075001">
            <w:pPr>
              <w:pStyle w:val="TableParagraph"/>
              <w:rPr>
                <w:b/>
              </w:rPr>
            </w:pPr>
            <w:r>
              <w:rPr>
                <w:b/>
              </w:rPr>
              <w:t>Yes</w:t>
            </w:r>
          </w:p>
          <w:p w14:paraId="02ED1108" w14:textId="77777777" w:rsidR="00075001" w:rsidRDefault="00075001" w:rsidP="00075001">
            <w:pPr>
              <w:pStyle w:val="TableParagraph"/>
              <w:rPr>
                <w:b/>
              </w:rPr>
            </w:pPr>
            <w:r>
              <w:rPr>
                <w:b/>
              </w:rPr>
              <w:t>n = 1,046</w:t>
            </w:r>
          </w:p>
        </w:tc>
        <w:tc>
          <w:tcPr>
            <w:tcW w:w="1843" w:type="dxa"/>
            <w:vMerge/>
          </w:tcPr>
          <w:p w14:paraId="5BB31D59" w14:textId="77777777" w:rsidR="00075001" w:rsidRDefault="00075001" w:rsidP="00075001"/>
        </w:tc>
      </w:tr>
      <w:tr w:rsidR="00075001" w14:paraId="07947BAF" w14:textId="77777777" w:rsidTr="00075001">
        <w:trPr>
          <w:trHeight w:hRule="exact" w:val="279"/>
        </w:trPr>
        <w:tc>
          <w:tcPr>
            <w:tcW w:w="8359" w:type="dxa"/>
          </w:tcPr>
          <w:p w14:paraId="35713948" w14:textId="77777777" w:rsidR="00075001" w:rsidRDefault="00075001" w:rsidP="00075001">
            <w:pPr>
              <w:pStyle w:val="TableParagraph"/>
              <w:rPr>
                <w:b/>
                <w:i/>
              </w:rPr>
            </w:pPr>
            <w:r>
              <w:rPr>
                <w:b/>
                <w:i/>
              </w:rPr>
              <w:t>Sociodemographic and lifestyle-related</w:t>
            </w:r>
          </w:p>
        </w:tc>
        <w:tc>
          <w:tcPr>
            <w:tcW w:w="5670" w:type="dxa"/>
            <w:gridSpan w:val="3"/>
          </w:tcPr>
          <w:p w14:paraId="53AF4FC8" w14:textId="77777777" w:rsidR="00075001" w:rsidRDefault="00075001" w:rsidP="00075001"/>
        </w:tc>
      </w:tr>
      <w:tr w:rsidR="00075001" w14:paraId="62E292D5" w14:textId="77777777" w:rsidTr="00075001">
        <w:trPr>
          <w:trHeight w:hRule="exact" w:val="279"/>
        </w:trPr>
        <w:tc>
          <w:tcPr>
            <w:tcW w:w="8359" w:type="dxa"/>
          </w:tcPr>
          <w:p w14:paraId="66599BC0" w14:textId="77777777" w:rsidR="00075001" w:rsidRDefault="00075001" w:rsidP="00075001">
            <w:pPr>
              <w:pStyle w:val="TableParagraph"/>
            </w:pPr>
            <w:r>
              <w:t>Age - Mean (SD)</w:t>
            </w:r>
          </w:p>
        </w:tc>
        <w:tc>
          <w:tcPr>
            <w:tcW w:w="1984" w:type="dxa"/>
          </w:tcPr>
          <w:p w14:paraId="16B8F0EA" w14:textId="77777777" w:rsidR="00075001" w:rsidRDefault="00075001" w:rsidP="00075001">
            <w:pPr>
              <w:pStyle w:val="TableParagraph"/>
            </w:pPr>
            <w:r>
              <w:t>77.2 (6.8)</w:t>
            </w:r>
          </w:p>
        </w:tc>
        <w:tc>
          <w:tcPr>
            <w:tcW w:w="1843" w:type="dxa"/>
          </w:tcPr>
          <w:p w14:paraId="4FFF0484" w14:textId="77777777" w:rsidR="00075001" w:rsidRDefault="00075001" w:rsidP="00075001">
            <w:pPr>
              <w:pStyle w:val="TableParagraph"/>
            </w:pPr>
            <w:r>
              <w:t>78.3 (6.9)</w:t>
            </w:r>
          </w:p>
        </w:tc>
        <w:tc>
          <w:tcPr>
            <w:tcW w:w="1843" w:type="dxa"/>
          </w:tcPr>
          <w:p w14:paraId="055D2F0C" w14:textId="77777777" w:rsidR="00075001" w:rsidRDefault="00075001" w:rsidP="00075001">
            <w:pPr>
              <w:pStyle w:val="TableParagraph"/>
              <w:ind w:left="102"/>
            </w:pPr>
            <w:r>
              <w:t>&lt; 0.001</w:t>
            </w:r>
          </w:p>
        </w:tc>
      </w:tr>
      <w:tr w:rsidR="00075001" w14:paraId="70670D1F" w14:textId="77777777" w:rsidTr="00075001">
        <w:trPr>
          <w:trHeight w:hRule="exact" w:val="279"/>
        </w:trPr>
        <w:tc>
          <w:tcPr>
            <w:tcW w:w="8359" w:type="dxa"/>
          </w:tcPr>
          <w:p w14:paraId="2927ED6A" w14:textId="77777777" w:rsidR="00075001" w:rsidRDefault="00075001" w:rsidP="00075001">
            <w:pPr>
              <w:pStyle w:val="TableParagraph"/>
            </w:pPr>
            <w:r>
              <w:t>Sex (female) - Frequency (%)</w:t>
            </w:r>
          </w:p>
        </w:tc>
        <w:tc>
          <w:tcPr>
            <w:tcW w:w="1984" w:type="dxa"/>
          </w:tcPr>
          <w:p w14:paraId="7BCBD4E5" w14:textId="77777777" w:rsidR="00075001" w:rsidRDefault="00075001" w:rsidP="00075001">
            <w:pPr>
              <w:pStyle w:val="TableParagraph"/>
            </w:pPr>
            <w:r>
              <w:t>1,449 (57.1)</w:t>
            </w:r>
          </w:p>
        </w:tc>
        <w:tc>
          <w:tcPr>
            <w:tcW w:w="1843" w:type="dxa"/>
          </w:tcPr>
          <w:p w14:paraId="55B349C7" w14:textId="77777777" w:rsidR="00075001" w:rsidRDefault="00075001" w:rsidP="00075001">
            <w:pPr>
              <w:pStyle w:val="TableParagraph"/>
            </w:pPr>
            <w:r>
              <w:t>627 (59.9)</w:t>
            </w:r>
          </w:p>
        </w:tc>
        <w:tc>
          <w:tcPr>
            <w:tcW w:w="1843" w:type="dxa"/>
          </w:tcPr>
          <w:p w14:paraId="5A224968" w14:textId="77777777" w:rsidR="00075001" w:rsidRDefault="00075001" w:rsidP="00075001">
            <w:pPr>
              <w:pStyle w:val="TableParagraph"/>
              <w:ind w:left="102"/>
            </w:pPr>
            <w:r>
              <w:t>0.122</w:t>
            </w:r>
          </w:p>
        </w:tc>
      </w:tr>
      <w:tr w:rsidR="00075001" w14:paraId="294EF6D0" w14:textId="77777777" w:rsidTr="00075001">
        <w:trPr>
          <w:trHeight w:hRule="exact" w:val="279"/>
        </w:trPr>
        <w:tc>
          <w:tcPr>
            <w:tcW w:w="8359" w:type="dxa"/>
          </w:tcPr>
          <w:p w14:paraId="3C6F3F25" w14:textId="77777777" w:rsidR="00075001" w:rsidRDefault="00075001" w:rsidP="00075001">
            <w:pPr>
              <w:pStyle w:val="TableParagraph"/>
            </w:pPr>
            <w:r>
              <w:t>Living situation (Institutionalized living) - Frequency (%)</w:t>
            </w:r>
          </w:p>
        </w:tc>
        <w:tc>
          <w:tcPr>
            <w:tcW w:w="1984" w:type="dxa"/>
          </w:tcPr>
          <w:p w14:paraId="12D6430A" w14:textId="77777777" w:rsidR="00075001" w:rsidRDefault="00075001" w:rsidP="00075001">
            <w:pPr>
              <w:pStyle w:val="TableParagraph"/>
            </w:pPr>
            <w:r>
              <w:t>87 (3.4)</w:t>
            </w:r>
          </w:p>
        </w:tc>
        <w:tc>
          <w:tcPr>
            <w:tcW w:w="1843" w:type="dxa"/>
          </w:tcPr>
          <w:p w14:paraId="40D68CE2" w14:textId="77777777" w:rsidR="00075001" w:rsidRDefault="00075001" w:rsidP="00075001">
            <w:pPr>
              <w:pStyle w:val="TableParagraph"/>
            </w:pPr>
            <w:r>
              <w:t>59 (5.6)</w:t>
            </w:r>
          </w:p>
        </w:tc>
        <w:tc>
          <w:tcPr>
            <w:tcW w:w="1843" w:type="dxa"/>
          </w:tcPr>
          <w:p w14:paraId="01E78110" w14:textId="77777777" w:rsidR="00075001" w:rsidRDefault="00075001" w:rsidP="00075001">
            <w:pPr>
              <w:pStyle w:val="TableParagraph"/>
              <w:ind w:left="102"/>
            </w:pPr>
            <w:r>
              <w:t>0.003</w:t>
            </w:r>
          </w:p>
        </w:tc>
      </w:tr>
      <w:tr w:rsidR="00075001" w14:paraId="66A884C2" w14:textId="77777777" w:rsidTr="00075001">
        <w:trPr>
          <w:trHeight w:hRule="exact" w:val="279"/>
        </w:trPr>
        <w:tc>
          <w:tcPr>
            <w:tcW w:w="8359" w:type="dxa"/>
          </w:tcPr>
          <w:p w14:paraId="555F65A7" w14:textId="77777777" w:rsidR="00075001" w:rsidRDefault="00075001" w:rsidP="00075001">
            <w:pPr>
              <w:pStyle w:val="TableParagraph"/>
            </w:pPr>
            <w:r>
              <w:t>Educational level - Frequency (%)</w:t>
            </w:r>
          </w:p>
        </w:tc>
        <w:tc>
          <w:tcPr>
            <w:tcW w:w="5670" w:type="dxa"/>
            <w:gridSpan w:val="3"/>
          </w:tcPr>
          <w:p w14:paraId="47CB8B36" w14:textId="77777777" w:rsidR="00075001" w:rsidRDefault="00075001" w:rsidP="00075001"/>
        </w:tc>
      </w:tr>
      <w:tr w:rsidR="00075001" w14:paraId="62A8D0F7" w14:textId="77777777" w:rsidTr="00075001">
        <w:trPr>
          <w:trHeight w:hRule="exact" w:val="279"/>
        </w:trPr>
        <w:tc>
          <w:tcPr>
            <w:tcW w:w="8359" w:type="dxa"/>
          </w:tcPr>
          <w:p w14:paraId="69FA0720" w14:textId="77777777" w:rsidR="00075001" w:rsidRDefault="00075001" w:rsidP="00075001">
            <w:pPr>
              <w:pStyle w:val="TableParagraph"/>
              <w:tabs>
                <w:tab w:val="left" w:pos="822"/>
              </w:tabs>
              <w:ind w:left="462"/>
            </w:pPr>
            <w:r>
              <w:t>-</w:t>
            </w:r>
            <w:r>
              <w:tab/>
              <w:t>Low</w:t>
            </w:r>
          </w:p>
        </w:tc>
        <w:tc>
          <w:tcPr>
            <w:tcW w:w="1984" w:type="dxa"/>
          </w:tcPr>
          <w:p w14:paraId="37F0521C" w14:textId="77777777" w:rsidR="00075001" w:rsidRDefault="00075001" w:rsidP="00075001">
            <w:pPr>
              <w:pStyle w:val="TableParagraph"/>
            </w:pPr>
            <w:r>
              <w:t>1,018 (40.1)</w:t>
            </w:r>
          </w:p>
        </w:tc>
        <w:tc>
          <w:tcPr>
            <w:tcW w:w="1843" w:type="dxa"/>
          </w:tcPr>
          <w:p w14:paraId="198ABCD6" w14:textId="77777777" w:rsidR="00075001" w:rsidRDefault="00075001" w:rsidP="00075001">
            <w:pPr>
              <w:pStyle w:val="TableParagraph"/>
            </w:pPr>
            <w:r>
              <w:t>472 (45.1)</w:t>
            </w:r>
          </w:p>
        </w:tc>
        <w:tc>
          <w:tcPr>
            <w:tcW w:w="1843" w:type="dxa"/>
          </w:tcPr>
          <w:p w14:paraId="7A7B2E36" w14:textId="77777777" w:rsidR="00075001" w:rsidRDefault="00075001" w:rsidP="00075001"/>
        </w:tc>
      </w:tr>
      <w:tr w:rsidR="00075001" w14:paraId="4AA5C602" w14:textId="77777777" w:rsidTr="00075001">
        <w:trPr>
          <w:trHeight w:hRule="exact" w:val="279"/>
        </w:trPr>
        <w:tc>
          <w:tcPr>
            <w:tcW w:w="8359" w:type="dxa"/>
          </w:tcPr>
          <w:p w14:paraId="01657D9C" w14:textId="77777777" w:rsidR="00075001" w:rsidRDefault="00075001" w:rsidP="00075001">
            <w:pPr>
              <w:pStyle w:val="TableParagraph"/>
              <w:tabs>
                <w:tab w:val="left" w:pos="822"/>
              </w:tabs>
              <w:ind w:left="462"/>
            </w:pPr>
            <w:r>
              <w:t>-</w:t>
            </w:r>
            <w:r>
              <w:tab/>
              <w:t>Medium</w:t>
            </w:r>
          </w:p>
        </w:tc>
        <w:tc>
          <w:tcPr>
            <w:tcW w:w="1984" w:type="dxa"/>
          </w:tcPr>
          <w:p w14:paraId="2D907009" w14:textId="77777777" w:rsidR="00075001" w:rsidRDefault="00075001" w:rsidP="00075001">
            <w:pPr>
              <w:pStyle w:val="TableParagraph"/>
            </w:pPr>
            <w:r>
              <w:t>1,206 (47.6)</w:t>
            </w:r>
          </w:p>
        </w:tc>
        <w:tc>
          <w:tcPr>
            <w:tcW w:w="1843" w:type="dxa"/>
          </w:tcPr>
          <w:p w14:paraId="1926E31D" w14:textId="77777777" w:rsidR="00075001" w:rsidRDefault="00075001" w:rsidP="00075001">
            <w:pPr>
              <w:pStyle w:val="TableParagraph"/>
            </w:pPr>
            <w:r>
              <w:t>469 (44.8)</w:t>
            </w:r>
          </w:p>
        </w:tc>
        <w:tc>
          <w:tcPr>
            <w:tcW w:w="1843" w:type="dxa"/>
          </w:tcPr>
          <w:p w14:paraId="03E38659" w14:textId="77777777" w:rsidR="00075001" w:rsidRDefault="00075001" w:rsidP="00075001">
            <w:pPr>
              <w:pStyle w:val="TableParagraph"/>
              <w:ind w:left="102"/>
            </w:pPr>
            <w:r>
              <w:t>0.024</w:t>
            </w:r>
          </w:p>
        </w:tc>
      </w:tr>
      <w:tr w:rsidR="00075001" w14:paraId="7F81824F" w14:textId="77777777" w:rsidTr="00075001">
        <w:trPr>
          <w:trHeight w:hRule="exact" w:val="279"/>
        </w:trPr>
        <w:tc>
          <w:tcPr>
            <w:tcW w:w="8359" w:type="dxa"/>
          </w:tcPr>
          <w:p w14:paraId="54AA095D" w14:textId="77777777" w:rsidR="00075001" w:rsidRDefault="00075001" w:rsidP="00075001">
            <w:pPr>
              <w:pStyle w:val="TableParagraph"/>
              <w:tabs>
                <w:tab w:val="left" w:pos="822"/>
              </w:tabs>
              <w:ind w:left="462"/>
            </w:pPr>
            <w:r>
              <w:t>-</w:t>
            </w:r>
            <w:r>
              <w:tab/>
              <w:t>High</w:t>
            </w:r>
          </w:p>
        </w:tc>
        <w:tc>
          <w:tcPr>
            <w:tcW w:w="1984" w:type="dxa"/>
          </w:tcPr>
          <w:p w14:paraId="1A3613A6" w14:textId="77777777" w:rsidR="00075001" w:rsidRDefault="00075001" w:rsidP="00075001">
            <w:pPr>
              <w:pStyle w:val="TableParagraph"/>
            </w:pPr>
            <w:r>
              <w:t>312 (12.3)</w:t>
            </w:r>
          </w:p>
        </w:tc>
        <w:tc>
          <w:tcPr>
            <w:tcW w:w="1843" w:type="dxa"/>
          </w:tcPr>
          <w:p w14:paraId="279C7922" w14:textId="77777777" w:rsidR="00075001" w:rsidRDefault="00075001" w:rsidP="00075001">
            <w:pPr>
              <w:pStyle w:val="TableParagraph"/>
            </w:pPr>
            <w:r>
              <w:t>105 (10.0)</w:t>
            </w:r>
          </w:p>
        </w:tc>
        <w:tc>
          <w:tcPr>
            <w:tcW w:w="1843" w:type="dxa"/>
          </w:tcPr>
          <w:p w14:paraId="38DFDF2D" w14:textId="77777777" w:rsidR="00075001" w:rsidRDefault="00075001" w:rsidP="00075001">
            <w:pPr>
              <w:pStyle w:val="TableParagraph"/>
              <w:ind w:left="102"/>
            </w:pPr>
            <w:r>
              <w:t>0.011</w:t>
            </w:r>
          </w:p>
        </w:tc>
      </w:tr>
      <w:tr w:rsidR="00075001" w14:paraId="76907FF5" w14:textId="77777777" w:rsidTr="00075001">
        <w:trPr>
          <w:trHeight w:hRule="exact" w:val="279"/>
        </w:trPr>
        <w:tc>
          <w:tcPr>
            <w:tcW w:w="8359" w:type="dxa"/>
          </w:tcPr>
          <w:p w14:paraId="2670FD0C" w14:textId="77777777" w:rsidR="00075001" w:rsidRDefault="00075001" w:rsidP="00075001">
            <w:pPr>
              <w:pStyle w:val="TableParagraph"/>
              <w:rPr>
                <w:b/>
                <w:i/>
              </w:rPr>
            </w:pPr>
            <w:r>
              <w:rPr>
                <w:b/>
                <w:i/>
              </w:rPr>
              <w:t>Morbidity-related</w:t>
            </w:r>
          </w:p>
        </w:tc>
        <w:tc>
          <w:tcPr>
            <w:tcW w:w="5670" w:type="dxa"/>
            <w:gridSpan w:val="3"/>
          </w:tcPr>
          <w:p w14:paraId="57A88203" w14:textId="77777777" w:rsidR="00075001" w:rsidRDefault="00075001" w:rsidP="00075001"/>
        </w:tc>
      </w:tr>
      <w:tr w:rsidR="00075001" w14:paraId="1E29A93F" w14:textId="77777777" w:rsidTr="00075001">
        <w:trPr>
          <w:trHeight w:hRule="exact" w:val="279"/>
        </w:trPr>
        <w:tc>
          <w:tcPr>
            <w:tcW w:w="8359" w:type="dxa"/>
          </w:tcPr>
          <w:p w14:paraId="2089D62A" w14:textId="77777777" w:rsidR="00075001" w:rsidRDefault="00075001" w:rsidP="00075001">
            <w:pPr>
              <w:pStyle w:val="TableParagraph"/>
            </w:pPr>
            <w:r>
              <w:t>Coronary heart disease - Frequency (%)</w:t>
            </w:r>
          </w:p>
        </w:tc>
        <w:tc>
          <w:tcPr>
            <w:tcW w:w="1984" w:type="dxa"/>
          </w:tcPr>
          <w:p w14:paraId="62E9BBFC" w14:textId="77777777" w:rsidR="00075001" w:rsidRDefault="00075001" w:rsidP="00075001">
            <w:pPr>
              <w:pStyle w:val="TableParagraph"/>
            </w:pPr>
            <w:r>
              <w:t>817 (32.2)</w:t>
            </w:r>
          </w:p>
        </w:tc>
        <w:tc>
          <w:tcPr>
            <w:tcW w:w="1843" w:type="dxa"/>
          </w:tcPr>
          <w:p w14:paraId="3BDD8B43" w14:textId="77777777" w:rsidR="00075001" w:rsidRDefault="00075001" w:rsidP="00075001">
            <w:pPr>
              <w:pStyle w:val="TableParagraph"/>
            </w:pPr>
            <w:r>
              <w:t>393 (37.6)</w:t>
            </w:r>
          </w:p>
        </w:tc>
        <w:tc>
          <w:tcPr>
            <w:tcW w:w="1843" w:type="dxa"/>
          </w:tcPr>
          <w:p w14:paraId="3D346594" w14:textId="77777777" w:rsidR="00075001" w:rsidRDefault="00075001" w:rsidP="00075001">
            <w:pPr>
              <w:pStyle w:val="TableParagraph"/>
              <w:ind w:left="102"/>
            </w:pPr>
            <w:r>
              <w:t>0.002</w:t>
            </w:r>
          </w:p>
        </w:tc>
      </w:tr>
      <w:tr w:rsidR="00075001" w14:paraId="4CDBB50F" w14:textId="77777777" w:rsidTr="00075001">
        <w:trPr>
          <w:trHeight w:hRule="exact" w:val="279"/>
        </w:trPr>
        <w:tc>
          <w:tcPr>
            <w:tcW w:w="8359" w:type="dxa"/>
          </w:tcPr>
          <w:p w14:paraId="3F4E9E7E" w14:textId="77777777" w:rsidR="00075001" w:rsidRDefault="00075001" w:rsidP="00075001">
            <w:pPr>
              <w:pStyle w:val="TableParagraph"/>
              <w:rPr>
                <w:b/>
                <w:i/>
              </w:rPr>
            </w:pPr>
            <w:r>
              <w:rPr>
                <w:b/>
                <w:i/>
              </w:rPr>
              <w:t>Medication-related</w:t>
            </w:r>
          </w:p>
        </w:tc>
        <w:tc>
          <w:tcPr>
            <w:tcW w:w="5670" w:type="dxa"/>
            <w:gridSpan w:val="3"/>
          </w:tcPr>
          <w:p w14:paraId="462321FD" w14:textId="77777777" w:rsidR="00075001" w:rsidRDefault="00075001" w:rsidP="00075001"/>
        </w:tc>
      </w:tr>
      <w:tr w:rsidR="00075001" w14:paraId="0A89A15A" w14:textId="77777777" w:rsidTr="00075001">
        <w:trPr>
          <w:trHeight w:hRule="exact" w:val="279"/>
        </w:trPr>
        <w:tc>
          <w:tcPr>
            <w:tcW w:w="8359" w:type="dxa"/>
          </w:tcPr>
          <w:p w14:paraId="23BDEB99" w14:textId="77777777" w:rsidR="00075001" w:rsidRDefault="00075001" w:rsidP="00075001">
            <w:pPr>
              <w:pStyle w:val="TableParagraph"/>
            </w:pPr>
            <w:r>
              <w:t>Drugs for acid-related disorders - Frequency (%)</w:t>
            </w:r>
          </w:p>
        </w:tc>
        <w:tc>
          <w:tcPr>
            <w:tcW w:w="1984" w:type="dxa"/>
          </w:tcPr>
          <w:p w14:paraId="48041CAE" w14:textId="77777777" w:rsidR="00075001" w:rsidRDefault="00075001" w:rsidP="00075001">
            <w:pPr>
              <w:pStyle w:val="TableParagraph"/>
            </w:pPr>
            <w:r>
              <w:t>950 (68.3)</w:t>
            </w:r>
          </w:p>
        </w:tc>
        <w:tc>
          <w:tcPr>
            <w:tcW w:w="1843" w:type="dxa"/>
          </w:tcPr>
          <w:p w14:paraId="60CD1FB8" w14:textId="77777777" w:rsidR="00075001" w:rsidRDefault="00075001" w:rsidP="00075001">
            <w:pPr>
              <w:pStyle w:val="TableParagraph"/>
            </w:pPr>
            <w:r>
              <w:t>441 (31.7)</w:t>
            </w:r>
          </w:p>
        </w:tc>
        <w:tc>
          <w:tcPr>
            <w:tcW w:w="1843" w:type="dxa"/>
          </w:tcPr>
          <w:p w14:paraId="3846ADE3" w14:textId="77777777" w:rsidR="00075001" w:rsidRDefault="00075001" w:rsidP="00075001">
            <w:pPr>
              <w:pStyle w:val="TableParagraph"/>
              <w:ind w:left="102"/>
            </w:pPr>
            <w:r>
              <w:t>0.009</w:t>
            </w:r>
          </w:p>
        </w:tc>
      </w:tr>
      <w:tr w:rsidR="00075001" w14:paraId="49715CA1" w14:textId="77777777" w:rsidTr="00075001">
        <w:trPr>
          <w:trHeight w:hRule="exact" w:val="547"/>
        </w:trPr>
        <w:tc>
          <w:tcPr>
            <w:tcW w:w="8359" w:type="dxa"/>
          </w:tcPr>
          <w:p w14:paraId="5CFFC2E6" w14:textId="77777777" w:rsidR="00075001" w:rsidRDefault="00075001" w:rsidP="00075001">
            <w:pPr>
              <w:pStyle w:val="TableParagraph"/>
              <w:ind w:right="101"/>
            </w:pPr>
            <w:r>
              <w:t>Systemic corticosteroids instead of inhaled corticosteroids for maintenance therapy in moderate-severe COPD - STOPP G2 - Frequency (%)</w:t>
            </w:r>
          </w:p>
        </w:tc>
        <w:tc>
          <w:tcPr>
            <w:tcW w:w="1984" w:type="dxa"/>
          </w:tcPr>
          <w:p w14:paraId="5AE4DD27" w14:textId="77777777" w:rsidR="00075001" w:rsidRDefault="00075001" w:rsidP="00075001">
            <w:pPr>
              <w:pStyle w:val="TableParagraph"/>
              <w:spacing w:before="134"/>
            </w:pPr>
            <w:r>
              <w:t>15 (0.6)</w:t>
            </w:r>
          </w:p>
        </w:tc>
        <w:tc>
          <w:tcPr>
            <w:tcW w:w="1843" w:type="dxa"/>
          </w:tcPr>
          <w:p w14:paraId="1904F4B7" w14:textId="77777777" w:rsidR="00075001" w:rsidRDefault="00075001" w:rsidP="00075001">
            <w:pPr>
              <w:pStyle w:val="TableParagraph"/>
              <w:spacing w:before="134"/>
            </w:pPr>
            <w:r>
              <w:t>15 (1.4)</w:t>
            </w:r>
          </w:p>
        </w:tc>
        <w:tc>
          <w:tcPr>
            <w:tcW w:w="1843" w:type="dxa"/>
          </w:tcPr>
          <w:p w14:paraId="6E2CD842" w14:textId="77777777" w:rsidR="00075001" w:rsidRDefault="00075001" w:rsidP="00075001">
            <w:pPr>
              <w:pStyle w:val="TableParagraph"/>
              <w:spacing w:before="134"/>
              <w:ind w:left="102"/>
            </w:pPr>
            <w:r>
              <w:t>0.015</w:t>
            </w:r>
          </w:p>
        </w:tc>
      </w:tr>
      <w:tr w:rsidR="00075001" w14:paraId="294D5C58" w14:textId="77777777" w:rsidTr="00075001">
        <w:trPr>
          <w:trHeight w:hRule="exact" w:val="279"/>
        </w:trPr>
        <w:tc>
          <w:tcPr>
            <w:tcW w:w="8359" w:type="dxa"/>
          </w:tcPr>
          <w:p w14:paraId="1CFB61AF" w14:textId="77777777" w:rsidR="00075001" w:rsidRDefault="00075001" w:rsidP="00075001">
            <w:pPr>
              <w:pStyle w:val="TableParagraph"/>
            </w:pPr>
            <w:r>
              <w:t>START criteria* – Median (IQR)</w:t>
            </w:r>
          </w:p>
        </w:tc>
        <w:tc>
          <w:tcPr>
            <w:tcW w:w="1984" w:type="dxa"/>
          </w:tcPr>
          <w:p w14:paraId="72DF3E34" w14:textId="77777777" w:rsidR="00075001" w:rsidRDefault="00075001" w:rsidP="00075001">
            <w:pPr>
              <w:pStyle w:val="TableParagraph"/>
            </w:pPr>
            <w:r>
              <w:t>1 (2)</w:t>
            </w:r>
          </w:p>
        </w:tc>
        <w:tc>
          <w:tcPr>
            <w:tcW w:w="1843" w:type="dxa"/>
          </w:tcPr>
          <w:p w14:paraId="7962439A" w14:textId="77777777" w:rsidR="00075001" w:rsidRDefault="00075001" w:rsidP="00075001">
            <w:pPr>
              <w:pStyle w:val="TableParagraph"/>
            </w:pPr>
            <w:r>
              <w:t>1 (2)</w:t>
            </w:r>
          </w:p>
        </w:tc>
        <w:tc>
          <w:tcPr>
            <w:tcW w:w="1843" w:type="dxa"/>
          </w:tcPr>
          <w:p w14:paraId="49C86EBE" w14:textId="77777777" w:rsidR="00075001" w:rsidRDefault="00075001" w:rsidP="00075001">
            <w:pPr>
              <w:pStyle w:val="TableParagraph"/>
              <w:ind w:left="102"/>
            </w:pPr>
            <w:r>
              <w:t>0.002</w:t>
            </w:r>
          </w:p>
        </w:tc>
      </w:tr>
      <w:tr w:rsidR="00075001" w14:paraId="067CA948" w14:textId="77777777" w:rsidTr="00075001">
        <w:trPr>
          <w:trHeight w:hRule="exact" w:val="279"/>
        </w:trPr>
        <w:tc>
          <w:tcPr>
            <w:tcW w:w="8359" w:type="dxa"/>
          </w:tcPr>
          <w:p w14:paraId="17DC7656" w14:textId="77777777" w:rsidR="00075001" w:rsidRDefault="00075001" w:rsidP="00075001">
            <w:pPr>
              <w:pStyle w:val="TableParagraph"/>
            </w:pPr>
            <w:r>
              <w:t>START criteria* (modified) - Frequency (%)</w:t>
            </w:r>
          </w:p>
        </w:tc>
        <w:tc>
          <w:tcPr>
            <w:tcW w:w="1984" w:type="dxa"/>
          </w:tcPr>
          <w:p w14:paraId="7FB476F6" w14:textId="77777777" w:rsidR="00075001" w:rsidRDefault="00075001" w:rsidP="00075001">
            <w:pPr>
              <w:pStyle w:val="TableParagraph"/>
            </w:pPr>
            <w:r>
              <w:t>1,425 (56.2)</w:t>
            </w:r>
          </w:p>
        </w:tc>
        <w:tc>
          <w:tcPr>
            <w:tcW w:w="1843" w:type="dxa"/>
          </w:tcPr>
          <w:p w14:paraId="4944C4A3" w14:textId="77777777" w:rsidR="00075001" w:rsidRDefault="00075001" w:rsidP="00075001">
            <w:pPr>
              <w:pStyle w:val="TableParagraph"/>
            </w:pPr>
            <w:r>
              <w:t>634 (60.6)</w:t>
            </w:r>
          </w:p>
        </w:tc>
        <w:tc>
          <w:tcPr>
            <w:tcW w:w="1843" w:type="dxa"/>
          </w:tcPr>
          <w:p w14:paraId="6E38720F" w14:textId="77777777" w:rsidR="00075001" w:rsidRDefault="00075001" w:rsidP="00075001">
            <w:pPr>
              <w:pStyle w:val="TableParagraph"/>
              <w:ind w:left="102"/>
            </w:pPr>
            <w:r>
              <w:t>0.015</w:t>
            </w:r>
          </w:p>
        </w:tc>
      </w:tr>
      <w:tr w:rsidR="00075001" w14:paraId="7F97AEFF" w14:textId="77777777" w:rsidTr="00075001">
        <w:trPr>
          <w:trHeight w:hRule="exact" w:val="547"/>
        </w:trPr>
        <w:tc>
          <w:tcPr>
            <w:tcW w:w="8359" w:type="dxa"/>
          </w:tcPr>
          <w:p w14:paraId="7776DE22" w14:textId="77777777" w:rsidR="00075001" w:rsidRDefault="00075001" w:rsidP="00075001">
            <w:pPr>
              <w:pStyle w:val="TableParagraph"/>
            </w:pPr>
            <w:r>
              <w:t>Heart failure and/or documented coronary artery disease and NO ACE inhibitor - START A6</w:t>
            </w:r>
          </w:p>
          <w:p w14:paraId="2634BA49" w14:textId="77777777" w:rsidR="00075001" w:rsidRDefault="00075001" w:rsidP="00075001">
            <w:pPr>
              <w:pStyle w:val="TableParagraph"/>
            </w:pPr>
            <w:r>
              <w:t>- Frequency (%)</w:t>
            </w:r>
          </w:p>
        </w:tc>
        <w:tc>
          <w:tcPr>
            <w:tcW w:w="1984" w:type="dxa"/>
          </w:tcPr>
          <w:p w14:paraId="4FDB46C7" w14:textId="77777777" w:rsidR="00075001" w:rsidRDefault="00075001" w:rsidP="00075001">
            <w:pPr>
              <w:pStyle w:val="TableParagraph"/>
              <w:spacing w:before="134"/>
            </w:pPr>
            <w:r>
              <w:t>255 (10.1)</w:t>
            </w:r>
          </w:p>
        </w:tc>
        <w:tc>
          <w:tcPr>
            <w:tcW w:w="1843" w:type="dxa"/>
          </w:tcPr>
          <w:p w14:paraId="2A372C57" w14:textId="77777777" w:rsidR="00075001" w:rsidRDefault="00075001" w:rsidP="00075001">
            <w:pPr>
              <w:pStyle w:val="TableParagraph"/>
              <w:spacing w:before="134"/>
            </w:pPr>
            <w:r>
              <w:t>160 (15.3)</w:t>
            </w:r>
          </w:p>
        </w:tc>
        <w:tc>
          <w:tcPr>
            <w:tcW w:w="1843" w:type="dxa"/>
          </w:tcPr>
          <w:p w14:paraId="21ACDC99" w14:textId="77777777" w:rsidR="00075001" w:rsidRDefault="00075001" w:rsidP="00075001">
            <w:pPr>
              <w:pStyle w:val="TableParagraph"/>
              <w:spacing w:before="134"/>
              <w:ind w:left="102"/>
            </w:pPr>
            <w:r>
              <w:t>&lt; 0.001</w:t>
            </w:r>
          </w:p>
        </w:tc>
      </w:tr>
      <w:tr w:rsidR="00075001" w14:paraId="05F9AE9B" w14:textId="77777777" w:rsidTr="00075001">
        <w:trPr>
          <w:trHeight w:hRule="exact" w:val="279"/>
        </w:trPr>
        <w:tc>
          <w:tcPr>
            <w:tcW w:w="8359" w:type="dxa"/>
          </w:tcPr>
          <w:p w14:paraId="79216F89" w14:textId="77777777" w:rsidR="00075001" w:rsidRDefault="00075001" w:rsidP="00075001">
            <w:pPr>
              <w:pStyle w:val="TableParagraph"/>
            </w:pPr>
            <w:r>
              <w:t>Ischemic heart disease and NO beta-blocker - START A7 - Frequency (%)</w:t>
            </w:r>
          </w:p>
        </w:tc>
        <w:tc>
          <w:tcPr>
            <w:tcW w:w="1984" w:type="dxa"/>
          </w:tcPr>
          <w:p w14:paraId="12C0C133" w14:textId="77777777" w:rsidR="00075001" w:rsidRDefault="00075001" w:rsidP="00075001">
            <w:pPr>
              <w:pStyle w:val="TableParagraph"/>
            </w:pPr>
            <w:r>
              <w:t>203 (8.0)</w:t>
            </w:r>
          </w:p>
        </w:tc>
        <w:tc>
          <w:tcPr>
            <w:tcW w:w="1843" w:type="dxa"/>
          </w:tcPr>
          <w:p w14:paraId="07C080B2" w14:textId="77777777" w:rsidR="00075001" w:rsidRDefault="00075001" w:rsidP="00075001">
            <w:pPr>
              <w:pStyle w:val="TableParagraph"/>
            </w:pPr>
            <w:r>
              <w:t>117 (11.2)</w:t>
            </w:r>
          </w:p>
        </w:tc>
        <w:tc>
          <w:tcPr>
            <w:tcW w:w="1843" w:type="dxa"/>
          </w:tcPr>
          <w:p w14:paraId="7F15E4DB" w14:textId="77777777" w:rsidR="00075001" w:rsidRDefault="00075001" w:rsidP="00075001">
            <w:pPr>
              <w:pStyle w:val="TableParagraph"/>
              <w:ind w:left="102"/>
            </w:pPr>
            <w:r>
              <w:t>0.003</w:t>
            </w:r>
          </w:p>
        </w:tc>
      </w:tr>
      <w:tr w:rsidR="00075001" w14:paraId="4E834CDC" w14:textId="77777777" w:rsidTr="00075001">
        <w:trPr>
          <w:trHeight w:hRule="exact" w:val="279"/>
        </w:trPr>
        <w:tc>
          <w:tcPr>
            <w:tcW w:w="8359" w:type="dxa"/>
          </w:tcPr>
          <w:p w14:paraId="56AC2C53" w14:textId="77777777" w:rsidR="00075001" w:rsidRDefault="00075001" w:rsidP="00075001">
            <w:pPr>
              <w:pStyle w:val="TableParagraph"/>
            </w:pPr>
            <w:r>
              <w:t>Diabetes and NO ACE inhibitor or ARB - START F1 - Frequency (%)</w:t>
            </w:r>
          </w:p>
        </w:tc>
        <w:tc>
          <w:tcPr>
            <w:tcW w:w="1984" w:type="dxa"/>
          </w:tcPr>
          <w:p w14:paraId="262D58F3" w14:textId="77777777" w:rsidR="00075001" w:rsidRDefault="00075001" w:rsidP="00075001">
            <w:pPr>
              <w:pStyle w:val="TableParagraph"/>
            </w:pPr>
            <w:r>
              <w:t>150 (5.9)</w:t>
            </w:r>
          </w:p>
        </w:tc>
        <w:tc>
          <w:tcPr>
            <w:tcW w:w="1843" w:type="dxa"/>
          </w:tcPr>
          <w:p w14:paraId="34BA323A" w14:textId="77777777" w:rsidR="00075001" w:rsidRDefault="00075001" w:rsidP="00075001">
            <w:pPr>
              <w:pStyle w:val="TableParagraph"/>
            </w:pPr>
            <w:r>
              <w:t>95 (9.1)</w:t>
            </w:r>
          </w:p>
        </w:tc>
        <w:tc>
          <w:tcPr>
            <w:tcW w:w="1843" w:type="dxa"/>
          </w:tcPr>
          <w:p w14:paraId="6625ADA4" w14:textId="77777777" w:rsidR="00075001" w:rsidRDefault="00075001" w:rsidP="00075001">
            <w:pPr>
              <w:pStyle w:val="TableParagraph"/>
              <w:ind w:left="102"/>
            </w:pPr>
            <w:r>
              <w:t>0.001</w:t>
            </w:r>
          </w:p>
        </w:tc>
      </w:tr>
      <w:tr w:rsidR="00075001" w14:paraId="4EAF3404" w14:textId="77777777" w:rsidTr="00075001">
        <w:trPr>
          <w:trHeight w:hRule="exact" w:val="279"/>
        </w:trPr>
        <w:tc>
          <w:tcPr>
            <w:tcW w:w="8359" w:type="dxa"/>
          </w:tcPr>
          <w:p w14:paraId="1E287D6C" w14:textId="77777777" w:rsidR="00075001" w:rsidRDefault="00075001" w:rsidP="00075001">
            <w:pPr>
              <w:pStyle w:val="TableParagraph"/>
              <w:rPr>
                <w:b/>
                <w:i/>
              </w:rPr>
            </w:pPr>
            <w:r>
              <w:rPr>
                <w:b/>
                <w:i/>
              </w:rPr>
              <w:t>Functional status and well-being-related</w:t>
            </w:r>
          </w:p>
        </w:tc>
        <w:tc>
          <w:tcPr>
            <w:tcW w:w="1984" w:type="dxa"/>
          </w:tcPr>
          <w:p w14:paraId="1260687C" w14:textId="77777777" w:rsidR="00075001" w:rsidRDefault="00075001" w:rsidP="00075001"/>
        </w:tc>
        <w:tc>
          <w:tcPr>
            <w:tcW w:w="1843" w:type="dxa"/>
          </w:tcPr>
          <w:p w14:paraId="17952521" w14:textId="77777777" w:rsidR="00075001" w:rsidRDefault="00075001" w:rsidP="00075001"/>
        </w:tc>
        <w:tc>
          <w:tcPr>
            <w:tcW w:w="1843" w:type="dxa"/>
          </w:tcPr>
          <w:p w14:paraId="4FBE32C9" w14:textId="77777777" w:rsidR="00075001" w:rsidRDefault="00075001" w:rsidP="00075001"/>
        </w:tc>
      </w:tr>
      <w:tr w:rsidR="00075001" w14:paraId="241AA441" w14:textId="77777777" w:rsidTr="00075001">
        <w:trPr>
          <w:trHeight w:hRule="exact" w:val="279"/>
        </w:trPr>
        <w:tc>
          <w:tcPr>
            <w:tcW w:w="8359" w:type="dxa"/>
          </w:tcPr>
          <w:p w14:paraId="326B65FB" w14:textId="77777777" w:rsidR="00075001" w:rsidRDefault="00075001" w:rsidP="00075001">
            <w:pPr>
              <w:pStyle w:val="TableParagraph"/>
            </w:pPr>
            <w:r>
              <w:t>Functional status – Mean (SD)</w:t>
            </w:r>
          </w:p>
        </w:tc>
        <w:tc>
          <w:tcPr>
            <w:tcW w:w="1984" w:type="dxa"/>
          </w:tcPr>
          <w:p w14:paraId="5D341092" w14:textId="77777777" w:rsidR="00075001" w:rsidRDefault="00075001" w:rsidP="00075001">
            <w:pPr>
              <w:pStyle w:val="TableParagraph"/>
            </w:pPr>
            <w:r>
              <w:t>-0.123 (0.92)</w:t>
            </w:r>
          </w:p>
        </w:tc>
        <w:tc>
          <w:tcPr>
            <w:tcW w:w="1843" w:type="dxa"/>
          </w:tcPr>
          <w:p w14:paraId="316C8855" w14:textId="77777777" w:rsidR="00075001" w:rsidRDefault="00075001" w:rsidP="00075001">
            <w:pPr>
              <w:pStyle w:val="TableParagraph"/>
            </w:pPr>
            <w:r>
              <w:t>0.044 (0.99)</w:t>
            </w:r>
          </w:p>
        </w:tc>
        <w:tc>
          <w:tcPr>
            <w:tcW w:w="1843" w:type="dxa"/>
          </w:tcPr>
          <w:p w14:paraId="2BB6EFCF" w14:textId="77777777" w:rsidR="00075001" w:rsidRDefault="00075001" w:rsidP="00075001">
            <w:pPr>
              <w:pStyle w:val="TableParagraph"/>
              <w:ind w:left="102"/>
            </w:pPr>
            <w:r>
              <w:t>&lt; 0.001</w:t>
            </w:r>
          </w:p>
        </w:tc>
      </w:tr>
      <w:tr w:rsidR="00075001" w14:paraId="681E097A" w14:textId="77777777" w:rsidTr="00075001">
        <w:trPr>
          <w:trHeight w:hRule="exact" w:val="279"/>
        </w:trPr>
        <w:tc>
          <w:tcPr>
            <w:tcW w:w="8359" w:type="dxa"/>
          </w:tcPr>
          <w:p w14:paraId="2D1C131A" w14:textId="77777777" w:rsidR="00075001" w:rsidRDefault="00075001" w:rsidP="00075001">
            <w:pPr>
              <w:pStyle w:val="TableParagraph"/>
            </w:pPr>
            <w:r>
              <w:t>Depression ** – Frequency (%)</w:t>
            </w:r>
          </w:p>
        </w:tc>
        <w:tc>
          <w:tcPr>
            <w:tcW w:w="1984" w:type="dxa"/>
          </w:tcPr>
          <w:p w14:paraId="29159CD8" w14:textId="77777777" w:rsidR="00075001" w:rsidRDefault="00075001" w:rsidP="00075001">
            <w:pPr>
              <w:pStyle w:val="TableParagraph"/>
            </w:pPr>
            <w:r>
              <w:t>485 (19.1)</w:t>
            </w:r>
          </w:p>
        </w:tc>
        <w:tc>
          <w:tcPr>
            <w:tcW w:w="1843" w:type="dxa"/>
          </w:tcPr>
          <w:p w14:paraId="3D2EE07D" w14:textId="77777777" w:rsidR="00075001" w:rsidRDefault="00075001" w:rsidP="00075001">
            <w:pPr>
              <w:pStyle w:val="TableParagraph"/>
            </w:pPr>
            <w:r>
              <w:t>201 (19.2)</w:t>
            </w:r>
          </w:p>
        </w:tc>
        <w:tc>
          <w:tcPr>
            <w:tcW w:w="1843" w:type="dxa"/>
          </w:tcPr>
          <w:p w14:paraId="4A66E2F7" w14:textId="77777777" w:rsidR="00075001" w:rsidRDefault="00075001" w:rsidP="00075001">
            <w:pPr>
              <w:pStyle w:val="TableParagraph"/>
              <w:ind w:left="102"/>
            </w:pPr>
            <w:r>
              <w:t>0.95</w:t>
            </w:r>
          </w:p>
        </w:tc>
      </w:tr>
      <w:tr w:rsidR="00075001" w14:paraId="319DD5CF" w14:textId="77777777" w:rsidTr="00075001">
        <w:trPr>
          <w:trHeight w:hRule="exact" w:val="279"/>
        </w:trPr>
        <w:tc>
          <w:tcPr>
            <w:tcW w:w="8359" w:type="dxa"/>
          </w:tcPr>
          <w:p w14:paraId="635E6ECD" w14:textId="77777777" w:rsidR="00075001" w:rsidRDefault="00075001" w:rsidP="00075001">
            <w:pPr>
              <w:pStyle w:val="TableParagraph"/>
            </w:pPr>
            <w:r>
              <w:t>Pain – Frequency (%)</w:t>
            </w:r>
          </w:p>
        </w:tc>
        <w:tc>
          <w:tcPr>
            <w:tcW w:w="1984" w:type="dxa"/>
          </w:tcPr>
          <w:p w14:paraId="38CD9460" w14:textId="77777777" w:rsidR="00075001" w:rsidRDefault="00075001" w:rsidP="00075001">
            <w:pPr>
              <w:pStyle w:val="TableParagraph"/>
            </w:pPr>
            <w:r>
              <w:t>1,728 (68.1)</w:t>
            </w:r>
          </w:p>
        </w:tc>
        <w:tc>
          <w:tcPr>
            <w:tcW w:w="1843" w:type="dxa"/>
          </w:tcPr>
          <w:p w14:paraId="41C201EA" w14:textId="77777777" w:rsidR="00075001" w:rsidRDefault="00075001" w:rsidP="00075001">
            <w:pPr>
              <w:pStyle w:val="TableParagraph"/>
            </w:pPr>
            <w:r>
              <w:t>675 (64.5)</w:t>
            </w:r>
          </w:p>
        </w:tc>
        <w:tc>
          <w:tcPr>
            <w:tcW w:w="1843" w:type="dxa"/>
          </w:tcPr>
          <w:p w14:paraId="4AD03C15" w14:textId="77777777" w:rsidR="00075001" w:rsidRDefault="00075001" w:rsidP="00075001">
            <w:pPr>
              <w:pStyle w:val="TableParagraph"/>
              <w:ind w:left="102"/>
            </w:pPr>
            <w:r>
              <w:t>0.037</w:t>
            </w:r>
          </w:p>
        </w:tc>
      </w:tr>
      <w:tr w:rsidR="00075001" w14:paraId="788D842F" w14:textId="77777777" w:rsidTr="00075001">
        <w:trPr>
          <w:trHeight w:hRule="exact" w:val="279"/>
        </w:trPr>
        <w:tc>
          <w:tcPr>
            <w:tcW w:w="8359" w:type="dxa"/>
          </w:tcPr>
          <w:p w14:paraId="0F203A6C" w14:textId="77777777" w:rsidR="00075001" w:rsidRDefault="00075001" w:rsidP="00075001">
            <w:pPr>
              <w:pStyle w:val="TableParagraph"/>
            </w:pPr>
            <w:r>
              <w:t>Health-related quality of life comorbidity index, mental *** – Median (IQR)</w:t>
            </w:r>
          </w:p>
        </w:tc>
        <w:tc>
          <w:tcPr>
            <w:tcW w:w="1984" w:type="dxa"/>
          </w:tcPr>
          <w:p w14:paraId="626DFB01" w14:textId="77777777" w:rsidR="00075001" w:rsidRDefault="00075001" w:rsidP="00075001">
            <w:pPr>
              <w:pStyle w:val="TableParagraph"/>
            </w:pPr>
            <w:r>
              <w:t>1 (1)</w:t>
            </w:r>
          </w:p>
        </w:tc>
        <w:tc>
          <w:tcPr>
            <w:tcW w:w="1843" w:type="dxa"/>
          </w:tcPr>
          <w:p w14:paraId="304330ED" w14:textId="77777777" w:rsidR="00075001" w:rsidRDefault="00075001" w:rsidP="00075001">
            <w:pPr>
              <w:pStyle w:val="TableParagraph"/>
            </w:pPr>
            <w:r>
              <w:t>1 (1)</w:t>
            </w:r>
          </w:p>
        </w:tc>
        <w:tc>
          <w:tcPr>
            <w:tcW w:w="1843" w:type="dxa"/>
          </w:tcPr>
          <w:p w14:paraId="1CB8CC97" w14:textId="77777777" w:rsidR="00075001" w:rsidRDefault="00075001" w:rsidP="00075001">
            <w:pPr>
              <w:pStyle w:val="TableParagraph"/>
              <w:ind w:left="102"/>
            </w:pPr>
            <w:r>
              <w:t>0.044</w:t>
            </w:r>
          </w:p>
        </w:tc>
      </w:tr>
    </w:tbl>
    <w:p w14:paraId="6814FC47" w14:textId="77777777" w:rsidR="00075001" w:rsidRDefault="00075001" w:rsidP="00075001">
      <w:pPr>
        <w:sectPr w:rsidR="00075001">
          <w:headerReference w:type="even" r:id="rId13"/>
          <w:footerReference w:type="even" r:id="rId14"/>
          <w:pgSz w:w="16840" w:h="11900" w:orient="landscape"/>
          <w:pgMar w:top="1100" w:right="1260" w:bottom="280" w:left="1300" w:header="0" w:footer="0" w:gutter="0"/>
          <w:cols w:space="720"/>
        </w:sectPr>
      </w:pPr>
    </w:p>
    <w:p w14:paraId="081F1DB7" w14:textId="77777777" w:rsidR="00075001" w:rsidRDefault="00075001" w:rsidP="00075001">
      <w:pPr>
        <w:pStyle w:val="BodyText"/>
        <w:rPr>
          <w:b/>
          <w:sz w:val="20"/>
        </w:rPr>
      </w:pPr>
    </w:p>
    <w:p w14:paraId="2CC3BADE" w14:textId="77777777" w:rsidR="00075001" w:rsidRDefault="00075001" w:rsidP="00075001">
      <w:pPr>
        <w:pStyle w:val="BodyText"/>
        <w:spacing w:before="2" w:after="1"/>
        <w:rPr>
          <w:b/>
          <w:sz w:val="2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9"/>
        <w:gridCol w:w="1984"/>
        <w:gridCol w:w="1843"/>
        <w:gridCol w:w="1843"/>
      </w:tblGrid>
      <w:tr w:rsidR="00075001" w14:paraId="2191C276" w14:textId="77777777" w:rsidTr="00075001">
        <w:trPr>
          <w:trHeight w:hRule="exact" w:val="279"/>
        </w:trPr>
        <w:tc>
          <w:tcPr>
            <w:tcW w:w="8359" w:type="dxa"/>
          </w:tcPr>
          <w:p w14:paraId="6BE491C4" w14:textId="77777777" w:rsidR="00075001" w:rsidRDefault="00075001" w:rsidP="00075001">
            <w:pPr>
              <w:pStyle w:val="TableParagraph"/>
            </w:pPr>
            <w:r>
              <w:t>Quality of life: EQ-5D, version 3L, Index value (baseline) – Mean (SD)</w:t>
            </w:r>
          </w:p>
        </w:tc>
        <w:tc>
          <w:tcPr>
            <w:tcW w:w="1984" w:type="dxa"/>
          </w:tcPr>
          <w:p w14:paraId="3AB8F21B" w14:textId="77777777" w:rsidR="00075001" w:rsidRDefault="00075001" w:rsidP="00075001">
            <w:pPr>
              <w:pStyle w:val="TableParagraph"/>
            </w:pPr>
            <w:r>
              <w:t>0.70 (0.26)</w:t>
            </w:r>
          </w:p>
        </w:tc>
        <w:tc>
          <w:tcPr>
            <w:tcW w:w="1843" w:type="dxa"/>
          </w:tcPr>
          <w:p w14:paraId="642CD0D8" w14:textId="77777777" w:rsidR="00075001" w:rsidRDefault="00075001" w:rsidP="00075001">
            <w:pPr>
              <w:pStyle w:val="TableParagraph"/>
            </w:pPr>
            <w:r>
              <w:t>0.81 (0.19)</w:t>
            </w:r>
          </w:p>
        </w:tc>
        <w:tc>
          <w:tcPr>
            <w:tcW w:w="1843" w:type="dxa"/>
          </w:tcPr>
          <w:p w14:paraId="2654E2E9" w14:textId="77777777" w:rsidR="00075001" w:rsidRDefault="00075001" w:rsidP="00075001">
            <w:pPr>
              <w:pStyle w:val="TableParagraph"/>
              <w:ind w:left="102"/>
            </w:pPr>
            <w:r>
              <w:t>&lt; 0.001</w:t>
            </w:r>
          </w:p>
        </w:tc>
      </w:tr>
    </w:tbl>
    <w:p w14:paraId="6FDDFD16" w14:textId="77777777" w:rsidR="00075001" w:rsidRDefault="00075001" w:rsidP="00075001">
      <w:pPr>
        <w:pStyle w:val="BodyText"/>
        <w:ind w:left="116"/>
      </w:pPr>
      <w:r>
        <w:t xml:space="preserve">This table shows candidate prognostic variables stratified according to observed </w:t>
      </w:r>
      <w:proofErr w:type="spellStart"/>
      <w:r>
        <w:t>dHRQoL</w:t>
      </w:r>
      <w:proofErr w:type="spellEnd"/>
      <w:r>
        <w:t xml:space="preserve"> status and univariable associations.</w:t>
      </w:r>
    </w:p>
    <w:p w14:paraId="32431520" w14:textId="77777777" w:rsidR="00075001" w:rsidRDefault="00075001" w:rsidP="00075001">
      <w:pPr>
        <w:pStyle w:val="BodyText"/>
        <w:ind w:left="116"/>
      </w:pPr>
      <w:r>
        <w:t xml:space="preserve">ACE = angiotensin-converting enzyme; ARB = angiotensin II receptor blockers; ATC = anatomical therapeutic chemical; COPD = chronic obstructive pulmonary disease; IQR = interquartile range; SD = standard deviation; </w:t>
      </w:r>
      <w:proofErr w:type="spellStart"/>
      <w:r>
        <w:t>dHRQoL</w:t>
      </w:r>
      <w:proofErr w:type="spellEnd"/>
      <w:r>
        <w:t>= deterioration in health-related quality of life.</w:t>
      </w:r>
    </w:p>
    <w:p w14:paraId="528E4843" w14:textId="77777777" w:rsidR="00075001" w:rsidRDefault="00075001" w:rsidP="00075001">
      <w:pPr>
        <w:pStyle w:val="BodyText"/>
        <w:ind w:left="116"/>
      </w:pPr>
      <w:r>
        <w:t>* Fifteen START criteria were considered.</w:t>
      </w:r>
    </w:p>
    <w:p w14:paraId="377711CD" w14:textId="77777777" w:rsidR="00075001" w:rsidRDefault="00075001" w:rsidP="00075001">
      <w:pPr>
        <w:pStyle w:val="BodyText"/>
        <w:ind w:left="116"/>
      </w:pPr>
      <w:r>
        <w:t>**Depression considered possible in case of a positive score on either of the two provided scales (GDS/SF).</w:t>
      </w:r>
    </w:p>
    <w:p w14:paraId="6DF2A8AE" w14:textId="77777777" w:rsidR="00075001" w:rsidRDefault="00075001" w:rsidP="00075001">
      <w:pPr>
        <w:pStyle w:val="BodyText"/>
        <w:ind w:left="116"/>
      </w:pPr>
      <w:r>
        <w:t>*** Score calculated considering a maximum count of 6 conditions/13 points.</w:t>
      </w:r>
    </w:p>
    <w:p w14:paraId="36E583BB" w14:textId="77777777" w:rsidR="00075001" w:rsidRDefault="00075001" w:rsidP="00A453A4">
      <w:pPr>
        <w:rPr>
          <w:rFonts w:asciiTheme="minorHAnsi" w:eastAsiaTheme="minorHAnsi" w:hAnsiTheme="minorHAnsi" w:cstheme="minorBidi"/>
        </w:rPr>
        <w:sectPr w:rsidR="00075001" w:rsidSect="00A453A4">
          <w:pgSz w:w="16840" w:h="11901" w:orient="landscape"/>
          <w:pgMar w:top="1701" w:right="1418" w:bottom="1701" w:left="1418" w:header="709" w:footer="709" w:gutter="0"/>
          <w:cols w:space="708"/>
          <w:docGrid w:linePitch="360"/>
        </w:sectPr>
      </w:pPr>
    </w:p>
    <w:p w14:paraId="01A8D3BE" w14:textId="77777777" w:rsidR="00075001" w:rsidRPr="00075001" w:rsidRDefault="00075001" w:rsidP="00075001">
      <w:pPr>
        <w:spacing w:before="56"/>
        <w:ind w:left="116"/>
        <w:rPr>
          <w:rFonts w:asciiTheme="minorHAnsi" w:hAnsiTheme="minorHAnsi" w:cstheme="minorHAnsi"/>
          <w:b/>
        </w:rPr>
      </w:pPr>
      <w:r w:rsidRPr="00075001">
        <w:rPr>
          <w:rFonts w:asciiTheme="minorHAnsi" w:hAnsiTheme="minorHAnsi" w:cstheme="minorHAnsi"/>
          <w:b/>
          <w:sz w:val="22"/>
        </w:rPr>
        <w:lastRenderedPageBreak/>
        <w:t xml:space="preserve">Table 2. Final multivariable </w:t>
      </w:r>
      <w:proofErr w:type="spellStart"/>
      <w:r w:rsidRPr="00075001">
        <w:rPr>
          <w:rFonts w:asciiTheme="minorHAnsi" w:hAnsiTheme="minorHAnsi" w:cstheme="minorHAnsi"/>
          <w:b/>
          <w:sz w:val="22"/>
        </w:rPr>
        <w:t>analysis</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for</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dHRQoL</w:t>
      </w:r>
      <w:proofErr w:type="spellEnd"/>
      <w:r w:rsidRPr="00075001">
        <w:rPr>
          <w:rFonts w:asciiTheme="minorHAnsi" w:hAnsiTheme="minorHAnsi" w:cstheme="minorHAnsi"/>
          <w:b/>
          <w:sz w:val="22"/>
        </w:rPr>
        <w:t xml:space="preserve"> at </w:t>
      </w:r>
      <w:proofErr w:type="spellStart"/>
      <w:r w:rsidRPr="00075001">
        <w:rPr>
          <w:rFonts w:asciiTheme="minorHAnsi" w:hAnsiTheme="minorHAnsi" w:cstheme="minorHAnsi"/>
          <w:b/>
          <w:sz w:val="22"/>
        </w:rPr>
        <w:t>six-month</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follow</w:t>
      </w:r>
      <w:proofErr w:type="spellEnd"/>
      <w:r w:rsidRPr="00075001">
        <w:rPr>
          <w:rFonts w:asciiTheme="minorHAnsi" w:hAnsiTheme="minorHAnsi" w:cstheme="minorHAnsi"/>
          <w:b/>
          <w:sz w:val="22"/>
        </w:rPr>
        <w:t>-up</w:t>
      </w:r>
    </w:p>
    <w:p w14:paraId="44CFD346" w14:textId="77777777" w:rsidR="00075001" w:rsidRDefault="00075001" w:rsidP="00075001">
      <w:pPr>
        <w:pStyle w:val="BodyText"/>
        <w:rPr>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820"/>
        <w:gridCol w:w="1792"/>
        <w:gridCol w:w="1792"/>
        <w:gridCol w:w="1793"/>
      </w:tblGrid>
      <w:tr w:rsidR="00075001" w14:paraId="29A57705" w14:textId="77777777" w:rsidTr="00075001">
        <w:trPr>
          <w:trHeight w:hRule="exact" w:val="330"/>
        </w:trPr>
        <w:tc>
          <w:tcPr>
            <w:tcW w:w="4531" w:type="dxa"/>
          </w:tcPr>
          <w:p w14:paraId="73E9078F" w14:textId="77777777" w:rsidR="00075001" w:rsidRDefault="00075001" w:rsidP="00075001">
            <w:pPr>
              <w:pStyle w:val="TableParagraph"/>
              <w:rPr>
                <w:b/>
              </w:rPr>
            </w:pPr>
            <w:r>
              <w:rPr>
                <w:b/>
              </w:rPr>
              <w:t>Selected prognostic factor</w:t>
            </w:r>
          </w:p>
        </w:tc>
        <w:tc>
          <w:tcPr>
            <w:tcW w:w="4820" w:type="dxa"/>
          </w:tcPr>
          <w:p w14:paraId="4DD3EA2A" w14:textId="77777777" w:rsidR="00075001" w:rsidRDefault="00075001" w:rsidP="00075001">
            <w:pPr>
              <w:pStyle w:val="TableParagraph"/>
              <w:rPr>
                <w:b/>
              </w:rPr>
            </w:pPr>
            <w:r>
              <w:rPr>
                <w:b/>
              </w:rPr>
              <w:t>System of measurement</w:t>
            </w:r>
          </w:p>
        </w:tc>
        <w:tc>
          <w:tcPr>
            <w:tcW w:w="1792" w:type="dxa"/>
          </w:tcPr>
          <w:p w14:paraId="55CB38C7" w14:textId="77777777" w:rsidR="00075001" w:rsidRDefault="00075001" w:rsidP="00075001">
            <w:pPr>
              <w:pStyle w:val="TableParagraph"/>
              <w:rPr>
                <w:b/>
              </w:rPr>
            </w:pPr>
            <w:r>
              <w:rPr>
                <w:b/>
              </w:rPr>
              <w:t>Estimate*</w:t>
            </w:r>
          </w:p>
        </w:tc>
        <w:tc>
          <w:tcPr>
            <w:tcW w:w="1792" w:type="dxa"/>
          </w:tcPr>
          <w:p w14:paraId="704E1D3B" w14:textId="77777777" w:rsidR="00075001" w:rsidRDefault="00075001" w:rsidP="00075001">
            <w:pPr>
              <w:pStyle w:val="TableParagraph"/>
              <w:rPr>
                <w:b/>
              </w:rPr>
            </w:pPr>
            <w:r>
              <w:rPr>
                <w:b/>
              </w:rPr>
              <w:t>standard error</w:t>
            </w:r>
          </w:p>
        </w:tc>
        <w:tc>
          <w:tcPr>
            <w:tcW w:w="1793" w:type="dxa"/>
          </w:tcPr>
          <w:p w14:paraId="7FC452B2" w14:textId="77777777" w:rsidR="00075001" w:rsidRDefault="00075001" w:rsidP="00075001">
            <w:pPr>
              <w:pStyle w:val="TableParagraph"/>
              <w:rPr>
                <w:b/>
              </w:rPr>
            </w:pPr>
            <w:r>
              <w:rPr>
                <w:b/>
              </w:rPr>
              <w:t>p value</w:t>
            </w:r>
          </w:p>
        </w:tc>
      </w:tr>
      <w:tr w:rsidR="00075001" w14:paraId="1575C725" w14:textId="77777777" w:rsidTr="00075001">
        <w:trPr>
          <w:trHeight w:hRule="exact" w:val="330"/>
        </w:trPr>
        <w:tc>
          <w:tcPr>
            <w:tcW w:w="4531" w:type="dxa"/>
          </w:tcPr>
          <w:p w14:paraId="4BD3B423" w14:textId="77777777" w:rsidR="00075001" w:rsidRDefault="00075001" w:rsidP="00075001">
            <w:pPr>
              <w:pStyle w:val="TableParagraph"/>
            </w:pPr>
            <w:r>
              <w:t>(Intercept)**</w:t>
            </w:r>
          </w:p>
        </w:tc>
        <w:tc>
          <w:tcPr>
            <w:tcW w:w="4820" w:type="dxa"/>
          </w:tcPr>
          <w:p w14:paraId="13B27AD5" w14:textId="77777777" w:rsidR="00075001" w:rsidRDefault="00075001" w:rsidP="00075001"/>
        </w:tc>
        <w:tc>
          <w:tcPr>
            <w:tcW w:w="1792" w:type="dxa"/>
          </w:tcPr>
          <w:p w14:paraId="411F083C" w14:textId="77777777" w:rsidR="00075001" w:rsidRDefault="00075001" w:rsidP="00075001">
            <w:pPr>
              <w:pStyle w:val="TableParagraph"/>
            </w:pPr>
            <w:r>
              <w:t>-4.457</w:t>
            </w:r>
          </w:p>
        </w:tc>
        <w:tc>
          <w:tcPr>
            <w:tcW w:w="1792" w:type="dxa"/>
          </w:tcPr>
          <w:p w14:paraId="5E8BAAE1" w14:textId="77777777" w:rsidR="00075001" w:rsidRDefault="00075001" w:rsidP="00075001">
            <w:pPr>
              <w:pStyle w:val="TableParagraph"/>
            </w:pPr>
            <w:r>
              <w:t>0.581</w:t>
            </w:r>
          </w:p>
        </w:tc>
        <w:tc>
          <w:tcPr>
            <w:tcW w:w="1793" w:type="dxa"/>
          </w:tcPr>
          <w:p w14:paraId="2F2765B6" w14:textId="77777777" w:rsidR="00075001" w:rsidRDefault="00075001" w:rsidP="00075001">
            <w:pPr>
              <w:pStyle w:val="TableParagraph"/>
            </w:pPr>
            <w:r>
              <w:t>0.000</w:t>
            </w:r>
          </w:p>
        </w:tc>
      </w:tr>
      <w:tr w:rsidR="00075001" w14:paraId="3C0C95D4" w14:textId="77777777" w:rsidTr="00075001">
        <w:trPr>
          <w:trHeight w:hRule="exact" w:val="330"/>
        </w:trPr>
        <w:tc>
          <w:tcPr>
            <w:tcW w:w="4531" w:type="dxa"/>
          </w:tcPr>
          <w:p w14:paraId="6265899E" w14:textId="77777777" w:rsidR="00075001" w:rsidRDefault="00075001" w:rsidP="00075001">
            <w:pPr>
              <w:pStyle w:val="TableParagraph"/>
            </w:pPr>
            <w:r>
              <w:t>Age</w:t>
            </w:r>
          </w:p>
        </w:tc>
        <w:tc>
          <w:tcPr>
            <w:tcW w:w="4820" w:type="dxa"/>
          </w:tcPr>
          <w:p w14:paraId="6C5D4E8F" w14:textId="77777777" w:rsidR="00075001" w:rsidRDefault="00075001" w:rsidP="00075001">
            <w:pPr>
              <w:pStyle w:val="TableParagraph"/>
            </w:pPr>
            <w:r>
              <w:t>Years</w:t>
            </w:r>
          </w:p>
        </w:tc>
        <w:tc>
          <w:tcPr>
            <w:tcW w:w="1792" w:type="dxa"/>
          </w:tcPr>
          <w:p w14:paraId="529BADD2" w14:textId="77777777" w:rsidR="00075001" w:rsidRDefault="00075001" w:rsidP="00075001">
            <w:pPr>
              <w:pStyle w:val="TableParagraph"/>
            </w:pPr>
            <w:r>
              <w:t>0.000</w:t>
            </w:r>
          </w:p>
        </w:tc>
        <w:tc>
          <w:tcPr>
            <w:tcW w:w="1792" w:type="dxa"/>
          </w:tcPr>
          <w:p w14:paraId="39684474" w14:textId="77777777" w:rsidR="00075001" w:rsidRDefault="00075001" w:rsidP="00075001">
            <w:pPr>
              <w:pStyle w:val="TableParagraph"/>
            </w:pPr>
            <w:r>
              <w:t>0.007</w:t>
            </w:r>
          </w:p>
        </w:tc>
        <w:tc>
          <w:tcPr>
            <w:tcW w:w="1793" w:type="dxa"/>
          </w:tcPr>
          <w:p w14:paraId="7016F6F2" w14:textId="77777777" w:rsidR="00075001" w:rsidRDefault="00075001" w:rsidP="00075001">
            <w:pPr>
              <w:pStyle w:val="TableParagraph"/>
            </w:pPr>
            <w:r>
              <w:t>0.969</w:t>
            </w:r>
          </w:p>
        </w:tc>
      </w:tr>
      <w:tr w:rsidR="00075001" w14:paraId="5D7866C0" w14:textId="77777777" w:rsidTr="00075001">
        <w:trPr>
          <w:trHeight w:hRule="exact" w:val="330"/>
        </w:trPr>
        <w:tc>
          <w:tcPr>
            <w:tcW w:w="4531" w:type="dxa"/>
          </w:tcPr>
          <w:p w14:paraId="49DCBFDB" w14:textId="77777777" w:rsidR="00075001" w:rsidRDefault="00075001" w:rsidP="00075001">
            <w:pPr>
              <w:pStyle w:val="TableParagraph"/>
            </w:pPr>
            <w:r>
              <w:t>Sex (male)</w:t>
            </w:r>
          </w:p>
        </w:tc>
        <w:tc>
          <w:tcPr>
            <w:tcW w:w="4820" w:type="dxa"/>
          </w:tcPr>
          <w:p w14:paraId="34B9063B" w14:textId="77777777" w:rsidR="00075001" w:rsidRDefault="00075001" w:rsidP="00075001"/>
        </w:tc>
        <w:tc>
          <w:tcPr>
            <w:tcW w:w="1792" w:type="dxa"/>
          </w:tcPr>
          <w:p w14:paraId="3930DED3" w14:textId="77777777" w:rsidR="00075001" w:rsidRDefault="00075001" w:rsidP="00075001">
            <w:pPr>
              <w:pStyle w:val="TableParagraph"/>
            </w:pPr>
            <w:r>
              <w:t>-0.175</w:t>
            </w:r>
          </w:p>
        </w:tc>
        <w:tc>
          <w:tcPr>
            <w:tcW w:w="1792" w:type="dxa"/>
          </w:tcPr>
          <w:p w14:paraId="22E112E1" w14:textId="77777777" w:rsidR="00075001" w:rsidRDefault="00075001" w:rsidP="00075001">
            <w:pPr>
              <w:pStyle w:val="TableParagraph"/>
            </w:pPr>
            <w:r>
              <w:t>0.084</w:t>
            </w:r>
          </w:p>
        </w:tc>
        <w:tc>
          <w:tcPr>
            <w:tcW w:w="1793" w:type="dxa"/>
          </w:tcPr>
          <w:p w14:paraId="2F9E0D7E" w14:textId="77777777" w:rsidR="00075001" w:rsidRDefault="00075001" w:rsidP="00075001">
            <w:pPr>
              <w:pStyle w:val="TableParagraph"/>
            </w:pPr>
            <w:r>
              <w:t>0.037</w:t>
            </w:r>
          </w:p>
        </w:tc>
      </w:tr>
      <w:tr w:rsidR="00075001" w14:paraId="6AE81F00" w14:textId="77777777" w:rsidTr="00075001">
        <w:trPr>
          <w:trHeight w:hRule="exact" w:val="816"/>
        </w:trPr>
        <w:tc>
          <w:tcPr>
            <w:tcW w:w="4531" w:type="dxa"/>
          </w:tcPr>
          <w:p w14:paraId="6F0AB4A1" w14:textId="77777777" w:rsidR="00075001" w:rsidRDefault="00075001" w:rsidP="00075001">
            <w:pPr>
              <w:pStyle w:val="TableParagraph"/>
              <w:ind w:right="97"/>
            </w:pPr>
            <w:r>
              <w:t>Coronary heart disease (Myocardial infarction and/or angina pectoris) - ICPC-2 codes K74, K75, K76</w:t>
            </w:r>
          </w:p>
        </w:tc>
        <w:tc>
          <w:tcPr>
            <w:tcW w:w="4820" w:type="dxa"/>
          </w:tcPr>
          <w:p w14:paraId="08C07F60" w14:textId="77777777" w:rsidR="00075001" w:rsidRDefault="00075001" w:rsidP="00075001">
            <w:pPr>
              <w:pStyle w:val="TableParagraph"/>
            </w:pPr>
            <w:r>
              <w:t>ICPC-2 codes K74, K75, K76</w:t>
            </w:r>
          </w:p>
        </w:tc>
        <w:tc>
          <w:tcPr>
            <w:tcW w:w="1792" w:type="dxa"/>
          </w:tcPr>
          <w:p w14:paraId="5BE33527" w14:textId="77777777" w:rsidR="00075001" w:rsidRDefault="00075001" w:rsidP="00075001">
            <w:pPr>
              <w:pStyle w:val="TableParagraph"/>
            </w:pPr>
            <w:r>
              <w:t>0.216</w:t>
            </w:r>
          </w:p>
        </w:tc>
        <w:tc>
          <w:tcPr>
            <w:tcW w:w="1792" w:type="dxa"/>
          </w:tcPr>
          <w:p w14:paraId="367B0A9C" w14:textId="77777777" w:rsidR="00075001" w:rsidRDefault="00075001" w:rsidP="00075001">
            <w:pPr>
              <w:pStyle w:val="TableParagraph"/>
            </w:pPr>
            <w:r>
              <w:t>0.094</w:t>
            </w:r>
          </w:p>
        </w:tc>
        <w:tc>
          <w:tcPr>
            <w:tcW w:w="1793" w:type="dxa"/>
          </w:tcPr>
          <w:p w14:paraId="2952DCAA" w14:textId="77777777" w:rsidR="00075001" w:rsidRDefault="00075001" w:rsidP="00075001">
            <w:pPr>
              <w:pStyle w:val="TableParagraph"/>
            </w:pPr>
            <w:r>
              <w:t>0.022</w:t>
            </w:r>
          </w:p>
        </w:tc>
      </w:tr>
      <w:tr w:rsidR="00075001" w14:paraId="2908E25E" w14:textId="77777777" w:rsidTr="00075001">
        <w:trPr>
          <w:trHeight w:hRule="exact" w:val="330"/>
        </w:trPr>
        <w:tc>
          <w:tcPr>
            <w:tcW w:w="4531" w:type="dxa"/>
          </w:tcPr>
          <w:p w14:paraId="65FA3A82" w14:textId="77777777" w:rsidR="00075001" w:rsidRDefault="00075001" w:rsidP="00075001">
            <w:pPr>
              <w:pStyle w:val="TableParagraph"/>
            </w:pPr>
            <w:r>
              <w:t>Drugs for acid-related disorders</w:t>
            </w:r>
          </w:p>
        </w:tc>
        <w:tc>
          <w:tcPr>
            <w:tcW w:w="4820" w:type="dxa"/>
          </w:tcPr>
          <w:p w14:paraId="4BA382A4" w14:textId="77777777" w:rsidR="00075001" w:rsidRDefault="00075001" w:rsidP="00075001">
            <w:pPr>
              <w:pStyle w:val="TableParagraph"/>
            </w:pPr>
            <w:r>
              <w:t>ATC code A02</w:t>
            </w:r>
          </w:p>
        </w:tc>
        <w:tc>
          <w:tcPr>
            <w:tcW w:w="1792" w:type="dxa"/>
          </w:tcPr>
          <w:p w14:paraId="5AD79941" w14:textId="77777777" w:rsidR="00075001" w:rsidRDefault="00075001" w:rsidP="00075001">
            <w:pPr>
              <w:pStyle w:val="TableParagraph"/>
            </w:pPr>
            <w:r>
              <w:t>0.274</w:t>
            </w:r>
          </w:p>
        </w:tc>
        <w:tc>
          <w:tcPr>
            <w:tcW w:w="1792" w:type="dxa"/>
          </w:tcPr>
          <w:p w14:paraId="1C1F3DFD" w14:textId="77777777" w:rsidR="00075001" w:rsidRDefault="00075001" w:rsidP="00075001">
            <w:pPr>
              <w:pStyle w:val="TableParagraph"/>
            </w:pPr>
            <w:r>
              <w:t>0.082</w:t>
            </w:r>
          </w:p>
        </w:tc>
        <w:tc>
          <w:tcPr>
            <w:tcW w:w="1793" w:type="dxa"/>
          </w:tcPr>
          <w:p w14:paraId="7599D18C" w14:textId="77777777" w:rsidR="00075001" w:rsidRDefault="00075001" w:rsidP="00075001">
            <w:pPr>
              <w:pStyle w:val="TableParagraph"/>
            </w:pPr>
            <w:r>
              <w:t>0.001</w:t>
            </w:r>
          </w:p>
        </w:tc>
      </w:tr>
      <w:tr w:rsidR="00075001" w14:paraId="78CBE8F9" w14:textId="77777777" w:rsidTr="00075001">
        <w:trPr>
          <w:trHeight w:hRule="exact" w:val="816"/>
        </w:trPr>
        <w:tc>
          <w:tcPr>
            <w:tcW w:w="4531" w:type="dxa"/>
          </w:tcPr>
          <w:p w14:paraId="54E10963" w14:textId="77777777" w:rsidR="00075001" w:rsidRDefault="00075001" w:rsidP="00075001">
            <w:pPr>
              <w:pStyle w:val="TableParagraph"/>
              <w:ind w:right="464"/>
            </w:pPr>
            <w:r>
              <w:t>Systemic corticosteroids rather than inhaled corticosteroids for maintenance therapy in moderate-severe COPD - STOPP criteria G2</w:t>
            </w:r>
          </w:p>
        </w:tc>
        <w:tc>
          <w:tcPr>
            <w:tcW w:w="4820" w:type="dxa"/>
          </w:tcPr>
          <w:p w14:paraId="5832019E" w14:textId="77777777" w:rsidR="00075001" w:rsidRDefault="00075001" w:rsidP="00075001">
            <w:pPr>
              <w:pStyle w:val="TableParagraph"/>
              <w:ind w:right="95"/>
            </w:pPr>
            <w:r>
              <w:t>(ATC codes H02AB OR H02BX) AND (ICPC-2 codes R79,</w:t>
            </w:r>
            <w:r>
              <w:rPr>
                <w:spacing w:val="-12"/>
              </w:rPr>
              <w:t xml:space="preserve"> </w:t>
            </w:r>
            <w:r>
              <w:t>R95</w:t>
            </w:r>
            <w:r>
              <w:rPr>
                <w:spacing w:val="-12"/>
              </w:rPr>
              <w:t xml:space="preserve"> </w:t>
            </w:r>
            <w:r>
              <w:t>OR</w:t>
            </w:r>
            <w:r>
              <w:rPr>
                <w:spacing w:val="-12"/>
              </w:rPr>
              <w:t xml:space="preserve"> </w:t>
            </w:r>
            <w:r>
              <w:t>R96)</w:t>
            </w:r>
            <w:r>
              <w:rPr>
                <w:spacing w:val="-12"/>
              </w:rPr>
              <w:t xml:space="preserve"> </w:t>
            </w:r>
            <w:r>
              <w:t>NOT</w:t>
            </w:r>
            <w:r>
              <w:rPr>
                <w:spacing w:val="-13"/>
              </w:rPr>
              <w:t xml:space="preserve"> </w:t>
            </w:r>
            <w:r>
              <w:t>(ATC</w:t>
            </w:r>
            <w:r>
              <w:rPr>
                <w:spacing w:val="-12"/>
              </w:rPr>
              <w:t xml:space="preserve"> </w:t>
            </w:r>
            <w:r>
              <w:t>codes</w:t>
            </w:r>
            <w:r>
              <w:rPr>
                <w:spacing w:val="-12"/>
              </w:rPr>
              <w:t xml:space="preserve"> </w:t>
            </w:r>
            <w:r>
              <w:t>R03BA</w:t>
            </w:r>
            <w:r>
              <w:rPr>
                <w:spacing w:val="-12"/>
              </w:rPr>
              <w:t xml:space="preserve"> </w:t>
            </w:r>
            <w:r>
              <w:t>OR</w:t>
            </w:r>
            <w:r>
              <w:rPr>
                <w:spacing w:val="-12"/>
              </w:rPr>
              <w:t xml:space="preserve"> </w:t>
            </w:r>
            <w:r>
              <w:t>R03AK)</w:t>
            </w:r>
          </w:p>
        </w:tc>
        <w:tc>
          <w:tcPr>
            <w:tcW w:w="1792" w:type="dxa"/>
          </w:tcPr>
          <w:p w14:paraId="1174DE65" w14:textId="77777777" w:rsidR="00075001" w:rsidRDefault="00075001" w:rsidP="00075001">
            <w:pPr>
              <w:pStyle w:val="TableParagraph"/>
            </w:pPr>
            <w:r>
              <w:t>1.108</w:t>
            </w:r>
          </w:p>
        </w:tc>
        <w:tc>
          <w:tcPr>
            <w:tcW w:w="1792" w:type="dxa"/>
          </w:tcPr>
          <w:p w14:paraId="4B8493EB" w14:textId="77777777" w:rsidR="00075001" w:rsidRDefault="00075001" w:rsidP="00075001">
            <w:pPr>
              <w:pStyle w:val="TableParagraph"/>
            </w:pPr>
            <w:r>
              <w:t>0.432</w:t>
            </w:r>
          </w:p>
        </w:tc>
        <w:tc>
          <w:tcPr>
            <w:tcW w:w="1793" w:type="dxa"/>
          </w:tcPr>
          <w:p w14:paraId="382B864C" w14:textId="77777777" w:rsidR="00075001" w:rsidRDefault="00075001" w:rsidP="00075001">
            <w:pPr>
              <w:pStyle w:val="TableParagraph"/>
            </w:pPr>
            <w:r>
              <w:t>0.010</w:t>
            </w:r>
          </w:p>
        </w:tc>
      </w:tr>
      <w:tr w:rsidR="00075001" w14:paraId="46BD88BF" w14:textId="77777777" w:rsidTr="00075001">
        <w:trPr>
          <w:trHeight w:hRule="exact" w:val="330"/>
        </w:trPr>
        <w:tc>
          <w:tcPr>
            <w:tcW w:w="4531" w:type="dxa"/>
          </w:tcPr>
          <w:p w14:paraId="41B590B8" w14:textId="77777777" w:rsidR="00075001" w:rsidRDefault="00075001" w:rsidP="00075001">
            <w:pPr>
              <w:pStyle w:val="TableParagraph"/>
            </w:pPr>
            <w:r>
              <w:t>START criteria count</w:t>
            </w:r>
          </w:p>
        </w:tc>
        <w:tc>
          <w:tcPr>
            <w:tcW w:w="4820" w:type="dxa"/>
          </w:tcPr>
          <w:p w14:paraId="6D7DAAD9" w14:textId="77777777" w:rsidR="00075001" w:rsidRDefault="00075001" w:rsidP="00075001">
            <w:pPr>
              <w:pStyle w:val="TableParagraph"/>
            </w:pPr>
            <w:r>
              <w:t>15 START criteria were included</w:t>
            </w:r>
          </w:p>
        </w:tc>
        <w:tc>
          <w:tcPr>
            <w:tcW w:w="1792" w:type="dxa"/>
          </w:tcPr>
          <w:p w14:paraId="09103607" w14:textId="77777777" w:rsidR="00075001" w:rsidRDefault="00075001" w:rsidP="00075001">
            <w:pPr>
              <w:pStyle w:val="TableParagraph"/>
            </w:pPr>
            <w:r>
              <w:t>-0.003</w:t>
            </w:r>
          </w:p>
        </w:tc>
        <w:tc>
          <w:tcPr>
            <w:tcW w:w="1792" w:type="dxa"/>
          </w:tcPr>
          <w:p w14:paraId="4DF5734C" w14:textId="77777777" w:rsidR="00075001" w:rsidRDefault="00075001" w:rsidP="00075001">
            <w:pPr>
              <w:pStyle w:val="TableParagraph"/>
            </w:pPr>
            <w:r>
              <w:t>0.036</w:t>
            </w:r>
          </w:p>
        </w:tc>
        <w:tc>
          <w:tcPr>
            <w:tcW w:w="1793" w:type="dxa"/>
          </w:tcPr>
          <w:p w14:paraId="5C5512C2" w14:textId="77777777" w:rsidR="00075001" w:rsidRDefault="00075001" w:rsidP="00075001">
            <w:pPr>
              <w:pStyle w:val="TableParagraph"/>
            </w:pPr>
            <w:r>
              <w:t>0.934</w:t>
            </w:r>
          </w:p>
        </w:tc>
      </w:tr>
      <w:tr w:rsidR="00075001" w14:paraId="51C75C5B" w14:textId="77777777" w:rsidTr="00075001">
        <w:trPr>
          <w:trHeight w:hRule="exact" w:val="970"/>
        </w:trPr>
        <w:tc>
          <w:tcPr>
            <w:tcW w:w="4531" w:type="dxa"/>
          </w:tcPr>
          <w:p w14:paraId="7033F348" w14:textId="77777777" w:rsidR="00075001" w:rsidRDefault="00075001" w:rsidP="00075001">
            <w:pPr>
              <w:pStyle w:val="TableParagraph"/>
              <w:ind w:right="377"/>
            </w:pPr>
            <w:r>
              <w:t>ACE inhibitor with heart failure and/or documented coronary artery disease - START criteria A6</w:t>
            </w:r>
          </w:p>
        </w:tc>
        <w:tc>
          <w:tcPr>
            <w:tcW w:w="4820" w:type="dxa"/>
          </w:tcPr>
          <w:p w14:paraId="14090094" w14:textId="77777777" w:rsidR="00075001" w:rsidRDefault="00075001" w:rsidP="00075001">
            <w:pPr>
              <w:pStyle w:val="TableParagraph"/>
            </w:pPr>
            <w:r>
              <w:t>(ICPC-2 codes K74, K75, K76, K77) NOT (ATC codes C09A OR C09B OR C09C OR C09D)</w:t>
            </w:r>
          </w:p>
        </w:tc>
        <w:tc>
          <w:tcPr>
            <w:tcW w:w="1792" w:type="dxa"/>
          </w:tcPr>
          <w:p w14:paraId="3867E523" w14:textId="77777777" w:rsidR="00075001" w:rsidRDefault="00075001" w:rsidP="00075001">
            <w:pPr>
              <w:pStyle w:val="TableParagraph"/>
            </w:pPr>
            <w:r>
              <w:t>0.212</w:t>
            </w:r>
          </w:p>
        </w:tc>
        <w:tc>
          <w:tcPr>
            <w:tcW w:w="1792" w:type="dxa"/>
          </w:tcPr>
          <w:p w14:paraId="04CE5279" w14:textId="77777777" w:rsidR="00075001" w:rsidRDefault="00075001" w:rsidP="00075001">
            <w:pPr>
              <w:pStyle w:val="TableParagraph"/>
            </w:pPr>
            <w:r>
              <w:t>0.141</w:t>
            </w:r>
          </w:p>
        </w:tc>
        <w:tc>
          <w:tcPr>
            <w:tcW w:w="1793" w:type="dxa"/>
          </w:tcPr>
          <w:p w14:paraId="7A3EAEDD" w14:textId="77777777" w:rsidR="00075001" w:rsidRDefault="00075001" w:rsidP="00075001">
            <w:pPr>
              <w:pStyle w:val="TableParagraph"/>
            </w:pPr>
            <w:r>
              <w:t>0.133</w:t>
            </w:r>
          </w:p>
        </w:tc>
      </w:tr>
      <w:tr w:rsidR="00075001" w14:paraId="1963BFAD" w14:textId="77777777" w:rsidTr="00075001">
        <w:trPr>
          <w:trHeight w:hRule="exact" w:val="1290"/>
        </w:trPr>
        <w:tc>
          <w:tcPr>
            <w:tcW w:w="4531" w:type="dxa"/>
          </w:tcPr>
          <w:p w14:paraId="682EE380" w14:textId="77777777" w:rsidR="00075001" w:rsidRDefault="00075001" w:rsidP="00075001">
            <w:pPr>
              <w:pStyle w:val="TableParagraph"/>
              <w:ind w:right="496"/>
            </w:pPr>
            <w:r>
              <w:t>ACE inhibitor or ARB (if intolerant of ACE inhibitor) in diabetes with evidence of renal disease i.e. dipstick proteinuria or microalbuminuria - START criteria F1</w:t>
            </w:r>
          </w:p>
        </w:tc>
        <w:tc>
          <w:tcPr>
            <w:tcW w:w="4820" w:type="dxa"/>
          </w:tcPr>
          <w:p w14:paraId="69DA9A89" w14:textId="77777777" w:rsidR="00075001" w:rsidRDefault="00075001" w:rsidP="00075001">
            <w:pPr>
              <w:pStyle w:val="TableParagraph"/>
              <w:ind w:right="11"/>
            </w:pPr>
            <w:r>
              <w:t>(ICPC-2 codes T89 OR T90) NOT (ATC codes C09A OR C09B OR C09C OR C09D)</w:t>
            </w:r>
          </w:p>
        </w:tc>
        <w:tc>
          <w:tcPr>
            <w:tcW w:w="1792" w:type="dxa"/>
          </w:tcPr>
          <w:p w14:paraId="02676F56" w14:textId="77777777" w:rsidR="00075001" w:rsidRDefault="00075001" w:rsidP="00075001">
            <w:pPr>
              <w:pStyle w:val="TableParagraph"/>
            </w:pPr>
            <w:r>
              <w:t>0.386</w:t>
            </w:r>
          </w:p>
        </w:tc>
        <w:tc>
          <w:tcPr>
            <w:tcW w:w="1792" w:type="dxa"/>
          </w:tcPr>
          <w:p w14:paraId="5526E97E" w14:textId="77777777" w:rsidR="00075001" w:rsidRDefault="00075001" w:rsidP="00075001">
            <w:pPr>
              <w:pStyle w:val="TableParagraph"/>
            </w:pPr>
            <w:r>
              <w:t>0.159</w:t>
            </w:r>
          </w:p>
        </w:tc>
        <w:tc>
          <w:tcPr>
            <w:tcW w:w="1793" w:type="dxa"/>
          </w:tcPr>
          <w:p w14:paraId="50D869E8" w14:textId="77777777" w:rsidR="00075001" w:rsidRDefault="00075001" w:rsidP="00075001">
            <w:pPr>
              <w:pStyle w:val="TableParagraph"/>
            </w:pPr>
            <w:r>
              <w:t>0.015</w:t>
            </w:r>
          </w:p>
        </w:tc>
      </w:tr>
      <w:tr w:rsidR="00075001" w14:paraId="2A7D9F0A" w14:textId="77777777" w:rsidTr="00075001">
        <w:trPr>
          <w:trHeight w:hRule="exact" w:val="816"/>
        </w:trPr>
        <w:tc>
          <w:tcPr>
            <w:tcW w:w="4531" w:type="dxa"/>
          </w:tcPr>
          <w:p w14:paraId="22BD13E2" w14:textId="77777777" w:rsidR="00075001" w:rsidRDefault="00075001" w:rsidP="00075001">
            <w:pPr>
              <w:pStyle w:val="TableParagraph"/>
            </w:pPr>
            <w:r>
              <w:t>Functional status</w:t>
            </w:r>
          </w:p>
        </w:tc>
        <w:tc>
          <w:tcPr>
            <w:tcW w:w="4820" w:type="dxa"/>
          </w:tcPr>
          <w:p w14:paraId="4AB09C3E" w14:textId="77777777" w:rsidR="00075001" w:rsidRDefault="00075001" w:rsidP="00075001">
            <w:pPr>
              <w:pStyle w:val="TableParagraph"/>
              <w:ind w:right="99"/>
              <w:jc w:val="both"/>
            </w:pPr>
            <w:r>
              <w:t>Standardized</w:t>
            </w:r>
            <w:r>
              <w:rPr>
                <w:spacing w:val="-7"/>
              </w:rPr>
              <w:t xml:space="preserve"> </w:t>
            </w:r>
            <w:r>
              <w:t>values</w:t>
            </w:r>
            <w:r>
              <w:rPr>
                <w:spacing w:val="-7"/>
              </w:rPr>
              <w:t xml:space="preserve"> </w:t>
            </w:r>
            <w:r>
              <w:t>taken</w:t>
            </w:r>
            <w:r>
              <w:rPr>
                <w:spacing w:val="-7"/>
              </w:rPr>
              <w:t xml:space="preserve"> </w:t>
            </w:r>
            <w:r>
              <w:t>from</w:t>
            </w:r>
            <w:r>
              <w:rPr>
                <w:spacing w:val="-7"/>
              </w:rPr>
              <w:t xml:space="preserve"> </w:t>
            </w:r>
            <w:r>
              <w:t>the</w:t>
            </w:r>
            <w:r>
              <w:rPr>
                <w:spacing w:val="-7"/>
              </w:rPr>
              <w:t xml:space="preserve"> </w:t>
            </w:r>
            <w:r>
              <w:t>VES-13,</w:t>
            </w:r>
            <w:r>
              <w:rPr>
                <w:spacing w:val="-7"/>
              </w:rPr>
              <w:t xml:space="preserve"> </w:t>
            </w:r>
            <w:r>
              <w:t>Katz-15 and GG mobility instruments used in the original studies</w:t>
            </w:r>
          </w:p>
        </w:tc>
        <w:tc>
          <w:tcPr>
            <w:tcW w:w="1792" w:type="dxa"/>
          </w:tcPr>
          <w:p w14:paraId="7466D9E0" w14:textId="77777777" w:rsidR="00075001" w:rsidRDefault="00075001" w:rsidP="00075001">
            <w:pPr>
              <w:pStyle w:val="TableParagraph"/>
            </w:pPr>
            <w:r>
              <w:t>0.557</w:t>
            </w:r>
          </w:p>
        </w:tc>
        <w:tc>
          <w:tcPr>
            <w:tcW w:w="1792" w:type="dxa"/>
          </w:tcPr>
          <w:p w14:paraId="28C16109" w14:textId="77777777" w:rsidR="00075001" w:rsidRDefault="00075001" w:rsidP="00075001">
            <w:pPr>
              <w:pStyle w:val="TableParagraph"/>
            </w:pPr>
            <w:r>
              <w:t>0.053</w:t>
            </w:r>
          </w:p>
        </w:tc>
        <w:tc>
          <w:tcPr>
            <w:tcW w:w="1793" w:type="dxa"/>
          </w:tcPr>
          <w:p w14:paraId="1DB45716" w14:textId="77777777" w:rsidR="00075001" w:rsidRDefault="00075001" w:rsidP="00075001">
            <w:pPr>
              <w:pStyle w:val="TableParagraph"/>
            </w:pPr>
            <w:r>
              <w:t>0.000</w:t>
            </w:r>
          </w:p>
        </w:tc>
      </w:tr>
      <w:tr w:rsidR="00075001" w14:paraId="13E26764" w14:textId="77777777" w:rsidTr="00075001">
        <w:trPr>
          <w:trHeight w:hRule="exact" w:val="650"/>
        </w:trPr>
        <w:tc>
          <w:tcPr>
            <w:tcW w:w="4531" w:type="dxa"/>
          </w:tcPr>
          <w:p w14:paraId="304B1761" w14:textId="77777777" w:rsidR="00075001" w:rsidRDefault="00075001" w:rsidP="00075001">
            <w:pPr>
              <w:pStyle w:val="TableParagraph"/>
            </w:pPr>
            <w:r>
              <w:t>Depression</w:t>
            </w:r>
          </w:p>
        </w:tc>
        <w:tc>
          <w:tcPr>
            <w:tcW w:w="4820" w:type="dxa"/>
          </w:tcPr>
          <w:p w14:paraId="4BCCA86C" w14:textId="77777777" w:rsidR="00075001" w:rsidRDefault="00075001" w:rsidP="00075001">
            <w:pPr>
              <w:pStyle w:val="TableParagraph"/>
            </w:pPr>
            <w:r>
              <w:t>Cut-offs for diagnosis of depression taken from the GDS 15/5 or SF12/36 instruments</w:t>
            </w:r>
          </w:p>
        </w:tc>
        <w:tc>
          <w:tcPr>
            <w:tcW w:w="1792" w:type="dxa"/>
          </w:tcPr>
          <w:p w14:paraId="05661C51" w14:textId="77777777" w:rsidR="00075001" w:rsidRDefault="00075001" w:rsidP="00075001">
            <w:pPr>
              <w:pStyle w:val="TableParagraph"/>
            </w:pPr>
            <w:r>
              <w:t>0.363</w:t>
            </w:r>
          </w:p>
        </w:tc>
        <w:tc>
          <w:tcPr>
            <w:tcW w:w="1792" w:type="dxa"/>
          </w:tcPr>
          <w:p w14:paraId="3959042D" w14:textId="77777777" w:rsidR="00075001" w:rsidRDefault="00075001" w:rsidP="00075001">
            <w:pPr>
              <w:pStyle w:val="TableParagraph"/>
            </w:pPr>
            <w:r>
              <w:t>0.112</w:t>
            </w:r>
          </w:p>
        </w:tc>
        <w:tc>
          <w:tcPr>
            <w:tcW w:w="1793" w:type="dxa"/>
          </w:tcPr>
          <w:p w14:paraId="27020765" w14:textId="77777777" w:rsidR="00075001" w:rsidRDefault="00075001" w:rsidP="00075001">
            <w:pPr>
              <w:pStyle w:val="TableParagraph"/>
            </w:pPr>
            <w:r>
              <w:t>0.001</w:t>
            </w:r>
          </w:p>
        </w:tc>
      </w:tr>
    </w:tbl>
    <w:p w14:paraId="6FA5158E" w14:textId="77777777" w:rsidR="00075001" w:rsidRDefault="00075001" w:rsidP="00075001">
      <w:pPr>
        <w:sectPr w:rsidR="00075001">
          <w:headerReference w:type="even" r:id="rId15"/>
          <w:footerReference w:type="even" r:id="rId16"/>
          <w:pgSz w:w="16840" w:h="11900" w:orient="landscape"/>
          <w:pgMar w:top="1100" w:right="560" w:bottom="280" w:left="1300" w:header="0" w:footer="0" w:gutter="0"/>
          <w:cols w:space="720"/>
        </w:sectPr>
      </w:pPr>
    </w:p>
    <w:p w14:paraId="2B38EB90" w14:textId="77777777" w:rsidR="00075001" w:rsidRDefault="00075001" w:rsidP="00075001">
      <w:pPr>
        <w:pStyle w:val="BodyText"/>
        <w:rPr>
          <w:b/>
          <w:sz w:val="20"/>
        </w:rPr>
      </w:pPr>
    </w:p>
    <w:p w14:paraId="41B1BA45" w14:textId="77777777" w:rsidR="00075001" w:rsidRDefault="00075001" w:rsidP="00075001">
      <w:pPr>
        <w:pStyle w:val="BodyText"/>
        <w:spacing w:before="2" w:after="1"/>
        <w:rPr>
          <w:b/>
          <w:sz w:val="2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820"/>
        <w:gridCol w:w="1792"/>
        <w:gridCol w:w="1792"/>
        <w:gridCol w:w="1793"/>
      </w:tblGrid>
      <w:tr w:rsidR="00075001" w14:paraId="0DB59A22" w14:textId="77777777" w:rsidTr="00075001">
        <w:trPr>
          <w:trHeight w:hRule="exact" w:val="650"/>
        </w:trPr>
        <w:tc>
          <w:tcPr>
            <w:tcW w:w="4531" w:type="dxa"/>
          </w:tcPr>
          <w:p w14:paraId="5A43C36E" w14:textId="77777777" w:rsidR="00075001" w:rsidRDefault="00075001" w:rsidP="00075001">
            <w:pPr>
              <w:pStyle w:val="TableParagraph"/>
              <w:ind w:right="248"/>
            </w:pPr>
            <w:r>
              <w:t>Mental Component Summary score from health-related quality of life comorbidity index</w:t>
            </w:r>
          </w:p>
        </w:tc>
        <w:tc>
          <w:tcPr>
            <w:tcW w:w="4820" w:type="dxa"/>
          </w:tcPr>
          <w:p w14:paraId="74AD2F0B" w14:textId="77777777" w:rsidR="00075001" w:rsidRDefault="00075001" w:rsidP="00075001">
            <w:pPr>
              <w:pStyle w:val="TableParagraph"/>
              <w:tabs>
                <w:tab w:val="left" w:pos="806"/>
                <w:tab w:val="left" w:pos="1926"/>
                <w:tab w:val="left" w:pos="3002"/>
                <w:tab w:val="left" w:pos="3400"/>
                <w:tab w:val="left" w:pos="3906"/>
              </w:tabs>
              <w:ind w:right="101"/>
            </w:pPr>
            <w:r>
              <w:t>Score</w:t>
            </w:r>
            <w:r>
              <w:tab/>
              <w:t>calculated</w:t>
            </w:r>
            <w:r>
              <w:tab/>
              <w:t>according</w:t>
            </w:r>
            <w:r>
              <w:tab/>
              <w:t>to</w:t>
            </w:r>
            <w:r>
              <w:tab/>
              <w:t>the</w:t>
            </w:r>
            <w:r>
              <w:tab/>
            </w:r>
            <w:r>
              <w:rPr>
                <w:spacing w:val="-1"/>
              </w:rPr>
              <w:t xml:space="preserve">modified </w:t>
            </w:r>
            <w:r>
              <w:t>instrument:</w:t>
            </w:r>
            <w:r>
              <w:rPr>
                <w:spacing w:val="-9"/>
              </w:rPr>
              <w:t xml:space="preserve"> </w:t>
            </w:r>
            <w:r>
              <w:t>maximum</w:t>
            </w:r>
            <w:r>
              <w:rPr>
                <w:spacing w:val="-9"/>
              </w:rPr>
              <w:t xml:space="preserve"> </w:t>
            </w:r>
            <w:r>
              <w:t>count</w:t>
            </w:r>
            <w:r>
              <w:rPr>
                <w:spacing w:val="-9"/>
              </w:rPr>
              <w:t xml:space="preserve"> </w:t>
            </w:r>
            <w:r>
              <w:t>6</w:t>
            </w:r>
            <w:r>
              <w:rPr>
                <w:spacing w:val="-9"/>
              </w:rPr>
              <w:t xml:space="preserve"> </w:t>
            </w:r>
            <w:r>
              <w:t>conditions,</w:t>
            </w:r>
            <w:r>
              <w:rPr>
                <w:spacing w:val="-9"/>
              </w:rPr>
              <w:t xml:space="preserve"> </w:t>
            </w:r>
            <w:r>
              <w:t>13</w:t>
            </w:r>
            <w:r>
              <w:rPr>
                <w:spacing w:val="-9"/>
              </w:rPr>
              <w:t xml:space="preserve"> </w:t>
            </w:r>
            <w:r>
              <w:t>points</w:t>
            </w:r>
          </w:p>
        </w:tc>
        <w:tc>
          <w:tcPr>
            <w:tcW w:w="1792" w:type="dxa"/>
          </w:tcPr>
          <w:p w14:paraId="32F2C244" w14:textId="77777777" w:rsidR="00075001" w:rsidRDefault="00075001" w:rsidP="00075001">
            <w:pPr>
              <w:pStyle w:val="TableParagraph"/>
            </w:pPr>
            <w:r>
              <w:t>0.072</w:t>
            </w:r>
          </w:p>
        </w:tc>
        <w:tc>
          <w:tcPr>
            <w:tcW w:w="1792" w:type="dxa"/>
          </w:tcPr>
          <w:p w14:paraId="26137B8D" w14:textId="77777777" w:rsidR="00075001" w:rsidRDefault="00075001" w:rsidP="00075001">
            <w:pPr>
              <w:pStyle w:val="TableParagraph"/>
            </w:pPr>
            <w:r>
              <w:t>0.032</w:t>
            </w:r>
          </w:p>
        </w:tc>
        <w:tc>
          <w:tcPr>
            <w:tcW w:w="1793" w:type="dxa"/>
          </w:tcPr>
          <w:p w14:paraId="5477A9B0" w14:textId="77777777" w:rsidR="00075001" w:rsidRDefault="00075001" w:rsidP="00075001">
            <w:pPr>
              <w:pStyle w:val="TableParagraph"/>
            </w:pPr>
            <w:r>
              <w:t>0.026</w:t>
            </w:r>
          </w:p>
        </w:tc>
      </w:tr>
      <w:tr w:rsidR="00075001" w14:paraId="55EDB01A" w14:textId="77777777" w:rsidTr="00075001">
        <w:trPr>
          <w:trHeight w:hRule="exact" w:val="553"/>
        </w:trPr>
        <w:tc>
          <w:tcPr>
            <w:tcW w:w="4531" w:type="dxa"/>
          </w:tcPr>
          <w:p w14:paraId="0AE6D1FD" w14:textId="77777777" w:rsidR="00075001" w:rsidRDefault="00075001" w:rsidP="00075001">
            <w:pPr>
              <w:pStyle w:val="TableParagraph"/>
              <w:ind w:right="378"/>
            </w:pPr>
            <w:r>
              <w:t>Quality of life: EQ-5D, version 3L, Index value (baseline)</w:t>
            </w:r>
          </w:p>
        </w:tc>
        <w:tc>
          <w:tcPr>
            <w:tcW w:w="4820" w:type="dxa"/>
          </w:tcPr>
          <w:p w14:paraId="54127CE6" w14:textId="77777777" w:rsidR="00075001" w:rsidRDefault="00075001" w:rsidP="00075001">
            <w:pPr>
              <w:pStyle w:val="TableParagraph"/>
              <w:ind w:right="142"/>
            </w:pPr>
            <w:r>
              <w:t>Time Trade-Off values for EQ-5D-3L in German and Dutch populations</w:t>
            </w:r>
          </w:p>
        </w:tc>
        <w:tc>
          <w:tcPr>
            <w:tcW w:w="1792" w:type="dxa"/>
          </w:tcPr>
          <w:p w14:paraId="644E60EA" w14:textId="77777777" w:rsidR="00075001" w:rsidRDefault="00075001" w:rsidP="00075001">
            <w:pPr>
              <w:pStyle w:val="TableParagraph"/>
            </w:pPr>
            <w:r>
              <w:t>4.175</w:t>
            </w:r>
          </w:p>
        </w:tc>
        <w:tc>
          <w:tcPr>
            <w:tcW w:w="1792" w:type="dxa"/>
          </w:tcPr>
          <w:p w14:paraId="2DE8D749" w14:textId="77777777" w:rsidR="00075001" w:rsidRDefault="00075001" w:rsidP="00075001">
            <w:pPr>
              <w:pStyle w:val="TableParagraph"/>
            </w:pPr>
            <w:r>
              <w:t>0.263</w:t>
            </w:r>
          </w:p>
        </w:tc>
        <w:tc>
          <w:tcPr>
            <w:tcW w:w="1793" w:type="dxa"/>
          </w:tcPr>
          <w:p w14:paraId="5897E309" w14:textId="77777777" w:rsidR="00075001" w:rsidRDefault="00075001" w:rsidP="00075001">
            <w:pPr>
              <w:pStyle w:val="TableParagraph"/>
            </w:pPr>
            <w:r>
              <w:t>0.000</w:t>
            </w:r>
          </w:p>
        </w:tc>
      </w:tr>
    </w:tbl>
    <w:p w14:paraId="1A89BB80" w14:textId="77777777" w:rsidR="00075001" w:rsidRDefault="00075001" w:rsidP="00075001">
      <w:pPr>
        <w:pStyle w:val="BodyText"/>
        <w:spacing w:before="5"/>
        <w:rPr>
          <w:b/>
          <w:sz w:val="17"/>
        </w:rPr>
      </w:pPr>
    </w:p>
    <w:p w14:paraId="30EAE01D" w14:textId="77777777" w:rsidR="00075001" w:rsidRDefault="00075001" w:rsidP="00075001">
      <w:pPr>
        <w:pStyle w:val="BodyText"/>
        <w:spacing w:before="56"/>
        <w:ind w:left="116"/>
        <w:jc w:val="both"/>
      </w:pPr>
      <w:r>
        <w:t>Baseline risks of studies (estimates): RIME -0.136, Opti-Med -0.175, PRIMUM -0.165, PIL 0.000 and ISCOPE 0.476.</w:t>
      </w:r>
    </w:p>
    <w:p w14:paraId="3DA47E5E" w14:textId="77777777" w:rsidR="00075001" w:rsidRDefault="00075001" w:rsidP="00075001">
      <w:pPr>
        <w:pStyle w:val="BodyText"/>
        <w:spacing w:before="12"/>
        <w:rPr>
          <w:sz w:val="21"/>
        </w:rPr>
      </w:pPr>
    </w:p>
    <w:p w14:paraId="6A90C113" w14:textId="77777777" w:rsidR="00075001" w:rsidRDefault="00075001" w:rsidP="00075001">
      <w:pPr>
        <w:pStyle w:val="BodyText"/>
        <w:ind w:left="116" w:right="854"/>
        <w:jc w:val="both"/>
      </w:pPr>
      <w:r>
        <w:t>ACE</w:t>
      </w:r>
      <w:r>
        <w:rPr>
          <w:spacing w:val="-4"/>
        </w:rPr>
        <w:t xml:space="preserve"> </w:t>
      </w:r>
      <w:r>
        <w:t>=</w:t>
      </w:r>
      <w:r>
        <w:rPr>
          <w:spacing w:val="-4"/>
        </w:rPr>
        <w:t xml:space="preserve"> </w:t>
      </w:r>
      <w:r>
        <w:t>angiotensin</w:t>
      </w:r>
      <w:r>
        <w:rPr>
          <w:spacing w:val="-4"/>
        </w:rPr>
        <w:t xml:space="preserve"> </w:t>
      </w:r>
      <w:r>
        <w:t>converting</w:t>
      </w:r>
      <w:r>
        <w:rPr>
          <w:spacing w:val="-4"/>
        </w:rPr>
        <w:t xml:space="preserve"> </w:t>
      </w:r>
      <w:r>
        <w:t>enzyme;</w:t>
      </w:r>
      <w:r>
        <w:rPr>
          <w:spacing w:val="-4"/>
        </w:rPr>
        <w:t xml:space="preserve"> </w:t>
      </w:r>
      <w:r>
        <w:t>ARB</w:t>
      </w:r>
      <w:r>
        <w:rPr>
          <w:spacing w:val="-4"/>
        </w:rPr>
        <w:t xml:space="preserve"> </w:t>
      </w:r>
      <w:r>
        <w:t>=</w:t>
      </w:r>
      <w:r>
        <w:rPr>
          <w:spacing w:val="-4"/>
        </w:rPr>
        <w:t xml:space="preserve"> </w:t>
      </w:r>
      <w:r>
        <w:t>angiotensin</w:t>
      </w:r>
      <w:r>
        <w:rPr>
          <w:spacing w:val="-4"/>
        </w:rPr>
        <w:t xml:space="preserve"> </w:t>
      </w:r>
      <w:r>
        <w:t>II</w:t>
      </w:r>
      <w:r>
        <w:rPr>
          <w:spacing w:val="-4"/>
        </w:rPr>
        <w:t xml:space="preserve"> </w:t>
      </w:r>
      <w:r>
        <w:t>receptor</w:t>
      </w:r>
      <w:r>
        <w:rPr>
          <w:spacing w:val="-4"/>
        </w:rPr>
        <w:t xml:space="preserve"> </w:t>
      </w:r>
      <w:r>
        <w:t>blockers;</w:t>
      </w:r>
      <w:r>
        <w:rPr>
          <w:spacing w:val="-4"/>
        </w:rPr>
        <w:t xml:space="preserve"> </w:t>
      </w:r>
      <w:r>
        <w:t>ATC</w:t>
      </w:r>
      <w:r>
        <w:rPr>
          <w:spacing w:val="-4"/>
        </w:rPr>
        <w:t xml:space="preserve"> </w:t>
      </w:r>
      <w:r>
        <w:t>=</w:t>
      </w:r>
      <w:r>
        <w:rPr>
          <w:spacing w:val="-4"/>
        </w:rPr>
        <w:t xml:space="preserve"> </w:t>
      </w:r>
      <w:r>
        <w:t>anatomical</w:t>
      </w:r>
      <w:r>
        <w:rPr>
          <w:spacing w:val="-4"/>
        </w:rPr>
        <w:t xml:space="preserve"> </w:t>
      </w:r>
      <w:r>
        <w:t>therapeutic</w:t>
      </w:r>
      <w:r>
        <w:rPr>
          <w:spacing w:val="-4"/>
        </w:rPr>
        <w:t xml:space="preserve"> </w:t>
      </w:r>
      <w:r>
        <w:t>chemical;</w:t>
      </w:r>
      <w:r>
        <w:rPr>
          <w:spacing w:val="-4"/>
        </w:rPr>
        <w:t xml:space="preserve"> </w:t>
      </w:r>
      <w:r>
        <w:t>COPD</w:t>
      </w:r>
      <w:r>
        <w:rPr>
          <w:spacing w:val="-4"/>
        </w:rPr>
        <w:t xml:space="preserve"> </w:t>
      </w:r>
      <w:r>
        <w:t>=</w:t>
      </w:r>
      <w:r>
        <w:rPr>
          <w:spacing w:val="-4"/>
        </w:rPr>
        <w:t xml:space="preserve"> </w:t>
      </w:r>
      <w:r>
        <w:t>chronic</w:t>
      </w:r>
      <w:r>
        <w:rPr>
          <w:spacing w:val="-4"/>
        </w:rPr>
        <w:t xml:space="preserve"> </w:t>
      </w:r>
      <w:r>
        <w:t>obstructive</w:t>
      </w:r>
      <w:r>
        <w:rPr>
          <w:spacing w:val="-4"/>
        </w:rPr>
        <w:t xml:space="preserve"> </w:t>
      </w:r>
      <w:r>
        <w:t>pulmonary disease; GDS = geriatric depression scale; GG = geriatric giant; Katz-15; ICPC = international classification of primary care; MCS = Modified health-related quality</w:t>
      </w:r>
      <w:r>
        <w:rPr>
          <w:spacing w:val="-11"/>
        </w:rPr>
        <w:t xml:space="preserve"> </w:t>
      </w:r>
      <w:r>
        <w:t>of</w:t>
      </w:r>
      <w:r>
        <w:rPr>
          <w:spacing w:val="-11"/>
        </w:rPr>
        <w:t xml:space="preserve"> </w:t>
      </w:r>
      <w:r>
        <w:t>life</w:t>
      </w:r>
      <w:r>
        <w:rPr>
          <w:spacing w:val="-11"/>
        </w:rPr>
        <w:t xml:space="preserve"> </w:t>
      </w:r>
      <w:r>
        <w:t>comorbidity</w:t>
      </w:r>
      <w:r>
        <w:rPr>
          <w:spacing w:val="-11"/>
        </w:rPr>
        <w:t xml:space="preserve"> </w:t>
      </w:r>
      <w:r>
        <w:t>index,</w:t>
      </w:r>
      <w:r>
        <w:rPr>
          <w:spacing w:val="-10"/>
        </w:rPr>
        <w:t xml:space="preserve"> </w:t>
      </w:r>
      <w:r>
        <w:t>mental;</w:t>
      </w:r>
      <w:r>
        <w:rPr>
          <w:spacing w:val="-11"/>
        </w:rPr>
        <w:t xml:space="preserve"> </w:t>
      </w:r>
      <w:r>
        <w:t>SF</w:t>
      </w:r>
      <w:r>
        <w:rPr>
          <w:spacing w:val="-11"/>
        </w:rPr>
        <w:t xml:space="preserve"> </w:t>
      </w:r>
      <w:r>
        <w:t>=</w:t>
      </w:r>
      <w:r>
        <w:rPr>
          <w:spacing w:val="-11"/>
        </w:rPr>
        <w:t xml:space="preserve"> </w:t>
      </w:r>
      <w:r>
        <w:t>short</w:t>
      </w:r>
      <w:r>
        <w:rPr>
          <w:spacing w:val="-11"/>
        </w:rPr>
        <w:t xml:space="preserve"> </w:t>
      </w:r>
      <w:r>
        <w:t>form</w:t>
      </w:r>
      <w:r>
        <w:rPr>
          <w:spacing w:val="-11"/>
        </w:rPr>
        <w:t xml:space="preserve"> </w:t>
      </w:r>
      <w:r>
        <w:t>survey;</w:t>
      </w:r>
      <w:r>
        <w:rPr>
          <w:spacing w:val="-11"/>
        </w:rPr>
        <w:t xml:space="preserve"> </w:t>
      </w:r>
      <w:r>
        <w:t>TTO</w:t>
      </w:r>
      <w:r>
        <w:rPr>
          <w:spacing w:val="-11"/>
        </w:rPr>
        <w:t xml:space="preserve"> </w:t>
      </w:r>
      <w:r>
        <w:t>=</w:t>
      </w:r>
      <w:r>
        <w:rPr>
          <w:spacing w:val="-11"/>
        </w:rPr>
        <w:t xml:space="preserve"> </w:t>
      </w:r>
      <w:r>
        <w:t>time</w:t>
      </w:r>
      <w:r>
        <w:rPr>
          <w:spacing w:val="-11"/>
        </w:rPr>
        <w:t xml:space="preserve"> </w:t>
      </w:r>
      <w:r>
        <w:t>trade-off;</w:t>
      </w:r>
      <w:r>
        <w:rPr>
          <w:spacing w:val="-11"/>
        </w:rPr>
        <w:t xml:space="preserve"> </w:t>
      </w:r>
      <w:r>
        <w:t>VES</w:t>
      </w:r>
      <w:r>
        <w:rPr>
          <w:spacing w:val="-11"/>
        </w:rPr>
        <w:t xml:space="preserve"> </w:t>
      </w:r>
      <w:r>
        <w:t>=</w:t>
      </w:r>
      <w:r>
        <w:rPr>
          <w:spacing w:val="-11"/>
        </w:rPr>
        <w:t xml:space="preserve"> </w:t>
      </w:r>
      <w:r>
        <w:t>vulnerable</w:t>
      </w:r>
      <w:r>
        <w:rPr>
          <w:spacing w:val="-11"/>
        </w:rPr>
        <w:t xml:space="preserve"> </w:t>
      </w:r>
      <w:r>
        <w:t>elders</w:t>
      </w:r>
      <w:r>
        <w:rPr>
          <w:spacing w:val="-11"/>
        </w:rPr>
        <w:t xml:space="preserve"> </w:t>
      </w:r>
      <w:r>
        <w:t>survey;</w:t>
      </w:r>
      <w:r>
        <w:rPr>
          <w:spacing w:val="-11"/>
        </w:rPr>
        <w:t xml:space="preserve"> </w:t>
      </w:r>
      <w:proofErr w:type="spellStart"/>
      <w:r>
        <w:t>dHRQoL</w:t>
      </w:r>
      <w:proofErr w:type="spellEnd"/>
      <w:r>
        <w:t>=</w:t>
      </w:r>
      <w:r>
        <w:rPr>
          <w:spacing w:val="-11"/>
        </w:rPr>
        <w:t xml:space="preserve"> </w:t>
      </w:r>
      <w:r>
        <w:t>deterioration</w:t>
      </w:r>
      <w:r>
        <w:rPr>
          <w:spacing w:val="-11"/>
        </w:rPr>
        <w:t xml:space="preserve"> </w:t>
      </w:r>
      <w:r>
        <w:t>in</w:t>
      </w:r>
      <w:r>
        <w:rPr>
          <w:spacing w:val="-11"/>
        </w:rPr>
        <w:t xml:space="preserve"> </w:t>
      </w:r>
      <w:r>
        <w:t>health-related quality of</w:t>
      </w:r>
      <w:r>
        <w:rPr>
          <w:spacing w:val="-7"/>
        </w:rPr>
        <w:t xml:space="preserve"> </w:t>
      </w:r>
      <w:r>
        <w:t>life.</w:t>
      </w:r>
    </w:p>
    <w:p w14:paraId="4E4BE971" w14:textId="77777777" w:rsidR="00075001" w:rsidRDefault="00075001" w:rsidP="00075001">
      <w:pPr>
        <w:pStyle w:val="BodyText"/>
        <w:ind w:left="116" w:right="855"/>
        <w:jc w:val="both"/>
      </w:pPr>
      <w:r>
        <w:t>*Estimate = Parameter estimate of the maximum-likelihood fitted logistic regression model (possibly to be multiplied with the uniform shrinkage factor of 0.88).</w:t>
      </w:r>
    </w:p>
    <w:p w14:paraId="51477156" w14:textId="77777777" w:rsidR="00075001" w:rsidRDefault="00075001" w:rsidP="00075001">
      <w:pPr>
        <w:pStyle w:val="BodyText"/>
        <w:ind w:left="116"/>
        <w:jc w:val="both"/>
      </w:pPr>
      <w:r>
        <w:t xml:space="preserve">**Intercept = Overall baseline risk for </w:t>
      </w:r>
      <w:proofErr w:type="spellStart"/>
      <w:r>
        <w:t>dHRQoL</w:t>
      </w:r>
      <w:proofErr w:type="spellEnd"/>
      <w:r>
        <w:t>.</w:t>
      </w:r>
    </w:p>
    <w:p w14:paraId="3CD3CF8D" w14:textId="77777777" w:rsidR="00075001" w:rsidRDefault="00075001" w:rsidP="00075001">
      <w:pPr>
        <w:pStyle w:val="BodyText"/>
        <w:ind w:left="116"/>
        <w:jc w:val="both"/>
      </w:pPr>
      <w:r>
        <w:t>***Depression considered possible in case of a positive score on either of the two provided scales (GDS/SF).</w:t>
      </w:r>
    </w:p>
    <w:p w14:paraId="02869F93" w14:textId="77777777" w:rsidR="00075001" w:rsidRDefault="00075001" w:rsidP="00A453A4">
      <w:pPr>
        <w:rPr>
          <w:rFonts w:asciiTheme="minorHAnsi" w:eastAsiaTheme="minorHAnsi" w:hAnsiTheme="minorHAnsi" w:cstheme="minorBidi"/>
        </w:rPr>
        <w:sectPr w:rsidR="00075001" w:rsidSect="00A453A4">
          <w:pgSz w:w="16840" w:h="11901" w:orient="landscape"/>
          <w:pgMar w:top="1701" w:right="1418" w:bottom="1701" w:left="1418" w:header="709" w:footer="709" w:gutter="0"/>
          <w:cols w:space="708"/>
          <w:docGrid w:linePitch="360"/>
        </w:sectPr>
      </w:pPr>
    </w:p>
    <w:p w14:paraId="3450D4EE" w14:textId="77777777" w:rsidR="00075001" w:rsidRPr="00075001" w:rsidRDefault="00075001" w:rsidP="00075001">
      <w:pPr>
        <w:spacing w:before="56"/>
        <w:ind w:left="116"/>
        <w:rPr>
          <w:rFonts w:asciiTheme="minorHAnsi" w:hAnsiTheme="minorHAnsi" w:cstheme="minorHAnsi"/>
          <w:b/>
        </w:rPr>
      </w:pPr>
      <w:proofErr w:type="spellStart"/>
      <w:r w:rsidRPr="00075001">
        <w:rPr>
          <w:rFonts w:asciiTheme="minorHAnsi" w:hAnsiTheme="minorHAnsi" w:cstheme="minorHAnsi"/>
          <w:b/>
          <w:sz w:val="22"/>
        </w:rPr>
        <w:lastRenderedPageBreak/>
        <w:t>Supplemental</w:t>
      </w:r>
      <w:proofErr w:type="spellEnd"/>
      <w:r w:rsidRPr="00075001">
        <w:rPr>
          <w:rFonts w:asciiTheme="minorHAnsi" w:hAnsiTheme="minorHAnsi" w:cstheme="minorHAnsi"/>
          <w:b/>
          <w:sz w:val="22"/>
        </w:rPr>
        <w:t xml:space="preserve"> Table 1. </w:t>
      </w:r>
      <w:proofErr w:type="spellStart"/>
      <w:r w:rsidRPr="00075001">
        <w:rPr>
          <w:rFonts w:asciiTheme="minorHAnsi" w:hAnsiTheme="minorHAnsi" w:cstheme="minorHAnsi"/>
          <w:b/>
          <w:sz w:val="22"/>
        </w:rPr>
        <w:t>Main</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characteristics</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of</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the</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included</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trials</w:t>
      </w:r>
      <w:proofErr w:type="spellEnd"/>
    </w:p>
    <w:p w14:paraId="1C0583F5" w14:textId="77777777" w:rsidR="00075001" w:rsidRDefault="00075001" w:rsidP="00075001">
      <w:pPr>
        <w:pStyle w:val="BodyText"/>
        <w:rPr>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423"/>
        <w:gridCol w:w="2616"/>
        <w:gridCol w:w="2619"/>
        <w:gridCol w:w="2617"/>
        <w:gridCol w:w="2624"/>
      </w:tblGrid>
      <w:tr w:rsidR="00075001" w14:paraId="5566F12E" w14:textId="77777777" w:rsidTr="00075001">
        <w:trPr>
          <w:trHeight w:hRule="exact" w:val="274"/>
        </w:trPr>
        <w:tc>
          <w:tcPr>
            <w:tcW w:w="1413" w:type="dxa"/>
          </w:tcPr>
          <w:p w14:paraId="1AA40B26" w14:textId="77777777" w:rsidR="00075001" w:rsidRDefault="00075001" w:rsidP="00075001"/>
        </w:tc>
        <w:tc>
          <w:tcPr>
            <w:tcW w:w="2423" w:type="dxa"/>
          </w:tcPr>
          <w:p w14:paraId="224C6CAD" w14:textId="77777777" w:rsidR="00075001" w:rsidRDefault="00075001" w:rsidP="00075001">
            <w:pPr>
              <w:pStyle w:val="TableParagraph"/>
              <w:spacing w:before="10"/>
              <w:rPr>
                <w:b/>
                <w:sz w:val="20"/>
              </w:rPr>
            </w:pPr>
            <w:r>
              <w:rPr>
                <w:b/>
                <w:sz w:val="20"/>
              </w:rPr>
              <w:t>PRIMUM</w:t>
            </w:r>
          </w:p>
        </w:tc>
        <w:tc>
          <w:tcPr>
            <w:tcW w:w="2616" w:type="dxa"/>
          </w:tcPr>
          <w:p w14:paraId="68F1E157" w14:textId="77777777" w:rsidR="00075001" w:rsidRDefault="00075001" w:rsidP="00075001">
            <w:pPr>
              <w:pStyle w:val="TableParagraph"/>
              <w:spacing w:before="10"/>
              <w:rPr>
                <w:b/>
                <w:sz w:val="20"/>
              </w:rPr>
            </w:pPr>
            <w:r>
              <w:rPr>
                <w:b/>
                <w:sz w:val="20"/>
              </w:rPr>
              <w:t>Opti-Med</w:t>
            </w:r>
          </w:p>
        </w:tc>
        <w:tc>
          <w:tcPr>
            <w:tcW w:w="2619" w:type="dxa"/>
          </w:tcPr>
          <w:p w14:paraId="225EC529" w14:textId="77777777" w:rsidR="00075001" w:rsidRDefault="00075001" w:rsidP="00075001">
            <w:pPr>
              <w:pStyle w:val="TableParagraph"/>
              <w:spacing w:before="10"/>
              <w:rPr>
                <w:b/>
                <w:sz w:val="20"/>
              </w:rPr>
            </w:pPr>
            <w:r>
              <w:rPr>
                <w:b/>
                <w:sz w:val="20"/>
              </w:rPr>
              <w:t>PIL</w:t>
            </w:r>
          </w:p>
        </w:tc>
        <w:tc>
          <w:tcPr>
            <w:tcW w:w="2617" w:type="dxa"/>
          </w:tcPr>
          <w:p w14:paraId="28BE87B8" w14:textId="77777777" w:rsidR="00075001" w:rsidRDefault="00075001" w:rsidP="00075001">
            <w:pPr>
              <w:pStyle w:val="TableParagraph"/>
              <w:spacing w:before="10"/>
              <w:rPr>
                <w:b/>
                <w:sz w:val="20"/>
              </w:rPr>
            </w:pPr>
            <w:r>
              <w:rPr>
                <w:b/>
                <w:sz w:val="20"/>
              </w:rPr>
              <w:t>ISCOPE</w:t>
            </w:r>
          </w:p>
        </w:tc>
        <w:tc>
          <w:tcPr>
            <w:tcW w:w="2624" w:type="dxa"/>
          </w:tcPr>
          <w:p w14:paraId="30695ECF" w14:textId="77777777" w:rsidR="00075001" w:rsidRDefault="00075001" w:rsidP="00075001">
            <w:pPr>
              <w:pStyle w:val="TableParagraph"/>
              <w:spacing w:before="10"/>
              <w:rPr>
                <w:b/>
                <w:sz w:val="20"/>
              </w:rPr>
            </w:pPr>
            <w:r>
              <w:rPr>
                <w:b/>
                <w:sz w:val="20"/>
              </w:rPr>
              <w:t>RIME</w:t>
            </w:r>
          </w:p>
        </w:tc>
      </w:tr>
      <w:tr w:rsidR="00075001" w14:paraId="4E657F4A" w14:textId="77777777" w:rsidTr="00075001">
        <w:trPr>
          <w:trHeight w:hRule="exact" w:val="762"/>
        </w:trPr>
        <w:tc>
          <w:tcPr>
            <w:tcW w:w="1413" w:type="dxa"/>
          </w:tcPr>
          <w:p w14:paraId="693F6493" w14:textId="77777777" w:rsidR="00075001" w:rsidRDefault="00075001" w:rsidP="00075001">
            <w:pPr>
              <w:pStyle w:val="TableParagraph"/>
              <w:spacing w:before="10"/>
              <w:rPr>
                <w:b/>
                <w:sz w:val="20"/>
              </w:rPr>
            </w:pPr>
            <w:r>
              <w:rPr>
                <w:b/>
                <w:sz w:val="20"/>
              </w:rPr>
              <w:t>Title</w:t>
            </w:r>
          </w:p>
        </w:tc>
        <w:tc>
          <w:tcPr>
            <w:tcW w:w="2423" w:type="dxa"/>
          </w:tcPr>
          <w:p w14:paraId="400246B3" w14:textId="77777777" w:rsidR="00075001" w:rsidRDefault="00075001" w:rsidP="00075001">
            <w:pPr>
              <w:pStyle w:val="TableParagraph"/>
              <w:spacing w:before="10"/>
              <w:ind w:right="721"/>
              <w:rPr>
                <w:sz w:val="20"/>
              </w:rPr>
            </w:pPr>
            <w:proofErr w:type="spellStart"/>
            <w:r>
              <w:rPr>
                <w:sz w:val="20"/>
              </w:rPr>
              <w:t>PRIoritizing</w:t>
            </w:r>
            <w:proofErr w:type="spellEnd"/>
            <w:r>
              <w:rPr>
                <w:sz w:val="20"/>
              </w:rPr>
              <w:t xml:space="preserve"> </w:t>
            </w:r>
            <w:proofErr w:type="spellStart"/>
            <w:r>
              <w:rPr>
                <w:sz w:val="20"/>
              </w:rPr>
              <w:t>MUltimedication</w:t>
            </w:r>
            <w:proofErr w:type="spellEnd"/>
            <w:r>
              <w:rPr>
                <w:sz w:val="20"/>
              </w:rPr>
              <w:t xml:space="preserve"> in Multimorbidity</w:t>
            </w:r>
          </w:p>
        </w:tc>
        <w:tc>
          <w:tcPr>
            <w:tcW w:w="2616" w:type="dxa"/>
          </w:tcPr>
          <w:p w14:paraId="325F1F10" w14:textId="77777777" w:rsidR="00075001" w:rsidRDefault="00075001" w:rsidP="00075001">
            <w:pPr>
              <w:pStyle w:val="TableParagraph"/>
              <w:spacing w:before="10"/>
              <w:ind w:right="219"/>
              <w:rPr>
                <w:sz w:val="20"/>
              </w:rPr>
            </w:pPr>
            <w:r>
              <w:rPr>
                <w:sz w:val="20"/>
              </w:rPr>
              <w:t>Optimized clinical Medication reviews in older people</w:t>
            </w:r>
          </w:p>
        </w:tc>
        <w:tc>
          <w:tcPr>
            <w:tcW w:w="2619" w:type="dxa"/>
          </w:tcPr>
          <w:p w14:paraId="06378115" w14:textId="77777777" w:rsidR="00075001" w:rsidRDefault="00075001" w:rsidP="00075001">
            <w:pPr>
              <w:pStyle w:val="TableParagraph"/>
              <w:spacing w:before="10"/>
              <w:ind w:right="87"/>
              <w:rPr>
                <w:sz w:val="20"/>
              </w:rPr>
            </w:pPr>
            <w:r>
              <w:rPr>
                <w:sz w:val="20"/>
              </w:rPr>
              <w:t>Polypharmacy intervention in Limburg</w:t>
            </w:r>
          </w:p>
        </w:tc>
        <w:tc>
          <w:tcPr>
            <w:tcW w:w="2617" w:type="dxa"/>
          </w:tcPr>
          <w:p w14:paraId="1A5FB50F" w14:textId="77777777" w:rsidR="00075001" w:rsidRDefault="00075001" w:rsidP="00075001">
            <w:pPr>
              <w:pStyle w:val="TableParagraph"/>
              <w:spacing w:before="10"/>
              <w:rPr>
                <w:sz w:val="20"/>
              </w:rPr>
            </w:pPr>
            <w:r>
              <w:rPr>
                <w:sz w:val="20"/>
              </w:rPr>
              <w:t>Integrated</w:t>
            </w:r>
          </w:p>
          <w:p w14:paraId="64B1BD4A" w14:textId="77777777" w:rsidR="00075001" w:rsidRDefault="00075001" w:rsidP="00075001">
            <w:pPr>
              <w:pStyle w:val="TableParagraph"/>
              <w:spacing w:before="10"/>
              <w:rPr>
                <w:sz w:val="20"/>
              </w:rPr>
            </w:pPr>
            <w:r>
              <w:rPr>
                <w:sz w:val="20"/>
              </w:rPr>
              <w:t>Care for Older People</w:t>
            </w:r>
          </w:p>
        </w:tc>
        <w:tc>
          <w:tcPr>
            <w:tcW w:w="2624" w:type="dxa"/>
          </w:tcPr>
          <w:p w14:paraId="11B7AC9B" w14:textId="77777777" w:rsidR="00075001" w:rsidRDefault="00075001" w:rsidP="00075001">
            <w:pPr>
              <w:pStyle w:val="TableParagraph"/>
              <w:spacing w:before="10"/>
              <w:ind w:right="83"/>
              <w:rPr>
                <w:sz w:val="20"/>
              </w:rPr>
            </w:pPr>
            <w:r>
              <w:rPr>
                <w:sz w:val="20"/>
              </w:rPr>
              <w:t>Reduction of potentially inadequate Medication in the Elderly</w:t>
            </w:r>
          </w:p>
        </w:tc>
      </w:tr>
      <w:tr w:rsidR="00075001" w14:paraId="4FF9BED3" w14:textId="77777777" w:rsidTr="00075001">
        <w:trPr>
          <w:trHeight w:hRule="exact" w:val="518"/>
        </w:trPr>
        <w:tc>
          <w:tcPr>
            <w:tcW w:w="1413" w:type="dxa"/>
          </w:tcPr>
          <w:p w14:paraId="26D11094" w14:textId="77777777" w:rsidR="00075001" w:rsidRDefault="00075001" w:rsidP="00075001">
            <w:pPr>
              <w:pStyle w:val="TableParagraph"/>
              <w:spacing w:before="10"/>
              <w:rPr>
                <w:b/>
                <w:sz w:val="20"/>
              </w:rPr>
            </w:pPr>
            <w:r>
              <w:rPr>
                <w:b/>
                <w:sz w:val="20"/>
              </w:rPr>
              <w:t>Study region</w:t>
            </w:r>
          </w:p>
        </w:tc>
        <w:tc>
          <w:tcPr>
            <w:tcW w:w="2423" w:type="dxa"/>
          </w:tcPr>
          <w:p w14:paraId="3D75B750" w14:textId="77777777" w:rsidR="00075001" w:rsidRDefault="00075001" w:rsidP="00075001">
            <w:pPr>
              <w:pStyle w:val="TableParagraph"/>
              <w:spacing w:before="10"/>
              <w:rPr>
                <w:sz w:val="20"/>
              </w:rPr>
            </w:pPr>
            <w:r>
              <w:rPr>
                <w:sz w:val="20"/>
              </w:rPr>
              <w:t>Hesse, Germany</w:t>
            </w:r>
          </w:p>
        </w:tc>
        <w:tc>
          <w:tcPr>
            <w:tcW w:w="2616" w:type="dxa"/>
          </w:tcPr>
          <w:p w14:paraId="68063EB8" w14:textId="77777777" w:rsidR="00075001" w:rsidRDefault="00075001" w:rsidP="00075001">
            <w:pPr>
              <w:pStyle w:val="TableParagraph"/>
              <w:spacing w:before="10"/>
              <w:rPr>
                <w:sz w:val="20"/>
              </w:rPr>
            </w:pPr>
            <w:r>
              <w:rPr>
                <w:sz w:val="20"/>
              </w:rPr>
              <w:t>Amsterdam, The Netherlands</w:t>
            </w:r>
          </w:p>
        </w:tc>
        <w:tc>
          <w:tcPr>
            <w:tcW w:w="2619" w:type="dxa"/>
          </w:tcPr>
          <w:p w14:paraId="52A0FDB2" w14:textId="77777777" w:rsidR="00075001" w:rsidRDefault="00075001" w:rsidP="00075001">
            <w:pPr>
              <w:pStyle w:val="TableParagraph"/>
              <w:spacing w:before="10"/>
              <w:ind w:right="631"/>
              <w:rPr>
                <w:sz w:val="20"/>
              </w:rPr>
            </w:pPr>
            <w:r>
              <w:rPr>
                <w:sz w:val="20"/>
              </w:rPr>
              <w:t>Southern Limburg, The Netherlands</w:t>
            </w:r>
          </w:p>
        </w:tc>
        <w:tc>
          <w:tcPr>
            <w:tcW w:w="2617" w:type="dxa"/>
          </w:tcPr>
          <w:p w14:paraId="0531823D" w14:textId="77777777" w:rsidR="00075001" w:rsidRDefault="00075001" w:rsidP="00075001">
            <w:pPr>
              <w:pStyle w:val="TableParagraph"/>
              <w:spacing w:before="10"/>
              <w:rPr>
                <w:sz w:val="20"/>
              </w:rPr>
            </w:pPr>
            <w:r>
              <w:rPr>
                <w:sz w:val="20"/>
              </w:rPr>
              <w:t>Leiden, The Netherlands</w:t>
            </w:r>
          </w:p>
        </w:tc>
        <w:tc>
          <w:tcPr>
            <w:tcW w:w="2624" w:type="dxa"/>
          </w:tcPr>
          <w:p w14:paraId="575E1934" w14:textId="77777777" w:rsidR="00075001" w:rsidRDefault="00075001" w:rsidP="00075001">
            <w:pPr>
              <w:pStyle w:val="TableParagraph"/>
              <w:spacing w:before="10"/>
              <w:ind w:right="791"/>
              <w:rPr>
                <w:sz w:val="20"/>
              </w:rPr>
            </w:pPr>
            <w:r>
              <w:rPr>
                <w:sz w:val="20"/>
              </w:rPr>
              <w:t>Witten and Hanover, Germany</w:t>
            </w:r>
          </w:p>
        </w:tc>
      </w:tr>
      <w:tr w:rsidR="00075001" w14:paraId="78D809F2" w14:textId="77777777" w:rsidTr="00075001">
        <w:trPr>
          <w:trHeight w:hRule="exact" w:val="274"/>
        </w:trPr>
        <w:tc>
          <w:tcPr>
            <w:tcW w:w="1413" w:type="dxa"/>
          </w:tcPr>
          <w:p w14:paraId="3B1A83D0" w14:textId="77777777" w:rsidR="00075001" w:rsidRDefault="00075001" w:rsidP="00075001">
            <w:pPr>
              <w:pStyle w:val="TableParagraph"/>
              <w:spacing w:before="10"/>
              <w:rPr>
                <w:b/>
                <w:sz w:val="20"/>
              </w:rPr>
            </w:pPr>
            <w:r>
              <w:rPr>
                <w:b/>
                <w:sz w:val="20"/>
              </w:rPr>
              <w:t>Start/End</w:t>
            </w:r>
          </w:p>
        </w:tc>
        <w:tc>
          <w:tcPr>
            <w:tcW w:w="2423" w:type="dxa"/>
          </w:tcPr>
          <w:p w14:paraId="033F9044" w14:textId="77777777" w:rsidR="00075001" w:rsidRDefault="00075001" w:rsidP="00075001">
            <w:pPr>
              <w:pStyle w:val="TableParagraph"/>
              <w:spacing w:before="10"/>
              <w:rPr>
                <w:sz w:val="20"/>
              </w:rPr>
            </w:pPr>
            <w:r>
              <w:rPr>
                <w:sz w:val="20"/>
              </w:rPr>
              <w:t>2010-2012</w:t>
            </w:r>
          </w:p>
        </w:tc>
        <w:tc>
          <w:tcPr>
            <w:tcW w:w="2616" w:type="dxa"/>
          </w:tcPr>
          <w:p w14:paraId="388E420B" w14:textId="77777777" w:rsidR="00075001" w:rsidRDefault="00075001" w:rsidP="00075001">
            <w:pPr>
              <w:pStyle w:val="TableParagraph"/>
              <w:spacing w:before="10"/>
              <w:rPr>
                <w:sz w:val="20"/>
              </w:rPr>
            </w:pPr>
            <w:r>
              <w:rPr>
                <w:sz w:val="20"/>
              </w:rPr>
              <w:t>2013-2015</w:t>
            </w:r>
          </w:p>
        </w:tc>
        <w:tc>
          <w:tcPr>
            <w:tcW w:w="2619" w:type="dxa"/>
          </w:tcPr>
          <w:p w14:paraId="44886276" w14:textId="77777777" w:rsidR="00075001" w:rsidRDefault="00075001" w:rsidP="00075001">
            <w:pPr>
              <w:pStyle w:val="TableParagraph"/>
              <w:spacing w:before="10"/>
              <w:rPr>
                <w:sz w:val="20"/>
              </w:rPr>
            </w:pPr>
            <w:r>
              <w:rPr>
                <w:sz w:val="20"/>
              </w:rPr>
              <w:t>2010-2014</w:t>
            </w:r>
          </w:p>
        </w:tc>
        <w:tc>
          <w:tcPr>
            <w:tcW w:w="2617" w:type="dxa"/>
          </w:tcPr>
          <w:p w14:paraId="3F3617C4" w14:textId="77777777" w:rsidR="00075001" w:rsidRDefault="00075001" w:rsidP="00075001">
            <w:pPr>
              <w:pStyle w:val="TableParagraph"/>
              <w:spacing w:before="10"/>
              <w:rPr>
                <w:sz w:val="20"/>
              </w:rPr>
            </w:pPr>
            <w:r>
              <w:rPr>
                <w:sz w:val="20"/>
              </w:rPr>
              <w:t>2009-2011</w:t>
            </w:r>
          </w:p>
        </w:tc>
        <w:tc>
          <w:tcPr>
            <w:tcW w:w="2624" w:type="dxa"/>
          </w:tcPr>
          <w:p w14:paraId="193A9E4F" w14:textId="77777777" w:rsidR="00075001" w:rsidRDefault="00075001" w:rsidP="00075001">
            <w:pPr>
              <w:pStyle w:val="TableParagraph"/>
              <w:spacing w:before="10"/>
              <w:rPr>
                <w:sz w:val="20"/>
              </w:rPr>
            </w:pPr>
            <w:r>
              <w:rPr>
                <w:sz w:val="20"/>
              </w:rPr>
              <w:t>2012-2014</w:t>
            </w:r>
          </w:p>
        </w:tc>
      </w:tr>
      <w:tr w:rsidR="00075001" w14:paraId="2021A776" w14:textId="77777777" w:rsidTr="00075001">
        <w:trPr>
          <w:trHeight w:hRule="exact" w:val="518"/>
        </w:trPr>
        <w:tc>
          <w:tcPr>
            <w:tcW w:w="1413" w:type="dxa"/>
          </w:tcPr>
          <w:p w14:paraId="13029389" w14:textId="77777777" w:rsidR="00075001" w:rsidRDefault="00075001" w:rsidP="00075001">
            <w:pPr>
              <w:pStyle w:val="TableParagraph"/>
              <w:spacing w:before="10"/>
              <w:rPr>
                <w:b/>
                <w:sz w:val="20"/>
              </w:rPr>
            </w:pPr>
            <w:r>
              <w:rPr>
                <w:b/>
                <w:sz w:val="20"/>
              </w:rPr>
              <w:t>Design</w:t>
            </w:r>
          </w:p>
        </w:tc>
        <w:tc>
          <w:tcPr>
            <w:tcW w:w="2423" w:type="dxa"/>
          </w:tcPr>
          <w:p w14:paraId="64E2A3BE" w14:textId="77777777" w:rsidR="00075001" w:rsidRDefault="00075001" w:rsidP="00075001">
            <w:pPr>
              <w:pStyle w:val="TableParagraph"/>
              <w:spacing w:before="10"/>
              <w:rPr>
                <w:sz w:val="20"/>
              </w:rPr>
            </w:pPr>
            <w:r>
              <w:rPr>
                <w:sz w:val="20"/>
              </w:rPr>
              <w:t xml:space="preserve">2-arm parallel </w:t>
            </w:r>
            <w:proofErr w:type="spellStart"/>
            <w:r>
              <w:rPr>
                <w:sz w:val="20"/>
              </w:rPr>
              <w:t>cRCT</w:t>
            </w:r>
            <w:proofErr w:type="spellEnd"/>
          </w:p>
        </w:tc>
        <w:tc>
          <w:tcPr>
            <w:tcW w:w="2616" w:type="dxa"/>
          </w:tcPr>
          <w:p w14:paraId="65B099F8" w14:textId="77777777" w:rsidR="00075001" w:rsidRDefault="00075001" w:rsidP="00075001">
            <w:pPr>
              <w:pStyle w:val="TableParagraph"/>
              <w:spacing w:before="10"/>
              <w:rPr>
                <w:sz w:val="20"/>
              </w:rPr>
            </w:pPr>
            <w:r>
              <w:rPr>
                <w:sz w:val="20"/>
              </w:rPr>
              <w:t xml:space="preserve">2-arm parallel </w:t>
            </w:r>
            <w:proofErr w:type="spellStart"/>
            <w:r>
              <w:rPr>
                <w:sz w:val="20"/>
              </w:rPr>
              <w:t>cRCT</w:t>
            </w:r>
            <w:proofErr w:type="spellEnd"/>
          </w:p>
        </w:tc>
        <w:tc>
          <w:tcPr>
            <w:tcW w:w="2619" w:type="dxa"/>
          </w:tcPr>
          <w:p w14:paraId="430FB927" w14:textId="77777777" w:rsidR="00075001" w:rsidRDefault="00075001" w:rsidP="00075001">
            <w:pPr>
              <w:pStyle w:val="TableParagraph"/>
              <w:spacing w:before="10"/>
              <w:ind w:right="152"/>
              <w:rPr>
                <w:sz w:val="20"/>
              </w:rPr>
            </w:pPr>
            <w:r>
              <w:rPr>
                <w:sz w:val="20"/>
              </w:rPr>
              <w:t xml:space="preserve">2-arm parallel </w:t>
            </w:r>
            <w:proofErr w:type="spellStart"/>
            <w:r>
              <w:rPr>
                <w:sz w:val="20"/>
              </w:rPr>
              <w:t>cRCT</w:t>
            </w:r>
            <w:proofErr w:type="spellEnd"/>
            <w:r>
              <w:rPr>
                <w:sz w:val="20"/>
              </w:rPr>
              <w:t>, stepped wedge</w:t>
            </w:r>
          </w:p>
        </w:tc>
        <w:tc>
          <w:tcPr>
            <w:tcW w:w="2617" w:type="dxa"/>
          </w:tcPr>
          <w:p w14:paraId="4D3EE2E3" w14:textId="77777777" w:rsidR="00075001" w:rsidRDefault="00075001" w:rsidP="00075001">
            <w:pPr>
              <w:pStyle w:val="TableParagraph"/>
              <w:spacing w:before="10"/>
              <w:rPr>
                <w:sz w:val="20"/>
              </w:rPr>
            </w:pPr>
            <w:r>
              <w:rPr>
                <w:sz w:val="20"/>
              </w:rPr>
              <w:t xml:space="preserve">2-arm parallel </w:t>
            </w:r>
            <w:proofErr w:type="spellStart"/>
            <w:r>
              <w:rPr>
                <w:sz w:val="20"/>
              </w:rPr>
              <w:t>cRCT</w:t>
            </w:r>
            <w:proofErr w:type="spellEnd"/>
          </w:p>
        </w:tc>
        <w:tc>
          <w:tcPr>
            <w:tcW w:w="2624" w:type="dxa"/>
          </w:tcPr>
          <w:p w14:paraId="0092F084" w14:textId="77777777" w:rsidR="00075001" w:rsidRDefault="00075001" w:rsidP="00075001">
            <w:pPr>
              <w:pStyle w:val="TableParagraph"/>
              <w:spacing w:before="10"/>
              <w:rPr>
                <w:sz w:val="20"/>
              </w:rPr>
            </w:pPr>
            <w:r>
              <w:rPr>
                <w:sz w:val="20"/>
              </w:rPr>
              <w:t xml:space="preserve">2-arm parallel </w:t>
            </w:r>
            <w:proofErr w:type="spellStart"/>
            <w:r>
              <w:rPr>
                <w:sz w:val="20"/>
              </w:rPr>
              <w:t>cRCT</w:t>
            </w:r>
            <w:proofErr w:type="spellEnd"/>
          </w:p>
        </w:tc>
      </w:tr>
      <w:tr w:rsidR="00075001" w14:paraId="115C14F6" w14:textId="77777777" w:rsidTr="00075001">
        <w:trPr>
          <w:trHeight w:hRule="exact" w:val="274"/>
        </w:trPr>
        <w:tc>
          <w:tcPr>
            <w:tcW w:w="1413" w:type="dxa"/>
          </w:tcPr>
          <w:p w14:paraId="4622137D" w14:textId="77777777" w:rsidR="00075001" w:rsidRDefault="00075001" w:rsidP="00075001">
            <w:pPr>
              <w:pStyle w:val="TableParagraph"/>
              <w:spacing w:before="10"/>
              <w:rPr>
                <w:b/>
                <w:sz w:val="20"/>
              </w:rPr>
            </w:pPr>
            <w:r>
              <w:rPr>
                <w:b/>
                <w:sz w:val="20"/>
              </w:rPr>
              <w:t>Setting</w:t>
            </w:r>
          </w:p>
        </w:tc>
        <w:tc>
          <w:tcPr>
            <w:tcW w:w="2423" w:type="dxa"/>
          </w:tcPr>
          <w:p w14:paraId="24527B8A" w14:textId="77777777" w:rsidR="00075001" w:rsidRDefault="00075001" w:rsidP="00075001">
            <w:pPr>
              <w:pStyle w:val="TableParagraph"/>
              <w:spacing w:before="10"/>
              <w:rPr>
                <w:sz w:val="20"/>
              </w:rPr>
            </w:pPr>
            <w:r>
              <w:rPr>
                <w:sz w:val="20"/>
              </w:rPr>
              <w:t>General practices (n=72)</w:t>
            </w:r>
          </w:p>
        </w:tc>
        <w:tc>
          <w:tcPr>
            <w:tcW w:w="2616" w:type="dxa"/>
          </w:tcPr>
          <w:p w14:paraId="0B5A261E" w14:textId="77777777" w:rsidR="00075001" w:rsidRDefault="00075001" w:rsidP="00075001">
            <w:pPr>
              <w:pStyle w:val="TableParagraph"/>
              <w:spacing w:before="10"/>
              <w:rPr>
                <w:sz w:val="20"/>
              </w:rPr>
            </w:pPr>
            <w:r>
              <w:rPr>
                <w:sz w:val="20"/>
              </w:rPr>
              <w:t>General practices (n=22)</w:t>
            </w:r>
          </w:p>
        </w:tc>
        <w:tc>
          <w:tcPr>
            <w:tcW w:w="2619" w:type="dxa"/>
          </w:tcPr>
          <w:p w14:paraId="1C74FD3B" w14:textId="77777777" w:rsidR="00075001" w:rsidRDefault="00075001" w:rsidP="00075001">
            <w:pPr>
              <w:pStyle w:val="TableParagraph"/>
              <w:spacing w:before="10"/>
              <w:rPr>
                <w:sz w:val="20"/>
              </w:rPr>
            </w:pPr>
            <w:r>
              <w:rPr>
                <w:sz w:val="20"/>
              </w:rPr>
              <w:t>General practices (n=24)</w:t>
            </w:r>
          </w:p>
        </w:tc>
        <w:tc>
          <w:tcPr>
            <w:tcW w:w="2617" w:type="dxa"/>
          </w:tcPr>
          <w:p w14:paraId="4F2379FA" w14:textId="77777777" w:rsidR="00075001" w:rsidRDefault="00075001" w:rsidP="00075001">
            <w:pPr>
              <w:pStyle w:val="TableParagraph"/>
              <w:spacing w:before="10"/>
              <w:rPr>
                <w:sz w:val="20"/>
              </w:rPr>
            </w:pPr>
            <w:r>
              <w:rPr>
                <w:sz w:val="20"/>
              </w:rPr>
              <w:t>General practices (n=51)</w:t>
            </w:r>
          </w:p>
        </w:tc>
        <w:tc>
          <w:tcPr>
            <w:tcW w:w="2624" w:type="dxa"/>
          </w:tcPr>
          <w:p w14:paraId="1F0B58D8" w14:textId="77777777" w:rsidR="00075001" w:rsidRDefault="00075001" w:rsidP="00075001">
            <w:pPr>
              <w:pStyle w:val="TableParagraph"/>
              <w:spacing w:before="10"/>
              <w:rPr>
                <w:sz w:val="20"/>
              </w:rPr>
            </w:pPr>
            <w:r>
              <w:rPr>
                <w:sz w:val="20"/>
              </w:rPr>
              <w:t>General practices (n=139)</w:t>
            </w:r>
          </w:p>
        </w:tc>
      </w:tr>
      <w:tr w:rsidR="00075001" w14:paraId="785E363B" w14:textId="77777777" w:rsidTr="00075001">
        <w:trPr>
          <w:trHeight w:hRule="exact" w:val="1037"/>
        </w:trPr>
        <w:tc>
          <w:tcPr>
            <w:tcW w:w="1413" w:type="dxa"/>
          </w:tcPr>
          <w:p w14:paraId="149CE794" w14:textId="77777777" w:rsidR="00075001" w:rsidRDefault="00075001" w:rsidP="00075001">
            <w:pPr>
              <w:pStyle w:val="TableParagraph"/>
              <w:spacing w:before="10"/>
              <w:ind w:right="369"/>
              <w:rPr>
                <w:b/>
                <w:sz w:val="20"/>
              </w:rPr>
            </w:pPr>
            <w:r>
              <w:rPr>
                <w:b/>
                <w:sz w:val="20"/>
              </w:rPr>
              <w:t>Study population</w:t>
            </w:r>
          </w:p>
        </w:tc>
        <w:tc>
          <w:tcPr>
            <w:tcW w:w="2423" w:type="dxa"/>
          </w:tcPr>
          <w:p w14:paraId="626CD3CF" w14:textId="77777777" w:rsidR="00075001" w:rsidRDefault="00075001" w:rsidP="00075001">
            <w:pPr>
              <w:pStyle w:val="TableParagraph"/>
              <w:spacing w:before="10"/>
              <w:rPr>
                <w:sz w:val="20"/>
              </w:rPr>
            </w:pPr>
            <w:r>
              <w:rPr>
                <w:sz w:val="20"/>
              </w:rPr>
              <w:t>N=502</w:t>
            </w:r>
          </w:p>
          <w:p w14:paraId="04068B23" w14:textId="77777777" w:rsidR="00075001" w:rsidRDefault="00075001" w:rsidP="00075001">
            <w:pPr>
              <w:pStyle w:val="TableParagraph"/>
              <w:spacing w:before="10"/>
              <w:rPr>
                <w:sz w:val="20"/>
              </w:rPr>
            </w:pPr>
            <w:r>
              <w:rPr>
                <w:sz w:val="20"/>
              </w:rPr>
              <w:t>≥60 years</w:t>
            </w:r>
          </w:p>
          <w:p w14:paraId="0A147684" w14:textId="77777777" w:rsidR="00075001" w:rsidRDefault="00075001" w:rsidP="00075001">
            <w:pPr>
              <w:pStyle w:val="TableParagraph"/>
              <w:spacing w:before="10"/>
              <w:rPr>
                <w:sz w:val="20"/>
              </w:rPr>
            </w:pPr>
            <w:r>
              <w:rPr>
                <w:sz w:val="20"/>
              </w:rPr>
              <w:t>≥5 chronic prescriptions</w:t>
            </w:r>
          </w:p>
          <w:p w14:paraId="4E134D4A" w14:textId="77777777" w:rsidR="00075001" w:rsidRDefault="00075001" w:rsidP="00075001">
            <w:pPr>
              <w:pStyle w:val="TableParagraph"/>
              <w:spacing w:before="10"/>
              <w:rPr>
                <w:sz w:val="20"/>
              </w:rPr>
            </w:pPr>
            <w:r>
              <w:rPr>
                <w:sz w:val="20"/>
              </w:rPr>
              <w:t>≥3 chronic conditions</w:t>
            </w:r>
          </w:p>
        </w:tc>
        <w:tc>
          <w:tcPr>
            <w:tcW w:w="2616" w:type="dxa"/>
          </w:tcPr>
          <w:p w14:paraId="5588F795" w14:textId="77777777" w:rsidR="00075001" w:rsidRDefault="00075001" w:rsidP="00075001">
            <w:pPr>
              <w:pStyle w:val="TableParagraph"/>
              <w:spacing w:before="10"/>
              <w:rPr>
                <w:sz w:val="20"/>
              </w:rPr>
            </w:pPr>
            <w:r>
              <w:rPr>
                <w:sz w:val="20"/>
              </w:rPr>
              <w:t>N=518</w:t>
            </w:r>
          </w:p>
          <w:p w14:paraId="028EF7F5" w14:textId="77777777" w:rsidR="00075001" w:rsidRDefault="00075001" w:rsidP="00075001">
            <w:pPr>
              <w:pStyle w:val="TableParagraph"/>
              <w:spacing w:before="10"/>
              <w:rPr>
                <w:sz w:val="20"/>
              </w:rPr>
            </w:pPr>
            <w:r>
              <w:rPr>
                <w:sz w:val="20"/>
              </w:rPr>
              <w:t>≥65 years</w:t>
            </w:r>
          </w:p>
          <w:p w14:paraId="41CB29E7" w14:textId="77777777" w:rsidR="00075001" w:rsidRDefault="00075001" w:rsidP="00075001">
            <w:pPr>
              <w:pStyle w:val="TableParagraph"/>
              <w:spacing w:before="10" w:line="249" w:lineRule="auto"/>
              <w:ind w:right="609"/>
              <w:rPr>
                <w:sz w:val="20"/>
              </w:rPr>
            </w:pPr>
            <w:r>
              <w:rPr>
                <w:sz w:val="20"/>
              </w:rPr>
              <w:t>≥1 chronic prescription Geriatric giant</w:t>
            </w:r>
          </w:p>
        </w:tc>
        <w:tc>
          <w:tcPr>
            <w:tcW w:w="2619" w:type="dxa"/>
          </w:tcPr>
          <w:p w14:paraId="2A1349BB" w14:textId="77777777" w:rsidR="00075001" w:rsidRDefault="00075001" w:rsidP="00075001">
            <w:pPr>
              <w:pStyle w:val="TableParagraph"/>
              <w:spacing w:before="10"/>
              <w:rPr>
                <w:sz w:val="20"/>
              </w:rPr>
            </w:pPr>
            <w:r>
              <w:rPr>
                <w:sz w:val="20"/>
              </w:rPr>
              <w:t>N=727</w:t>
            </w:r>
          </w:p>
          <w:p w14:paraId="41004800" w14:textId="77777777" w:rsidR="00075001" w:rsidRDefault="00075001" w:rsidP="00075001">
            <w:pPr>
              <w:pStyle w:val="TableParagraph"/>
              <w:spacing w:before="10"/>
              <w:rPr>
                <w:sz w:val="20"/>
              </w:rPr>
            </w:pPr>
            <w:r>
              <w:rPr>
                <w:sz w:val="20"/>
              </w:rPr>
              <w:t>≥60 years</w:t>
            </w:r>
          </w:p>
          <w:p w14:paraId="42D70343" w14:textId="77777777" w:rsidR="00075001" w:rsidRDefault="00075001" w:rsidP="00075001">
            <w:pPr>
              <w:pStyle w:val="TableParagraph"/>
              <w:spacing w:before="10"/>
              <w:rPr>
                <w:sz w:val="20"/>
              </w:rPr>
            </w:pPr>
            <w:r>
              <w:rPr>
                <w:sz w:val="20"/>
              </w:rPr>
              <w:t>≥5 chronic prescriptions</w:t>
            </w:r>
          </w:p>
        </w:tc>
        <w:tc>
          <w:tcPr>
            <w:tcW w:w="2617" w:type="dxa"/>
          </w:tcPr>
          <w:p w14:paraId="4DA50452" w14:textId="77777777" w:rsidR="00075001" w:rsidRDefault="00075001" w:rsidP="00075001">
            <w:pPr>
              <w:pStyle w:val="TableParagraph"/>
              <w:spacing w:before="10"/>
              <w:rPr>
                <w:sz w:val="20"/>
              </w:rPr>
            </w:pPr>
            <w:r>
              <w:rPr>
                <w:sz w:val="20"/>
              </w:rPr>
              <w:t>N=1,617</w:t>
            </w:r>
          </w:p>
          <w:p w14:paraId="4EA3959B" w14:textId="77777777" w:rsidR="00075001" w:rsidRDefault="00075001" w:rsidP="00075001">
            <w:pPr>
              <w:pStyle w:val="TableParagraph"/>
              <w:spacing w:before="10"/>
              <w:rPr>
                <w:sz w:val="20"/>
              </w:rPr>
            </w:pPr>
            <w:r>
              <w:rPr>
                <w:sz w:val="20"/>
              </w:rPr>
              <w:t>≥75 years</w:t>
            </w:r>
          </w:p>
          <w:p w14:paraId="74AF30A6" w14:textId="77777777" w:rsidR="00075001" w:rsidRDefault="00075001" w:rsidP="00075001">
            <w:pPr>
              <w:pStyle w:val="TableParagraph"/>
              <w:spacing w:before="10"/>
              <w:rPr>
                <w:sz w:val="20"/>
              </w:rPr>
            </w:pPr>
            <w:r>
              <w:rPr>
                <w:sz w:val="20"/>
              </w:rPr>
              <w:t>Complex problems on ≥3</w:t>
            </w:r>
          </w:p>
          <w:p w14:paraId="7FEA4C3C" w14:textId="77777777" w:rsidR="00075001" w:rsidRDefault="00075001" w:rsidP="00075001">
            <w:pPr>
              <w:pStyle w:val="TableParagraph"/>
              <w:rPr>
                <w:sz w:val="20"/>
              </w:rPr>
            </w:pPr>
            <w:r>
              <w:rPr>
                <w:sz w:val="20"/>
              </w:rPr>
              <w:t>domains</w:t>
            </w:r>
          </w:p>
        </w:tc>
        <w:tc>
          <w:tcPr>
            <w:tcW w:w="2624" w:type="dxa"/>
          </w:tcPr>
          <w:p w14:paraId="5A7B846B" w14:textId="77777777" w:rsidR="00075001" w:rsidRDefault="00075001" w:rsidP="00075001">
            <w:pPr>
              <w:pStyle w:val="TableParagraph"/>
              <w:spacing w:before="10"/>
              <w:rPr>
                <w:sz w:val="20"/>
              </w:rPr>
            </w:pPr>
            <w:r>
              <w:rPr>
                <w:sz w:val="20"/>
              </w:rPr>
              <w:t>N=1,197</w:t>
            </w:r>
          </w:p>
          <w:p w14:paraId="4F93E8FE" w14:textId="77777777" w:rsidR="00075001" w:rsidRDefault="00075001" w:rsidP="00075001">
            <w:pPr>
              <w:pStyle w:val="TableParagraph"/>
              <w:spacing w:before="10"/>
              <w:rPr>
                <w:sz w:val="20"/>
              </w:rPr>
            </w:pPr>
            <w:r>
              <w:rPr>
                <w:sz w:val="20"/>
              </w:rPr>
              <w:t>≥6 chronic prescriptions</w:t>
            </w:r>
          </w:p>
        </w:tc>
      </w:tr>
      <w:tr w:rsidR="00075001" w14:paraId="560BE0C8" w14:textId="77777777" w:rsidTr="00075001">
        <w:trPr>
          <w:trHeight w:hRule="exact" w:val="2257"/>
        </w:trPr>
        <w:tc>
          <w:tcPr>
            <w:tcW w:w="1413" w:type="dxa"/>
          </w:tcPr>
          <w:p w14:paraId="51536D18" w14:textId="77777777" w:rsidR="00075001" w:rsidRDefault="00075001" w:rsidP="00075001">
            <w:pPr>
              <w:pStyle w:val="TableParagraph"/>
              <w:spacing w:before="10"/>
              <w:ind w:right="506"/>
              <w:rPr>
                <w:b/>
                <w:sz w:val="20"/>
              </w:rPr>
            </w:pPr>
            <w:r>
              <w:rPr>
                <w:b/>
                <w:sz w:val="20"/>
              </w:rPr>
              <w:t>Exclusion criteria</w:t>
            </w:r>
          </w:p>
        </w:tc>
        <w:tc>
          <w:tcPr>
            <w:tcW w:w="2423" w:type="dxa"/>
          </w:tcPr>
          <w:p w14:paraId="088D0EB5" w14:textId="77777777" w:rsidR="00075001" w:rsidRDefault="00075001" w:rsidP="00075001">
            <w:pPr>
              <w:pStyle w:val="TableParagraph"/>
              <w:spacing w:before="10"/>
              <w:rPr>
                <w:sz w:val="20"/>
              </w:rPr>
            </w:pPr>
            <w:r>
              <w:rPr>
                <w:sz w:val="20"/>
              </w:rPr>
              <w:t>Life expectancy of ≤12</w:t>
            </w:r>
          </w:p>
          <w:p w14:paraId="2679F931" w14:textId="77777777" w:rsidR="00075001" w:rsidRDefault="00075001" w:rsidP="00075001">
            <w:pPr>
              <w:pStyle w:val="TableParagraph"/>
              <w:rPr>
                <w:sz w:val="20"/>
              </w:rPr>
            </w:pPr>
            <w:r>
              <w:rPr>
                <w:sz w:val="20"/>
              </w:rPr>
              <w:t>months</w:t>
            </w:r>
          </w:p>
          <w:p w14:paraId="3059928F" w14:textId="77777777" w:rsidR="00075001" w:rsidRDefault="00075001" w:rsidP="00075001">
            <w:pPr>
              <w:pStyle w:val="TableParagraph"/>
              <w:spacing w:before="10"/>
              <w:ind w:right="202"/>
              <w:rPr>
                <w:sz w:val="20"/>
              </w:rPr>
            </w:pPr>
            <w:r>
              <w:rPr>
                <w:sz w:val="20"/>
              </w:rPr>
              <w:t>Abuse of alcohol or illegal drugs</w:t>
            </w:r>
          </w:p>
          <w:p w14:paraId="775855E8" w14:textId="77777777" w:rsidR="00075001" w:rsidRDefault="00075001" w:rsidP="00075001">
            <w:pPr>
              <w:pStyle w:val="TableParagraph"/>
              <w:spacing w:before="10"/>
              <w:ind w:right="335"/>
              <w:rPr>
                <w:sz w:val="20"/>
              </w:rPr>
            </w:pPr>
            <w:r>
              <w:rPr>
                <w:sz w:val="20"/>
              </w:rPr>
              <w:t>Inability to fill in questionnaires and to participate in telephone interviews</w:t>
            </w:r>
          </w:p>
          <w:p w14:paraId="12E49CF2" w14:textId="77777777" w:rsidR="00075001" w:rsidRDefault="00075001" w:rsidP="00075001">
            <w:pPr>
              <w:pStyle w:val="TableParagraph"/>
              <w:spacing w:before="10"/>
              <w:rPr>
                <w:sz w:val="20"/>
              </w:rPr>
            </w:pPr>
            <w:r>
              <w:rPr>
                <w:sz w:val="20"/>
              </w:rPr>
              <w:t>Dementia</w:t>
            </w:r>
          </w:p>
        </w:tc>
        <w:tc>
          <w:tcPr>
            <w:tcW w:w="2616" w:type="dxa"/>
          </w:tcPr>
          <w:p w14:paraId="6765A689" w14:textId="77777777" w:rsidR="00075001" w:rsidRDefault="00075001" w:rsidP="00075001">
            <w:pPr>
              <w:pStyle w:val="TableParagraph"/>
              <w:spacing w:before="10" w:line="242" w:lineRule="auto"/>
              <w:ind w:right="108"/>
              <w:rPr>
                <w:sz w:val="20"/>
              </w:rPr>
            </w:pPr>
            <w:r>
              <w:rPr>
                <w:sz w:val="20"/>
              </w:rPr>
              <w:t>Life expectancy of ≤6 months Severe psychiatric illness or other reasons why GP regards patient as unable to participate</w:t>
            </w:r>
          </w:p>
          <w:p w14:paraId="41B2BF92" w14:textId="77777777" w:rsidR="00075001" w:rsidRDefault="00075001" w:rsidP="00075001">
            <w:pPr>
              <w:pStyle w:val="TableParagraph"/>
              <w:spacing w:before="7"/>
              <w:ind w:right="366"/>
              <w:rPr>
                <w:sz w:val="20"/>
              </w:rPr>
            </w:pPr>
            <w:r>
              <w:rPr>
                <w:sz w:val="20"/>
              </w:rPr>
              <w:t>Recent medication review (last 6 months)</w:t>
            </w:r>
          </w:p>
          <w:p w14:paraId="016C09CD" w14:textId="77777777" w:rsidR="00075001" w:rsidRDefault="00075001" w:rsidP="00075001">
            <w:pPr>
              <w:pStyle w:val="TableParagraph"/>
              <w:spacing w:before="9"/>
              <w:rPr>
                <w:sz w:val="20"/>
              </w:rPr>
            </w:pPr>
            <w:r>
              <w:rPr>
                <w:sz w:val="20"/>
              </w:rPr>
              <w:t>Dementia</w:t>
            </w:r>
          </w:p>
        </w:tc>
        <w:tc>
          <w:tcPr>
            <w:tcW w:w="2619" w:type="dxa"/>
          </w:tcPr>
          <w:p w14:paraId="28C0B512" w14:textId="77777777" w:rsidR="00075001" w:rsidRDefault="00075001" w:rsidP="00075001">
            <w:pPr>
              <w:pStyle w:val="TableParagraph"/>
              <w:spacing w:before="10"/>
              <w:rPr>
                <w:sz w:val="20"/>
              </w:rPr>
            </w:pPr>
            <w:r>
              <w:rPr>
                <w:sz w:val="20"/>
              </w:rPr>
              <w:t>Life expectancy of ≤12</w:t>
            </w:r>
          </w:p>
          <w:p w14:paraId="03EF44D7" w14:textId="77777777" w:rsidR="00075001" w:rsidRDefault="00075001" w:rsidP="00075001">
            <w:pPr>
              <w:pStyle w:val="TableParagraph"/>
              <w:rPr>
                <w:sz w:val="20"/>
              </w:rPr>
            </w:pPr>
            <w:r>
              <w:rPr>
                <w:sz w:val="20"/>
              </w:rPr>
              <w:t>months</w:t>
            </w:r>
          </w:p>
          <w:p w14:paraId="0D30AE28" w14:textId="77777777" w:rsidR="00075001" w:rsidRDefault="00075001" w:rsidP="00075001">
            <w:pPr>
              <w:pStyle w:val="TableParagraph"/>
              <w:spacing w:before="10"/>
              <w:ind w:right="398"/>
              <w:rPr>
                <w:sz w:val="20"/>
              </w:rPr>
            </w:pPr>
            <w:r>
              <w:rPr>
                <w:sz w:val="20"/>
              </w:rPr>
              <w:t>Abuse of alcohol or illegal drugs</w:t>
            </w:r>
          </w:p>
          <w:p w14:paraId="1F95FFA6" w14:textId="77777777" w:rsidR="00075001" w:rsidRDefault="00075001" w:rsidP="00075001">
            <w:pPr>
              <w:pStyle w:val="TableParagraph"/>
              <w:spacing w:before="10"/>
              <w:rPr>
                <w:sz w:val="20"/>
              </w:rPr>
            </w:pPr>
            <w:r>
              <w:rPr>
                <w:sz w:val="20"/>
              </w:rPr>
              <w:t>Dementia</w:t>
            </w:r>
          </w:p>
        </w:tc>
        <w:tc>
          <w:tcPr>
            <w:tcW w:w="2617" w:type="dxa"/>
          </w:tcPr>
          <w:p w14:paraId="587D4D98" w14:textId="77777777" w:rsidR="00075001" w:rsidRDefault="00075001" w:rsidP="00075001">
            <w:pPr>
              <w:pStyle w:val="TableParagraph"/>
              <w:spacing w:before="10"/>
              <w:ind w:right="106"/>
              <w:rPr>
                <w:sz w:val="20"/>
              </w:rPr>
            </w:pPr>
            <w:r>
              <w:rPr>
                <w:sz w:val="20"/>
              </w:rPr>
              <w:t>Life expectancy of ≤3 months or terminal illness</w:t>
            </w:r>
          </w:p>
          <w:p w14:paraId="5A16B0F2" w14:textId="77777777" w:rsidR="00075001" w:rsidRDefault="00075001" w:rsidP="00075001">
            <w:pPr>
              <w:pStyle w:val="TableParagraph"/>
              <w:spacing w:before="10"/>
              <w:rPr>
                <w:sz w:val="20"/>
              </w:rPr>
            </w:pPr>
            <w:r>
              <w:rPr>
                <w:sz w:val="20"/>
              </w:rPr>
              <w:t>Dementia</w:t>
            </w:r>
          </w:p>
        </w:tc>
        <w:tc>
          <w:tcPr>
            <w:tcW w:w="2624" w:type="dxa"/>
          </w:tcPr>
          <w:p w14:paraId="338F2BA7" w14:textId="77777777" w:rsidR="00075001" w:rsidRDefault="00075001" w:rsidP="00075001">
            <w:pPr>
              <w:pStyle w:val="TableParagraph"/>
              <w:spacing w:before="10"/>
              <w:ind w:right="113"/>
              <w:rPr>
                <w:sz w:val="20"/>
              </w:rPr>
            </w:pPr>
            <w:r>
              <w:rPr>
                <w:sz w:val="20"/>
              </w:rPr>
              <w:t>Life expectancy of ≤6 months as assessed by the treating GP</w:t>
            </w:r>
          </w:p>
          <w:p w14:paraId="168A6330" w14:textId="77777777" w:rsidR="00075001" w:rsidRDefault="00075001" w:rsidP="00075001">
            <w:pPr>
              <w:pStyle w:val="TableParagraph"/>
              <w:spacing w:before="10"/>
              <w:rPr>
                <w:sz w:val="20"/>
              </w:rPr>
            </w:pPr>
            <w:r>
              <w:rPr>
                <w:sz w:val="20"/>
              </w:rPr>
              <w:t>Dementia</w:t>
            </w:r>
          </w:p>
        </w:tc>
      </w:tr>
      <w:tr w:rsidR="00075001" w14:paraId="0FC1559B" w14:textId="77777777" w:rsidTr="00075001">
        <w:trPr>
          <w:trHeight w:hRule="exact" w:val="1007"/>
        </w:trPr>
        <w:tc>
          <w:tcPr>
            <w:tcW w:w="1413" w:type="dxa"/>
          </w:tcPr>
          <w:p w14:paraId="20BB4947" w14:textId="77777777" w:rsidR="00075001" w:rsidRDefault="00075001" w:rsidP="00075001">
            <w:pPr>
              <w:pStyle w:val="TableParagraph"/>
              <w:spacing w:before="10"/>
              <w:rPr>
                <w:b/>
                <w:sz w:val="20"/>
              </w:rPr>
            </w:pPr>
            <w:r>
              <w:rPr>
                <w:b/>
                <w:sz w:val="20"/>
              </w:rPr>
              <w:t>Intervention</w:t>
            </w:r>
          </w:p>
        </w:tc>
        <w:tc>
          <w:tcPr>
            <w:tcW w:w="2423" w:type="dxa"/>
          </w:tcPr>
          <w:p w14:paraId="4BF6DC7E" w14:textId="77777777" w:rsidR="00075001" w:rsidRDefault="00075001" w:rsidP="00075001">
            <w:pPr>
              <w:pStyle w:val="TableParagraph"/>
              <w:spacing w:before="10"/>
              <w:ind w:right="224"/>
              <w:rPr>
                <w:sz w:val="20"/>
              </w:rPr>
            </w:pPr>
            <w:r>
              <w:rPr>
                <w:sz w:val="20"/>
              </w:rPr>
              <w:t>Structured medication review including several intervention components (complex intervention)</w:t>
            </w:r>
          </w:p>
        </w:tc>
        <w:tc>
          <w:tcPr>
            <w:tcW w:w="2616" w:type="dxa"/>
          </w:tcPr>
          <w:p w14:paraId="5875B459" w14:textId="77777777" w:rsidR="00075001" w:rsidRDefault="00075001" w:rsidP="00075001">
            <w:pPr>
              <w:pStyle w:val="TableParagraph"/>
              <w:spacing w:before="10"/>
              <w:ind w:right="417"/>
              <w:rPr>
                <w:sz w:val="20"/>
              </w:rPr>
            </w:pPr>
            <w:r>
              <w:rPr>
                <w:sz w:val="20"/>
              </w:rPr>
              <w:t>Structured medication review including several intervention components (complex intervention)</w:t>
            </w:r>
          </w:p>
        </w:tc>
        <w:tc>
          <w:tcPr>
            <w:tcW w:w="2619" w:type="dxa"/>
          </w:tcPr>
          <w:p w14:paraId="3694ADB9" w14:textId="77777777" w:rsidR="00075001" w:rsidRDefault="00075001" w:rsidP="00075001">
            <w:pPr>
              <w:pStyle w:val="TableParagraph"/>
              <w:spacing w:before="10"/>
              <w:ind w:right="420"/>
              <w:rPr>
                <w:sz w:val="20"/>
              </w:rPr>
            </w:pPr>
            <w:r>
              <w:rPr>
                <w:sz w:val="20"/>
              </w:rPr>
              <w:t>Structured medication review including several intervention components (complex intervention)</w:t>
            </w:r>
          </w:p>
        </w:tc>
        <w:tc>
          <w:tcPr>
            <w:tcW w:w="2617" w:type="dxa"/>
          </w:tcPr>
          <w:p w14:paraId="00D9618F" w14:textId="77777777" w:rsidR="00075001" w:rsidRDefault="00075001" w:rsidP="00075001">
            <w:pPr>
              <w:pStyle w:val="TableParagraph"/>
              <w:spacing w:before="10"/>
              <w:ind w:right="133"/>
              <w:rPr>
                <w:sz w:val="20"/>
              </w:rPr>
            </w:pPr>
            <w:r>
              <w:rPr>
                <w:sz w:val="20"/>
              </w:rPr>
              <w:t>Integrated care plan using a functional geriatric approach</w:t>
            </w:r>
          </w:p>
        </w:tc>
        <w:tc>
          <w:tcPr>
            <w:tcW w:w="2624" w:type="dxa"/>
          </w:tcPr>
          <w:p w14:paraId="2E806C23" w14:textId="77777777" w:rsidR="00075001" w:rsidRDefault="00075001" w:rsidP="00075001">
            <w:pPr>
              <w:pStyle w:val="TableParagraph"/>
              <w:spacing w:before="10"/>
              <w:ind w:right="425"/>
              <w:rPr>
                <w:sz w:val="20"/>
              </w:rPr>
            </w:pPr>
            <w:r>
              <w:rPr>
                <w:sz w:val="20"/>
              </w:rPr>
              <w:t>Structured medication review including several intervention components (complex intervention)</w:t>
            </w:r>
          </w:p>
        </w:tc>
      </w:tr>
      <w:tr w:rsidR="00075001" w14:paraId="790A7395" w14:textId="77777777" w:rsidTr="00075001">
        <w:trPr>
          <w:trHeight w:hRule="exact" w:val="762"/>
        </w:trPr>
        <w:tc>
          <w:tcPr>
            <w:tcW w:w="1413" w:type="dxa"/>
          </w:tcPr>
          <w:p w14:paraId="06FDE6F4" w14:textId="77777777" w:rsidR="00075001" w:rsidRDefault="00075001" w:rsidP="00075001">
            <w:pPr>
              <w:pStyle w:val="TableParagraph"/>
              <w:spacing w:before="10"/>
              <w:ind w:right="229"/>
              <w:rPr>
                <w:b/>
                <w:sz w:val="20"/>
              </w:rPr>
            </w:pPr>
            <w:r>
              <w:rPr>
                <w:b/>
                <w:sz w:val="20"/>
              </w:rPr>
              <w:t>Data collection (study visits)</w:t>
            </w:r>
          </w:p>
        </w:tc>
        <w:tc>
          <w:tcPr>
            <w:tcW w:w="2423" w:type="dxa"/>
          </w:tcPr>
          <w:p w14:paraId="5591CCFC" w14:textId="77777777" w:rsidR="00075001" w:rsidRDefault="00075001" w:rsidP="00075001">
            <w:pPr>
              <w:pStyle w:val="TableParagraph"/>
              <w:spacing w:before="10"/>
              <w:rPr>
                <w:sz w:val="20"/>
              </w:rPr>
            </w:pPr>
            <w:r>
              <w:rPr>
                <w:sz w:val="20"/>
              </w:rPr>
              <w:t>0, 6, 9 months</w:t>
            </w:r>
          </w:p>
        </w:tc>
        <w:tc>
          <w:tcPr>
            <w:tcW w:w="2616" w:type="dxa"/>
          </w:tcPr>
          <w:p w14:paraId="5571B36E" w14:textId="77777777" w:rsidR="00075001" w:rsidRDefault="00075001" w:rsidP="00075001">
            <w:pPr>
              <w:pStyle w:val="TableParagraph"/>
              <w:spacing w:before="10"/>
              <w:rPr>
                <w:sz w:val="20"/>
              </w:rPr>
            </w:pPr>
            <w:r>
              <w:rPr>
                <w:sz w:val="20"/>
              </w:rPr>
              <w:t>0, 3, 6 months</w:t>
            </w:r>
          </w:p>
        </w:tc>
        <w:tc>
          <w:tcPr>
            <w:tcW w:w="2619" w:type="dxa"/>
          </w:tcPr>
          <w:p w14:paraId="05FD56E2" w14:textId="77777777" w:rsidR="00075001" w:rsidRDefault="00075001" w:rsidP="00075001">
            <w:pPr>
              <w:pStyle w:val="TableParagraph"/>
              <w:spacing w:before="10"/>
              <w:rPr>
                <w:sz w:val="20"/>
              </w:rPr>
            </w:pPr>
            <w:r>
              <w:rPr>
                <w:sz w:val="20"/>
              </w:rPr>
              <w:t>0, 3, 6, 12 months</w:t>
            </w:r>
          </w:p>
        </w:tc>
        <w:tc>
          <w:tcPr>
            <w:tcW w:w="2617" w:type="dxa"/>
          </w:tcPr>
          <w:p w14:paraId="62FAE05C" w14:textId="77777777" w:rsidR="00075001" w:rsidRDefault="00075001" w:rsidP="00075001">
            <w:pPr>
              <w:pStyle w:val="TableParagraph"/>
              <w:spacing w:before="10"/>
              <w:rPr>
                <w:sz w:val="20"/>
              </w:rPr>
            </w:pPr>
            <w:r>
              <w:rPr>
                <w:sz w:val="20"/>
              </w:rPr>
              <w:t>0, 6, 12 months</w:t>
            </w:r>
          </w:p>
        </w:tc>
        <w:tc>
          <w:tcPr>
            <w:tcW w:w="2624" w:type="dxa"/>
          </w:tcPr>
          <w:p w14:paraId="4D7E1578" w14:textId="77777777" w:rsidR="00075001" w:rsidRDefault="00075001" w:rsidP="00075001">
            <w:pPr>
              <w:pStyle w:val="TableParagraph"/>
              <w:spacing w:before="10"/>
              <w:rPr>
                <w:sz w:val="20"/>
              </w:rPr>
            </w:pPr>
            <w:r>
              <w:rPr>
                <w:sz w:val="20"/>
              </w:rPr>
              <w:t>0, 6, 12 months</w:t>
            </w:r>
          </w:p>
        </w:tc>
      </w:tr>
    </w:tbl>
    <w:p w14:paraId="210116EA" w14:textId="77777777" w:rsidR="00075001" w:rsidRDefault="00075001" w:rsidP="00075001">
      <w:pPr>
        <w:rPr>
          <w:sz w:val="20"/>
        </w:rPr>
        <w:sectPr w:rsidR="00075001">
          <w:headerReference w:type="default" r:id="rId17"/>
          <w:footerReference w:type="default" r:id="rId18"/>
          <w:pgSz w:w="16840" w:h="11900" w:orient="landscape"/>
          <w:pgMar w:top="1100" w:right="980" w:bottom="280" w:left="1300" w:header="0" w:footer="0" w:gutter="0"/>
          <w:cols w:space="720"/>
        </w:sectPr>
      </w:pPr>
    </w:p>
    <w:p w14:paraId="41D8C52E" w14:textId="77777777" w:rsidR="00075001" w:rsidRDefault="00075001" w:rsidP="00075001">
      <w:pPr>
        <w:pStyle w:val="BodyText"/>
        <w:rPr>
          <w:b/>
          <w:sz w:val="20"/>
        </w:rPr>
      </w:pPr>
    </w:p>
    <w:p w14:paraId="34115C10" w14:textId="77777777" w:rsidR="00075001" w:rsidRDefault="00075001" w:rsidP="00075001">
      <w:pPr>
        <w:pStyle w:val="BodyText"/>
        <w:spacing w:before="2" w:after="1"/>
        <w:rPr>
          <w:b/>
          <w:sz w:val="2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423"/>
        <w:gridCol w:w="2616"/>
        <w:gridCol w:w="2619"/>
        <w:gridCol w:w="2617"/>
        <w:gridCol w:w="2624"/>
      </w:tblGrid>
      <w:tr w:rsidR="00075001" w14:paraId="49A20521" w14:textId="77777777" w:rsidTr="00075001">
        <w:trPr>
          <w:trHeight w:hRule="exact" w:val="772"/>
        </w:trPr>
        <w:tc>
          <w:tcPr>
            <w:tcW w:w="1413" w:type="dxa"/>
          </w:tcPr>
          <w:p w14:paraId="1905B04D" w14:textId="77777777" w:rsidR="00075001" w:rsidRDefault="00075001" w:rsidP="00075001">
            <w:pPr>
              <w:pStyle w:val="TableParagraph"/>
              <w:spacing w:before="10"/>
              <w:ind w:right="472"/>
              <w:rPr>
                <w:b/>
                <w:sz w:val="20"/>
              </w:rPr>
            </w:pPr>
            <w:r>
              <w:rPr>
                <w:b/>
                <w:sz w:val="20"/>
              </w:rPr>
              <w:t>Data collection (method)</w:t>
            </w:r>
          </w:p>
        </w:tc>
        <w:tc>
          <w:tcPr>
            <w:tcW w:w="2423" w:type="dxa"/>
          </w:tcPr>
          <w:p w14:paraId="0A492F53" w14:textId="77777777" w:rsidR="00075001" w:rsidRDefault="00075001" w:rsidP="00075001">
            <w:pPr>
              <w:pStyle w:val="TableParagraph"/>
              <w:spacing w:before="10"/>
              <w:ind w:right="235"/>
              <w:rPr>
                <w:sz w:val="20"/>
              </w:rPr>
            </w:pPr>
            <w:r>
              <w:rPr>
                <w:sz w:val="20"/>
              </w:rPr>
              <w:t>CRF, patient questionnaire, telephone interview</w:t>
            </w:r>
          </w:p>
        </w:tc>
        <w:tc>
          <w:tcPr>
            <w:tcW w:w="2616" w:type="dxa"/>
          </w:tcPr>
          <w:p w14:paraId="34A94338" w14:textId="77777777" w:rsidR="00075001" w:rsidRDefault="00075001" w:rsidP="00075001">
            <w:pPr>
              <w:pStyle w:val="TableParagraph"/>
              <w:spacing w:before="10"/>
              <w:rPr>
                <w:sz w:val="20"/>
              </w:rPr>
            </w:pPr>
            <w:r>
              <w:rPr>
                <w:sz w:val="20"/>
              </w:rPr>
              <w:t>CRF, patient questionnaire</w:t>
            </w:r>
          </w:p>
        </w:tc>
        <w:tc>
          <w:tcPr>
            <w:tcW w:w="2619" w:type="dxa"/>
          </w:tcPr>
          <w:p w14:paraId="5C847A6F" w14:textId="77777777" w:rsidR="00075001" w:rsidRDefault="00075001" w:rsidP="00075001">
            <w:pPr>
              <w:pStyle w:val="TableParagraph"/>
              <w:spacing w:before="10"/>
              <w:ind w:right="275"/>
              <w:rPr>
                <w:sz w:val="20"/>
              </w:rPr>
            </w:pPr>
            <w:r>
              <w:rPr>
                <w:sz w:val="20"/>
              </w:rPr>
              <w:t>CRF, patient questionnaire, home visit</w:t>
            </w:r>
          </w:p>
        </w:tc>
        <w:tc>
          <w:tcPr>
            <w:tcW w:w="2617" w:type="dxa"/>
          </w:tcPr>
          <w:p w14:paraId="6159CBEA" w14:textId="77777777" w:rsidR="00075001" w:rsidRDefault="00075001" w:rsidP="00075001">
            <w:pPr>
              <w:pStyle w:val="TableParagraph"/>
              <w:spacing w:before="10"/>
              <w:ind w:right="162"/>
              <w:rPr>
                <w:sz w:val="20"/>
              </w:rPr>
            </w:pPr>
            <w:r>
              <w:rPr>
                <w:sz w:val="20"/>
              </w:rPr>
              <w:t>Patient questionnaire, home visit</w:t>
            </w:r>
          </w:p>
        </w:tc>
        <w:tc>
          <w:tcPr>
            <w:tcW w:w="2624" w:type="dxa"/>
          </w:tcPr>
          <w:p w14:paraId="4CF0B6CF" w14:textId="77777777" w:rsidR="00075001" w:rsidRDefault="00075001" w:rsidP="00075001">
            <w:pPr>
              <w:pStyle w:val="TableParagraph"/>
              <w:spacing w:before="10"/>
              <w:ind w:right="280"/>
              <w:rPr>
                <w:sz w:val="20"/>
              </w:rPr>
            </w:pPr>
            <w:r>
              <w:rPr>
                <w:sz w:val="20"/>
              </w:rPr>
              <w:t>CRF, patient questionnaire, telephone interview</w:t>
            </w:r>
          </w:p>
        </w:tc>
      </w:tr>
    </w:tbl>
    <w:p w14:paraId="67ABAC56" w14:textId="77777777" w:rsidR="00075001" w:rsidRDefault="00075001" w:rsidP="00075001">
      <w:pPr>
        <w:pStyle w:val="BodyText"/>
        <w:spacing w:before="5"/>
        <w:rPr>
          <w:b/>
          <w:sz w:val="17"/>
        </w:rPr>
      </w:pPr>
    </w:p>
    <w:p w14:paraId="3FFF47EB" w14:textId="77777777" w:rsidR="00075001" w:rsidRDefault="00075001" w:rsidP="00075001">
      <w:pPr>
        <w:pStyle w:val="BodyText"/>
        <w:spacing w:before="56"/>
        <w:ind w:left="116"/>
      </w:pPr>
      <w:proofErr w:type="spellStart"/>
      <w:r>
        <w:t>cRCT</w:t>
      </w:r>
      <w:proofErr w:type="spellEnd"/>
      <w:r>
        <w:t>= Cluster-Randomized Controlled Trial; CRF = Case Report Form</w:t>
      </w:r>
    </w:p>
    <w:p w14:paraId="269150E0" w14:textId="77777777" w:rsidR="00075001" w:rsidRDefault="00075001" w:rsidP="00A453A4">
      <w:pPr>
        <w:rPr>
          <w:rFonts w:asciiTheme="minorHAnsi" w:eastAsiaTheme="minorHAnsi" w:hAnsiTheme="minorHAnsi" w:cstheme="minorBidi"/>
        </w:rPr>
        <w:sectPr w:rsidR="00075001" w:rsidSect="00A453A4">
          <w:pgSz w:w="16840" w:h="11901" w:orient="landscape"/>
          <w:pgMar w:top="1701" w:right="1418" w:bottom="1701" w:left="1418" w:header="709" w:footer="709" w:gutter="0"/>
          <w:cols w:space="708"/>
          <w:docGrid w:linePitch="360"/>
        </w:sectPr>
      </w:pPr>
    </w:p>
    <w:p w14:paraId="3199030C" w14:textId="77777777" w:rsidR="00075001" w:rsidRPr="00075001" w:rsidRDefault="00075001" w:rsidP="00075001">
      <w:pPr>
        <w:spacing w:before="37"/>
        <w:ind w:left="101"/>
        <w:rPr>
          <w:rFonts w:asciiTheme="minorHAnsi" w:hAnsiTheme="minorHAnsi" w:cstheme="minorHAnsi"/>
          <w:b/>
        </w:rPr>
      </w:pPr>
      <w:proofErr w:type="spellStart"/>
      <w:r w:rsidRPr="00075001">
        <w:rPr>
          <w:rFonts w:asciiTheme="minorHAnsi" w:hAnsiTheme="minorHAnsi" w:cstheme="minorHAnsi"/>
          <w:b/>
          <w:sz w:val="22"/>
        </w:rPr>
        <w:lastRenderedPageBreak/>
        <w:t>Supplemental</w:t>
      </w:r>
      <w:proofErr w:type="spellEnd"/>
      <w:r w:rsidRPr="00075001">
        <w:rPr>
          <w:rFonts w:asciiTheme="minorHAnsi" w:hAnsiTheme="minorHAnsi" w:cstheme="minorHAnsi"/>
          <w:b/>
          <w:sz w:val="22"/>
        </w:rPr>
        <w:t xml:space="preserve"> Table 2. </w:t>
      </w:r>
      <w:proofErr w:type="spellStart"/>
      <w:r w:rsidRPr="00075001">
        <w:rPr>
          <w:rFonts w:asciiTheme="minorHAnsi" w:hAnsiTheme="minorHAnsi" w:cstheme="minorHAnsi"/>
          <w:b/>
          <w:sz w:val="22"/>
        </w:rPr>
        <w:t>Prognostic</w:t>
      </w:r>
      <w:proofErr w:type="spellEnd"/>
      <w:r w:rsidRPr="00075001">
        <w:rPr>
          <w:rFonts w:asciiTheme="minorHAnsi" w:hAnsiTheme="minorHAnsi" w:cstheme="minorHAnsi"/>
          <w:b/>
          <w:sz w:val="22"/>
        </w:rPr>
        <w:t xml:space="preserve"> variables and </w:t>
      </w:r>
      <w:proofErr w:type="spellStart"/>
      <w:r w:rsidRPr="00075001">
        <w:rPr>
          <w:rFonts w:asciiTheme="minorHAnsi" w:hAnsiTheme="minorHAnsi" w:cstheme="minorHAnsi"/>
          <w:b/>
          <w:sz w:val="22"/>
        </w:rPr>
        <w:t>their</w:t>
      </w:r>
      <w:proofErr w:type="spellEnd"/>
      <w:r w:rsidRPr="00075001">
        <w:rPr>
          <w:rFonts w:asciiTheme="minorHAnsi" w:hAnsiTheme="minorHAnsi" w:cstheme="minorHAnsi"/>
          <w:b/>
          <w:sz w:val="22"/>
        </w:rPr>
        <w:t xml:space="preserve"> </w:t>
      </w:r>
      <w:proofErr w:type="spellStart"/>
      <w:r w:rsidRPr="00075001">
        <w:rPr>
          <w:rFonts w:asciiTheme="minorHAnsi" w:hAnsiTheme="minorHAnsi" w:cstheme="minorHAnsi"/>
          <w:b/>
          <w:sz w:val="22"/>
        </w:rPr>
        <w:t>definitions</w:t>
      </w:r>
      <w:proofErr w:type="spellEnd"/>
    </w:p>
    <w:p w14:paraId="5616C118" w14:textId="77777777" w:rsidR="00075001" w:rsidRDefault="00075001" w:rsidP="00075001">
      <w:pPr>
        <w:pStyle w:val="BodyText"/>
        <w:spacing w:before="12"/>
        <w:rPr>
          <w:b/>
          <w:sz w:val="21"/>
        </w:rPr>
      </w:pP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2"/>
        <w:gridCol w:w="1862"/>
        <w:gridCol w:w="2364"/>
      </w:tblGrid>
      <w:tr w:rsidR="00075001" w14:paraId="6F900985" w14:textId="77777777" w:rsidTr="00075001">
        <w:trPr>
          <w:trHeight w:hRule="exact" w:val="279"/>
        </w:trPr>
        <w:tc>
          <w:tcPr>
            <w:tcW w:w="4262" w:type="dxa"/>
          </w:tcPr>
          <w:p w14:paraId="41FA9879" w14:textId="77777777" w:rsidR="00075001" w:rsidRDefault="00075001" w:rsidP="00075001">
            <w:pPr>
              <w:pStyle w:val="TableParagraph"/>
              <w:rPr>
                <w:b/>
              </w:rPr>
            </w:pPr>
            <w:r>
              <w:rPr>
                <w:b/>
              </w:rPr>
              <w:t>Candidate prognostic variable</w:t>
            </w:r>
          </w:p>
        </w:tc>
        <w:tc>
          <w:tcPr>
            <w:tcW w:w="1862" w:type="dxa"/>
          </w:tcPr>
          <w:p w14:paraId="45B8433B" w14:textId="77777777" w:rsidR="00075001" w:rsidRDefault="00075001" w:rsidP="00075001">
            <w:pPr>
              <w:pStyle w:val="TableParagraph"/>
              <w:rPr>
                <w:b/>
              </w:rPr>
            </w:pPr>
            <w:r>
              <w:rPr>
                <w:b/>
              </w:rPr>
              <w:t>Type of variable</w:t>
            </w:r>
          </w:p>
        </w:tc>
        <w:tc>
          <w:tcPr>
            <w:tcW w:w="2364" w:type="dxa"/>
          </w:tcPr>
          <w:p w14:paraId="48F81024" w14:textId="77777777" w:rsidR="00075001" w:rsidRDefault="00075001" w:rsidP="00075001">
            <w:pPr>
              <w:pStyle w:val="TableParagraph"/>
              <w:rPr>
                <w:b/>
              </w:rPr>
            </w:pPr>
            <w:r>
              <w:rPr>
                <w:b/>
              </w:rPr>
              <w:t>Categories</w:t>
            </w:r>
          </w:p>
        </w:tc>
      </w:tr>
      <w:tr w:rsidR="00075001" w14:paraId="71E54F54" w14:textId="77777777" w:rsidTr="00075001">
        <w:trPr>
          <w:trHeight w:hRule="exact" w:val="790"/>
        </w:trPr>
        <w:tc>
          <w:tcPr>
            <w:tcW w:w="8488" w:type="dxa"/>
            <w:gridSpan w:val="3"/>
          </w:tcPr>
          <w:p w14:paraId="03CA285C" w14:textId="77777777" w:rsidR="00075001" w:rsidRDefault="00075001" w:rsidP="00075001">
            <w:pPr>
              <w:pStyle w:val="TableParagraph"/>
              <w:spacing w:before="11"/>
              <w:ind w:left="0"/>
              <w:rPr>
                <w:b/>
                <w:sz w:val="20"/>
              </w:rPr>
            </w:pPr>
          </w:p>
          <w:p w14:paraId="7D7AFA67" w14:textId="77777777" w:rsidR="00075001" w:rsidRDefault="00075001" w:rsidP="00075001">
            <w:pPr>
              <w:pStyle w:val="TableParagraph"/>
              <w:rPr>
                <w:i/>
              </w:rPr>
            </w:pPr>
            <w:r>
              <w:rPr>
                <w:i/>
              </w:rPr>
              <w:t>Sociodemographic and lifestyle-related</w:t>
            </w:r>
          </w:p>
        </w:tc>
      </w:tr>
      <w:tr w:rsidR="00075001" w14:paraId="771ED953" w14:textId="77777777" w:rsidTr="00075001">
        <w:trPr>
          <w:trHeight w:hRule="exact" w:val="279"/>
        </w:trPr>
        <w:tc>
          <w:tcPr>
            <w:tcW w:w="4262" w:type="dxa"/>
          </w:tcPr>
          <w:p w14:paraId="05214AEC" w14:textId="77777777" w:rsidR="00075001" w:rsidRDefault="00075001" w:rsidP="00075001">
            <w:pPr>
              <w:pStyle w:val="TableParagraph"/>
            </w:pPr>
            <w:r>
              <w:t>Age</w:t>
            </w:r>
          </w:p>
        </w:tc>
        <w:tc>
          <w:tcPr>
            <w:tcW w:w="1862" w:type="dxa"/>
          </w:tcPr>
          <w:p w14:paraId="6943E785" w14:textId="77777777" w:rsidR="00075001" w:rsidRDefault="00075001" w:rsidP="00075001">
            <w:pPr>
              <w:pStyle w:val="TableParagraph"/>
            </w:pPr>
            <w:r>
              <w:t>Continuous</w:t>
            </w:r>
          </w:p>
        </w:tc>
        <w:tc>
          <w:tcPr>
            <w:tcW w:w="2364" w:type="dxa"/>
          </w:tcPr>
          <w:p w14:paraId="6D15C476" w14:textId="77777777" w:rsidR="00075001" w:rsidRDefault="00075001" w:rsidP="00075001"/>
        </w:tc>
      </w:tr>
      <w:tr w:rsidR="00075001" w14:paraId="7D102A76" w14:textId="77777777" w:rsidTr="00075001">
        <w:trPr>
          <w:trHeight w:hRule="exact" w:val="279"/>
        </w:trPr>
        <w:tc>
          <w:tcPr>
            <w:tcW w:w="4262" w:type="dxa"/>
          </w:tcPr>
          <w:p w14:paraId="75844C18" w14:textId="77777777" w:rsidR="00075001" w:rsidRDefault="00075001" w:rsidP="00075001">
            <w:pPr>
              <w:pStyle w:val="TableParagraph"/>
            </w:pPr>
            <w:r>
              <w:t>Sex</w:t>
            </w:r>
          </w:p>
        </w:tc>
        <w:tc>
          <w:tcPr>
            <w:tcW w:w="1862" w:type="dxa"/>
          </w:tcPr>
          <w:p w14:paraId="6F683A2A" w14:textId="77777777" w:rsidR="00075001" w:rsidRDefault="00075001" w:rsidP="00075001">
            <w:pPr>
              <w:pStyle w:val="TableParagraph"/>
            </w:pPr>
            <w:r>
              <w:t>Binary</w:t>
            </w:r>
          </w:p>
        </w:tc>
        <w:tc>
          <w:tcPr>
            <w:tcW w:w="2364" w:type="dxa"/>
          </w:tcPr>
          <w:p w14:paraId="0C8C4A6F" w14:textId="77777777" w:rsidR="00075001" w:rsidRDefault="00075001" w:rsidP="00075001">
            <w:pPr>
              <w:pStyle w:val="TableParagraph"/>
            </w:pPr>
            <w:r>
              <w:t>Male / female</w:t>
            </w:r>
          </w:p>
        </w:tc>
      </w:tr>
      <w:tr w:rsidR="00075001" w14:paraId="3D527853" w14:textId="77777777" w:rsidTr="00075001">
        <w:trPr>
          <w:trHeight w:hRule="exact" w:val="547"/>
        </w:trPr>
        <w:tc>
          <w:tcPr>
            <w:tcW w:w="4262" w:type="dxa"/>
          </w:tcPr>
          <w:p w14:paraId="7039DC29" w14:textId="77777777" w:rsidR="00075001" w:rsidRDefault="00075001" w:rsidP="00075001">
            <w:pPr>
              <w:pStyle w:val="TableParagraph"/>
            </w:pPr>
            <w:r>
              <w:t>Living situation</w:t>
            </w:r>
          </w:p>
        </w:tc>
        <w:tc>
          <w:tcPr>
            <w:tcW w:w="1862" w:type="dxa"/>
          </w:tcPr>
          <w:p w14:paraId="76C0154A" w14:textId="77777777" w:rsidR="00075001" w:rsidRDefault="00075001" w:rsidP="00075001">
            <w:pPr>
              <w:pStyle w:val="TableParagraph"/>
            </w:pPr>
            <w:r>
              <w:t>Binary</w:t>
            </w:r>
          </w:p>
        </w:tc>
        <w:tc>
          <w:tcPr>
            <w:tcW w:w="2364" w:type="dxa"/>
          </w:tcPr>
          <w:p w14:paraId="41FDB696" w14:textId="77777777" w:rsidR="00075001" w:rsidRDefault="00075001" w:rsidP="00075001">
            <w:pPr>
              <w:pStyle w:val="TableParagraph"/>
              <w:ind w:right="791"/>
            </w:pPr>
            <w:r>
              <w:t>At home / institutionalized</w:t>
            </w:r>
          </w:p>
        </w:tc>
      </w:tr>
      <w:tr w:rsidR="00075001" w14:paraId="5C07269C" w14:textId="77777777" w:rsidTr="00075001">
        <w:trPr>
          <w:trHeight w:hRule="exact" w:val="279"/>
        </w:trPr>
        <w:tc>
          <w:tcPr>
            <w:tcW w:w="4262" w:type="dxa"/>
          </w:tcPr>
          <w:p w14:paraId="1FDEEE35" w14:textId="77777777" w:rsidR="00075001" w:rsidRDefault="00075001" w:rsidP="00075001">
            <w:pPr>
              <w:pStyle w:val="TableParagraph"/>
            </w:pPr>
            <w:r>
              <w:t>Educational level</w:t>
            </w:r>
          </w:p>
        </w:tc>
        <w:tc>
          <w:tcPr>
            <w:tcW w:w="1862" w:type="dxa"/>
          </w:tcPr>
          <w:p w14:paraId="466529DD" w14:textId="77777777" w:rsidR="00075001" w:rsidRDefault="00075001" w:rsidP="00075001">
            <w:pPr>
              <w:pStyle w:val="TableParagraph"/>
            </w:pPr>
            <w:r>
              <w:t>Quasi-continuous</w:t>
            </w:r>
          </w:p>
        </w:tc>
        <w:tc>
          <w:tcPr>
            <w:tcW w:w="2364" w:type="dxa"/>
          </w:tcPr>
          <w:p w14:paraId="3203EF7C" w14:textId="77777777" w:rsidR="00075001" w:rsidRDefault="00075001" w:rsidP="00075001"/>
        </w:tc>
      </w:tr>
      <w:tr w:rsidR="00075001" w14:paraId="36F133B5" w14:textId="77777777" w:rsidTr="00075001">
        <w:trPr>
          <w:trHeight w:hRule="exact" w:val="547"/>
        </w:trPr>
        <w:tc>
          <w:tcPr>
            <w:tcW w:w="4262" w:type="dxa"/>
          </w:tcPr>
          <w:p w14:paraId="19612237" w14:textId="77777777" w:rsidR="00075001" w:rsidRDefault="00075001" w:rsidP="00075001">
            <w:pPr>
              <w:pStyle w:val="TableParagraph"/>
              <w:spacing w:before="134"/>
            </w:pPr>
            <w:r>
              <w:t>Smoking status</w:t>
            </w:r>
          </w:p>
        </w:tc>
        <w:tc>
          <w:tcPr>
            <w:tcW w:w="1862" w:type="dxa"/>
          </w:tcPr>
          <w:p w14:paraId="3E6A4EE7" w14:textId="77777777" w:rsidR="00075001" w:rsidRDefault="00075001" w:rsidP="00075001">
            <w:pPr>
              <w:pStyle w:val="TableParagraph"/>
              <w:spacing w:before="134"/>
            </w:pPr>
            <w:r>
              <w:t>Categorical</w:t>
            </w:r>
          </w:p>
        </w:tc>
        <w:tc>
          <w:tcPr>
            <w:tcW w:w="2364" w:type="dxa"/>
          </w:tcPr>
          <w:p w14:paraId="0F61D33B" w14:textId="77777777" w:rsidR="00075001" w:rsidRDefault="00075001" w:rsidP="00075001">
            <w:pPr>
              <w:pStyle w:val="TableParagraph"/>
              <w:ind w:right="314"/>
            </w:pPr>
            <w:r>
              <w:t>Smoker / ex-smoker / non-smoker</w:t>
            </w:r>
          </w:p>
        </w:tc>
      </w:tr>
      <w:tr w:rsidR="00075001" w14:paraId="3613C205" w14:textId="77777777" w:rsidTr="00075001">
        <w:trPr>
          <w:trHeight w:hRule="exact" w:val="723"/>
        </w:trPr>
        <w:tc>
          <w:tcPr>
            <w:tcW w:w="8488" w:type="dxa"/>
            <w:gridSpan w:val="3"/>
          </w:tcPr>
          <w:p w14:paraId="5E598636" w14:textId="77777777" w:rsidR="00075001" w:rsidRDefault="00075001" w:rsidP="00075001">
            <w:pPr>
              <w:pStyle w:val="TableParagraph"/>
              <w:spacing w:before="2"/>
              <w:ind w:left="0"/>
              <w:rPr>
                <w:b/>
                <w:sz w:val="18"/>
              </w:rPr>
            </w:pPr>
          </w:p>
          <w:p w14:paraId="2B7EAF31" w14:textId="77777777" w:rsidR="00075001" w:rsidRDefault="00075001" w:rsidP="00075001">
            <w:pPr>
              <w:pStyle w:val="TableParagraph"/>
              <w:rPr>
                <w:i/>
              </w:rPr>
            </w:pPr>
            <w:r>
              <w:rPr>
                <w:i/>
              </w:rPr>
              <w:t>Morbidity-related</w:t>
            </w:r>
          </w:p>
        </w:tc>
      </w:tr>
      <w:tr w:rsidR="00075001" w14:paraId="15FC8CCD" w14:textId="77777777" w:rsidTr="00075001">
        <w:trPr>
          <w:trHeight w:hRule="exact" w:val="4576"/>
        </w:trPr>
        <w:tc>
          <w:tcPr>
            <w:tcW w:w="4262" w:type="dxa"/>
          </w:tcPr>
          <w:p w14:paraId="2F06FDC7" w14:textId="77777777" w:rsidR="00075001" w:rsidRDefault="00075001" w:rsidP="00075001">
            <w:pPr>
              <w:pStyle w:val="TableParagraph"/>
            </w:pPr>
            <w:r>
              <w:t>Single conditions (n = 15)</w:t>
            </w:r>
          </w:p>
          <w:p w14:paraId="3A428B78" w14:textId="77777777" w:rsidR="00075001" w:rsidRDefault="00075001" w:rsidP="00310A7C">
            <w:pPr>
              <w:pStyle w:val="TableParagraph"/>
              <w:numPr>
                <w:ilvl w:val="0"/>
                <w:numId w:val="1"/>
              </w:numPr>
              <w:tabs>
                <w:tab w:val="left" w:pos="462"/>
                <w:tab w:val="left" w:pos="463"/>
              </w:tabs>
            </w:pPr>
            <w:r>
              <w:t>Cancer</w:t>
            </w:r>
          </w:p>
          <w:p w14:paraId="25ED3BB5" w14:textId="77777777" w:rsidR="00075001" w:rsidRDefault="00075001" w:rsidP="00310A7C">
            <w:pPr>
              <w:pStyle w:val="TableParagraph"/>
              <w:numPr>
                <w:ilvl w:val="0"/>
                <w:numId w:val="1"/>
              </w:numPr>
              <w:tabs>
                <w:tab w:val="left" w:pos="462"/>
                <w:tab w:val="left" w:pos="463"/>
              </w:tabs>
              <w:ind w:left="462" w:hanging="359"/>
            </w:pPr>
            <w:r>
              <w:t>Cerebrovascular</w:t>
            </w:r>
            <w:r>
              <w:rPr>
                <w:spacing w:val="-9"/>
              </w:rPr>
              <w:t xml:space="preserve"> </w:t>
            </w:r>
            <w:r>
              <w:t>disease</w:t>
            </w:r>
          </w:p>
          <w:p w14:paraId="191862AD" w14:textId="77777777" w:rsidR="00075001" w:rsidRDefault="00075001" w:rsidP="00310A7C">
            <w:pPr>
              <w:pStyle w:val="TableParagraph"/>
              <w:numPr>
                <w:ilvl w:val="0"/>
                <w:numId w:val="1"/>
              </w:numPr>
              <w:tabs>
                <w:tab w:val="left" w:pos="462"/>
                <w:tab w:val="left" w:pos="463"/>
              </w:tabs>
              <w:ind w:right="100"/>
            </w:pPr>
            <w:r>
              <w:t>Chronic obstructive pulmonary disease / asthma</w:t>
            </w:r>
          </w:p>
          <w:p w14:paraId="578E4B1B" w14:textId="77777777" w:rsidR="00075001" w:rsidRDefault="00075001" w:rsidP="00310A7C">
            <w:pPr>
              <w:pStyle w:val="TableParagraph"/>
              <w:numPr>
                <w:ilvl w:val="0"/>
                <w:numId w:val="1"/>
              </w:numPr>
              <w:tabs>
                <w:tab w:val="left" w:pos="462"/>
                <w:tab w:val="left" w:pos="463"/>
              </w:tabs>
              <w:ind w:left="462" w:hanging="359"/>
            </w:pPr>
            <w:r>
              <w:t>Coronary heart</w:t>
            </w:r>
            <w:r>
              <w:rPr>
                <w:spacing w:val="-15"/>
              </w:rPr>
              <w:t xml:space="preserve"> </w:t>
            </w:r>
            <w:r>
              <w:t>disease</w:t>
            </w:r>
          </w:p>
          <w:p w14:paraId="08E436DC" w14:textId="77777777" w:rsidR="00075001" w:rsidRDefault="00075001" w:rsidP="00310A7C">
            <w:pPr>
              <w:pStyle w:val="TableParagraph"/>
              <w:numPr>
                <w:ilvl w:val="0"/>
                <w:numId w:val="1"/>
              </w:numPr>
              <w:tabs>
                <w:tab w:val="left" w:pos="462"/>
                <w:tab w:val="left" w:pos="463"/>
              </w:tabs>
              <w:ind w:left="462" w:hanging="359"/>
            </w:pPr>
            <w:r>
              <w:t>Depression</w:t>
            </w:r>
          </w:p>
          <w:p w14:paraId="3619468D" w14:textId="77777777" w:rsidR="00075001" w:rsidRDefault="00075001" w:rsidP="00310A7C">
            <w:pPr>
              <w:pStyle w:val="TableParagraph"/>
              <w:numPr>
                <w:ilvl w:val="0"/>
                <w:numId w:val="1"/>
              </w:numPr>
              <w:tabs>
                <w:tab w:val="left" w:pos="462"/>
                <w:tab w:val="left" w:pos="463"/>
              </w:tabs>
              <w:ind w:left="462" w:hanging="359"/>
            </w:pPr>
            <w:r>
              <w:t>Diabetes</w:t>
            </w:r>
          </w:p>
          <w:p w14:paraId="02B464A5" w14:textId="77777777" w:rsidR="00075001" w:rsidRDefault="00075001" w:rsidP="00310A7C">
            <w:pPr>
              <w:pStyle w:val="TableParagraph"/>
              <w:numPr>
                <w:ilvl w:val="0"/>
                <w:numId w:val="1"/>
              </w:numPr>
              <w:tabs>
                <w:tab w:val="left" w:pos="462"/>
                <w:tab w:val="left" w:pos="463"/>
              </w:tabs>
              <w:ind w:left="462" w:hanging="359"/>
            </w:pPr>
            <w:r>
              <w:t>Hearing</w:t>
            </w:r>
            <w:r>
              <w:rPr>
                <w:spacing w:val="-9"/>
              </w:rPr>
              <w:t xml:space="preserve"> </w:t>
            </w:r>
            <w:r>
              <w:t>problems</w:t>
            </w:r>
          </w:p>
          <w:p w14:paraId="5D85C41D" w14:textId="77777777" w:rsidR="00075001" w:rsidRDefault="00075001" w:rsidP="00310A7C">
            <w:pPr>
              <w:pStyle w:val="TableParagraph"/>
              <w:numPr>
                <w:ilvl w:val="0"/>
                <w:numId w:val="1"/>
              </w:numPr>
              <w:tabs>
                <w:tab w:val="left" w:pos="462"/>
                <w:tab w:val="left" w:pos="463"/>
              </w:tabs>
              <w:ind w:left="462" w:hanging="359"/>
            </w:pPr>
            <w:r>
              <w:t>Heart</w:t>
            </w:r>
            <w:r>
              <w:rPr>
                <w:spacing w:val="-10"/>
              </w:rPr>
              <w:t xml:space="preserve"> </w:t>
            </w:r>
            <w:r>
              <w:t>failure</w:t>
            </w:r>
          </w:p>
          <w:p w14:paraId="6FC172E3" w14:textId="77777777" w:rsidR="00075001" w:rsidRDefault="00075001" w:rsidP="00310A7C">
            <w:pPr>
              <w:pStyle w:val="TableParagraph"/>
              <w:numPr>
                <w:ilvl w:val="0"/>
                <w:numId w:val="1"/>
              </w:numPr>
              <w:tabs>
                <w:tab w:val="left" w:pos="462"/>
                <w:tab w:val="left" w:pos="463"/>
              </w:tabs>
              <w:ind w:left="462" w:hanging="359"/>
            </w:pPr>
            <w:r>
              <w:t>HIV infection</w:t>
            </w:r>
            <w:r>
              <w:rPr>
                <w:spacing w:val="-6"/>
              </w:rPr>
              <w:t xml:space="preserve"> </w:t>
            </w:r>
            <w:r>
              <w:t>/AIDS</w:t>
            </w:r>
          </w:p>
          <w:p w14:paraId="6B6163F3" w14:textId="77777777" w:rsidR="00075001" w:rsidRDefault="00075001" w:rsidP="00310A7C">
            <w:pPr>
              <w:pStyle w:val="TableParagraph"/>
              <w:numPr>
                <w:ilvl w:val="0"/>
                <w:numId w:val="1"/>
              </w:numPr>
              <w:tabs>
                <w:tab w:val="left" w:pos="462"/>
                <w:tab w:val="left" w:pos="463"/>
              </w:tabs>
              <w:ind w:left="462" w:hanging="359"/>
            </w:pPr>
            <w:r>
              <w:t>Hypertension</w:t>
            </w:r>
          </w:p>
          <w:p w14:paraId="12445A4A" w14:textId="77777777" w:rsidR="00075001" w:rsidRDefault="00075001" w:rsidP="00310A7C">
            <w:pPr>
              <w:pStyle w:val="TableParagraph"/>
              <w:numPr>
                <w:ilvl w:val="0"/>
                <w:numId w:val="1"/>
              </w:numPr>
              <w:tabs>
                <w:tab w:val="left" w:pos="462"/>
                <w:tab w:val="left" w:pos="463"/>
              </w:tabs>
              <w:ind w:left="462" w:hanging="359"/>
            </w:pPr>
            <w:r>
              <w:t>Osteoarthritis</w:t>
            </w:r>
          </w:p>
          <w:p w14:paraId="634889D8" w14:textId="77777777" w:rsidR="00075001" w:rsidRDefault="00075001" w:rsidP="00310A7C">
            <w:pPr>
              <w:pStyle w:val="TableParagraph"/>
              <w:numPr>
                <w:ilvl w:val="0"/>
                <w:numId w:val="1"/>
              </w:numPr>
              <w:tabs>
                <w:tab w:val="left" w:pos="462"/>
                <w:tab w:val="left" w:pos="463"/>
              </w:tabs>
              <w:ind w:left="462" w:hanging="359"/>
            </w:pPr>
            <w:r>
              <w:t>Osteoporosis</w:t>
            </w:r>
          </w:p>
          <w:p w14:paraId="70DD0FD0" w14:textId="77777777" w:rsidR="00075001" w:rsidRDefault="00075001" w:rsidP="00310A7C">
            <w:pPr>
              <w:pStyle w:val="TableParagraph"/>
              <w:numPr>
                <w:ilvl w:val="0"/>
                <w:numId w:val="1"/>
              </w:numPr>
              <w:tabs>
                <w:tab w:val="left" w:pos="462"/>
                <w:tab w:val="left" w:pos="463"/>
              </w:tabs>
              <w:ind w:left="462" w:hanging="359"/>
            </w:pPr>
            <w:r>
              <w:t>Parkinsonism</w:t>
            </w:r>
          </w:p>
          <w:p w14:paraId="6BB4916D" w14:textId="77777777" w:rsidR="00075001" w:rsidRDefault="00075001" w:rsidP="00310A7C">
            <w:pPr>
              <w:pStyle w:val="TableParagraph"/>
              <w:numPr>
                <w:ilvl w:val="0"/>
                <w:numId w:val="1"/>
              </w:numPr>
              <w:tabs>
                <w:tab w:val="left" w:pos="462"/>
                <w:tab w:val="left" w:pos="463"/>
              </w:tabs>
              <w:ind w:left="462" w:hanging="359"/>
            </w:pPr>
            <w:r>
              <w:t>Rheumatoid / seropositive</w:t>
            </w:r>
            <w:r>
              <w:rPr>
                <w:spacing w:val="-11"/>
              </w:rPr>
              <w:t xml:space="preserve"> </w:t>
            </w:r>
            <w:r>
              <w:t>arthritis</w:t>
            </w:r>
          </w:p>
          <w:p w14:paraId="093BEDF9" w14:textId="77777777" w:rsidR="00075001" w:rsidRDefault="00075001" w:rsidP="00310A7C">
            <w:pPr>
              <w:pStyle w:val="TableParagraph"/>
              <w:numPr>
                <w:ilvl w:val="0"/>
                <w:numId w:val="1"/>
              </w:numPr>
              <w:tabs>
                <w:tab w:val="left" w:pos="462"/>
                <w:tab w:val="left" w:pos="463"/>
              </w:tabs>
              <w:ind w:left="462" w:hanging="359"/>
            </w:pPr>
            <w:r>
              <w:t>Vision</w:t>
            </w:r>
            <w:r>
              <w:rPr>
                <w:spacing w:val="-8"/>
              </w:rPr>
              <w:t xml:space="preserve"> </w:t>
            </w:r>
            <w:r>
              <w:t>problems</w:t>
            </w:r>
          </w:p>
        </w:tc>
        <w:tc>
          <w:tcPr>
            <w:tcW w:w="1862" w:type="dxa"/>
          </w:tcPr>
          <w:p w14:paraId="5B25282C" w14:textId="77777777" w:rsidR="00075001" w:rsidRDefault="00075001" w:rsidP="00075001">
            <w:pPr>
              <w:pStyle w:val="TableParagraph"/>
              <w:ind w:left="0"/>
              <w:rPr>
                <w:b/>
              </w:rPr>
            </w:pPr>
          </w:p>
          <w:p w14:paraId="3B82FB19" w14:textId="77777777" w:rsidR="00075001" w:rsidRDefault="00075001" w:rsidP="00075001">
            <w:pPr>
              <w:pStyle w:val="TableParagraph"/>
              <w:ind w:left="0"/>
              <w:rPr>
                <w:b/>
              </w:rPr>
            </w:pPr>
          </w:p>
          <w:p w14:paraId="2AE7C321" w14:textId="77777777" w:rsidR="00075001" w:rsidRDefault="00075001" w:rsidP="00075001">
            <w:pPr>
              <w:pStyle w:val="TableParagraph"/>
              <w:ind w:left="0"/>
              <w:rPr>
                <w:b/>
              </w:rPr>
            </w:pPr>
          </w:p>
          <w:p w14:paraId="183582B0" w14:textId="77777777" w:rsidR="00075001" w:rsidRDefault="00075001" w:rsidP="00075001">
            <w:pPr>
              <w:pStyle w:val="TableParagraph"/>
              <w:ind w:left="0"/>
              <w:rPr>
                <w:b/>
              </w:rPr>
            </w:pPr>
          </w:p>
          <w:p w14:paraId="57E3482B" w14:textId="77777777" w:rsidR="00075001" w:rsidRDefault="00075001" w:rsidP="00075001">
            <w:pPr>
              <w:pStyle w:val="TableParagraph"/>
              <w:ind w:left="0"/>
              <w:rPr>
                <w:b/>
              </w:rPr>
            </w:pPr>
          </w:p>
          <w:p w14:paraId="4554763C" w14:textId="77777777" w:rsidR="00075001" w:rsidRDefault="00075001" w:rsidP="00075001">
            <w:pPr>
              <w:pStyle w:val="TableParagraph"/>
              <w:ind w:left="0"/>
              <w:rPr>
                <w:b/>
              </w:rPr>
            </w:pPr>
          </w:p>
          <w:p w14:paraId="5448A2C1" w14:textId="77777777" w:rsidR="00075001" w:rsidRDefault="00075001" w:rsidP="00075001">
            <w:pPr>
              <w:pStyle w:val="TableParagraph"/>
              <w:ind w:left="0"/>
              <w:rPr>
                <w:b/>
              </w:rPr>
            </w:pPr>
          </w:p>
          <w:p w14:paraId="0198A07B" w14:textId="77777777" w:rsidR="00075001" w:rsidRDefault="00075001" w:rsidP="00075001">
            <w:pPr>
              <w:pStyle w:val="TableParagraph"/>
              <w:ind w:left="0"/>
              <w:rPr>
                <w:b/>
              </w:rPr>
            </w:pPr>
          </w:p>
          <w:p w14:paraId="57514468" w14:textId="77777777" w:rsidR="00075001" w:rsidRDefault="00075001" w:rsidP="00075001">
            <w:pPr>
              <w:pStyle w:val="TableParagraph"/>
            </w:pPr>
            <w:r>
              <w:t>Binary</w:t>
            </w:r>
          </w:p>
        </w:tc>
        <w:tc>
          <w:tcPr>
            <w:tcW w:w="2364" w:type="dxa"/>
          </w:tcPr>
          <w:p w14:paraId="63BA2CB0" w14:textId="77777777" w:rsidR="00075001" w:rsidRDefault="00075001" w:rsidP="00075001">
            <w:pPr>
              <w:pStyle w:val="TableParagraph"/>
              <w:ind w:left="0"/>
              <w:rPr>
                <w:b/>
              </w:rPr>
            </w:pPr>
          </w:p>
          <w:p w14:paraId="7851383F" w14:textId="77777777" w:rsidR="00075001" w:rsidRDefault="00075001" w:rsidP="00075001">
            <w:pPr>
              <w:pStyle w:val="TableParagraph"/>
              <w:ind w:left="0"/>
              <w:rPr>
                <w:b/>
              </w:rPr>
            </w:pPr>
          </w:p>
          <w:p w14:paraId="5EE7C0B2" w14:textId="77777777" w:rsidR="00075001" w:rsidRDefault="00075001" w:rsidP="00075001">
            <w:pPr>
              <w:pStyle w:val="TableParagraph"/>
              <w:ind w:left="0"/>
              <w:rPr>
                <w:b/>
              </w:rPr>
            </w:pPr>
          </w:p>
          <w:p w14:paraId="7BD85795" w14:textId="77777777" w:rsidR="00075001" w:rsidRDefault="00075001" w:rsidP="00075001">
            <w:pPr>
              <w:pStyle w:val="TableParagraph"/>
              <w:ind w:left="0"/>
              <w:rPr>
                <w:b/>
              </w:rPr>
            </w:pPr>
          </w:p>
          <w:p w14:paraId="35A4F70D" w14:textId="77777777" w:rsidR="00075001" w:rsidRDefault="00075001" w:rsidP="00075001">
            <w:pPr>
              <w:pStyle w:val="TableParagraph"/>
              <w:ind w:left="0"/>
              <w:rPr>
                <w:b/>
              </w:rPr>
            </w:pPr>
          </w:p>
          <w:p w14:paraId="14A67462" w14:textId="77777777" w:rsidR="00075001" w:rsidRDefault="00075001" w:rsidP="00075001">
            <w:pPr>
              <w:pStyle w:val="TableParagraph"/>
              <w:ind w:left="0"/>
              <w:rPr>
                <w:b/>
              </w:rPr>
            </w:pPr>
          </w:p>
          <w:p w14:paraId="50CB9217" w14:textId="77777777" w:rsidR="00075001" w:rsidRDefault="00075001" w:rsidP="00075001">
            <w:pPr>
              <w:pStyle w:val="TableParagraph"/>
              <w:ind w:left="0"/>
              <w:rPr>
                <w:b/>
              </w:rPr>
            </w:pPr>
          </w:p>
          <w:p w14:paraId="2CB068EE" w14:textId="77777777" w:rsidR="00075001" w:rsidRDefault="00075001" w:rsidP="00075001">
            <w:pPr>
              <w:pStyle w:val="TableParagraph"/>
              <w:ind w:left="0"/>
              <w:rPr>
                <w:b/>
              </w:rPr>
            </w:pPr>
          </w:p>
          <w:p w14:paraId="06B62D82" w14:textId="77777777" w:rsidR="00075001" w:rsidRDefault="00075001" w:rsidP="00075001">
            <w:pPr>
              <w:pStyle w:val="TableParagraph"/>
            </w:pPr>
            <w:r>
              <w:t>Yes / No</w:t>
            </w:r>
          </w:p>
        </w:tc>
      </w:tr>
      <w:tr w:rsidR="00075001" w14:paraId="2151B9BF" w14:textId="77777777" w:rsidTr="00075001">
        <w:trPr>
          <w:trHeight w:hRule="exact" w:val="279"/>
        </w:trPr>
        <w:tc>
          <w:tcPr>
            <w:tcW w:w="4262" w:type="dxa"/>
          </w:tcPr>
          <w:p w14:paraId="14B24D45" w14:textId="77777777" w:rsidR="00075001" w:rsidRDefault="00075001" w:rsidP="00075001">
            <w:pPr>
              <w:pStyle w:val="TableParagraph"/>
            </w:pPr>
            <w:r>
              <w:t xml:space="preserve">Disease count according to </w:t>
            </w:r>
            <w:proofErr w:type="spellStart"/>
            <w:r>
              <w:t>Diederichs</w:t>
            </w:r>
            <w:proofErr w:type="spellEnd"/>
            <w:r>
              <w:t xml:space="preserve"> list</w:t>
            </w:r>
          </w:p>
        </w:tc>
        <w:tc>
          <w:tcPr>
            <w:tcW w:w="1862" w:type="dxa"/>
          </w:tcPr>
          <w:p w14:paraId="174B1DC5" w14:textId="77777777" w:rsidR="00075001" w:rsidRDefault="00075001" w:rsidP="00075001">
            <w:pPr>
              <w:pStyle w:val="TableParagraph"/>
            </w:pPr>
            <w:r>
              <w:t>Continuous</w:t>
            </w:r>
          </w:p>
        </w:tc>
        <w:tc>
          <w:tcPr>
            <w:tcW w:w="2364" w:type="dxa"/>
          </w:tcPr>
          <w:p w14:paraId="37C1CFE8" w14:textId="77777777" w:rsidR="00075001" w:rsidRDefault="00075001" w:rsidP="00075001"/>
        </w:tc>
      </w:tr>
      <w:tr w:rsidR="00075001" w14:paraId="469D06E1" w14:textId="77777777" w:rsidTr="00075001">
        <w:trPr>
          <w:trHeight w:hRule="exact" w:val="279"/>
        </w:trPr>
        <w:tc>
          <w:tcPr>
            <w:tcW w:w="4262" w:type="dxa"/>
          </w:tcPr>
          <w:p w14:paraId="574F8C48" w14:textId="77777777" w:rsidR="00075001" w:rsidRDefault="00075001" w:rsidP="00075001">
            <w:pPr>
              <w:pStyle w:val="TableParagraph"/>
            </w:pPr>
            <w:proofErr w:type="spellStart"/>
            <w:r>
              <w:t>Charlson</w:t>
            </w:r>
            <w:proofErr w:type="spellEnd"/>
            <w:r>
              <w:t xml:space="preserve"> comorbidity index</w:t>
            </w:r>
          </w:p>
        </w:tc>
        <w:tc>
          <w:tcPr>
            <w:tcW w:w="1862" w:type="dxa"/>
          </w:tcPr>
          <w:p w14:paraId="21C59354" w14:textId="77777777" w:rsidR="00075001" w:rsidRDefault="00075001" w:rsidP="00075001">
            <w:pPr>
              <w:pStyle w:val="TableParagraph"/>
            </w:pPr>
            <w:r>
              <w:t>Continuous</w:t>
            </w:r>
          </w:p>
        </w:tc>
        <w:tc>
          <w:tcPr>
            <w:tcW w:w="2364" w:type="dxa"/>
          </w:tcPr>
          <w:p w14:paraId="33B1C9F2" w14:textId="77777777" w:rsidR="00075001" w:rsidRDefault="00075001" w:rsidP="00075001"/>
        </w:tc>
      </w:tr>
      <w:tr w:rsidR="00075001" w14:paraId="609425F0" w14:textId="77777777" w:rsidTr="00075001">
        <w:trPr>
          <w:trHeight w:hRule="exact" w:val="789"/>
        </w:trPr>
        <w:tc>
          <w:tcPr>
            <w:tcW w:w="8488" w:type="dxa"/>
            <w:gridSpan w:val="3"/>
          </w:tcPr>
          <w:p w14:paraId="111DC7E6" w14:textId="77777777" w:rsidR="00075001" w:rsidRDefault="00075001" w:rsidP="00075001">
            <w:pPr>
              <w:pStyle w:val="TableParagraph"/>
              <w:spacing w:before="11"/>
              <w:ind w:left="0"/>
              <w:rPr>
                <w:b/>
                <w:sz w:val="20"/>
              </w:rPr>
            </w:pPr>
          </w:p>
          <w:p w14:paraId="3E8A7415" w14:textId="77777777" w:rsidR="00075001" w:rsidRDefault="00075001" w:rsidP="00075001">
            <w:pPr>
              <w:pStyle w:val="TableParagraph"/>
              <w:rPr>
                <w:i/>
              </w:rPr>
            </w:pPr>
            <w:r>
              <w:rPr>
                <w:i/>
              </w:rPr>
              <w:t>Medication-related</w:t>
            </w:r>
          </w:p>
        </w:tc>
      </w:tr>
      <w:tr w:rsidR="00075001" w14:paraId="59464ED8" w14:textId="77777777" w:rsidTr="00075001">
        <w:trPr>
          <w:trHeight w:hRule="exact" w:val="279"/>
        </w:trPr>
        <w:tc>
          <w:tcPr>
            <w:tcW w:w="4262" w:type="dxa"/>
          </w:tcPr>
          <w:p w14:paraId="2E806000" w14:textId="77777777" w:rsidR="00075001" w:rsidRDefault="00075001" w:rsidP="00075001">
            <w:pPr>
              <w:pStyle w:val="TableParagraph"/>
            </w:pPr>
            <w:r>
              <w:t>No. of drugs</w:t>
            </w:r>
          </w:p>
        </w:tc>
        <w:tc>
          <w:tcPr>
            <w:tcW w:w="1862" w:type="dxa"/>
          </w:tcPr>
          <w:p w14:paraId="0DEFA47D" w14:textId="77777777" w:rsidR="00075001" w:rsidRDefault="00075001" w:rsidP="00075001">
            <w:pPr>
              <w:pStyle w:val="TableParagraph"/>
            </w:pPr>
            <w:r>
              <w:t>Continuous</w:t>
            </w:r>
          </w:p>
        </w:tc>
        <w:tc>
          <w:tcPr>
            <w:tcW w:w="2364" w:type="dxa"/>
          </w:tcPr>
          <w:p w14:paraId="3D8603A3" w14:textId="77777777" w:rsidR="00075001" w:rsidRDefault="00075001" w:rsidP="00075001"/>
        </w:tc>
      </w:tr>
      <w:tr w:rsidR="00075001" w14:paraId="29D9B1F7" w14:textId="77777777" w:rsidTr="00075001">
        <w:trPr>
          <w:trHeight w:hRule="exact" w:val="290"/>
        </w:trPr>
        <w:tc>
          <w:tcPr>
            <w:tcW w:w="4262" w:type="dxa"/>
          </w:tcPr>
          <w:p w14:paraId="794B8B02" w14:textId="77777777" w:rsidR="00075001" w:rsidRDefault="00075001" w:rsidP="00075001">
            <w:pPr>
              <w:pStyle w:val="TableParagraph"/>
            </w:pPr>
            <w:r>
              <w:t>Polypharmacy (</w:t>
            </w:r>
            <w:r>
              <w:rPr>
                <w:rFonts w:ascii="Symbol" w:hAnsi="Symbol"/>
              </w:rPr>
              <w:t></w:t>
            </w:r>
            <w:r>
              <w:rPr>
                <w:rFonts w:ascii="Times New Roman" w:hAnsi="Times New Roman"/>
              </w:rPr>
              <w:t xml:space="preserve"> </w:t>
            </w:r>
            <w:r>
              <w:t>5 drugs)</w:t>
            </w:r>
          </w:p>
        </w:tc>
        <w:tc>
          <w:tcPr>
            <w:tcW w:w="1862" w:type="dxa"/>
          </w:tcPr>
          <w:p w14:paraId="6220C40F" w14:textId="77777777" w:rsidR="00075001" w:rsidRDefault="00075001" w:rsidP="00075001">
            <w:pPr>
              <w:pStyle w:val="TableParagraph"/>
            </w:pPr>
            <w:r>
              <w:t>Binary</w:t>
            </w:r>
          </w:p>
        </w:tc>
        <w:tc>
          <w:tcPr>
            <w:tcW w:w="2364" w:type="dxa"/>
          </w:tcPr>
          <w:p w14:paraId="1E0E68DD" w14:textId="77777777" w:rsidR="00075001" w:rsidRDefault="00075001" w:rsidP="00075001">
            <w:pPr>
              <w:pStyle w:val="TableParagraph"/>
            </w:pPr>
            <w:r>
              <w:t>Yes / No</w:t>
            </w:r>
          </w:p>
        </w:tc>
      </w:tr>
      <w:tr w:rsidR="00075001" w14:paraId="16A80816" w14:textId="77777777" w:rsidTr="00075001">
        <w:trPr>
          <w:trHeight w:hRule="exact" w:val="279"/>
        </w:trPr>
        <w:tc>
          <w:tcPr>
            <w:tcW w:w="4262" w:type="dxa"/>
          </w:tcPr>
          <w:p w14:paraId="1F8D15BE" w14:textId="77777777" w:rsidR="00075001" w:rsidRDefault="00075001" w:rsidP="00075001">
            <w:pPr>
              <w:pStyle w:val="TableParagraph"/>
            </w:pPr>
            <w:r>
              <w:t>3-digit ATC-codes</w:t>
            </w:r>
          </w:p>
        </w:tc>
        <w:tc>
          <w:tcPr>
            <w:tcW w:w="1862" w:type="dxa"/>
          </w:tcPr>
          <w:p w14:paraId="0287D8AB" w14:textId="77777777" w:rsidR="00075001" w:rsidRDefault="00075001" w:rsidP="00075001">
            <w:pPr>
              <w:pStyle w:val="TableParagraph"/>
            </w:pPr>
            <w:r>
              <w:t>Binary</w:t>
            </w:r>
          </w:p>
        </w:tc>
        <w:tc>
          <w:tcPr>
            <w:tcW w:w="2364" w:type="dxa"/>
          </w:tcPr>
          <w:p w14:paraId="308FC5E7" w14:textId="77777777" w:rsidR="00075001" w:rsidRDefault="00075001" w:rsidP="00075001">
            <w:pPr>
              <w:pStyle w:val="TableParagraph"/>
            </w:pPr>
            <w:r>
              <w:t>Yes / No</w:t>
            </w:r>
          </w:p>
        </w:tc>
      </w:tr>
      <w:tr w:rsidR="00075001" w14:paraId="1D261F03" w14:textId="77777777" w:rsidTr="00075001">
        <w:trPr>
          <w:trHeight w:hRule="exact" w:val="279"/>
        </w:trPr>
        <w:tc>
          <w:tcPr>
            <w:tcW w:w="4262" w:type="dxa"/>
            <w:vMerge w:val="restart"/>
          </w:tcPr>
          <w:p w14:paraId="474B0451" w14:textId="77777777" w:rsidR="00075001" w:rsidRDefault="00075001" w:rsidP="00075001">
            <w:pPr>
              <w:pStyle w:val="TableParagraph"/>
            </w:pPr>
            <w:r>
              <w:t>Potentially Inappropriate Medications (PIM) according to the EU-PIM list</w:t>
            </w:r>
          </w:p>
        </w:tc>
        <w:tc>
          <w:tcPr>
            <w:tcW w:w="1862" w:type="dxa"/>
          </w:tcPr>
          <w:p w14:paraId="23F1667A" w14:textId="77777777" w:rsidR="00075001" w:rsidRDefault="00075001" w:rsidP="00075001">
            <w:pPr>
              <w:pStyle w:val="TableParagraph"/>
            </w:pPr>
            <w:r>
              <w:t>Continuous</w:t>
            </w:r>
          </w:p>
        </w:tc>
        <w:tc>
          <w:tcPr>
            <w:tcW w:w="2364" w:type="dxa"/>
          </w:tcPr>
          <w:p w14:paraId="7EF521FF" w14:textId="77777777" w:rsidR="00075001" w:rsidRDefault="00075001" w:rsidP="00075001"/>
        </w:tc>
      </w:tr>
      <w:tr w:rsidR="00075001" w14:paraId="2A6291D9" w14:textId="77777777" w:rsidTr="00075001">
        <w:trPr>
          <w:trHeight w:hRule="exact" w:val="279"/>
        </w:trPr>
        <w:tc>
          <w:tcPr>
            <w:tcW w:w="4262" w:type="dxa"/>
            <w:vMerge/>
          </w:tcPr>
          <w:p w14:paraId="5A8074CE" w14:textId="77777777" w:rsidR="00075001" w:rsidRDefault="00075001" w:rsidP="00075001"/>
        </w:tc>
        <w:tc>
          <w:tcPr>
            <w:tcW w:w="1862" w:type="dxa"/>
          </w:tcPr>
          <w:p w14:paraId="0D0DDDF4" w14:textId="77777777" w:rsidR="00075001" w:rsidRDefault="00075001" w:rsidP="00075001">
            <w:pPr>
              <w:pStyle w:val="TableParagraph"/>
            </w:pPr>
            <w:r>
              <w:t>Binary</w:t>
            </w:r>
          </w:p>
        </w:tc>
        <w:tc>
          <w:tcPr>
            <w:tcW w:w="2364" w:type="dxa"/>
          </w:tcPr>
          <w:p w14:paraId="68088852" w14:textId="77777777" w:rsidR="00075001" w:rsidRDefault="00075001" w:rsidP="00075001">
            <w:pPr>
              <w:pStyle w:val="TableParagraph"/>
            </w:pPr>
            <w:r>
              <w:t>Yes / No</w:t>
            </w:r>
          </w:p>
        </w:tc>
      </w:tr>
      <w:tr w:rsidR="00075001" w14:paraId="63BBE7D7" w14:textId="77777777" w:rsidTr="00075001">
        <w:trPr>
          <w:trHeight w:hRule="exact" w:val="279"/>
        </w:trPr>
        <w:tc>
          <w:tcPr>
            <w:tcW w:w="4262" w:type="dxa"/>
            <w:vMerge w:val="restart"/>
          </w:tcPr>
          <w:p w14:paraId="2282066E" w14:textId="77777777" w:rsidR="00075001" w:rsidRDefault="00075001" w:rsidP="00075001">
            <w:pPr>
              <w:pStyle w:val="TableParagraph"/>
              <w:spacing w:before="139"/>
            </w:pPr>
            <w:r>
              <w:t>Drug Burden Index (DBI)</w:t>
            </w:r>
          </w:p>
        </w:tc>
        <w:tc>
          <w:tcPr>
            <w:tcW w:w="1862" w:type="dxa"/>
          </w:tcPr>
          <w:p w14:paraId="713D6035" w14:textId="77777777" w:rsidR="00075001" w:rsidRDefault="00075001" w:rsidP="00075001">
            <w:pPr>
              <w:pStyle w:val="TableParagraph"/>
            </w:pPr>
            <w:r>
              <w:t>Continuous</w:t>
            </w:r>
          </w:p>
        </w:tc>
        <w:tc>
          <w:tcPr>
            <w:tcW w:w="2364" w:type="dxa"/>
          </w:tcPr>
          <w:p w14:paraId="5AA0BE93" w14:textId="77777777" w:rsidR="00075001" w:rsidRDefault="00075001" w:rsidP="00075001"/>
        </w:tc>
      </w:tr>
      <w:tr w:rsidR="00075001" w14:paraId="328CC545" w14:textId="77777777" w:rsidTr="00075001">
        <w:trPr>
          <w:trHeight w:hRule="exact" w:val="279"/>
        </w:trPr>
        <w:tc>
          <w:tcPr>
            <w:tcW w:w="4262" w:type="dxa"/>
            <w:vMerge/>
          </w:tcPr>
          <w:p w14:paraId="3ABA0629" w14:textId="77777777" w:rsidR="00075001" w:rsidRDefault="00075001" w:rsidP="00075001"/>
        </w:tc>
        <w:tc>
          <w:tcPr>
            <w:tcW w:w="1862" w:type="dxa"/>
          </w:tcPr>
          <w:p w14:paraId="0D8B31AF" w14:textId="77777777" w:rsidR="00075001" w:rsidRDefault="00075001" w:rsidP="00075001">
            <w:pPr>
              <w:pStyle w:val="TableParagraph"/>
            </w:pPr>
            <w:r>
              <w:t>Binary</w:t>
            </w:r>
          </w:p>
        </w:tc>
        <w:tc>
          <w:tcPr>
            <w:tcW w:w="2364" w:type="dxa"/>
          </w:tcPr>
          <w:p w14:paraId="2FFDB16F" w14:textId="77777777" w:rsidR="00075001" w:rsidRDefault="00075001" w:rsidP="00075001">
            <w:pPr>
              <w:pStyle w:val="TableParagraph"/>
            </w:pPr>
            <w:r>
              <w:t>Yes / No</w:t>
            </w:r>
          </w:p>
        </w:tc>
      </w:tr>
      <w:tr w:rsidR="00075001" w14:paraId="5BC8B0CC" w14:textId="77777777" w:rsidTr="00075001">
        <w:trPr>
          <w:trHeight w:hRule="exact" w:val="279"/>
        </w:trPr>
        <w:tc>
          <w:tcPr>
            <w:tcW w:w="4262" w:type="dxa"/>
            <w:vMerge w:val="restart"/>
          </w:tcPr>
          <w:p w14:paraId="5D78A8A7" w14:textId="77777777" w:rsidR="00075001" w:rsidRDefault="00075001" w:rsidP="00075001">
            <w:pPr>
              <w:pStyle w:val="TableParagraph"/>
              <w:spacing w:before="5"/>
            </w:pPr>
            <w:r>
              <w:t>Anticholinergic Drug Burden (ADB) according to Durán</w:t>
            </w:r>
          </w:p>
        </w:tc>
        <w:tc>
          <w:tcPr>
            <w:tcW w:w="1862" w:type="dxa"/>
          </w:tcPr>
          <w:p w14:paraId="78EAFE88" w14:textId="77777777" w:rsidR="00075001" w:rsidRDefault="00075001" w:rsidP="00075001">
            <w:pPr>
              <w:pStyle w:val="TableParagraph"/>
            </w:pPr>
            <w:r>
              <w:t>Continuous</w:t>
            </w:r>
          </w:p>
        </w:tc>
        <w:tc>
          <w:tcPr>
            <w:tcW w:w="2364" w:type="dxa"/>
          </w:tcPr>
          <w:p w14:paraId="6A33AEE0" w14:textId="77777777" w:rsidR="00075001" w:rsidRDefault="00075001" w:rsidP="00075001"/>
        </w:tc>
      </w:tr>
      <w:tr w:rsidR="00075001" w14:paraId="150C0A5B" w14:textId="77777777" w:rsidTr="00075001">
        <w:trPr>
          <w:trHeight w:hRule="exact" w:val="279"/>
        </w:trPr>
        <w:tc>
          <w:tcPr>
            <w:tcW w:w="4262" w:type="dxa"/>
            <w:vMerge/>
          </w:tcPr>
          <w:p w14:paraId="3D3371C1" w14:textId="77777777" w:rsidR="00075001" w:rsidRDefault="00075001" w:rsidP="00075001"/>
        </w:tc>
        <w:tc>
          <w:tcPr>
            <w:tcW w:w="1862" w:type="dxa"/>
          </w:tcPr>
          <w:p w14:paraId="799FC550" w14:textId="77777777" w:rsidR="00075001" w:rsidRDefault="00075001" w:rsidP="00075001">
            <w:pPr>
              <w:pStyle w:val="TableParagraph"/>
            </w:pPr>
            <w:r>
              <w:t>Binary</w:t>
            </w:r>
          </w:p>
        </w:tc>
        <w:tc>
          <w:tcPr>
            <w:tcW w:w="2364" w:type="dxa"/>
          </w:tcPr>
          <w:p w14:paraId="016183DB" w14:textId="77777777" w:rsidR="00075001" w:rsidRDefault="00075001" w:rsidP="00075001">
            <w:pPr>
              <w:pStyle w:val="TableParagraph"/>
            </w:pPr>
            <w:r>
              <w:t>Yes / No</w:t>
            </w:r>
          </w:p>
        </w:tc>
      </w:tr>
      <w:tr w:rsidR="00075001" w14:paraId="0F10C425" w14:textId="77777777" w:rsidTr="00075001">
        <w:trPr>
          <w:trHeight w:hRule="exact" w:val="279"/>
        </w:trPr>
        <w:tc>
          <w:tcPr>
            <w:tcW w:w="4262" w:type="dxa"/>
            <w:vMerge w:val="restart"/>
          </w:tcPr>
          <w:p w14:paraId="09F5F578" w14:textId="77777777" w:rsidR="00075001" w:rsidRDefault="00075001" w:rsidP="00075001">
            <w:pPr>
              <w:pStyle w:val="TableParagraph"/>
              <w:spacing w:before="5"/>
              <w:ind w:right="91"/>
            </w:pPr>
            <w:r>
              <w:t>Anticholinergic Drug Scale (ADS) according to Carnahan</w:t>
            </w:r>
          </w:p>
        </w:tc>
        <w:tc>
          <w:tcPr>
            <w:tcW w:w="1862" w:type="dxa"/>
          </w:tcPr>
          <w:p w14:paraId="3BD6A23F" w14:textId="77777777" w:rsidR="00075001" w:rsidRDefault="00075001" w:rsidP="00075001">
            <w:pPr>
              <w:pStyle w:val="TableParagraph"/>
            </w:pPr>
            <w:r>
              <w:t>Continuous</w:t>
            </w:r>
          </w:p>
        </w:tc>
        <w:tc>
          <w:tcPr>
            <w:tcW w:w="2364" w:type="dxa"/>
          </w:tcPr>
          <w:p w14:paraId="341B1C13" w14:textId="77777777" w:rsidR="00075001" w:rsidRDefault="00075001" w:rsidP="00075001"/>
        </w:tc>
      </w:tr>
      <w:tr w:rsidR="00075001" w14:paraId="0C6DF1D3" w14:textId="77777777" w:rsidTr="00075001">
        <w:trPr>
          <w:trHeight w:hRule="exact" w:val="279"/>
        </w:trPr>
        <w:tc>
          <w:tcPr>
            <w:tcW w:w="4262" w:type="dxa"/>
            <w:vMerge/>
          </w:tcPr>
          <w:p w14:paraId="11417E9C" w14:textId="77777777" w:rsidR="00075001" w:rsidRDefault="00075001" w:rsidP="00075001"/>
        </w:tc>
        <w:tc>
          <w:tcPr>
            <w:tcW w:w="1862" w:type="dxa"/>
          </w:tcPr>
          <w:p w14:paraId="18A2DEDF" w14:textId="77777777" w:rsidR="00075001" w:rsidRDefault="00075001" w:rsidP="00075001">
            <w:pPr>
              <w:pStyle w:val="TableParagraph"/>
            </w:pPr>
            <w:r>
              <w:t>Binary</w:t>
            </w:r>
          </w:p>
        </w:tc>
        <w:tc>
          <w:tcPr>
            <w:tcW w:w="2364" w:type="dxa"/>
          </w:tcPr>
          <w:p w14:paraId="3B4CCD54" w14:textId="77777777" w:rsidR="00075001" w:rsidRDefault="00075001" w:rsidP="00075001">
            <w:pPr>
              <w:pStyle w:val="TableParagraph"/>
            </w:pPr>
            <w:r>
              <w:t>Yes / No</w:t>
            </w:r>
          </w:p>
        </w:tc>
      </w:tr>
      <w:tr w:rsidR="00075001" w14:paraId="4CD83F6E" w14:textId="77777777" w:rsidTr="00075001">
        <w:trPr>
          <w:trHeight w:hRule="exact" w:val="279"/>
        </w:trPr>
        <w:tc>
          <w:tcPr>
            <w:tcW w:w="4262" w:type="dxa"/>
            <w:vMerge w:val="restart"/>
          </w:tcPr>
          <w:p w14:paraId="70E2EB1D" w14:textId="77777777" w:rsidR="00075001" w:rsidRDefault="00075001" w:rsidP="00075001">
            <w:pPr>
              <w:pStyle w:val="TableParagraph"/>
              <w:spacing w:before="139"/>
            </w:pPr>
            <w:r>
              <w:t>STOPP criteria</w:t>
            </w:r>
          </w:p>
        </w:tc>
        <w:tc>
          <w:tcPr>
            <w:tcW w:w="1862" w:type="dxa"/>
          </w:tcPr>
          <w:p w14:paraId="4C62B1F8" w14:textId="77777777" w:rsidR="00075001" w:rsidRDefault="00075001" w:rsidP="00075001">
            <w:pPr>
              <w:pStyle w:val="TableParagraph"/>
            </w:pPr>
            <w:r>
              <w:t>Continuous</w:t>
            </w:r>
          </w:p>
        </w:tc>
        <w:tc>
          <w:tcPr>
            <w:tcW w:w="2364" w:type="dxa"/>
          </w:tcPr>
          <w:p w14:paraId="01524972" w14:textId="77777777" w:rsidR="00075001" w:rsidRDefault="00075001" w:rsidP="00075001"/>
        </w:tc>
      </w:tr>
      <w:tr w:rsidR="00075001" w14:paraId="5B958CE4" w14:textId="77777777" w:rsidTr="00075001">
        <w:trPr>
          <w:trHeight w:hRule="exact" w:val="279"/>
        </w:trPr>
        <w:tc>
          <w:tcPr>
            <w:tcW w:w="4262" w:type="dxa"/>
            <w:vMerge/>
          </w:tcPr>
          <w:p w14:paraId="1F062E77" w14:textId="77777777" w:rsidR="00075001" w:rsidRDefault="00075001" w:rsidP="00075001"/>
        </w:tc>
        <w:tc>
          <w:tcPr>
            <w:tcW w:w="1862" w:type="dxa"/>
          </w:tcPr>
          <w:p w14:paraId="4B313F75" w14:textId="77777777" w:rsidR="00075001" w:rsidRDefault="00075001" w:rsidP="00075001">
            <w:pPr>
              <w:pStyle w:val="TableParagraph"/>
            </w:pPr>
            <w:r>
              <w:t>Binary</w:t>
            </w:r>
          </w:p>
        </w:tc>
        <w:tc>
          <w:tcPr>
            <w:tcW w:w="2364" w:type="dxa"/>
          </w:tcPr>
          <w:p w14:paraId="3B5C3622" w14:textId="77777777" w:rsidR="00075001" w:rsidRDefault="00075001" w:rsidP="00075001">
            <w:pPr>
              <w:pStyle w:val="TableParagraph"/>
            </w:pPr>
            <w:r>
              <w:t>Yes / No</w:t>
            </w:r>
          </w:p>
        </w:tc>
      </w:tr>
    </w:tbl>
    <w:p w14:paraId="134AFF2A" w14:textId="77777777" w:rsidR="00075001" w:rsidRDefault="00075001" w:rsidP="00075001">
      <w:pPr>
        <w:sectPr w:rsidR="00075001">
          <w:headerReference w:type="even" r:id="rId19"/>
          <w:footerReference w:type="even" r:id="rId20"/>
          <w:pgSz w:w="11900" w:h="16840"/>
          <w:pgMar w:top="1380" w:right="1580" w:bottom="280" w:left="1600" w:header="0" w:footer="0" w:gutter="0"/>
          <w:cols w:space="720"/>
        </w:sectPr>
      </w:pP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2"/>
        <w:gridCol w:w="1862"/>
        <w:gridCol w:w="2364"/>
      </w:tblGrid>
      <w:tr w:rsidR="00075001" w14:paraId="0F8267E3" w14:textId="77777777" w:rsidTr="00075001">
        <w:trPr>
          <w:trHeight w:hRule="exact" w:val="816"/>
        </w:trPr>
        <w:tc>
          <w:tcPr>
            <w:tcW w:w="4262" w:type="dxa"/>
          </w:tcPr>
          <w:p w14:paraId="3F2BBD28" w14:textId="77777777" w:rsidR="00075001" w:rsidRDefault="00075001" w:rsidP="00075001">
            <w:pPr>
              <w:pStyle w:val="TableParagraph"/>
              <w:ind w:right="100"/>
              <w:jc w:val="both"/>
            </w:pPr>
            <w:r>
              <w:lastRenderedPageBreak/>
              <w:t>STOPP</w:t>
            </w:r>
            <w:r>
              <w:rPr>
                <w:spacing w:val="-15"/>
              </w:rPr>
              <w:t xml:space="preserve"> </w:t>
            </w:r>
            <w:r>
              <w:t>criteria</w:t>
            </w:r>
            <w:r>
              <w:rPr>
                <w:spacing w:val="-15"/>
              </w:rPr>
              <w:t xml:space="preserve"> </w:t>
            </w:r>
            <w:r>
              <w:t>–</w:t>
            </w:r>
            <w:r>
              <w:rPr>
                <w:spacing w:val="-15"/>
              </w:rPr>
              <w:t xml:space="preserve"> </w:t>
            </w:r>
            <w:r>
              <w:t>single</w:t>
            </w:r>
            <w:r>
              <w:rPr>
                <w:spacing w:val="-15"/>
              </w:rPr>
              <w:t xml:space="preserve"> </w:t>
            </w:r>
            <w:r>
              <w:t>items</w:t>
            </w:r>
            <w:r>
              <w:rPr>
                <w:spacing w:val="-15"/>
              </w:rPr>
              <w:t xml:space="preserve"> </w:t>
            </w:r>
            <w:r>
              <w:t>(B1-B3,</w:t>
            </w:r>
            <w:r>
              <w:rPr>
                <w:spacing w:val="-15"/>
              </w:rPr>
              <w:t xml:space="preserve"> </w:t>
            </w:r>
            <w:r>
              <w:t>B10,</w:t>
            </w:r>
            <w:r>
              <w:rPr>
                <w:spacing w:val="-15"/>
              </w:rPr>
              <w:t xml:space="preserve"> </w:t>
            </w:r>
            <w:r>
              <w:t>B12, B13,</w:t>
            </w:r>
            <w:r>
              <w:rPr>
                <w:spacing w:val="-10"/>
              </w:rPr>
              <w:t xml:space="preserve"> </w:t>
            </w:r>
            <w:r>
              <w:t>C6,</w:t>
            </w:r>
            <w:r>
              <w:rPr>
                <w:spacing w:val="-10"/>
              </w:rPr>
              <w:t xml:space="preserve"> </w:t>
            </w:r>
            <w:r>
              <w:t>C7,</w:t>
            </w:r>
            <w:r>
              <w:rPr>
                <w:spacing w:val="-10"/>
              </w:rPr>
              <w:t xml:space="preserve"> </w:t>
            </w:r>
            <w:r>
              <w:t>C10,</w:t>
            </w:r>
            <w:r>
              <w:rPr>
                <w:spacing w:val="-10"/>
              </w:rPr>
              <w:t xml:space="preserve"> </w:t>
            </w:r>
            <w:r>
              <w:t>C11,</w:t>
            </w:r>
            <w:r>
              <w:rPr>
                <w:spacing w:val="-10"/>
              </w:rPr>
              <w:t xml:space="preserve"> </w:t>
            </w:r>
            <w:r>
              <w:t>D2,</w:t>
            </w:r>
            <w:r>
              <w:rPr>
                <w:spacing w:val="-10"/>
              </w:rPr>
              <w:t xml:space="preserve"> </w:t>
            </w:r>
            <w:r>
              <w:t>D5-D7,</w:t>
            </w:r>
            <w:r>
              <w:rPr>
                <w:spacing w:val="-10"/>
              </w:rPr>
              <w:t xml:space="preserve"> </w:t>
            </w:r>
            <w:r>
              <w:t>D14,</w:t>
            </w:r>
            <w:r>
              <w:rPr>
                <w:spacing w:val="-10"/>
              </w:rPr>
              <w:t xml:space="preserve"> </w:t>
            </w:r>
            <w:r>
              <w:t>F1,</w:t>
            </w:r>
            <w:r>
              <w:rPr>
                <w:spacing w:val="-10"/>
              </w:rPr>
              <w:t xml:space="preserve"> </w:t>
            </w:r>
            <w:r>
              <w:t>G1, G2, H2-H5, H7, H8, J1-J3, K1-K4,</w:t>
            </w:r>
            <w:r>
              <w:rPr>
                <w:spacing w:val="-13"/>
              </w:rPr>
              <w:t xml:space="preserve"> </w:t>
            </w:r>
            <w:r>
              <w:t>M1)</w:t>
            </w:r>
          </w:p>
        </w:tc>
        <w:tc>
          <w:tcPr>
            <w:tcW w:w="1862" w:type="dxa"/>
          </w:tcPr>
          <w:p w14:paraId="0C048BA4" w14:textId="77777777" w:rsidR="00075001" w:rsidRDefault="00075001" w:rsidP="00075001">
            <w:pPr>
              <w:pStyle w:val="TableParagraph"/>
              <w:spacing w:before="9"/>
              <w:ind w:left="0"/>
              <w:rPr>
                <w:b/>
                <w:sz w:val="21"/>
              </w:rPr>
            </w:pPr>
          </w:p>
          <w:p w14:paraId="256DB978" w14:textId="77777777" w:rsidR="00075001" w:rsidRDefault="00075001" w:rsidP="00075001">
            <w:pPr>
              <w:pStyle w:val="TableParagraph"/>
            </w:pPr>
            <w:r>
              <w:t>Binary</w:t>
            </w:r>
          </w:p>
        </w:tc>
        <w:tc>
          <w:tcPr>
            <w:tcW w:w="2364" w:type="dxa"/>
          </w:tcPr>
          <w:p w14:paraId="7D70EE7B" w14:textId="77777777" w:rsidR="00075001" w:rsidRDefault="00075001" w:rsidP="00075001">
            <w:pPr>
              <w:pStyle w:val="TableParagraph"/>
              <w:spacing w:before="9"/>
              <w:ind w:left="0"/>
              <w:rPr>
                <w:b/>
                <w:sz w:val="21"/>
              </w:rPr>
            </w:pPr>
          </w:p>
          <w:p w14:paraId="7079E63B" w14:textId="77777777" w:rsidR="00075001" w:rsidRDefault="00075001" w:rsidP="00075001">
            <w:pPr>
              <w:pStyle w:val="TableParagraph"/>
            </w:pPr>
            <w:r>
              <w:t>Yes / No</w:t>
            </w:r>
          </w:p>
        </w:tc>
      </w:tr>
      <w:tr w:rsidR="00075001" w14:paraId="58B36B0B" w14:textId="77777777" w:rsidTr="00075001">
        <w:trPr>
          <w:trHeight w:hRule="exact" w:val="279"/>
        </w:trPr>
        <w:tc>
          <w:tcPr>
            <w:tcW w:w="4262" w:type="dxa"/>
            <w:vMerge w:val="restart"/>
          </w:tcPr>
          <w:p w14:paraId="18D82C16" w14:textId="77777777" w:rsidR="00075001" w:rsidRDefault="00075001" w:rsidP="00075001">
            <w:pPr>
              <w:pStyle w:val="TableParagraph"/>
              <w:spacing w:before="136"/>
            </w:pPr>
            <w:proofErr w:type="spellStart"/>
            <w:r>
              <w:t>Dreischulte</w:t>
            </w:r>
            <w:proofErr w:type="spellEnd"/>
            <w:r>
              <w:t xml:space="preserve"> criteria</w:t>
            </w:r>
          </w:p>
        </w:tc>
        <w:tc>
          <w:tcPr>
            <w:tcW w:w="1862" w:type="dxa"/>
          </w:tcPr>
          <w:p w14:paraId="381FF972" w14:textId="77777777" w:rsidR="00075001" w:rsidRDefault="00075001" w:rsidP="00075001">
            <w:pPr>
              <w:pStyle w:val="TableParagraph"/>
              <w:spacing w:line="266" w:lineRule="exact"/>
            </w:pPr>
            <w:r>
              <w:t>Continuous</w:t>
            </w:r>
          </w:p>
        </w:tc>
        <w:tc>
          <w:tcPr>
            <w:tcW w:w="2364" w:type="dxa"/>
          </w:tcPr>
          <w:p w14:paraId="3DB15FC2" w14:textId="77777777" w:rsidR="00075001" w:rsidRDefault="00075001" w:rsidP="00075001"/>
        </w:tc>
      </w:tr>
      <w:tr w:rsidR="00075001" w14:paraId="6D6BD2CB" w14:textId="77777777" w:rsidTr="00075001">
        <w:trPr>
          <w:trHeight w:hRule="exact" w:val="279"/>
        </w:trPr>
        <w:tc>
          <w:tcPr>
            <w:tcW w:w="4262" w:type="dxa"/>
            <w:vMerge/>
          </w:tcPr>
          <w:p w14:paraId="761E6F77" w14:textId="77777777" w:rsidR="00075001" w:rsidRDefault="00075001" w:rsidP="00075001"/>
        </w:tc>
        <w:tc>
          <w:tcPr>
            <w:tcW w:w="1862" w:type="dxa"/>
          </w:tcPr>
          <w:p w14:paraId="08A72CB5" w14:textId="77777777" w:rsidR="00075001" w:rsidRDefault="00075001" w:rsidP="00075001">
            <w:pPr>
              <w:pStyle w:val="TableParagraph"/>
              <w:spacing w:line="266" w:lineRule="exact"/>
            </w:pPr>
            <w:r>
              <w:t>Binary</w:t>
            </w:r>
          </w:p>
        </w:tc>
        <w:tc>
          <w:tcPr>
            <w:tcW w:w="2364" w:type="dxa"/>
          </w:tcPr>
          <w:p w14:paraId="106AD4A1" w14:textId="77777777" w:rsidR="00075001" w:rsidRDefault="00075001" w:rsidP="00075001">
            <w:pPr>
              <w:pStyle w:val="TableParagraph"/>
              <w:spacing w:line="266" w:lineRule="exact"/>
            </w:pPr>
            <w:r>
              <w:t>Yes / No</w:t>
            </w:r>
          </w:p>
        </w:tc>
      </w:tr>
      <w:tr w:rsidR="00075001" w14:paraId="20905DC8" w14:textId="77777777" w:rsidTr="00075001">
        <w:trPr>
          <w:trHeight w:hRule="exact" w:val="547"/>
        </w:trPr>
        <w:tc>
          <w:tcPr>
            <w:tcW w:w="4262" w:type="dxa"/>
          </w:tcPr>
          <w:p w14:paraId="5C829953" w14:textId="77777777" w:rsidR="00075001" w:rsidRDefault="00075001" w:rsidP="00075001">
            <w:pPr>
              <w:pStyle w:val="TableParagraph"/>
            </w:pPr>
            <w:proofErr w:type="spellStart"/>
            <w:r>
              <w:t>Dreischulte</w:t>
            </w:r>
            <w:proofErr w:type="spellEnd"/>
            <w:r>
              <w:t xml:space="preserve"> criteria – single items (A1-A6, B1, B3)</w:t>
            </w:r>
          </w:p>
        </w:tc>
        <w:tc>
          <w:tcPr>
            <w:tcW w:w="1862" w:type="dxa"/>
          </w:tcPr>
          <w:p w14:paraId="1940EE6E" w14:textId="77777777" w:rsidR="00075001" w:rsidRDefault="00075001" w:rsidP="00075001">
            <w:pPr>
              <w:pStyle w:val="TableParagraph"/>
              <w:spacing w:before="131"/>
            </w:pPr>
            <w:r>
              <w:t>Binary</w:t>
            </w:r>
          </w:p>
        </w:tc>
        <w:tc>
          <w:tcPr>
            <w:tcW w:w="2364" w:type="dxa"/>
          </w:tcPr>
          <w:p w14:paraId="6B07AD4D" w14:textId="77777777" w:rsidR="00075001" w:rsidRDefault="00075001" w:rsidP="00075001">
            <w:pPr>
              <w:pStyle w:val="TableParagraph"/>
              <w:spacing w:before="131"/>
            </w:pPr>
            <w:r>
              <w:t>Yes / No</w:t>
            </w:r>
          </w:p>
        </w:tc>
      </w:tr>
      <w:tr w:rsidR="00075001" w14:paraId="284C1F13" w14:textId="77777777" w:rsidTr="00075001">
        <w:trPr>
          <w:trHeight w:hRule="exact" w:val="279"/>
        </w:trPr>
        <w:tc>
          <w:tcPr>
            <w:tcW w:w="4262" w:type="dxa"/>
            <w:vMerge w:val="restart"/>
          </w:tcPr>
          <w:p w14:paraId="5D6A9068" w14:textId="77777777" w:rsidR="00075001" w:rsidRDefault="00075001" w:rsidP="00075001">
            <w:pPr>
              <w:pStyle w:val="TableParagraph"/>
              <w:spacing w:before="136"/>
            </w:pPr>
            <w:r>
              <w:t>START criteria</w:t>
            </w:r>
          </w:p>
        </w:tc>
        <w:tc>
          <w:tcPr>
            <w:tcW w:w="1862" w:type="dxa"/>
          </w:tcPr>
          <w:p w14:paraId="5C32BBF3" w14:textId="77777777" w:rsidR="00075001" w:rsidRDefault="00075001" w:rsidP="00075001">
            <w:pPr>
              <w:pStyle w:val="TableParagraph"/>
              <w:spacing w:line="266" w:lineRule="exact"/>
            </w:pPr>
            <w:r>
              <w:t>Continuous</w:t>
            </w:r>
          </w:p>
        </w:tc>
        <w:tc>
          <w:tcPr>
            <w:tcW w:w="2364" w:type="dxa"/>
          </w:tcPr>
          <w:p w14:paraId="21612EC6" w14:textId="77777777" w:rsidR="00075001" w:rsidRDefault="00075001" w:rsidP="00075001"/>
        </w:tc>
      </w:tr>
      <w:tr w:rsidR="00075001" w14:paraId="1B1B2735" w14:textId="77777777" w:rsidTr="00075001">
        <w:trPr>
          <w:trHeight w:hRule="exact" w:val="279"/>
        </w:trPr>
        <w:tc>
          <w:tcPr>
            <w:tcW w:w="4262" w:type="dxa"/>
            <w:vMerge/>
          </w:tcPr>
          <w:p w14:paraId="0B50D7C6" w14:textId="77777777" w:rsidR="00075001" w:rsidRDefault="00075001" w:rsidP="00075001"/>
        </w:tc>
        <w:tc>
          <w:tcPr>
            <w:tcW w:w="1862" w:type="dxa"/>
          </w:tcPr>
          <w:p w14:paraId="37727F6D" w14:textId="77777777" w:rsidR="00075001" w:rsidRDefault="00075001" w:rsidP="00075001">
            <w:pPr>
              <w:pStyle w:val="TableParagraph"/>
              <w:spacing w:line="266" w:lineRule="exact"/>
            </w:pPr>
            <w:r>
              <w:t>Binary</w:t>
            </w:r>
          </w:p>
        </w:tc>
        <w:tc>
          <w:tcPr>
            <w:tcW w:w="2364" w:type="dxa"/>
          </w:tcPr>
          <w:p w14:paraId="3E8F50CA" w14:textId="77777777" w:rsidR="00075001" w:rsidRDefault="00075001" w:rsidP="00075001">
            <w:pPr>
              <w:pStyle w:val="TableParagraph"/>
              <w:spacing w:line="266" w:lineRule="exact"/>
            </w:pPr>
            <w:r>
              <w:t>Yes / No</w:t>
            </w:r>
          </w:p>
        </w:tc>
      </w:tr>
      <w:tr w:rsidR="00075001" w14:paraId="47F18691" w14:textId="77777777" w:rsidTr="00075001">
        <w:trPr>
          <w:trHeight w:hRule="exact" w:val="547"/>
        </w:trPr>
        <w:tc>
          <w:tcPr>
            <w:tcW w:w="4262" w:type="dxa"/>
          </w:tcPr>
          <w:p w14:paraId="7BBBDD37" w14:textId="77777777" w:rsidR="00075001" w:rsidRDefault="00075001" w:rsidP="00075001">
            <w:pPr>
              <w:pStyle w:val="TableParagraph"/>
            </w:pPr>
            <w:r>
              <w:t>START criteria – single items (A3, A5-A8, B1, B2, C1, C2, E1-E4, E7, F1)</w:t>
            </w:r>
          </w:p>
        </w:tc>
        <w:tc>
          <w:tcPr>
            <w:tcW w:w="1862" w:type="dxa"/>
          </w:tcPr>
          <w:p w14:paraId="71227353" w14:textId="77777777" w:rsidR="00075001" w:rsidRDefault="00075001" w:rsidP="00075001">
            <w:pPr>
              <w:pStyle w:val="TableParagraph"/>
              <w:spacing w:before="131"/>
            </w:pPr>
            <w:r>
              <w:t>Binary</w:t>
            </w:r>
          </w:p>
        </w:tc>
        <w:tc>
          <w:tcPr>
            <w:tcW w:w="2364" w:type="dxa"/>
          </w:tcPr>
          <w:p w14:paraId="51AF2A2B" w14:textId="77777777" w:rsidR="00075001" w:rsidRDefault="00075001" w:rsidP="00075001">
            <w:pPr>
              <w:pStyle w:val="TableParagraph"/>
              <w:spacing w:line="266" w:lineRule="exact"/>
            </w:pPr>
            <w:r>
              <w:t>Yes / No</w:t>
            </w:r>
          </w:p>
        </w:tc>
      </w:tr>
      <w:tr w:rsidR="00075001" w14:paraId="653E5C40" w14:textId="77777777" w:rsidTr="00075001">
        <w:trPr>
          <w:trHeight w:hRule="exact" w:val="761"/>
        </w:trPr>
        <w:tc>
          <w:tcPr>
            <w:tcW w:w="8488" w:type="dxa"/>
            <w:gridSpan w:val="3"/>
          </w:tcPr>
          <w:p w14:paraId="17C44571" w14:textId="77777777" w:rsidR="00075001" w:rsidRDefault="00075001" w:rsidP="00075001">
            <w:pPr>
              <w:pStyle w:val="TableParagraph"/>
              <w:spacing w:before="6"/>
              <w:ind w:left="0"/>
              <w:rPr>
                <w:b/>
                <w:sz w:val="19"/>
              </w:rPr>
            </w:pPr>
          </w:p>
          <w:p w14:paraId="5FA8AE94" w14:textId="77777777" w:rsidR="00075001" w:rsidRDefault="00075001" w:rsidP="00075001">
            <w:pPr>
              <w:pStyle w:val="TableParagraph"/>
              <w:rPr>
                <w:i/>
              </w:rPr>
            </w:pPr>
            <w:r>
              <w:rPr>
                <w:i/>
              </w:rPr>
              <w:t>Functional status and well-being related</w:t>
            </w:r>
          </w:p>
        </w:tc>
      </w:tr>
      <w:tr w:rsidR="00075001" w14:paraId="72C60D3B" w14:textId="77777777" w:rsidTr="00075001">
        <w:trPr>
          <w:trHeight w:hRule="exact" w:val="547"/>
        </w:trPr>
        <w:tc>
          <w:tcPr>
            <w:tcW w:w="4262" w:type="dxa"/>
          </w:tcPr>
          <w:p w14:paraId="2465E017" w14:textId="77777777" w:rsidR="00075001" w:rsidRDefault="00075001" w:rsidP="00075001">
            <w:pPr>
              <w:pStyle w:val="TableParagraph"/>
            </w:pPr>
            <w:r>
              <w:t>Functional status according to VES-13, Katz- 15, and GG mobility</w:t>
            </w:r>
          </w:p>
        </w:tc>
        <w:tc>
          <w:tcPr>
            <w:tcW w:w="1862" w:type="dxa"/>
          </w:tcPr>
          <w:p w14:paraId="735287DA" w14:textId="77777777" w:rsidR="00075001" w:rsidRDefault="00075001" w:rsidP="00075001">
            <w:pPr>
              <w:pStyle w:val="TableParagraph"/>
              <w:spacing w:line="266" w:lineRule="exact"/>
            </w:pPr>
            <w:r>
              <w:t>Continuous</w:t>
            </w:r>
          </w:p>
        </w:tc>
        <w:tc>
          <w:tcPr>
            <w:tcW w:w="2364" w:type="dxa"/>
          </w:tcPr>
          <w:p w14:paraId="4032AA8F" w14:textId="77777777" w:rsidR="00075001" w:rsidRDefault="00075001" w:rsidP="00075001"/>
        </w:tc>
      </w:tr>
      <w:tr w:rsidR="00075001" w14:paraId="018F62CA" w14:textId="77777777" w:rsidTr="00075001">
        <w:trPr>
          <w:trHeight w:hRule="exact" w:val="279"/>
        </w:trPr>
        <w:tc>
          <w:tcPr>
            <w:tcW w:w="4262" w:type="dxa"/>
            <w:vMerge w:val="restart"/>
          </w:tcPr>
          <w:p w14:paraId="32F6961B" w14:textId="77777777" w:rsidR="00075001" w:rsidRDefault="00075001" w:rsidP="00075001">
            <w:pPr>
              <w:pStyle w:val="TableParagraph"/>
              <w:spacing w:before="141"/>
            </w:pPr>
            <w:r>
              <w:t>Depression according to GDS 5, GDS 15, SF 12,</w:t>
            </w:r>
          </w:p>
          <w:p w14:paraId="38E96572" w14:textId="77777777" w:rsidR="00075001" w:rsidRDefault="00075001" w:rsidP="00075001">
            <w:pPr>
              <w:pStyle w:val="TableParagraph"/>
            </w:pPr>
            <w:r>
              <w:t>SF 36</w:t>
            </w:r>
          </w:p>
        </w:tc>
        <w:tc>
          <w:tcPr>
            <w:tcW w:w="1862" w:type="dxa"/>
          </w:tcPr>
          <w:p w14:paraId="6CE5A5DF" w14:textId="77777777" w:rsidR="00075001" w:rsidRDefault="00075001" w:rsidP="00075001">
            <w:pPr>
              <w:pStyle w:val="TableParagraph"/>
              <w:spacing w:line="266" w:lineRule="exact"/>
            </w:pPr>
            <w:r>
              <w:t>Continuous</w:t>
            </w:r>
          </w:p>
        </w:tc>
        <w:tc>
          <w:tcPr>
            <w:tcW w:w="2364" w:type="dxa"/>
          </w:tcPr>
          <w:p w14:paraId="41194596" w14:textId="77777777" w:rsidR="00075001" w:rsidRDefault="00075001" w:rsidP="00075001"/>
        </w:tc>
      </w:tr>
      <w:tr w:rsidR="00075001" w14:paraId="05AC2D81" w14:textId="77777777" w:rsidTr="00075001">
        <w:trPr>
          <w:trHeight w:hRule="exact" w:val="279"/>
        </w:trPr>
        <w:tc>
          <w:tcPr>
            <w:tcW w:w="4262" w:type="dxa"/>
            <w:vMerge/>
          </w:tcPr>
          <w:p w14:paraId="74CD83F2" w14:textId="77777777" w:rsidR="00075001" w:rsidRDefault="00075001" w:rsidP="00075001"/>
        </w:tc>
        <w:tc>
          <w:tcPr>
            <w:tcW w:w="1862" w:type="dxa"/>
          </w:tcPr>
          <w:p w14:paraId="0B4BCD56" w14:textId="77777777" w:rsidR="00075001" w:rsidRDefault="00075001" w:rsidP="00075001">
            <w:pPr>
              <w:pStyle w:val="TableParagraph"/>
              <w:spacing w:line="266" w:lineRule="exact"/>
            </w:pPr>
            <w:r>
              <w:t>Binary</w:t>
            </w:r>
          </w:p>
        </w:tc>
        <w:tc>
          <w:tcPr>
            <w:tcW w:w="2364" w:type="dxa"/>
          </w:tcPr>
          <w:p w14:paraId="761102FA" w14:textId="77777777" w:rsidR="00075001" w:rsidRDefault="00075001" w:rsidP="00075001">
            <w:pPr>
              <w:pStyle w:val="TableParagraph"/>
              <w:spacing w:line="266" w:lineRule="exact"/>
            </w:pPr>
            <w:r>
              <w:t>Yes / No</w:t>
            </w:r>
          </w:p>
        </w:tc>
      </w:tr>
      <w:tr w:rsidR="00075001" w14:paraId="05DA3442" w14:textId="77777777" w:rsidTr="00075001">
        <w:trPr>
          <w:trHeight w:hRule="exact" w:val="279"/>
        </w:trPr>
        <w:tc>
          <w:tcPr>
            <w:tcW w:w="4262" w:type="dxa"/>
            <w:vMerge/>
          </w:tcPr>
          <w:p w14:paraId="395A6AEE" w14:textId="77777777" w:rsidR="00075001" w:rsidRDefault="00075001" w:rsidP="00075001"/>
        </w:tc>
        <w:tc>
          <w:tcPr>
            <w:tcW w:w="1862" w:type="dxa"/>
          </w:tcPr>
          <w:p w14:paraId="5CC507B9" w14:textId="77777777" w:rsidR="00075001" w:rsidRDefault="00075001" w:rsidP="00075001">
            <w:pPr>
              <w:pStyle w:val="TableParagraph"/>
              <w:spacing w:line="266" w:lineRule="exact"/>
            </w:pPr>
            <w:r>
              <w:t>Binary</w:t>
            </w:r>
          </w:p>
        </w:tc>
        <w:tc>
          <w:tcPr>
            <w:tcW w:w="2364" w:type="dxa"/>
          </w:tcPr>
          <w:p w14:paraId="0DC62731" w14:textId="77777777" w:rsidR="00075001" w:rsidRDefault="00075001" w:rsidP="00075001">
            <w:pPr>
              <w:pStyle w:val="TableParagraph"/>
              <w:spacing w:line="266" w:lineRule="exact"/>
            </w:pPr>
            <w:r>
              <w:t>Yes / No</w:t>
            </w:r>
          </w:p>
        </w:tc>
      </w:tr>
      <w:tr w:rsidR="00075001" w14:paraId="14BA78B4" w14:textId="77777777" w:rsidTr="00075001">
        <w:trPr>
          <w:trHeight w:hRule="exact" w:val="279"/>
        </w:trPr>
        <w:tc>
          <w:tcPr>
            <w:tcW w:w="4262" w:type="dxa"/>
            <w:vMerge w:val="restart"/>
          </w:tcPr>
          <w:p w14:paraId="1F1376F5" w14:textId="77777777" w:rsidR="00075001" w:rsidRDefault="00075001" w:rsidP="00075001">
            <w:pPr>
              <w:pStyle w:val="TableParagraph"/>
              <w:spacing w:before="136"/>
            </w:pPr>
            <w:r>
              <w:t xml:space="preserve">Pain according to von </w:t>
            </w:r>
            <w:proofErr w:type="spellStart"/>
            <w:r>
              <w:t>Korff</w:t>
            </w:r>
            <w:proofErr w:type="spellEnd"/>
            <w:r>
              <w:t>, SF 12, SF 36</w:t>
            </w:r>
          </w:p>
        </w:tc>
        <w:tc>
          <w:tcPr>
            <w:tcW w:w="1862" w:type="dxa"/>
          </w:tcPr>
          <w:p w14:paraId="48C76A92" w14:textId="77777777" w:rsidR="00075001" w:rsidRDefault="00075001" w:rsidP="00075001">
            <w:pPr>
              <w:pStyle w:val="TableParagraph"/>
              <w:spacing w:line="266" w:lineRule="exact"/>
            </w:pPr>
            <w:r>
              <w:t>Continuous</w:t>
            </w:r>
          </w:p>
        </w:tc>
        <w:tc>
          <w:tcPr>
            <w:tcW w:w="2364" w:type="dxa"/>
          </w:tcPr>
          <w:p w14:paraId="25504D84" w14:textId="77777777" w:rsidR="00075001" w:rsidRDefault="00075001" w:rsidP="00075001"/>
        </w:tc>
      </w:tr>
      <w:tr w:rsidR="00075001" w14:paraId="1FF5928A" w14:textId="77777777" w:rsidTr="00075001">
        <w:trPr>
          <w:trHeight w:hRule="exact" w:val="279"/>
        </w:trPr>
        <w:tc>
          <w:tcPr>
            <w:tcW w:w="4262" w:type="dxa"/>
            <w:vMerge/>
          </w:tcPr>
          <w:p w14:paraId="50B54A43" w14:textId="77777777" w:rsidR="00075001" w:rsidRDefault="00075001" w:rsidP="00075001"/>
        </w:tc>
        <w:tc>
          <w:tcPr>
            <w:tcW w:w="1862" w:type="dxa"/>
          </w:tcPr>
          <w:p w14:paraId="55EEC102" w14:textId="77777777" w:rsidR="00075001" w:rsidRDefault="00075001" w:rsidP="00075001">
            <w:pPr>
              <w:pStyle w:val="TableParagraph"/>
              <w:spacing w:line="266" w:lineRule="exact"/>
            </w:pPr>
            <w:r>
              <w:t>Binary</w:t>
            </w:r>
          </w:p>
        </w:tc>
        <w:tc>
          <w:tcPr>
            <w:tcW w:w="2364" w:type="dxa"/>
          </w:tcPr>
          <w:p w14:paraId="436F4D4E" w14:textId="77777777" w:rsidR="00075001" w:rsidRDefault="00075001" w:rsidP="00075001">
            <w:pPr>
              <w:pStyle w:val="TableParagraph"/>
              <w:spacing w:line="266" w:lineRule="exact"/>
            </w:pPr>
            <w:r>
              <w:t>Yes / No</w:t>
            </w:r>
          </w:p>
        </w:tc>
      </w:tr>
      <w:tr w:rsidR="00075001" w14:paraId="0277F816" w14:textId="77777777" w:rsidTr="00075001">
        <w:trPr>
          <w:trHeight w:hRule="exact" w:val="547"/>
        </w:trPr>
        <w:tc>
          <w:tcPr>
            <w:tcW w:w="4262" w:type="dxa"/>
          </w:tcPr>
          <w:p w14:paraId="2B036C82" w14:textId="77777777" w:rsidR="00075001" w:rsidRDefault="00075001" w:rsidP="00075001">
            <w:pPr>
              <w:pStyle w:val="TableParagraph"/>
            </w:pPr>
            <w:r>
              <w:t>Health-related quality of life comorbidity index, mental</w:t>
            </w:r>
          </w:p>
        </w:tc>
        <w:tc>
          <w:tcPr>
            <w:tcW w:w="1862" w:type="dxa"/>
          </w:tcPr>
          <w:p w14:paraId="3D668FCB" w14:textId="77777777" w:rsidR="00075001" w:rsidRDefault="00075001" w:rsidP="00075001">
            <w:pPr>
              <w:pStyle w:val="TableParagraph"/>
              <w:spacing w:before="131"/>
            </w:pPr>
            <w:r>
              <w:t>Continuous</w:t>
            </w:r>
          </w:p>
        </w:tc>
        <w:tc>
          <w:tcPr>
            <w:tcW w:w="2364" w:type="dxa"/>
          </w:tcPr>
          <w:p w14:paraId="22A72D0C" w14:textId="77777777" w:rsidR="00075001" w:rsidRDefault="00075001" w:rsidP="00075001"/>
        </w:tc>
      </w:tr>
      <w:tr w:rsidR="00075001" w14:paraId="419BB894" w14:textId="77777777" w:rsidTr="00075001">
        <w:trPr>
          <w:trHeight w:hRule="exact" w:val="547"/>
        </w:trPr>
        <w:tc>
          <w:tcPr>
            <w:tcW w:w="4262" w:type="dxa"/>
          </w:tcPr>
          <w:p w14:paraId="4F75057C" w14:textId="77777777" w:rsidR="00075001" w:rsidRDefault="00075001" w:rsidP="00075001">
            <w:pPr>
              <w:pStyle w:val="TableParagraph"/>
            </w:pPr>
            <w:r>
              <w:t>Health-related quality of life comorbidity index, physical</w:t>
            </w:r>
          </w:p>
        </w:tc>
        <w:tc>
          <w:tcPr>
            <w:tcW w:w="1862" w:type="dxa"/>
          </w:tcPr>
          <w:p w14:paraId="5760474E" w14:textId="77777777" w:rsidR="00075001" w:rsidRDefault="00075001" w:rsidP="00075001">
            <w:pPr>
              <w:pStyle w:val="TableParagraph"/>
              <w:spacing w:before="131"/>
            </w:pPr>
            <w:r>
              <w:t>Continuous</w:t>
            </w:r>
          </w:p>
        </w:tc>
        <w:tc>
          <w:tcPr>
            <w:tcW w:w="2364" w:type="dxa"/>
          </w:tcPr>
          <w:p w14:paraId="239C6357" w14:textId="77777777" w:rsidR="00075001" w:rsidRDefault="00075001" w:rsidP="00075001"/>
        </w:tc>
      </w:tr>
      <w:tr w:rsidR="00075001" w14:paraId="68B940FB" w14:textId="77777777" w:rsidTr="00075001">
        <w:trPr>
          <w:trHeight w:hRule="exact" w:val="279"/>
        </w:trPr>
        <w:tc>
          <w:tcPr>
            <w:tcW w:w="4262" w:type="dxa"/>
          </w:tcPr>
          <w:p w14:paraId="0E04D38B" w14:textId="77777777" w:rsidR="00075001" w:rsidRDefault="00075001" w:rsidP="00075001">
            <w:pPr>
              <w:pStyle w:val="TableParagraph"/>
              <w:spacing w:line="266" w:lineRule="exact"/>
            </w:pPr>
            <w:r>
              <w:t>Quality of life: EQ-5D, version 3L, Index value</w:t>
            </w:r>
          </w:p>
        </w:tc>
        <w:tc>
          <w:tcPr>
            <w:tcW w:w="1862" w:type="dxa"/>
          </w:tcPr>
          <w:p w14:paraId="6A3443CD" w14:textId="77777777" w:rsidR="00075001" w:rsidRDefault="00075001" w:rsidP="00075001">
            <w:pPr>
              <w:pStyle w:val="TableParagraph"/>
              <w:spacing w:line="266" w:lineRule="exact"/>
            </w:pPr>
            <w:r>
              <w:t>Continuous</w:t>
            </w:r>
          </w:p>
        </w:tc>
        <w:tc>
          <w:tcPr>
            <w:tcW w:w="2364" w:type="dxa"/>
          </w:tcPr>
          <w:p w14:paraId="7219F42C" w14:textId="77777777" w:rsidR="00075001" w:rsidRDefault="00075001" w:rsidP="00075001"/>
        </w:tc>
      </w:tr>
      <w:tr w:rsidR="00075001" w14:paraId="7047E9B4" w14:textId="77777777" w:rsidTr="00075001">
        <w:trPr>
          <w:trHeight w:hRule="exact" w:val="279"/>
        </w:trPr>
        <w:tc>
          <w:tcPr>
            <w:tcW w:w="4262" w:type="dxa"/>
          </w:tcPr>
          <w:p w14:paraId="25FEC6E9" w14:textId="77777777" w:rsidR="00075001" w:rsidRDefault="00075001" w:rsidP="00075001">
            <w:pPr>
              <w:pStyle w:val="TableParagraph"/>
              <w:spacing w:line="266" w:lineRule="exact"/>
            </w:pPr>
            <w:r>
              <w:t>Hospital admissions</w:t>
            </w:r>
          </w:p>
        </w:tc>
        <w:tc>
          <w:tcPr>
            <w:tcW w:w="1862" w:type="dxa"/>
          </w:tcPr>
          <w:p w14:paraId="3A21976F" w14:textId="77777777" w:rsidR="00075001" w:rsidRDefault="00075001" w:rsidP="00075001">
            <w:pPr>
              <w:pStyle w:val="TableParagraph"/>
              <w:spacing w:line="266" w:lineRule="exact"/>
            </w:pPr>
            <w:r>
              <w:t>Continuous</w:t>
            </w:r>
          </w:p>
        </w:tc>
        <w:tc>
          <w:tcPr>
            <w:tcW w:w="2364" w:type="dxa"/>
          </w:tcPr>
          <w:p w14:paraId="35BB5F68" w14:textId="77777777" w:rsidR="00075001" w:rsidRDefault="00075001" w:rsidP="00075001"/>
        </w:tc>
      </w:tr>
    </w:tbl>
    <w:p w14:paraId="11DD7ED4" w14:textId="77777777" w:rsidR="00075001" w:rsidRDefault="00075001" w:rsidP="00075001">
      <w:pPr>
        <w:sectPr w:rsidR="00075001">
          <w:headerReference w:type="default" r:id="rId21"/>
          <w:footerReference w:type="default" r:id="rId22"/>
          <w:pgSz w:w="11900" w:h="16840"/>
          <w:pgMar w:top="1420" w:right="1580" w:bottom="280" w:left="1600" w:header="0" w:footer="0" w:gutter="0"/>
          <w:cols w:space="720"/>
        </w:sectPr>
      </w:pPr>
    </w:p>
    <w:p w14:paraId="795735CC" w14:textId="77777777" w:rsidR="00075001" w:rsidRPr="00075001" w:rsidRDefault="00075001" w:rsidP="00075001">
      <w:pPr>
        <w:spacing w:before="37"/>
        <w:ind w:left="741"/>
        <w:rPr>
          <w:rFonts w:asciiTheme="minorHAnsi" w:hAnsiTheme="minorHAnsi" w:cstheme="minorHAnsi"/>
          <w:b/>
        </w:rPr>
      </w:pPr>
      <w:proofErr w:type="spellStart"/>
      <w:r w:rsidRPr="00075001">
        <w:rPr>
          <w:rFonts w:asciiTheme="minorHAnsi" w:hAnsiTheme="minorHAnsi" w:cstheme="minorHAnsi"/>
          <w:b/>
          <w:sz w:val="22"/>
        </w:rPr>
        <w:lastRenderedPageBreak/>
        <w:t>Supplemental</w:t>
      </w:r>
      <w:proofErr w:type="spellEnd"/>
      <w:r w:rsidRPr="00075001">
        <w:rPr>
          <w:rFonts w:asciiTheme="minorHAnsi" w:hAnsiTheme="minorHAnsi" w:cstheme="minorHAnsi"/>
          <w:b/>
          <w:sz w:val="22"/>
        </w:rPr>
        <w:t xml:space="preserve"> Table 3. TRIPOD </w:t>
      </w:r>
      <w:proofErr w:type="spellStart"/>
      <w:r w:rsidRPr="00075001">
        <w:rPr>
          <w:rFonts w:asciiTheme="minorHAnsi" w:hAnsiTheme="minorHAnsi" w:cstheme="minorHAnsi"/>
          <w:b/>
          <w:sz w:val="22"/>
        </w:rPr>
        <w:t>statement</w:t>
      </w:r>
      <w:proofErr w:type="spellEnd"/>
    </w:p>
    <w:p w14:paraId="21B7C873" w14:textId="77777777" w:rsidR="00075001" w:rsidRDefault="00075001" w:rsidP="00075001">
      <w:pPr>
        <w:pStyle w:val="BodyText"/>
        <w:spacing w:before="12"/>
        <w:rPr>
          <w:b/>
          <w:sz w:val="21"/>
        </w:rPr>
      </w:pP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2"/>
        <w:gridCol w:w="567"/>
        <w:gridCol w:w="567"/>
        <w:gridCol w:w="6026"/>
        <w:gridCol w:w="1119"/>
      </w:tblGrid>
      <w:tr w:rsidR="00075001" w14:paraId="48FF4C48" w14:textId="77777777" w:rsidTr="00075001">
        <w:trPr>
          <w:trHeight w:hRule="exact" w:val="279"/>
        </w:trPr>
        <w:tc>
          <w:tcPr>
            <w:tcW w:w="9761" w:type="dxa"/>
            <w:gridSpan w:val="5"/>
            <w:shd w:val="clear" w:color="auto" w:fill="F6CBAC"/>
          </w:tcPr>
          <w:p w14:paraId="2291A8A3" w14:textId="77777777" w:rsidR="00075001" w:rsidRDefault="00075001" w:rsidP="00075001">
            <w:pPr>
              <w:pStyle w:val="TableParagraph"/>
              <w:tabs>
                <w:tab w:val="left" w:pos="2718"/>
                <w:tab w:val="left" w:pos="8976"/>
              </w:tabs>
              <w:rPr>
                <w:b/>
              </w:rPr>
            </w:pPr>
            <w:r>
              <w:rPr>
                <w:b/>
              </w:rPr>
              <w:t>Section/Topic</w:t>
            </w:r>
            <w:r>
              <w:rPr>
                <w:b/>
                <w:spacing w:val="-15"/>
              </w:rPr>
              <w:t xml:space="preserve"> </w:t>
            </w:r>
            <w:r>
              <w:rPr>
                <w:b/>
              </w:rPr>
              <w:t>m</w:t>
            </w:r>
            <w:r>
              <w:rPr>
                <w:b/>
              </w:rPr>
              <w:tab/>
              <w:t>Checklist</w:t>
            </w:r>
            <w:r>
              <w:rPr>
                <w:b/>
                <w:spacing w:val="-3"/>
              </w:rPr>
              <w:t xml:space="preserve"> </w:t>
            </w:r>
            <w:r>
              <w:rPr>
                <w:b/>
              </w:rPr>
              <w:t>Item</w:t>
            </w:r>
            <w:r>
              <w:rPr>
                <w:b/>
              </w:rPr>
              <w:tab/>
              <w:t>Page</w:t>
            </w:r>
          </w:p>
        </w:tc>
      </w:tr>
      <w:tr w:rsidR="00075001" w14:paraId="74EBA6E9" w14:textId="77777777" w:rsidTr="00075001">
        <w:trPr>
          <w:trHeight w:hRule="exact" w:val="279"/>
        </w:trPr>
        <w:tc>
          <w:tcPr>
            <w:tcW w:w="9761" w:type="dxa"/>
            <w:gridSpan w:val="5"/>
            <w:shd w:val="clear" w:color="auto" w:fill="F6CBAC"/>
          </w:tcPr>
          <w:p w14:paraId="051E428C" w14:textId="77777777" w:rsidR="00075001" w:rsidRDefault="00075001" w:rsidP="00075001">
            <w:pPr>
              <w:pStyle w:val="TableParagraph"/>
              <w:rPr>
                <w:b/>
              </w:rPr>
            </w:pPr>
            <w:r>
              <w:rPr>
                <w:b/>
              </w:rPr>
              <w:t>Title and abstract</w:t>
            </w:r>
          </w:p>
        </w:tc>
      </w:tr>
      <w:tr w:rsidR="00075001" w14:paraId="7B3F1692" w14:textId="77777777" w:rsidTr="00075001">
        <w:trPr>
          <w:trHeight w:hRule="exact" w:val="816"/>
        </w:trPr>
        <w:tc>
          <w:tcPr>
            <w:tcW w:w="1482" w:type="dxa"/>
          </w:tcPr>
          <w:p w14:paraId="0F6F1F60" w14:textId="77777777" w:rsidR="00075001" w:rsidRDefault="00075001" w:rsidP="00075001">
            <w:pPr>
              <w:pStyle w:val="TableParagraph"/>
              <w:ind w:left="0"/>
              <w:rPr>
                <w:b/>
              </w:rPr>
            </w:pPr>
          </w:p>
          <w:p w14:paraId="35135A8D" w14:textId="77777777" w:rsidR="00075001" w:rsidRDefault="00075001" w:rsidP="00075001">
            <w:pPr>
              <w:pStyle w:val="TableParagraph"/>
              <w:ind w:left="259"/>
            </w:pPr>
            <w:r>
              <w:t>Title</w:t>
            </w:r>
          </w:p>
        </w:tc>
        <w:tc>
          <w:tcPr>
            <w:tcW w:w="567" w:type="dxa"/>
          </w:tcPr>
          <w:p w14:paraId="4285A14C" w14:textId="77777777" w:rsidR="00075001" w:rsidRDefault="00075001" w:rsidP="00075001">
            <w:pPr>
              <w:pStyle w:val="TableParagraph"/>
              <w:ind w:left="0"/>
              <w:rPr>
                <w:b/>
              </w:rPr>
            </w:pPr>
          </w:p>
          <w:p w14:paraId="1B89C4CB" w14:textId="77777777" w:rsidR="00075001" w:rsidRDefault="00075001" w:rsidP="00075001">
            <w:pPr>
              <w:pStyle w:val="TableParagraph"/>
              <w:ind w:left="239"/>
              <w:jc w:val="center"/>
            </w:pPr>
            <w:r>
              <w:t>1</w:t>
            </w:r>
          </w:p>
        </w:tc>
        <w:tc>
          <w:tcPr>
            <w:tcW w:w="567" w:type="dxa"/>
          </w:tcPr>
          <w:p w14:paraId="0F4F4D9B" w14:textId="77777777" w:rsidR="00075001" w:rsidRDefault="00075001" w:rsidP="00075001">
            <w:pPr>
              <w:pStyle w:val="TableParagraph"/>
              <w:ind w:left="0"/>
              <w:rPr>
                <w:b/>
              </w:rPr>
            </w:pPr>
          </w:p>
          <w:p w14:paraId="7060ED13" w14:textId="77777777" w:rsidR="00075001" w:rsidRDefault="00075001" w:rsidP="00075001">
            <w:pPr>
              <w:pStyle w:val="TableParagraph"/>
              <w:ind w:left="0" w:right="101"/>
              <w:jc w:val="right"/>
            </w:pPr>
            <w:proofErr w:type="gramStart"/>
            <w:r>
              <w:t>D;V</w:t>
            </w:r>
            <w:proofErr w:type="gramEnd"/>
          </w:p>
        </w:tc>
        <w:tc>
          <w:tcPr>
            <w:tcW w:w="6026" w:type="dxa"/>
          </w:tcPr>
          <w:p w14:paraId="5173F3D4" w14:textId="77777777" w:rsidR="00075001" w:rsidRDefault="00075001" w:rsidP="00075001">
            <w:pPr>
              <w:pStyle w:val="TableParagraph"/>
              <w:ind w:left="136" w:right="126"/>
            </w:pPr>
            <w:r>
              <w:t>Identifies the study as developing and/or validating a multivariable prediction model; mentions the target population, and the outcome to be predicted.</w:t>
            </w:r>
          </w:p>
        </w:tc>
        <w:tc>
          <w:tcPr>
            <w:tcW w:w="1119" w:type="dxa"/>
          </w:tcPr>
          <w:p w14:paraId="685DE4A7" w14:textId="77777777" w:rsidR="00075001" w:rsidRDefault="00075001" w:rsidP="00075001">
            <w:pPr>
              <w:pStyle w:val="TableParagraph"/>
              <w:ind w:left="0"/>
              <w:rPr>
                <w:b/>
              </w:rPr>
            </w:pPr>
          </w:p>
          <w:p w14:paraId="7519D64C" w14:textId="77777777" w:rsidR="00075001" w:rsidRDefault="00075001" w:rsidP="00075001">
            <w:pPr>
              <w:pStyle w:val="TableParagraph"/>
              <w:ind w:left="0"/>
              <w:jc w:val="center"/>
            </w:pPr>
            <w:r>
              <w:rPr>
                <w:color w:val="BFBFBF"/>
              </w:rPr>
              <w:t>1</w:t>
            </w:r>
          </w:p>
        </w:tc>
      </w:tr>
      <w:tr w:rsidR="00075001" w14:paraId="61B59CCC" w14:textId="77777777" w:rsidTr="00075001">
        <w:trPr>
          <w:trHeight w:hRule="exact" w:val="816"/>
        </w:trPr>
        <w:tc>
          <w:tcPr>
            <w:tcW w:w="1482" w:type="dxa"/>
          </w:tcPr>
          <w:p w14:paraId="3E51CDB5" w14:textId="77777777" w:rsidR="00075001" w:rsidRDefault="00075001" w:rsidP="00075001">
            <w:pPr>
              <w:pStyle w:val="TableParagraph"/>
              <w:ind w:left="0"/>
              <w:rPr>
                <w:b/>
              </w:rPr>
            </w:pPr>
          </w:p>
          <w:p w14:paraId="634D7D88" w14:textId="77777777" w:rsidR="00075001" w:rsidRDefault="00075001" w:rsidP="00075001">
            <w:pPr>
              <w:pStyle w:val="TableParagraph"/>
              <w:ind w:left="259"/>
            </w:pPr>
            <w:r>
              <w:t>Abstract</w:t>
            </w:r>
          </w:p>
        </w:tc>
        <w:tc>
          <w:tcPr>
            <w:tcW w:w="567" w:type="dxa"/>
          </w:tcPr>
          <w:p w14:paraId="2ED5B003" w14:textId="77777777" w:rsidR="00075001" w:rsidRDefault="00075001" w:rsidP="00075001">
            <w:pPr>
              <w:pStyle w:val="TableParagraph"/>
              <w:ind w:left="0"/>
              <w:rPr>
                <w:b/>
              </w:rPr>
            </w:pPr>
          </w:p>
          <w:p w14:paraId="56CE2241" w14:textId="77777777" w:rsidR="00075001" w:rsidRDefault="00075001" w:rsidP="00075001">
            <w:pPr>
              <w:pStyle w:val="TableParagraph"/>
              <w:ind w:left="239"/>
              <w:jc w:val="center"/>
            </w:pPr>
            <w:r>
              <w:t>2</w:t>
            </w:r>
          </w:p>
        </w:tc>
        <w:tc>
          <w:tcPr>
            <w:tcW w:w="567" w:type="dxa"/>
          </w:tcPr>
          <w:p w14:paraId="3D04F62C" w14:textId="77777777" w:rsidR="00075001" w:rsidRDefault="00075001" w:rsidP="00075001">
            <w:pPr>
              <w:pStyle w:val="TableParagraph"/>
              <w:ind w:left="0"/>
              <w:rPr>
                <w:b/>
              </w:rPr>
            </w:pPr>
          </w:p>
          <w:p w14:paraId="0264D8AB" w14:textId="77777777" w:rsidR="00075001" w:rsidRDefault="00075001" w:rsidP="00075001">
            <w:pPr>
              <w:pStyle w:val="TableParagraph"/>
              <w:ind w:left="0" w:right="101"/>
              <w:jc w:val="right"/>
            </w:pPr>
            <w:proofErr w:type="gramStart"/>
            <w:r>
              <w:t>D;V</w:t>
            </w:r>
            <w:proofErr w:type="gramEnd"/>
          </w:p>
        </w:tc>
        <w:tc>
          <w:tcPr>
            <w:tcW w:w="6026" w:type="dxa"/>
          </w:tcPr>
          <w:p w14:paraId="71D8D410" w14:textId="77777777" w:rsidR="00075001" w:rsidRDefault="00075001" w:rsidP="00075001">
            <w:pPr>
              <w:pStyle w:val="TableParagraph"/>
              <w:ind w:left="136" w:right="793"/>
            </w:pPr>
            <w:r>
              <w:t>Provides a summary of objectives, study design, setting, participants, sample size, predictors, outcome, statistical analysis, results, and conclusions.</w:t>
            </w:r>
          </w:p>
        </w:tc>
        <w:tc>
          <w:tcPr>
            <w:tcW w:w="1119" w:type="dxa"/>
          </w:tcPr>
          <w:p w14:paraId="264C4FA5" w14:textId="77777777" w:rsidR="00075001" w:rsidRDefault="00075001" w:rsidP="00075001">
            <w:pPr>
              <w:pStyle w:val="TableParagraph"/>
              <w:ind w:left="0"/>
              <w:rPr>
                <w:b/>
              </w:rPr>
            </w:pPr>
          </w:p>
          <w:p w14:paraId="589831A6" w14:textId="77777777" w:rsidR="00075001" w:rsidRDefault="00075001" w:rsidP="00075001">
            <w:pPr>
              <w:pStyle w:val="TableParagraph"/>
              <w:ind w:left="0"/>
              <w:jc w:val="center"/>
            </w:pPr>
            <w:r>
              <w:rPr>
                <w:color w:val="BFBFBF"/>
              </w:rPr>
              <w:t>4</w:t>
            </w:r>
          </w:p>
        </w:tc>
      </w:tr>
      <w:tr w:rsidR="00075001" w14:paraId="1D3A8454" w14:textId="77777777" w:rsidTr="00075001">
        <w:trPr>
          <w:trHeight w:hRule="exact" w:val="279"/>
        </w:trPr>
        <w:tc>
          <w:tcPr>
            <w:tcW w:w="9761" w:type="dxa"/>
            <w:gridSpan w:val="5"/>
            <w:shd w:val="clear" w:color="auto" w:fill="F6CBAC"/>
          </w:tcPr>
          <w:p w14:paraId="0F4D22BE" w14:textId="77777777" w:rsidR="00075001" w:rsidRDefault="00075001" w:rsidP="00075001">
            <w:pPr>
              <w:pStyle w:val="TableParagraph"/>
              <w:rPr>
                <w:b/>
              </w:rPr>
            </w:pPr>
            <w:r>
              <w:rPr>
                <w:b/>
              </w:rPr>
              <w:t>Introduction</w:t>
            </w:r>
          </w:p>
        </w:tc>
      </w:tr>
      <w:tr w:rsidR="00075001" w14:paraId="55F15874" w14:textId="77777777" w:rsidTr="00075001">
        <w:trPr>
          <w:trHeight w:hRule="exact" w:val="1084"/>
        </w:trPr>
        <w:tc>
          <w:tcPr>
            <w:tcW w:w="1482" w:type="dxa"/>
            <w:vMerge w:val="restart"/>
          </w:tcPr>
          <w:p w14:paraId="68F351EC" w14:textId="77777777" w:rsidR="00075001" w:rsidRDefault="00075001" w:rsidP="00075001">
            <w:pPr>
              <w:pStyle w:val="TableParagraph"/>
              <w:ind w:left="0"/>
              <w:rPr>
                <w:b/>
              </w:rPr>
            </w:pPr>
          </w:p>
          <w:p w14:paraId="599AA88B" w14:textId="77777777" w:rsidR="00075001" w:rsidRDefault="00075001" w:rsidP="00075001">
            <w:pPr>
              <w:pStyle w:val="TableParagraph"/>
              <w:spacing w:before="139"/>
              <w:ind w:left="259" w:right="131"/>
            </w:pPr>
            <w:r>
              <w:t>Background and objectives</w:t>
            </w:r>
          </w:p>
        </w:tc>
        <w:tc>
          <w:tcPr>
            <w:tcW w:w="567" w:type="dxa"/>
          </w:tcPr>
          <w:p w14:paraId="1D40C639" w14:textId="77777777" w:rsidR="00075001" w:rsidRDefault="00075001" w:rsidP="00075001">
            <w:pPr>
              <w:pStyle w:val="TableParagraph"/>
              <w:ind w:left="0"/>
              <w:rPr>
                <w:b/>
              </w:rPr>
            </w:pPr>
          </w:p>
          <w:p w14:paraId="5901377F" w14:textId="77777777" w:rsidR="00075001" w:rsidRDefault="00075001" w:rsidP="00075001">
            <w:pPr>
              <w:pStyle w:val="TableParagraph"/>
              <w:spacing w:before="134"/>
              <w:ind w:left="206" w:right="72"/>
              <w:jc w:val="center"/>
            </w:pPr>
            <w:r>
              <w:t>3a</w:t>
            </w:r>
          </w:p>
        </w:tc>
        <w:tc>
          <w:tcPr>
            <w:tcW w:w="567" w:type="dxa"/>
          </w:tcPr>
          <w:p w14:paraId="1EBAE538" w14:textId="77777777" w:rsidR="00075001" w:rsidRDefault="00075001" w:rsidP="00075001">
            <w:pPr>
              <w:pStyle w:val="TableParagraph"/>
              <w:ind w:left="0"/>
              <w:rPr>
                <w:b/>
              </w:rPr>
            </w:pPr>
          </w:p>
          <w:p w14:paraId="02F86645" w14:textId="77777777" w:rsidR="00075001" w:rsidRDefault="00075001" w:rsidP="00075001">
            <w:pPr>
              <w:pStyle w:val="TableParagraph"/>
              <w:spacing w:before="134"/>
              <w:ind w:left="0" w:right="101"/>
              <w:jc w:val="right"/>
            </w:pPr>
            <w:proofErr w:type="gramStart"/>
            <w:r>
              <w:t>D;V</w:t>
            </w:r>
            <w:proofErr w:type="gramEnd"/>
          </w:p>
        </w:tc>
        <w:tc>
          <w:tcPr>
            <w:tcW w:w="6026" w:type="dxa"/>
          </w:tcPr>
          <w:p w14:paraId="0E781F24" w14:textId="77777777" w:rsidR="00075001" w:rsidRDefault="00075001" w:rsidP="00075001">
            <w:pPr>
              <w:pStyle w:val="TableParagraph"/>
              <w:ind w:left="136" w:right="206"/>
            </w:pPr>
            <w:r>
              <w:t>Explains the medical context (including whether diagnostic or prognostic) and rationale for developing or validating the multivariable prediction model, including references to existing models.</w:t>
            </w:r>
          </w:p>
        </w:tc>
        <w:tc>
          <w:tcPr>
            <w:tcW w:w="1119" w:type="dxa"/>
          </w:tcPr>
          <w:p w14:paraId="314F52CA" w14:textId="77777777" w:rsidR="00075001" w:rsidRDefault="00075001" w:rsidP="00075001">
            <w:pPr>
              <w:pStyle w:val="TableParagraph"/>
              <w:ind w:left="0"/>
              <w:rPr>
                <w:b/>
              </w:rPr>
            </w:pPr>
          </w:p>
          <w:p w14:paraId="4B27EE64" w14:textId="77777777" w:rsidR="00075001" w:rsidRDefault="00075001" w:rsidP="00075001">
            <w:pPr>
              <w:pStyle w:val="TableParagraph"/>
              <w:spacing w:before="134"/>
              <w:ind w:left="86" w:right="86"/>
              <w:jc w:val="center"/>
            </w:pPr>
            <w:r>
              <w:rPr>
                <w:color w:val="BFBFBF"/>
              </w:rPr>
              <w:t>7-8</w:t>
            </w:r>
          </w:p>
        </w:tc>
      </w:tr>
      <w:tr w:rsidR="00075001" w14:paraId="4DEB61A5" w14:textId="77777777" w:rsidTr="00075001">
        <w:trPr>
          <w:trHeight w:hRule="exact" w:val="547"/>
        </w:trPr>
        <w:tc>
          <w:tcPr>
            <w:tcW w:w="1482" w:type="dxa"/>
            <w:vMerge/>
          </w:tcPr>
          <w:p w14:paraId="26DB4A16" w14:textId="77777777" w:rsidR="00075001" w:rsidRDefault="00075001" w:rsidP="00075001"/>
        </w:tc>
        <w:tc>
          <w:tcPr>
            <w:tcW w:w="567" w:type="dxa"/>
          </w:tcPr>
          <w:p w14:paraId="45B5EFB4" w14:textId="77777777" w:rsidR="00075001" w:rsidRDefault="00075001" w:rsidP="00075001">
            <w:pPr>
              <w:pStyle w:val="TableParagraph"/>
              <w:spacing w:before="134"/>
              <w:ind w:left="206" w:right="82"/>
              <w:jc w:val="center"/>
            </w:pPr>
            <w:r>
              <w:t>3b</w:t>
            </w:r>
          </w:p>
        </w:tc>
        <w:tc>
          <w:tcPr>
            <w:tcW w:w="567" w:type="dxa"/>
          </w:tcPr>
          <w:p w14:paraId="6FB9B1B1" w14:textId="77777777" w:rsidR="00075001" w:rsidRDefault="00075001" w:rsidP="00075001">
            <w:pPr>
              <w:pStyle w:val="TableParagraph"/>
              <w:spacing w:before="134"/>
              <w:ind w:left="0" w:right="101"/>
              <w:jc w:val="right"/>
            </w:pPr>
            <w:proofErr w:type="gramStart"/>
            <w:r>
              <w:t>D;V</w:t>
            </w:r>
            <w:proofErr w:type="gramEnd"/>
          </w:p>
        </w:tc>
        <w:tc>
          <w:tcPr>
            <w:tcW w:w="6026" w:type="dxa"/>
          </w:tcPr>
          <w:p w14:paraId="41E2C352" w14:textId="77777777" w:rsidR="00075001" w:rsidRDefault="00075001" w:rsidP="00075001">
            <w:pPr>
              <w:pStyle w:val="TableParagraph"/>
              <w:ind w:left="136" w:right="269"/>
            </w:pPr>
            <w:r>
              <w:t>Specifies the objectives, including whether the study describes the development or validation of the model or both.</w:t>
            </w:r>
          </w:p>
        </w:tc>
        <w:tc>
          <w:tcPr>
            <w:tcW w:w="1119" w:type="dxa"/>
          </w:tcPr>
          <w:p w14:paraId="336BE98C" w14:textId="77777777" w:rsidR="00075001" w:rsidRDefault="00075001" w:rsidP="00075001">
            <w:pPr>
              <w:pStyle w:val="TableParagraph"/>
              <w:spacing w:before="134"/>
              <w:ind w:left="0"/>
              <w:jc w:val="center"/>
            </w:pPr>
            <w:r>
              <w:rPr>
                <w:color w:val="BFBFBF"/>
              </w:rPr>
              <w:t>8</w:t>
            </w:r>
          </w:p>
        </w:tc>
      </w:tr>
      <w:tr w:rsidR="00075001" w14:paraId="61D27A83" w14:textId="77777777" w:rsidTr="00075001">
        <w:trPr>
          <w:trHeight w:hRule="exact" w:val="279"/>
        </w:trPr>
        <w:tc>
          <w:tcPr>
            <w:tcW w:w="9761" w:type="dxa"/>
            <w:gridSpan w:val="5"/>
            <w:shd w:val="clear" w:color="auto" w:fill="F6CBAC"/>
          </w:tcPr>
          <w:p w14:paraId="5A0DE336" w14:textId="77777777" w:rsidR="00075001" w:rsidRDefault="00075001" w:rsidP="00075001">
            <w:pPr>
              <w:pStyle w:val="TableParagraph"/>
              <w:rPr>
                <w:b/>
              </w:rPr>
            </w:pPr>
            <w:r>
              <w:rPr>
                <w:b/>
              </w:rPr>
              <w:t>Methods</w:t>
            </w:r>
          </w:p>
        </w:tc>
      </w:tr>
      <w:tr w:rsidR="00075001" w14:paraId="44E5FC4E" w14:textId="77777777" w:rsidTr="00075001">
        <w:trPr>
          <w:trHeight w:hRule="exact" w:val="816"/>
        </w:trPr>
        <w:tc>
          <w:tcPr>
            <w:tcW w:w="1482" w:type="dxa"/>
            <w:vMerge w:val="restart"/>
          </w:tcPr>
          <w:p w14:paraId="62B2E302" w14:textId="77777777" w:rsidR="00075001" w:rsidRDefault="00075001" w:rsidP="00075001">
            <w:pPr>
              <w:pStyle w:val="TableParagraph"/>
              <w:ind w:left="0"/>
              <w:rPr>
                <w:b/>
              </w:rPr>
            </w:pPr>
          </w:p>
          <w:p w14:paraId="03BBA164" w14:textId="77777777" w:rsidR="00075001" w:rsidRDefault="00075001" w:rsidP="00075001">
            <w:pPr>
              <w:pStyle w:val="TableParagraph"/>
              <w:spacing w:before="139"/>
              <w:ind w:left="259" w:right="348"/>
            </w:pPr>
            <w:r>
              <w:t>Source of data</w:t>
            </w:r>
          </w:p>
        </w:tc>
        <w:tc>
          <w:tcPr>
            <w:tcW w:w="567" w:type="dxa"/>
          </w:tcPr>
          <w:p w14:paraId="502B2EC0" w14:textId="77777777" w:rsidR="00075001" w:rsidRDefault="00075001" w:rsidP="00075001">
            <w:pPr>
              <w:pStyle w:val="TableParagraph"/>
              <w:ind w:left="0"/>
              <w:rPr>
                <w:b/>
              </w:rPr>
            </w:pPr>
          </w:p>
          <w:p w14:paraId="23AD6926" w14:textId="77777777" w:rsidR="00075001" w:rsidRDefault="00075001" w:rsidP="00075001">
            <w:pPr>
              <w:pStyle w:val="TableParagraph"/>
              <w:ind w:left="206" w:right="72"/>
              <w:jc w:val="center"/>
            </w:pPr>
            <w:r>
              <w:t>4a</w:t>
            </w:r>
          </w:p>
        </w:tc>
        <w:tc>
          <w:tcPr>
            <w:tcW w:w="567" w:type="dxa"/>
          </w:tcPr>
          <w:p w14:paraId="4EA791C6" w14:textId="77777777" w:rsidR="00075001" w:rsidRDefault="00075001" w:rsidP="00075001">
            <w:pPr>
              <w:pStyle w:val="TableParagraph"/>
              <w:ind w:left="0"/>
              <w:rPr>
                <w:b/>
              </w:rPr>
            </w:pPr>
          </w:p>
          <w:p w14:paraId="0D9030E6" w14:textId="77777777" w:rsidR="00075001" w:rsidRDefault="00075001" w:rsidP="00075001">
            <w:pPr>
              <w:pStyle w:val="TableParagraph"/>
              <w:ind w:left="0" w:right="101"/>
              <w:jc w:val="right"/>
            </w:pPr>
            <w:proofErr w:type="gramStart"/>
            <w:r>
              <w:t>D;V</w:t>
            </w:r>
            <w:proofErr w:type="gramEnd"/>
          </w:p>
        </w:tc>
        <w:tc>
          <w:tcPr>
            <w:tcW w:w="6026" w:type="dxa"/>
          </w:tcPr>
          <w:p w14:paraId="6FB0A478" w14:textId="77777777" w:rsidR="00075001" w:rsidRDefault="00075001" w:rsidP="00075001">
            <w:pPr>
              <w:pStyle w:val="TableParagraph"/>
              <w:ind w:left="136" w:right="350"/>
              <w:jc w:val="both"/>
            </w:pPr>
            <w:r>
              <w:t>Describe the study design or source of data (e.g., randomized trial, cohort, or registry data), separately for the development and validation datasets, if applicable.</w:t>
            </w:r>
          </w:p>
        </w:tc>
        <w:tc>
          <w:tcPr>
            <w:tcW w:w="1119" w:type="dxa"/>
          </w:tcPr>
          <w:p w14:paraId="66A28348" w14:textId="77777777" w:rsidR="00075001" w:rsidRDefault="00075001" w:rsidP="00075001">
            <w:pPr>
              <w:pStyle w:val="TableParagraph"/>
              <w:ind w:left="0"/>
              <w:rPr>
                <w:b/>
              </w:rPr>
            </w:pPr>
          </w:p>
          <w:p w14:paraId="03934C62" w14:textId="77777777" w:rsidR="00075001" w:rsidRDefault="00075001" w:rsidP="00075001">
            <w:pPr>
              <w:pStyle w:val="TableParagraph"/>
              <w:ind w:left="0"/>
              <w:jc w:val="center"/>
            </w:pPr>
            <w:r>
              <w:rPr>
                <w:color w:val="BFBFBF"/>
              </w:rPr>
              <w:t>8</w:t>
            </w:r>
          </w:p>
        </w:tc>
      </w:tr>
      <w:tr w:rsidR="00075001" w14:paraId="5F33D55F" w14:textId="77777777" w:rsidTr="00075001">
        <w:trPr>
          <w:trHeight w:hRule="exact" w:val="547"/>
        </w:trPr>
        <w:tc>
          <w:tcPr>
            <w:tcW w:w="1482" w:type="dxa"/>
            <w:vMerge/>
          </w:tcPr>
          <w:p w14:paraId="460D18B9" w14:textId="77777777" w:rsidR="00075001" w:rsidRDefault="00075001" w:rsidP="00075001"/>
        </w:tc>
        <w:tc>
          <w:tcPr>
            <w:tcW w:w="567" w:type="dxa"/>
          </w:tcPr>
          <w:p w14:paraId="7F7A499E" w14:textId="77777777" w:rsidR="00075001" w:rsidRDefault="00075001" w:rsidP="00075001">
            <w:pPr>
              <w:pStyle w:val="TableParagraph"/>
              <w:spacing w:before="134"/>
              <w:ind w:left="206" w:right="82"/>
              <w:jc w:val="center"/>
            </w:pPr>
            <w:r>
              <w:t>4b</w:t>
            </w:r>
          </w:p>
        </w:tc>
        <w:tc>
          <w:tcPr>
            <w:tcW w:w="567" w:type="dxa"/>
          </w:tcPr>
          <w:p w14:paraId="11673F7E" w14:textId="77777777" w:rsidR="00075001" w:rsidRDefault="00075001" w:rsidP="00075001">
            <w:pPr>
              <w:pStyle w:val="TableParagraph"/>
              <w:spacing w:before="134"/>
              <w:ind w:left="0" w:right="101"/>
              <w:jc w:val="right"/>
            </w:pPr>
            <w:proofErr w:type="gramStart"/>
            <w:r>
              <w:t>D;V</w:t>
            </w:r>
            <w:proofErr w:type="gramEnd"/>
          </w:p>
        </w:tc>
        <w:tc>
          <w:tcPr>
            <w:tcW w:w="6026" w:type="dxa"/>
          </w:tcPr>
          <w:p w14:paraId="40FB7973" w14:textId="77777777" w:rsidR="00075001" w:rsidRDefault="00075001" w:rsidP="00075001">
            <w:pPr>
              <w:pStyle w:val="TableParagraph"/>
              <w:ind w:left="136" w:right="451"/>
            </w:pPr>
            <w:r>
              <w:t>Specify the key study dates, including start of accrual; end of accrual; and, if applicable, end of follow-up.</w:t>
            </w:r>
          </w:p>
        </w:tc>
        <w:tc>
          <w:tcPr>
            <w:tcW w:w="1119" w:type="dxa"/>
          </w:tcPr>
          <w:p w14:paraId="0A6EFEDB" w14:textId="77777777" w:rsidR="00075001" w:rsidRDefault="00075001" w:rsidP="00075001">
            <w:pPr>
              <w:pStyle w:val="TableParagraph"/>
              <w:spacing w:before="134"/>
              <w:ind w:left="0"/>
              <w:jc w:val="center"/>
            </w:pPr>
            <w:r>
              <w:rPr>
                <w:color w:val="BFBFBF"/>
              </w:rPr>
              <w:t>8</w:t>
            </w:r>
          </w:p>
        </w:tc>
      </w:tr>
      <w:tr w:rsidR="00075001" w14:paraId="3B4AADBD" w14:textId="77777777" w:rsidTr="00075001">
        <w:trPr>
          <w:trHeight w:hRule="exact" w:val="816"/>
        </w:trPr>
        <w:tc>
          <w:tcPr>
            <w:tcW w:w="1482" w:type="dxa"/>
            <w:vMerge w:val="restart"/>
          </w:tcPr>
          <w:p w14:paraId="628D9818" w14:textId="77777777" w:rsidR="00075001" w:rsidRDefault="00075001" w:rsidP="00075001">
            <w:pPr>
              <w:pStyle w:val="TableParagraph"/>
              <w:ind w:left="0"/>
              <w:rPr>
                <w:b/>
              </w:rPr>
            </w:pPr>
          </w:p>
          <w:p w14:paraId="6D10B0D9" w14:textId="77777777" w:rsidR="00075001" w:rsidRDefault="00075001" w:rsidP="00075001">
            <w:pPr>
              <w:pStyle w:val="TableParagraph"/>
              <w:spacing w:before="10"/>
              <w:ind w:left="0"/>
              <w:rPr>
                <w:b/>
              </w:rPr>
            </w:pPr>
          </w:p>
          <w:p w14:paraId="345D76C2" w14:textId="77777777" w:rsidR="00075001" w:rsidRDefault="00075001" w:rsidP="00075001">
            <w:pPr>
              <w:pStyle w:val="TableParagraph"/>
              <w:ind w:left="259"/>
            </w:pPr>
            <w:r>
              <w:t>Participants</w:t>
            </w:r>
          </w:p>
        </w:tc>
        <w:tc>
          <w:tcPr>
            <w:tcW w:w="567" w:type="dxa"/>
          </w:tcPr>
          <w:p w14:paraId="00A1C91F" w14:textId="77777777" w:rsidR="00075001" w:rsidRDefault="00075001" w:rsidP="00075001">
            <w:pPr>
              <w:pStyle w:val="TableParagraph"/>
              <w:ind w:left="0"/>
              <w:rPr>
                <w:b/>
              </w:rPr>
            </w:pPr>
          </w:p>
          <w:p w14:paraId="59AD592A" w14:textId="77777777" w:rsidR="00075001" w:rsidRDefault="00075001" w:rsidP="00075001">
            <w:pPr>
              <w:pStyle w:val="TableParagraph"/>
              <w:ind w:left="206" w:right="72"/>
              <w:jc w:val="center"/>
            </w:pPr>
            <w:r>
              <w:t>5a</w:t>
            </w:r>
          </w:p>
        </w:tc>
        <w:tc>
          <w:tcPr>
            <w:tcW w:w="567" w:type="dxa"/>
          </w:tcPr>
          <w:p w14:paraId="6A429538" w14:textId="77777777" w:rsidR="00075001" w:rsidRDefault="00075001" w:rsidP="00075001">
            <w:pPr>
              <w:pStyle w:val="TableParagraph"/>
              <w:ind w:left="0"/>
              <w:rPr>
                <w:b/>
              </w:rPr>
            </w:pPr>
          </w:p>
          <w:p w14:paraId="17637F68" w14:textId="77777777" w:rsidR="00075001" w:rsidRDefault="00075001" w:rsidP="00075001">
            <w:pPr>
              <w:pStyle w:val="TableParagraph"/>
              <w:ind w:left="0" w:right="101"/>
              <w:jc w:val="right"/>
            </w:pPr>
            <w:proofErr w:type="gramStart"/>
            <w:r>
              <w:t>D;V</w:t>
            </w:r>
            <w:proofErr w:type="gramEnd"/>
          </w:p>
        </w:tc>
        <w:tc>
          <w:tcPr>
            <w:tcW w:w="6026" w:type="dxa"/>
          </w:tcPr>
          <w:p w14:paraId="5F1B6822" w14:textId="77777777" w:rsidR="00075001" w:rsidRDefault="00075001" w:rsidP="00075001">
            <w:pPr>
              <w:pStyle w:val="TableParagraph"/>
              <w:ind w:left="136" w:right="466"/>
            </w:pPr>
            <w:r>
              <w:t>Specify key elements of the study setting (e.g., primary care, secondary care, general population) including number and location of centers.</w:t>
            </w:r>
          </w:p>
        </w:tc>
        <w:tc>
          <w:tcPr>
            <w:tcW w:w="1119" w:type="dxa"/>
          </w:tcPr>
          <w:p w14:paraId="3976D8C3" w14:textId="77777777" w:rsidR="00075001" w:rsidRDefault="00075001" w:rsidP="00075001">
            <w:pPr>
              <w:pStyle w:val="TableParagraph"/>
              <w:ind w:left="0"/>
              <w:rPr>
                <w:b/>
              </w:rPr>
            </w:pPr>
          </w:p>
          <w:p w14:paraId="1F6686B6" w14:textId="77777777" w:rsidR="00075001" w:rsidRDefault="00075001" w:rsidP="00075001">
            <w:pPr>
              <w:pStyle w:val="TableParagraph"/>
              <w:ind w:left="86" w:right="86"/>
              <w:jc w:val="center"/>
            </w:pPr>
            <w:r>
              <w:rPr>
                <w:color w:val="BFBFBF"/>
              </w:rPr>
              <w:t>8,9</w:t>
            </w:r>
          </w:p>
        </w:tc>
      </w:tr>
      <w:tr w:rsidR="00075001" w14:paraId="3CE672C1" w14:textId="77777777" w:rsidTr="00075001">
        <w:trPr>
          <w:trHeight w:hRule="exact" w:val="279"/>
        </w:trPr>
        <w:tc>
          <w:tcPr>
            <w:tcW w:w="1482" w:type="dxa"/>
            <w:vMerge/>
          </w:tcPr>
          <w:p w14:paraId="3AF7F949" w14:textId="77777777" w:rsidR="00075001" w:rsidRDefault="00075001" w:rsidP="00075001"/>
        </w:tc>
        <w:tc>
          <w:tcPr>
            <w:tcW w:w="567" w:type="dxa"/>
          </w:tcPr>
          <w:p w14:paraId="56234640" w14:textId="77777777" w:rsidR="00075001" w:rsidRDefault="00075001" w:rsidP="00075001">
            <w:pPr>
              <w:pStyle w:val="TableParagraph"/>
              <w:ind w:left="206" w:right="82"/>
              <w:jc w:val="center"/>
            </w:pPr>
            <w:r>
              <w:t>5b</w:t>
            </w:r>
          </w:p>
        </w:tc>
        <w:tc>
          <w:tcPr>
            <w:tcW w:w="567" w:type="dxa"/>
          </w:tcPr>
          <w:p w14:paraId="224AF233" w14:textId="77777777" w:rsidR="00075001" w:rsidRDefault="00075001" w:rsidP="00075001">
            <w:pPr>
              <w:pStyle w:val="TableParagraph"/>
              <w:ind w:left="0" w:right="101"/>
              <w:jc w:val="right"/>
            </w:pPr>
            <w:proofErr w:type="gramStart"/>
            <w:r>
              <w:t>D;V</w:t>
            </w:r>
            <w:proofErr w:type="gramEnd"/>
          </w:p>
        </w:tc>
        <w:tc>
          <w:tcPr>
            <w:tcW w:w="6026" w:type="dxa"/>
          </w:tcPr>
          <w:p w14:paraId="303A460D" w14:textId="77777777" w:rsidR="00075001" w:rsidRDefault="00075001" w:rsidP="00075001">
            <w:pPr>
              <w:pStyle w:val="TableParagraph"/>
              <w:ind w:left="136"/>
            </w:pPr>
            <w:r>
              <w:t>Describe eligibility criteria for participants.</w:t>
            </w:r>
          </w:p>
        </w:tc>
        <w:tc>
          <w:tcPr>
            <w:tcW w:w="1119" w:type="dxa"/>
          </w:tcPr>
          <w:p w14:paraId="469E2B0D" w14:textId="77777777" w:rsidR="00075001" w:rsidRDefault="00075001" w:rsidP="00075001">
            <w:pPr>
              <w:pStyle w:val="TableParagraph"/>
              <w:ind w:left="0"/>
              <w:jc w:val="center"/>
            </w:pPr>
            <w:r>
              <w:rPr>
                <w:color w:val="BFBFBF"/>
              </w:rPr>
              <w:t>9</w:t>
            </w:r>
          </w:p>
        </w:tc>
      </w:tr>
      <w:tr w:rsidR="00075001" w14:paraId="229CE857" w14:textId="77777777" w:rsidTr="00075001">
        <w:trPr>
          <w:trHeight w:hRule="exact" w:val="279"/>
        </w:trPr>
        <w:tc>
          <w:tcPr>
            <w:tcW w:w="1482" w:type="dxa"/>
            <w:vMerge/>
          </w:tcPr>
          <w:p w14:paraId="6FCD3891" w14:textId="77777777" w:rsidR="00075001" w:rsidRDefault="00075001" w:rsidP="00075001"/>
        </w:tc>
        <w:tc>
          <w:tcPr>
            <w:tcW w:w="567" w:type="dxa"/>
          </w:tcPr>
          <w:p w14:paraId="2F000671" w14:textId="77777777" w:rsidR="00075001" w:rsidRDefault="00075001" w:rsidP="00075001">
            <w:pPr>
              <w:pStyle w:val="TableParagraph"/>
              <w:ind w:left="206" w:right="60"/>
              <w:jc w:val="center"/>
            </w:pPr>
            <w:r>
              <w:t>5c</w:t>
            </w:r>
          </w:p>
        </w:tc>
        <w:tc>
          <w:tcPr>
            <w:tcW w:w="567" w:type="dxa"/>
          </w:tcPr>
          <w:p w14:paraId="2F03E8F4" w14:textId="77777777" w:rsidR="00075001" w:rsidRDefault="00075001" w:rsidP="00075001">
            <w:pPr>
              <w:pStyle w:val="TableParagraph"/>
              <w:ind w:left="0" w:right="101"/>
              <w:jc w:val="right"/>
            </w:pPr>
            <w:proofErr w:type="gramStart"/>
            <w:r>
              <w:t>D;V</w:t>
            </w:r>
            <w:proofErr w:type="gramEnd"/>
          </w:p>
        </w:tc>
        <w:tc>
          <w:tcPr>
            <w:tcW w:w="6026" w:type="dxa"/>
          </w:tcPr>
          <w:p w14:paraId="440CB28E" w14:textId="77777777" w:rsidR="00075001" w:rsidRDefault="00075001" w:rsidP="00075001">
            <w:pPr>
              <w:pStyle w:val="TableParagraph"/>
              <w:ind w:left="136"/>
            </w:pPr>
            <w:r>
              <w:t>Give details of treatments received, if relevant.</w:t>
            </w:r>
          </w:p>
        </w:tc>
        <w:tc>
          <w:tcPr>
            <w:tcW w:w="1119" w:type="dxa"/>
          </w:tcPr>
          <w:p w14:paraId="362ACA3A" w14:textId="77777777" w:rsidR="00075001" w:rsidRDefault="00075001" w:rsidP="00075001">
            <w:pPr>
              <w:pStyle w:val="TableParagraph"/>
              <w:ind w:left="86" w:right="86"/>
              <w:jc w:val="center"/>
            </w:pPr>
            <w:r>
              <w:rPr>
                <w:color w:val="BFBFBF"/>
              </w:rPr>
              <w:t>n/a</w:t>
            </w:r>
          </w:p>
        </w:tc>
      </w:tr>
      <w:tr w:rsidR="00075001" w14:paraId="0421C783" w14:textId="77777777" w:rsidTr="00075001">
        <w:trPr>
          <w:trHeight w:hRule="exact" w:val="547"/>
        </w:trPr>
        <w:tc>
          <w:tcPr>
            <w:tcW w:w="1482" w:type="dxa"/>
            <w:vMerge w:val="restart"/>
          </w:tcPr>
          <w:p w14:paraId="788A2034" w14:textId="77777777" w:rsidR="00075001" w:rsidRDefault="00075001" w:rsidP="00075001">
            <w:pPr>
              <w:pStyle w:val="TableParagraph"/>
              <w:ind w:left="0"/>
              <w:rPr>
                <w:b/>
              </w:rPr>
            </w:pPr>
          </w:p>
          <w:p w14:paraId="6602597C" w14:textId="77777777" w:rsidR="00075001" w:rsidRDefault="00075001" w:rsidP="00075001">
            <w:pPr>
              <w:pStyle w:val="TableParagraph"/>
              <w:spacing w:before="139"/>
              <w:ind w:left="259"/>
            </w:pPr>
            <w:r>
              <w:t>Outcome</w:t>
            </w:r>
          </w:p>
        </w:tc>
        <w:tc>
          <w:tcPr>
            <w:tcW w:w="567" w:type="dxa"/>
          </w:tcPr>
          <w:p w14:paraId="032FC7C9" w14:textId="77777777" w:rsidR="00075001" w:rsidRDefault="00075001" w:rsidP="00075001">
            <w:pPr>
              <w:pStyle w:val="TableParagraph"/>
              <w:spacing w:before="134"/>
              <w:ind w:left="206" w:right="72"/>
              <w:jc w:val="center"/>
            </w:pPr>
            <w:r>
              <w:t>6a</w:t>
            </w:r>
          </w:p>
        </w:tc>
        <w:tc>
          <w:tcPr>
            <w:tcW w:w="567" w:type="dxa"/>
          </w:tcPr>
          <w:p w14:paraId="5B102669" w14:textId="77777777" w:rsidR="00075001" w:rsidRDefault="00075001" w:rsidP="00075001">
            <w:pPr>
              <w:pStyle w:val="TableParagraph"/>
              <w:spacing w:before="134"/>
              <w:ind w:left="0" w:right="101"/>
              <w:jc w:val="right"/>
            </w:pPr>
            <w:proofErr w:type="gramStart"/>
            <w:r>
              <w:t>D;V</w:t>
            </w:r>
            <w:proofErr w:type="gramEnd"/>
          </w:p>
        </w:tc>
        <w:tc>
          <w:tcPr>
            <w:tcW w:w="6026" w:type="dxa"/>
          </w:tcPr>
          <w:p w14:paraId="159E736D" w14:textId="77777777" w:rsidR="00075001" w:rsidRDefault="00075001" w:rsidP="00075001">
            <w:pPr>
              <w:pStyle w:val="TableParagraph"/>
              <w:ind w:left="136" w:right="636"/>
            </w:pPr>
            <w:r>
              <w:t>Clearly define the outcome that is predicted by the model, including how and when assessed.</w:t>
            </w:r>
          </w:p>
        </w:tc>
        <w:tc>
          <w:tcPr>
            <w:tcW w:w="1119" w:type="dxa"/>
          </w:tcPr>
          <w:p w14:paraId="7ABEC894" w14:textId="77777777" w:rsidR="00075001" w:rsidRDefault="00075001" w:rsidP="00075001">
            <w:pPr>
              <w:pStyle w:val="TableParagraph"/>
              <w:spacing w:before="134"/>
              <w:ind w:left="0"/>
              <w:jc w:val="center"/>
            </w:pPr>
            <w:r>
              <w:rPr>
                <w:color w:val="BFBFBF"/>
              </w:rPr>
              <w:t>9</w:t>
            </w:r>
          </w:p>
        </w:tc>
      </w:tr>
      <w:tr w:rsidR="00075001" w14:paraId="20FA1578" w14:textId="77777777" w:rsidTr="00075001">
        <w:trPr>
          <w:trHeight w:hRule="exact" w:val="547"/>
        </w:trPr>
        <w:tc>
          <w:tcPr>
            <w:tcW w:w="1482" w:type="dxa"/>
            <w:vMerge/>
          </w:tcPr>
          <w:p w14:paraId="1EEF95E1" w14:textId="77777777" w:rsidR="00075001" w:rsidRDefault="00075001" w:rsidP="00075001"/>
        </w:tc>
        <w:tc>
          <w:tcPr>
            <w:tcW w:w="567" w:type="dxa"/>
          </w:tcPr>
          <w:p w14:paraId="68558F6F" w14:textId="77777777" w:rsidR="00075001" w:rsidRDefault="00075001" w:rsidP="00075001">
            <w:pPr>
              <w:pStyle w:val="TableParagraph"/>
              <w:spacing w:before="134"/>
              <w:ind w:left="206" w:right="82"/>
              <w:jc w:val="center"/>
            </w:pPr>
            <w:r>
              <w:t>6b</w:t>
            </w:r>
          </w:p>
        </w:tc>
        <w:tc>
          <w:tcPr>
            <w:tcW w:w="567" w:type="dxa"/>
          </w:tcPr>
          <w:p w14:paraId="356C8618" w14:textId="77777777" w:rsidR="00075001" w:rsidRDefault="00075001" w:rsidP="00075001">
            <w:pPr>
              <w:pStyle w:val="TableParagraph"/>
              <w:spacing w:before="134"/>
              <w:ind w:left="0" w:right="101"/>
              <w:jc w:val="right"/>
            </w:pPr>
            <w:proofErr w:type="gramStart"/>
            <w:r>
              <w:t>D;V</w:t>
            </w:r>
            <w:proofErr w:type="gramEnd"/>
          </w:p>
        </w:tc>
        <w:tc>
          <w:tcPr>
            <w:tcW w:w="6026" w:type="dxa"/>
          </w:tcPr>
          <w:p w14:paraId="1F61085C" w14:textId="77777777" w:rsidR="00075001" w:rsidRDefault="00075001" w:rsidP="00075001">
            <w:pPr>
              <w:pStyle w:val="TableParagraph"/>
              <w:ind w:left="136" w:right="1042"/>
            </w:pPr>
            <w:r>
              <w:t>Report any blinded assessments of the outcome to be predicted.</w:t>
            </w:r>
          </w:p>
        </w:tc>
        <w:tc>
          <w:tcPr>
            <w:tcW w:w="1119" w:type="dxa"/>
          </w:tcPr>
          <w:p w14:paraId="688A6964" w14:textId="77777777" w:rsidR="00075001" w:rsidRDefault="00075001" w:rsidP="00075001">
            <w:pPr>
              <w:pStyle w:val="TableParagraph"/>
              <w:spacing w:before="134"/>
              <w:ind w:left="86" w:right="86"/>
              <w:jc w:val="center"/>
            </w:pPr>
            <w:r>
              <w:rPr>
                <w:color w:val="BFBFBF"/>
              </w:rPr>
              <w:t>n/a</w:t>
            </w:r>
          </w:p>
        </w:tc>
      </w:tr>
      <w:tr w:rsidR="00075001" w14:paraId="15F224F2" w14:textId="77777777" w:rsidTr="00075001">
        <w:trPr>
          <w:trHeight w:hRule="exact" w:val="547"/>
        </w:trPr>
        <w:tc>
          <w:tcPr>
            <w:tcW w:w="1482" w:type="dxa"/>
            <w:vMerge w:val="restart"/>
          </w:tcPr>
          <w:p w14:paraId="351664E7" w14:textId="77777777" w:rsidR="00075001" w:rsidRDefault="00075001" w:rsidP="00075001">
            <w:pPr>
              <w:pStyle w:val="TableParagraph"/>
              <w:ind w:left="0"/>
              <w:rPr>
                <w:b/>
              </w:rPr>
            </w:pPr>
          </w:p>
          <w:p w14:paraId="3729B042" w14:textId="77777777" w:rsidR="00075001" w:rsidRDefault="00075001" w:rsidP="00075001">
            <w:pPr>
              <w:pStyle w:val="TableParagraph"/>
              <w:spacing w:before="139"/>
              <w:ind w:left="259"/>
            </w:pPr>
            <w:r>
              <w:t>Predictors</w:t>
            </w:r>
          </w:p>
        </w:tc>
        <w:tc>
          <w:tcPr>
            <w:tcW w:w="567" w:type="dxa"/>
          </w:tcPr>
          <w:p w14:paraId="555BB29C" w14:textId="77777777" w:rsidR="00075001" w:rsidRDefault="00075001" w:rsidP="00075001">
            <w:pPr>
              <w:pStyle w:val="TableParagraph"/>
              <w:spacing w:before="134"/>
              <w:ind w:left="206" w:right="72"/>
              <w:jc w:val="center"/>
            </w:pPr>
            <w:r>
              <w:t>7a</w:t>
            </w:r>
          </w:p>
        </w:tc>
        <w:tc>
          <w:tcPr>
            <w:tcW w:w="567" w:type="dxa"/>
          </w:tcPr>
          <w:p w14:paraId="39DFF452" w14:textId="77777777" w:rsidR="00075001" w:rsidRDefault="00075001" w:rsidP="00075001">
            <w:pPr>
              <w:pStyle w:val="TableParagraph"/>
              <w:spacing w:before="134"/>
              <w:ind w:left="0" w:right="101"/>
              <w:jc w:val="right"/>
            </w:pPr>
            <w:proofErr w:type="gramStart"/>
            <w:r>
              <w:t>D;V</w:t>
            </w:r>
            <w:proofErr w:type="gramEnd"/>
          </w:p>
        </w:tc>
        <w:tc>
          <w:tcPr>
            <w:tcW w:w="6026" w:type="dxa"/>
          </w:tcPr>
          <w:p w14:paraId="5FACCBF9" w14:textId="77777777" w:rsidR="00075001" w:rsidRDefault="00075001" w:rsidP="00075001">
            <w:pPr>
              <w:pStyle w:val="TableParagraph"/>
              <w:ind w:left="136" w:right="88"/>
            </w:pPr>
            <w:r>
              <w:t>Clearly define all predictors used in developing the multivariable prediction model, including how and when they were measured.</w:t>
            </w:r>
          </w:p>
        </w:tc>
        <w:tc>
          <w:tcPr>
            <w:tcW w:w="1119" w:type="dxa"/>
          </w:tcPr>
          <w:p w14:paraId="0319F5AA" w14:textId="77777777" w:rsidR="00075001" w:rsidRDefault="00075001" w:rsidP="00075001">
            <w:pPr>
              <w:pStyle w:val="TableParagraph"/>
              <w:spacing w:before="134"/>
              <w:ind w:left="353"/>
            </w:pPr>
            <w:r>
              <w:rPr>
                <w:color w:val="BFBFBF"/>
              </w:rPr>
              <w:t>9-11</w:t>
            </w:r>
          </w:p>
        </w:tc>
      </w:tr>
      <w:tr w:rsidR="00075001" w14:paraId="400B7F3C" w14:textId="77777777" w:rsidTr="00075001">
        <w:trPr>
          <w:trHeight w:hRule="exact" w:val="547"/>
        </w:trPr>
        <w:tc>
          <w:tcPr>
            <w:tcW w:w="1482" w:type="dxa"/>
            <w:vMerge/>
          </w:tcPr>
          <w:p w14:paraId="05801583" w14:textId="77777777" w:rsidR="00075001" w:rsidRDefault="00075001" w:rsidP="00075001"/>
        </w:tc>
        <w:tc>
          <w:tcPr>
            <w:tcW w:w="567" w:type="dxa"/>
          </w:tcPr>
          <w:p w14:paraId="1DC5F28C" w14:textId="77777777" w:rsidR="00075001" w:rsidRDefault="00075001" w:rsidP="00075001">
            <w:pPr>
              <w:pStyle w:val="TableParagraph"/>
              <w:spacing w:before="134"/>
              <w:ind w:left="206" w:right="82"/>
              <w:jc w:val="center"/>
            </w:pPr>
            <w:r>
              <w:t>7b</w:t>
            </w:r>
          </w:p>
        </w:tc>
        <w:tc>
          <w:tcPr>
            <w:tcW w:w="567" w:type="dxa"/>
          </w:tcPr>
          <w:p w14:paraId="4DF6A1ED" w14:textId="77777777" w:rsidR="00075001" w:rsidRDefault="00075001" w:rsidP="00075001">
            <w:pPr>
              <w:pStyle w:val="TableParagraph"/>
              <w:spacing w:before="134"/>
              <w:ind w:left="0" w:right="101"/>
              <w:jc w:val="right"/>
            </w:pPr>
            <w:proofErr w:type="gramStart"/>
            <w:r>
              <w:t>D;V</w:t>
            </w:r>
            <w:proofErr w:type="gramEnd"/>
          </w:p>
        </w:tc>
        <w:tc>
          <w:tcPr>
            <w:tcW w:w="6026" w:type="dxa"/>
          </w:tcPr>
          <w:p w14:paraId="09AEDC5D" w14:textId="77777777" w:rsidR="00075001" w:rsidRDefault="00075001" w:rsidP="00075001">
            <w:pPr>
              <w:pStyle w:val="TableParagraph"/>
              <w:ind w:left="136" w:right="197"/>
            </w:pPr>
            <w:r>
              <w:t>Report any blinded assessments of predictors for the outcomes and other predictors.</w:t>
            </w:r>
          </w:p>
        </w:tc>
        <w:tc>
          <w:tcPr>
            <w:tcW w:w="1119" w:type="dxa"/>
          </w:tcPr>
          <w:p w14:paraId="14489868" w14:textId="77777777" w:rsidR="00075001" w:rsidRDefault="00075001" w:rsidP="00075001">
            <w:pPr>
              <w:pStyle w:val="TableParagraph"/>
              <w:spacing w:before="134"/>
              <w:ind w:left="86" w:right="86"/>
              <w:jc w:val="center"/>
            </w:pPr>
            <w:r>
              <w:rPr>
                <w:color w:val="BFBFBF"/>
              </w:rPr>
              <w:t>n/a</w:t>
            </w:r>
          </w:p>
        </w:tc>
      </w:tr>
      <w:tr w:rsidR="00075001" w14:paraId="0A120386" w14:textId="77777777" w:rsidTr="00075001">
        <w:trPr>
          <w:trHeight w:hRule="exact" w:val="279"/>
        </w:trPr>
        <w:tc>
          <w:tcPr>
            <w:tcW w:w="1482" w:type="dxa"/>
          </w:tcPr>
          <w:p w14:paraId="141CF625" w14:textId="77777777" w:rsidR="00075001" w:rsidRDefault="00075001" w:rsidP="00075001">
            <w:pPr>
              <w:pStyle w:val="TableParagraph"/>
              <w:ind w:left="259"/>
            </w:pPr>
            <w:r>
              <w:t>Sample size</w:t>
            </w:r>
          </w:p>
        </w:tc>
        <w:tc>
          <w:tcPr>
            <w:tcW w:w="567" w:type="dxa"/>
          </w:tcPr>
          <w:p w14:paraId="361B98A6" w14:textId="77777777" w:rsidR="00075001" w:rsidRDefault="00075001" w:rsidP="00075001">
            <w:pPr>
              <w:pStyle w:val="TableParagraph"/>
              <w:ind w:left="239"/>
              <w:jc w:val="center"/>
            </w:pPr>
            <w:r>
              <w:t>8</w:t>
            </w:r>
          </w:p>
        </w:tc>
        <w:tc>
          <w:tcPr>
            <w:tcW w:w="567" w:type="dxa"/>
          </w:tcPr>
          <w:p w14:paraId="5BBBDC6A" w14:textId="77777777" w:rsidR="00075001" w:rsidRDefault="00075001" w:rsidP="00075001">
            <w:pPr>
              <w:pStyle w:val="TableParagraph"/>
              <w:ind w:left="0" w:right="101"/>
              <w:jc w:val="right"/>
            </w:pPr>
            <w:proofErr w:type="gramStart"/>
            <w:r>
              <w:t>D;V</w:t>
            </w:r>
            <w:proofErr w:type="gramEnd"/>
          </w:p>
        </w:tc>
        <w:tc>
          <w:tcPr>
            <w:tcW w:w="6026" w:type="dxa"/>
          </w:tcPr>
          <w:p w14:paraId="5103AC9E" w14:textId="77777777" w:rsidR="00075001" w:rsidRDefault="00075001" w:rsidP="00075001">
            <w:pPr>
              <w:pStyle w:val="TableParagraph"/>
              <w:ind w:left="136"/>
            </w:pPr>
            <w:r>
              <w:t>Explain how the study size was arrived at.</w:t>
            </w:r>
          </w:p>
        </w:tc>
        <w:tc>
          <w:tcPr>
            <w:tcW w:w="1119" w:type="dxa"/>
          </w:tcPr>
          <w:p w14:paraId="150208A3" w14:textId="77777777" w:rsidR="00075001" w:rsidRDefault="00075001" w:rsidP="00075001">
            <w:pPr>
              <w:pStyle w:val="TableParagraph"/>
              <w:ind w:left="86" w:right="86"/>
              <w:jc w:val="center"/>
            </w:pPr>
            <w:r>
              <w:rPr>
                <w:color w:val="BFBFBF"/>
              </w:rPr>
              <w:t>11</w:t>
            </w:r>
          </w:p>
        </w:tc>
      </w:tr>
      <w:tr w:rsidR="00075001" w14:paraId="71328E4C" w14:textId="77777777" w:rsidTr="00075001">
        <w:trPr>
          <w:trHeight w:hRule="exact" w:val="816"/>
        </w:trPr>
        <w:tc>
          <w:tcPr>
            <w:tcW w:w="1482" w:type="dxa"/>
          </w:tcPr>
          <w:p w14:paraId="701DE8E5" w14:textId="77777777" w:rsidR="00075001" w:rsidRDefault="00075001" w:rsidP="00075001">
            <w:pPr>
              <w:pStyle w:val="TableParagraph"/>
              <w:spacing w:before="134"/>
              <w:ind w:left="259" w:right="512"/>
            </w:pPr>
            <w:r>
              <w:t>Missing data</w:t>
            </w:r>
          </w:p>
        </w:tc>
        <w:tc>
          <w:tcPr>
            <w:tcW w:w="567" w:type="dxa"/>
          </w:tcPr>
          <w:p w14:paraId="467C8264" w14:textId="77777777" w:rsidR="00075001" w:rsidRDefault="00075001" w:rsidP="00075001">
            <w:pPr>
              <w:pStyle w:val="TableParagraph"/>
              <w:ind w:left="0"/>
              <w:rPr>
                <w:b/>
              </w:rPr>
            </w:pPr>
          </w:p>
          <w:p w14:paraId="31A31111" w14:textId="77777777" w:rsidR="00075001" w:rsidRDefault="00075001" w:rsidP="00075001">
            <w:pPr>
              <w:pStyle w:val="TableParagraph"/>
              <w:ind w:left="239"/>
              <w:jc w:val="center"/>
            </w:pPr>
            <w:r>
              <w:t>9</w:t>
            </w:r>
          </w:p>
        </w:tc>
        <w:tc>
          <w:tcPr>
            <w:tcW w:w="567" w:type="dxa"/>
          </w:tcPr>
          <w:p w14:paraId="57D291BD" w14:textId="77777777" w:rsidR="00075001" w:rsidRDefault="00075001" w:rsidP="00075001">
            <w:pPr>
              <w:pStyle w:val="TableParagraph"/>
              <w:ind w:left="0"/>
              <w:rPr>
                <w:b/>
              </w:rPr>
            </w:pPr>
          </w:p>
          <w:p w14:paraId="442DF453" w14:textId="77777777" w:rsidR="00075001" w:rsidRDefault="00075001" w:rsidP="00075001">
            <w:pPr>
              <w:pStyle w:val="TableParagraph"/>
              <w:ind w:left="0" w:right="101"/>
              <w:jc w:val="right"/>
            </w:pPr>
            <w:proofErr w:type="gramStart"/>
            <w:r>
              <w:t>D;V</w:t>
            </w:r>
            <w:proofErr w:type="gramEnd"/>
          </w:p>
        </w:tc>
        <w:tc>
          <w:tcPr>
            <w:tcW w:w="6026" w:type="dxa"/>
          </w:tcPr>
          <w:p w14:paraId="3202E6E0" w14:textId="77777777" w:rsidR="00075001" w:rsidRDefault="00075001" w:rsidP="00075001">
            <w:pPr>
              <w:pStyle w:val="TableParagraph"/>
              <w:ind w:left="136" w:right="223"/>
            </w:pPr>
            <w:r>
              <w:t>Describe how missing data were handled (e.g., complete-case analysis, single imputation, multiple imputation) with details of any imputation method.</w:t>
            </w:r>
          </w:p>
        </w:tc>
        <w:tc>
          <w:tcPr>
            <w:tcW w:w="1119" w:type="dxa"/>
          </w:tcPr>
          <w:p w14:paraId="345FE73B" w14:textId="77777777" w:rsidR="00075001" w:rsidRDefault="00075001" w:rsidP="00075001">
            <w:pPr>
              <w:pStyle w:val="TableParagraph"/>
              <w:ind w:left="0"/>
              <w:rPr>
                <w:b/>
              </w:rPr>
            </w:pPr>
          </w:p>
          <w:p w14:paraId="5E36A3B0" w14:textId="77777777" w:rsidR="00075001" w:rsidRDefault="00075001" w:rsidP="00075001">
            <w:pPr>
              <w:pStyle w:val="TableParagraph"/>
              <w:ind w:left="304"/>
            </w:pPr>
            <w:r>
              <w:rPr>
                <w:color w:val="BFBFBF"/>
              </w:rPr>
              <w:t>11,12</w:t>
            </w:r>
          </w:p>
        </w:tc>
      </w:tr>
      <w:tr w:rsidR="00075001" w14:paraId="7B1445EB" w14:textId="77777777" w:rsidTr="00075001">
        <w:trPr>
          <w:trHeight w:hRule="exact" w:val="279"/>
        </w:trPr>
        <w:tc>
          <w:tcPr>
            <w:tcW w:w="1482" w:type="dxa"/>
            <w:vMerge w:val="restart"/>
          </w:tcPr>
          <w:p w14:paraId="3B89E103" w14:textId="77777777" w:rsidR="00075001" w:rsidRDefault="00075001" w:rsidP="00075001">
            <w:pPr>
              <w:pStyle w:val="TableParagraph"/>
              <w:ind w:left="0"/>
              <w:rPr>
                <w:b/>
              </w:rPr>
            </w:pPr>
          </w:p>
          <w:p w14:paraId="3389FD0B" w14:textId="77777777" w:rsidR="00075001" w:rsidRDefault="00075001" w:rsidP="00075001">
            <w:pPr>
              <w:pStyle w:val="TableParagraph"/>
              <w:ind w:left="0"/>
              <w:rPr>
                <w:b/>
              </w:rPr>
            </w:pPr>
          </w:p>
          <w:p w14:paraId="4FBD5760" w14:textId="77777777" w:rsidR="00075001" w:rsidRDefault="00075001" w:rsidP="00075001">
            <w:pPr>
              <w:pStyle w:val="TableParagraph"/>
              <w:spacing w:before="154"/>
              <w:ind w:left="259" w:right="329"/>
            </w:pPr>
            <w:r>
              <w:t>Statistical analysis methods</w:t>
            </w:r>
          </w:p>
        </w:tc>
        <w:tc>
          <w:tcPr>
            <w:tcW w:w="567" w:type="dxa"/>
          </w:tcPr>
          <w:p w14:paraId="2DCDE98C" w14:textId="77777777" w:rsidR="00075001" w:rsidRDefault="00075001" w:rsidP="00075001">
            <w:pPr>
              <w:pStyle w:val="TableParagraph"/>
              <w:ind w:left="95" w:right="73"/>
              <w:jc w:val="center"/>
            </w:pPr>
            <w:r>
              <w:t>10a</w:t>
            </w:r>
          </w:p>
        </w:tc>
        <w:tc>
          <w:tcPr>
            <w:tcW w:w="567" w:type="dxa"/>
          </w:tcPr>
          <w:p w14:paraId="4F857A5F" w14:textId="77777777" w:rsidR="00075001" w:rsidRDefault="00075001" w:rsidP="00075001">
            <w:pPr>
              <w:pStyle w:val="TableParagraph"/>
              <w:ind w:left="0" w:right="101"/>
              <w:jc w:val="right"/>
            </w:pPr>
            <w:r>
              <w:t>D</w:t>
            </w:r>
          </w:p>
        </w:tc>
        <w:tc>
          <w:tcPr>
            <w:tcW w:w="6026" w:type="dxa"/>
          </w:tcPr>
          <w:p w14:paraId="4EB47889" w14:textId="77777777" w:rsidR="00075001" w:rsidRDefault="00075001" w:rsidP="00075001">
            <w:pPr>
              <w:pStyle w:val="TableParagraph"/>
              <w:ind w:left="136"/>
            </w:pPr>
            <w:r>
              <w:t>Describe how predictors were handled in the analyses.</w:t>
            </w:r>
          </w:p>
        </w:tc>
        <w:tc>
          <w:tcPr>
            <w:tcW w:w="1119" w:type="dxa"/>
          </w:tcPr>
          <w:p w14:paraId="7C80FA6E" w14:textId="77777777" w:rsidR="00075001" w:rsidRDefault="00075001" w:rsidP="00075001">
            <w:pPr>
              <w:pStyle w:val="TableParagraph"/>
              <w:ind w:left="297"/>
            </w:pPr>
            <w:r>
              <w:rPr>
                <w:color w:val="BFBFBF"/>
              </w:rPr>
              <w:t>12-14</w:t>
            </w:r>
          </w:p>
        </w:tc>
      </w:tr>
      <w:tr w:rsidR="00075001" w14:paraId="303F6AA3" w14:textId="77777777" w:rsidTr="00075001">
        <w:trPr>
          <w:trHeight w:hRule="exact" w:val="547"/>
        </w:trPr>
        <w:tc>
          <w:tcPr>
            <w:tcW w:w="1482" w:type="dxa"/>
            <w:vMerge/>
          </w:tcPr>
          <w:p w14:paraId="53CB413B" w14:textId="77777777" w:rsidR="00075001" w:rsidRDefault="00075001" w:rsidP="00075001"/>
        </w:tc>
        <w:tc>
          <w:tcPr>
            <w:tcW w:w="567" w:type="dxa"/>
          </w:tcPr>
          <w:p w14:paraId="37924DD3" w14:textId="77777777" w:rsidR="00075001" w:rsidRDefault="00075001" w:rsidP="00075001">
            <w:pPr>
              <w:pStyle w:val="TableParagraph"/>
              <w:spacing w:before="134"/>
              <w:ind w:left="94" w:right="82"/>
              <w:jc w:val="center"/>
            </w:pPr>
            <w:r>
              <w:t>10b</w:t>
            </w:r>
          </w:p>
        </w:tc>
        <w:tc>
          <w:tcPr>
            <w:tcW w:w="567" w:type="dxa"/>
          </w:tcPr>
          <w:p w14:paraId="02C065E2" w14:textId="77777777" w:rsidR="00075001" w:rsidRDefault="00075001" w:rsidP="00075001">
            <w:pPr>
              <w:pStyle w:val="TableParagraph"/>
              <w:spacing w:before="134"/>
              <w:ind w:left="0" w:right="101"/>
              <w:jc w:val="right"/>
            </w:pPr>
            <w:r>
              <w:t>D</w:t>
            </w:r>
          </w:p>
        </w:tc>
        <w:tc>
          <w:tcPr>
            <w:tcW w:w="6026" w:type="dxa"/>
          </w:tcPr>
          <w:p w14:paraId="2A11347E" w14:textId="77777777" w:rsidR="00075001" w:rsidRDefault="00075001" w:rsidP="00075001">
            <w:pPr>
              <w:pStyle w:val="TableParagraph"/>
              <w:ind w:left="136" w:right="222"/>
            </w:pPr>
            <w:r>
              <w:t>Specify type of model, all model-building procedures (including any predictor selection), and method for internal validation.</w:t>
            </w:r>
          </w:p>
        </w:tc>
        <w:tc>
          <w:tcPr>
            <w:tcW w:w="1119" w:type="dxa"/>
          </w:tcPr>
          <w:p w14:paraId="711791C0" w14:textId="77777777" w:rsidR="00075001" w:rsidRDefault="00075001" w:rsidP="00075001">
            <w:pPr>
              <w:pStyle w:val="TableParagraph"/>
              <w:spacing w:before="134"/>
              <w:ind w:left="314"/>
            </w:pPr>
            <w:r>
              <w:rPr>
                <w:color w:val="BFBFBF"/>
              </w:rPr>
              <w:t>12-14</w:t>
            </w:r>
          </w:p>
        </w:tc>
      </w:tr>
      <w:tr w:rsidR="00075001" w14:paraId="3A3030EE" w14:textId="77777777" w:rsidTr="00075001">
        <w:trPr>
          <w:trHeight w:hRule="exact" w:val="279"/>
        </w:trPr>
        <w:tc>
          <w:tcPr>
            <w:tcW w:w="1482" w:type="dxa"/>
            <w:vMerge/>
          </w:tcPr>
          <w:p w14:paraId="0BEABAAC" w14:textId="77777777" w:rsidR="00075001" w:rsidRDefault="00075001" w:rsidP="00075001"/>
        </w:tc>
        <w:tc>
          <w:tcPr>
            <w:tcW w:w="567" w:type="dxa"/>
          </w:tcPr>
          <w:p w14:paraId="47080897" w14:textId="77777777" w:rsidR="00075001" w:rsidRDefault="00075001" w:rsidP="00075001">
            <w:pPr>
              <w:pStyle w:val="TableParagraph"/>
              <w:ind w:left="95" w:right="60"/>
              <w:jc w:val="center"/>
            </w:pPr>
            <w:r>
              <w:t>10c</w:t>
            </w:r>
          </w:p>
        </w:tc>
        <w:tc>
          <w:tcPr>
            <w:tcW w:w="567" w:type="dxa"/>
          </w:tcPr>
          <w:p w14:paraId="1A3E53DC" w14:textId="77777777" w:rsidR="00075001" w:rsidRDefault="00075001" w:rsidP="00075001">
            <w:pPr>
              <w:pStyle w:val="TableParagraph"/>
              <w:ind w:left="0" w:right="102"/>
              <w:jc w:val="right"/>
            </w:pPr>
            <w:r>
              <w:t>V</w:t>
            </w:r>
          </w:p>
        </w:tc>
        <w:tc>
          <w:tcPr>
            <w:tcW w:w="6026" w:type="dxa"/>
          </w:tcPr>
          <w:p w14:paraId="6423F1F1" w14:textId="77777777" w:rsidR="00075001" w:rsidRDefault="00075001" w:rsidP="00075001">
            <w:pPr>
              <w:pStyle w:val="TableParagraph"/>
              <w:ind w:left="136"/>
            </w:pPr>
            <w:r>
              <w:t>Describe how predictions were calculated for validation.</w:t>
            </w:r>
          </w:p>
        </w:tc>
        <w:tc>
          <w:tcPr>
            <w:tcW w:w="1119" w:type="dxa"/>
          </w:tcPr>
          <w:p w14:paraId="52058E48" w14:textId="77777777" w:rsidR="00075001" w:rsidRDefault="00075001" w:rsidP="00075001">
            <w:pPr>
              <w:pStyle w:val="TableParagraph"/>
              <w:ind w:left="314"/>
            </w:pPr>
            <w:r>
              <w:rPr>
                <w:color w:val="BFBFBF"/>
              </w:rPr>
              <w:t>12-14</w:t>
            </w:r>
          </w:p>
        </w:tc>
      </w:tr>
      <w:tr w:rsidR="00075001" w14:paraId="32540F76" w14:textId="77777777" w:rsidTr="00075001">
        <w:trPr>
          <w:trHeight w:hRule="exact" w:val="547"/>
        </w:trPr>
        <w:tc>
          <w:tcPr>
            <w:tcW w:w="1482" w:type="dxa"/>
            <w:vMerge/>
          </w:tcPr>
          <w:p w14:paraId="65D1ECF4" w14:textId="77777777" w:rsidR="00075001" w:rsidRDefault="00075001" w:rsidP="00075001"/>
        </w:tc>
        <w:tc>
          <w:tcPr>
            <w:tcW w:w="567" w:type="dxa"/>
          </w:tcPr>
          <w:p w14:paraId="417C4C52" w14:textId="77777777" w:rsidR="00075001" w:rsidRDefault="00075001" w:rsidP="00075001">
            <w:pPr>
              <w:pStyle w:val="TableParagraph"/>
              <w:spacing w:before="134"/>
              <w:ind w:left="94" w:right="82"/>
              <w:jc w:val="center"/>
            </w:pPr>
            <w:r>
              <w:t>10d</w:t>
            </w:r>
          </w:p>
        </w:tc>
        <w:tc>
          <w:tcPr>
            <w:tcW w:w="567" w:type="dxa"/>
          </w:tcPr>
          <w:p w14:paraId="5888AD0B" w14:textId="77777777" w:rsidR="00075001" w:rsidRDefault="00075001" w:rsidP="00075001">
            <w:pPr>
              <w:pStyle w:val="TableParagraph"/>
              <w:spacing w:before="134"/>
              <w:ind w:left="0" w:right="101"/>
              <w:jc w:val="right"/>
            </w:pPr>
            <w:proofErr w:type="gramStart"/>
            <w:r>
              <w:t>D;V</w:t>
            </w:r>
            <w:proofErr w:type="gramEnd"/>
          </w:p>
        </w:tc>
        <w:tc>
          <w:tcPr>
            <w:tcW w:w="6026" w:type="dxa"/>
          </w:tcPr>
          <w:p w14:paraId="0E63753C" w14:textId="77777777" w:rsidR="00075001" w:rsidRDefault="00075001" w:rsidP="00075001">
            <w:pPr>
              <w:pStyle w:val="TableParagraph"/>
              <w:ind w:left="136" w:right="292"/>
            </w:pPr>
            <w:r>
              <w:t>Specify all measures used to assess model performance and, if relevant, to compare multiple models.</w:t>
            </w:r>
          </w:p>
        </w:tc>
        <w:tc>
          <w:tcPr>
            <w:tcW w:w="1119" w:type="dxa"/>
          </w:tcPr>
          <w:p w14:paraId="18954A67" w14:textId="77777777" w:rsidR="00075001" w:rsidRDefault="00075001" w:rsidP="00075001">
            <w:pPr>
              <w:pStyle w:val="TableParagraph"/>
              <w:spacing w:before="134"/>
              <w:ind w:left="297"/>
            </w:pPr>
            <w:r>
              <w:rPr>
                <w:color w:val="BFBFBF"/>
              </w:rPr>
              <w:t>12-14</w:t>
            </w:r>
          </w:p>
        </w:tc>
      </w:tr>
      <w:tr w:rsidR="00075001" w14:paraId="2B686864" w14:textId="77777777" w:rsidTr="00075001">
        <w:trPr>
          <w:trHeight w:hRule="exact" w:val="547"/>
        </w:trPr>
        <w:tc>
          <w:tcPr>
            <w:tcW w:w="1482" w:type="dxa"/>
            <w:vMerge/>
          </w:tcPr>
          <w:p w14:paraId="5DE1E4A0" w14:textId="77777777" w:rsidR="00075001" w:rsidRDefault="00075001" w:rsidP="00075001"/>
        </w:tc>
        <w:tc>
          <w:tcPr>
            <w:tcW w:w="567" w:type="dxa"/>
          </w:tcPr>
          <w:p w14:paraId="3E0CC842" w14:textId="77777777" w:rsidR="00075001" w:rsidRDefault="00075001" w:rsidP="00075001">
            <w:pPr>
              <w:pStyle w:val="TableParagraph"/>
              <w:spacing w:before="134"/>
              <w:ind w:left="95" w:right="77"/>
              <w:jc w:val="center"/>
            </w:pPr>
            <w:r>
              <w:t>10e</w:t>
            </w:r>
          </w:p>
        </w:tc>
        <w:tc>
          <w:tcPr>
            <w:tcW w:w="567" w:type="dxa"/>
          </w:tcPr>
          <w:p w14:paraId="0B6B68AB" w14:textId="77777777" w:rsidR="00075001" w:rsidRDefault="00075001" w:rsidP="00075001">
            <w:pPr>
              <w:pStyle w:val="TableParagraph"/>
              <w:spacing w:before="134"/>
              <w:ind w:left="0" w:right="102"/>
              <w:jc w:val="right"/>
            </w:pPr>
            <w:r>
              <w:t>V</w:t>
            </w:r>
          </w:p>
        </w:tc>
        <w:tc>
          <w:tcPr>
            <w:tcW w:w="6026" w:type="dxa"/>
          </w:tcPr>
          <w:p w14:paraId="329B0FAF" w14:textId="77777777" w:rsidR="00075001" w:rsidRDefault="00075001" w:rsidP="00075001">
            <w:pPr>
              <w:pStyle w:val="TableParagraph"/>
              <w:ind w:left="136" w:right="377"/>
            </w:pPr>
            <w:r>
              <w:t>Describe any model updating (e.g., recalibration) arising from the validation.</w:t>
            </w:r>
          </w:p>
        </w:tc>
        <w:tc>
          <w:tcPr>
            <w:tcW w:w="1119" w:type="dxa"/>
          </w:tcPr>
          <w:p w14:paraId="01B582D2" w14:textId="77777777" w:rsidR="00075001" w:rsidRDefault="00075001" w:rsidP="00075001">
            <w:pPr>
              <w:pStyle w:val="TableParagraph"/>
              <w:spacing w:before="134"/>
              <w:ind w:left="297"/>
            </w:pPr>
            <w:r>
              <w:rPr>
                <w:color w:val="BFBFBF"/>
              </w:rPr>
              <w:t>12-14</w:t>
            </w:r>
          </w:p>
        </w:tc>
      </w:tr>
      <w:tr w:rsidR="00075001" w14:paraId="1140C414" w14:textId="77777777" w:rsidTr="00075001">
        <w:trPr>
          <w:trHeight w:hRule="exact" w:val="279"/>
        </w:trPr>
        <w:tc>
          <w:tcPr>
            <w:tcW w:w="1482" w:type="dxa"/>
          </w:tcPr>
          <w:p w14:paraId="5F797D59" w14:textId="77777777" w:rsidR="00075001" w:rsidRDefault="00075001" w:rsidP="00075001">
            <w:pPr>
              <w:pStyle w:val="TableParagraph"/>
              <w:ind w:left="259"/>
            </w:pPr>
            <w:r>
              <w:t>Risk groups</w:t>
            </w:r>
          </w:p>
        </w:tc>
        <w:tc>
          <w:tcPr>
            <w:tcW w:w="567" w:type="dxa"/>
          </w:tcPr>
          <w:p w14:paraId="52CAB8F1" w14:textId="77777777" w:rsidR="00075001" w:rsidRDefault="00075001" w:rsidP="00075001">
            <w:pPr>
              <w:pStyle w:val="TableParagraph"/>
              <w:ind w:left="206" w:right="78"/>
              <w:jc w:val="center"/>
            </w:pPr>
            <w:r>
              <w:t>11</w:t>
            </w:r>
          </w:p>
        </w:tc>
        <w:tc>
          <w:tcPr>
            <w:tcW w:w="567" w:type="dxa"/>
          </w:tcPr>
          <w:p w14:paraId="4625C7D2" w14:textId="77777777" w:rsidR="00075001" w:rsidRDefault="00075001" w:rsidP="00075001">
            <w:pPr>
              <w:pStyle w:val="TableParagraph"/>
              <w:ind w:left="0" w:right="101"/>
              <w:jc w:val="right"/>
            </w:pPr>
            <w:proofErr w:type="gramStart"/>
            <w:r>
              <w:t>D;V</w:t>
            </w:r>
            <w:proofErr w:type="gramEnd"/>
          </w:p>
        </w:tc>
        <w:tc>
          <w:tcPr>
            <w:tcW w:w="6026" w:type="dxa"/>
          </w:tcPr>
          <w:p w14:paraId="326FAE10" w14:textId="77777777" w:rsidR="00075001" w:rsidRDefault="00075001" w:rsidP="00075001">
            <w:pPr>
              <w:pStyle w:val="TableParagraph"/>
              <w:ind w:left="136"/>
            </w:pPr>
            <w:r>
              <w:t>Provide any details on how risk groups were created.</w:t>
            </w:r>
          </w:p>
        </w:tc>
        <w:tc>
          <w:tcPr>
            <w:tcW w:w="1119" w:type="dxa"/>
          </w:tcPr>
          <w:p w14:paraId="01756F70" w14:textId="77777777" w:rsidR="00075001" w:rsidRDefault="00075001" w:rsidP="00075001">
            <w:pPr>
              <w:pStyle w:val="TableParagraph"/>
              <w:ind w:left="86" w:right="86"/>
              <w:jc w:val="center"/>
            </w:pPr>
            <w:r>
              <w:rPr>
                <w:color w:val="BFBFBF"/>
              </w:rPr>
              <w:t>n/a</w:t>
            </w:r>
          </w:p>
        </w:tc>
      </w:tr>
    </w:tbl>
    <w:p w14:paraId="7CAEE311" w14:textId="77777777" w:rsidR="00075001" w:rsidRDefault="00075001" w:rsidP="00075001">
      <w:pPr>
        <w:jc w:val="center"/>
        <w:sectPr w:rsidR="00075001">
          <w:headerReference w:type="even" r:id="rId23"/>
          <w:footerReference w:type="even" r:id="rId24"/>
          <w:pgSz w:w="11900" w:h="16840"/>
          <w:pgMar w:top="1380" w:right="940" w:bottom="280" w:left="960" w:header="0" w:footer="0" w:gutter="0"/>
          <w:cols w:space="720"/>
        </w:sect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2"/>
        <w:gridCol w:w="567"/>
        <w:gridCol w:w="567"/>
        <w:gridCol w:w="6026"/>
        <w:gridCol w:w="1119"/>
      </w:tblGrid>
      <w:tr w:rsidR="00075001" w14:paraId="28562114" w14:textId="77777777" w:rsidTr="00075001">
        <w:trPr>
          <w:trHeight w:hRule="exact" w:val="816"/>
        </w:trPr>
        <w:tc>
          <w:tcPr>
            <w:tcW w:w="1482" w:type="dxa"/>
          </w:tcPr>
          <w:p w14:paraId="5C4A0A88" w14:textId="77777777" w:rsidR="00075001" w:rsidRDefault="00075001" w:rsidP="00075001">
            <w:pPr>
              <w:pStyle w:val="TableParagraph"/>
              <w:ind w:left="259" w:right="327"/>
              <w:jc w:val="both"/>
            </w:pPr>
            <w:r>
              <w:lastRenderedPageBreak/>
              <w:t xml:space="preserve">Develop- </w:t>
            </w:r>
            <w:proofErr w:type="spellStart"/>
            <w:r>
              <w:t>ment</w:t>
            </w:r>
            <w:proofErr w:type="spellEnd"/>
            <w:r>
              <w:t xml:space="preserve"> vs. validation</w:t>
            </w:r>
          </w:p>
        </w:tc>
        <w:tc>
          <w:tcPr>
            <w:tcW w:w="567" w:type="dxa"/>
          </w:tcPr>
          <w:p w14:paraId="1F82F5AD" w14:textId="77777777" w:rsidR="00075001" w:rsidRDefault="00075001" w:rsidP="00075001">
            <w:pPr>
              <w:pStyle w:val="TableParagraph"/>
              <w:spacing w:before="9"/>
              <w:ind w:left="0"/>
              <w:rPr>
                <w:b/>
                <w:sz w:val="21"/>
              </w:rPr>
            </w:pPr>
          </w:p>
          <w:p w14:paraId="7E17A165" w14:textId="77777777" w:rsidR="00075001" w:rsidRDefault="00075001" w:rsidP="00075001">
            <w:pPr>
              <w:pStyle w:val="TableParagraph"/>
              <w:ind w:left="206" w:right="78"/>
              <w:jc w:val="center"/>
            </w:pPr>
            <w:r>
              <w:t>12</w:t>
            </w:r>
          </w:p>
        </w:tc>
        <w:tc>
          <w:tcPr>
            <w:tcW w:w="567" w:type="dxa"/>
          </w:tcPr>
          <w:p w14:paraId="6B979EB1" w14:textId="77777777" w:rsidR="00075001" w:rsidRDefault="00075001" w:rsidP="00075001">
            <w:pPr>
              <w:pStyle w:val="TableParagraph"/>
              <w:spacing w:before="9"/>
              <w:ind w:left="0"/>
              <w:rPr>
                <w:b/>
                <w:sz w:val="21"/>
              </w:rPr>
            </w:pPr>
          </w:p>
          <w:p w14:paraId="32AFE802" w14:textId="77777777" w:rsidR="00075001" w:rsidRDefault="00075001" w:rsidP="00075001">
            <w:pPr>
              <w:pStyle w:val="TableParagraph"/>
              <w:ind w:left="0" w:right="102"/>
              <w:jc w:val="right"/>
            </w:pPr>
            <w:r>
              <w:t>V</w:t>
            </w:r>
          </w:p>
        </w:tc>
        <w:tc>
          <w:tcPr>
            <w:tcW w:w="6026" w:type="dxa"/>
          </w:tcPr>
          <w:p w14:paraId="21646A5F" w14:textId="77777777" w:rsidR="00075001" w:rsidRDefault="00075001" w:rsidP="00075001">
            <w:pPr>
              <w:pStyle w:val="TableParagraph"/>
              <w:spacing w:before="131"/>
              <w:ind w:left="136" w:right="187"/>
            </w:pPr>
            <w:r>
              <w:t>Identify any differences from the development data in setting, eligibility criteria, outcome, and predictors for use in validation.</w:t>
            </w:r>
          </w:p>
        </w:tc>
        <w:tc>
          <w:tcPr>
            <w:tcW w:w="1119" w:type="dxa"/>
          </w:tcPr>
          <w:p w14:paraId="24518998" w14:textId="77777777" w:rsidR="00075001" w:rsidRDefault="00075001" w:rsidP="00075001">
            <w:pPr>
              <w:pStyle w:val="TableParagraph"/>
              <w:spacing w:before="9"/>
              <w:ind w:left="0"/>
              <w:rPr>
                <w:b/>
                <w:sz w:val="21"/>
              </w:rPr>
            </w:pPr>
          </w:p>
          <w:p w14:paraId="67183FD8" w14:textId="77777777" w:rsidR="00075001" w:rsidRDefault="00075001" w:rsidP="00075001">
            <w:pPr>
              <w:pStyle w:val="TableParagraph"/>
              <w:ind w:left="297"/>
            </w:pPr>
            <w:r>
              <w:rPr>
                <w:color w:val="BFBFBF"/>
              </w:rPr>
              <w:t>12-14</w:t>
            </w:r>
          </w:p>
        </w:tc>
      </w:tr>
      <w:tr w:rsidR="00075001" w14:paraId="29B82A7C" w14:textId="77777777" w:rsidTr="00075001">
        <w:trPr>
          <w:trHeight w:hRule="exact" w:val="279"/>
        </w:trPr>
        <w:tc>
          <w:tcPr>
            <w:tcW w:w="9761" w:type="dxa"/>
            <w:gridSpan w:val="5"/>
            <w:shd w:val="clear" w:color="auto" w:fill="F6CBAC"/>
          </w:tcPr>
          <w:p w14:paraId="0B3FCD6B" w14:textId="77777777" w:rsidR="00075001" w:rsidRDefault="00075001" w:rsidP="00075001">
            <w:pPr>
              <w:pStyle w:val="TableParagraph"/>
              <w:spacing w:line="266" w:lineRule="exact"/>
              <w:rPr>
                <w:b/>
              </w:rPr>
            </w:pPr>
            <w:r>
              <w:rPr>
                <w:b/>
              </w:rPr>
              <w:t>Results</w:t>
            </w:r>
          </w:p>
        </w:tc>
      </w:tr>
      <w:tr w:rsidR="00075001" w14:paraId="1DBC5871" w14:textId="77777777" w:rsidTr="00075001">
        <w:trPr>
          <w:trHeight w:hRule="exact" w:val="1084"/>
        </w:trPr>
        <w:tc>
          <w:tcPr>
            <w:tcW w:w="1482" w:type="dxa"/>
            <w:vMerge w:val="restart"/>
          </w:tcPr>
          <w:p w14:paraId="19429BC2" w14:textId="77777777" w:rsidR="00075001" w:rsidRDefault="00075001" w:rsidP="00075001">
            <w:pPr>
              <w:pStyle w:val="TableParagraph"/>
              <w:ind w:left="0"/>
              <w:rPr>
                <w:b/>
              </w:rPr>
            </w:pPr>
          </w:p>
          <w:p w14:paraId="2B5E2A9C" w14:textId="77777777" w:rsidR="00075001" w:rsidRDefault="00075001" w:rsidP="00075001">
            <w:pPr>
              <w:pStyle w:val="TableParagraph"/>
              <w:ind w:left="0"/>
              <w:rPr>
                <w:b/>
              </w:rPr>
            </w:pPr>
          </w:p>
          <w:p w14:paraId="569560F0" w14:textId="77777777" w:rsidR="00075001" w:rsidRDefault="00075001" w:rsidP="00075001">
            <w:pPr>
              <w:pStyle w:val="TableParagraph"/>
              <w:ind w:left="0"/>
              <w:rPr>
                <w:b/>
              </w:rPr>
            </w:pPr>
          </w:p>
          <w:p w14:paraId="3BB4AEDB" w14:textId="77777777" w:rsidR="00075001" w:rsidRDefault="00075001" w:rsidP="00075001">
            <w:pPr>
              <w:pStyle w:val="TableParagraph"/>
              <w:ind w:left="0"/>
              <w:rPr>
                <w:b/>
              </w:rPr>
            </w:pPr>
          </w:p>
          <w:p w14:paraId="1DA4CEF8" w14:textId="77777777" w:rsidR="00075001" w:rsidRDefault="00075001" w:rsidP="00075001">
            <w:pPr>
              <w:pStyle w:val="TableParagraph"/>
              <w:spacing w:before="7"/>
              <w:ind w:left="0"/>
              <w:rPr>
                <w:b/>
              </w:rPr>
            </w:pPr>
          </w:p>
          <w:p w14:paraId="56A4B78A" w14:textId="77777777" w:rsidR="00075001" w:rsidRDefault="00075001" w:rsidP="00075001">
            <w:pPr>
              <w:pStyle w:val="TableParagraph"/>
              <w:ind w:left="259"/>
            </w:pPr>
            <w:r>
              <w:t>Participants</w:t>
            </w:r>
          </w:p>
        </w:tc>
        <w:tc>
          <w:tcPr>
            <w:tcW w:w="567" w:type="dxa"/>
          </w:tcPr>
          <w:p w14:paraId="082212DC" w14:textId="77777777" w:rsidR="00075001" w:rsidRDefault="00075001" w:rsidP="00075001">
            <w:pPr>
              <w:pStyle w:val="TableParagraph"/>
              <w:spacing w:before="9"/>
              <w:ind w:left="0"/>
              <w:rPr>
                <w:b/>
                <w:sz w:val="32"/>
              </w:rPr>
            </w:pPr>
          </w:p>
          <w:p w14:paraId="1E3A40B7" w14:textId="77777777" w:rsidR="00075001" w:rsidRDefault="00075001" w:rsidP="00075001">
            <w:pPr>
              <w:pStyle w:val="TableParagraph"/>
              <w:ind w:left="95" w:right="73"/>
              <w:jc w:val="center"/>
            </w:pPr>
            <w:r>
              <w:t>13a</w:t>
            </w:r>
          </w:p>
        </w:tc>
        <w:tc>
          <w:tcPr>
            <w:tcW w:w="567" w:type="dxa"/>
          </w:tcPr>
          <w:p w14:paraId="3BD16833" w14:textId="77777777" w:rsidR="00075001" w:rsidRDefault="00075001" w:rsidP="00075001">
            <w:pPr>
              <w:pStyle w:val="TableParagraph"/>
              <w:spacing w:before="9"/>
              <w:ind w:left="0"/>
              <w:rPr>
                <w:b/>
                <w:sz w:val="32"/>
              </w:rPr>
            </w:pPr>
          </w:p>
          <w:p w14:paraId="6B973D73" w14:textId="77777777" w:rsidR="00075001" w:rsidRDefault="00075001" w:rsidP="00075001">
            <w:pPr>
              <w:pStyle w:val="TableParagraph"/>
              <w:ind w:left="0" w:right="101"/>
              <w:jc w:val="right"/>
            </w:pPr>
            <w:proofErr w:type="gramStart"/>
            <w:r>
              <w:t>D;V</w:t>
            </w:r>
            <w:proofErr w:type="gramEnd"/>
          </w:p>
        </w:tc>
        <w:tc>
          <w:tcPr>
            <w:tcW w:w="6026" w:type="dxa"/>
          </w:tcPr>
          <w:p w14:paraId="241D4536" w14:textId="77777777" w:rsidR="00075001" w:rsidRDefault="00075001" w:rsidP="00075001">
            <w:pPr>
              <w:pStyle w:val="TableParagraph"/>
              <w:ind w:left="136" w:right="234"/>
            </w:pPr>
            <w:r>
              <w:t>Describe the flow of participants through the study, including the number of participants with and without the outcome and, if applicable, provide a summary of the follow-up period. A diagram may be helpful.</w:t>
            </w:r>
          </w:p>
        </w:tc>
        <w:tc>
          <w:tcPr>
            <w:tcW w:w="1119" w:type="dxa"/>
          </w:tcPr>
          <w:p w14:paraId="11F4F9C5" w14:textId="77777777" w:rsidR="00075001" w:rsidRDefault="00075001" w:rsidP="00075001">
            <w:pPr>
              <w:pStyle w:val="TableParagraph"/>
              <w:spacing w:before="9"/>
              <w:ind w:left="0"/>
              <w:rPr>
                <w:b/>
                <w:sz w:val="21"/>
              </w:rPr>
            </w:pPr>
          </w:p>
          <w:p w14:paraId="7E1EA32D" w14:textId="77777777" w:rsidR="00075001" w:rsidRDefault="00075001" w:rsidP="00075001">
            <w:pPr>
              <w:pStyle w:val="TableParagraph"/>
              <w:ind w:left="86" w:right="86"/>
              <w:jc w:val="center"/>
            </w:pPr>
            <w:r>
              <w:rPr>
                <w:color w:val="BFBFBF"/>
              </w:rPr>
              <w:t>14 (Figure</w:t>
            </w:r>
          </w:p>
          <w:p w14:paraId="7866E06B" w14:textId="77777777" w:rsidR="00075001" w:rsidRDefault="00075001" w:rsidP="00075001">
            <w:pPr>
              <w:pStyle w:val="TableParagraph"/>
              <w:ind w:left="86" w:right="86"/>
              <w:jc w:val="center"/>
            </w:pPr>
            <w:r>
              <w:rPr>
                <w:color w:val="BFBFBF"/>
              </w:rPr>
              <w:t>1)</w:t>
            </w:r>
          </w:p>
        </w:tc>
      </w:tr>
      <w:tr w:rsidR="00075001" w14:paraId="6D526285" w14:textId="77777777" w:rsidTr="00075001">
        <w:trPr>
          <w:trHeight w:hRule="exact" w:val="1084"/>
        </w:trPr>
        <w:tc>
          <w:tcPr>
            <w:tcW w:w="1482" w:type="dxa"/>
            <w:vMerge/>
          </w:tcPr>
          <w:p w14:paraId="5D99AC5C" w14:textId="77777777" w:rsidR="00075001" w:rsidRDefault="00075001" w:rsidP="00075001"/>
        </w:tc>
        <w:tc>
          <w:tcPr>
            <w:tcW w:w="567" w:type="dxa"/>
          </w:tcPr>
          <w:p w14:paraId="6B761FEF" w14:textId="77777777" w:rsidR="00075001" w:rsidRDefault="00075001" w:rsidP="00075001">
            <w:pPr>
              <w:pStyle w:val="TableParagraph"/>
              <w:spacing w:before="9"/>
              <w:ind w:left="0"/>
              <w:rPr>
                <w:b/>
                <w:sz w:val="32"/>
              </w:rPr>
            </w:pPr>
          </w:p>
          <w:p w14:paraId="2DB3FDD9" w14:textId="77777777" w:rsidR="00075001" w:rsidRDefault="00075001" w:rsidP="00075001">
            <w:pPr>
              <w:pStyle w:val="TableParagraph"/>
              <w:ind w:left="94" w:right="82"/>
              <w:jc w:val="center"/>
            </w:pPr>
            <w:r>
              <w:t>13b</w:t>
            </w:r>
          </w:p>
        </w:tc>
        <w:tc>
          <w:tcPr>
            <w:tcW w:w="567" w:type="dxa"/>
          </w:tcPr>
          <w:p w14:paraId="6D1E4891" w14:textId="77777777" w:rsidR="00075001" w:rsidRDefault="00075001" w:rsidP="00075001">
            <w:pPr>
              <w:pStyle w:val="TableParagraph"/>
              <w:spacing w:before="9"/>
              <w:ind w:left="0"/>
              <w:rPr>
                <w:b/>
                <w:sz w:val="32"/>
              </w:rPr>
            </w:pPr>
          </w:p>
          <w:p w14:paraId="3DD2E19B" w14:textId="77777777" w:rsidR="00075001" w:rsidRDefault="00075001" w:rsidP="00075001">
            <w:pPr>
              <w:pStyle w:val="TableParagraph"/>
              <w:ind w:left="0" w:right="101"/>
              <w:jc w:val="right"/>
            </w:pPr>
            <w:proofErr w:type="gramStart"/>
            <w:r>
              <w:t>D;V</w:t>
            </w:r>
            <w:proofErr w:type="gramEnd"/>
          </w:p>
        </w:tc>
        <w:tc>
          <w:tcPr>
            <w:tcW w:w="6026" w:type="dxa"/>
          </w:tcPr>
          <w:p w14:paraId="5E25C5C2" w14:textId="77777777" w:rsidR="00075001" w:rsidRDefault="00075001" w:rsidP="00075001">
            <w:pPr>
              <w:pStyle w:val="TableParagraph"/>
              <w:ind w:left="136" w:right="185"/>
            </w:pPr>
            <w:r>
              <w:t>Describe the characteristics of the participants (basic demographics, clinical features, available predictors), including the number of participants with missing data for predictors and outcome.</w:t>
            </w:r>
          </w:p>
        </w:tc>
        <w:tc>
          <w:tcPr>
            <w:tcW w:w="1119" w:type="dxa"/>
          </w:tcPr>
          <w:p w14:paraId="6A208422" w14:textId="77777777" w:rsidR="00075001" w:rsidRDefault="00075001" w:rsidP="00075001">
            <w:pPr>
              <w:pStyle w:val="TableParagraph"/>
              <w:spacing w:line="266" w:lineRule="exact"/>
              <w:ind w:left="86" w:right="86"/>
              <w:jc w:val="center"/>
            </w:pPr>
            <w:r>
              <w:rPr>
                <w:color w:val="BFBFBF"/>
              </w:rPr>
              <w:t>14,15</w:t>
            </w:r>
          </w:p>
          <w:p w14:paraId="7C79F253" w14:textId="77777777" w:rsidR="00075001" w:rsidRDefault="00075001" w:rsidP="00075001">
            <w:pPr>
              <w:pStyle w:val="TableParagraph"/>
              <w:ind w:left="169" w:right="166"/>
              <w:jc w:val="center"/>
            </w:pPr>
            <w:r>
              <w:rPr>
                <w:color w:val="BFBFBF"/>
              </w:rPr>
              <w:t>(Table 1, Supp table 4)</w:t>
            </w:r>
          </w:p>
        </w:tc>
      </w:tr>
      <w:tr w:rsidR="00075001" w14:paraId="746A0F38" w14:textId="77777777" w:rsidTr="00075001">
        <w:trPr>
          <w:trHeight w:hRule="exact" w:val="816"/>
        </w:trPr>
        <w:tc>
          <w:tcPr>
            <w:tcW w:w="1482" w:type="dxa"/>
            <w:vMerge/>
          </w:tcPr>
          <w:p w14:paraId="0C9A78A3" w14:textId="77777777" w:rsidR="00075001" w:rsidRDefault="00075001" w:rsidP="00075001"/>
        </w:tc>
        <w:tc>
          <w:tcPr>
            <w:tcW w:w="567" w:type="dxa"/>
          </w:tcPr>
          <w:p w14:paraId="1D12C37C" w14:textId="77777777" w:rsidR="00075001" w:rsidRDefault="00075001" w:rsidP="00075001">
            <w:pPr>
              <w:pStyle w:val="TableParagraph"/>
              <w:spacing w:before="9"/>
              <w:ind w:left="0"/>
              <w:rPr>
                <w:b/>
                <w:sz w:val="21"/>
              </w:rPr>
            </w:pPr>
          </w:p>
          <w:p w14:paraId="73E21D59" w14:textId="77777777" w:rsidR="00075001" w:rsidRDefault="00075001" w:rsidP="00075001">
            <w:pPr>
              <w:pStyle w:val="TableParagraph"/>
              <w:ind w:left="95" w:right="60"/>
              <w:jc w:val="center"/>
            </w:pPr>
            <w:r>
              <w:t>13c</w:t>
            </w:r>
          </w:p>
        </w:tc>
        <w:tc>
          <w:tcPr>
            <w:tcW w:w="567" w:type="dxa"/>
          </w:tcPr>
          <w:p w14:paraId="448CCD1A" w14:textId="77777777" w:rsidR="00075001" w:rsidRDefault="00075001" w:rsidP="00075001">
            <w:pPr>
              <w:pStyle w:val="TableParagraph"/>
              <w:spacing w:before="9"/>
              <w:ind w:left="0"/>
              <w:rPr>
                <w:b/>
                <w:sz w:val="21"/>
              </w:rPr>
            </w:pPr>
          </w:p>
          <w:p w14:paraId="68A53C54" w14:textId="77777777" w:rsidR="00075001" w:rsidRDefault="00075001" w:rsidP="00075001">
            <w:pPr>
              <w:pStyle w:val="TableParagraph"/>
              <w:ind w:left="0" w:right="102"/>
              <w:jc w:val="right"/>
            </w:pPr>
            <w:r>
              <w:t>V</w:t>
            </w:r>
          </w:p>
        </w:tc>
        <w:tc>
          <w:tcPr>
            <w:tcW w:w="6026" w:type="dxa"/>
          </w:tcPr>
          <w:p w14:paraId="26085336" w14:textId="77777777" w:rsidR="00075001" w:rsidRDefault="00075001" w:rsidP="00075001">
            <w:pPr>
              <w:pStyle w:val="TableParagraph"/>
              <w:ind w:left="136" w:right="409"/>
            </w:pPr>
            <w:r>
              <w:t>Show a comparison of the distribution of important variables with the development data (demographics, predictors and outcomes) for validation purposes.</w:t>
            </w:r>
          </w:p>
        </w:tc>
        <w:tc>
          <w:tcPr>
            <w:tcW w:w="1119" w:type="dxa"/>
          </w:tcPr>
          <w:p w14:paraId="286CF94A" w14:textId="77777777" w:rsidR="00075001" w:rsidRDefault="00075001" w:rsidP="00075001">
            <w:pPr>
              <w:pStyle w:val="TableParagraph"/>
              <w:spacing w:before="9"/>
              <w:ind w:left="0"/>
              <w:rPr>
                <w:b/>
                <w:sz w:val="21"/>
              </w:rPr>
            </w:pPr>
          </w:p>
          <w:p w14:paraId="77A447F9" w14:textId="77777777" w:rsidR="00075001" w:rsidRDefault="00075001" w:rsidP="00075001">
            <w:pPr>
              <w:pStyle w:val="TableParagraph"/>
              <w:ind w:left="86" w:right="52"/>
              <w:jc w:val="center"/>
            </w:pPr>
            <w:r>
              <w:rPr>
                <w:color w:val="BFBFBF"/>
              </w:rPr>
              <w:t>n/a</w:t>
            </w:r>
          </w:p>
        </w:tc>
      </w:tr>
      <w:tr w:rsidR="00075001" w14:paraId="6CAA0DBE" w14:textId="77777777" w:rsidTr="00075001">
        <w:trPr>
          <w:trHeight w:hRule="exact" w:val="547"/>
        </w:trPr>
        <w:tc>
          <w:tcPr>
            <w:tcW w:w="1482" w:type="dxa"/>
            <w:vMerge w:val="restart"/>
          </w:tcPr>
          <w:p w14:paraId="23D6C99D" w14:textId="77777777" w:rsidR="00075001" w:rsidRDefault="00075001" w:rsidP="00075001">
            <w:pPr>
              <w:pStyle w:val="TableParagraph"/>
              <w:ind w:left="0"/>
              <w:rPr>
                <w:b/>
              </w:rPr>
            </w:pPr>
          </w:p>
          <w:p w14:paraId="02013FAA" w14:textId="77777777" w:rsidR="00075001" w:rsidRDefault="00075001" w:rsidP="00075001">
            <w:pPr>
              <w:pStyle w:val="TableParagraph"/>
              <w:spacing w:before="136"/>
              <w:ind w:left="259" w:right="409"/>
            </w:pPr>
            <w:r>
              <w:t xml:space="preserve">Model develop- </w:t>
            </w:r>
            <w:proofErr w:type="spellStart"/>
            <w:r>
              <w:t>ment</w:t>
            </w:r>
            <w:proofErr w:type="spellEnd"/>
          </w:p>
        </w:tc>
        <w:tc>
          <w:tcPr>
            <w:tcW w:w="567" w:type="dxa"/>
          </w:tcPr>
          <w:p w14:paraId="04F41602" w14:textId="77777777" w:rsidR="00075001" w:rsidRDefault="00075001" w:rsidP="00075001">
            <w:pPr>
              <w:pStyle w:val="TableParagraph"/>
              <w:spacing w:before="131"/>
              <w:ind w:left="95" w:right="73"/>
              <w:jc w:val="center"/>
            </w:pPr>
            <w:r>
              <w:t>14a</w:t>
            </w:r>
          </w:p>
        </w:tc>
        <w:tc>
          <w:tcPr>
            <w:tcW w:w="567" w:type="dxa"/>
          </w:tcPr>
          <w:p w14:paraId="22FCF584" w14:textId="77777777" w:rsidR="00075001" w:rsidRDefault="00075001" w:rsidP="00075001">
            <w:pPr>
              <w:pStyle w:val="TableParagraph"/>
              <w:spacing w:before="131"/>
              <w:ind w:left="0" w:right="101"/>
              <w:jc w:val="right"/>
            </w:pPr>
            <w:r>
              <w:t>D</w:t>
            </w:r>
          </w:p>
        </w:tc>
        <w:tc>
          <w:tcPr>
            <w:tcW w:w="6026" w:type="dxa"/>
          </w:tcPr>
          <w:p w14:paraId="5D63888E" w14:textId="77777777" w:rsidR="00075001" w:rsidRDefault="00075001" w:rsidP="00075001">
            <w:pPr>
              <w:pStyle w:val="TableParagraph"/>
              <w:ind w:left="136" w:right="204"/>
            </w:pPr>
            <w:r>
              <w:t>Specify the number of participants and outcome events in each analysis.</w:t>
            </w:r>
          </w:p>
        </w:tc>
        <w:tc>
          <w:tcPr>
            <w:tcW w:w="1119" w:type="dxa"/>
          </w:tcPr>
          <w:p w14:paraId="4E7AA8B5" w14:textId="77777777" w:rsidR="00075001" w:rsidRDefault="00075001" w:rsidP="00075001">
            <w:pPr>
              <w:pStyle w:val="TableParagraph"/>
              <w:spacing w:line="266" w:lineRule="exact"/>
              <w:ind w:left="86" w:right="52"/>
              <w:jc w:val="center"/>
            </w:pPr>
            <w:r>
              <w:rPr>
                <w:color w:val="BFBFBF"/>
              </w:rPr>
              <w:t>14</w:t>
            </w:r>
          </w:p>
          <w:p w14:paraId="52A70650" w14:textId="77777777" w:rsidR="00075001" w:rsidRDefault="00075001" w:rsidP="00075001">
            <w:pPr>
              <w:pStyle w:val="TableParagraph"/>
              <w:ind w:left="86" w:right="53"/>
              <w:jc w:val="center"/>
            </w:pPr>
            <w:r>
              <w:rPr>
                <w:color w:val="BFBFBF"/>
              </w:rPr>
              <w:t>(Figure 1)</w:t>
            </w:r>
          </w:p>
        </w:tc>
      </w:tr>
      <w:tr w:rsidR="00075001" w14:paraId="09892192" w14:textId="77777777" w:rsidTr="00075001">
        <w:trPr>
          <w:trHeight w:hRule="exact" w:val="1084"/>
        </w:trPr>
        <w:tc>
          <w:tcPr>
            <w:tcW w:w="1482" w:type="dxa"/>
            <w:vMerge/>
          </w:tcPr>
          <w:p w14:paraId="52DE1454" w14:textId="77777777" w:rsidR="00075001" w:rsidRDefault="00075001" w:rsidP="00075001"/>
        </w:tc>
        <w:tc>
          <w:tcPr>
            <w:tcW w:w="567" w:type="dxa"/>
          </w:tcPr>
          <w:p w14:paraId="2CBEC058" w14:textId="77777777" w:rsidR="00075001" w:rsidRDefault="00075001" w:rsidP="00075001">
            <w:pPr>
              <w:pStyle w:val="TableParagraph"/>
              <w:spacing w:before="9"/>
              <w:ind w:left="0"/>
              <w:rPr>
                <w:b/>
                <w:sz w:val="32"/>
              </w:rPr>
            </w:pPr>
          </w:p>
          <w:p w14:paraId="2CE5C40A" w14:textId="77777777" w:rsidR="00075001" w:rsidRDefault="00075001" w:rsidP="00075001">
            <w:pPr>
              <w:pStyle w:val="TableParagraph"/>
              <w:ind w:left="94" w:right="82"/>
              <w:jc w:val="center"/>
            </w:pPr>
            <w:r>
              <w:t>14b</w:t>
            </w:r>
          </w:p>
        </w:tc>
        <w:tc>
          <w:tcPr>
            <w:tcW w:w="567" w:type="dxa"/>
          </w:tcPr>
          <w:p w14:paraId="059E85D5" w14:textId="77777777" w:rsidR="00075001" w:rsidRDefault="00075001" w:rsidP="00075001">
            <w:pPr>
              <w:pStyle w:val="TableParagraph"/>
              <w:spacing w:before="9"/>
              <w:ind w:left="0"/>
              <w:rPr>
                <w:b/>
                <w:sz w:val="32"/>
              </w:rPr>
            </w:pPr>
          </w:p>
          <w:p w14:paraId="2D80F9D2" w14:textId="77777777" w:rsidR="00075001" w:rsidRDefault="00075001" w:rsidP="00075001">
            <w:pPr>
              <w:pStyle w:val="TableParagraph"/>
              <w:ind w:left="0" w:right="101"/>
              <w:jc w:val="right"/>
            </w:pPr>
            <w:r>
              <w:t>D</w:t>
            </w:r>
          </w:p>
        </w:tc>
        <w:tc>
          <w:tcPr>
            <w:tcW w:w="6026" w:type="dxa"/>
          </w:tcPr>
          <w:p w14:paraId="47FCC508" w14:textId="77777777" w:rsidR="00075001" w:rsidRDefault="00075001" w:rsidP="00075001">
            <w:pPr>
              <w:pStyle w:val="TableParagraph"/>
              <w:spacing w:before="9"/>
              <w:ind w:left="0"/>
              <w:rPr>
                <w:b/>
                <w:sz w:val="21"/>
              </w:rPr>
            </w:pPr>
          </w:p>
          <w:p w14:paraId="471F9248" w14:textId="77777777" w:rsidR="00075001" w:rsidRDefault="00075001" w:rsidP="00075001">
            <w:pPr>
              <w:pStyle w:val="TableParagraph"/>
              <w:ind w:left="136" w:right="473"/>
            </w:pPr>
            <w:r>
              <w:t>Report any unadjusted association between each candidate, predictor and outcome.</w:t>
            </w:r>
          </w:p>
        </w:tc>
        <w:tc>
          <w:tcPr>
            <w:tcW w:w="1119" w:type="dxa"/>
          </w:tcPr>
          <w:p w14:paraId="213BADD9" w14:textId="77777777" w:rsidR="00075001" w:rsidRDefault="00075001" w:rsidP="00075001">
            <w:pPr>
              <w:pStyle w:val="TableParagraph"/>
              <w:ind w:left="86" w:right="52"/>
              <w:jc w:val="center"/>
            </w:pPr>
            <w:r>
              <w:rPr>
                <w:color w:val="BFBFBF"/>
              </w:rPr>
              <w:t xml:space="preserve">Table 1, </w:t>
            </w:r>
            <w:proofErr w:type="spellStart"/>
            <w:r>
              <w:rPr>
                <w:color w:val="BFBFBF"/>
              </w:rPr>
              <w:t>Supplem</w:t>
            </w:r>
            <w:proofErr w:type="spellEnd"/>
            <w:r>
              <w:rPr>
                <w:color w:val="BFBFBF"/>
              </w:rPr>
              <w:t xml:space="preserve"> </w:t>
            </w:r>
            <w:proofErr w:type="spellStart"/>
            <w:r>
              <w:rPr>
                <w:color w:val="BFBFBF"/>
              </w:rPr>
              <w:t>entary</w:t>
            </w:r>
            <w:proofErr w:type="spellEnd"/>
            <w:r>
              <w:rPr>
                <w:color w:val="BFBFBF"/>
              </w:rPr>
              <w:t xml:space="preserve"> table 4)</w:t>
            </w:r>
          </w:p>
        </w:tc>
      </w:tr>
      <w:tr w:rsidR="00075001" w14:paraId="2CD7C6B5" w14:textId="77777777" w:rsidTr="00075001">
        <w:trPr>
          <w:trHeight w:hRule="exact" w:val="816"/>
        </w:trPr>
        <w:tc>
          <w:tcPr>
            <w:tcW w:w="1482" w:type="dxa"/>
            <w:vMerge w:val="restart"/>
          </w:tcPr>
          <w:p w14:paraId="6CD9994E" w14:textId="77777777" w:rsidR="00075001" w:rsidRDefault="00075001" w:rsidP="00075001">
            <w:pPr>
              <w:pStyle w:val="TableParagraph"/>
              <w:spacing w:before="136"/>
              <w:ind w:left="259" w:right="355"/>
            </w:pPr>
            <w:r>
              <w:t xml:space="preserve">Model </w:t>
            </w:r>
            <w:proofErr w:type="spellStart"/>
            <w:r>
              <w:t>specifica</w:t>
            </w:r>
            <w:proofErr w:type="spellEnd"/>
            <w:r>
              <w:t xml:space="preserve">- </w:t>
            </w:r>
            <w:proofErr w:type="spellStart"/>
            <w:r>
              <w:t>tion</w:t>
            </w:r>
            <w:proofErr w:type="spellEnd"/>
          </w:p>
        </w:tc>
        <w:tc>
          <w:tcPr>
            <w:tcW w:w="567" w:type="dxa"/>
          </w:tcPr>
          <w:p w14:paraId="72DB392C" w14:textId="77777777" w:rsidR="00075001" w:rsidRDefault="00075001" w:rsidP="00075001">
            <w:pPr>
              <w:pStyle w:val="TableParagraph"/>
              <w:spacing w:before="9"/>
              <w:ind w:left="0"/>
              <w:rPr>
                <w:b/>
                <w:sz w:val="21"/>
              </w:rPr>
            </w:pPr>
          </w:p>
          <w:p w14:paraId="5F2D464B" w14:textId="77777777" w:rsidR="00075001" w:rsidRDefault="00075001" w:rsidP="00075001">
            <w:pPr>
              <w:pStyle w:val="TableParagraph"/>
              <w:ind w:left="95" w:right="73"/>
              <w:jc w:val="center"/>
            </w:pPr>
            <w:r>
              <w:t>15a</w:t>
            </w:r>
          </w:p>
        </w:tc>
        <w:tc>
          <w:tcPr>
            <w:tcW w:w="567" w:type="dxa"/>
          </w:tcPr>
          <w:p w14:paraId="66EE8815" w14:textId="77777777" w:rsidR="00075001" w:rsidRDefault="00075001" w:rsidP="00075001">
            <w:pPr>
              <w:pStyle w:val="TableParagraph"/>
              <w:spacing w:before="9"/>
              <w:ind w:left="0"/>
              <w:rPr>
                <w:b/>
                <w:sz w:val="21"/>
              </w:rPr>
            </w:pPr>
          </w:p>
          <w:p w14:paraId="67E7697D" w14:textId="77777777" w:rsidR="00075001" w:rsidRDefault="00075001" w:rsidP="00075001">
            <w:pPr>
              <w:pStyle w:val="TableParagraph"/>
              <w:ind w:left="0" w:right="101"/>
              <w:jc w:val="right"/>
            </w:pPr>
            <w:r>
              <w:t>D</w:t>
            </w:r>
          </w:p>
        </w:tc>
        <w:tc>
          <w:tcPr>
            <w:tcW w:w="6026" w:type="dxa"/>
          </w:tcPr>
          <w:p w14:paraId="33C6D4C6" w14:textId="77777777" w:rsidR="00075001" w:rsidRDefault="00075001" w:rsidP="00075001">
            <w:pPr>
              <w:pStyle w:val="TableParagraph"/>
              <w:ind w:left="136" w:right="219"/>
            </w:pPr>
            <w:r>
              <w:t>Present the full prediction model to allow predictions for individuals (i.e., all regression coefficients, and model intercept or baseline survival at a given time point).</w:t>
            </w:r>
          </w:p>
        </w:tc>
        <w:tc>
          <w:tcPr>
            <w:tcW w:w="1119" w:type="dxa"/>
          </w:tcPr>
          <w:p w14:paraId="6DDD8D23" w14:textId="77777777" w:rsidR="00075001" w:rsidRDefault="00075001" w:rsidP="00075001">
            <w:pPr>
              <w:pStyle w:val="TableParagraph"/>
              <w:spacing w:before="131"/>
              <w:ind w:left="67" w:right="86"/>
              <w:jc w:val="center"/>
            </w:pPr>
            <w:r>
              <w:rPr>
                <w:color w:val="BFBFBF"/>
              </w:rPr>
              <w:t>15, 16</w:t>
            </w:r>
          </w:p>
          <w:p w14:paraId="677C766B" w14:textId="77777777" w:rsidR="00075001" w:rsidRDefault="00075001" w:rsidP="00075001">
            <w:pPr>
              <w:pStyle w:val="TableParagraph"/>
              <w:ind w:left="67" w:right="86"/>
              <w:jc w:val="center"/>
            </w:pPr>
            <w:r>
              <w:rPr>
                <w:color w:val="BFBFBF"/>
              </w:rPr>
              <w:t>(Table 2)</w:t>
            </w:r>
          </w:p>
        </w:tc>
      </w:tr>
      <w:tr w:rsidR="00075001" w14:paraId="79CF1693" w14:textId="77777777" w:rsidTr="00075001">
        <w:trPr>
          <w:trHeight w:hRule="exact" w:val="279"/>
        </w:trPr>
        <w:tc>
          <w:tcPr>
            <w:tcW w:w="1482" w:type="dxa"/>
            <w:vMerge/>
          </w:tcPr>
          <w:p w14:paraId="6CEECD71" w14:textId="77777777" w:rsidR="00075001" w:rsidRDefault="00075001" w:rsidP="00075001"/>
        </w:tc>
        <w:tc>
          <w:tcPr>
            <w:tcW w:w="567" w:type="dxa"/>
          </w:tcPr>
          <w:p w14:paraId="204C5107" w14:textId="77777777" w:rsidR="00075001" w:rsidRDefault="00075001" w:rsidP="00075001">
            <w:pPr>
              <w:pStyle w:val="TableParagraph"/>
              <w:spacing w:line="266" w:lineRule="exact"/>
              <w:ind w:left="94" w:right="82"/>
              <w:jc w:val="center"/>
            </w:pPr>
            <w:r>
              <w:t>15b</w:t>
            </w:r>
          </w:p>
        </w:tc>
        <w:tc>
          <w:tcPr>
            <w:tcW w:w="567" w:type="dxa"/>
          </w:tcPr>
          <w:p w14:paraId="2ACD3F74" w14:textId="77777777" w:rsidR="00075001" w:rsidRDefault="00075001" w:rsidP="00075001">
            <w:pPr>
              <w:pStyle w:val="TableParagraph"/>
              <w:spacing w:line="266" w:lineRule="exact"/>
              <w:ind w:left="0" w:right="101"/>
              <w:jc w:val="right"/>
            </w:pPr>
            <w:r>
              <w:t>D</w:t>
            </w:r>
          </w:p>
        </w:tc>
        <w:tc>
          <w:tcPr>
            <w:tcW w:w="6026" w:type="dxa"/>
          </w:tcPr>
          <w:p w14:paraId="1F080AAD" w14:textId="77777777" w:rsidR="00075001" w:rsidRDefault="00075001" w:rsidP="00075001">
            <w:pPr>
              <w:pStyle w:val="TableParagraph"/>
              <w:spacing w:line="266" w:lineRule="exact"/>
              <w:ind w:left="136"/>
            </w:pPr>
            <w:r>
              <w:t>Explain how to use the prediction model.</w:t>
            </w:r>
          </w:p>
        </w:tc>
        <w:tc>
          <w:tcPr>
            <w:tcW w:w="1119" w:type="dxa"/>
          </w:tcPr>
          <w:p w14:paraId="128E57E8" w14:textId="77777777" w:rsidR="00075001" w:rsidRDefault="00075001" w:rsidP="00075001">
            <w:pPr>
              <w:pStyle w:val="TableParagraph"/>
              <w:spacing w:line="266" w:lineRule="exact"/>
              <w:ind w:left="246"/>
            </w:pPr>
            <w:r>
              <w:rPr>
                <w:color w:val="BFBFBF"/>
              </w:rPr>
              <w:t>Table 2</w:t>
            </w:r>
          </w:p>
        </w:tc>
      </w:tr>
      <w:tr w:rsidR="00075001" w14:paraId="1A2AA364" w14:textId="77777777" w:rsidTr="00075001">
        <w:trPr>
          <w:trHeight w:hRule="exact" w:val="816"/>
        </w:trPr>
        <w:tc>
          <w:tcPr>
            <w:tcW w:w="1482" w:type="dxa"/>
          </w:tcPr>
          <w:p w14:paraId="18A2078E" w14:textId="77777777" w:rsidR="00075001" w:rsidRDefault="00075001" w:rsidP="00075001">
            <w:pPr>
              <w:pStyle w:val="TableParagraph"/>
              <w:ind w:left="259" w:right="581"/>
              <w:jc w:val="both"/>
            </w:pPr>
            <w:r>
              <w:t xml:space="preserve">Model </w:t>
            </w:r>
            <w:proofErr w:type="spellStart"/>
            <w:r>
              <w:t>perfor</w:t>
            </w:r>
            <w:proofErr w:type="spellEnd"/>
            <w:r>
              <w:t xml:space="preserve">- </w:t>
            </w:r>
            <w:proofErr w:type="spellStart"/>
            <w:r>
              <w:t>mance</w:t>
            </w:r>
            <w:proofErr w:type="spellEnd"/>
          </w:p>
        </w:tc>
        <w:tc>
          <w:tcPr>
            <w:tcW w:w="567" w:type="dxa"/>
          </w:tcPr>
          <w:p w14:paraId="1B0899B2" w14:textId="77777777" w:rsidR="00075001" w:rsidRDefault="00075001" w:rsidP="00075001">
            <w:pPr>
              <w:pStyle w:val="TableParagraph"/>
              <w:spacing w:before="9"/>
              <w:ind w:left="0"/>
              <w:rPr>
                <w:b/>
                <w:sz w:val="21"/>
              </w:rPr>
            </w:pPr>
          </w:p>
          <w:p w14:paraId="33FD039A" w14:textId="77777777" w:rsidR="00075001" w:rsidRDefault="00075001" w:rsidP="00075001">
            <w:pPr>
              <w:pStyle w:val="TableParagraph"/>
              <w:ind w:left="206" w:right="78"/>
              <w:jc w:val="center"/>
            </w:pPr>
            <w:r>
              <w:t>16</w:t>
            </w:r>
          </w:p>
        </w:tc>
        <w:tc>
          <w:tcPr>
            <w:tcW w:w="567" w:type="dxa"/>
          </w:tcPr>
          <w:p w14:paraId="0C7FFECB" w14:textId="77777777" w:rsidR="00075001" w:rsidRDefault="00075001" w:rsidP="00075001">
            <w:pPr>
              <w:pStyle w:val="TableParagraph"/>
              <w:spacing w:before="9"/>
              <w:ind w:left="0"/>
              <w:rPr>
                <w:b/>
                <w:sz w:val="21"/>
              </w:rPr>
            </w:pPr>
          </w:p>
          <w:p w14:paraId="255E6F0A" w14:textId="77777777" w:rsidR="00075001" w:rsidRDefault="00075001" w:rsidP="00075001">
            <w:pPr>
              <w:pStyle w:val="TableParagraph"/>
              <w:ind w:left="0" w:right="101"/>
              <w:jc w:val="right"/>
            </w:pPr>
            <w:proofErr w:type="gramStart"/>
            <w:r>
              <w:t>D;V</w:t>
            </w:r>
            <w:proofErr w:type="gramEnd"/>
          </w:p>
        </w:tc>
        <w:tc>
          <w:tcPr>
            <w:tcW w:w="6026" w:type="dxa"/>
          </w:tcPr>
          <w:p w14:paraId="32D69C70" w14:textId="77777777" w:rsidR="00075001" w:rsidRDefault="00075001" w:rsidP="00075001">
            <w:pPr>
              <w:pStyle w:val="TableParagraph"/>
              <w:spacing w:before="131"/>
              <w:ind w:left="136" w:right="611"/>
            </w:pPr>
            <w:r>
              <w:t>Report performance measures (with CIs) for the prediction model.</w:t>
            </w:r>
          </w:p>
        </w:tc>
        <w:tc>
          <w:tcPr>
            <w:tcW w:w="1119" w:type="dxa"/>
          </w:tcPr>
          <w:p w14:paraId="6E3C4B4D" w14:textId="77777777" w:rsidR="00075001" w:rsidRDefault="00075001" w:rsidP="00075001">
            <w:pPr>
              <w:pStyle w:val="TableParagraph"/>
              <w:spacing w:line="266" w:lineRule="exact"/>
              <w:ind w:left="86" w:right="86"/>
              <w:jc w:val="center"/>
            </w:pPr>
            <w:r>
              <w:rPr>
                <w:color w:val="BFBFBF"/>
              </w:rPr>
              <w:t>15,16(Fig</w:t>
            </w:r>
          </w:p>
          <w:p w14:paraId="1A21C847" w14:textId="77777777" w:rsidR="00075001" w:rsidRDefault="00075001" w:rsidP="00075001">
            <w:pPr>
              <w:pStyle w:val="TableParagraph"/>
              <w:ind w:left="86" w:right="86"/>
              <w:jc w:val="center"/>
            </w:pPr>
            <w:proofErr w:type="spellStart"/>
            <w:r>
              <w:rPr>
                <w:color w:val="BFBFBF"/>
              </w:rPr>
              <w:t>ures</w:t>
            </w:r>
            <w:proofErr w:type="spellEnd"/>
            <w:r>
              <w:rPr>
                <w:color w:val="BFBFBF"/>
              </w:rPr>
              <w:t xml:space="preserve"> 2</w:t>
            </w:r>
          </w:p>
          <w:p w14:paraId="1D0D16A6" w14:textId="77777777" w:rsidR="00075001" w:rsidRDefault="00075001" w:rsidP="00075001">
            <w:pPr>
              <w:pStyle w:val="TableParagraph"/>
              <w:ind w:left="86" w:right="86"/>
              <w:jc w:val="center"/>
            </w:pPr>
            <w:r>
              <w:rPr>
                <w:color w:val="BFBFBF"/>
              </w:rPr>
              <w:t>and 3)</w:t>
            </w:r>
          </w:p>
        </w:tc>
      </w:tr>
      <w:tr w:rsidR="00075001" w14:paraId="69622912" w14:textId="77777777" w:rsidTr="00075001">
        <w:trPr>
          <w:trHeight w:hRule="exact" w:val="547"/>
        </w:trPr>
        <w:tc>
          <w:tcPr>
            <w:tcW w:w="1482" w:type="dxa"/>
          </w:tcPr>
          <w:p w14:paraId="70CAF8EF" w14:textId="77777777" w:rsidR="00075001" w:rsidRDefault="00075001" w:rsidP="00075001">
            <w:pPr>
              <w:pStyle w:val="TableParagraph"/>
              <w:ind w:left="259" w:right="546"/>
            </w:pPr>
            <w:r>
              <w:t>Model- update</w:t>
            </w:r>
          </w:p>
        </w:tc>
        <w:tc>
          <w:tcPr>
            <w:tcW w:w="567" w:type="dxa"/>
          </w:tcPr>
          <w:p w14:paraId="35BCDF36" w14:textId="77777777" w:rsidR="00075001" w:rsidRDefault="00075001" w:rsidP="00075001">
            <w:pPr>
              <w:pStyle w:val="TableParagraph"/>
              <w:spacing w:before="131"/>
              <w:ind w:left="206" w:right="78"/>
              <w:jc w:val="center"/>
            </w:pPr>
            <w:r>
              <w:t>17</w:t>
            </w:r>
          </w:p>
        </w:tc>
        <w:tc>
          <w:tcPr>
            <w:tcW w:w="567" w:type="dxa"/>
          </w:tcPr>
          <w:p w14:paraId="29CBF428" w14:textId="77777777" w:rsidR="00075001" w:rsidRDefault="00075001" w:rsidP="00075001">
            <w:pPr>
              <w:pStyle w:val="TableParagraph"/>
              <w:spacing w:before="131"/>
              <w:ind w:left="0" w:right="102"/>
              <w:jc w:val="right"/>
            </w:pPr>
            <w:r>
              <w:t>V</w:t>
            </w:r>
          </w:p>
        </w:tc>
        <w:tc>
          <w:tcPr>
            <w:tcW w:w="6026" w:type="dxa"/>
          </w:tcPr>
          <w:p w14:paraId="10627EB2" w14:textId="77777777" w:rsidR="00075001" w:rsidRDefault="00075001" w:rsidP="00075001">
            <w:pPr>
              <w:pStyle w:val="TableParagraph"/>
              <w:ind w:right="420"/>
            </w:pPr>
            <w:r>
              <w:t>Report on any model update (i.e., model specification, model performance).</w:t>
            </w:r>
          </w:p>
        </w:tc>
        <w:tc>
          <w:tcPr>
            <w:tcW w:w="1119" w:type="dxa"/>
          </w:tcPr>
          <w:p w14:paraId="2DA3362D" w14:textId="77777777" w:rsidR="00075001" w:rsidRDefault="00075001" w:rsidP="00075001">
            <w:pPr>
              <w:pStyle w:val="TableParagraph"/>
              <w:spacing w:before="131"/>
              <w:ind w:left="86" w:right="52"/>
              <w:jc w:val="center"/>
            </w:pPr>
            <w:r>
              <w:rPr>
                <w:color w:val="BFBFBF"/>
              </w:rPr>
              <w:t>n/a</w:t>
            </w:r>
          </w:p>
        </w:tc>
      </w:tr>
      <w:tr w:rsidR="00075001" w14:paraId="11A025B3" w14:textId="77777777" w:rsidTr="00075001">
        <w:trPr>
          <w:trHeight w:hRule="exact" w:val="279"/>
        </w:trPr>
        <w:tc>
          <w:tcPr>
            <w:tcW w:w="9761" w:type="dxa"/>
            <w:gridSpan w:val="5"/>
            <w:shd w:val="clear" w:color="auto" w:fill="F6CBAC"/>
          </w:tcPr>
          <w:p w14:paraId="75CE97BD" w14:textId="77777777" w:rsidR="00075001" w:rsidRDefault="00075001" w:rsidP="00075001">
            <w:pPr>
              <w:pStyle w:val="TableParagraph"/>
              <w:spacing w:line="266" w:lineRule="exact"/>
              <w:rPr>
                <w:b/>
              </w:rPr>
            </w:pPr>
            <w:r>
              <w:rPr>
                <w:b/>
              </w:rPr>
              <w:t>Discussion</w:t>
            </w:r>
          </w:p>
        </w:tc>
      </w:tr>
      <w:tr w:rsidR="00075001" w14:paraId="2282C7CF" w14:textId="77777777" w:rsidTr="00075001">
        <w:trPr>
          <w:trHeight w:hRule="exact" w:val="547"/>
        </w:trPr>
        <w:tc>
          <w:tcPr>
            <w:tcW w:w="1482" w:type="dxa"/>
          </w:tcPr>
          <w:p w14:paraId="47D2F734" w14:textId="77777777" w:rsidR="00075001" w:rsidRDefault="00075001" w:rsidP="00075001">
            <w:pPr>
              <w:pStyle w:val="TableParagraph"/>
              <w:spacing w:before="131"/>
              <w:ind w:left="254"/>
            </w:pPr>
            <w:r>
              <w:t>Limitations</w:t>
            </w:r>
          </w:p>
        </w:tc>
        <w:tc>
          <w:tcPr>
            <w:tcW w:w="567" w:type="dxa"/>
          </w:tcPr>
          <w:p w14:paraId="0362620E" w14:textId="77777777" w:rsidR="00075001" w:rsidRDefault="00075001" w:rsidP="00075001">
            <w:pPr>
              <w:pStyle w:val="TableParagraph"/>
              <w:spacing w:before="131"/>
              <w:ind w:left="206" w:right="78"/>
              <w:jc w:val="center"/>
            </w:pPr>
            <w:r>
              <w:t>18</w:t>
            </w:r>
          </w:p>
        </w:tc>
        <w:tc>
          <w:tcPr>
            <w:tcW w:w="567" w:type="dxa"/>
          </w:tcPr>
          <w:p w14:paraId="70587698" w14:textId="77777777" w:rsidR="00075001" w:rsidRDefault="00075001" w:rsidP="00075001">
            <w:pPr>
              <w:pStyle w:val="TableParagraph"/>
              <w:spacing w:before="131"/>
              <w:ind w:left="0" w:right="101"/>
              <w:jc w:val="right"/>
            </w:pPr>
            <w:proofErr w:type="gramStart"/>
            <w:r>
              <w:t>D;V</w:t>
            </w:r>
            <w:proofErr w:type="gramEnd"/>
          </w:p>
        </w:tc>
        <w:tc>
          <w:tcPr>
            <w:tcW w:w="6026" w:type="dxa"/>
          </w:tcPr>
          <w:p w14:paraId="0CCA9850" w14:textId="77777777" w:rsidR="00075001" w:rsidRDefault="00075001" w:rsidP="00075001">
            <w:pPr>
              <w:pStyle w:val="TableParagraph"/>
              <w:ind w:left="136" w:right="342"/>
            </w:pPr>
            <w:r>
              <w:t>Mentions limitations of the study (such as non-representative sample, few events per predictor, missing data).</w:t>
            </w:r>
          </w:p>
        </w:tc>
        <w:tc>
          <w:tcPr>
            <w:tcW w:w="1119" w:type="dxa"/>
          </w:tcPr>
          <w:p w14:paraId="5341E88A" w14:textId="77777777" w:rsidR="00075001" w:rsidRDefault="00075001" w:rsidP="00075001">
            <w:pPr>
              <w:pStyle w:val="TableParagraph"/>
              <w:spacing w:before="131"/>
              <w:ind w:left="297"/>
            </w:pPr>
            <w:r>
              <w:rPr>
                <w:color w:val="BFBFBF"/>
              </w:rPr>
              <w:t>16-18</w:t>
            </w:r>
          </w:p>
        </w:tc>
      </w:tr>
      <w:tr w:rsidR="00075001" w14:paraId="74AF5315" w14:textId="77777777" w:rsidTr="00075001">
        <w:trPr>
          <w:trHeight w:hRule="exact" w:val="547"/>
        </w:trPr>
        <w:tc>
          <w:tcPr>
            <w:tcW w:w="1482" w:type="dxa"/>
            <w:vMerge w:val="restart"/>
          </w:tcPr>
          <w:p w14:paraId="0E38033B" w14:textId="77777777" w:rsidR="00075001" w:rsidRDefault="00075001" w:rsidP="00075001">
            <w:pPr>
              <w:pStyle w:val="TableParagraph"/>
              <w:ind w:left="0"/>
              <w:rPr>
                <w:b/>
              </w:rPr>
            </w:pPr>
          </w:p>
          <w:p w14:paraId="15E0964C" w14:textId="77777777" w:rsidR="00075001" w:rsidRDefault="00075001" w:rsidP="00075001">
            <w:pPr>
              <w:pStyle w:val="TableParagraph"/>
              <w:spacing w:before="136"/>
              <w:ind w:left="254" w:right="218"/>
            </w:pPr>
            <w:proofErr w:type="spellStart"/>
            <w:r>
              <w:t>Interpreta</w:t>
            </w:r>
            <w:proofErr w:type="spellEnd"/>
            <w:r>
              <w:t xml:space="preserve">- </w:t>
            </w:r>
            <w:proofErr w:type="spellStart"/>
            <w:r>
              <w:t>tion</w:t>
            </w:r>
            <w:proofErr w:type="spellEnd"/>
          </w:p>
        </w:tc>
        <w:tc>
          <w:tcPr>
            <w:tcW w:w="567" w:type="dxa"/>
          </w:tcPr>
          <w:p w14:paraId="63F2AD5C" w14:textId="77777777" w:rsidR="00075001" w:rsidRDefault="00075001" w:rsidP="00075001">
            <w:pPr>
              <w:pStyle w:val="TableParagraph"/>
              <w:spacing w:before="131"/>
              <w:ind w:left="95" w:right="73"/>
              <w:jc w:val="center"/>
            </w:pPr>
            <w:r>
              <w:t>19a</w:t>
            </w:r>
          </w:p>
        </w:tc>
        <w:tc>
          <w:tcPr>
            <w:tcW w:w="567" w:type="dxa"/>
          </w:tcPr>
          <w:p w14:paraId="6FF194C3" w14:textId="77777777" w:rsidR="00075001" w:rsidRDefault="00075001" w:rsidP="00075001">
            <w:pPr>
              <w:pStyle w:val="TableParagraph"/>
              <w:spacing w:before="131"/>
              <w:ind w:left="0" w:right="102"/>
              <w:jc w:val="right"/>
            </w:pPr>
            <w:r>
              <w:t>V</w:t>
            </w:r>
          </w:p>
        </w:tc>
        <w:tc>
          <w:tcPr>
            <w:tcW w:w="6026" w:type="dxa"/>
          </w:tcPr>
          <w:p w14:paraId="21E4DDB9" w14:textId="77777777" w:rsidR="00075001" w:rsidRDefault="00075001" w:rsidP="00075001">
            <w:pPr>
              <w:pStyle w:val="TableParagraph"/>
              <w:ind w:left="136" w:right="631"/>
            </w:pPr>
            <w:r>
              <w:t>Mentions the results with reference to performance in the development data, and any other validation data.</w:t>
            </w:r>
          </w:p>
        </w:tc>
        <w:tc>
          <w:tcPr>
            <w:tcW w:w="1119" w:type="dxa"/>
          </w:tcPr>
          <w:p w14:paraId="641AD6CD" w14:textId="77777777" w:rsidR="00075001" w:rsidRDefault="00075001" w:rsidP="00075001">
            <w:pPr>
              <w:pStyle w:val="TableParagraph"/>
              <w:spacing w:before="131"/>
              <w:ind w:left="314"/>
            </w:pPr>
            <w:r>
              <w:rPr>
                <w:color w:val="BFBFBF"/>
              </w:rPr>
              <w:t>16-18</w:t>
            </w:r>
          </w:p>
        </w:tc>
      </w:tr>
      <w:tr w:rsidR="00075001" w14:paraId="30D54407" w14:textId="77777777" w:rsidTr="00075001">
        <w:trPr>
          <w:trHeight w:hRule="exact" w:val="816"/>
        </w:trPr>
        <w:tc>
          <w:tcPr>
            <w:tcW w:w="1482" w:type="dxa"/>
            <w:vMerge/>
          </w:tcPr>
          <w:p w14:paraId="051339F4" w14:textId="77777777" w:rsidR="00075001" w:rsidRDefault="00075001" w:rsidP="00075001"/>
        </w:tc>
        <w:tc>
          <w:tcPr>
            <w:tcW w:w="567" w:type="dxa"/>
          </w:tcPr>
          <w:p w14:paraId="4DA2F9B7" w14:textId="77777777" w:rsidR="00075001" w:rsidRDefault="00075001" w:rsidP="00075001">
            <w:pPr>
              <w:pStyle w:val="TableParagraph"/>
              <w:spacing w:before="9"/>
              <w:ind w:left="0"/>
              <w:rPr>
                <w:b/>
                <w:sz w:val="21"/>
              </w:rPr>
            </w:pPr>
          </w:p>
          <w:p w14:paraId="0052C48A" w14:textId="77777777" w:rsidR="00075001" w:rsidRDefault="00075001" w:rsidP="00075001">
            <w:pPr>
              <w:pStyle w:val="TableParagraph"/>
              <w:ind w:left="94" w:right="82"/>
              <w:jc w:val="center"/>
            </w:pPr>
            <w:r>
              <w:t>19b</w:t>
            </w:r>
          </w:p>
        </w:tc>
        <w:tc>
          <w:tcPr>
            <w:tcW w:w="567" w:type="dxa"/>
          </w:tcPr>
          <w:p w14:paraId="024A9A8F" w14:textId="77777777" w:rsidR="00075001" w:rsidRDefault="00075001" w:rsidP="00075001">
            <w:pPr>
              <w:pStyle w:val="TableParagraph"/>
              <w:spacing w:before="9"/>
              <w:ind w:left="0"/>
              <w:rPr>
                <w:b/>
                <w:sz w:val="21"/>
              </w:rPr>
            </w:pPr>
          </w:p>
          <w:p w14:paraId="03180AD0" w14:textId="77777777" w:rsidR="00075001" w:rsidRDefault="00075001" w:rsidP="00075001">
            <w:pPr>
              <w:pStyle w:val="TableParagraph"/>
              <w:ind w:left="0" w:right="101"/>
              <w:jc w:val="right"/>
            </w:pPr>
            <w:proofErr w:type="gramStart"/>
            <w:r>
              <w:t>D;V</w:t>
            </w:r>
            <w:proofErr w:type="gramEnd"/>
          </w:p>
        </w:tc>
        <w:tc>
          <w:tcPr>
            <w:tcW w:w="6026" w:type="dxa"/>
          </w:tcPr>
          <w:p w14:paraId="4C638B84" w14:textId="77777777" w:rsidR="00075001" w:rsidRDefault="00075001" w:rsidP="00075001">
            <w:pPr>
              <w:pStyle w:val="TableParagraph"/>
              <w:ind w:left="136" w:right="399"/>
            </w:pPr>
            <w:r>
              <w:t>Gives an overall interpretation of the results, and considers objectives, limitations, results from similar studies, and other relevant evidence.</w:t>
            </w:r>
          </w:p>
        </w:tc>
        <w:tc>
          <w:tcPr>
            <w:tcW w:w="1119" w:type="dxa"/>
          </w:tcPr>
          <w:p w14:paraId="21EC2939" w14:textId="77777777" w:rsidR="00075001" w:rsidRDefault="00075001" w:rsidP="00075001">
            <w:pPr>
              <w:pStyle w:val="TableParagraph"/>
              <w:spacing w:before="9"/>
              <w:ind w:left="0"/>
              <w:rPr>
                <w:b/>
                <w:sz w:val="21"/>
              </w:rPr>
            </w:pPr>
          </w:p>
          <w:p w14:paraId="7BF63ED4" w14:textId="77777777" w:rsidR="00075001" w:rsidRDefault="00075001" w:rsidP="00075001">
            <w:pPr>
              <w:pStyle w:val="TableParagraph"/>
              <w:ind w:left="297"/>
            </w:pPr>
            <w:r>
              <w:rPr>
                <w:color w:val="BFBFBF"/>
              </w:rPr>
              <w:t>16-18</w:t>
            </w:r>
          </w:p>
        </w:tc>
      </w:tr>
      <w:tr w:rsidR="00075001" w14:paraId="2E428AA6" w14:textId="77777777" w:rsidTr="00075001">
        <w:trPr>
          <w:trHeight w:hRule="exact" w:val="547"/>
        </w:trPr>
        <w:tc>
          <w:tcPr>
            <w:tcW w:w="1482" w:type="dxa"/>
          </w:tcPr>
          <w:p w14:paraId="009F8183" w14:textId="77777777" w:rsidR="00075001" w:rsidRDefault="00075001" w:rsidP="00075001">
            <w:pPr>
              <w:pStyle w:val="TableParagraph"/>
              <w:spacing w:before="131"/>
              <w:ind w:left="254"/>
            </w:pPr>
            <w:r>
              <w:t>Implications</w:t>
            </w:r>
          </w:p>
        </w:tc>
        <w:tc>
          <w:tcPr>
            <w:tcW w:w="567" w:type="dxa"/>
          </w:tcPr>
          <w:p w14:paraId="02381E37" w14:textId="77777777" w:rsidR="00075001" w:rsidRDefault="00075001" w:rsidP="00075001">
            <w:pPr>
              <w:pStyle w:val="TableParagraph"/>
              <w:spacing w:before="131"/>
              <w:ind w:left="206" w:right="78"/>
              <w:jc w:val="center"/>
            </w:pPr>
            <w:r>
              <w:t>20</w:t>
            </w:r>
          </w:p>
        </w:tc>
        <w:tc>
          <w:tcPr>
            <w:tcW w:w="567" w:type="dxa"/>
          </w:tcPr>
          <w:p w14:paraId="3DEBCA1F" w14:textId="77777777" w:rsidR="00075001" w:rsidRDefault="00075001" w:rsidP="00075001">
            <w:pPr>
              <w:pStyle w:val="TableParagraph"/>
              <w:spacing w:before="131"/>
              <w:ind w:left="0" w:right="101"/>
              <w:jc w:val="right"/>
            </w:pPr>
            <w:proofErr w:type="gramStart"/>
            <w:r>
              <w:t>D;V</w:t>
            </w:r>
            <w:proofErr w:type="gramEnd"/>
          </w:p>
        </w:tc>
        <w:tc>
          <w:tcPr>
            <w:tcW w:w="6026" w:type="dxa"/>
          </w:tcPr>
          <w:p w14:paraId="19B5D7B3" w14:textId="77777777" w:rsidR="00075001" w:rsidRDefault="00075001" w:rsidP="00075001">
            <w:pPr>
              <w:pStyle w:val="TableParagraph"/>
              <w:ind w:left="136" w:right="1199"/>
            </w:pPr>
            <w:r>
              <w:t>Discusses the potential clinical use of the model and implications for future research.</w:t>
            </w:r>
          </w:p>
        </w:tc>
        <w:tc>
          <w:tcPr>
            <w:tcW w:w="1119" w:type="dxa"/>
          </w:tcPr>
          <w:p w14:paraId="70209D61" w14:textId="77777777" w:rsidR="00075001" w:rsidRDefault="00075001" w:rsidP="00075001">
            <w:pPr>
              <w:pStyle w:val="TableParagraph"/>
              <w:spacing w:before="131"/>
              <w:ind w:left="86" w:right="86"/>
              <w:jc w:val="center"/>
            </w:pPr>
            <w:r>
              <w:rPr>
                <w:color w:val="BFBFBF"/>
              </w:rPr>
              <w:t>18</w:t>
            </w:r>
          </w:p>
        </w:tc>
      </w:tr>
      <w:tr w:rsidR="00075001" w14:paraId="78EDCFD6" w14:textId="77777777" w:rsidTr="00075001">
        <w:trPr>
          <w:trHeight w:hRule="exact" w:val="279"/>
        </w:trPr>
        <w:tc>
          <w:tcPr>
            <w:tcW w:w="9761" w:type="dxa"/>
            <w:gridSpan w:val="5"/>
            <w:shd w:val="clear" w:color="auto" w:fill="F6CBAC"/>
          </w:tcPr>
          <w:p w14:paraId="49CDD83F" w14:textId="77777777" w:rsidR="00075001" w:rsidRDefault="00075001" w:rsidP="00075001">
            <w:pPr>
              <w:pStyle w:val="TableParagraph"/>
              <w:spacing w:line="266" w:lineRule="exact"/>
              <w:rPr>
                <w:b/>
              </w:rPr>
            </w:pPr>
            <w:r>
              <w:rPr>
                <w:b/>
              </w:rPr>
              <w:t>Other information</w:t>
            </w:r>
          </w:p>
        </w:tc>
      </w:tr>
      <w:tr w:rsidR="00075001" w14:paraId="25BCB47D" w14:textId="77777777" w:rsidTr="00075001">
        <w:trPr>
          <w:trHeight w:hRule="exact" w:val="1084"/>
        </w:trPr>
        <w:tc>
          <w:tcPr>
            <w:tcW w:w="1482" w:type="dxa"/>
          </w:tcPr>
          <w:p w14:paraId="564B349C" w14:textId="77777777" w:rsidR="00075001" w:rsidRDefault="00075001" w:rsidP="00075001">
            <w:pPr>
              <w:pStyle w:val="TableParagraph"/>
              <w:ind w:left="254" w:right="135"/>
            </w:pPr>
            <w:r>
              <w:t xml:space="preserve">Supple- </w:t>
            </w:r>
            <w:proofErr w:type="spellStart"/>
            <w:r>
              <w:t>mentary</w:t>
            </w:r>
            <w:proofErr w:type="spellEnd"/>
            <w:r>
              <w:t xml:space="preserve"> information</w:t>
            </w:r>
          </w:p>
        </w:tc>
        <w:tc>
          <w:tcPr>
            <w:tcW w:w="567" w:type="dxa"/>
          </w:tcPr>
          <w:p w14:paraId="1E2E25DB" w14:textId="77777777" w:rsidR="00075001" w:rsidRDefault="00075001" w:rsidP="00075001">
            <w:pPr>
              <w:pStyle w:val="TableParagraph"/>
              <w:spacing w:before="9"/>
              <w:ind w:left="0"/>
              <w:rPr>
                <w:b/>
                <w:sz w:val="32"/>
              </w:rPr>
            </w:pPr>
          </w:p>
          <w:p w14:paraId="6B6F0C96" w14:textId="77777777" w:rsidR="00075001" w:rsidRDefault="00075001" w:rsidP="00075001">
            <w:pPr>
              <w:pStyle w:val="TableParagraph"/>
              <w:ind w:left="206" w:right="78"/>
              <w:jc w:val="center"/>
            </w:pPr>
            <w:r>
              <w:t>21</w:t>
            </w:r>
          </w:p>
        </w:tc>
        <w:tc>
          <w:tcPr>
            <w:tcW w:w="567" w:type="dxa"/>
          </w:tcPr>
          <w:p w14:paraId="1E42C204" w14:textId="77777777" w:rsidR="00075001" w:rsidRDefault="00075001" w:rsidP="00075001">
            <w:pPr>
              <w:pStyle w:val="TableParagraph"/>
              <w:spacing w:before="9"/>
              <w:ind w:left="0"/>
              <w:rPr>
                <w:b/>
                <w:sz w:val="32"/>
              </w:rPr>
            </w:pPr>
          </w:p>
          <w:p w14:paraId="0219E01C" w14:textId="77777777" w:rsidR="00075001" w:rsidRDefault="00075001" w:rsidP="00075001">
            <w:pPr>
              <w:pStyle w:val="TableParagraph"/>
              <w:ind w:left="0" w:right="101"/>
              <w:jc w:val="right"/>
            </w:pPr>
            <w:proofErr w:type="gramStart"/>
            <w:r>
              <w:t>D;V</w:t>
            </w:r>
            <w:proofErr w:type="gramEnd"/>
          </w:p>
        </w:tc>
        <w:tc>
          <w:tcPr>
            <w:tcW w:w="6026" w:type="dxa"/>
          </w:tcPr>
          <w:p w14:paraId="35B73EAE" w14:textId="77777777" w:rsidR="00075001" w:rsidRDefault="00075001" w:rsidP="00075001">
            <w:pPr>
              <w:pStyle w:val="TableParagraph"/>
              <w:spacing w:before="9"/>
              <w:ind w:left="0"/>
              <w:rPr>
                <w:b/>
                <w:sz w:val="21"/>
              </w:rPr>
            </w:pPr>
          </w:p>
          <w:p w14:paraId="51EC6F01" w14:textId="77777777" w:rsidR="00075001" w:rsidRDefault="00075001" w:rsidP="00075001">
            <w:pPr>
              <w:pStyle w:val="TableParagraph"/>
              <w:ind w:right="202"/>
            </w:pPr>
            <w:r>
              <w:t>Provides information on the availability of supplementary resources, such as study protocol, web calculator, and datasets.</w:t>
            </w:r>
          </w:p>
        </w:tc>
        <w:tc>
          <w:tcPr>
            <w:tcW w:w="1119" w:type="dxa"/>
          </w:tcPr>
          <w:p w14:paraId="766B6961" w14:textId="77777777" w:rsidR="00075001" w:rsidRDefault="00075001" w:rsidP="00075001">
            <w:pPr>
              <w:pStyle w:val="TableParagraph"/>
              <w:spacing w:line="266" w:lineRule="exact"/>
              <w:ind w:left="0"/>
              <w:jc w:val="center"/>
            </w:pPr>
            <w:r>
              <w:rPr>
                <w:color w:val="BFBFBF"/>
              </w:rPr>
              <w:t>8</w:t>
            </w:r>
          </w:p>
          <w:p w14:paraId="11B69D49" w14:textId="77777777" w:rsidR="00075001" w:rsidRDefault="00075001" w:rsidP="00075001">
            <w:pPr>
              <w:pStyle w:val="TableParagraph"/>
              <w:ind w:left="176" w:right="174" w:firstLine="7"/>
              <w:jc w:val="both"/>
            </w:pPr>
            <w:r>
              <w:rPr>
                <w:color w:val="BFBFBF"/>
              </w:rPr>
              <w:t xml:space="preserve">(Supple- </w:t>
            </w:r>
            <w:proofErr w:type="spellStart"/>
            <w:r>
              <w:rPr>
                <w:color w:val="BFBFBF"/>
              </w:rPr>
              <w:t>mentary</w:t>
            </w:r>
            <w:proofErr w:type="spellEnd"/>
            <w:r>
              <w:rPr>
                <w:color w:val="BFBFBF"/>
              </w:rPr>
              <w:t xml:space="preserve"> table 1)</w:t>
            </w:r>
          </w:p>
        </w:tc>
      </w:tr>
      <w:tr w:rsidR="00075001" w14:paraId="50652CBE" w14:textId="77777777" w:rsidTr="00075001">
        <w:trPr>
          <w:trHeight w:hRule="exact" w:val="547"/>
        </w:trPr>
        <w:tc>
          <w:tcPr>
            <w:tcW w:w="1482" w:type="dxa"/>
          </w:tcPr>
          <w:p w14:paraId="5364F760" w14:textId="77777777" w:rsidR="00075001" w:rsidRDefault="00075001" w:rsidP="00075001">
            <w:pPr>
              <w:pStyle w:val="TableParagraph"/>
              <w:spacing w:line="266" w:lineRule="exact"/>
              <w:ind w:left="254"/>
            </w:pPr>
            <w:r>
              <w:t>Funding</w:t>
            </w:r>
          </w:p>
        </w:tc>
        <w:tc>
          <w:tcPr>
            <w:tcW w:w="567" w:type="dxa"/>
          </w:tcPr>
          <w:p w14:paraId="63730127" w14:textId="77777777" w:rsidR="00075001" w:rsidRDefault="00075001" w:rsidP="00075001">
            <w:pPr>
              <w:pStyle w:val="TableParagraph"/>
              <w:spacing w:before="131"/>
              <w:ind w:left="206" w:right="78"/>
              <w:jc w:val="center"/>
            </w:pPr>
            <w:r>
              <w:t>22</w:t>
            </w:r>
          </w:p>
        </w:tc>
        <w:tc>
          <w:tcPr>
            <w:tcW w:w="567" w:type="dxa"/>
          </w:tcPr>
          <w:p w14:paraId="4E0028DB" w14:textId="77777777" w:rsidR="00075001" w:rsidRDefault="00075001" w:rsidP="00075001">
            <w:pPr>
              <w:pStyle w:val="TableParagraph"/>
              <w:spacing w:before="131"/>
              <w:ind w:left="0" w:right="101"/>
              <w:jc w:val="right"/>
            </w:pPr>
            <w:proofErr w:type="gramStart"/>
            <w:r>
              <w:t>D;V</w:t>
            </w:r>
            <w:proofErr w:type="gramEnd"/>
          </w:p>
        </w:tc>
        <w:tc>
          <w:tcPr>
            <w:tcW w:w="6026" w:type="dxa"/>
          </w:tcPr>
          <w:p w14:paraId="772C44C7" w14:textId="77777777" w:rsidR="00075001" w:rsidRDefault="00075001" w:rsidP="00075001">
            <w:pPr>
              <w:pStyle w:val="TableParagraph"/>
              <w:ind w:right="335"/>
            </w:pPr>
            <w:r>
              <w:t>Gives the source of funding and the role of the funders for the present study.</w:t>
            </w:r>
          </w:p>
        </w:tc>
        <w:tc>
          <w:tcPr>
            <w:tcW w:w="1119" w:type="dxa"/>
          </w:tcPr>
          <w:p w14:paraId="785783B8" w14:textId="77777777" w:rsidR="00075001" w:rsidRDefault="00075001" w:rsidP="00075001">
            <w:pPr>
              <w:pStyle w:val="TableParagraph"/>
              <w:spacing w:before="131"/>
              <w:ind w:left="86" w:right="86"/>
              <w:jc w:val="center"/>
            </w:pPr>
            <w:r>
              <w:rPr>
                <w:color w:val="BFBFBF"/>
              </w:rPr>
              <w:t>19</w:t>
            </w:r>
          </w:p>
        </w:tc>
      </w:tr>
    </w:tbl>
    <w:p w14:paraId="54725B73" w14:textId="77777777" w:rsidR="00075001" w:rsidRDefault="00075001" w:rsidP="00075001">
      <w:pPr>
        <w:pStyle w:val="BodyText"/>
        <w:spacing w:before="2"/>
        <w:rPr>
          <w:b/>
          <w:sz w:val="17"/>
        </w:rPr>
      </w:pPr>
    </w:p>
    <w:p w14:paraId="422B303B" w14:textId="77777777" w:rsidR="00075001" w:rsidRDefault="00075001" w:rsidP="00075001">
      <w:pPr>
        <w:pStyle w:val="BodyText"/>
        <w:spacing w:before="56"/>
        <w:ind w:left="110"/>
      </w:pPr>
      <w:r>
        <w:t>n/a = not applicable</w:t>
      </w:r>
    </w:p>
    <w:p w14:paraId="0DE61F07" w14:textId="77777777" w:rsidR="00075001" w:rsidRDefault="00075001" w:rsidP="00075001">
      <w:pPr>
        <w:sectPr w:rsidR="00075001">
          <w:headerReference w:type="default" r:id="rId25"/>
          <w:footerReference w:type="default" r:id="rId26"/>
          <w:pgSz w:w="11900" w:h="16840"/>
          <w:pgMar w:top="1420" w:right="940" w:bottom="280" w:left="740" w:header="0" w:footer="0" w:gutter="0"/>
          <w:cols w:space="720"/>
        </w:sectPr>
      </w:pPr>
    </w:p>
    <w:p w14:paraId="50410FFB" w14:textId="77777777" w:rsidR="00075001" w:rsidRDefault="00075001" w:rsidP="00075001">
      <w:pPr>
        <w:pStyle w:val="BodyText"/>
        <w:spacing w:before="37"/>
        <w:ind w:left="110"/>
      </w:pPr>
      <w:r>
        <w:lastRenderedPageBreak/>
        <w:t xml:space="preserve">*Items relevant only to the development of a prediction model are denoted by D, items related solely to a validation of a prediction model are denoted by V, and items related to both are denoted </w:t>
      </w:r>
      <w:proofErr w:type="gramStart"/>
      <w:r>
        <w:t>D;V.</w:t>
      </w:r>
      <w:proofErr w:type="gramEnd"/>
      <w:r>
        <w:t xml:space="preserve"> We recommend using the TRIPOD Checklist in conjunction with the TRIPOD Explanation and Elaboration document.</w:t>
      </w:r>
    </w:p>
    <w:p w14:paraId="6B0EF21D" w14:textId="77777777" w:rsidR="00075001" w:rsidRDefault="00075001" w:rsidP="00075001">
      <w:pPr>
        <w:sectPr w:rsidR="00075001">
          <w:headerReference w:type="even" r:id="rId27"/>
          <w:footerReference w:type="even" r:id="rId28"/>
          <w:pgSz w:w="11900" w:h="16840"/>
          <w:pgMar w:top="1380" w:right="1000" w:bottom="280" w:left="740" w:header="0" w:footer="0" w:gutter="0"/>
          <w:cols w:space="720"/>
        </w:sectPr>
      </w:pPr>
    </w:p>
    <w:p w14:paraId="2376135C" w14:textId="77777777" w:rsidR="00075001" w:rsidRPr="00BE21F9" w:rsidRDefault="00075001" w:rsidP="00075001">
      <w:pPr>
        <w:spacing w:before="56"/>
        <w:ind w:left="118"/>
        <w:rPr>
          <w:rFonts w:asciiTheme="minorHAnsi" w:hAnsiTheme="minorHAnsi" w:cstheme="minorHAnsi"/>
          <w:b/>
        </w:rPr>
      </w:pPr>
      <w:proofErr w:type="spellStart"/>
      <w:r w:rsidRPr="00BE21F9">
        <w:rPr>
          <w:rFonts w:asciiTheme="minorHAnsi" w:hAnsiTheme="minorHAnsi" w:cstheme="minorHAnsi"/>
          <w:b/>
          <w:sz w:val="22"/>
        </w:rPr>
        <w:lastRenderedPageBreak/>
        <w:t>Supplemental</w:t>
      </w:r>
      <w:proofErr w:type="spellEnd"/>
      <w:r w:rsidRPr="00BE21F9">
        <w:rPr>
          <w:rFonts w:asciiTheme="minorHAnsi" w:hAnsiTheme="minorHAnsi" w:cstheme="minorHAnsi"/>
          <w:b/>
          <w:sz w:val="22"/>
        </w:rPr>
        <w:t xml:space="preserve"> Table 4. </w:t>
      </w:r>
      <w:proofErr w:type="spellStart"/>
      <w:r w:rsidRPr="00BE21F9">
        <w:rPr>
          <w:rFonts w:asciiTheme="minorHAnsi" w:hAnsiTheme="minorHAnsi" w:cstheme="minorHAnsi"/>
          <w:b/>
          <w:sz w:val="22"/>
        </w:rPr>
        <w:t>Candidate</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prognostic</w:t>
      </w:r>
      <w:proofErr w:type="spellEnd"/>
      <w:r w:rsidRPr="00BE21F9">
        <w:rPr>
          <w:rFonts w:asciiTheme="minorHAnsi" w:hAnsiTheme="minorHAnsi" w:cstheme="minorHAnsi"/>
          <w:b/>
          <w:sz w:val="22"/>
        </w:rPr>
        <w:t xml:space="preserve"> variables and </w:t>
      </w:r>
      <w:proofErr w:type="spellStart"/>
      <w:r w:rsidRPr="00BE21F9">
        <w:rPr>
          <w:rFonts w:asciiTheme="minorHAnsi" w:hAnsiTheme="minorHAnsi" w:cstheme="minorHAnsi"/>
          <w:b/>
          <w:sz w:val="22"/>
        </w:rPr>
        <w:t>univariable</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associations</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with</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dHRQoL</w:t>
      </w:r>
      <w:proofErr w:type="spellEnd"/>
    </w:p>
    <w:p w14:paraId="03D1773C" w14:textId="77777777" w:rsidR="00075001" w:rsidRDefault="00075001" w:rsidP="00075001">
      <w:pPr>
        <w:pStyle w:val="BodyText"/>
        <w:spacing w:before="7"/>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9"/>
        <w:gridCol w:w="1843"/>
        <w:gridCol w:w="1984"/>
        <w:gridCol w:w="1701"/>
      </w:tblGrid>
      <w:tr w:rsidR="00075001" w14:paraId="2B5174AC" w14:textId="77777777" w:rsidTr="00075001">
        <w:trPr>
          <w:trHeight w:hRule="exact" w:val="816"/>
        </w:trPr>
        <w:tc>
          <w:tcPr>
            <w:tcW w:w="9209" w:type="dxa"/>
          </w:tcPr>
          <w:p w14:paraId="15D7DEDD" w14:textId="77777777" w:rsidR="00075001" w:rsidRDefault="00075001" w:rsidP="00075001">
            <w:pPr>
              <w:pStyle w:val="TableParagraph"/>
              <w:rPr>
                <w:b/>
              </w:rPr>
            </w:pPr>
            <w:r>
              <w:rPr>
                <w:b/>
              </w:rPr>
              <w:t>Candidate prognostic variable</w:t>
            </w:r>
          </w:p>
        </w:tc>
        <w:tc>
          <w:tcPr>
            <w:tcW w:w="3827" w:type="dxa"/>
            <w:gridSpan w:val="2"/>
          </w:tcPr>
          <w:p w14:paraId="158D8241" w14:textId="77777777" w:rsidR="00075001" w:rsidRDefault="00075001" w:rsidP="00075001">
            <w:pPr>
              <w:pStyle w:val="TableParagraph"/>
              <w:ind w:left="255"/>
              <w:rPr>
                <w:b/>
              </w:rPr>
            </w:pPr>
            <w:proofErr w:type="spellStart"/>
            <w:r>
              <w:rPr>
                <w:b/>
              </w:rPr>
              <w:t>dHRQoL</w:t>
            </w:r>
            <w:proofErr w:type="spellEnd"/>
            <w:r>
              <w:rPr>
                <w:b/>
              </w:rPr>
              <w:t xml:space="preserve"> (complete-case population)</w:t>
            </w:r>
          </w:p>
        </w:tc>
        <w:tc>
          <w:tcPr>
            <w:tcW w:w="1701" w:type="dxa"/>
          </w:tcPr>
          <w:p w14:paraId="70CAB367" w14:textId="77777777" w:rsidR="00075001" w:rsidRDefault="00075001" w:rsidP="00075001">
            <w:pPr>
              <w:pStyle w:val="TableParagraph"/>
              <w:ind w:left="102" w:right="559"/>
              <w:jc w:val="both"/>
              <w:rPr>
                <w:b/>
              </w:rPr>
            </w:pPr>
            <w:r>
              <w:rPr>
                <w:b/>
              </w:rPr>
              <w:t>Descriptive univariable p-value</w:t>
            </w:r>
          </w:p>
        </w:tc>
      </w:tr>
      <w:tr w:rsidR="00075001" w14:paraId="2D37299B" w14:textId="77777777" w:rsidTr="00075001">
        <w:trPr>
          <w:trHeight w:hRule="exact" w:val="547"/>
        </w:trPr>
        <w:tc>
          <w:tcPr>
            <w:tcW w:w="9209" w:type="dxa"/>
          </w:tcPr>
          <w:p w14:paraId="6EF5C6DE" w14:textId="77777777" w:rsidR="00075001" w:rsidRDefault="00075001" w:rsidP="00075001">
            <w:pPr>
              <w:pStyle w:val="TableParagraph"/>
              <w:rPr>
                <w:b/>
              </w:rPr>
            </w:pPr>
            <w:r>
              <w:rPr>
                <w:b/>
              </w:rPr>
              <w:t>Sociodemographic and lifestyle-related</w:t>
            </w:r>
          </w:p>
        </w:tc>
        <w:tc>
          <w:tcPr>
            <w:tcW w:w="1843" w:type="dxa"/>
          </w:tcPr>
          <w:p w14:paraId="65DB316D" w14:textId="77777777" w:rsidR="00075001" w:rsidRDefault="00075001" w:rsidP="00075001">
            <w:pPr>
              <w:pStyle w:val="TableParagraph"/>
              <w:rPr>
                <w:b/>
              </w:rPr>
            </w:pPr>
            <w:r>
              <w:rPr>
                <w:b/>
              </w:rPr>
              <w:t>No</w:t>
            </w:r>
          </w:p>
          <w:p w14:paraId="25040954" w14:textId="77777777" w:rsidR="00075001" w:rsidRDefault="00075001" w:rsidP="00075001">
            <w:pPr>
              <w:pStyle w:val="TableParagraph"/>
              <w:rPr>
                <w:b/>
              </w:rPr>
            </w:pPr>
            <w:r>
              <w:rPr>
                <w:b/>
              </w:rPr>
              <w:t>n = 2,536</w:t>
            </w:r>
          </w:p>
        </w:tc>
        <w:tc>
          <w:tcPr>
            <w:tcW w:w="1984" w:type="dxa"/>
          </w:tcPr>
          <w:p w14:paraId="26E6901E" w14:textId="77777777" w:rsidR="00075001" w:rsidRDefault="00075001" w:rsidP="00075001">
            <w:pPr>
              <w:pStyle w:val="TableParagraph"/>
              <w:ind w:left="102"/>
              <w:rPr>
                <w:b/>
              </w:rPr>
            </w:pPr>
            <w:r>
              <w:rPr>
                <w:b/>
              </w:rPr>
              <w:t>Yes</w:t>
            </w:r>
          </w:p>
          <w:p w14:paraId="76339601" w14:textId="77777777" w:rsidR="00075001" w:rsidRDefault="00075001" w:rsidP="00075001">
            <w:pPr>
              <w:pStyle w:val="TableParagraph"/>
              <w:ind w:left="102"/>
              <w:rPr>
                <w:b/>
              </w:rPr>
            </w:pPr>
            <w:r>
              <w:rPr>
                <w:b/>
              </w:rPr>
              <w:t>n = 1,046</w:t>
            </w:r>
          </w:p>
        </w:tc>
        <w:tc>
          <w:tcPr>
            <w:tcW w:w="1701" w:type="dxa"/>
          </w:tcPr>
          <w:p w14:paraId="340E8CAA" w14:textId="77777777" w:rsidR="00075001" w:rsidRDefault="00075001" w:rsidP="00075001"/>
        </w:tc>
      </w:tr>
      <w:tr w:rsidR="00075001" w14:paraId="53707922" w14:textId="77777777" w:rsidTr="00075001">
        <w:trPr>
          <w:trHeight w:hRule="exact" w:val="279"/>
        </w:trPr>
        <w:tc>
          <w:tcPr>
            <w:tcW w:w="9209" w:type="dxa"/>
            <w:tcBorders>
              <w:right w:val="nil"/>
            </w:tcBorders>
          </w:tcPr>
          <w:p w14:paraId="3843DC9A" w14:textId="77777777" w:rsidR="00075001" w:rsidRDefault="00075001" w:rsidP="00075001">
            <w:pPr>
              <w:pStyle w:val="TableParagraph"/>
            </w:pPr>
            <w:r>
              <w:t>Age - Mean (SD)</w:t>
            </w:r>
          </w:p>
        </w:tc>
        <w:tc>
          <w:tcPr>
            <w:tcW w:w="1843" w:type="dxa"/>
            <w:tcBorders>
              <w:left w:val="nil"/>
              <w:right w:val="nil"/>
            </w:tcBorders>
          </w:tcPr>
          <w:p w14:paraId="1E72C9C1" w14:textId="77777777" w:rsidR="00075001" w:rsidRDefault="00075001" w:rsidP="00075001">
            <w:pPr>
              <w:pStyle w:val="TableParagraph"/>
              <w:ind w:left="108"/>
            </w:pPr>
            <w:r>
              <w:t>77.2 (6.8)</w:t>
            </w:r>
          </w:p>
        </w:tc>
        <w:tc>
          <w:tcPr>
            <w:tcW w:w="1984" w:type="dxa"/>
            <w:tcBorders>
              <w:left w:val="nil"/>
              <w:right w:val="nil"/>
            </w:tcBorders>
          </w:tcPr>
          <w:p w14:paraId="34B2A15E" w14:textId="77777777" w:rsidR="00075001" w:rsidRDefault="00075001" w:rsidP="00075001">
            <w:pPr>
              <w:pStyle w:val="TableParagraph"/>
              <w:ind w:left="107"/>
            </w:pPr>
            <w:r>
              <w:t>78.3 (6.9)</w:t>
            </w:r>
          </w:p>
        </w:tc>
        <w:tc>
          <w:tcPr>
            <w:tcW w:w="1701" w:type="dxa"/>
            <w:tcBorders>
              <w:left w:val="nil"/>
            </w:tcBorders>
          </w:tcPr>
          <w:p w14:paraId="43E56C17" w14:textId="77777777" w:rsidR="00075001" w:rsidRDefault="00075001" w:rsidP="00075001">
            <w:pPr>
              <w:pStyle w:val="TableParagraph"/>
              <w:ind w:left="107"/>
            </w:pPr>
            <w:r>
              <w:t>&lt; 0.001</w:t>
            </w:r>
          </w:p>
        </w:tc>
      </w:tr>
      <w:tr w:rsidR="00075001" w14:paraId="2C431AF9" w14:textId="77777777" w:rsidTr="00075001">
        <w:trPr>
          <w:trHeight w:hRule="exact" w:val="279"/>
        </w:trPr>
        <w:tc>
          <w:tcPr>
            <w:tcW w:w="9209" w:type="dxa"/>
            <w:tcBorders>
              <w:right w:val="nil"/>
            </w:tcBorders>
          </w:tcPr>
          <w:p w14:paraId="1CE3F1D5" w14:textId="77777777" w:rsidR="00075001" w:rsidRDefault="00075001" w:rsidP="00075001">
            <w:pPr>
              <w:pStyle w:val="TableParagraph"/>
            </w:pPr>
            <w:r>
              <w:t>Sex (female) - Frequency (%)</w:t>
            </w:r>
          </w:p>
        </w:tc>
        <w:tc>
          <w:tcPr>
            <w:tcW w:w="1843" w:type="dxa"/>
            <w:tcBorders>
              <w:left w:val="nil"/>
              <w:right w:val="nil"/>
            </w:tcBorders>
          </w:tcPr>
          <w:p w14:paraId="6FC1421B" w14:textId="77777777" w:rsidR="00075001" w:rsidRDefault="00075001" w:rsidP="00075001">
            <w:pPr>
              <w:pStyle w:val="TableParagraph"/>
              <w:ind w:left="108"/>
            </w:pPr>
            <w:r>
              <w:t>1,449 (57.1)</w:t>
            </w:r>
          </w:p>
        </w:tc>
        <w:tc>
          <w:tcPr>
            <w:tcW w:w="1984" w:type="dxa"/>
            <w:tcBorders>
              <w:left w:val="nil"/>
              <w:right w:val="nil"/>
            </w:tcBorders>
          </w:tcPr>
          <w:p w14:paraId="6411FBD2" w14:textId="77777777" w:rsidR="00075001" w:rsidRDefault="00075001" w:rsidP="00075001">
            <w:pPr>
              <w:pStyle w:val="TableParagraph"/>
              <w:ind w:left="107"/>
            </w:pPr>
            <w:r>
              <w:t>627 (59.9)</w:t>
            </w:r>
          </w:p>
        </w:tc>
        <w:tc>
          <w:tcPr>
            <w:tcW w:w="1701" w:type="dxa"/>
            <w:tcBorders>
              <w:left w:val="nil"/>
            </w:tcBorders>
          </w:tcPr>
          <w:p w14:paraId="20F6846D" w14:textId="77777777" w:rsidR="00075001" w:rsidRDefault="00075001" w:rsidP="00075001">
            <w:pPr>
              <w:pStyle w:val="TableParagraph"/>
              <w:ind w:left="107"/>
            </w:pPr>
            <w:r>
              <w:t>0.122</w:t>
            </w:r>
          </w:p>
        </w:tc>
      </w:tr>
      <w:tr w:rsidR="00075001" w14:paraId="36867B44" w14:textId="77777777" w:rsidTr="00075001">
        <w:trPr>
          <w:trHeight w:hRule="exact" w:val="279"/>
        </w:trPr>
        <w:tc>
          <w:tcPr>
            <w:tcW w:w="9209" w:type="dxa"/>
            <w:tcBorders>
              <w:right w:val="nil"/>
            </w:tcBorders>
          </w:tcPr>
          <w:p w14:paraId="256E7FFA" w14:textId="77777777" w:rsidR="00075001" w:rsidRDefault="00075001" w:rsidP="00075001">
            <w:pPr>
              <w:pStyle w:val="TableParagraph"/>
            </w:pPr>
            <w:r>
              <w:t>Living situation (Institutionalized living) - Frequency (%)</w:t>
            </w:r>
          </w:p>
        </w:tc>
        <w:tc>
          <w:tcPr>
            <w:tcW w:w="1843" w:type="dxa"/>
            <w:tcBorders>
              <w:left w:val="nil"/>
              <w:right w:val="nil"/>
            </w:tcBorders>
          </w:tcPr>
          <w:p w14:paraId="1B30522B" w14:textId="77777777" w:rsidR="00075001" w:rsidRDefault="00075001" w:rsidP="00075001">
            <w:pPr>
              <w:pStyle w:val="TableParagraph"/>
              <w:ind w:left="108"/>
            </w:pPr>
            <w:r>
              <w:t>87 (3.4)</w:t>
            </w:r>
          </w:p>
        </w:tc>
        <w:tc>
          <w:tcPr>
            <w:tcW w:w="1984" w:type="dxa"/>
            <w:tcBorders>
              <w:left w:val="nil"/>
              <w:right w:val="nil"/>
            </w:tcBorders>
          </w:tcPr>
          <w:p w14:paraId="27CD05E0" w14:textId="77777777" w:rsidR="00075001" w:rsidRDefault="00075001" w:rsidP="00075001">
            <w:pPr>
              <w:pStyle w:val="TableParagraph"/>
              <w:ind w:left="107"/>
            </w:pPr>
            <w:r>
              <w:t>59 (5.6)</w:t>
            </w:r>
          </w:p>
        </w:tc>
        <w:tc>
          <w:tcPr>
            <w:tcW w:w="1701" w:type="dxa"/>
            <w:tcBorders>
              <w:left w:val="nil"/>
            </w:tcBorders>
          </w:tcPr>
          <w:p w14:paraId="7F673C6F" w14:textId="77777777" w:rsidR="00075001" w:rsidRDefault="00075001" w:rsidP="00075001">
            <w:pPr>
              <w:pStyle w:val="TableParagraph"/>
              <w:ind w:left="107"/>
            </w:pPr>
            <w:r>
              <w:t>0.003</w:t>
            </w:r>
          </w:p>
        </w:tc>
      </w:tr>
      <w:tr w:rsidR="00075001" w14:paraId="1246B19A" w14:textId="77777777" w:rsidTr="00075001">
        <w:trPr>
          <w:trHeight w:hRule="exact" w:val="279"/>
        </w:trPr>
        <w:tc>
          <w:tcPr>
            <w:tcW w:w="9209" w:type="dxa"/>
            <w:tcBorders>
              <w:right w:val="nil"/>
            </w:tcBorders>
          </w:tcPr>
          <w:p w14:paraId="6033ACCD" w14:textId="77777777" w:rsidR="00075001" w:rsidRDefault="00075001" w:rsidP="00075001">
            <w:pPr>
              <w:pStyle w:val="TableParagraph"/>
            </w:pPr>
            <w:r>
              <w:t>Educational level - Frequency (%)</w:t>
            </w:r>
          </w:p>
        </w:tc>
        <w:tc>
          <w:tcPr>
            <w:tcW w:w="1843" w:type="dxa"/>
            <w:tcBorders>
              <w:left w:val="nil"/>
              <w:right w:val="nil"/>
            </w:tcBorders>
          </w:tcPr>
          <w:p w14:paraId="39793127" w14:textId="77777777" w:rsidR="00075001" w:rsidRDefault="00075001" w:rsidP="00075001"/>
        </w:tc>
        <w:tc>
          <w:tcPr>
            <w:tcW w:w="1984" w:type="dxa"/>
            <w:tcBorders>
              <w:left w:val="nil"/>
              <w:right w:val="nil"/>
            </w:tcBorders>
          </w:tcPr>
          <w:p w14:paraId="795F8898" w14:textId="77777777" w:rsidR="00075001" w:rsidRDefault="00075001" w:rsidP="00075001"/>
        </w:tc>
        <w:tc>
          <w:tcPr>
            <w:tcW w:w="1701" w:type="dxa"/>
            <w:tcBorders>
              <w:left w:val="nil"/>
            </w:tcBorders>
          </w:tcPr>
          <w:p w14:paraId="610830D8" w14:textId="77777777" w:rsidR="00075001" w:rsidRDefault="00075001" w:rsidP="00075001"/>
        </w:tc>
      </w:tr>
      <w:tr w:rsidR="00075001" w14:paraId="329A329E" w14:textId="77777777" w:rsidTr="00075001">
        <w:trPr>
          <w:trHeight w:hRule="exact" w:val="279"/>
        </w:trPr>
        <w:tc>
          <w:tcPr>
            <w:tcW w:w="9209" w:type="dxa"/>
            <w:tcBorders>
              <w:right w:val="nil"/>
            </w:tcBorders>
          </w:tcPr>
          <w:p w14:paraId="3D182056" w14:textId="77777777" w:rsidR="00075001" w:rsidRDefault="00075001" w:rsidP="00075001">
            <w:pPr>
              <w:pStyle w:val="TableParagraph"/>
              <w:tabs>
                <w:tab w:val="left" w:pos="822"/>
              </w:tabs>
              <w:ind w:left="462"/>
            </w:pPr>
            <w:r>
              <w:t>-</w:t>
            </w:r>
            <w:r>
              <w:tab/>
              <w:t>Low</w:t>
            </w:r>
          </w:p>
        </w:tc>
        <w:tc>
          <w:tcPr>
            <w:tcW w:w="1843" w:type="dxa"/>
            <w:tcBorders>
              <w:left w:val="nil"/>
              <w:right w:val="nil"/>
            </w:tcBorders>
          </w:tcPr>
          <w:p w14:paraId="619D5057" w14:textId="77777777" w:rsidR="00075001" w:rsidRDefault="00075001" w:rsidP="00075001">
            <w:pPr>
              <w:pStyle w:val="TableParagraph"/>
              <w:ind w:left="108"/>
            </w:pPr>
            <w:r>
              <w:t>1,018 (40.1)</w:t>
            </w:r>
          </w:p>
        </w:tc>
        <w:tc>
          <w:tcPr>
            <w:tcW w:w="1984" w:type="dxa"/>
            <w:tcBorders>
              <w:left w:val="nil"/>
              <w:right w:val="nil"/>
            </w:tcBorders>
          </w:tcPr>
          <w:p w14:paraId="6B201649" w14:textId="77777777" w:rsidR="00075001" w:rsidRDefault="00075001" w:rsidP="00075001">
            <w:pPr>
              <w:pStyle w:val="TableParagraph"/>
              <w:ind w:left="107"/>
            </w:pPr>
            <w:r>
              <w:t>472 (45.1)</w:t>
            </w:r>
          </w:p>
        </w:tc>
        <w:tc>
          <w:tcPr>
            <w:tcW w:w="1701" w:type="dxa"/>
            <w:tcBorders>
              <w:left w:val="nil"/>
            </w:tcBorders>
          </w:tcPr>
          <w:p w14:paraId="4903D1F3" w14:textId="77777777" w:rsidR="00075001" w:rsidRDefault="00075001" w:rsidP="00075001"/>
        </w:tc>
      </w:tr>
      <w:tr w:rsidR="00075001" w14:paraId="1A8EAFFC" w14:textId="77777777" w:rsidTr="00075001">
        <w:trPr>
          <w:trHeight w:hRule="exact" w:val="279"/>
        </w:trPr>
        <w:tc>
          <w:tcPr>
            <w:tcW w:w="9209" w:type="dxa"/>
            <w:tcBorders>
              <w:right w:val="nil"/>
            </w:tcBorders>
          </w:tcPr>
          <w:p w14:paraId="60949AFB" w14:textId="77777777" w:rsidR="00075001" w:rsidRDefault="00075001" w:rsidP="00075001">
            <w:pPr>
              <w:pStyle w:val="TableParagraph"/>
              <w:tabs>
                <w:tab w:val="left" w:pos="822"/>
              </w:tabs>
              <w:ind w:left="462"/>
            </w:pPr>
            <w:r>
              <w:t>-</w:t>
            </w:r>
            <w:r>
              <w:tab/>
              <w:t>Medium</w:t>
            </w:r>
          </w:p>
        </w:tc>
        <w:tc>
          <w:tcPr>
            <w:tcW w:w="1843" w:type="dxa"/>
            <w:tcBorders>
              <w:left w:val="nil"/>
              <w:right w:val="nil"/>
            </w:tcBorders>
          </w:tcPr>
          <w:p w14:paraId="400A893E" w14:textId="77777777" w:rsidR="00075001" w:rsidRDefault="00075001" w:rsidP="00075001">
            <w:pPr>
              <w:pStyle w:val="TableParagraph"/>
              <w:ind w:left="108"/>
            </w:pPr>
            <w:r>
              <w:t>1,206 (47.6)</w:t>
            </w:r>
          </w:p>
        </w:tc>
        <w:tc>
          <w:tcPr>
            <w:tcW w:w="1984" w:type="dxa"/>
            <w:tcBorders>
              <w:left w:val="nil"/>
              <w:right w:val="nil"/>
            </w:tcBorders>
          </w:tcPr>
          <w:p w14:paraId="6F3FE53D" w14:textId="77777777" w:rsidR="00075001" w:rsidRDefault="00075001" w:rsidP="00075001">
            <w:pPr>
              <w:pStyle w:val="TableParagraph"/>
              <w:ind w:left="107"/>
            </w:pPr>
            <w:r>
              <w:t>469 (44.8)</w:t>
            </w:r>
          </w:p>
        </w:tc>
        <w:tc>
          <w:tcPr>
            <w:tcW w:w="1701" w:type="dxa"/>
            <w:tcBorders>
              <w:left w:val="nil"/>
            </w:tcBorders>
          </w:tcPr>
          <w:p w14:paraId="014A4D93" w14:textId="77777777" w:rsidR="00075001" w:rsidRDefault="00075001" w:rsidP="00075001">
            <w:pPr>
              <w:pStyle w:val="TableParagraph"/>
              <w:ind w:left="107"/>
            </w:pPr>
            <w:r>
              <w:t>0.024</w:t>
            </w:r>
          </w:p>
        </w:tc>
      </w:tr>
      <w:tr w:rsidR="00075001" w14:paraId="4E65D721" w14:textId="77777777" w:rsidTr="00075001">
        <w:trPr>
          <w:trHeight w:hRule="exact" w:val="279"/>
        </w:trPr>
        <w:tc>
          <w:tcPr>
            <w:tcW w:w="9209" w:type="dxa"/>
            <w:tcBorders>
              <w:right w:val="nil"/>
            </w:tcBorders>
          </w:tcPr>
          <w:p w14:paraId="6F021722" w14:textId="77777777" w:rsidR="00075001" w:rsidRDefault="00075001" w:rsidP="00075001">
            <w:pPr>
              <w:pStyle w:val="TableParagraph"/>
              <w:tabs>
                <w:tab w:val="left" w:pos="822"/>
              </w:tabs>
              <w:ind w:left="462"/>
            </w:pPr>
            <w:r>
              <w:t>-</w:t>
            </w:r>
            <w:r>
              <w:tab/>
              <w:t>High</w:t>
            </w:r>
          </w:p>
        </w:tc>
        <w:tc>
          <w:tcPr>
            <w:tcW w:w="1843" w:type="dxa"/>
            <w:tcBorders>
              <w:left w:val="nil"/>
              <w:right w:val="nil"/>
            </w:tcBorders>
          </w:tcPr>
          <w:p w14:paraId="3E3E6EB9" w14:textId="77777777" w:rsidR="00075001" w:rsidRDefault="00075001" w:rsidP="00075001">
            <w:pPr>
              <w:pStyle w:val="TableParagraph"/>
              <w:ind w:left="108"/>
            </w:pPr>
            <w:r>
              <w:t>312 (12.3)</w:t>
            </w:r>
          </w:p>
        </w:tc>
        <w:tc>
          <w:tcPr>
            <w:tcW w:w="1984" w:type="dxa"/>
            <w:tcBorders>
              <w:left w:val="nil"/>
              <w:right w:val="nil"/>
            </w:tcBorders>
          </w:tcPr>
          <w:p w14:paraId="7C2A78B5" w14:textId="77777777" w:rsidR="00075001" w:rsidRDefault="00075001" w:rsidP="00075001">
            <w:pPr>
              <w:pStyle w:val="TableParagraph"/>
              <w:ind w:left="107"/>
            </w:pPr>
            <w:r>
              <w:t>105 (10.0)</w:t>
            </w:r>
          </w:p>
        </w:tc>
        <w:tc>
          <w:tcPr>
            <w:tcW w:w="1701" w:type="dxa"/>
            <w:tcBorders>
              <w:left w:val="nil"/>
            </w:tcBorders>
          </w:tcPr>
          <w:p w14:paraId="0465BF3A" w14:textId="77777777" w:rsidR="00075001" w:rsidRDefault="00075001" w:rsidP="00075001">
            <w:pPr>
              <w:pStyle w:val="TableParagraph"/>
              <w:ind w:left="107"/>
            </w:pPr>
            <w:r>
              <w:t>0.011</w:t>
            </w:r>
          </w:p>
        </w:tc>
      </w:tr>
      <w:tr w:rsidR="00075001" w14:paraId="305EDE28" w14:textId="77777777" w:rsidTr="00075001">
        <w:trPr>
          <w:trHeight w:hRule="exact" w:val="279"/>
        </w:trPr>
        <w:tc>
          <w:tcPr>
            <w:tcW w:w="9209" w:type="dxa"/>
            <w:tcBorders>
              <w:right w:val="nil"/>
            </w:tcBorders>
          </w:tcPr>
          <w:p w14:paraId="33FAFCA2" w14:textId="77777777" w:rsidR="00075001" w:rsidRDefault="00075001" w:rsidP="00075001">
            <w:pPr>
              <w:pStyle w:val="TableParagraph"/>
              <w:rPr>
                <w:b/>
              </w:rPr>
            </w:pPr>
            <w:r>
              <w:rPr>
                <w:b/>
              </w:rPr>
              <w:t>Morbidity-related</w:t>
            </w:r>
          </w:p>
        </w:tc>
        <w:tc>
          <w:tcPr>
            <w:tcW w:w="1843" w:type="dxa"/>
            <w:tcBorders>
              <w:left w:val="nil"/>
              <w:right w:val="nil"/>
            </w:tcBorders>
          </w:tcPr>
          <w:p w14:paraId="3EBA9F0E" w14:textId="77777777" w:rsidR="00075001" w:rsidRDefault="00075001" w:rsidP="00075001"/>
        </w:tc>
        <w:tc>
          <w:tcPr>
            <w:tcW w:w="1984" w:type="dxa"/>
            <w:tcBorders>
              <w:left w:val="nil"/>
              <w:right w:val="nil"/>
            </w:tcBorders>
          </w:tcPr>
          <w:p w14:paraId="1874AB83" w14:textId="77777777" w:rsidR="00075001" w:rsidRDefault="00075001" w:rsidP="00075001"/>
        </w:tc>
        <w:tc>
          <w:tcPr>
            <w:tcW w:w="1701" w:type="dxa"/>
            <w:tcBorders>
              <w:left w:val="nil"/>
            </w:tcBorders>
          </w:tcPr>
          <w:p w14:paraId="4EE488BF" w14:textId="77777777" w:rsidR="00075001" w:rsidRDefault="00075001" w:rsidP="00075001"/>
        </w:tc>
      </w:tr>
      <w:tr w:rsidR="00075001" w14:paraId="09A4588A" w14:textId="77777777" w:rsidTr="00075001">
        <w:trPr>
          <w:trHeight w:hRule="exact" w:val="279"/>
        </w:trPr>
        <w:tc>
          <w:tcPr>
            <w:tcW w:w="9209" w:type="dxa"/>
            <w:tcBorders>
              <w:right w:val="nil"/>
            </w:tcBorders>
          </w:tcPr>
          <w:p w14:paraId="427D650B" w14:textId="77777777" w:rsidR="00075001" w:rsidRDefault="00075001" w:rsidP="00075001">
            <w:pPr>
              <w:pStyle w:val="TableParagraph"/>
            </w:pPr>
            <w:r>
              <w:t>Single conditions - Frequency (%)</w:t>
            </w:r>
          </w:p>
        </w:tc>
        <w:tc>
          <w:tcPr>
            <w:tcW w:w="1843" w:type="dxa"/>
            <w:tcBorders>
              <w:left w:val="nil"/>
              <w:right w:val="nil"/>
            </w:tcBorders>
          </w:tcPr>
          <w:p w14:paraId="5F9A3FE5" w14:textId="77777777" w:rsidR="00075001" w:rsidRDefault="00075001" w:rsidP="00075001"/>
        </w:tc>
        <w:tc>
          <w:tcPr>
            <w:tcW w:w="1984" w:type="dxa"/>
            <w:tcBorders>
              <w:left w:val="nil"/>
              <w:right w:val="nil"/>
            </w:tcBorders>
          </w:tcPr>
          <w:p w14:paraId="3B92196C" w14:textId="77777777" w:rsidR="00075001" w:rsidRDefault="00075001" w:rsidP="00075001"/>
        </w:tc>
        <w:tc>
          <w:tcPr>
            <w:tcW w:w="1701" w:type="dxa"/>
            <w:tcBorders>
              <w:left w:val="nil"/>
            </w:tcBorders>
          </w:tcPr>
          <w:p w14:paraId="6EE606EB" w14:textId="77777777" w:rsidR="00075001" w:rsidRDefault="00075001" w:rsidP="00075001"/>
        </w:tc>
      </w:tr>
      <w:tr w:rsidR="00075001" w14:paraId="34ECDBB3" w14:textId="77777777" w:rsidTr="00075001">
        <w:trPr>
          <w:trHeight w:hRule="exact" w:val="279"/>
        </w:trPr>
        <w:tc>
          <w:tcPr>
            <w:tcW w:w="9209" w:type="dxa"/>
            <w:tcBorders>
              <w:right w:val="nil"/>
            </w:tcBorders>
          </w:tcPr>
          <w:p w14:paraId="00E560A8" w14:textId="77777777" w:rsidR="00075001" w:rsidRDefault="00075001" w:rsidP="00075001">
            <w:pPr>
              <w:pStyle w:val="TableParagraph"/>
              <w:tabs>
                <w:tab w:val="left" w:pos="822"/>
              </w:tabs>
              <w:ind w:left="462"/>
            </w:pPr>
            <w:r>
              <w:t>-</w:t>
            </w:r>
            <w:r>
              <w:tab/>
              <w:t>Cancer</w:t>
            </w:r>
          </w:p>
        </w:tc>
        <w:tc>
          <w:tcPr>
            <w:tcW w:w="1843" w:type="dxa"/>
            <w:tcBorders>
              <w:left w:val="nil"/>
              <w:right w:val="nil"/>
            </w:tcBorders>
          </w:tcPr>
          <w:p w14:paraId="7AB9BB2F" w14:textId="77777777" w:rsidR="00075001" w:rsidRDefault="00075001" w:rsidP="00075001">
            <w:pPr>
              <w:pStyle w:val="TableParagraph"/>
              <w:ind w:left="108"/>
            </w:pPr>
            <w:r>
              <w:t>471 (18.6)</w:t>
            </w:r>
          </w:p>
        </w:tc>
        <w:tc>
          <w:tcPr>
            <w:tcW w:w="1984" w:type="dxa"/>
            <w:tcBorders>
              <w:left w:val="nil"/>
              <w:right w:val="nil"/>
            </w:tcBorders>
          </w:tcPr>
          <w:p w14:paraId="424EF615" w14:textId="77777777" w:rsidR="00075001" w:rsidRDefault="00075001" w:rsidP="00075001">
            <w:pPr>
              <w:pStyle w:val="TableParagraph"/>
              <w:ind w:left="107"/>
            </w:pPr>
            <w:r>
              <w:t>191 (18.3)</w:t>
            </w:r>
          </w:p>
        </w:tc>
        <w:tc>
          <w:tcPr>
            <w:tcW w:w="1701" w:type="dxa"/>
            <w:tcBorders>
              <w:left w:val="nil"/>
            </w:tcBorders>
          </w:tcPr>
          <w:p w14:paraId="6A435A52" w14:textId="77777777" w:rsidR="00075001" w:rsidRDefault="00075001" w:rsidP="00075001">
            <w:pPr>
              <w:pStyle w:val="TableParagraph"/>
              <w:ind w:left="107"/>
            </w:pPr>
            <w:r>
              <w:t>0.827</w:t>
            </w:r>
          </w:p>
        </w:tc>
      </w:tr>
      <w:tr w:rsidR="00075001" w14:paraId="22D5F643" w14:textId="77777777" w:rsidTr="00075001">
        <w:trPr>
          <w:trHeight w:hRule="exact" w:val="279"/>
        </w:trPr>
        <w:tc>
          <w:tcPr>
            <w:tcW w:w="9209" w:type="dxa"/>
            <w:tcBorders>
              <w:right w:val="nil"/>
            </w:tcBorders>
          </w:tcPr>
          <w:p w14:paraId="7DB528AE" w14:textId="77777777" w:rsidR="00075001" w:rsidRDefault="00075001" w:rsidP="00075001">
            <w:pPr>
              <w:pStyle w:val="TableParagraph"/>
              <w:tabs>
                <w:tab w:val="left" w:pos="822"/>
              </w:tabs>
              <w:ind w:left="462"/>
            </w:pPr>
            <w:r>
              <w:t>-</w:t>
            </w:r>
            <w:r>
              <w:tab/>
              <w:t>Cerebrovascular</w:t>
            </w:r>
            <w:r>
              <w:rPr>
                <w:spacing w:val="-9"/>
              </w:rPr>
              <w:t xml:space="preserve"> </w:t>
            </w:r>
            <w:r>
              <w:t>disease</w:t>
            </w:r>
          </w:p>
        </w:tc>
        <w:tc>
          <w:tcPr>
            <w:tcW w:w="1843" w:type="dxa"/>
            <w:tcBorders>
              <w:left w:val="nil"/>
              <w:right w:val="nil"/>
            </w:tcBorders>
          </w:tcPr>
          <w:p w14:paraId="29E6A66E" w14:textId="77777777" w:rsidR="00075001" w:rsidRDefault="00075001" w:rsidP="00075001">
            <w:pPr>
              <w:pStyle w:val="TableParagraph"/>
              <w:ind w:left="108"/>
            </w:pPr>
            <w:r>
              <w:t>401 (15.8)</w:t>
            </w:r>
          </w:p>
        </w:tc>
        <w:tc>
          <w:tcPr>
            <w:tcW w:w="1984" w:type="dxa"/>
            <w:tcBorders>
              <w:left w:val="nil"/>
              <w:right w:val="nil"/>
            </w:tcBorders>
          </w:tcPr>
          <w:p w14:paraId="108B9052" w14:textId="77777777" w:rsidR="00075001" w:rsidRDefault="00075001" w:rsidP="00075001">
            <w:pPr>
              <w:pStyle w:val="TableParagraph"/>
              <w:ind w:left="107"/>
            </w:pPr>
            <w:r>
              <w:t>165 (15.8)</w:t>
            </w:r>
          </w:p>
        </w:tc>
        <w:tc>
          <w:tcPr>
            <w:tcW w:w="1701" w:type="dxa"/>
            <w:tcBorders>
              <w:left w:val="nil"/>
            </w:tcBorders>
          </w:tcPr>
          <w:p w14:paraId="552C62C5" w14:textId="77777777" w:rsidR="00075001" w:rsidRDefault="00075001" w:rsidP="00075001">
            <w:pPr>
              <w:pStyle w:val="TableParagraph"/>
              <w:ind w:left="107"/>
            </w:pPr>
            <w:r>
              <w:t>0.977</w:t>
            </w:r>
          </w:p>
        </w:tc>
      </w:tr>
      <w:tr w:rsidR="00075001" w14:paraId="4C854037" w14:textId="77777777" w:rsidTr="00075001">
        <w:trPr>
          <w:trHeight w:hRule="exact" w:val="279"/>
        </w:trPr>
        <w:tc>
          <w:tcPr>
            <w:tcW w:w="9209" w:type="dxa"/>
            <w:tcBorders>
              <w:right w:val="nil"/>
            </w:tcBorders>
          </w:tcPr>
          <w:p w14:paraId="055521E4" w14:textId="77777777" w:rsidR="00075001" w:rsidRDefault="00075001" w:rsidP="00075001">
            <w:pPr>
              <w:pStyle w:val="TableParagraph"/>
              <w:tabs>
                <w:tab w:val="left" w:pos="822"/>
              </w:tabs>
              <w:ind w:left="462"/>
            </w:pPr>
            <w:r>
              <w:t>-</w:t>
            </w:r>
            <w:r>
              <w:tab/>
              <w:t>Chronic obstructive pulmonary disease /</w:t>
            </w:r>
            <w:r>
              <w:rPr>
                <w:spacing w:val="-21"/>
              </w:rPr>
              <w:t xml:space="preserve"> </w:t>
            </w:r>
            <w:r>
              <w:t>asthma</w:t>
            </w:r>
          </w:p>
        </w:tc>
        <w:tc>
          <w:tcPr>
            <w:tcW w:w="1843" w:type="dxa"/>
            <w:tcBorders>
              <w:left w:val="nil"/>
              <w:right w:val="nil"/>
            </w:tcBorders>
          </w:tcPr>
          <w:p w14:paraId="2E01C820" w14:textId="77777777" w:rsidR="00075001" w:rsidRDefault="00075001" w:rsidP="00075001">
            <w:pPr>
              <w:pStyle w:val="TableParagraph"/>
              <w:ind w:left="108"/>
            </w:pPr>
            <w:r>
              <w:t>494 (19.5)</w:t>
            </w:r>
          </w:p>
        </w:tc>
        <w:tc>
          <w:tcPr>
            <w:tcW w:w="1984" w:type="dxa"/>
            <w:tcBorders>
              <w:left w:val="nil"/>
              <w:right w:val="nil"/>
            </w:tcBorders>
          </w:tcPr>
          <w:p w14:paraId="1567321E" w14:textId="77777777" w:rsidR="00075001" w:rsidRDefault="00075001" w:rsidP="00075001">
            <w:pPr>
              <w:pStyle w:val="TableParagraph"/>
              <w:ind w:left="107"/>
            </w:pPr>
            <w:r>
              <w:t>221 (21.1)</w:t>
            </w:r>
          </w:p>
        </w:tc>
        <w:tc>
          <w:tcPr>
            <w:tcW w:w="1701" w:type="dxa"/>
            <w:tcBorders>
              <w:left w:val="nil"/>
            </w:tcBorders>
          </w:tcPr>
          <w:p w14:paraId="32FA6F1B" w14:textId="77777777" w:rsidR="00075001" w:rsidRDefault="00075001" w:rsidP="00075001">
            <w:pPr>
              <w:pStyle w:val="TableParagraph"/>
              <w:ind w:left="107"/>
            </w:pPr>
            <w:r>
              <w:t>0.262</w:t>
            </w:r>
          </w:p>
        </w:tc>
      </w:tr>
      <w:tr w:rsidR="00075001" w14:paraId="4177B43C" w14:textId="77777777" w:rsidTr="00075001">
        <w:trPr>
          <w:trHeight w:hRule="exact" w:val="279"/>
        </w:trPr>
        <w:tc>
          <w:tcPr>
            <w:tcW w:w="9209" w:type="dxa"/>
            <w:tcBorders>
              <w:right w:val="nil"/>
            </w:tcBorders>
          </w:tcPr>
          <w:p w14:paraId="2EFD5CEA" w14:textId="77777777" w:rsidR="00075001" w:rsidRDefault="00075001" w:rsidP="00075001">
            <w:pPr>
              <w:pStyle w:val="TableParagraph"/>
              <w:tabs>
                <w:tab w:val="left" w:pos="822"/>
              </w:tabs>
              <w:ind w:left="462"/>
            </w:pPr>
            <w:r>
              <w:t>-</w:t>
            </w:r>
            <w:r>
              <w:tab/>
              <w:t>Coronary heart</w:t>
            </w:r>
            <w:r>
              <w:rPr>
                <w:spacing w:val="-15"/>
              </w:rPr>
              <w:t xml:space="preserve"> </w:t>
            </w:r>
            <w:r>
              <w:t>disease</w:t>
            </w:r>
          </w:p>
        </w:tc>
        <w:tc>
          <w:tcPr>
            <w:tcW w:w="1843" w:type="dxa"/>
            <w:tcBorders>
              <w:left w:val="nil"/>
              <w:right w:val="nil"/>
            </w:tcBorders>
          </w:tcPr>
          <w:p w14:paraId="48E25C2B" w14:textId="77777777" w:rsidR="00075001" w:rsidRDefault="00075001" w:rsidP="00075001">
            <w:pPr>
              <w:pStyle w:val="TableParagraph"/>
              <w:ind w:left="108"/>
            </w:pPr>
            <w:r>
              <w:t>817 (32.2)</w:t>
            </w:r>
          </w:p>
        </w:tc>
        <w:tc>
          <w:tcPr>
            <w:tcW w:w="1984" w:type="dxa"/>
            <w:tcBorders>
              <w:left w:val="nil"/>
              <w:right w:val="nil"/>
            </w:tcBorders>
          </w:tcPr>
          <w:p w14:paraId="2EF6AB53" w14:textId="77777777" w:rsidR="00075001" w:rsidRDefault="00075001" w:rsidP="00075001">
            <w:pPr>
              <w:pStyle w:val="TableParagraph"/>
              <w:ind w:left="107"/>
            </w:pPr>
            <w:r>
              <w:t>393 (37.6)</w:t>
            </w:r>
          </w:p>
        </w:tc>
        <w:tc>
          <w:tcPr>
            <w:tcW w:w="1701" w:type="dxa"/>
            <w:tcBorders>
              <w:left w:val="nil"/>
            </w:tcBorders>
          </w:tcPr>
          <w:p w14:paraId="4817507D" w14:textId="77777777" w:rsidR="00075001" w:rsidRDefault="00075001" w:rsidP="00075001">
            <w:pPr>
              <w:pStyle w:val="TableParagraph"/>
              <w:ind w:left="107"/>
            </w:pPr>
            <w:r>
              <w:t>0.002</w:t>
            </w:r>
          </w:p>
        </w:tc>
      </w:tr>
      <w:tr w:rsidR="00075001" w14:paraId="77DF368A" w14:textId="77777777" w:rsidTr="00075001">
        <w:trPr>
          <w:trHeight w:hRule="exact" w:val="279"/>
        </w:trPr>
        <w:tc>
          <w:tcPr>
            <w:tcW w:w="9209" w:type="dxa"/>
            <w:tcBorders>
              <w:right w:val="nil"/>
            </w:tcBorders>
          </w:tcPr>
          <w:p w14:paraId="284A400F" w14:textId="77777777" w:rsidR="00075001" w:rsidRDefault="00075001" w:rsidP="00075001">
            <w:pPr>
              <w:pStyle w:val="TableParagraph"/>
              <w:tabs>
                <w:tab w:val="left" w:pos="822"/>
              </w:tabs>
              <w:ind w:left="462"/>
            </w:pPr>
            <w:r>
              <w:t>-</w:t>
            </w:r>
            <w:r>
              <w:tab/>
              <w:t>Diabetes</w:t>
            </w:r>
          </w:p>
        </w:tc>
        <w:tc>
          <w:tcPr>
            <w:tcW w:w="1843" w:type="dxa"/>
            <w:tcBorders>
              <w:left w:val="nil"/>
              <w:right w:val="nil"/>
            </w:tcBorders>
          </w:tcPr>
          <w:p w14:paraId="43884642" w14:textId="77777777" w:rsidR="00075001" w:rsidRDefault="00075001" w:rsidP="00075001">
            <w:pPr>
              <w:pStyle w:val="TableParagraph"/>
              <w:ind w:left="108"/>
            </w:pPr>
            <w:r>
              <w:t>885 (34.9)</w:t>
            </w:r>
          </w:p>
        </w:tc>
        <w:tc>
          <w:tcPr>
            <w:tcW w:w="1984" w:type="dxa"/>
            <w:tcBorders>
              <w:left w:val="nil"/>
              <w:right w:val="nil"/>
            </w:tcBorders>
          </w:tcPr>
          <w:p w14:paraId="5DFC1E67" w14:textId="77777777" w:rsidR="00075001" w:rsidRDefault="00075001" w:rsidP="00075001">
            <w:pPr>
              <w:pStyle w:val="TableParagraph"/>
              <w:ind w:left="107"/>
            </w:pPr>
            <w:r>
              <w:t>377 (36.0)</w:t>
            </w:r>
          </w:p>
        </w:tc>
        <w:tc>
          <w:tcPr>
            <w:tcW w:w="1701" w:type="dxa"/>
            <w:tcBorders>
              <w:left w:val="nil"/>
            </w:tcBorders>
          </w:tcPr>
          <w:p w14:paraId="2C2739C0" w14:textId="77777777" w:rsidR="00075001" w:rsidRDefault="00075001" w:rsidP="00075001">
            <w:pPr>
              <w:pStyle w:val="TableParagraph"/>
              <w:ind w:left="107"/>
            </w:pPr>
            <w:r>
              <w:t>0.514</w:t>
            </w:r>
          </w:p>
        </w:tc>
      </w:tr>
      <w:tr w:rsidR="00075001" w14:paraId="49FBAB84" w14:textId="77777777" w:rsidTr="00075001">
        <w:trPr>
          <w:trHeight w:hRule="exact" w:val="279"/>
        </w:trPr>
        <w:tc>
          <w:tcPr>
            <w:tcW w:w="9209" w:type="dxa"/>
            <w:tcBorders>
              <w:right w:val="nil"/>
            </w:tcBorders>
          </w:tcPr>
          <w:p w14:paraId="493C4A63" w14:textId="77777777" w:rsidR="00075001" w:rsidRDefault="00075001" w:rsidP="00075001">
            <w:pPr>
              <w:pStyle w:val="TableParagraph"/>
              <w:tabs>
                <w:tab w:val="left" w:pos="822"/>
              </w:tabs>
              <w:ind w:left="462"/>
            </w:pPr>
            <w:r>
              <w:t>-</w:t>
            </w:r>
            <w:r>
              <w:tab/>
              <w:t>Hearing</w:t>
            </w:r>
            <w:r>
              <w:rPr>
                <w:spacing w:val="-9"/>
              </w:rPr>
              <w:t xml:space="preserve"> </w:t>
            </w:r>
            <w:r>
              <w:t>problems</w:t>
            </w:r>
          </w:p>
        </w:tc>
        <w:tc>
          <w:tcPr>
            <w:tcW w:w="1843" w:type="dxa"/>
            <w:tcBorders>
              <w:left w:val="nil"/>
              <w:right w:val="nil"/>
            </w:tcBorders>
          </w:tcPr>
          <w:p w14:paraId="28FE945A" w14:textId="77777777" w:rsidR="00075001" w:rsidRDefault="00075001" w:rsidP="00075001">
            <w:pPr>
              <w:pStyle w:val="TableParagraph"/>
              <w:ind w:left="108"/>
            </w:pPr>
            <w:r>
              <w:t>511 (20.2)</w:t>
            </w:r>
          </w:p>
        </w:tc>
        <w:tc>
          <w:tcPr>
            <w:tcW w:w="1984" w:type="dxa"/>
            <w:tcBorders>
              <w:left w:val="nil"/>
              <w:right w:val="nil"/>
            </w:tcBorders>
          </w:tcPr>
          <w:p w14:paraId="498E191C" w14:textId="77777777" w:rsidR="00075001" w:rsidRDefault="00075001" w:rsidP="00075001">
            <w:pPr>
              <w:pStyle w:val="TableParagraph"/>
              <w:ind w:left="107"/>
            </w:pPr>
            <w:r>
              <w:t>207 (19.8)</w:t>
            </w:r>
          </w:p>
        </w:tc>
        <w:tc>
          <w:tcPr>
            <w:tcW w:w="1701" w:type="dxa"/>
            <w:tcBorders>
              <w:left w:val="nil"/>
            </w:tcBorders>
          </w:tcPr>
          <w:p w14:paraId="6B662DE5" w14:textId="77777777" w:rsidR="00075001" w:rsidRDefault="00075001" w:rsidP="00075001">
            <w:pPr>
              <w:pStyle w:val="TableParagraph"/>
              <w:ind w:left="107"/>
            </w:pPr>
            <w:r>
              <w:t>0.807</w:t>
            </w:r>
          </w:p>
        </w:tc>
      </w:tr>
      <w:tr w:rsidR="00075001" w14:paraId="6D607AD7" w14:textId="77777777" w:rsidTr="00075001">
        <w:trPr>
          <w:trHeight w:hRule="exact" w:val="279"/>
        </w:trPr>
        <w:tc>
          <w:tcPr>
            <w:tcW w:w="9209" w:type="dxa"/>
            <w:tcBorders>
              <w:right w:val="nil"/>
            </w:tcBorders>
          </w:tcPr>
          <w:p w14:paraId="56EFD492" w14:textId="77777777" w:rsidR="00075001" w:rsidRDefault="00075001" w:rsidP="00075001">
            <w:pPr>
              <w:pStyle w:val="TableParagraph"/>
              <w:tabs>
                <w:tab w:val="left" w:pos="822"/>
              </w:tabs>
              <w:ind w:left="462"/>
            </w:pPr>
            <w:r>
              <w:t>-</w:t>
            </w:r>
            <w:r>
              <w:tab/>
              <w:t>Heart</w:t>
            </w:r>
            <w:r>
              <w:rPr>
                <w:spacing w:val="-10"/>
              </w:rPr>
              <w:t xml:space="preserve"> </w:t>
            </w:r>
            <w:r>
              <w:t>failure</w:t>
            </w:r>
          </w:p>
        </w:tc>
        <w:tc>
          <w:tcPr>
            <w:tcW w:w="1843" w:type="dxa"/>
            <w:tcBorders>
              <w:left w:val="nil"/>
              <w:right w:val="nil"/>
            </w:tcBorders>
          </w:tcPr>
          <w:p w14:paraId="49BADB47" w14:textId="77777777" w:rsidR="00075001" w:rsidRDefault="00075001" w:rsidP="00075001">
            <w:pPr>
              <w:pStyle w:val="TableParagraph"/>
              <w:ind w:left="108"/>
            </w:pPr>
            <w:r>
              <w:t>435 (17.2)</w:t>
            </w:r>
          </w:p>
        </w:tc>
        <w:tc>
          <w:tcPr>
            <w:tcW w:w="1984" w:type="dxa"/>
            <w:tcBorders>
              <w:left w:val="nil"/>
              <w:right w:val="nil"/>
            </w:tcBorders>
          </w:tcPr>
          <w:p w14:paraId="207AFE66" w14:textId="77777777" w:rsidR="00075001" w:rsidRDefault="00075001" w:rsidP="00075001">
            <w:pPr>
              <w:pStyle w:val="TableParagraph"/>
              <w:ind w:left="107"/>
            </w:pPr>
            <w:r>
              <w:t>197 (18.8)</w:t>
            </w:r>
          </w:p>
        </w:tc>
        <w:tc>
          <w:tcPr>
            <w:tcW w:w="1701" w:type="dxa"/>
            <w:tcBorders>
              <w:left w:val="nil"/>
            </w:tcBorders>
          </w:tcPr>
          <w:p w14:paraId="297E4D19" w14:textId="77777777" w:rsidR="00075001" w:rsidRDefault="00075001" w:rsidP="00075001">
            <w:pPr>
              <w:pStyle w:val="TableParagraph"/>
              <w:ind w:left="107"/>
            </w:pPr>
            <w:r>
              <w:t>0.23</w:t>
            </w:r>
          </w:p>
        </w:tc>
      </w:tr>
      <w:tr w:rsidR="00075001" w14:paraId="10E47DB7" w14:textId="77777777" w:rsidTr="00075001">
        <w:trPr>
          <w:trHeight w:hRule="exact" w:val="279"/>
        </w:trPr>
        <w:tc>
          <w:tcPr>
            <w:tcW w:w="9209" w:type="dxa"/>
            <w:tcBorders>
              <w:right w:val="nil"/>
            </w:tcBorders>
          </w:tcPr>
          <w:p w14:paraId="2955843E" w14:textId="77777777" w:rsidR="00075001" w:rsidRDefault="00075001" w:rsidP="00075001">
            <w:pPr>
              <w:pStyle w:val="TableParagraph"/>
              <w:tabs>
                <w:tab w:val="left" w:pos="822"/>
              </w:tabs>
              <w:ind w:left="462"/>
            </w:pPr>
            <w:r>
              <w:t>-</w:t>
            </w:r>
            <w:r>
              <w:tab/>
              <w:t>Hypertension</w:t>
            </w:r>
          </w:p>
        </w:tc>
        <w:tc>
          <w:tcPr>
            <w:tcW w:w="1843" w:type="dxa"/>
            <w:tcBorders>
              <w:left w:val="nil"/>
              <w:right w:val="nil"/>
            </w:tcBorders>
          </w:tcPr>
          <w:p w14:paraId="50BEF4FF" w14:textId="77777777" w:rsidR="00075001" w:rsidRDefault="00075001" w:rsidP="00075001">
            <w:pPr>
              <w:pStyle w:val="TableParagraph"/>
              <w:ind w:left="108"/>
            </w:pPr>
            <w:r>
              <w:t>1,726 (68.1)</w:t>
            </w:r>
          </w:p>
        </w:tc>
        <w:tc>
          <w:tcPr>
            <w:tcW w:w="1984" w:type="dxa"/>
            <w:tcBorders>
              <w:left w:val="nil"/>
              <w:right w:val="nil"/>
            </w:tcBorders>
          </w:tcPr>
          <w:p w14:paraId="48C9B680" w14:textId="77777777" w:rsidR="00075001" w:rsidRDefault="00075001" w:rsidP="00075001">
            <w:pPr>
              <w:pStyle w:val="TableParagraph"/>
              <w:ind w:left="107"/>
            </w:pPr>
            <w:r>
              <w:t>683 (65.3)</w:t>
            </w:r>
          </w:p>
        </w:tc>
        <w:tc>
          <w:tcPr>
            <w:tcW w:w="1701" w:type="dxa"/>
            <w:tcBorders>
              <w:left w:val="nil"/>
            </w:tcBorders>
          </w:tcPr>
          <w:p w14:paraId="7D6B1A7F" w14:textId="77777777" w:rsidR="00075001" w:rsidRDefault="00075001" w:rsidP="00075001">
            <w:pPr>
              <w:pStyle w:val="TableParagraph"/>
              <w:ind w:left="107"/>
            </w:pPr>
            <w:r>
              <w:t>0.109</w:t>
            </w:r>
          </w:p>
        </w:tc>
      </w:tr>
      <w:tr w:rsidR="00075001" w14:paraId="42D4DE56" w14:textId="77777777" w:rsidTr="00075001">
        <w:trPr>
          <w:trHeight w:hRule="exact" w:val="279"/>
        </w:trPr>
        <w:tc>
          <w:tcPr>
            <w:tcW w:w="9209" w:type="dxa"/>
            <w:tcBorders>
              <w:right w:val="nil"/>
            </w:tcBorders>
          </w:tcPr>
          <w:p w14:paraId="28B78776" w14:textId="77777777" w:rsidR="00075001" w:rsidRDefault="00075001" w:rsidP="00075001">
            <w:pPr>
              <w:pStyle w:val="TableParagraph"/>
              <w:tabs>
                <w:tab w:val="left" w:pos="822"/>
              </w:tabs>
              <w:ind w:left="462"/>
            </w:pPr>
            <w:r>
              <w:t>-</w:t>
            </w:r>
            <w:r>
              <w:tab/>
              <w:t>Osteoarthritis</w:t>
            </w:r>
          </w:p>
        </w:tc>
        <w:tc>
          <w:tcPr>
            <w:tcW w:w="1843" w:type="dxa"/>
            <w:tcBorders>
              <w:left w:val="nil"/>
              <w:right w:val="nil"/>
            </w:tcBorders>
          </w:tcPr>
          <w:p w14:paraId="23D47344" w14:textId="77777777" w:rsidR="00075001" w:rsidRDefault="00075001" w:rsidP="00075001">
            <w:pPr>
              <w:pStyle w:val="TableParagraph"/>
              <w:ind w:left="108"/>
            </w:pPr>
            <w:r>
              <w:t>863 (34.0)</w:t>
            </w:r>
          </w:p>
        </w:tc>
        <w:tc>
          <w:tcPr>
            <w:tcW w:w="1984" w:type="dxa"/>
            <w:tcBorders>
              <w:left w:val="nil"/>
              <w:right w:val="nil"/>
            </w:tcBorders>
          </w:tcPr>
          <w:p w14:paraId="2856B06D" w14:textId="77777777" w:rsidR="00075001" w:rsidRDefault="00075001" w:rsidP="00075001">
            <w:pPr>
              <w:pStyle w:val="TableParagraph"/>
              <w:ind w:left="107"/>
            </w:pPr>
            <w:r>
              <w:t>338 (32.3)</w:t>
            </w:r>
          </w:p>
        </w:tc>
        <w:tc>
          <w:tcPr>
            <w:tcW w:w="1701" w:type="dxa"/>
            <w:tcBorders>
              <w:left w:val="nil"/>
            </w:tcBorders>
          </w:tcPr>
          <w:p w14:paraId="20BB0C55" w14:textId="77777777" w:rsidR="00075001" w:rsidRDefault="00075001" w:rsidP="00075001">
            <w:pPr>
              <w:pStyle w:val="TableParagraph"/>
              <w:ind w:left="107"/>
            </w:pPr>
            <w:r>
              <w:t>0.323</w:t>
            </w:r>
          </w:p>
        </w:tc>
      </w:tr>
      <w:tr w:rsidR="00075001" w14:paraId="516F1CB0" w14:textId="77777777" w:rsidTr="00075001">
        <w:trPr>
          <w:trHeight w:hRule="exact" w:val="279"/>
        </w:trPr>
        <w:tc>
          <w:tcPr>
            <w:tcW w:w="9209" w:type="dxa"/>
            <w:tcBorders>
              <w:right w:val="nil"/>
            </w:tcBorders>
          </w:tcPr>
          <w:p w14:paraId="7B6271B0" w14:textId="77777777" w:rsidR="00075001" w:rsidRDefault="00075001" w:rsidP="00075001">
            <w:pPr>
              <w:pStyle w:val="TableParagraph"/>
              <w:tabs>
                <w:tab w:val="left" w:pos="822"/>
              </w:tabs>
              <w:ind w:left="462"/>
            </w:pPr>
            <w:r>
              <w:t>-</w:t>
            </w:r>
            <w:r>
              <w:tab/>
              <w:t>Osteoporosis</w:t>
            </w:r>
          </w:p>
        </w:tc>
        <w:tc>
          <w:tcPr>
            <w:tcW w:w="1843" w:type="dxa"/>
            <w:tcBorders>
              <w:left w:val="nil"/>
              <w:right w:val="nil"/>
            </w:tcBorders>
          </w:tcPr>
          <w:p w14:paraId="0AB07516" w14:textId="77777777" w:rsidR="00075001" w:rsidRDefault="00075001" w:rsidP="00075001">
            <w:pPr>
              <w:pStyle w:val="TableParagraph"/>
              <w:ind w:left="108"/>
            </w:pPr>
            <w:r>
              <w:t>390 (15.4)</w:t>
            </w:r>
          </w:p>
        </w:tc>
        <w:tc>
          <w:tcPr>
            <w:tcW w:w="1984" w:type="dxa"/>
            <w:tcBorders>
              <w:left w:val="nil"/>
              <w:right w:val="nil"/>
            </w:tcBorders>
          </w:tcPr>
          <w:p w14:paraId="2E88821E" w14:textId="77777777" w:rsidR="00075001" w:rsidRDefault="00075001" w:rsidP="00075001">
            <w:pPr>
              <w:pStyle w:val="TableParagraph"/>
              <w:ind w:left="107"/>
            </w:pPr>
            <w:r>
              <w:t>156 (14.9)</w:t>
            </w:r>
          </w:p>
        </w:tc>
        <w:tc>
          <w:tcPr>
            <w:tcW w:w="1701" w:type="dxa"/>
            <w:tcBorders>
              <w:left w:val="nil"/>
            </w:tcBorders>
          </w:tcPr>
          <w:p w14:paraId="45F48A6C" w14:textId="77777777" w:rsidR="00075001" w:rsidRDefault="00075001" w:rsidP="00075001">
            <w:pPr>
              <w:pStyle w:val="TableParagraph"/>
              <w:ind w:left="107"/>
            </w:pPr>
            <w:r>
              <w:t>0.725</w:t>
            </w:r>
          </w:p>
        </w:tc>
      </w:tr>
      <w:tr w:rsidR="00075001" w14:paraId="32209B8F" w14:textId="77777777" w:rsidTr="00075001">
        <w:trPr>
          <w:trHeight w:hRule="exact" w:val="279"/>
        </w:trPr>
        <w:tc>
          <w:tcPr>
            <w:tcW w:w="9209" w:type="dxa"/>
            <w:tcBorders>
              <w:right w:val="nil"/>
            </w:tcBorders>
          </w:tcPr>
          <w:p w14:paraId="2EAC6268" w14:textId="77777777" w:rsidR="00075001" w:rsidRDefault="00075001" w:rsidP="00075001">
            <w:pPr>
              <w:pStyle w:val="TableParagraph"/>
              <w:tabs>
                <w:tab w:val="left" w:pos="822"/>
              </w:tabs>
              <w:ind w:left="462"/>
            </w:pPr>
            <w:r>
              <w:t>-</w:t>
            </w:r>
            <w:r>
              <w:tab/>
              <w:t>Parkinsonism</w:t>
            </w:r>
          </w:p>
        </w:tc>
        <w:tc>
          <w:tcPr>
            <w:tcW w:w="1843" w:type="dxa"/>
            <w:tcBorders>
              <w:left w:val="nil"/>
              <w:right w:val="nil"/>
            </w:tcBorders>
          </w:tcPr>
          <w:p w14:paraId="2647FAC9" w14:textId="77777777" w:rsidR="00075001" w:rsidRDefault="00075001" w:rsidP="00075001">
            <w:pPr>
              <w:pStyle w:val="TableParagraph"/>
              <w:ind w:left="108"/>
            </w:pPr>
            <w:r>
              <w:t>53 (2.1)</w:t>
            </w:r>
          </w:p>
        </w:tc>
        <w:tc>
          <w:tcPr>
            <w:tcW w:w="1984" w:type="dxa"/>
            <w:tcBorders>
              <w:left w:val="nil"/>
              <w:right w:val="nil"/>
            </w:tcBorders>
          </w:tcPr>
          <w:p w14:paraId="326CC40B" w14:textId="77777777" w:rsidR="00075001" w:rsidRDefault="00075001" w:rsidP="00075001">
            <w:pPr>
              <w:pStyle w:val="TableParagraph"/>
              <w:ind w:left="107"/>
            </w:pPr>
            <w:r>
              <w:t>25 (2.4)</w:t>
            </w:r>
          </w:p>
        </w:tc>
        <w:tc>
          <w:tcPr>
            <w:tcW w:w="1701" w:type="dxa"/>
            <w:tcBorders>
              <w:left w:val="nil"/>
            </w:tcBorders>
          </w:tcPr>
          <w:p w14:paraId="11A9975E" w14:textId="77777777" w:rsidR="00075001" w:rsidRDefault="00075001" w:rsidP="00075001">
            <w:pPr>
              <w:pStyle w:val="TableParagraph"/>
              <w:ind w:left="107"/>
            </w:pPr>
            <w:r>
              <w:t>0.576</w:t>
            </w:r>
          </w:p>
        </w:tc>
      </w:tr>
      <w:tr w:rsidR="00075001" w14:paraId="0AE43D9B" w14:textId="77777777" w:rsidTr="00075001">
        <w:trPr>
          <w:trHeight w:hRule="exact" w:val="279"/>
        </w:trPr>
        <w:tc>
          <w:tcPr>
            <w:tcW w:w="9209" w:type="dxa"/>
            <w:tcBorders>
              <w:right w:val="nil"/>
            </w:tcBorders>
          </w:tcPr>
          <w:p w14:paraId="27FC8F72" w14:textId="77777777" w:rsidR="00075001" w:rsidRDefault="00075001" w:rsidP="00075001">
            <w:pPr>
              <w:pStyle w:val="TableParagraph"/>
              <w:tabs>
                <w:tab w:val="left" w:pos="822"/>
              </w:tabs>
              <w:ind w:left="462"/>
            </w:pPr>
            <w:r>
              <w:t>-</w:t>
            </w:r>
            <w:r>
              <w:tab/>
              <w:t>Rheumatoid</w:t>
            </w:r>
            <w:r>
              <w:rPr>
                <w:spacing w:val="-5"/>
              </w:rPr>
              <w:t xml:space="preserve"> </w:t>
            </w:r>
            <w:r>
              <w:t>arthritis</w:t>
            </w:r>
          </w:p>
        </w:tc>
        <w:tc>
          <w:tcPr>
            <w:tcW w:w="1843" w:type="dxa"/>
            <w:tcBorders>
              <w:left w:val="nil"/>
              <w:right w:val="nil"/>
            </w:tcBorders>
          </w:tcPr>
          <w:p w14:paraId="1F17E1BB" w14:textId="77777777" w:rsidR="00075001" w:rsidRDefault="00075001" w:rsidP="00075001">
            <w:pPr>
              <w:pStyle w:val="TableParagraph"/>
              <w:ind w:left="108"/>
            </w:pPr>
            <w:r>
              <w:t>219 (8.6)</w:t>
            </w:r>
          </w:p>
        </w:tc>
        <w:tc>
          <w:tcPr>
            <w:tcW w:w="1984" w:type="dxa"/>
            <w:tcBorders>
              <w:left w:val="nil"/>
              <w:right w:val="nil"/>
            </w:tcBorders>
          </w:tcPr>
          <w:p w14:paraId="723B8A30" w14:textId="77777777" w:rsidR="00075001" w:rsidRDefault="00075001" w:rsidP="00075001">
            <w:pPr>
              <w:pStyle w:val="TableParagraph"/>
              <w:ind w:left="107"/>
            </w:pPr>
            <w:r>
              <w:t>97 (9.3)</w:t>
            </w:r>
          </w:p>
        </w:tc>
        <w:tc>
          <w:tcPr>
            <w:tcW w:w="1701" w:type="dxa"/>
            <w:tcBorders>
              <w:left w:val="nil"/>
            </w:tcBorders>
          </w:tcPr>
          <w:p w14:paraId="713149AC" w14:textId="77777777" w:rsidR="00075001" w:rsidRDefault="00075001" w:rsidP="00075001">
            <w:pPr>
              <w:pStyle w:val="TableParagraph"/>
              <w:ind w:left="107"/>
            </w:pPr>
            <w:r>
              <w:t>0.541</w:t>
            </w:r>
          </w:p>
        </w:tc>
      </w:tr>
      <w:tr w:rsidR="00075001" w14:paraId="73FFCFAE" w14:textId="77777777" w:rsidTr="00075001">
        <w:trPr>
          <w:trHeight w:hRule="exact" w:val="279"/>
        </w:trPr>
        <w:tc>
          <w:tcPr>
            <w:tcW w:w="9209" w:type="dxa"/>
            <w:tcBorders>
              <w:right w:val="nil"/>
            </w:tcBorders>
          </w:tcPr>
          <w:p w14:paraId="711C08FF" w14:textId="77777777" w:rsidR="00075001" w:rsidRDefault="00075001" w:rsidP="00075001">
            <w:pPr>
              <w:pStyle w:val="TableParagraph"/>
              <w:tabs>
                <w:tab w:val="left" w:pos="822"/>
              </w:tabs>
              <w:ind w:left="462"/>
            </w:pPr>
            <w:r>
              <w:t>-</w:t>
            </w:r>
            <w:r>
              <w:tab/>
              <w:t>Vision</w:t>
            </w:r>
            <w:r>
              <w:rPr>
                <w:spacing w:val="-8"/>
              </w:rPr>
              <w:t xml:space="preserve"> </w:t>
            </w:r>
            <w:r>
              <w:t>problems</w:t>
            </w:r>
          </w:p>
        </w:tc>
        <w:tc>
          <w:tcPr>
            <w:tcW w:w="1843" w:type="dxa"/>
            <w:tcBorders>
              <w:left w:val="nil"/>
              <w:right w:val="nil"/>
            </w:tcBorders>
          </w:tcPr>
          <w:p w14:paraId="5B92067C" w14:textId="77777777" w:rsidR="00075001" w:rsidRDefault="00075001" w:rsidP="00075001">
            <w:pPr>
              <w:pStyle w:val="TableParagraph"/>
              <w:ind w:left="108"/>
            </w:pPr>
            <w:r>
              <w:t>804 (31.7)</w:t>
            </w:r>
          </w:p>
        </w:tc>
        <w:tc>
          <w:tcPr>
            <w:tcW w:w="1984" w:type="dxa"/>
            <w:tcBorders>
              <w:left w:val="nil"/>
              <w:right w:val="nil"/>
            </w:tcBorders>
          </w:tcPr>
          <w:p w14:paraId="0C0FB9F6" w14:textId="77777777" w:rsidR="00075001" w:rsidRDefault="00075001" w:rsidP="00075001">
            <w:pPr>
              <w:pStyle w:val="TableParagraph"/>
              <w:ind w:left="107"/>
            </w:pPr>
            <w:r>
              <w:t>338 (32.3)</w:t>
            </w:r>
          </w:p>
        </w:tc>
        <w:tc>
          <w:tcPr>
            <w:tcW w:w="1701" w:type="dxa"/>
            <w:tcBorders>
              <w:left w:val="nil"/>
            </w:tcBorders>
          </w:tcPr>
          <w:p w14:paraId="525DCFF5" w14:textId="77777777" w:rsidR="00075001" w:rsidRDefault="00075001" w:rsidP="00075001">
            <w:pPr>
              <w:pStyle w:val="TableParagraph"/>
              <w:ind w:left="107"/>
            </w:pPr>
            <w:r>
              <w:t>0.722</w:t>
            </w:r>
          </w:p>
        </w:tc>
      </w:tr>
      <w:tr w:rsidR="00075001" w14:paraId="38E42F44" w14:textId="77777777" w:rsidTr="00075001">
        <w:trPr>
          <w:trHeight w:hRule="exact" w:val="279"/>
        </w:trPr>
        <w:tc>
          <w:tcPr>
            <w:tcW w:w="9209" w:type="dxa"/>
            <w:tcBorders>
              <w:right w:val="nil"/>
            </w:tcBorders>
          </w:tcPr>
          <w:p w14:paraId="37CF32B5" w14:textId="77777777" w:rsidR="00075001" w:rsidRDefault="00075001" w:rsidP="00075001">
            <w:pPr>
              <w:pStyle w:val="TableParagraph"/>
            </w:pPr>
            <w:r>
              <w:t xml:space="preserve">Disease count according to </w:t>
            </w:r>
            <w:proofErr w:type="spellStart"/>
            <w:r>
              <w:t>Diederichs</w:t>
            </w:r>
            <w:proofErr w:type="spellEnd"/>
            <w:r>
              <w:t xml:space="preserve"> list * – Median (IQR)</w:t>
            </w:r>
          </w:p>
        </w:tc>
        <w:tc>
          <w:tcPr>
            <w:tcW w:w="1843" w:type="dxa"/>
            <w:tcBorders>
              <w:left w:val="nil"/>
              <w:right w:val="nil"/>
            </w:tcBorders>
          </w:tcPr>
          <w:p w14:paraId="22D92432" w14:textId="77777777" w:rsidR="00075001" w:rsidRDefault="00075001" w:rsidP="00075001">
            <w:pPr>
              <w:pStyle w:val="TableParagraph"/>
              <w:ind w:left="108"/>
            </w:pPr>
            <w:r>
              <w:t>3 (2)</w:t>
            </w:r>
          </w:p>
        </w:tc>
        <w:tc>
          <w:tcPr>
            <w:tcW w:w="1984" w:type="dxa"/>
            <w:tcBorders>
              <w:left w:val="nil"/>
              <w:right w:val="nil"/>
            </w:tcBorders>
          </w:tcPr>
          <w:p w14:paraId="7F4E4EDA" w14:textId="77777777" w:rsidR="00075001" w:rsidRDefault="00075001" w:rsidP="00075001">
            <w:pPr>
              <w:pStyle w:val="TableParagraph"/>
              <w:ind w:left="107"/>
            </w:pPr>
            <w:r>
              <w:t>3 (2)</w:t>
            </w:r>
          </w:p>
        </w:tc>
        <w:tc>
          <w:tcPr>
            <w:tcW w:w="1701" w:type="dxa"/>
            <w:tcBorders>
              <w:left w:val="nil"/>
            </w:tcBorders>
          </w:tcPr>
          <w:p w14:paraId="7A340657" w14:textId="77777777" w:rsidR="00075001" w:rsidRDefault="00075001" w:rsidP="00075001">
            <w:pPr>
              <w:pStyle w:val="TableParagraph"/>
              <w:ind w:left="107"/>
            </w:pPr>
            <w:r>
              <w:t>0.191</w:t>
            </w:r>
          </w:p>
        </w:tc>
      </w:tr>
    </w:tbl>
    <w:p w14:paraId="24F620B1" w14:textId="77777777" w:rsidR="00075001" w:rsidRDefault="00075001" w:rsidP="00075001">
      <w:pPr>
        <w:sectPr w:rsidR="00075001">
          <w:headerReference w:type="default" r:id="rId29"/>
          <w:footerReference w:type="default" r:id="rId30"/>
          <w:pgSz w:w="16840" w:h="11910" w:orient="landscape"/>
          <w:pgMar w:top="1100" w:right="560" w:bottom="280" w:left="130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9"/>
        <w:gridCol w:w="1843"/>
        <w:gridCol w:w="1984"/>
        <w:gridCol w:w="1701"/>
      </w:tblGrid>
      <w:tr w:rsidR="00075001" w14:paraId="6F515459" w14:textId="77777777" w:rsidTr="00075001">
        <w:trPr>
          <w:trHeight w:hRule="exact" w:val="279"/>
        </w:trPr>
        <w:tc>
          <w:tcPr>
            <w:tcW w:w="9209" w:type="dxa"/>
            <w:tcBorders>
              <w:right w:val="dashed" w:sz="4" w:space="0" w:color="000000"/>
            </w:tcBorders>
          </w:tcPr>
          <w:p w14:paraId="6868AFAD" w14:textId="77777777" w:rsidR="00075001" w:rsidRDefault="00075001" w:rsidP="00075001">
            <w:pPr>
              <w:pStyle w:val="TableParagraph"/>
              <w:rPr>
                <w:b/>
              </w:rPr>
            </w:pPr>
            <w:r>
              <w:rPr>
                <w:b/>
              </w:rPr>
              <w:lastRenderedPageBreak/>
              <w:t>Medication-related</w:t>
            </w:r>
          </w:p>
        </w:tc>
        <w:tc>
          <w:tcPr>
            <w:tcW w:w="1843" w:type="dxa"/>
            <w:tcBorders>
              <w:left w:val="dashed" w:sz="4" w:space="0" w:color="000000"/>
              <w:right w:val="dashed" w:sz="4" w:space="0" w:color="000000"/>
            </w:tcBorders>
          </w:tcPr>
          <w:p w14:paraId="13285CC3" w14:textId="77777777" w:rsidR="00075001" w:rsidRDefault="00075001" w:rsidP="00075001"/>
        </w:tc>
        <w:tc>
          <w:tcPr>
            <w:tcW w:w="1984" w:type="dxa"/>
            <w:tcBorders>
              <w:left w:val="dashed" w:sz="4" w:space="0" w:color="000000"/>
              <w:right w:val="dashed" w:sz="4" w:space="0" w:color="000000"/>
            </w:tcBorders>
          </w:tcPr>
          <w:p w14:paraId="0E7B614F" w14:textId="77777777" w:rsidR="00075001" w:rsidRDefault="00075001" w:rsidP="00075001"/>
        </w:tc>
        <w:tc>
          <w:tcPr>
            <w:tcW w:w="1701" w:type="dxa"/>
            <w:tcBorders>
              <w:left w:val="dashed" w:sz="4" w:space="0" w:color="000000"/>
            </w:tcBorders>
          </w:tcPr>
          <w:p w14:paraId="2E50DD94" w14:textId="77777777" w:rsidR="00075001" w:rsidRDefault="00075001" w:rsidP="00075001"/>
        </w:tc>
      </w:tr>
      <w:tr w:rsidR="00075001" w14:paraId="6B2E3990" w14:textId="77777777" w:rsidTr="00075001">
        <w:trPr>
          <w:trHeight w:hRule="exact" w:val="279"/>
        </w:trPr>
        <w:tc>
          <w:tcPr>
            <w:tcW w:w="9209" w:type="dxa"/>
            <w:tcBorders>
              <w:right w:val="dashed" w:sz="4" w:space="0" w:color="000000"/>
            </w:tcBorders>
          </w:tcPr>
          <w:p w14:paraId="1E1DD584" w14:textId="77777777" w:rsidR="00075001" w:rsidRDefault="00075001" w:rsidP="00075001">
            <w:pPr>
              <w:pStyle w:val="TableParagraph"/>
            </w:pPr>
            <w:r>
              <w:t>No. of drugs† - Median (IQR)</w:t>
            </w:r>
          </w:p>
        </w:tc>
        <w:tc>
          <w:tcPr>
            <w:tcW w:w="1843" w:type="dxa"/>
            <w:tcBorders>
              <w:left w:val="dashed" w:sz="4" w:space="0" w:color="000000"/>
              <w:right w:val="dashed" w:sz="4" w:space="0" w:color="000000"/>
            </w:tcBorders>
          </w:tcPr>
          <w:p w14:paraId="7994F41A" w14:textId="77777777" w:rsidR="00075001" w:rsidRDefault="00075001" w:rsidP="00075001">
            <w:pPr>
              <w:pStyle w:val="TableParagraph"/>
            </w:pPr>
            <w:r>
              <w:t>7 (5)</w:t>
            </w:r>
          </w:p>
        </w:tc>
        <w:tc>
          <w:tcPr>
            <w:tcW w:w="1984" w:type="dxa"/>
            <w:tcBorders>
              <w:left w:val="dashed" w:sz="4" w:space="0" w:color="000000"/>
              <w:right w:val="dashed" w:sz="4" w:space="0" w:color="000000"/>
            </w:tcBorders>
          </w:tcPr>
          <w:p w14:paraId="626590C4" w14:textId="77777777" w:rsidR="00075001" w:rsidRDefault="00075001" w:rsidP="00075001">
            <w:pPr>
              <w:pStyle w:val="TableParagraph"/>
              <w:ind w:left="102"/>
            </w:pPr>
            <w:r>
              <w:t>7 (5)</w:t>
            </w:r>
          </w:p>
        </w:tc>
        <w:tc>
          <w:tcPr>
            <w:tcW w:w="1701" w:type="dxa"/>
            <w:tcBorders>
              <w:left w:val="dashed" w:sz="4" w:space="0" w:color="000000"/>
            </w:tcBorders>
          </w:tcPr>
          <w:p w14:paraId="6D6F8AD7" w14:textId="77777777" w:rsidR="00075001" w:rsidRDefault="00075001" w:rsidP="00075001">
            <w:pPr>
              <w:pStyle w:val="TableParagraph"/>
            </w:pPr>
            <w:r>
              <w:t>0.720</w:t>
            </w:r>
          </w:p>
        </w:tc>
      </w:tr>
      <w:tr w:rsidR="00075001" w14:paraId="0C475CF9" w14:textId="77777777" w:rsidTr="00075001">
        <w:trPr>
          <w:trHeight w:hRule="exact" w:val="290"/>
        </w:trPr>
        <w:tc>
          <w:tcPr>
            <w:tcW w:w="9209" w:type="dxa"/>
            <w:tcBorders>
              <w:right w:val="dashed" w:sz="4" w:space="0" w:color="000000"/>
            </w:tcBorders>
          </w:tcPr>
          <w:p w14:paraId="67633309" w14:textId="77777777" w:rsidR="00075001" w:rsidRDefault="00075001" w:rsidP="00075001">
            <w:pPr>
              <w:pStyle w:val="TableParagraph"/>
            </w:pPr>
            <w:r>
              <w:t>Polypharmacy (</w:t>
            </w:r>
            <w:r>
              <w:rPr>
                <w:rFonts w:ascii="Symbol" w:hAnsi="Symbol"/>
              </w:rPr>
              <w:t></w:t>
            </w:r>
            <w:r>
              <w:rPr>
                <w:rFonts w:ascii="Times New Roman" w:hAnsi="Times New Roman"/>
              </w:rPr>
              <w:t xml:space="preserve"> </w:t>
            </w:r>
            <w:r>
              <w:t>5 drugs) - Frequency (%)</w:t>
            </w:r>
          </w:p>
        </w:tc>
        <w:tc>
          <w:tcPr>
            <w:tcW w:w="1843" w:type="dxa"/>
            <w:tcBorders>
              <w:left w:val="dashed" w:sz="4" w:space="0" w:color="000000"/>
              <w:right w:val="dashed" w:sz="4" w:space="0" w:color="000000"/>
            </w:tcBorders>
          </w:tcPr>
          <w:p w14:paraId="63A9C57F" w14:textId="77777777" w:rsidR="00075001" w:rsidRDefault="00075001" w:rsidP="00075001">
            <w:pPr>
              <w:pStyle w:val="TableParagraph"/>
              <w:spacing w:before="6"/>
            </w:pPr>
            <w:r>
              <w:t>1,978 (78.0)</w:t>
            </w:r>
          </w:p>
        </w:tc>
        <w:tc>
          <w:tcPr>
            <w:tcW w:w="1984" w:type="dxa"/>
            <w:tcBorders>
              <w:left w:val="dashed" w:sz="4" w:space="0" w:color="000000"/>
              <w:right w:val="dashed" w:sz="4" w:space="0" w:color="000000"/>
            </w:tcBorders>
          </w:tcPr>
          <w:p w14:paraId="030A8231" w14:textId="77777777" w:rsidR="00075001" w:rsidRDefault="00075001" w:rsidP="00075001">
            <w:pPr>
              <w:pStyle w:val="TableParagraph"/>
              <w:spacing w:before="6"/>
              <w:ind w:left="102"/>
            </w:pPr>
            <w:r>
              <w:t>808 (77.3)</w:t>
            </w:r>
          </w:p>
        </w:tc>
        <w:tc>
          <w:tcPr>
            <w:tcW w:w="1701" w:type="dxa"/>
            <w:tcBorders>
              <w:left w:val="dashed" w:sz="4" w:space="0" w:color="000000"/>
            </w:tcBorders>
          </w:tcPr>
          <w:p w14:paraId="4531383D" w14:textId="77777777" w:rsidR="00075001" w:rsidRDefault="00075001" w:rsidP="00075001">
            <w:pPr>
              <w:pStyle w:val="TableParagraph"/>
              <w:spacing w:before="6"/>
            </w:pPr>
            <w:r>
              <w:t>0.623</w:t>
            </w:r>
          </w:p>
        </w:tc>
      </w:tr>
      <w:tr w:rsidR="00075001" w14:paraId="52972796" w14:textId="77777777" w:rsidTr="00075001">
        <w:trPr>
          <w:trHeight w:hRule="exact" w:val="279"/>
        </w:trPr>
        <w:tc>
          <w:tcPr>
            <w:tcW w:w="9209" w:type="dxa"/>
            <w:tcBorders>
              <w:right w:val="dashed" w:sz="4" w:space="0" w:color="000000"/>
            </w:tcBorders>
          </w:tcPr>
          <w:p w14:paraId="28C67AA6" w14:textId="77777777" w:rsidR="00075001" w:rsidRDefault="00075001" w:rsidP="00075001">
            <w:pPr>
              <w:pStyle w:val="TableParagraph"/>
            </w:pPr>
            <w:r>
              <w:t>3-digit ATC-codes - Frequency (%)</w:t>
            </w:r>
          </w:p>
        </w:tc>
        <w:tc>
          <w:tcPr>
            <w:tcW w:w="1843" w:type="dxa"/>
            <w:tcBorders>
              <w:left w:val="dashed" w:sz="4" w:space="0" w:color="000000"/>
              <w:right w:val="dashed" w:sz="4" w:space="0" w:color="000000"/>
            </w:tcBorders>
          </w:tcPr>
          <w:p w14:paraId="615C0300" w14:textId="77777777" w:rsidR="00075001" w:rsidRDefault="00075001" w:rsidP="00075001"/>
        </w:tc>
        <w:tc>
          <w:tcPr>
            <w:tcW w:w="1984" w:type="dxa"/>
            <w:tcBorders>
              <w:left w:val="dashed" w:sz="4" w:space="0" w:color="000000"/>
              <w:right w:val="dashed" w:sz="4" w:space="0" w:color="000000"/>
            </w:tcBorders>
          </w:tcPr>
          <w:p w14:paraId="21EC08E5" w14:textId="77777777" w:rsidR="00075001" w:rsidRDefault="00075001" w:rsidP="00075001"/>
        </w:tc>
        <w:tc>
          <w:tcPr>
            <w:tcW w:w="1701" w:type="dxa"/>
            <w:tcBorders>
              <w:left w:val="dashed" w:sz="4" w:space="0" w:color="000000"/>
            </w:tcBorders>
          </w:tcPr>
          <w:p w14:paraId="771DF043" w14:textId="77777777" w:rsidR="00075001" w:rsidRDefault="00075001" w:rsidP="00075001"/>
        </w:tc>
      </w:tr>
      <w:tr w:rsidR="00075001" w14:paraId="7806CB18" w14:textId="77777777" w:rsidTr="00075001">
        <w:trPr>
          <w:trHeight w:hRule="exact" w:val="279"/>
        </w:trPr>
        <w:tc>
          <w:tcPr>
            <w:tcW w:w="9209" w:type="dxa"/>
            <w:tcBorders>
              <w:right w:val="dashed" w:sz="4" w:space="0" w:color="000000"/>
            </w:tcBorders>
          </w:tcPr>
          <w:p w14:paraId="0BD6790A" w14:textId="77777777" w:rsidR="00075001" w:rsidRDefault="00075001" w:rsidP="00075001">
            <w:pPr>
              <w:pStyle w:val="TableParagraph"/>
              <w:tabs>
                <w:tab w:val="left" w:pos="822"/>
              </w:tabs>
              <w:ind w:left="462"/>
            </w:pPr>
            <w:r>
              <w:t>-</w:t>
            </w:r>
            <w:r>
              <w:tab/>
              <w:t>Drugs for acid-related disorders -</w:t>
            </w:r>
            <w:r>
              <w:rPr>
                <w:spacing w:val="-13"/>
              </w:rPr>
              <w:t xml:space="preserve"> </w:t>
            </w:r>
            <w:r>
              <w:t>A02</w:t>
            </w:r>
          </w:p>
        </w:tc>
        <w:tc>
          <w:tcPr>
            <w:tcW w:w="1843" w:type="dxa"/>
            <w:tcBorders>
              <w:left w:val="dashed" w:sz="4" w:space="0" w:color="000000"/>
              <w:right w:val="dashed" w:sz="4" w:space="0" w:color="000000"/>
            </w:tcBorders>
          </w:tcPr>
          <w:p w14:paraId="3DEE3C6A" w14:textId="77777777" w:rsidR="00075001" w:rsidRDefault="00075001" w:rsidP="00075001">
            <w:pPr>
              <w:pStyle w:val="TableParagraph"/>
            </w:pPr>
            <w:r>
              <w:t>950 (68.3)</w:t>
            </w:r>
          </w:p>
        </w:tc>
        <w:tc>
          <w:tcPr>
            <w:tcW w:w="1984" w:type="dxa"/>
            <w:tcBorders>
              <w:left w:val="dashed" w:sz="4" w:space="0" w:color="000000"/>
              <w:right w:val="dashed" w:sz="4" w:space="0" w:color="000000"/>
            </w:tcBorders>
          </w:tcPr>
          <w:p w14:paraId="779088CB" w14:textId="77777777" w:rsidR="00075001" w:rsidRDefault="00075001" w:rsidP="00075001">
            <w:pPr>
              <w:pStyle w:val="TableParagraph"/>
              <w:ind w:left="102"/>
            </w:pPr>
            <w:r>
              <w:t>441 (31.7)</w:t>
            </w:r>
          </w:p>
        </w:tc>
        <w:tc>
          <w:tcPr>
            <w:tcW w:w="1701" w:type="dxa"/>
            <w:tcBorders>
              <w:left w:val="dashed" w:sz="4" w:space="0" w:color="000000"/>
            </w:tcBorders>
          </w:tcPr>
          <w:p w14:paraId="7EDCCF39" w14:textId="77777777" w:rsidR="00075001" w:rsidRDefault="00075001" w:rsidP="00075001">
            <w:pPr>
              <w:pStyle w:val="TableParagraph"/>
            </w:pPr>
            <w:r>
              <w:t>0.009</w:t>
            </w:r>
          </w:p>
        </w:tc>
      </w:tr>
      <w:tr w:rsidR="00075001" w14:paraId="7CAA08D0" w14:textId="77777777" w:rsidTr="00075001">
        <w:trPr>
          <w:trHeight w:hRule="exact" w:val="279"/>
        </w:trPr>
        <w:tc>
          <w:tcPr>
            <w:tcW w:w="9209" w:type="dxa"/>
            <w:tcBorders>
              <w:right w:val="dashed" w:sz="4" w:space="0" w:color="000000"/>
            </w:tcBorders>
          </w:tcPr>
          <w:p w14:paraId="37AA4EA1" w14:textId="77777777" w:rsidR="00075001" w:rsidRDefault="00075001" w:rsidP="00075001">
            <w:pPr>
              <w:pStyle w:val="TableParagraph"/>
              <w:tabs>
                <w:tab w:val="left" w:pos="822"/>
              </w:tabs>
              <w:ind w:left="462"/>
            </w:pPr>
            <w:r>
              <w:t>-</w:t>
            </w:r>
            <w:r>
              <w:tab/>
              <w:t>Drugs for constipation -</w:t>
            </w:r>
            <w:r>
              <w:rPr>
                <w:spacing w:val="-12"/>
              </w:rPr>
              <w:t xml:space="preserve"> </w:t>
            </w:r>
            <w:r>
              <w:t>A06</w:t>
            </w:r>
          </w:p>
        </w:tc>
        <w:tc>
          <w:tcPr>
            <w:tcW w:w="1843" w:type="dxa"/>
            <w:tcBorders>
              <w:left w:val="dashed" w:sz="4" w:space="0" w:color="000000"/>
              <w:right w:val="dashed" w:sz="4" w:space="0" w:color="000000"/>
            </w:tcBorders>
          </w:tcPr>
          <w:p w14:paraId="1B975A85" w14:textId="77777777" w:rsidR="00075001" w:rsidRDefault="00075001" w:rsidP="00075001">
            <w:pPr>
              <w:pStyle w:val="TableParagraph"/>
            </w:pPr>
            <w:r>
              <w:t>220 (71.7)</w:t>
            </w:r>
          </w:p>
        </w:tc>
        <w:tc>
          <w:tcPr>
            <w:tcW w:w="1984" w:type="dxa"/>
            <w:tcBorders>
              <w:left w:val="dashed" w:sz="4" w:space="0" w:color="000000"/>
              <w:right w:val="dashed" w:sz="4" w:space="0" w:color="000000"/>
            </w:tcBorders>
          </w:tcPr>
          <w:p w14:paraId="1878669A" w14:textId="77777777" w:rsidR="00075001" w:rsidRDefault="00075001" w:rsidP="00075001">
            <w:pPr>
              <w:pStyle w:val="TableParagraph"/>
              <w:ind w:left="102"/>
            </w:pPr>
            <w:r>
              <w:t>87 (28.3)</w:t>
            </w:r>
          </w:p>
        </w:tc>
        <w:tc>
          <w:tcPr>
            <w:tcW w:w="1701" w:type="dxa"/>
            <w:tcBorders>
              <w:left w:val="dashed" w:sz="4" w:space="0" w:color="000000"/>
            </w:tcBorders>
          </w:tcPr>
          <w:p w14:paraId="5E04E3F5" w14:textId="77777777" w:rsidR="00075001" w:rsidRDefault="00075001" w:rsidP="00075001">
            <w:pPr>
              <w:pStyle w:val="TableParagraph"/>
            </w:pPr>
            <w:r>
              <w:t>0.728</w:t>
            </w:r>
          </w:p>
        </w:tc>
      </w:tr>
      <w:tr w:rsidR="00075001" w14:paraId="01DB4DB5" w14:textId="77777777" w:rsidTr="00075001">
        <w:trPr>
          <w:trHeight w:hRule="exact" w:val="279"/>
        </w:trPr>
        <w:tc>
          <w:tcPr>
            <w:tcW w:w="9209" w:type="dxa"/>
            <w:tcBorders>
              <w:right w:val="dashed" w:sz="4" w:space="0" w:color="000000"/>
            </w:tcBorders>
          </w:tcPr>
          <w:p w14:paraId="22211976" w14:textId="77777777" w:rsidR="00075001" w:rsidRDefault="00075001" w:rsidP="00075001">
            <w:pPr>
              <w:pStyle w:val="TableParagraph"/>
              <w:tabs>
                <w:tab w:val="left" w:pos="822"/>
              </w:tabs>
              <w:ind w:left="462"/>
            </w:pPr>
            <w:r>
              <w:t>-</w:t>
            </w:r>
            <w:r>
              <w:tab/>
              <w:t>Drugs used in diabetes -</w:t>
            </w:r>
            <w:r>
              <w:rPr>
                <w:spacing w:val="-10"/>
              </w:rPr>
              <w:t xml:space="preserve"> </w:t>
            </w:r>
            <w:r>
              <w:t>A10</w:t>
            </w:r>
          </w:p>
        </w:tc>
        <w:tc>
          <w:tcPr>
            <w:tcW w:w="1843" w:type="dxa"/>
            <w:tcBorders>
              <w:left w:val="dashed" w:sz="4" w:space="0" w:color="000000"/>
              <w:right w:val="dashed" w:sz="4" w:space="0" w:color="000000"/>
            </w:tcBorders>
          </w:tcPr>
          <w:p w14:paraId="6ADA8E1E" w14:textId="77777777" w:rsidR="00075001" w:rsidRDefault="00075001" w:rsidP="00075001">
            <w:pPr>
              <w:pStyle w:val="TableParagraph"/>
            </w:pPr>
            <w:r>
              <w:t>718 (70.0)</w:t>
            </w:r>
          </w:p>
        </w:tc>
        <w:tc>
          <w:tcPr>
            <w:tcW w:w="1984" w:type="dxa"/>
            <w:tcBorders>
              <w:left w:val="dashed" w:sz="4" w:space="0" w:color="000000"/>
              <w:right w:val="dashed" w:sz="4" w:space="0" w:color="000000"/>
            </w:tcBorders>
          </w:tcPr>
          <w:p w14:paraId="5D8B1553" w14:textId="77777777" w:rsidR="00075001" w:rsidRDefault="00075001" w:rsidP="00075001">
            <w:pPr>
              <w:pStyle w:val="TableParagraph"/>
              <w:ind w:left="102"/>
            </w:pPr>
            <w:r>
              <w:t>308 (30.0)</w:t>
            </w:r>
          </w:p>
        </w:tc>
        <w:tc>
          <w:tcPr>
            <w:tcW w:w="1701" w:type="dxa"/>
            <w:tcBorders>
              <w:left w:val="dashed" w:sz="4" w:space="0" w:color="000000"/>
            </w:tcBorders>
          </w:tcPr>
          <w:p w14:paraId="3BBDF7E1" w14:textId="77777777" w:rsidR="00075001" w:rsidRDefault="00075001" w:rsidP="00075001">
            <w:pPr>
              <w:pStyle w:val="TableParagraph"/>
            </w:pPr>
            <w:r>
              <w:t>0.495</w:t>
            </w:r>
          </w:p>
        </w:tc>
      </w:tr>
      <w:tr w:rsidR="00075001" w14:paraId="3EA57220" w14:textId="77777777" w:rsidTr="00075001">
        <w:trPr>
          <w:trHeight w:hRule="exact" w:val="279"/>
        </w:trPr>
        <w:tc>
          <w:tcPr>
            <w:tcW w:w="9209" w:type="dxa"/>
            <w:tcBorders>
              <w:right w:val="dashed" w:sz="4" w:space="0" w:color="000000"/>
            </w:tcBorders>
          </w:tcPr>
          <w:p w14:paraId="5540B97F" w14:textId="77777777" w:rsidR="00075001" w:rsidRDefault="00075001" w:rsidP="00075001">
            <w:pPr>
              <w:pStyle w:val="TableParagraph"/>
              <w:tabs>
                <w:tab w:val="left" w:pos="822"/>
              </w:tabs>
              <w:ind w:left="462"/>
            </w:pPr>
            <w:r>
              <w:t>-</w:t>
            </w:r>
            <w:r>
              <w:tab/>
              <w:t>Mineral supplements -</w:t>
            </w:r>
            <w:r>
              <w:rPr>
                <w:spacing w:val="-8"/>
              </w:rPr>
              <w:t xml:space="preserve"> </w:t>
            </w:r>
            <w:r>
              <w:t>A12</w:t>
            </w:r>
          </w:p>
        </w:tc>
        <w:tc>
          <w:tcPr>
            <w:tcW w:w="1843" w:type="dxa"/>
            <w:tcBorders>
              <w:left w:val="dashed" w:sz="4" w:space="0" w:color="000000"/>
              <w:right w:val="dashed" w:sz="4" w:space="0" w:color="000000"/>
            </w:tcBorders>
          </w:tcPr>
          <w:p w14:paraId="2F192571" w14:textId="77777777" w:rsidR="00075001" w:rsidRDefault="00075001" w:rsidP="00075001">
            <w:pPr>
              <w:pStyle w:val="TableParagraph"/>
            </w:pPr>
            <w:r>
              <w:t>452 (72.3)</w:t>
            </w:r>
          </w:p>
        </w:tc>
        <w:tc>
          <w:tcPr>
            <w:tcW w:w="1984" w:type="dxa"/>
            <w:tcBorders>
              <w:left w:val="dashed" w:sz="4" w:space="0" w:color="000000"/>
              <w:right w:val="dashed" w:sz="4" w:space="0" w:color="000000"/>
            </w:tcBorders>
          </w:tcPr>
          <w:p w14:paraId="72BE2488" w14:textId="77777777" w:rsidR="00075001" w:rsidRDefault="00075001" w:rsidP="00075001">
            <w:pPr>
              <w:pStyle w:val="TableParagraph"/>
              <w:ind w:left="102"/>
            </w:pPr>
            <w:r>
              <w:t>173 (27.7)</w:t>
            </w:r>
          </w:p>
        </w:tc>
        <w:tc>
          <w:tcPr>
            <w:tcW w:w="1701" w:type="dxa"/>
            <w:tcBorders>
              <w:left w:val="dashed" w:sz="4" w:space="0" w:color="000000"/>
            </w:tcBorders>
          </w:tcPr>
          <w:p w14:paraId="038C765D" w14:textId="77777777" w:rsidR="00075001" w:rsidRDefault="00075001" w:rsidP="00075001">
            <w:pPr>
              <w:pStyle w:val="TableParagraph"/>
            </w:pPr>
            <w:r>
              <w:t>0.357</w:t>
            </w:r>
          </w:p>
        </w:tc>
      </w:tr>
      <w:tr w:rsidR="00075001" w14:paraId="13A452C5" w14:textId="77777777" w:rsidTr="00075001">
        <w:trPr>
          <w:trHeight w:hRule="exact" w:val="279"/>
        </w:trPr>
        <w:tc>
          <w:tcPr>
            <w:tcW w:w="9209" w:type="dxa"/>
            <w:tcBorders>
              <w:right w:val="dashed" w:sz="4" w:space="0" w:color="000000"/>
            </w:tcBorders>
          </w:tcPr>
          <w:p w14:paraId="6C181322" w14:textId="77777777" w:rsidR="00075001" w:rsidRDefault="00075001" w:rsidP="00075001">
            <w:pPr>
              <w:pStyle w:val="TableParagraph"/>
              <w:tabs>
                <w:tab w:val="left" w:pos="822"/>
              </w:tabs>
              <w:ind w:left="462"/>
            </w:pPr>
            <w:r>
              <w:t>-</w:t>
            </w:r>
            <w:r>
              <w:tab/>
              <w:t>Antithrombotic agents -</w:t>
            </w:r>
            <w:r>
              <w:rPr>
                <w:spacing w:val="-6"/>
              </w:rPr>
              <w:t xml:space="preserve"> </w:t>
            </w:r>
            <w:r>
              <w:t>B01</w:t>
            </w:r>
          </w:p>
        </w:tc>
        <w:tc>
          <w:tcPr>
            <w:tcW w:w="1843" w:type="dxa"/>
            <w:tcBorders>
              <w:left w:val="dashed" w:sz="4" w:space="0" w:color="000000"/>
              <w:right w:val="dashed" w:sz="4" w:space="0" w:color="000000"/>
            </w:tcBorders>
          </w:tcPr>
          <w:p w14:paraId="72A2F390" w14:textId="77777777" w:rsidR="00075001" w:rsidRDefault="00075001" w:rsidP="00075001">
            <w:pPr>
              <w:pStyle w:val="TableParagraph"/>
            </w:pPr>
            <w:r>
              <w:t>1,602 (70.3)</w:t>
            </w:r>
          </w:p>
        </w:tc>
        <w:tc>
          <w:tcPr>
            <w:tcW w:w="1984" w:type="dxa"/>
            <w:tcBorders>
              <w:left w:val="dashed" w:sz="4" w:space="0" w:color="000000"/>
              <w:right w:val="dashed" w:sz="4" w:space="0" w:color="000000"/>
            </w:tcBorders>
          </w:tcPr>
          <w:p w14:paraId="7066D106" w14:textId="77777777" w:rsidR="00075001" w:rsidRDefault="00075001" w:rsidP="00075001">
            <w:pPr>
              <w:pStyle w:val="TableParagraph"/>
              <w:ind w:left="102"/>
            </w:pPr>
            <w:r>
              <w:t>677 (29.7)</w:t>
            </w:r>
          </w:p>
        </w:tc>
        <w:tc>
          <w:tcPr>
            <w:tcW w:w="1701" w:type="dxa"/>
            <w:tcBorders>
              <w:left w:val="dashed" w:sz="4" w:space="0" w:color="000000"/>
            </w:tcBorders>
          </w:tcPr>
          <w:p w14:paraId="336DBACE" w14:textId="77777777" w:rsidR="00075001" w:rsidRDefault="00075001" w:rsidP="00075001">
            <w:pPr>
              <w:pStyle w:val="TableParagraph"/>
            </w:pPr>
            <w:r>
              <w:t>0.380</w:t>
            </w:r>
          </w:p>
        </w:tc>
      </w:tr>
      <w:tr w:rsidR="00075001" w14:paraId="6D065D0F" w14:textId="77777777" w:rsidTr="00075001">
        <w:trPr>
          <w:trHeight w:hRule="exact" w:val="279"/>
        </w:trPr>
        <w:tc>
          <w:tcPr>
            <w:tcW w:w="9209" w:type="dxa"/>
            <w:tcBorders>
              <w:right w:val="dashed" w:sz="4" w:space="0" w:color="000000"/>
            </w:tcBorders>
          </w:tcPr>
          <w:p w14:paraId="2208128E" w14:textId="77777777" w:rsidR="00075001" w:rsidRDefault="00075001" w:rsidP="00075001">
            <w:pPr>
              <w:pStyle w:val="TableParagraph"/>
              <w:tabs>
                <w:tab w:val="left" w:pos="822"/>
              </w:tabs>
              <w:ind w:left="462"/>
            </w:pPr>
            <w:r>
              <w:t>-</w:t>
            </w:r>
            <w:r>
              <w:tab/>
              <w:t>Cardiac therapy -</w:t>
            </w:r>
            <w:r>
              <w:rPr>
                <w:spacing w:val="-8"/>
              </w:rPr>
              <w:t xml:space="preserve"> </w:t>
            </w:r>
            <w:r>
              <w:t>C01</w:t>
            </w:r>
          </w:p>
        </w:tc>
        <w:tc>
          <w:tcPr>
            <w:tcW w:w="1843" w:type="dxa"/>
            <w:tcBorders>
              <w:left w:val="dashed" w:sz="4" w:space="0" w:color="000000"/>
              <w:right w:val="dashed" w:sz="4" w:space="0" w:color="000000"/>
            </w:tcBorders>
          </w:tcPr>
          <w:p w14:paraId="2ABC93E6" w14:textId="77777777" w:rsidR="00075001" w:rsidRDefault="00075001" w:rsidP="00075001">
            <w:pPr>
              <w:pStyle w:val="TableParagraph"/>
            </w:pPr>
            <w:r>
              <w:t>566 (68.4)</w:t>
            </w:r>
          </w:p>
        </w:tc>
        <w:tc>
          <w:tcPr>
            <w:tcW w:w="1984" w:type="dxa"/>
            <w:tcBorders>
              <w:left w:val="dashed" w:sz="4" w:space="0" w:color="000000"/>
              <w:right w:val="dashed" w:sz="4" w:space="0" w:color="000000"/>
            </w:tcBorders>
          </w:tcPr>
          <w:p w14:paraId="1F82AEE1" w14:textId="77777777" w:rsidR="00075001" w:rsidRDefault="00075001" w:rsidP="00075001">
            <w:pPr>
              <w:pStyle w:val="TableParagraph"/>
              <w:ind w:left="102"/>
            </w:pPr>
            <w:r>
              <w:t>261 (31.6)</w:t>
            </w:r>
          </w:p>
        </w:tc>
        <w:tc>
          <w:tcPr>
            <w:tcW w:w="1701" w:type="dxa"/>
            <w:tcBorders>
              <w:left w:val="dashed" w:sz="4" w:space="0" w:color="000000"/>
            </w:tcBorders>
          </w:tcPr>
          <w:p w14:paraId="737BBCC9" w14:textId="77777777" w:rsidR="00075001" w:rsidRDefault="00075001" w:rsidP="00075001">
            <w:pPr>
              <w:pStyle w:val="TableParagraph"/>
            </w:pPr>
            <w:r>
              <w:t>0.089</w:t>
            </w:r>
          </w:p>
        </w:tc>
      </w:tr>
      <w:tr w:rsidR="00075001" w14:paraId="79D7AE78" w14:textId="77777777" w:rsidTr="00075001">
        <w:trPr>
          <w:trHeight w:hRule="exact" w:val="279"/>
        </w:trPr>
        <w:tc>
          <w:tcPr>
            <w:tcW w:w="9209" w:type="dxa"/>
            <w:tcBorders>
              <w:right w:val="dashed" w:sz="4" w:space="0" w:color="000000"/>
            </w:tcBorders>
          </w:tcPr>
          <w:p w14:paraId="282CF3F9" w14:textId="77777777" w:rsidR="00075001" w:rsidRDefault="00075001" w:rsidP="00075001">
            <w:pPr>
              <w:pStyle w:val="TableParagraph"/>
              <w:tabs>
                <w:tab w:val="left" w:pos="822"/>
              </w:tabs>
              <w:ind w:left="462"/>
            </w:pPr>
            <w:r>
              <w:t>-</w:t>
            </w:r>
            <w:r>
              <w:tab/>
              <w:t>Diuretics -</w:t>
            </w:r>
            <w:r>
              <w:rPr>
                <w:spacing w:val="-8"/>
              </w:rPr>
              <w:t xml:space="preserve"> </w:t>
            </w:r>
            <w:r>
              <w:t>C03</w:t>
            </w:r>
          </w:p>
        </w:tc>
        <w:tc>
          <w:tcPr>
            <w:tcW w:w="1843" w:type="dxa"/>
            <w:tcBorders>
              <w:left w:val="dashed" w:sz="4" w:space="0" w:color="000000"/>
              <w:right w:val="dashed" w:sz="4" w:space="0" w:color="000000"/>
            </w:tcBorders>
          </w:tcPr>
          <w:p w14:paraId="5F98641B" w14:textId="77777777" w:rsidR="00075001" w:rsidRDefault="00075001" w:rsidP="00075001">
            <w:pPr>
              <w:pStyle w:val="TableParagraph"/>
            </w:pPr>
            <w:r>
              <w:t>1,024 (69.1)</w:t>
            </w:r>
          </w:p>
        </w:tc>
        <w:tc>
          <w:tcPr>
            <w:tcW w:w="1984" w:type="dxa"/>
            <w:tcBorders>
              <w:left w:val="dashed" w:sz="4" w:space="0" w:color="000000"/>
              <w:right w:val="dashed" w:sz="4" w:space="0" w:color="000000"/>
            </w:tcBorders>
          </w:tcPr>
          <w:p w14:paraId="7445590A" w14:textId="77777777" w:rsidR="00075001" w:rsidRDefault="00075001" w:rsidP="00075001">
            <w:pPr>
              <w:pStyle w:val="TableParagraph"/>
              <w:ind w:left="102"/>
            </w:pPr>
            <w:r>
              <w:t>457 (30.9)</w:t>
            </w:r>
          </w:p>
        </w:tc>
        <w:tc>
          <w:tcPr>
            <w:tcW w:w="1701" w:type="dxa"/>
            <w:tcBorders>
              <w:left w:val="dashed" w:sz="4" w:space="0" w:color="000000"/>
            </w:tcBorders>
          </w:tcPr>
          <w:p w14:paraId="2375D0CB" w14:textId="77777777" w:rsidR="00075001" w:rsidRDefault="00075001" w:rsidP="00075001">
            <w:pPr>
              <w:pStyle w:val="TableParagraph"/>
            </w:pPr>
            <w:r>
              <w:t>0.067</w:t>
            </w:r>
          </w:p>
        </w:tc>
      </w:tr>
      <w:tr w:rsidR="00075001" w14:paraId="4C766BB6" w14:textId="77777777" w:rsidTr="00075001">
        <w:trPr>
          <w:trHeight w:hRule="exact" w:val="279"/>
        </w:trPr>
        <w:tc>
          <w:tcPr>
            <w:tcW w:w="9209" w:type="dxa"/>
            <w:tcBorders>
              <w:right w:val="dashed" w:sz="4" w:space="0" w:color="000000"/>
            </w:tcBorders>
          </w:tcPr>
          <w:p w14:paraId="624D30AC" w14:textId="77777777" w:rsidR="00075001" w:rsidRDefault="00075001" w:rsidP="00075001">
            <w:pPr>
              <w:pStyle w:val="TableParagraph"/>
              <w:tabs>
                <w:tab w:val="left" w:pos="822"/>
              </w:tabs>
              <w:ind w:left="462"/>
            </w:pPr>
            <w:r>
              <w:t>-</w:t>
            </w:r>
            <w:r>
              <w:tab/>
              <w:t>Beta blocking agents -</w:t>
            </w:r>
            <w:r>
              <w:rPr>
                <w:spacing w:val="-8"/>
              </w:rPr>
              <w:t xml:space="preserve"> </w:t>
            </w:r>
            <w:r>
              <w:t>C07</w:t>
            </w:r>
          </w:p>
        </w:tc>
        <w:tc>
          <w:tcPr>
            <w:tcW w:w="1843" w:type="dxa"/>
            <w:tcBorders>
              <w:left w:val="dashed" w:sz="4" w:space="0" w:color="000000"/>
              <w:right w:val="dashed" w:sz="4" w:space="0" w:color="000000"/>
            </w:tcBorders>
          </w:tcPr>
          <w:p w14:paraId="465112B9" w14:textId="77777777" w:rsidR="00075001" w:rsidRDefault="00075001" w:rsidP="00075001">
            <w:pPr>
              <w:pStyle w:val="TableParagraph"/>
            </w:pPr>
            <w:r>
              <w:t>1,369 (71.4)</w:t>
            </w:r>
          </w:p>
        </w:tc>
        <w:tc>
          <w:tcPr>
            <w:tcW w:w="1984" w:type="dxa"/>
            <w:tcBorders>
              <w:left w:val="dashed" w:sz="4" w:space="0" w:color="000000"/>
              <w:right w:val="dashed" w:sz="4" w:space="0" w:color="000000"/>
            </w:tcBorders>
          </w:tcPr>
          <w:p w14:paraId="2F480DB0" w14:textId="77777777" w:rsidR="00075001" w:rsidRDefault="00075001" w:rsidP="00075001">
            <w:pPr>
              <w:pStyle w:val="TableParagraph"/>
              <w:ind w:left="102"/>
            </w:pPr>
            <w:r>
              <w:t>549 (28.6)</w:t>
            </w:r>
          </w:p>
        </w:tc>
        <w:tc>
          <w:tcPr>
            <w:tcW w:w="1701" w:type="dxa"/>
            <w:tcBorders>
              <w:left w:val="dashed" w:sz="4" w:space="0" w:color="000000"/>
            </w:tcBorders>
          </w:tcPr>
          <w:p w14:paraId="7A41E18A" w14:textId="77777777" w:rsidR="00075001" w:rsidRDefault="00075001" w:rsidP="00075001">
            <w:pPr>
              <w:pStyle w:val="TableParagraph"/>
            </w:pPr>
            <w:r>
              <w:t>0.414</w:t>
            </w:r>
          </w:p>
        </w:tc>
      </w:tr>
      <w:tr w:rsidR="00075001" w14:paraId="2ED09DF0" w14:textId="77777777" w:rsidTr="00075001">
        <w:trPr>
          <w:trHeight w:hRule="exact" w:val="279"/>
        </w:trPr>
        <w:tc>
          <w:tcPr>
            <w:tcW w:w="9209" w:type="dxa"/>
            <w:tcBorders>
              <w:right w:val="dashed" w:sz="4" w:space="0" w:color="000000"/>
            </w:tcBorders>
          </w:tcPr>
          <w:p w14:paraId="760EF344" w14:textId="77777777" w:rsidR="00075001" w:rsidRDefault="00075001" w:rsidP="00075001">
            <w:pPr>
              <w:pStyle w:val="TableParagraph"/>
              <w:tabs>
                <w:tab w:val="left" w:pos="822"/>
              </w:tabs>
              <w:ind w:left="462"/>
            </w:pPr>
            <w:r>
              <w:t>-</w:t>
            </w:r>
            <w:r>
              <w:tab/>
              <w:t>Calcium channel blockers -</w:t>
            </w:r>
            <w:r>
              <w:rPr>
                <w:spacing w:val="-12"/>
              </w:rPr>
              <w:t xml:space="preserve"> </w:t>
            </w:r>
            <w:r>
              <w:t>C08</w:t>
            </w:r>
          </w:p>
        </w:tc>
        <w:tc>
          <w:tcPr>
            <w:tcW w:w="1843" w:type="dxa"/>
            <w:tcBorders>
              <w:left w:val="dashed" w:sz="4" w:space="0" w:color="000000"/>
              <w:right w:val="dashed" w:sz="4" w:space="0" w:color="000000"/>
            </w:tcBorders>
          </w:tcPr>
          <w:p w14:paraId="369762DA" w14:textId="77777777" w:rsidR="00075001" w:rsidRDefault="00075001" w:rsidP="00075001">
            <w:pPr>
              <w:pStyle w:val="TableParagraph"/>
            </w:pPr>
            <w:r>
              <w:t>752 (72.8)</w:t>
            </w:r>
          </w:p>
        </w:tc>
        <w:tc>
          <w:tcPr>
            <w:tcW w:w="1984" w:type="dxa"/>
            <w:tcBorders>
              <w:left w:val="dashed" w:sz="4" w:space="0" w:color="000000"/>
              <w:right w:val="dashed" w:sz="4" w:space="0" w:color="000000"/>
            </w:tcBorders>
          </w:tcPr>
          <w:p w14:paraId="68B81571" w14:textId="77777777" w:rsidR="00075001" w:rsidRDefault="00075001" w:rsidP="00075001">
            <w:pPr>
              <w:pStyle w:val="TableParagraph"/>
              <w:ind w:left="102"/>
            </w:pPr>
            <w:r>
              <w:t>281 (27.2)</w:t>
            </w:r>
          </w:p>
        </w:tc>
        <w:tc>
          <w:tcPr>
            <w:tcW w:w="1701" w:type="dxa"/>
            <w:tcBorders>
              <w:left w:val="dashed" w:sz="4" w:space="0" w:color="000000"/>
            </w:tcBorders>
          </w:tcPr>
          <w:p w14:paraId="791B7E7E" w14:textId="77777777" w:rsidR="00075001" w:rsidRDefault="00075001" w:rsidP="00075001">
            <w:pPr>
              <w:pStyle w:val="TableParagraph"/>
            </w:pPr>
            <w:r>
              <w:t>0.094</w:t>
            </w:r>
          </w:p>
        </w:tc>
      </w:tr>
      <w:tr w:rsidR="00075001" w14:paraId="36E8E15B" w14:textId="77777777" w:rsidTr="00075001">
        <w:trPr>
          <w:trHeight w:hRule="exact" w:val="279"/>
        </w:trPr>
        <w:tc>
          <w:tcPr>
            <w:tcW w:w="9209" w:type="dxa"/>
            <w:tcBorders>
              <w:right w:val="dashed" w:sz="4" w:space="0" w:color="000000"/>
            </w:tcBorders>
          </w:tcPr>
          <w:p w14:paraId="1447C4E6" w14:textId="77777777" w:rsidR="00075001" w:rsidRDefault="00075001" w:rsidP="00075001">
            <w:pPr>
              <w:pStyle w:val="TableParagraph"/>
              <w:tabs>
                <w:tab w:val="left" w:pos="822"/>
              </w:tabs>
              <w:ind w:left="462"/>
            </w:pPr>
            <w:r>
              <w:t>-</w:t>
            </w:r>
            <w:r>
              <w:tab/>
              <w:t>Agents acting on the renin–angiotensin system -</w:t>
            </w:r>
            <w:r>
              <w:rPr>
                <w:spacing w:val="-19"/>
              </w:rPr>
              <w:t xml:space="preserve"> </w:t>
            </w:r>
            <w:r>
              <w:t>C09</w:t>
            </w:r>
          </w:p>
        </w:tc>
        <w:tc>
          <w:tcPr>
            <w:tcW w:w="1843" w:type="dxa"/>
            <w:tcBorders>
              <w:left w:val="dashed" w:sz="4" w:space="0" w:color="000000"/>
              <w:right w:val="dashed" w:sz="4" w:space="0" w:color="000000"/>
            </w:tcBorders>
          </w:tcPr>
          <w:p w14:paraId="205974B0" w14:textId="77777777" w:rsidR="00075001" w:rsidRDefault="00075001" w:rsidP="00075001">
            <w:pPr>
              <w:pStyle w:val="TableParagraph"/>
            </w:pPr>
            <w:r>
              <w:t>1,625 (71.8)</w:t>
            </w:r>
          </w:p>
        </w:tc>
        <w:tc>
          <w:tcPr>
            <w:tcW w:w="1984" w:type="dxa"/>
            <w:tcBorders>
              <w:left w:val="dashed" w:sz="4" w:space="0" w:color="000000"/>
              <w:right w:val="dashed" w:sz="4" w:space="0" w:color="000000"/>
            </w:tcBorders>
          </w:tcPr>
          <w:p w14:paraId="22DE4234" w14:textId="77777777" w:rsidR="00075001" w:rsidRDefault="00075001" w:rsidP="00075001">
            <w:pPr>
              <w:pStyle w:val="TableParagraph"/>
              <w:ind w:left="102"/>
            </w:pPr>
            <w:r>
              <w:t>637 (28.2)</w:t>
            </w:r>
          </w:p>
        </w:tc>
        <w:tc>
          <w:tcPr>
            <w:tcW w:w="1701" w:type="dxa"/>
            <w:tcBorders>
              <w:left w:val="dashed" w:sz="4" w:space="0" w:color="000000"/>
            </w:tcBorders>
          </w:tcPr>
          <w:p w14:paraId="439E9C8F" w14:textId="77777777" w:rsidR="00075001" w:rsidRDefault="00075001" w:rsidP="00075001">
            <w:pPr>
              <w:pStyle w:val="TableParagraph"/>
            </w:pPr>
            <w:r>
              <w:t>0.073</w:t>
            </w:r>
          </w:p>
        </w:tc>
      </w:tr>
      <w:tr w:rsidR="00075001" w14:paraId="3115B407" w14:textId="77777777" w:rsidTr="00075001">
        <w:trPr>
          <w:trHeight w:hRule="exact" w:val="279"/>
        </w:trPr>
        <w:tc>
          <w:tcPr>
            <w:tcW w:w="9209" w:type="dxa"/>
            <w:tcBorders>
              <w:right w:val="dashed" w:sz="4" w:space="0" w:color="000000"/>
            </w:tcBorders>
          </w:tcPr>
          <w:p w14:paraId="1F1A3DDF" w14:textId="77777777" w:rsidR="00075001" w:rsidRDefault="00075001" w:rsidP="00075001">
            <w:pPr>
              <w:pStyle w:val="TableParagraph"/>
              <w:tabs>
                <w:tab w:val="left" w:pos="822"/>
              </w:tabs>
              <w:ind w:left="462"/>
            </w:pPr>
            <w:r>
              <w:t>-</w:t>
            </w:r>
            <w:r>
              <w:tab/>
              <w:t>Lipid-modifying agents-</w:t>
            </w:r>
            <w:r>
              <w:rPr>
                <w:spacing w:val="-13"/>
              </w:rPr>
              <w:t xml:space="preserve"> </w:t>
            </w:r>
            <w:r>
              <w:t>C10</w:t>
            </w:r>
          </w:p>
        </w:tc>
        <w:tc>
          <w:tcPr>
            <w:tcW w:w="1843" w:type="dxa"/>
            <w:tcBorders>
              <w:left w:val="dashed" w:sz="4" w:space="0" w:color="000000"/>
              <w:right w:val="dashed" w:sz="4" w:space="0" w:color="000000"/>
            </w:tcBorders>
          </w:tcPr>
          <w:p w14:paraId="4CC4575F" w14:textId="77777777" w:rsidR="00075001" w:rsidRDefault="00075001" w:rsidP="00075001">
            <w:pPr>
              <w:pStyle w:val="TableParagraph"/>
            </w:pPr>
            <w:r>
              <w:t>1,346 (70.8)</w:t>
            </w:r>
          </w:p>
        </w:tc>
        <w:tc>
          <w:tcPr>
            <w:tcW w:w="1984" w:type="dxa"/>
            <w:tcBorders>
              <w:left w:val="dashed" w:sz="4" w:space="0" w:color="000000"/>
              <w:right w:val="dashed" w:sz="4" w:space="0" w:color="000000"/>
            </w:tcBorders>
          </w:tcPr>
          <w:p w14:paraId="2358BCAB" w14:textId="77777777" w:rsidR="00075001" w:rsidRDefault="00075001" w:rsidP="00075001">
            <w:pPr>
              <w:pStyle w:val="TableParagraph"/>
              <w:ind w:left="102"/>
            </w:pPr>
            <w:r>
              <w:t>555 (29.2)</w:t>
            </w:r>
          </w:p>
        </w:tc>
        <w:tc>
          <w:tcPr>
            <w:tcW w:w="1701" w:type="dxa"/>
            <w:tcBorders>
              <w:left w:val="dashed" w:sz="4" w:space="0" w:color="000000"/>
            </w:tcBorders>
          </w:tcPr>
          <w:p w14:paraId="1E4AA7D7" w14:textId="77777777" w:rsidR="00075001" w:rsidRDefault="00075001" w:rsidP="00075001">
            <w:pPr>
              <w:pStyle w:val="TableParagraph"/>
            </w:pPr>
            <w:r>
              <w:t>0.993</w:t>
            </w:r>
          </w:p>
        </w:tc>
      </w:tr>
      <w:tr w:rsidR="00075001" w14:paraId="7C307F2D" w14:textId="77777777" w:rsidTr="00075001">
        <w:trPr>
          <w:trHeight w:hRule="exact" w:val="279"/>
        </w:trPr>
        <w:tc>
          <w:tcPr>
            <w:tcW w:w="9209" w:type="dxa"/>
            <w:tcBorders>
              <w:right w:val="dashed" w:sz="4" w:space="0" w:color="000000"/>
            </w:tcBorders>
          </w:tcPr>
          <w:p w14:paraId="28A850FA" w14:textId="77777777" w:rsidR="00075001" w:rsidRDefault="00075001" w:rsidP="00075001">
            <w:pPr>
              <w:pStyle w:val="TableParagraph"/>
              <w:tabs>
                <w:tab w:val="left" w:pos="822"/>
              </w:tabs>
              <w:ind w:left="462"/>
            </w:pPr>
            <w:r>
              <w:t>-</w:t>
            </w:r>
            <w:r>
              <w:tab/>
            </w:r>
            <w:proofErr w:type="spellStart"/>
            <w:r>
              <w:t>Urologicals</w:t>
            </w:r>
            <w:proofErr w:type="spellEnd"/>
            <w:r>
              <w:t xml:space="preserve"> -</w:t>
            </w:r>
            <w:r>
              <w:rPr>
                <w:spacing w:val="-4"/>
              </w:rPr>
              <w:t xml:space="preserve"> </w:t>
            </w:r>
            <w:r>
              <w:t>G04</w:t>
            </w:r>
          </w:p>
        </w:tc>
        <w:tc>
          <w:tcPr>
            <w:tcW w:w="1843" w:type="dxa"/>
            <w:tcBorders>
              <w:left w:val="dashed" w:sz="4" w:space="0" w:color="000000"/>
              <w:right w:val="dashed" w:sz="4" w:space="0" w:color="000000"/>
            </w:tcBorders>
          </w:tcPr>
          <w:p w14:paraId="5C3757E4" w14:textId="77777777" w:rsidR="00075001" w:rsidRDefault="00075001" w:rsidP="00075001">
            <w:pPr>
              <w:pStyle w:val="TableParagraph"/>
            </w:pPr>
            <w:r>
              <w:t>328 (70.5)</w:t>
            </w:r>
          </w:p>
        </w:tc>
        <w:tc>
          <w:tcPr>
            <w:tcW w:w="1984" w:type="dxa"/>
            <w:tcBorders>
              <w:left w:val="dashed" w:sz="4" w:space="0" w:color="000000"/>
              <w:right w:val="dashed" w:sz="4" w:space="0" w:color="000000"/>
            </w:tcBorders>
          </w:tcPr>
          <w:p w14:paraId="5233B432" w14:textId="77777777" w:rsidR="00075001" w:rsidRDefault="00075001" w:rsidP="00075001">
            <w:pPr>
              <w:pStyle w:val="TableParagraph"/>
              <w:ind w:left="102"/>
            </w:pPr>
            <w:r>
              <w:t>137 (29.5)</w:t>
            </w:r>
          </w:p>
        </w:tc>
        <w:tc>
          <w:tcPr>
            <w:tcW w:w="1701" w:type="dxa"/>
            <w:tcBorders>
              <w:left w:val="dashed" w:sz="4" w:space="0" w:color="000000"/>
            </w:tcBorders>
          </w:tcPr>
          <w:p w14:paraId="2494D15C" w14:textId="77777777" w:rsidR="00075001" w:rsidRDefault="00075001" w:rsidP="00075001">
            <w:pPr>
              <w:pStyle w:val="TableParagraph"/>
            </w:pPr>
            <w:r>
              <w:t>0.895</w:t>
            </w:r>
          </w:p>
        </w:tc>
      </w:tr>
      <w:tr w:rsidR="00075001" w14:paraId="0A9B0A89" w14:textId="77777777" w:rsidTr="00075001">
        <w:trPr>
          <w:trHeight w:hRule="exact" w:val="279"/>
        </w:trPr>
        <w:tc>
          <w:tcPr>
            <w:tcW w:w="9209" w:type="dxa"/>
            <w:tcBorders>
              <w:right w:val="dashed" w:sz="4" w:space="0" w:color="000000"/>
            </w:tcBorders>
          </w:tcPr>
          <w:p w14:paraId="6B8BC97F" w14:textId="77777777" w:rsidR="00075001" w:rsidRDefault="00075001" w:rsidP="00075001">
            <w:pPr>
              <w:pStyle w:val="TableParagraph"/>
              <w:tabs>
                <w:tab w:val="left" w:pos="822"/>
              </w:tabs>
              <w:ind w:left="462"/>
            </w:pPr>
            <w:r>
              <w:t>-</w:t>
            </w:r>
            <w:r>
              <w:tab/>
              <w:t>Thyroid therapy -</w:t>
            </w:r>
            <w:r>
              <w:rPr>
                <w:spacing w:val="-6"/>
              </w:rPr>
              <w:t xml:space="preserve"> </w:t>
            </w:r>
            <w:r>
              <w:t>H03</w:t>
            </w:r>
          </w:p>
        </w:tc>
        <w:tc>
          <w:tcPr>
            <w:tcW w:w="1843" w:type="dxa"/>
            <w:tcBorders>
              <w:left w:val="dashed" w:sz="4" w:space="0" w:color="000000"/>
              <w:right w:val="dashed" w:sz="4" w:space="0" w:color="000000"/>
            </w:tcBorders>
          </w:tcPr>
          <w:p w14:paraId="6CBDF98E" w14:textId="77777777" w:rsidR="00075001" w:rsidRDefault="00075001" w:rsidP="00075001">
            <w:pPr>
              <w:pStyle w:val="TableParagraph"/>
            </w:pPr>
            <w:r>
              <w:t>412 (71.8)</w:t>
            </w:r>
          </w:p>
        </w:tc>
        <w:tc>
          <w:tcPr>
            <w:tcW w:w="1984" w:type="dxa"/>
            <w:tcBorders>
              <w:left w:val="dashed" w:sz="4" w:space="0" w:color="000000"/>
              <w:right w:val="dashed" w:sz="4" w:space="0" w:color="000000"/>
            </w:tcBorders>
          </w:tcPr>
          <w:p w14:paraId="4F1BB67E" w14:textId="77777777" w:rsidR="00075001" w:rsidRDefault="00075001" w:rsidP="00075001">
            <w:pPr>
              <w:pStyle w:val="TableParagraph"/>
              <w:ind w:left="102"/>
            </w:pPr>
            <w:r>
              <w:t>162 (28.2)</w:t>
            </w:r>
          </w:p>
        </w:tc>
        <w:tc>
          <w:tcPr>
            <w:tcW w:w="1701" w:type="dxa"/>
            <w:tcBorders>
              <w:left w:val="dashed" w:sz="4" w:space="0" w:color="000000"/>
            </w:tcBorders>
          </w:tcPr>
          <w:p w14:paraId="7534EDFD" w14:textId="77777777" w:rsidR="00075001" w:rsidRDefault="00075001" w:rsidP="00075001">
            <w:pPr>
              <w:pStyle w:val="TableParagraph"/>
            </w:pPr>
            <w:r>
              <w:t>0.574</w:t>
            </w:r>
          </w:p>
        </w:tc>
      </w:tr>
      <w:tr w:rsidR="00075001" w14:paraId="6937851B" w14:textId="77777777" w:rsidTr="00075001">
        <w:trPr>
          <w:trHeight w:hRule="exact" w:val="279"/>
        </w:trPr>
        <w:tc>
          <w:tcPr>
            <w:tcW w:w="9209" w:type="dxa"/>
            <w:tcBorders>
              <w:right w:val="dashed" w:sz="4" w:space="0" w:color="000000"/>
            </w:tcBorders>
          </w:tcPr>
          <w:p w14:paraId="78EFD48D" w14:textId="77777777" w:rsidR="00075001" w:rsidRDefault="00075001" w:rsidP="00075001">
            <w:pPr>
              <w:pStyle w:val="TableParagraph"/>
              <w:tabs>
                <w:tab w:val="left" w:pos="822"/>
              </w:tabs>
              <w:ind w:left="462"/>
            </w:pPr>
            <w:r>
              <w:t>-</w:t>
            </w:r>
            <w:r>
              <w:tab/>
              <w:t>Anti-inflammatory and antirheumatic products -</w:t>
            </w:r>
            <w:r>
              <w:rPr>
                <w:spacing w:val="-16"/>
              </w:rPr>
              <w:t xml:space="preserve"> </w:t>
            </w:r>
            <w:r>
              <w:t>M01</w:t>
            </w:r>
          </w:p>
        </w:tc>
        <w:tc>
          <w:tcPr>
            <w:tcW w:w="1843" w:type="dxa"/>
            <w:tcBorders>
              <w:left w:val="dashed" w:sz="4" w:space="0" w:color="000000"/>
              <w:right w:val="dashed" w:sz="4" w:space="0" w:color="000000"/>
            </w:tcBorders>
          </w:tcPr>
          <w:p w14:paraId="23BA1A90" w14:textId="77777777" w:rsidR="00075001" w:rsidRDefault="00075001" w:rsidP="00075001">
            <w:pPr>
              <w:pStyle w:val="TableParagraph"/>
            </w:pPr>
            <w:r>
              <w:t>316 (70.5)</w:t>
            </w:r>
          </w:p>
        </w:tc>
        <w:tc>
          <w:tcPr>
            <w:tcW w:w="1984" w:type="dxa"/>
            <w:tcBorders>
              <w:left w:val="dashed" w:sz="4" w:space="0" w:color="000000"/>
              <w:right w:val="dashed" w:sz="4" w:space="0" w:color="000000"/>
            </w:tcBorders>
          </w:tcPr>
          <w:p w14:paraId="3599CB2C" w14:textId="77777777" w:rsidR="00075001" w:rsidRDefault="00075001" w:rsidP="00075001">
            <w:pPr>
              <w:pStyle w:val="TableParagraph"/>
              <w:ind w:left="102"/>
            </w:pPr>
            <w:r>
              <w:t>132 (29.5)</w:t>
            </w:r>
          </w:p>
        </w:tc>
        <w:tc>
          <w:tcPr>
            <w:tcW w:w="1701" w:type="dxa"/>
            <w:tcBorders>
              <w:left w:val="dashed" w:sz="4" w:space="0" w:color="000000"/>
            </w:tcBorders>
          </w:tcPr>
          <w:p w14:paraId="68142E0D" w14:textId="77777777" w:rsidR="00075001" w:rsidRDefault="00075001" w:rsidP="00075001">
            <w:pPr>
              <w:pStyle w:val="TableParagraph"/>
            </w:pPr>
            <w:r>
              <w:t>0.896</w:t>
            </w:r>
          </w:p>
        </w:tc>
      </w:tr>
      <w:tr w:rsidR="00075001" w14:paraId="75167722" w14:textId="77777777" w:rsidTr="00075001">
        <w:trPr>
          <w:trHeight w:hRule="exact" w:val="279"/>
        </w:trPr>
        <w:tc>
          <w:tcPr>
            <w:tcW w:w="9209" w:type="dxa"/>
            <w:tcBorders>
              <w:right w:val="dashed" w:sz="4" w:space="0" w:color="000000"/>
            </w:tcBorders>
          </w:tcPr>
          <w:p w14:paraId="11FA5B97" w14:textId="77777777" w:rsidR="00075001" w:rsidRDefault="00075001" w:rsidP="00075001">
            <w:pPr>
              <w:pStyle w:val="TableParagraph"/>
              <w:tabs>
                <w:tab w:val="left" w:pos="822"/>
              </w:tabs>
              <w:ind w:left="462"/>
            </w:pPr>
            <w:r>
              <w:t>-</w:t>
            </w:r>
            <w:r>
              <w:tab/>
              <w:t>Antigout preparations -</w:t>
            </w:r>
            <w:r>
              <w:rPr>
                <w:spacing w:val="-6"/>
              </w:rPr>
              <w:t xml:space="preserve"> </w:t>
            </w:r>
            <w:r>
              <w:t>M04</w:t>
            </w:r>
          </w:p>
        </w:tc>
        <w:tc>
          <w:tcPr>
            <w:tcW w:w="1843" w:type="dxa"/>
            <w:tcBorders>
              <w:left w:val="dashed" w:sz="4" w:space="0" w:color="000000"/>
              <w:right w:val="dashed" w:sz="4" w:space="0" w:color="000000"/>
            </w:tcBorders>
          </w:tcPr>
          <w:p w14:paraId="4C987038" w14:textId="77777777" w:rsidR="00075001" w:rsidRDefault="00075001" w:rsidP="00075001">
            <w:pPr>
              <w:pStyle w:val="TableParagraph"/>
            </w:pPr>
            <w:r>
              <w:t>302 (73.9)</w:t>
            </w:r>
          </w:p>
        </w:tc>
        <w:tc>
          <w:tcPr>
            <w:tcW w:w="1984" w:type="dxa"/>
            <w:tcBorders>
              <w:left w:val="dashed" w:sz="4" w:space="0" w:color="000000"/>
              <w:right w:val="dashed" w:sz="4" w:space="0" w:color="000000"/>
            </w:tcBorders>
          </w:tcPr>
          <w:p w14:paraId="0F15EF4F" w14:textId="77777777" w:rsidR="00075001" w:rsidRDefault="00075001" w:rsidP="00075001">
            <w:pPr>
              <w:pStyle w:val="TableParagraph"/>
              <w:ind w:left="102"/>
            </w:pPr>
            <w:r>
              <w:t>112 (27.0)</w:t>
            </w:r>
          </w:p>
        </w:tc>
        <w:tc>
          <w:tcPr>
            <w:tcW w:w="1701" w:type="dxa"/>
            <w:tcBorders>
              <w:left w:val="dashed" w:sz="4" w:space="0" w:color="000000"/>
            </w:tcBorders>
          </w:tcPr>
          <w:p w14:paraId="578A70CE" w14:textId="77777777" w:rsidR="00075001" w:rsidRDefault="00075001" w:rsidP="00075001">
            <w:pPr>
              <w:pStyle w:val="TableParagraph"/>
            </w:pPr>
            <w:r>
              <w:t>0.307</w:t>
            </w:r>
          </w:p>
        </w:tc>
      </w:tr>
      <w:tr w:rsidR="00075001" w14:paraId="513DF413" w14:textId="77777777" w:rsidTr="00075001">
        <w:trPr>
          <w:trHeight w:hRule="exact" w:val="279"/>
        </w:trPr>
        <w:tc>
          <w:tcPr>
            <w:tcW w:w="9209" w:type="dxa"/>
            <w:tcBorders>
              <w:right w:val="dashed" w:sz="4" w:space="0" w:color="000000"/>
            </w:tcBorders>
          </w:tcPr>
          <w:p w14:paraId="79E54D8E" w14:textId="77777777" w:rsidR="00075001" w:rsidRDefault="00075001" w:rsidP="00075001">
            <w:pPr>
              <w:pStyle w:val="TableParagraph"/>
              <w:tabs>
                <w:tab w:val="left" w:pos="822"/>
              </w:tabs>
              <w:ind w:left="462"/>
            </w:pPr>
            <w:r>
              <w:t>-</w:t>
            </w:r>
            <w:r>
              <w:tab/>
              <w:t>Analgesics -</w:t>
            </w:r>
            <w:r>
              <w:rPr>
                <w:spacing w:val="-6"/>
              </w:rPr>
              <w:t xml:space="preserve"> </w:t>
            </w:r>
            <w:r>
              <w:t>N02</w:t>
            </w:r>
          </w:p>
        </w:tc>
        <w:tc>
          <w:tcPr>
            <w:tcW w:w="1843" w:type="dxa"/>
            <w:tcBorders>
              <w:left w:val="dashed" w:sz="4" w:space="0" w:color="000000"/>
              <w:right w:val="dashed" w:sz="4" w:space="0" w:color="000000"/>
            </w:tcBorders>
          </w:tcPr>
          <w:p w14:paraId="6CDD4AAD" w14:textId="77777777" w:rsidR="00075001" w:rsidRDefault="00075001" w:rsidP="00075001">
            <w:pPr>
              <w:pStyle w:val="TableParagraph"/>
            </w:pPr>
            <w:r>
              <w:t>441 (71.9)</w:t>
            </w:r>
          </w:p>
        </w:tc>
        <w:tc>
          <w:tcPr>
            <w:tcW w:w="1984" w:type="dxa"/>
            <w:tcBorders>
              <w:left w:val="dashed" w:sz="4" w:space="0" w:color="000000"/>
              <w:right w:val="dashed" w:sz="4" w:space="0" w:color="000000"/>
            </w:tcBorders>
          </w:tcPr>
          <w:p w14:paraId="0086C610" w14:textId="77777777" w:rsidR="00075001" w:rsidRDefault="00075001" w:rsidP="00075001">
            <w:pPr>
              <w:pStyle w:val="TableParagraph"/>
              <w:ind w:left="102"/>
            </w:pPr>
            <w:r>
              <w:t>172 (28.1)</w:t>
            </w:r>
          </w:p>
        </w:tc>
        <w:tc>
          <w:tcPr>
            <w:tcW w:w="1701" w:type="dxa"/>
            <w:tcBorders>
              <w:left w:val="dashed" w:sz="4" w:space="0" w:color="000000"/>
            </w:tcBorders>
          </w:tcPr>
          <w:p w14:paraId="4D6906FD" w14:textId="77777777" w:rsidR="00075001" w:rsidRDefault="00075001" w:rsidP="00075001">
            <w:pPr>
              <w:pStyle w:val="TableParagraph"/>
            </w:pPr>
            <w:r>
              <w:t>0.494</w:t>
            </w:r>
          </w:p>
        </w:tc>
      </w:tr>
      <w:tr w:rsidR="00075001" w14:paraId="5C40954F" w14:textId="77777777" w:rsidTr="00075001">
        <w:trPr>
          <w:trHeight w:hRule="exact" w:val="279"/>
        </w:trPr>
        <w:tc>
          <w:tcPr>
            <w:tcW w:w="9209" w:type="dxa"/>
            <w:tcBorders>
              <w:right w:val="dashed" w:sz="4" w:space="0" w:color="000000"/>
            </w:tcBorders>
          </w:tcPr>
          <w:p w14:paraId="50C94BE0" w14:textId="77777777" w:rsidR="00075001" w:rsidRDefault="00075001" w:rsidP="00075001">
            <w:pPr>
              <w:pStyle w:val="TableParagraph"/>
              <w:tabs>
                <w:tab w:val="left" w:pos="822"/>
              </w:tabs>
              <w:ind w:left="462"/>
            </w:pPr>
            <w:r>
              <w:t>-</w:t>
            </w:r>
            <w:r>
              <w:tab/>
            </w:r>
            <w:proofErr w:type="spellStart"/>
            <w:r>
              <w:t>Psycholeptics</w:t>
            </w:r>
            <w:proofErr w:type="spellEnd"/>
            <w:r>
              <w:t xml:space="preserve"> -</w:t>
            </w:r>
            <w:r>
              <w:rPr>
                <w:spacing w:val="-4"/>
              </w:rPr>
              <w:t xml:space="preserve"> </w:t>
            </w:r>
            <w:r>
              <w:t>N05</w:t>
            </w:r>
          </w:p>
        </w:tc>
        <w:tc>
          <w:tcPr>
            <w:tcW w:w="1843" w:type="dxa"/>
            <w:tcBorders>
              <w:left w:val="dashed" w:sz="4" w:space="0" w:color="000000"/>
              <w:right w:val="dashed" w:sz="4" w:space="0" w:color="000000"/>
            </w:tcBorders>
          </w:tcPr>
          <w:p w14:paraId="5570BB72" w14:textId="77777777" w:rsidR="00075001" w:rsidRDefault="00075001" w:rsidP="00075001">
            <w:pPr>
              <w:pStyle w:val="TableParagraph"/>
            </w:pPr>
            <w:r>
              <w:t>357 (68.3)</w:t>
            </w:r>
          </w:p>
        </w:tc>
        <w:tc>
          <w:tcPr>
            <w:tcW w:w="1984" w:type="dxa"/>
            <w:tcBorders>
              <w:left w:val="dashed" w:sz="4" w:space="0" w:color="000000"/>
              <w:right w:val="dashed" w:sz="4" w:space="0" w:color="000000"/>
            </w:tcBorders>
          </w:tcPr>
          <w:p w14:paraId="60D3F3E8" w14:textId="77777777" w:rsidR="00075001" w:rsidRDefault="00075001" w:rsidP="00075001">
            <w:pPr>
              <w:pStyle w:val="TableParagraph"/>
              <w:ind w:left="102"/>
            </w:pPr>
            <w:r>
              <w:t>166 (31.7)</w:t>
            </w:r>
          </w:p>
        </w:tc>
        <w:tc>
          <w:tcPr>
            <w:tcW w:w="1701" w:type="dxa"/>
            <w:tcBorders>
              <w:left w:val="dashed" w:sz="4" w:space="0" w:color="000000"/>
            </w:tcBorders>
          </w:tcPr>
          <w:p w14:paraId="3E40EFE9" w14:textId="77777777" w:rsidR="00075001" w:rsidRDefault="00075001" w:rsidP="00075001">
            <w:pPr>
              <w:pStyle w:val="TableParagraph"/>
            </w:pPr>
            <w:r>
              <w:t>0.167</w:t>
            </w:r>
          </w:p>
        </w:tc>
      </w:tr>
      <w:tr w:rsidR="00075001" w14:paraId="7319AE83" w14:textId="77777777" w:rsidTr="00075001">
        <w:trPr>
          <w:trHeight w:hRule="exact" w:val="279"/>
        </w:trPr>
        <w:tc>
          <w:tcPr>
            <w:tcW w:w="9209" w:type="dxa"/>
            <w:tcBorders>
              <w:right w:val="dashed" w:sz="4" w:space="0" w:color="000000"/>
            </w:tcBorders>
          </w:tcPr>
          <w:p w14:paraId="34ACE578" w14:textId="77777777" w:rsidR="00075001" w:rsidRDefault="00075001" w:rsidP="00075001">
            <w:pPr>
              <w:pStyle w:val="TableParagraph"/>
              <w:tabs>
                <w:tab w:val="left" w:pos="822"/>
              </w:tabs>
              <w:ind w:left="462"/>
            </w:pPr>
            <w:r>
              <w:t>-</w:t>
            </w:r>
            <w:r>
              <w:tab/>
            </w:r>
            <w:proofErr w:type="spellStart"/>
            <w:r>
              <w:t>Psychoanaleptics</w:t>
            </w:r>
            <w:proofErr w:type="spellEnd"/>
            <w:r>
              <w:t xml:space="preserve"> -</w:t>
            </w:r>
            <w:r>
              <w:rPr>
                <w:spacing w:val="-4"/>
              </w:rPr>
              <w:t xml:space="preserve"> </w:t>
            </w:r>
            <w:r>
              <w:t>N06</w:t>
            </w:r>
          </w:p>
        </w:tc>
        <w:tc>
          <w:tcPr>
            <w:tcW w:w="1843" w:type="dxa"/>
            <w:tcBorders>
              <w:left w:val="dashed" w:sz="4" w:space="0" w:color="000000"/>
              <w:right w:val="dashed" w:sz="4" w:space="0" w:color="000000"/>
            </w:tcBorders>
          </w:tcPr>
          <w:p w14:paraId="67EC0A67" w14:textId="77777777" w:rsidR="00075001" w:rsidRDefault="00075001" w:rsidP="00075001">
            <w:pPr>
              <w:pStyle w:val="TableParagraph"/>
            </w:pPr>
            <w:r>
              <w:t>332 (71.7)</w:t>
            </w:r>
          </w:p>
        </w:tc>
        <w:tc>
          <w:tcPr>
            <w:tcW w:w="1984" w:type="dxa"/>
            <w:tcBorders>
              <w:left w:val="dashed" w:sz="4" w:space="0" w:color="000000"/>
              <w:right w:val="dashed" w:sz="4" w:space="0" w:color="000000"/>
            </w:tcBorders>
          </w:tcPr>
          <w:p w14:paraId="6557FB24" w14:textId="77777777" w:rsidR="00075001" w:rsidRDefault="00075001" w:rsidP="00075001">
            <w:pPr>
              <w:pStyle w:val="TableParagraph"/>
              <w:ind w:left="102"/>
            </w:pPr>
            <w:r>
              <w:t>131 (28.3)</w:t>
            </w:r>
          </w:p>
        </w:tc>
        <w:tc>
          <w:tcPr>
            <w:tcW w:w="1701" w:type="dxa"/>
            <w:tcBorders>
              <w:left w:val="dashed" w:sz="4" w:space="0" w:color="000000"/>
            </w:tcBorders>
          </w:tcPr>
          <w:p w14:paraId="7B4A793A" w14:textId="77777777" w:rsidR="00075001" w:rsidRDefault="00075001" w:rsidP="00075001">
            <w:pPr>
              <w:pStyle w:val="TableParagraph"/>
            </w:pPr>
            <w:r>
              <w:t>0.645</w:t>
            </w:r>
          </w:p>
        </w:tc>
      </w:tr>
      <w:tr w:rsidR="00075001" w14:paraId="31A83317" w14:textId="77777777" w:rsidTr="00075001">
        <w:trPr>
          <w:trHeight w:hRule="exact" w:val="279"/>
        </w:trPr>
        <w:tc>
          <w:tcPr>
            <w:tcW w:w="9209" w:type="dxa"/>
            <w:tcBorders>
              <w:right w:val="dashed" w:sz="4" w:space="0" w:color="000000"/>
            </w:tcBorders>
          </w:tcPr>
          <w:p w14:paraId="3B48CEF4" w14:textId="77777777" w:rsidR="00075001" w:rsidRDefault="00075001" w:rsidP="00075001">
            <w:pPr>
              <w:pStyle w:val="TableParagraph"/>
              <w:tabs>
                <w:tab w:val="left" w:pos="822"/>
              </w:tabs>
              <w:ind w:left="462"/>
            </w:pPr>
            <w:r>
              <w:t>-</w:t>
            </w:r>
            <w:r>
              <w:tab/>
              <w:t>Drugs for obstructive airway diseases -</w:t>
            </w:r>
            <w:r>
              <w:rPr>
                <w:spacing w:val="-18"/>
              </w:rPr>
              <w:t xml:space="preserve"> </w:t>
            </w:r>
            <w:r>
              <w:t>R03</w:t>
            </w:r>
          </w:p>
        </w:tc>
        <w:tc>
          <w:tcPr>
            <w:tcW w:w="1843" w:type="dxa"/>
            <w:tcBorders>
              <w:left w:val="dashed" w:sz="4" w:space="0" w:color="000000"/>
              <w:right w:val="dashed" w:sz="4" w:space="0" w:color="000000"/>
            </w:tcBorders>
          </w:tcPr>
          <w:p w14:paraId="733827C0" w14:textId="77777777" w:rsidR="00075001" w:rsidRDefault="00075001" w:rsidP="00075001">
            <w:pPr>
              <w:pStyle w:val="TableParagraph"/>
            </w:pPr>
            <w:r>
              <w:t>414 (69.7)</w:t>
            </w:r>
          </w:p>
        </w:tc>
        <w:tc>
          <w:tcPr>
            <w:tcW w:w="1984" w:type="dxa"/>
            <w:tcBorders>
              <w:left w:val="dashed" w:sz="4" w:space="0" w:color="000000"/>
              <w:right w:val="dashed" w:sz="4" w:space="0" w:color="000000"/>
            </w:tcBorders>
          </w:tcPr>
          <w:p w14:paraId="4C59EB08" w14:textId="77777777" w:rsidR="00075001" w:rsidRDefault="00075001" w:rsidP="00075001">
            <w:pPr>
              <w:pStyle w:val="TableParagraph"/>
              <w:ind w:left="102"/>
            </w:pPr>
            <w:r>
              <w:t>180 (30.3)</w:t>
            </w:r>
          </w:p>
        </w:tc>
        <w:tc>
          <w:tcPr>
            <w:tcW w:w="1701" w:type="dxa"/>
            <w:tcBorders>
              <w:left w:val="dashed" w:sz="4" w:space="0" w:color="000000"/>
            </w:tcBorders>
          </w:tcPr>
          <w:p w14:paraId="309A7C88" w14:textId="77777777" w:rsidR="00075001" w:rsidRDefault="00075001" w:rsidP="00075001">
            <w:pPr>
              <w:pStyle w:val="TableParagraph"/>
            </w:pPr>
            <w:r>
              <w:t>0.518</w:t>
            </w:r>
          </w:p>
        </w:tc>
      </w:tr>
      <w:tr w:rsidR="00075001" w14:paraId="42D5E0A5" w14:textId="77777777" w:rsidTr="00075001">
        <w:trPr>
          <w:trHeight w:hRule="exact" w:val="279"/>
        </w:trPr>
        <w:tc>
          <w:tcPr>
            <w:tcW w:w="9209" w:type="dxa"/>
            <w:tcBorders>
              <w:right w:val="dashed" w:sz="4" w:space="0" w:color="000000"/>
            </w:tcBorders>
          </w:tcPr>
          <w:p w14:paraId="1CBCD05A" w14:textId="77777777" w:rsidR="00075001" w:rsidRDefault="00075001" w:rsidP="00075001">
            <w:pPr>
              <w:pStyle w:val="TableParagraph"/>
              <w:tabs>
                <w:tab w:val="left" w:pos="822"/>
              </w:tabs>
              <w:ind w:left="462"/>
            </w:pPr>
            <w:r>
              <w:t>-</w:t>
            </w:r>
            <w:r>
              <w:tab/>
            </w:r>
            <w:proofErr w:type="spellStart"/>
            <w:r>
              <w:t>Ophthalmologicals</w:t>
            </w:r>
            <w:proofErr w:type="spellEnd"/>
            <w:r>
              <w:t xml:space="preserve"> -</w:t>
            </w:r>
            <w:r>
              <w:rPr>
                <w:spacing w:val="-12"/>
              </w:rPr>
              <w:t xml:space="preserve"> </w:t>
            </w:r>
            <w:r>
              <w:t>S01</w:t>
            </w:r>
          </w:p>
        </w:tc>
        <w:tc>
          <w:tcPr>
            <w:tcW w:w="1843" w:type="dxa"/>
            <w:tcBorders>
              <w:left w:val="dashed" w:sz="4" w:space="0" w:color="000000"/>
              <w:right w:val="dashed" w:sz="4" w:space="0" w:color="000000"/>
            </w:tcBorders>
          </w:tcPr>
          <w:p w14:paraId="1291BBC1" w14:textId="77777777" w:rsidR="00075001" w:rsidRDefault="00075001" w:rsidP="00075001">
            <w:pPr>
              <w:pStyle w:val="TableParagraph"/>
            </w:pPr>
            <w:r>
              <w:t>418 (71.7)</w:t>
            </w:r>
          </w:p>
        </w:tc>
        <w:tc>
          <w:tcPr>
            <w:tcW w:w="1984" w:type="dxa"/>
            <w:tcBorders>
              <w:left w:val="dashed" w:sz="4" w:space="0" w:color="000000"/>
              <w:right w:val="dashed" w:sz="4" w:space="0" w:color="000000"/>
            </w:tcBorders>
          </w:tcPr>
          <w:p w14:paraId="7BDC9148" w14:textId="77777777" w:rsidR="00075001" w:rsidRDefault="00075001" w:rsidP="00075001">
            <w:pPr>
              <w:pStyle w:val="TableParagraph"/>
              <w:ind w:left="102"/>
            </w:pPr>
            <w:r>
              <w:t>165 (28.3)</w:t>
            </w:r>
          </w:p>
        </w:tc>
        <w:tc>
          <w:tcPr>
            <w:tcW w:w="1701" w:type="dxa"/>
            <w:tcBorders>
              <w:left w:val="dashed" w:sz="4" w:space="0" w:color="000000"/>
            </w:tcBorders>
          </w:tcPr>
          <w:p w14:paraId="57BE83DF" w14:textId="77777777" w:rsidR="00075001" w:rsidRDefault="00075001" w:rsidP="00075001">
            <w:pPr>
              <w:pStyle w:val="TableParagraph"/>
            </w:pPr>
            <w:r>
              <w:t>0.602</w:t>
            </w:r>
          </w:p>
        </w:tc>
      </w:tr>
      <w:tr w:rsidR="00075001" w14:paraId="2C894FEA" w14:textId="77777777" w:rsidTr="00075001">
        <w:trPr>
          <w:trHeight w:hRule="exact" w:val="279"/>
        </w:trPr>
        <w:tc>
          <w:tcPr>
            <w:tcW w:w="9209" w:type="dxa"/>
            <w:tcBorders>
              <w:right w:val="dashed" w:sz="4" w:space="0" w:color="000000"/>
            </w:tcBorders>
          </w:tcPr>
          <w:p w14:paraId="22180398" w14:textId="77777777" w:rsidR="00075001" w:rsidRDefault="00075001" w:rsidP="00075001">
            <w:pPr>
              <w:pStyle w:val="TableParagraph"/>
              <w:tabs>
                <w:tab w:val="left" w:pos="822"/>
              </w:tabs>
              <w:ind w:left="462"/>
            </w:pPr>
            <w:r>
              <w:t>-</w:t>
            </w:r>
            <w:r>
              <w:tab/>
              <w:t>Cardiac therapy -</w:t>
            </w:r>
            <w:r>
              <w:rPr>
                <w:spacing w:val="-8"/>
              </w:rPr>
              <w:t xml:space="preserve"> </w:t>
            </w:r>
            <w:r>
              <w:t>C01</w:t>
            </w:r>
          </w:p>
        </w:tc>
        <w:tc>
          <w:tcPr>
            <w:tcW w:w="1843" w:type="dxa"/>
            <w:tcBorders>
              <w:left w:val="dashed" w:sz="4" w:space="0" w:color="000000"/>
              <w:right w:val="dashed" w:sz="4" w:space="0" w:color="000000"/>
            </w:tcBorders>
          </w:tcPr>
          <w:p w14:paraId="0E4E960B" w14:textId="77777777" w:rsidR="00075001" w:rsidRDefault="00075001" w:rsidP="00075001">
            <w:pPr>
              <w:pStyle w:val="TableParagraph"/>
            </w:pPr>
            <w:r>
              <w:t>566 (68.4)</w:t>
            </w:r>
          </w:p>
        </w:tc>
        <w:tc>
          <w:tcPr>
            <w:tcW w:w="1984" w:type="dxa"/>
            <w:tcBorders>
              <w:left w:val="dashed" w:sz="4" w:space="0" w:color="000000"/>
              <w:right w:val="dashed" w:sz="4" w:space="0" w:color="000000"/>
            </w:tcBorders>
          </w:tcPr>
          <w:p w14:paraId="77DEE3D5" w14:textId="77777777" w:rsidR="00075001" w:rsidRDefault="00075001" w:rsidP="00075001">
            <w:pPr>
              <w:pStyle w:val="TableParagraph"/>
              <w:ind w:left="102"/>
            </w:pPr>
            <w:r>
              <w:t>261 (31.6)</w:t>
            </w:r>
          </w:p>
        </w:tc>
        <w:tc>
          <w:tcPr>
            <w:tcW w:w="1701" w:type="dxa"/>
            <w:tcBorders>
              <w:left w:val="dashed" w:sz="4" w:space="0" w:color="000000"/>
            </w:tcBorders>
          </w:tcPr>
          <w:p w14:paraId="3CD7594A" w14:textId="77777777" w:rsidR="00075001" w:rsidRDefault="00075001" w:rsidP="00075001">
            <w:pPr>
              <w:pStyle w:val="TableParagraph"/>
            </w:pPr>
            <w:r>
              <w:t>0.089</w:t>
            </w:r>
          </w:p>
        </w:tc>
      </w:tr>
      <w:tr w:rsidR="00075001" w14:paraId="3AB6E88D" w14:textId="77777777" w:rsidTr="00075001">
        <w:trPr>
          <w:trHeight w:hRule="exact" w:val="279"/>
        </w:trPr>
        <w:tc>
          <w:tcPr>
            <w:tcW w:w="9209" w:type="dxa"/>
            <w:tcBorders>
              <w:right w:val="dashed" w:sz="4" w:space="0" w:color="000000"/>
            </w:tcBorders>
          </w:tcPr>
          <w:p w14:paraId="2ACB8A4B" w14:textId="77777777" w:rsidR="00075001" w:rsidRDefault="00075001" w:rsidP="00075001">
            <w:pPr>
              <w:pStyle w:val="TableParagraph"/>
            </w:pPr>
            <w:r>
              <w:t>No. of Potentially Inappropriate Medications (PIM) according to the EU-PIM list - Median (IQR)</w:t>
            </w:r>
          </w:p>
        </w:tc>
        <w:tc>
          <w:tcPr>
            <w:tcW w:w="1843" w:type="dxa"/>
            <w:tcBorders>
              <w:left w:val="dashed" w:sz="4" w:space="0" w:color="000000"/>
              <w:right w:val="dashed" w:sz="4" w:space="0" w:color="000000"/>
            </w:tcBorders>
          </w:tcPr>
          <w:p w14:paraId="5D852142" w14:textId="77777777" w:rsidR="00075001" w:rsidRDefault="00075001" w:rsidP="00075001">
            <w:pPr>
              <w:pStyle w:val="TableParagraph"/>
            </w:pPr>
            <w:r>
              <w:t>1 (1)</w:t>
            </w:r>
          </w:p>
        </w:tc>
        <w:tc>
          <w:tcPr>
            <w:tcW w:w="1984" w:type="dxa"/>
            <w:tcBorders>
              <w:left w:val="dashed" w:sz="4" w:space="0" w:color="000000"/>
              <w:right w:val="dashed" w:sz="4" w:space="0" w:color="000000"/>
            </w:tcBorders>
          </w:tcPr>
          <w:p w14:paraId="5759BBCA" w14:textId="77777777" w:rsidR="00075001" w:rsidRDefault="00075001" w:rsidP="00075001">
            <w:pPr>
              <w:pStyle w:val="TableParagraph"/>
              <w:ind w:left="102"/>
            </w:pPr>
            <w:r>
              <w:t>1 (1)</w:t>
            </w:r>
          </w:p>
        </w:tc>
        <w:tc>
          <w:tcPr>
            <w:tcW w:w="1701" w:type="dxa"/>
            <w:tcBorders>
              <w:left w:val="dashed" w:sz="4" w:space="0" w:color="000000"/>
            </w:tcBorders>
          </w:tcPr>
          <w:p w14:paraId="288613EB" w14:textId="77777777" w:rsidR="00075001" w:rsidRDefault="00075001" w:rsidP="00075001">
            <w:pPr>
              <w:pStyle w:val="TableParagraph"/>
            </w:pPr>
            <w:r>
              <w:t>0.945</w:t>
            </w:r>
          </w:p>
        </w:tc>
      </w:tr>
      <w:tr w:rsidR="00075001" w14:paraId="663EC78C" w14:textId="77777777" w:rsidTr="00075001">
        <w:trPr>
          <w:trHeight w:hRule="exact" w:val="279"/>
        </w:trPr>
        <w:tc>
          <w:tcPr>
            <w:tcW w:w="9209" w:type="dxa"/>
            <w:tcBorders>
              <w:right w:val="dashed" w:sz="4" w:space="0" w:color="000000"/>
            </w:tcBorders>
          </w:tcPr>
          <w:p w14:paraId="16043C52" w14:textId="77777777" w:rsidR="00075001" w:rsidRDefault="00075001" w:rsidP="00075001">
            <w:pPr>
              <w:pStyle w:val="TableParagraph"/>
            </w:pPr>
            <w:r>
              <w:t>Drug Burden Index (DBI) - Median (IQR)</w:t>
            </w:r>
          </w:p>
        </w:tc>
        <w:tc>
          <w:tcPr>
            <w:tcW w:w="1843" w:type="dxa"/>
            <w:tcBorders>
              <w:left w:val="dashed" w:sz="4" w:space="0" w:color="000000"/>
              <w:right w:val="dashed" w:sz="4" w:space="0" w:color="000000"/>
            </w:tcBorders>
          </w:tcPr>
          <w:p w14:paraId="3B8ADA20" w14:textId="77777777" w:rsidR="00075001" w:rsidRDefault="00075001" w:rsidP="00075001">
            <w:pPr>
              <w:pStyle w:val="TableParagraph"/>
            </w:pPr>
            <w:r>
              <w:t>0</w:t>
            </w:r>
          </w:p>
        </w:tc>
        <w:tc>
          <w:tcPr>
            <w:tcW w:w="1984" w:type="dxa"/>
            <w:tcBorders>
              <w:left w:val="dashed" w:sz="4" w:space="0" w:color="000000"/>
              <w:right w:val="dashed" w:sz="4" w:space="0" w:color="000000"/>
            </w:tcBorders>
          </w:tcPr>
          <w:p w14:paraId="58DECA47" w14:textId="77777777" w:rsidR="00075001" w:rsidRDefault="00075001" w:rsidP="00075001">
            <w:pPr>
              <w:pStyle w:val="TableParagraph"/>
              <w:ind w:left="102"/>
            </w:pPr>
            <w:r>
              <w:t>0</w:t>
            </w:r>
          </w:p>
        </w:tc>
        <w:tc>
          <w:tcPr>
            <w:tcW w:w="1701" w:type="dxa"/>
            <w:tcBorders>
              <w:left w:val="dashed" w:sz="4" w:space="0" w:color="000000"/>
            </w:tcBorders>
          </w:tcPr>
          <w:p w14:paraId="7602D8A9" w14:textId="77777777" w:rsidR="00075001" w:rsidRDefault="00075001" w:rsidP="00075001">
            <w:pPr>
              <w:pStyle w:val="TableParagraph"/>
            </w:pPr>
            <w:r>
              <w:t>0.929</w:t>
            </w:r>
          </w:p>
        </w:tc>
      </w:tr>
      <w:tr w:rsidR="00075001" w14:paraId="1F0F8813" w14:textId="77777777" w:rsidTr="00075001">
        <w:trPr>
          <w:trHeight w:hRule="exact" w:val="279"/>
        </w:trPr>
        <w:tc>
          <w:tcPr>
            <w:tcW w:w="9209" w:type="dxa"/>
            <w:tcBorders>
              <w:right w:val="dashed" w:sz="4" w:space="0" w:color="000000"/>
            </w:tcBorders>
          </w:tcPr>
          <w:p w14:paraId="117A4551" w14:textId="77777777" w:rsidR="00075001" w:rsidRDefault="00075001" w:rsidP="00075001">
            <w:pPr>
              <w:pStyle w:val="TableParagraph"/>
            </w:pPr>
            <w:r>
              <w:t>Anticholinergic Drug Burden (ADB) according to Duran - Median (IQR)</w:t>
            </w:r>
          </w:p>
        </w:tc>
        <w:tc>
          <w:tcPr>
            <w:tcW w:w="1843" w:type="dxa"/>
            <w:tcBorders>
              <w:left w:val="dashed" w:sz="4" w:space="0" w:color="000000"/>
              <w:right w:val="dashed" w:sz="4" w:space="0" w:color="000000"/>
            </w:tcBorders>
          </w:tcPr>
          <w:p w14:paraId="1AC1E6C8" w14:textId="77777777" w:rsidR="00075001" w:rsidRDefault="00075001" w:rsidP="00075001">
            <w:pPr>
              <w:pStyle w:val="TableParagraph"/>
            </w:pPr>
            <w:r>
              <w:t>0</w:t>
            </w:r>
          </w:p>
        </w:tc>
        <w:tc>
          <w:tcPr>
            <w:tcW w:w="1984" w:type="dxa"/>
            <w:tcBorders>
              <w:left w:val="dashed" w:sz="4" w:space="0" w:color="000000"/>
              <w:right w:val="dashed" w:sz="4" w:space="0" w:color="000000"/>
            </w:tcBorders>
          </w:tcPr>
          <w:p w14:paraId="1BBF3C88" w14:textId="77777777" w:rsidR="00075001" w:rsidRDefault="00075001" w:rsidP="00075001">
            <w:pPr>
              <w:pStyle w:val="TableParagraph"/>
              <w:ind w:left="102"/>
            </w:pPr>
            <w:r>
              <w:t>0</w:t>
            </w:r>
          </w:p>
        </w:tc>
        <w:tc>
          <w:tcPr>
            <w:tcW w:w="1701" w:type="dxa"/>
            <w:tcBorders>
              <w:left w:val="dashed" w:sz="4" w:space="0" w:color="000000"/>
            </w:tcBorders>
          </w:tcPr>
          <w:p w14:paraId="1281F7E3" w14:textId="77777777" w:rsidR="00075001" w:rsidRDefault="00075001" w:rsidP="00075001">
            <w:pPr>
              <w:pStyle w:val="TableParagraph"/>
            </w:pPr>
            <w:r>
              <w:t>0.826</w:t>
            </w:r>
          </w:p>
        </w:tc>
      </w:tr>
      <w:tr w:rsidR="00075001" w14:paraId="08860DBD" w14:textId="77777777" w:rsidTr="00075001">
        <w:trPr>
          <w:trHeight w:hRule="exact" w:val="279"/>
        </w:trPr>
        <w:tc>
          <w:tcPr>
            <w:tcW w:w="9209" w:type="dxa"/>
            <w:tcBorders>
              <w:right w:val="dashed" w:sz="4" w:space="0" w:color="000000"/>
            </w:tcBorders>
          </w:tcPr>
          <w:p w14:paraId="31E3F4C1" w14:textId="77777777" w:rsidR="00075001" w:rsidRDefault="00075001" w:rsidP="00075001">
            <w:pPr>
              <w:pStyle w:val="TableParagraph"/>
            </w:pPr>
            <w:r>
              <w:t>Anticholinergic Drug Scale (ADS) according to Carnahan - Median (IQR)</w:t>
            </w:r>
          </w:p>
        </w:tc>
        <w:tc>
          <w:tcPr>
            <w:tcW w:w="1843" w:type="dxa"/>
            <w:tcBorders>
              <w:left w:val="dashed" w:sz="4" w:space="0" w:color="000000"/>
              <w:right w:val="dashed" w:sz="4" w:space="0" w:color="000000"/>
            </w:tcBorders>
          </w:tcPr>
          <w:p w14:paraId="11315E44" w14:textId="77777777" w:rsidR="00075001" w:rsidRDefault="00075001" w:rsidP="00075001">
            <w:pPr>
              <w:pStyle w:val="TableParagraph"/>
            </w:pPr>
            <w:r>
              <w:t>0</w:t>
            </w:r>
          </w:p>
        </w:tc>
        <w:tc>
          <w:tcPr>
            <w:tcW w:w="1984" w:type="dxa"/>
            <w:tcBorders>
              <w:left w:val="dashed" w:sz="4" w:space="0" w:color="000000"/>
              <w:right w:val="dashed" w:sz="4" w:space="0" w:color="000000"/>
            </w:tcBorders>
          </w:tcPr>
          <w:p w14:paraId="2DFA1B7D" w14:textId="77777777" w:rsidR="00075001" w:rsidRDefault="00075001" w:rsidP="00075001">
            <w:pPr>
              <w:pStyle w:val="TableParagraph"/>
              <w:ind w:left="102"/>
            </w:pPr>
            <w:r>
              <w:t>1 (0)</w:t>
            </w:r>
          </w:p>
        </w:tc>
        <w:tc>
          <w:tcPr>
            <w:tcW w:w="1701" w:type="dxa"/>
            <w:tcBorders>
              <w:left w:val="dashed" w:sz="4" w:space="0" w:color="000000"/>
            </w:tcBorders>
          </w:tcPr>
          <w:p w14:paraId="6EFD5A82" w14:textId="77777777" w:rsidR="00075001" w:rsidRDefault="00075001" w:rsidP="00075001">
            <w:pPr>
              <w:pStyle w:val="TableParagraph"/>
            </w:pPr>
            <w:r>
              <w:t>0.086</w:t>
            </w:r>
          </w:p>
        </w:tc>
      </w:tr>
      <w:tr w:rsidR="00075001" w14:paraId="78BF1E5C" w14:textId="77777777" w:rsidTr="00075001">
        <w:trPr>
          <w:trHeight w:hRule="exact" w:val="279"/>
        </w:trPr>
        <w:tc>
          <w:tcPr>
            <w:tcW w:w="9209" w:type="dxa"/>
            <w:tcBorders>
              <w:right w:val="dashed" w:sz="4" w:space="0" w:color="000000"/>
            </w:tcBorders>
          </w:tcPr>
          <w:p w14:paraId="19C9BD57" w14:textId="77777777" w:rsidR="00075001" w:rsidRDefault="00075001" w:rsidP="00075001">
            <w:pPr>
              <w:pStyle w:val="TableParagraph"/>
            </w:pPr>
            <w:r>
              <w:t>Overuse</w:t>
            </w:r>
          </w:p>
        </w:tc>
        <w:tc>
          <w:tcPr>
            <w:tcW w:w="1843" w:type="dxa"/>
            <w:tcBorders>
              <w:left w:val="dashed" w:sz="4" w:space="0" w:color="000000"/>
              <w:right w:val="dashed" w:sz="4" w:space="0" w:color="000000"/>
            </w:tcBorders>
          </w:tcPr>
          <w:p w14:paraId="6B71767D" w14:textId="77777777" w:rsidR="00075001" w:rsidRDefault="00075001" w:rsidP="00075001"/>
        </w:tc>
        <w:tc>
          <w:tcPr>
            <w:tcW w:w="1984" w:type="dxa"/>
            <w:tcBorders>
              <w:left w:val="dashed" w:sz="4" w:space="0" w:color="000000"/>
              <w:right w:val="dashed" w:sz="4" w:space="0" w:color="000000"/>
            </w:tcBorders>
          </w:tcPr>
          <w:p w14:paraId="7ADB88FA" w14:textId="77777777" w:rsidR="00075001" w:rsidRDefault="00075001" w:rsidP="00075001"/>
        </w:tc>
        <w:tc>
          <w:tcPr>
            <w:tcW w:w="1701" w:type="dxa"/>
            <w:tcBorders>
              <w:left w:val="dashed" w:sz="4" w:space="0" w:color="000000"/>
            </w:tcBorders>
          </w:tcPr>
          <w:p w14:paraId="5322CA7E" w14:textId="77777777" w:rsidR="00075001" w:rsidRDefault="00075001" w:rsidP="00075001"/>
        </w:tc>
      </w:tr>
    </w:tbl>
    <w:p w14:paraId="56FCA06A" w14:textId="77777777" w:rsidR="00075001" w:rsidRDefault="00075001" w:rsidP="00075001">
      <w:pPr>
        <w:sectPr w:rsidR="00075001">
          <w:headerReference w:type="even" r:id="rId31"/>
          <w:footerReference w:type="even" r:id="rId32"/>
          <w:pgSz w:w="16840" w:h="11910" w:orient="landscape"/>
          <w:pgMar w:top="1100" w:right="560" w:bottom="280" w:left="130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9"/>
        <w:gridCol w:w="1843"/>
        <w:gridCol w:w="1984"/>
        <w:gridCol w:w="1701"/>
      </w:tblGrid>
      <w:tr w:rsidR="00075001" w14:paraId="7419FF16" w14:textId="77777777" w:rsidTr="00075001">
        <w:trPr>
          <w:trHeight w:hRule="exact" w:val="279"/>
        </w:trPr>
        <w:tc>
          <w:tcPr>
            <w:tcW w:w="9209" w:type="dxa"/>
          </w:tcPr>
          <w:p w14:paraId="51BE486A" w14:textId="77777777" w:rsidR="00075001" w:rsidRDefault="00075001" w:rsidP="00075001">
            <w:pPr>
              <w:pStyle w:val="TableParagraph"/>
              <w:tabs>
                <w:tab w:val="left" w:pos="822"/>
              </w:tabs>
              <w:ind w:left="462"/>
            </w:pPr>
            <w:r>
              <w:lastRenderedPageBreak/>
              <w:t>-</w:t>
            </w:r>
            <w:r>
              <w:tab/>
              <w:t>STOPP criteria ** – Median</w:t>
            </w:r>
            <w:r>
              <w:rPr>
                <w:spacing w:val="-15"/>
              </w:rPr>
              <w:t xml:space="preserve"> </w:t>
            </w:r>
            <w:r>
              <w:t>(IQR)</w:t>
            </w:r>
          </w:p>
        </w:tc>
        <w:tc>
          <w:tcPr>
            <w:tcW w:w="1843" w:type="dxa"/>
          </w:tcPr>
          <w:p w14:paraId="0BECFE20" w14:textId="77777777" w:rsidR="00075001" w:rsidRDefault="00075001" w:rsidP="00075001">
            <w:pPr>
              <w:pStyle w:val="TableParagraph"/>
            </w:pPr>
            <w:r>
              <w:t>1 (1)</w:t>
            </w:r>
          </w:p>
        </w:tc>
        <w:tc>
          <w:tcPr>
            <w:tcW w:w="1984" w:type="dxa"/>
          </w:tcPr>
          <w:p w14:paraId="1DDDCF85" w14:textId="77777777" w:rsidR="00075001" w:rsidRDefault="00075001" w:rsidP="00075001">
            <w:pPr>
              <w:pStyle w:val="TableParagraph"/>
              <w:ind w:left="102"/>
            </w:pPr>
            <w:r>
              <w:t>1 (1)</w:t>
            </w:r>
          </w:p>
        </w:tc>
        <w:tc>
          <w:tcPr>
            <w:tcW w:w="1701" w:type="dxa"/>
          </w:tcPr>
          <w:p w14:paraId="616ED624" w14:textId="77777777" w:rsidR="00075001" w:rsidRDefault="00075001" w:rsidP="00075001">
            <w:pPr>
              <w:pStyle w:val="TableParagraph"/>
            </w:pPr>
            <w:r>
              <w:t>0.459</w:t>
            </w:r>
          </w:p>
        </w:tc>
      </w:tr>
      <w:tr w:rsidR="00075001" w14:paraId="38C952CB" w14:textId="77777777" w:rsidTr="00075001">
        <w:trPr>
          <w:trHeight w:hRule="exact" w:val="279"/>
        </w:trPr>
        <w:tc>
          <w:tcPr>
            <w:tcW w:w="9209" w:type="dxa"/>
          </w:tcPr>
          <w:p w14:paraId="245BF14B" w14:textId="77777777" w:rsidR="00075001" w:rsidRDefault="00075001" w:rsidP="00075001">
            <w:pPr>
              <w:pStyle w:val="TableParagraph"/>
              <w:tabs>
                <w:tab w:val="left" w:pos="822"/>
              </w:tabs>
              <w:ind w:left="462"/>
            </w:pPr>
            <w:r>
              <w:t>-</w:t>
            </w:r>
            <w:r>
              <w:tab/>
              <w:t>STOPP criteria ** - Frequency</w:t>
            </w:r>
            <w:r>
              <w:rPr>
                <w:spacing w:val="-16"/>
              </w:rPr>
              <w:t xml:space="preserve"> </w:t>
            </w:r>
            <w:r>
              <w:t>(%)</w:t>
            </w:r>
          </w:p>
        </w:tc>
        <w:tc>
          <w:tcPr>
            <w:tcW w:w="1843" w:type="dxa"/>
          </w:tcPr>
          <w:p w14:paraId="76449F49" w14:textId="77777777" w:rsidR="00075001" w:rsidRDefault="00075001" w:rsidP="00075001">
            <w:pPr>
              <w:pStyle w:val="TableParagraph"/>
            </w:pPr>
            <w:r>
              <w:t>2,164 (85.3)</w:t>
            </w:r>
          </w:p>
        </w:tc>
        <w:tc>
          <w:tcPr>
            <w:tcW w:w="1984" w:type="dxa"/>
          </w:tcPr>
          <w:p w14:paraId="419FB9F1" w14:textId="77777777" w:rsidR="00075001" w:rsidRDefault="00075001" w:rsidP="00075001">
            <w:pPr>
              <w:pStyle w:val="TableParagraph"/>
              <w:ind w:left="102"/>
            </w:pPr>
            <w:r>
              <w:t>884 (84.5)</w:t>
            </w:r>
          </w:p>
        </w:tc>
        <w:tc>
          <w:tcPr>
            <w:tcW w:w="1701" w:type="dxa"/>
          </w:tcPr>
          <w:p w14:paraId="27AD274C" w14:textId="77777777" w:rsidR="00075001" w:rsidRDefault="00075001" w:rsidP="00075001">
            <w:pPr>
              <w:pStyle w:val="TableParagraph"/>
            </w:pPr>
            <w:r>
              <w:t>0.532</w:t>
            </w:r>
          </w:p>
        </w:tc>
      </w:tr>
      <w:tr w:rsidR="00075001" w14:paraId="4E3E9382" w14:textId="77777777" w:rsidTr="00075001">
        <w:trPr>
          <w:trHeight w:hRule="exact" w:val="279"/>
        </w:trPr>
        <w:tc>
          <w:tcPr>
            <w:tcW w:w="9209" w:type="dxa"/>
          </w:tcPr>
          <w:p w14:paraId="1E7A1AD4" w14:textId="77777777" w:rsidR="00075001" w:rsidRDefault="00075001" w:rsidP="00075001">
            <w:pPr>
              <w:pStyle w:val="TableParagraph"/>
              <w:tabs>
                <w:tab w:val="left" w:pos="822"/>
              </w:tabs>
              <w:ind w:left="462"/>
            </w:pPr>
            <w:r>
              <w:t>-</w:t>
            </w:r>
            <w:r>
              <w:tab/>
              <w:t>Verapamil or diltiazem with heart failure - STOPP</w:t>
            </w:r>
            <w:r>
              <w:rPr>
                <w:spacing w:val="-18"/>
              </w:rPr>
              <w:t xml:space="preserve"> </w:t>
            </w:r>
            <w:r>
              <w:t>B2</w:t>
            </w:r>
          </w:p>
        </w:tc>
        <w:tc>
          <w:tcPr>
            <w:tcW w:w="1843" w:type="dxa"/>
          </w:tcPr>
          <w:p w14:paraId="4D63EBC4" w14:textId="77777777" w:rsidR="00075001" w:rsidRDefault="00075001" w:rsidP="00075001">
            <w:pPr>
              <w:pStyle w:val="TableParagraph"/>
            </w:pPr>
            <w:r>
              <w:t>23 (0.9)</w:t>
            </w:r>
          </w:p>
        </w:tc>
        <w:tc>
          <w:tcPr>
            <w:tcW w:w="1984" w:type="dxa"/>
          </w:tcPr>
          <w:p w14:paraId="0D589340" w14:textId="77777777" w:rsidR="00075001" w:rsidRDefault="00075001" w:rsidP="00075001">
            <w:pPr>
              <w:pStyle w:val="TableParagraph"/>
              <w:ind w:left="102"/>
            </w:pPr>
            <w:r>
              <w:t>13 (1.2)</w:t>
            </w:r>
          </w:p>
        </w:tc>
        <w:tc>
          <w:tcPr>
            <w:tcW w:w="1701" w:type="dxa"/>
          </w:tcPr>
          <w:p w14:paraId="1A15B7F3" w14:textId="77777777" w:rsidR="00075001" w:rsidRDefault="00075001" w:rsidP="00075001">
            <w:pPr>
              <w:pStyle w:val="TableParagraph"/>
            </w:pPr>
            <w:r>
              <w:t>0.361</w:t>
            </w:r>
          </w:p>
        </w:tc>
      </w:tr>
      <w:tr w:rsidR="00075001" w14:paraId="4DB4D03B" w14:textId="77777777" w:rsidTr="00075001">
        <w:trPr>
          <w:trHeight w:hRule="exact" w:val="547"/>
        </w:trPr>
        <w:tc>
          <w:tcPr>
            <w:tcW w:w="9209" w:type="dxa"/>
          </w:tcPr>
          <w:p w14:paraId="51ADBED6" w14:textId="77777777" w:rsidR="00075001" w:rsidRDefault="00075001" w:rsidP="00075001">
            <w:pPr>
              <w:pStyle w:val="TableParagraph"/>
              <w:tabs>
                <w:tab w:val="left" w:pos="822"/>
              </w:tabs>
              <w:ind w:left="822" w:right="643" w:hanging="360"/>
            </w:pPr>
            <w:r>
              <w:t>-</w:t>
            </w:r>
            <w:r>
              <w:tab/>
              <w:t>Aldosterone antagonists (e.g. spironolactone, eplerenone) with</w:t>
            </w:r>
            <w:r>
              <w:rPr>
                <w:spacing w:val="-30"/>
              </w:rPr>
              <w:t xml:space="preserve"> </w:t>
            </w:r>
            <w:r>
              <w:t>concurrent</w:t>
            </w:r>
            <w:r>
              <w:rPr>
                <w:spacing w:val="-5"/>
              </w:rPr>
              <w:t xml:space="preserve"> </w:t>
            </w:r>
            <w:r>
              <w:t>potassium- conserving drugs (e.g. ACE inhibitors, ARBs, amiloride, or triamterene) - STOPP</w:t>
            </w:r>
            <w:r>
              <w:rPr>
                <w:spacing w:val="-27"/>
              </w:rPr>
              <w:t xml:space="preserve"> </w:t>
            </w:r>
            <w:r>
              <w:t>B12</w:t>
            </w:r>
          </w:p>
        </w:tc>
        <w:tc>
          <w:tcPr>
            <w:tcW w:w="1843" w:type="dxa"/>
          </w:tcPr>
          <w:p w14:paraId="117F0511" w14:textId="77777777" w:rsidR="00075001" w:rsidRDefault="00075001" w:rsidP="00075001">
            <w:pPr>
              <w:pStyle w:val="TableParagraph"/>
              <w:spacing w:before="134"/>
            </w:pPr>
            <w:r>
              <w:t>85 (3.4)</w:t>
            </w:r>
          </w:p>
        </w:tc>
        <w:tc>
          <w:tcPr>
            <w:tcW w:w="1984" w:type="dxa"/>
          </w:tcPr>
          <w:p w14:paraId="50F2112D" w14:textId="77777777" w:rsidR="00075001" w:rsidRDefault="00075001" w:rsidP="00075001">
            <w:pPr>
              <w:pStyle w:val="TableParagraph"/>
              <w:spacing w:before="134"/>
              <w:ind w:left="102"/>
            </w:pPr>
            <w:r>
              <w:t>38 (3.6)</w:t>
            </w:r>
          </w:p>
        </w:tc>
        <w:tc>
          <w:tcPr>
            <w:tcW w:w="1701" w:type="dxa"/>
          </w:tcPr>
          <w:p w14:paraId="7189C76F" w14:textId="77777777" w:rsidR="00075001" w:rsidRDefault="00075001" w:rsidP="00075001">
            <w:pPr>
              <w:pStyle w:val="TableParagraph"/>
              <w:spacing w:before="134"/>
            </w:pPr>
            <w:r>
              <w:t>0.674</w:t>
            </w:r>
          </w:p>
        </w:tc>
      </w:tr>
      <w:tr w:rsidR="00075001" w14:paraId="50DCCE91" w14:textId="77777777" w:rsidTr="00075001">
        <w:trPr>
          <w:trHeight w:hRule="exact" w:val="547"/>
        </w:trPr>
        <w:tc>
          <w:tcPr>
            <w:tcW w:w="9209" w:type="dxa"/>
          </w:tcPr>
          <w:p w14:paraId="2CA53848" w14:textId="77777777" w:rsidR="00075001" w:rsidRDefault="00075001" w:rsidP="00075001">
            <w:pPr>
              <w:pStyle w:val="TableParagraph"/>
              <w:tabs>
                <w:tab w:val="left" w:pos="822"/>
              </w:tabs>
              <w:ind w:left="822" w:right="446" w:hanging="360"/>
            </w:pPr>
            <w:r>
              <w:t>-</w:t>
            </w:r>
            <w:r>
              <w:tab/>
              <w:t>Antiplatelet agents such as vitamin K antagonists, direct thrombin inhibitors, or</w:t>
            </w:r>
            <w:r>
              <w:rPr>
                <w:spacing w:val="-28"/>
              </w:rPr>
              <w:t xml:space="preserve"> </w:t>
            </w:r>
            <w:r>
              <w:t>factor</w:t>
            </w:r>
            <w:r>
              <w:rPr>
                <w:spacing w:val="-3"/>
              </w:rPr>
              <w:t xml:space="preserve"> </w:t>
            </w:r>
            <w:proofErr w:type="spellStart"/>
            <w:r>
              <w:t>Xa</w:t>
            </w:r>
            <w:proofErr w:type="spellEnd"/>
            <w:r>
              <w:t xml:space="preserve"> inhibitors in patients with coronary or cerebrovascular disease - STOPP</w:t>
            </w:r>
            <w:r>
              <w:rPr>
                <w:spacing w:val="-32"/>
              </w:rPr>
              <w:t xml:space="preserve"> </w:t>
            </w:r>
            <w:r>
              <w:t>C6</w:t>
            </w:r>
          </w:p>
        </w:tc>
        <w:tc>
          <w:tcPr>
            <w:tcW w:w="1843" w:type="dxa"/>
          </w:tcPr>
          <w:p w14:paraId="596CFB9F" w14:textId="77777777" w:rsidR="00075001" w:rsidRDefault="00075001" w:rsidP="00075001">
            <w:pPr>
              <w:pStyle w:val="TableParagraph"/>
              <w:spacing w:before="134"/>
            </w:pPr>
            <w:r>
              <w:t>25 (1.0)</w:t>
            </w:r>
          </w:p>
        </w:tc>
        <w:tc>
          <w:tcPr>
            <w:tcW w:w="1984" w:type="dxa"/>
          </w:tcPr>
          <w:p w14:paraId="44FDD7F5" w14:textId="77777777" w:rsidR="00075001" w:rsidRDefault="00075001" w:rsidP="00075001">
            <w:pPr>
              <w:pStyle w:val="TableParagraph"/>
              <w:spacing w:before="134"/>
              <w:ind w:left="102"/>
            </w:pPr>
            <w:r>
              <w:t>16 (1.5)</w:t>
            </w:r>
          </w:p>
        </w:tc>
        <w:tc>
          <w:tcPr>
            <w:tcW w:w="1701" w:type="dxa"/>
          </w:tcPr>
          <w:p w14:paraId="595299A2" w14:textId="77777777" w:rsidR="00075001" w:rsidRDefault="00075001" w:rsidP="00075001">
            <w:pPr>
              <w:pStyle w:val="TableParagraph"/>
              <w:spacing w:before="134"/>
            </w:pPr>
            <w:r>
              <w:t>0.205</w:t>
            </w:r>
          </w:p>
        </w:tc>
      </w:tr>
      <w:tr w:rsidR="00075001" w14:paraId="230AEACF" w14:textId="77777777" w:rsidTr="00075001">
        <w:trPr>
          <w:trHeight w:hRule="exact" w:val="547"/>
        </w:trPr>
        <w:tc>
          <w:tcPr>
            <w:tcW w:w="9209" w:type="dxa"/>
          </w:tcPr>
          <w:p w14:paraId="41ED6E09" w14:textId="77777777" w:rsidR="00075001" w:rsidRDefault="00075001" w:rsidP="00075001">
            <w:pPr>
              <w:pStyle w:val="TableParagraph"/>
              <w:tabs>
                <w:tab w:val="left" w:pos="822"/>
              </w:tabs>
              <w:ind w:left="822" w:right="783" w:hanging="360"/>
            </w:pPr>
            <w:r>
              <w:t>-</w:t>
            </w:r>
            <w:r>
              <w:tab/>
              <w:t xml:space="preserve">NSAID and vitamin K antagonists, direct thrombin inhibitors, or factor </w:t>
            </w:r>
            <w:proofErr w:type="spellStart"/>
            <w:r>
              <w:t>Xa</w:t>
            </w:r>
            <w:proofErr w:type="spellEnd"/>
            <w:r>
              <w:rPr>
                <w:spacing w:val="-28"/>
              </w:rPr>
              <w:t xml:space="preserve"> </w:t>
            </w:r>
            <w:r>
              <w:t>inhibitors</w:t>
            </w:r>
            <w:r>
              <w:rPr>
                <w:spacing w:val="-4"/>
              </w:rPr>
              <w:t xml:space="preserve"> </w:t>
            </w:r>
            <w:r>
              <w:t>in</w:t>
            </w:r>
            <w:r>
              <w:rPr>
                <w:spacing w:val="-1"/>
              </w:rPr>
              <w:t xml:space="preserve"> </w:t>
            </w:r>
            <w:r>
              <w:t>combination - STOPP</w:t>
            </w:r>
            <w:r>
              <w:rPr>
                <w:spacing w:val="-12"/>
              </w:rPr>
              <w:t xml:space="preserve"> </w:t>
            </w:r>
            <w:r>
              <w:t>C10</w:t>
            </w:r>
          </w:p>
        </w:tc>
        <w:tc>
          <w:tcPr>
            <w:tcW w:w="1843" w:type="dxa"/>
          </w:tcPr>
          <w:p w14:paraId="4CA3358C" w14:textId="77777777" w:rsidR="00075001" w:rsidRDefault="00075001" w:rsidP="00075001">
            <w:pPr>
              <w:pStyle w:val="TableParagraph"/>
              <w:spacing w:before="134"/>
            </w:pPr>
            <w:r>
              <w:t>45 (1.8)</w:t>
            </w:r>
          </w:p>
        </w:tc>
        <w:tc>
          <w:tcPr>
            <w:tcW w:w="1984" w:type="dxa"/>
          </w:tcPr>
          <w:p w14:paraId="2C4A1361" w14:textId="77777777" w:rsidR="00075001" w:rsidRDefault="00075001" w:rsidP="00075001">
            <w:pPr>
              <w:pStyle w:val="TableParagraph"/>
              <w:spacing w:before="134"/>
              <w:ind w:left="102"/>
            </w:pPr>
            <w:r>
              <w:t>21 (2.0)</w:t>
            </w:r>
          </w:p>
        </w:tc>
        <w:tc>
          <w:tcPr>
            <w:tcW w:w="1701" w:type="dxa"/>
          </w:tcPr>
          <w:p w14:paraId="30D629B6" w14:textId="77777777" w:rsidR="00075001" w:rsidRDefault="00075001" w:rsidP="00075001">
            <w:pPr>
              <w:pStyle w:val="TableParagraph"/>
              <w:spacing w:before="134"/>
            </w:pPr>
            <w:r>
              <w:t>0.637</w:t>
            </w:r>
          </w:p>
        </w:tc>
      </w:tr>
      <w:tr w:rsidR="00075001" w14:paraId="46504179" w14:textId="77777777" w:rsidTr="00075001">
        <w:trPr>
          <w:trHeight w:hRule="exact" w:val="279"/>
        </w:trPr>
        <w:tc>
          <w:tcPr>
            <w:tcW w:w="9209" w:type="dxa"/>
          </w:tcPr>
          <w:p w14:paraId="74DEC9CF" w14:textId="77777777" w:rsidR="00075001" w:rsidRDefault="00075001" w:rsidP="00075001">
            <w:pPr>
              <w:pStyle w:val="TableParagraph"/>
              <w:tabs>
                <w:tab w:val="left" w:pos="822"/>
              </w:tabs>
              <w:ind w:left="462"/>
            </w:pPr>
            <w:r>
              <w:t>-</w:t>
            </w:r>
            <w:r>
              <w:tab/>
              <w:t>NSAID with concurrent antiplatelet agent(s) without PPI prophylaxis - STOPP</w:t>
            </w:r>
            <w:r>
              <w:rPr>
                <w:spacing w:val="-26"/>
              </w:rPr>
              <w:t xml:space="preserve"> </w:t>
            </w:r>
            <w:r>
              <w:t>C11</w:t>
            </w:r>
          </w:p>
        </w:tc>
        <w:tc>
          <w:tcPr>
            <w:tcW w:w="1843" w:type="dxa"/>
          </w:tcPr>
          <w:p w14:paraId="21F0F666" w14:textId="77777777" w:rsidR="00075001" w:rsidRDefault="00075001" w:rsidP="00075001">
            <w:pPr>
              <w:pStyle w:val="TableParagraph"/>
            </w:pPr>
            <w:r>
              <w:t>66 (2.6)</w:t>
            </w:r>
          </w:p>
        </w:tc>
        <w:tc>
          <w:tcPr>
            <w:tcW w:w="1984" w:type="dxa"/>
          </w:tcPr>
          <w:p w14:paraId="3429659F" w14:textId="77777777" w:rsidR="00075001" w:rsidRDefault="00075001" w:rsidP="00075001">
            <w:pPr>
              <w:pStyle w:val="TableParagraph"/>
              <w:ind w:left="102"/>
            </w:pPr>
            <w:r>
              <w:t>33 (3.2)</w:t>
            </w:r>
          </w:p>
        </w:tc>
        <w:tc>
          <w:tcPr>
            <w:tcW w:w="1701" w:type="dxa"/>
          </w:tcPr>
          <w:p w14:paraId="332C51F0" w14:textId="77777777" w:rsidR="00075001" w:rsidRDefault="00075001" w:rsidP="00075001">
            <w:pPr>
              <w:pStyle w:val="TableParagraph"/>
            </w:pPr>
            <w:r>
              <w:t>0.360</w:t>
            </w:r>
          </w:p>
        </w:tc>
      </w:tr>
      <w:tr w:rsidR="00075001" w14:paraId="55548B41" w14:textId="77777777" w:rsidTr="00075001">
        <w:trPr>
          <w:trHeight w:hRule="exact" w:val="279"/>
        </w:trPr>
        <w:tc>
          <w:tcPr>
            <w:tcW w:w="9209" w:type="dxa"/>
          </w:tcPr>
          <w:p w14:paraId="0FEC9E45" w14:textId="77777777" w:rsidR="00075001" w:rsidRDefault="00075001" w:rsidP="00075001">
            <w:pPr>
              <w:pStyle w:val="TableParagraph"/>
              <w:tabs>
                <w:tab w:val="left" w:pos="822"/>
              </w:tabs>
              <w:ind w:left="462"/>
            </w:pPr>
            <w:r>
              <w:t>-</w:t>
            </w:r>
            <w:r>
              <w:tab/>
              <w:t>Benzodiazepines - STOPP D5 and</w:t>
            </w:r>
            <w:r>
              <w:rPr>
                <w:spacing w:val="-11"/>
              </w:rPr>
              <w:t xml:space="preserve"> </w:t>
            </w:r>
            <w:r>
              <w:t>K1</w:t>
            </w:r>
          </w:p>
        </w:tc>
        <w:tc>
          <w:tcPr>
            <w:tcW w:w="1843" w:type="dxa"/>
          </w:tcPr>
          <w:p w14:paraId="03807258" w14:textId="77777777" w:rsidR="00075001" w:rsidRDefault="00075001" w:rsidP="00075001">
            <w:pPr>
              <w:pStyle w:val="TableParagraph"/>
            </w:pPr>
            <w:r>
              <w:t>274 (10.8)</w:t>
            </w:r>
          </w:p>
        </w:tc>
        <w:tc>
          <w:tcPr>
            <w:tcW w:w="1984" w:type="dxa"/>
          </w:tcPr>
          <w:p w14:paraId="71AF5310" w14:textId="77777777" w:rsidR="00075001" w:rsidRDefault="00075001" w:rsidP="00075001">
            <w:pPr>
              <w:pStyle w:val="TableParagraph"/>
              <w:ind w:left="102"/>
            </w:pPr>
            <w:r>
              <w:t>122 (11.7)</w:t>
            </w:r>
          </w:p>
        </w:tc>
        <w:tc>
          <w:tcPr>
            <w:tcW w:w="1701" w:type="dxa"/>
          </w:tcPr>
          <w:p w14:paraId="6E127662" w14:textId="77777777" w:rsidR="00075001" w:rsidRDefault="00075001" w:rsidP="00075001">
            <w:pPr>
              <w:pStyle w:val="TableParagraph"/>
            </w:pPr>
            <w:r>
              <w:t>0.456</w:t>
            </w:r>
          </w:p>
        </w:tc>
      </w:tr>
      <w:tr w:rsidR="00075001" w14:paraId="0DD95924" w14:textId="77777777" w:rsidTr="00075001">
        <w:trPr>
          <w:trHeight w:hRule="exact" w:val="547"/>
        </w:trPr>
        <w:tc>
          <w:tcPr>
            <w:tcW w:w="9209" w:type="dxa"/>
          </w:tcPr>
          <w:p w14:paraId="276F2DFB" w14:textId="77777777" w:rsidR="00075001" w:rsidRDefault="00075001" w:rsidP="00075001">
            <w:pPr>
              <w:pStyle w:val="TableParagraph"/>
              <w:tabs>
                <w:tab w:val="left" w:pos="822"/>
              </w:tabs>
              <w:ind w:left="822" w:right="678" w:hanging="360"/>
            </w:pPr>
            <w:r>
              <w:t>-</w:t>
            </w:r>
            <w:r>
              <w:tab/>
              <w:t>Systemic corticosteroids instead of inhaled corticosteroids for maintenance</w:t>
            </w:r>
            <w:r>
              <w:rPr>
                <w:spacing w:val="-29"/>
              </w:rPr>
              <w:t xml:space="preserve"> </w:t>
            </w:r>
            <w:r>
              <w:t>therapy</w:t>
            </w:r>
            <w:r>
              <w:rPr>
                <w:spacing w:val="-5"/>
              </w:rPr>
              <w:t xml:space="preserve"> </w:t>
            </w:r>
            <w:r>
              <w:t>in</w:t>
            </w:r>
            <w:r>
              <w:rPr>
                <w:spacing w:val="-1"/>
              </w:rPr>
              <w:t xml:space="preserve"> </w:t>
            </w:r>
            <w:r>
              <w:t>moderate-severe COPD - STOPP</w:t>
            </w:r>
            <w:r>
              <w:rPr>
                <w:spacing w:val="-12"/>
              </w:rPr>
              <w:t xml:space="preserve"> </w:t>
            </w:r>
            <w:r>
              <w:t>G2</w:t>
            </w:r>
          </w:p>
        </w:tc>
        <w:tc>
          <w:tcPr>
            <w:tcW w:w="1843" w:type="dxa"/>
          </w:tcPr>
          <w:p w14:paraId="6F43C934" w14:textId="77777777" w:rsidR="00075001" w:rsidRDefault="00075001" w:rsidP="00075001">
            <w:pPr>
              <w:pStyle w:val="TableParagraph"/>
              <w:spacing w:before="134"/>
            </w:pPr>
            <w:r>
              <w:t>15 (0.6)</w:t>
            </w:r>
          </w:p>
        </w:tc>
        <w:tc>
          <w:tcPr>
            <w:tcW w:w="1984" w:type="dxa"/>
          </w:tcPr>
          <w:p w14:paraId="168AB39F" w14:textId="77777777" w:rsidR="00075001" w:rsidRDefault="00075001" w:rsidP="00075001">
            <w:pPr>
              <w:pStyle w:val="TableParagraph"/>
              <w:spacing w:before="134"/>
              <w:ind w:left="102"/>
            </w:pPr>
            <w:r>
              <w:t>15 (1.4)</w:t>
            </w:r>
          </w:p>
        </w:tc>
        <w:tc>
          <w:tcPr>
            <w:tcW w:w="1701" w:type="dxa"/>
          </w:tcPr>
          <w:p w14:paraId="6219AB9C" w14:textId="77777777" w:rsidR="00075001" w:rsidRDefault="00075001" w:rsidP="00075001">
            <w:pPr>
              <w:pStyle w:val="TableParagraph"/>
              <w:spacing w:before="134"/>
            </w:pPr>
            <w:r>
              <w:t>0.015</w:t>
            </w:r>
          </w:p>
        </w:tc>
      </w:tr>
      <w:tr w:rsidR="00075001" w14:paraId="7D5AB8BF" w14:textId="77777777" w:rsidTr="00075001">
        <w:trPr>
          <w:trHeight w:hRule="exact" w:val="279"/>
        </w:trPr>
        <w:tc>
          <w:tcPr>
            <w:tcW w:w="9209" w:type="dxa"/>
          </w:tcPr>
          <w:p w14:paraId="663D68E8" w14:textId="77777777" w:rsidR="00075001" w:rsidRDefault="00075001" w:rsidP="00075001">
            <w:pPr>
              <w:pStyle w:val="TableParagraph"/>
              <w:tabs>
                <w:tab w:val="left" w:pos="822"/>
              </w:tabs>
              <w:ind w:left="462"/>
            </w:pPr>
            <w:r>
              <w:t>-</w:t>
            </w:r>
            <w:r>
              <w:tab/>
              <w:t>NSAID with hypertension or heart failure - STOPP</w:t>
            </w:r>
            <w:r>
              <w:rPr>
                <w:spacing w:val="-23"/>
              </w:rPr>
              <w:t xml:space="preserve"> </w:t>
            </w:r>
            <w:r>
              <w:t>H2</w:t>
            </w:r>
          </w:p>
        </w:tc>
        <w:tc>
          <w:tcPr>
            <w:tcW w:w="1843" w:type="dxa"/>
          </w:tcPr>
          <w:p w14:paraId="5CEE7A46" w14:textId="77777777" w:rsidR="00075001" w:rsidRDefault="00075001" w:rsidP="00075001">
            <w:pPr>
              <w:pStyle w:val="TableParagraph"/>
            </w:pPr>
            <w:r>
              <w:t>69 (2.7)</w:t>
            </w:r>
          </w:p>
        </w:tc>
        <w:tc>
          <w:tcPr>
            <w:tcW w:w="1984" w:type="dxa"/>
          </w:tcPr>
          <w:p w14:paraId="43D5C225" w14:textId="77777777" w:rsidR="00075001" w:rsidRDefault="00075001" w:rsidP="00075001">
            <w:pPr>
              <w:pStyle w:val="TableParagraph"/>
              <w:ind w:left="102"/>
            </w:pPr>
            <w:r>
              <w:t>41 (3.9)</w:t>
            </w:r>
          </w:p>
        </w:tc>
        <w:tc>
          <w:tcPr>
            <w:tcW w:w="1701" w:type="dxa"/>
          </w:tcPr>
          <w:p w14:paraId="7A85E2CC" w14:textId="77777777" w:rsidR="00075001" w:rsidRDefault="00075001" w:rsidP="00075001">
            <w:pPr>
              <w:pStyle w:val="TableParagraph"/>
            </w:pPr>
            <w:r>
              <w:t>0.060</w:t>
            </w:r>
          </w:p>
        </w:tc>
      </w:tr>
      <w:tr w:rsidR="00075001" w14:paraId="6B74C52E" w14:textId="77777777" w:rsidTr="00075001">
        <w:trPr>
          <w:trHeight w:hRule="exact" w:val="279"/>
        </w:trPr>
        <w:tc>
          <w:tcPr>
            <w:tcW w:w="9209" w:type="dxa"/>
          </w:tcPr>
          <w:p w14:paraId="1C6E7558" w14:textId="77777777" w:rsidR="00075001" w:rsidRDefault="00075001" w:rsidP="00075001">
            <w:pPr>
              <w:pStyle w:val="TableParagraph"/>
              <w:tabs>
                <w:tab w:val="left" w:pos="822"/>
              </w:tabs>
              <w:ind w:left="462"/>
            </w:pPr>
            <w:r>
              <w:t>-</w:t>
            </w:r>
            <w:r>
              <w:tab/>
              <w:t>NSAID for symptom relief of osteoarthritis pain - STOPP</w:t>
            </w:r>
            <w:r>
              <w:rPr>
                <w:spacing w:val="-19"/>
              </w:rPr>
              <w:t xml:space="preserve"> </w:t>
            </w:r>
            <w:r>
              <w:t>H3</w:t>
            </w:r>
          </w:p>
        </w:tc>
        <w:tc>
          <w:tcPr>
            <w:tcW w:w="1843" w:type="dxa"/>
          </w:tcPr>
          <w:p w14:paraId="5498717B" w14:textId="77777777" w:rsidR="00075001" w:rsidRDefault="00075001" w:rsidP="00075001">
            <w:pPr>
              <w:pStyle w:val="TableParagraph"/>
            </w:pPr>
            <w:r>
              <w:t>184 (7.3)</w:t>
            </w:r>
          </w:p>
        </w:tc>
        <w:tc>
          <w:tcPr>
            <w:tcW w:w="1984" w:type="dxa"/>
          </w:tcPr>
          <w:p w14:paraId="77466495" w14:textId="77777777" w:rsidR="00075001" w:rsidRDefault="00075001" w:rsidP="00075001">
            <w:pPr>
              <w:pStyle w:val="TableParagraph"/>
              <w:ind w:left="102"/>
            </w:pPr>
            <w:r>
              <w:t>75 (7.2)</w:t>
            </w:r>
          </w:p>
        </w:tc>
        <w:tc>
          <w:tcPr>
            <w:tcW w:w="1701" w:type="dxa"/>
          </w:tcPr>
          <w:p w14:paraId="628D8D5B" w14:textId="77777777" w:rsidR="00075001" w:rsidRDefault="00075001" w:rsidP="00075001">
            <w:pPr>
              <w:pStyle w:val="TableParagraph"/>
            </w:pPr>
            <w:r>
              <w:t>0.929</w:t>
            </w:r>
          </w:p>
        </w:tc>
      </w:tr>
      <w:tr w:rsidR="00075001" w14:paraId="3CB07E17" w14:textId="77777777" w:rsidTr="00075001">
        <w:trPr>
          <w:trHeight w:hRule="exact" w:val="547"/>
        </w:trPr>
        <w:tc>
          <w:tcPr>
            <w:tcW w:w="9209" w:type="dxa"/>
          </w:tcPr>
          <w:p w14:paraId="79BD6FD7" w14:textId="77777777" w:rsidR="00075001" w:rsidRDefault="00075001" w:rsidP="00075001">
            <w:pPr>
              <w:pStyle w:val="TableParagraph"/>
              <w:tabs>
                <w:tab w:val="left" w:pos="822"/>
              </w:tabs>
              <w:ind w:left="822" w:right="462" w:hanging="360"/>
            </w:pPr>
            <w:r>
              <w:t>-</w:t>
            </w:r>
            <w:r>
              <w:tab/>
              <w:t>Corticosteroids</w:t>
            </w:r>
            <w:r>
              <w:rPr>
                <w:spacing w:val="-5"/>
              </w:rPr>
              <w:t xml:space="preserve"> </w:t>
            </w:r>
            <w:r>
              <w:t>(other</w:t>
            </w:r>
            <w:r>
              <w:rPr>
                <w:spacing w:val="-5"/>
              </w:rPr>
              <w:t xml:space="preserve"> </w:t>
            </w:r>
            <w:r>
              <w:t>than</w:t>
            </w:r>
            <w:r>
              <w:rPr>
                <w:spacing w:val="-5"/>
              </w:rPr>
              <w:t xml:space="preserve"> </w:t>
            </w:r>
            <w:r>
              <w:t>periodic</w:t>
            </w:r>
            <w:r>
              <w:rPr>
                <w:spacing w:val="-5"/>
              </w:rPr>
              <w:t xml:space="preserve"> </w:t>
            </w:r>
            <w:r>
              <w:t>intra-articular</w:t>
            </w:r>
            <w:r>
              <w:rPr>
                <w:spacing w:val="-5"/>
              </w:rPr>
              <w:t xml:space="preserve"> </w:t>
            </w:r>
            <w:r>
              <w:t>injections</w:t>
            </w:r>
            <w:r>
              <w:rPr>
                <w:spacing w:val="-5"/>
              </w:rPr>
              <w:t xml:space="preserve"> </w:t>
            </w:r>
            <w:r>
              <w:t>for</w:t>
            </w:r>
            <w:r>
              <w:rPr>
                <w:spacing w:val="-5"/>
              </w:rPr>
              <w:t xml:space="preserve"> </w:t>
            </w:r>
            <w:r>
              <w:t>mono-articular</w:t>
            </w:r>
            <w:r>
              <w:rPr>
                <w:spacing w:val="-5"/>
              </w:rPr>
              <w:t xml:space="preserve"> </w:t>
            </w:r>
            <w:r>
              <w:t>pain)</w:t>
            </w:r>
            <w:r>
              <w:rPr>
                <w:spacing w:val="-5"/>
              </w:rPr>
              <w:t xml:space="preserve"> </w:t>
            </w:r>
            <w:r>
              <w:t>for</w:t>
            </w:r>
            <w:r>
              <w:rPr>
                <w:spacing w:val="-1"/>
              </w:rPr>
              <w:t xml:space="preserve"> </w:t>
            </w:r>
            <w:r>
              <w:t>osteoarthritis - STOPP</w:t>
            </w:r>
            <w:r>
              <w:rPr>
                <w:spacing w:val="-17"/>
              </w:rPr>
              <w:t xml:space="preserve"> </w:t>
            </w:r>
            <w:r>
              <w:t>H5</w:t>
            </w:r>
          </w:p>
        </w:tc>
        <w:tc>
          <w:tcPr>
            <w:tcW w:w="1843" w:type="dxa"/>
          </w:tcPr>
          <w:p w14:paraId="73788E4D" w14:textId="77777777" w:rsidR="00075001" w:rsidRDefault="00075001" w:rsidP="00075001">
            <w:pPr>
              <w:pStyle w:val="TableParagraph"/>
              <w:spacing w:before="134"/>
            </w:pPr>
            <w:r>
              <w:t>69 (2.7)</w:t>
            </w:r>
          </w:p>
        </w:tc>
        <w:tc>
          <w:tcPr>
            <w:tcW w:w="1984" w:type="dxa"/>
          </w:tcPr>
          <w:p w14:paraId="72F82245" w14:textId="77777777" w:rsidR="00075001" w:rsidRDefault="00075001" w:rsidP="00075001">
            <w:pPr>
              <w:pStyle w:val="TableParagraph"/>
              <w:spacing w:before="134"/>
              <w:ind w:left="102"/>
            </w:pPr>
            <w:r>
              <w:t>29 (2.8)</w:t>
            </w:r>
          </w:p>
        </w:tc>
        <w:tc>
          <w:tcPr>
            <w:tcW w:w="1701" w:type="dxa"/>
          </w:tcPr>
          <w:p w14:paraId="3447AC79" w14:textId="77777777" w:rsidR="00075001" w:rsidRDefault="00075001" w:rsidP="00075001">
            <w:pPr>
              <w:pStyle w:val="TableParagraph"/>
              <w:spacing w:before="134"/>
            </w:pPr>
            <w:r>
              <w:t>0.931</w:t>
            </w:r>
          </w:p>
        </w:tc>
      </w:tr>
      <w:tr w:rsidR="00075001" w14:paraId="1EEAA102" w14:textId="77777777" w:rsidTr="00075001">
        <w:trPr>
          <w:trHeight w:hRule="exact" w:val="279"/>
        </w:trPr>
        <w:tc>
          <w:tcPr>
            <w:tcW w:w="9209" w:type="dxa"/>
          </w:tcPr>
          <w:p w14:paraId="59E213EB" w14:textId="77777777" w:rsidR="00075001" w:rsidRDefault="00075001" w:rsidP="00075001">
            <w:pPr>
              <w:pStyle w:val="TableParagraph"/>
              <w:tabs>
                <w:tab w:val="left" w:pos="822"/>
              </w:tabs>
              <w:ind w:left="462"/>
            </w:pPr>
            <w:r>
              <w:t>-</w:t>
            </w:r>
            <w:r>
              <w:tab/>
              <w:t>NSAID with concurrent corticosteroids without PPI prophylaxis - STOPP</w:t>
            </w:r>
            <w:r>
              <w:rPr>
                <w:spacing w:val="-26"/>
              </w:rPr>
              <w:t xml:space="preserve"> </w:t>
            </w:r>
            <w:r>
              <w:t>H8</w:t>
            </w:r>
          </w:p>
        </w:tc>
        <w:tc>
          <w:tcPr>
            <w:tcW w:w="1843" w:type="dxa"/>
          </w:tcPr>
          <w:p w14:paraId="5122F6DC" w14:textId="77777777" w:rsidR="00075001" w:rsidRDefault="00075001" w:rsidP="00075001">
            <w:pPr>
              <w:pStyle w:val="TableParagraph"/>
            </w:pPr>
            <w:r>
              <w:t>5 (0.2)</w:t>
            </w:r>
          </w:p>
        </w:tc>
        <w:tc>
          <w:tcPr>
            <w:tcW w:w="1984" w:type="dxa"/>
          </w:tcPr>
          <w:p w14:paraId="4565439E" w14:textId="77777777" w:rsidR="00075001" w:rsidRDefault="00075001" w:rsidP="00075001">
            <w:pPr>
              <w:pStyle w:val="TableParagraph"/>
              <w:ind w:left="102"/>
            </w:pPr>
            <w:r>
              <w:t>3 (0.3)</w:t>
            </w:r>
          </w:p>
        </w:tc>
        <w:tc>
          <w:tcPr>
            <w:tcW w:w="1701" w:type="dxa"/>
          </w:tcPr>
          <w:p w14:paraId="58DFDB3D" w14:textId="77777777" w:rsidR="00075001" w:rsidRDefault="00075001" w:rsidP="00075001">
            <w:pPr>
              <w:pStyle w:val="TableParagraph"/>
            </w:pPr>
            <w:r>
              <w:t>0.607</w:t>
            </w:r>
          </w:p>
        </w:tc>
      </w:tr>
      <w:tr w:rsidR="00075001" w14:paraId="14B725E6" w14:textId="77777777" w:rsidTr="00075001">
        <w:trPr>
          <w:trHeight w:hRule="exact" w:val="279"/>
        </w:trPr>
        <w:tc>
          <w:tcPr>
            <w:tcW w:w="9209" w:type="dxa"/>
          </w:tcPr>
          <w:p w14:paraId="2A2F8825" w14:textId="77777777" w:rsidR="00075001" w:rsidRDefault="00075001" w:rsidP="00075001">
            <w:pPr>
              <w:pStyle w:val="TableParagraph"/>
              <w:tabs>
                <w:tab w:val="left" w:pos="822"/>
              </w:tabs>
              <w:ind w:left="462"/>
            </w:pPr>
            <w:r>
              <w:t>-</w:t>
            </w:r>
            <w:r>
              <w:tab/>
            </w:r>
            <w:proofErr w:type="spellStart"/>
            <w:r>
              <w:t>Thiazolidenediones</w:t>
            </w:r>
            <w:proofErr w:type="spellEnd"/>
            <w:r>
              <w:rPr>
                <w:spacing w:val="-3"/>
              </w:rPr>
              <w:t xml:space="preserve"> </w:t>
            </w:r>
            <w:r>
              <w:t>(e.g.</w:t>
            </w:r>
            <w:r>
              <w:rPr>
                <w:spacing w:val="-3"/>
              </w:rPr>
              <w:t xml:space="preserve"> </w:t>
            </w:r>
            <w:r>
              <w:t>rosiglitazone,</w:t>
            </w:r>
            <w:r>
              <w:rPr>
                <w:spacing w:val="-3"/>
              </w:rPr>
              <w:t xml:space="preserve"> </w:t>
            </w:r>
            <w:r>
              <w:t>pioglitazone)</w:t>
            </w:r>
            <w:r>
              <w:rPr>
                <w:spacing w:val="-4"/>
              </w:rPr>
              <w:t xml:space="preserve"> </w:t>
            </w:r>
            <w:r>
              <w:t>in</w:t>
            </w:r>
            <w:r>
              <w:rPr>
                <w:spacing w:val="-4"/>
              </w:rPr>
              <w:t xml:space="preserve"> </w:t>
            </w:r>
            <w:r>
              <w:t>patients</w:t>
            </w:r>
            <w:r>
              <w:rPr>
                <w:spacing w:val="-4"/>
              </w:rPr>
              <w:t xml:space="preserve"> </w:t>
            </w:r>
            <w:r>
              <w:t>with</w:t>
            </w:r>
            <w:r>
              <w:rPr>
                <w:spacing w:val="-4"/>
              </w:rPr>
              <w:t xml:space="preserve"> </w:t>
            </w:r>
            <w:r>
              <w:t>heart</w:t>
            </w:r>
            <w:r>
              <w:rPr>
                <w:spacing w:val="-3"/>
              </w:rPr>
              <w:t xml:space="preserve"> </w:t>
            </w:r>
            <w:r>
              <w:t>failure</w:t>
            </w:r>
            <w:r>
              <w:rPr>
                <w:spacing w:val="-3"/>
              </w:rPr>
              <w:t xml:space="preserve"> </w:t>
            </w:r>
            <w:r>
              <w:t>-</w:t>
            </w:r>
            <w:r>
              <w:rPr>
                <w:spacing w:val="-4"/>
              </w:rPr>
              <w:t xml:space="preserve"> </w:t>
            </w:r>
            <w:r>
              <w:t>STOPP</w:t>
            </w:r>
            <w:r>
              <w:rPr>
                <w:spacing w:val="-3"/>
              </w:rPr>
              <w:t xml:space="preserve"> </w:t>
            </w:r>
            <w:r>
              <w:t>J2</w:t>
            </w:r>
          </w:p>
        </w:tc>
        <w:tc>
          <w:tcPr>
            <w:tcW w:w="1843" w:type="dxa"/>
          </w:tcPr>
          <w:p w14:paraId="7C86B2AD" w14:textId="77777777" w:rsidR="00075001" w:rsidRDefault="00075001" w:rsidP="00075001">
            <w:pPr>
              <w:pStyle w:val="TableParagraph"/>
            </w:pPr>
            <w:r>
              <w:t>2 (0.1)</w:t>
            </w:r>
          </w:p>
        </w:tc>
        <w:tc>
          <w:tcPr>
            <w:tcW w:w="1984" w:type="dxa"/>
          </w:tcPr>
          <w:p w14:paraId="5681A2BD" w14:textId="77777777" w:rsidR="00075001" w:rsidRDefault="00075001" w:rsidP="00075001">
            <w:pPr>
              <w:pStyle w:val="TableParagraph"/>
              <w:ind w:left="102"/>
            </w:pPr>
            <w:r>
              <w:t>1 (0.1)</w:t>
            </w:r>
          </w:p>
        </w:tc>
        <w:tc>
          <w:tcPr>
            <w:tcW w:w="1701" w:type="dxa"/>
          </w:tcPr>
          <w:p w14:paraId="464D0B4B" w14:textId="77777777" w:rsidR="00075001" w:rsidRDefault="00075001" w:rsidP="00075001">
            <w:pPr>
              <w:pStyle w:val="TableParagraph"/>
            </w:pPr>
            <w:r>
              <w:t>0.875</w:t>
            </w:r>
          </w:p>
        </w:tc>
      </w:tr>
      <w:tr w:rsidR="00075001" w14:paraId="4450B4A2" w14:textId="77777777" w:rsidTr="00075001">
        <w:trPr>
          <w:trHeight w:hRule="exact" w:val="279"/>
        </w:trPr>
        <w:tc>
          <w:tcPr>
            <w:tcW w:w="9209" w:type="dxa"/>
          </w:tcPr>
          <w:p w14:paraId="5135A060" w14:textId="77777777" w:rsidR="00075001" w:rsidRDefault="00075001" w:rsidP="00075001">
            <w:pPr>
              <w:pStyle w:val="TableParagraph"/>
              <w:tabs>
                <w:tab w:val="left" w:pos="822"/>
              </w:tabs>
              <w:ind w:left="462"/>
            </w:pPr>
            <w:r>
              <w:t>-</w:t>
            </w:r>
            <w:r>
              <w:tab/>
              <w:t>Beta-blockers in diabetes mellitus - STOPP</w:t>
            </w:r>
            <w:r>
              <w:rPr>
                <w:spacing w:val="-16"/>
              </w:rPr>
              <w:t xml:space="preserve"> </w:t>
            </w:r>
            <w:r>
              <w:t>J3</w:t>
            </w:r>
          </w:p>
        </w:tc>
        <w:tc>
          <w:tcPr>
            <w:tcW w:w="1843" w:type="dxa"/>
          </w:tcPr>
          <w:p w14:paraId="11566915" w14:textId="77777777" w:rsidR="00075001" w:rsidRDefault="00075001" w:rsidP="00075001">
            <w:pPr>
              <w:pStyle w:val="TableParagraph"/>
            </w:pPr>
            <w:r>
              <w:t>501 (19.8)</w:t>
            </w:r>
          </w:p>
        </w:tc>
        <w:tc>
          <w:tcPr>
            <w:tcW w:w="1984" w:type="dxa"/>
          </w:tcPr>
          <w:p w14:paraId="3B09F4D0" w14:textId="77777777" w:rsidR="00075001" w:rsidRDefault="00075001" w:rsidP="00075001">
            <w:pPr>
              <w:pStyle w:val="TableParagraph"/>
              <w:ind w:left="102"/>
            </w:pPr>
            <w:r>
              <w:t>217 (20.8)</w:t>
            </w:r>
          </w:p>
        </w:tc>
        <w:tc>
          <w:tcPr>
            <w:tcW w:w="1701" w:type="dxa"/>
          </w:tcPr>
          <w:p w14:paraId="0801B385" w14:textId="77777777" w:rsidR="00075001" w:rsidRDefault="00075001" w:rsidP="00075001">
            <w:pPr>
              <w:pStyle w:val="TableParagraph"/>
            </w:pPr>
            <w:r>
              <w:t>0.501</w:t>
            </w:r>
          </w:p>
        </w:tc>
      </w:tr>
      <w:tr w:rsidR="00075001" w14:paraId="4C1A57E6" w14:textId="77777777" w:rsidTr="00075001">
        <w:trPr>
          <w:trHeight w:hRule="exact" w:val="279"/>
        </w:trPr>
        <w:tc>
          <w:tcPr>
            <w:tcW w:w="9209" w:type="dxa"/>
          </w:tcPr>
          <w:p w14:paraId="672E70FB" w14:textId="77777777" w:rsidR="00075001" w:rsidRDefault="00075001" w:rsidP="00075001">
            <w:pPr>
              <w:pStyle w:val="TableParagraph"/>
              <w:tabs>
                <w:tab w:val="left" w:pos="822"/>
              </w:tabs>
              <w:ind w:left="462"/>
            </w:pPr>
            <w:r>
              <w:t>-</w:t>
            </w:r>
            <w:r>
              <w:tab/>
              <w:t>Neuroleptic drugs - STOPP</w:t>
            </w:r>
            <w:r>
              <w:rPr>
                <w:spacing w:val="-14"/>
              </w:rPr>
              <w:t xml:space="preserve"> </w:t>
            </w:r>
            <w:r>
              <w:t>K2</w:t>
            </w:r>
          </w:p>
        </w:tc>
        <w:tc>
          <w:tcPr>
            <w:tcW w:w="1843" w:type="dxa"/>
          </w:tcPr>
          <w:p w14:paraId="7BB14DFB" w14:textId="77777777" w:rsidR="00075001" w:rsidRDefault="00075001" w:rsidP="00075001">
            <w:pPr>
              <w:pStyle w:val="TableParagraph"/>
            </w:pPr>
            <w:r>
              <w:t>24 (0.9)</w:t>
            </w:r>
          </w:p>
        </w:tc>
        <w:tc>
          <w:tcPr>
            <w:tcW w:w="1984" w:type="dxa"/>
          </w:tcPr>
          <w:p w14:paraId="5C099F9A" w14:textId="77777777" w:rsidR="00075001" w:rsidRDefault="00075001" w:rsidP="00075001">
            <w:pPr>
              <w:pStyle w:val="TableParagraph"/>
              <w:ind w:left="102"/>
            </w:pPr>
            <w:r>
              <w:t>13 (1.2)</w:t>
            </w:r>
          </w:p>
        </w:tc>
        <w:tc>
          <w:tcPr>
            <w:tcW w:w="1701" w:type="dxa"/>
          </w:tcPr>
          <w:p w14:paraId="783CB5E0" w14:textId="77777777" w:rsidR="00075001" w:rsidRDefault="00075001" w:rsidP="00075001">
            <w:pPr>
              <w:pStyle w:val="TableParagraph"/>
            </w:pPr>
            <w:r>
              <w:t>0.426</w:t>
            </w:r>
          </w:p>
        </w:tc>
      </w:tr>
      <w:tr w:rsidR="00075001" w14:paraId="7C95551D" w14:textId="77777777" w:rsidTr="00075001">
        <w:trPr>
          <w:trHeight w:hRule="exact" w:val="547"/>
        </w:trPr>
        <w:tc>
          <w:tcPr>
            <w:tcW w:w="9209" w:type="dxa"/>
          </w:tcPr>
          <w:p w14:paraId="29AAE068" w14:textId="77777777" w:rsidR="00075001" w:rsidRDefault="00075001" w:rsidP="00075001">
            <w:pPr>
              <w:pStyle w:val="TableParagraph"/>
              <w:tabs>
                <w:tab w:val="left" w:pos="822"/>
              </w:tabs>
              <w:ind w:left="822" w:right="587" w:hanging="360"/>
            </w:pPr>
            <w:r>
              <w:t>-</w:t>
            </w:r>
            <w:r>
              <w:tab/>
              <w:t>Vasodilator drugs (e.g. alpha-1 receptor blockers, calcium channel</w:t>
            </w:r>
            <w:r>
              <w:rPr>
                <w:spacing w:val="-28"/>
              </w:rPr>
              <w:t xml:space="preserve"> </w:t>
            </w:r>
            <w:r>
              <w:t>blockers,</w:t>
            </w:r>
            <w:r>
              <w:rPr>
                <w:spacing w:val="-5"/>
              </w:rPr>
              <w:t xml:space="preserve"> </w:t>
            </w:r>
            <w:r>
              <w:t>long-acting nitrates, ACE inhibitors, angiotensin I receptor blockers) - STOPP</w:t>
            </w:r>
            <w:r>
              <w:rPr>
                <w:spacing w:val="-27"/>
              </w:rPr>
              <w:t xml:space="preserve"> </w:t>
            </w:r>
            <w:r>
              <w:t>K3</w:t>
            </w:r>
          </w:p>
        </w:tc>
        <w:tc>
          <w:tcPr>
            <w:tcW w:w="1843" w:type="dxa"/>
          </w:tcPr>
          <w:p w14:paraId="1B6FC50F" w14:textId="77777777" w:rsidR="00075001" w:rsidRDefault="00075001" w:rsidP="00075001">
            <w:pPr>
              <w:pStyle w:val="TableParagraph"/>
              <w:spacing w:before="134"/>
            </w:pPr>
            <w:r>
              <w:t>1,868 (73.7)</w:t>
            </w:r>
          </w:p>
        </w:tc>
        <w:tc>
          <w:tcPr>
            <w:tcW w:w="1984" w:type="dxa"/>
          </w:tcPr>
          <w:p w14:paraId="29E78AAC" w14:textId="77777777" w:rsidR="00075001" w:rsidRDefault="00075001" w:rsidP="00075001">
            <w:pPr>
              <w:pStyle w:val="TableParagraph"/>
              <w:spacing w:before="134"/>
              <w:ind w:left="102"/>
            </w:pPr>
            <w:r>
              <w:t>760 (28.9)</w:t>
            </w:r>
          </w:p>
        </w:tc>
        <w:tc>
          <w:tcPr>
            <w:tcW w:w="1701" w:type="dxa"/>
          </w:tcPr>
          <w:p w14:paraId="32BFA122" w14:textId="77777777" w:rsidR="00075001" w:rsidRDefault="00075001" w:rsidP="00075001">
            <w:pPr>
              <w:pStyle w:val="TableParagraph"/>
              <w:spacing w:before="134"/>
            </w:pPr>
            <w:r>
              <w:t>0.538</w:t>
            </w:r>
          </w:p>
        </w:tc>
      </w:tr>
      <w:tr w:rsidR="00075001" w14:paraId="11454E27" w14:textId="77777777" w:rsidTr="00075001">
        <w:trPr>
          <w:trHeight w:hRule="exact" w:val="279"/>
        </w:trPr>
        <w:tc>
          <w:tcPr>
            <w:tcW w:w="9209" w:type="dxa"/>
          </w:tcPr>
          <w:p w14:paraId="07EF297B" w14:textId="77777777" w:rsidR="00075001" w:rsidRDefault="00075001" w:rsidP="00075001">
            <w:pPr>
              <w:pStyle w:val="TableParagraph"/>
              <w:tabs>
                <w:tab w:val="left" w:pos="822"/>
              </w:tabs>
              <w:ind w:left="462"/>
            </w:pPr>
            <w:r>
              <w:t>-</w:t>
            </w:r>
            <w:r>
              <w:tab/>
              <w:t>Hypnotic Z-drugs e.g. zopiclone, zolpidem, zaleplon - STOPP</w:t>
            </w:r>
            <w:r>
              <w:rPr>
                <w:spacing w:val="-23"/>
              </w:rPr>
              <w:t xml:space="preserve"> </w:t>
            </w:r>
            <w:r>
              <w:t>K4</w:t>
            </w:r>
          </w:p>
        </w:tc>
        <w:tc>
          <w:tcPr>
            <w:tcW w:w="1843" w:type="dxa"/>
          </w:tcPr>
          <w:p w14:paraId="7D17158B" w14:textId="77777777" w:rsidR="00075001" w:rsidRDefault="00075001" w:rsidP="00075001">
            <w:pPr>
              <w:pStyle w:val="TableParagraph"/>
            </w:pPr>
            <w:r>
              <w:t>59 (2.3)</w:t>
            </w:r>
          </w:p>
        </w:tc>
        <w:tc>
          <w:tcPr>
            <w:tcW w:w="1984" w:type="dxa"/>
          </w:tcPr>
          <w:p w14:paraId="79A268BC" w14:textId="77777777" w:rsidR="00075001" w:rsidRDefault="00075001" w:rsidP="00075001">
            <w:pPr>
              <w:pStyle w:val="TableParagraph"/>
              <w:ind w:left="102"/>
            </w:pPr>
            <w:r>
              <w:t>33 (3.2)</w:t>
            </w:r>
          </w:p>
        </w:tc>
        <w:tc>
          <w:tcPr>
            <w:tcW w:w="1701" w:type="dxa"/>
          </w:tcPr>
          <w:p w14:paraId="6698DC38" w14:textId="77777777" w:rsidR="00075001" w:rsidRDefault="00075001" w:rsidP="00075001">
            <w:pPr>
              <w:pStyle w:val="TableParagraph"/>
            </w:pPr>
            <w:r>
              <w:t>0.156</w:t>
            </w:r>
          </w:p>
        </w:tc>
      </w:tr>
      <w:tr w:rsidR="00075001" w14:paraId="000DF99D" w14:textId="77777777" w:rsidTr="00075001">
        <w:trPr>
          <w:trHeight w:hRule="exact" w:val="279"/>
        </w:trPr>
        <w:tc>
          <w:tcPr>
            <w:tcW w:w="9209" w:type="dxa"/>
          </w:tcPr>
          <w:p w14:paraId="2AD3E0AC" w14:textId="77777777" w:rsidR="00075001" w:rsidRDefault="00075001" w:rsidP="00075001">
            <w:pPr>
              <w:pStyle w:val="TableParagraph"/>
              <w:tabs>
                <w:tab w:val="left" w:pos="822"/>
              </w:tabs>
              <w:ind w:left="462"/>
            </w:pPr>
            <w:r>
              <w:t>-</w:t>
            </w:r>
            <w:r>
              <w:tab/>
            </w:r>
            <w:proofErr w:type="spellStart"/>
            <w:r>
              <w:t>Dreischulte</w:t>
            </w:r>
            <w:proofErr w:type="spellEnd"/>
            <w:r>
              <w:t xml:space="preserve"> criteria *** - Median</w:t>
            </w:r>
            <w:r>
              <w:rPr>
                <w:spacing w:val="-10"/>
              </w:rPr>
              <w:t xml:space="preserve"> </w:t>
            </w:r>
            <w:r>
              <w:t>(IQR)</w:t>
            </w:r>
          </w:p>
        </w:tc>
        <w:tc>
          <w:tcPr>
            <w:tcW w:w="1843" w:type="dxa"/>
          </w:tcPr>
          <w:p w14:paraId="1D5EEA4C" w14:textId="77777777" w:rsidR="00075001" w:rsidRDefault="00075001" w:rsidP="00075001">
            <w:pPr>
              <w:pStyle w:val="TableParagraph"/>
            </w:pPr>
            <w:r>
              <w:t>0</w:t>
            </w:r>
          </w:p>
        </w:tc>
        <w:tc>
          <w:tcPr>
            <w:tcW w:w="1984" w:type="dxa"/>
          </w:tcPr>
          <w:p w14:paraId="5D4F27D8" w14:textId="77777777" w:rsidR="00075001" w:rsidRDefault="00075001" w:rsidP="00075001">
            <w:pPr>
              <w:pStyle w:val="TableParagraph"/>
              <w:ind w:left="102"/>
            </w:pPr>
            <w:r>
              <w:t>0</w:t>
            </w:r>
          </w:p>
        </w:tc>
        <w:tc>
          <w:tcPr>
            <w:tcW w:w="1701" w:type="dxa"/>
          </w:tcPr>
          <w:p w14:paraId="40B87930" w14:textId="77777777" w:rsidR="00075001" w:rsidRDefault="00075001" w:rsidP="00075001">
            <w:pPr>
              <w:pStyle w:val="TableParagraph"/>
            </w:pPr>
            <w:r>
              <w:t>0.781</w:t>
            </w:r>
          </w:p>
        </w:tc>
      </w:tr>
      <w:tr w:rsidR="00075001" w14:paraId="244D4009" w14:textId="77777777" w:rsidTr="00075001">
        <w:trPr>
          <w:trHeight w:hRule="exact" w:val="279"/>
        </w:trPr>
        <w:tc>
          <w:tcPr>
            <w:tcW w:w="9209" w:type="dxa"/>
          </w:tcPr>
          <w:p w14:paraId="332DA0FA" w14:textId="77777777" w:rsidR="00075001" w:rsidRDefault="00075001" w:rsidP="00075001">
            <w:pPr>
              <w:pStyle w:val="TableParagraph"/>
              <w:tabs>
                <w:tab w:val="left" w:pos="822"/>
              </w:tabs>
              <w:ind w:left="462"/>
            </w:pPr>
            <w:r>
              <w:t>-</w:t>
            </w:r>
            <w:r>
              <w:tab/>
            </w:r>
            <w:proofErr w:type="spellStart"/>
            <w:r>
              <w:t>Dreischulte</w:t>
            </w:r>
            <w:proofErr w:type="spellEnd"/>
            <w:r>
              <w:t xml:space="preserve"> criteria *** - Frequency</w:t>
            </w:r>
            <w:r>
              <w:rPr>
                <w:spacing w:val="-13"/>
              </w:rPr>
              <w:t xml:space="preserve"> </w:t>
            </w:r>
            <w:r>
              <w:t>(%)</w:t>
            </w:r>
          </w:p>
        </w:tc>
        <w:tc>
          <w:tcPr>
            <w:tcW w:w="1843" w:type="dxa"/>
          </w:tcPr>
          <w:p w14:paraId="78855F59" w14:textId="77777777" w:rsidR="00075001" w:rsidRDefault="00075001" w:rsidP="00075001">
            <w:pPr>
              <w:pStyle w:val="TableParagraph"/>
            </w:pPr>
            <w:r>
              <w:t>222 (8.8)</w:t>
            </w:r>
          </w:p>
        </w:tc>
        <w:tc>
          <w:tcPr>
            <w:tcW w:w="1984" w:type="dxa"/>
          </w:tcPr>
          <w:p w14:paraId="2FA7E094" w14:textId="77777777" w:rsidR="00075001" w:rsidRDefault="00075001" w:rsidP="00075001">
            <w:pPr>
              <w:pStyle w:val="TableParagraph"/>
              <w:ind w:left="102"/>
            </w:pPr>
            <w:r>
              <w:t>91 (8.7)</w:t>
            </w:r>
          </w:p>
        </w:tc>
        <w:tc>
          <w:tcPr>
            <w:tcW w:w="1701" w:type="dxa"/>
          </w:tcPr>
          <w:p w14:paraId="565F625C" w14:textId="77777777" w:rsidR="00075001" w:rsidRDefault="00075001" w:rsidP="00075001">
            <w:pPr>
              <w:pStyle w:val="TableParagraph"/>
            </w:pPr>
            <w:r>
              <w:t>0.958</w:t>
            </w:r>
          </w:p>
        </w:tc>
      </w:tr>
      <w:tr w:rsidR="00075001" w14:paraId="4F2C8B92" w14:textId="77777777" w:rsidTr="00075001">
        <w:trPr>
          <w:trHeight w:hRule="exact" w:val="547"/>
        </w:trPr>
        <w:tc>
          <w:tcPr>
            <w:tcW w:w="9209" w:type="dxa"/>
          </w:tcPr>
          <w:p w14:paraId="429E603A" w14:textId="77777777" w:rsidR="00075001" w:rsidRDefault="00075001" w:rsidP="00075001">
            <w:pPr>
              <w:pStyle w:val="TableParagraph"/>
              <w:tabs>
                <w:tab w:val="left" w:pos="822"/>
              </w:tabs>
              <w:ind w:left="822" w:right="670" w:hanging="360"/>
            </w:pPr>
            <w:r>
              <w:t>-</w:t>
            </w:r>
            <w:r>
              <w:tab/>
              <w:t>Prescribed</w:t>
            </w:r>
            <w:r>
              <w:rPr>
                <w:spacing w:val="-3"/>
              </w:rPr>
              <w:t xml:space="preserve"> </w:t>
            </w:r>
            <w:r>
              <w:t>a</w:t>
            </w:r>
            <w:r>
              <w:rPr>
                <w:spacing w:val="-3"/>
              </w:rPr>
              <w:t xml:space="preserve"> </w:t>
            </w:r>
            <w:r>
              <w:t>traditional</w:t>
            </w:r>
            <w:r>
              <w:rPr>
                <w:spacing w:val="-3"/>
              </w:rPr>
              <w:t xml:space="preserve"> </w:t>
            </w:r>
            <w:r>
              <w:t>oral</w:t>
            </w:r>
            <w:r>
              <w:rPr>
                <w:spacing w:val="-3"/>
              </w:rPr>
              <w:t xml:space="preserve"> </w:t>
            </w:r>
            <w:r>
              <w:t>NSAID</w:t>
            </w:r>
            <w:r>
              <w:rPr>
                <w:spacing w:val="-4"/>
              </w:rPr>
              <w:t xml:space="preserve"> </w:t>
            </w:r>
            <w:r>
              <w:t>or</w:t>
            </w:r>
            <w:r>
              <w:rPr>
                <w:spacing w:val="-3"/>
              </w:rPr>
              <w:t xml:space="preserve"> </w:t>
            </w:r>
            <w:r>
              <w:t>low</w:t>
            </w:r>
            <w:r>
              <w:rPr>
                <w:spacing w:val="-3"/>
              </w:rPr>
              <w:t xml:space="preserve"> </w:t>
            </w:r>
            <w:r>
              <w:t>dose</w:t>
            </w:r>
            <w:r>
              <w:rPr>
                <w:spacing w:val="-3"/>
              </w:rPr>
              <w:t xml:space="preserve"> </w:t>
            </w:r>
            <w:r>
              <w:t>aspirin</w:t>
            </w:r>
            <w:r>
              <w:rPr>
                <w:spacing w:val="-4"/>
              </w:rPr>
              <w:t xml:space="preserve"> </w:t>
            </w:r>
            <w:r>
              <w:t>but</w:t>
            </w:r>
            <w:r>
              <w:rPr>
                <w:spacing w:val="-3"/>
              </w:rPr>
              <w:t xml:space="preserve"> </w:t>
            </w:r>
            <w:r>
              <w:t>NO</w:t>
            </w:r>
            <w:r>
              <w:rPr>
                <w:spacing w:val="-4"/>
              </w:rPr>
              <w:t xml:space="preserve"> </w:t>
            </w:r>
            <w:r>
              <w:t>gastro-protective</w:t>
            </w:r>
            <w:r>
              <w:rPr>
                <w:spacing w:val="-3"/>
              </w:rPr>
              <w:t xml:space="preserve"> </w:t>
            </w:r>
            <w:r>
              <w:t>drug</w:t>
            </w:r>
            <w:r>
              <w:rPr>
                <w:spacing w:val="-3"/>
              </w:rPr>
              <w:t xml:space="preserve"> </w:t>
            </w:r>
            <w:r>
              <w:t xml:space="preserve">- </w:t>
            </w:r>
            <w:proofErr w:type="spellStart"/>
            <w:r>
              <w:t>Dreischulte</w:t>
            </w:r>
            <w:proofErr w:type="spellEnd"/>
            <w:r>
              <w:rPr>
                <w:spacing w:val="-8"/>
              </w:rPr>
              <w:t xml:space="preserve"> </w:t>
            </w:r>
            <w:r>
              <w:t>A1</w:t>
            </w:r>
          </w:p>
        </w:tc>
        <w:tc>
          <w:tcPr>
            <w:tcW w:w="1843" w:type="dxa"/>
          </w:tcPr>
          <w:p w14:paraId="50DE6B6F" w14:textId="77777777" w:rsidR="00075001" w:rsidRDefault="00075001" w:rsidP="00075001">
            <w:pPr>
              <w:pStyle w:val="TableParagraph"/>
              <w:spacing w:before="134"/>
            </w:pPr>
            <w:r>
              <w:t>160 (6.3)</w:t>
            </w:r>
          </w:p>
        </w:tc>
        <w:tc>
          <w:tcPr>
            <w:tcW w:w="1984" w:type="dxa"/>
          </w:tcPr>
          <w:p w14:paraId="7FCC5D68" w14:textId="77777777" w:rsidR="00075001" w:rsidRDefault="00075001" w:rsidP="00075001">
            <w:pPr>
              <w:pStyle w:val="TableParagraph"/>
              <w:spacing w:before="134"/>
              <w:ind w:left="102"/>
            </w:pPr>
            <w:r>
              <w:t>65 (6.2)</w:t>
            </w:r>
          </w:p>
        </w:tc>
        <w:tc>
          <w:tcPr>
            <w:tcW w:w="1701" w:type="dxa"/>
          </w:tcPr>
          <w:p w14:paraId="5E28680C" w14:textId="77777777" w:rsidR="00075001" w:rsidRDefault="00075001" w:rsidP="00075001">
            <w:pPr>
              <w:pStyle w:val="TableParagraph"/>
              <w:spacing w:before="134"/>
            </w:pPr>
            <w:r>
              <w:t>0.915</w:t>
            </w:r>
          </w:p>
        </w:tc>
      </w:tr>
      <w:tr w:rsidR="00075001" w14:paraId="6EF24B6F" w14:textId="77777777" w:rsidTr="00075001">
        <w:trPr>
          <w:trHeight w:hRule="exact" w:val="547"/>
        </w:trPr>
        <w:tc>
          <w:tcPr>
            <w:tcW w:w="9209" w:type="dxa"/>
          </w:tcPr>
          <w:p w14:paraId="7AF33980" w14:textId="77777777" w:rsidR="00075001" w:rsidRDefault="00075001" w:rsidP="00075001">
            <w:pPr>
              <w:pStyle w:val="TableParagraph"/>
              <w:tabs>
                <w:tab w:val="left" w:pos="822"/>
              </w:tabs>
              <w:ind w:left="822" w:right="887" w:hanging="360"/>
            </w:pPr>
            <w:r>
              <w:t>-</w:t>
            </w:r>
            <w:r>
              <w:tab/>
              <w:t>Prescribed</w:t>
            </w:r>
            <w:r>
              <w:rPr>
                <w:spacing w:val="-4"/>
              </w:rPr>
              <w:t xml:space="preserve"> </w:t>
            </w:r>
            <w:r>
              <w:t>a</w:t>
            </w:r>
            <w:r>
              <w:rPr>
                <w:spacing w:val="-4"/>
              </w:rPr>
              <w:t xml:space="preserve"> </w:t>
            </w:r>
            <w:r>
              <w:t>traditional</w:t>
            </w:r>
            <w:r>
              <w:rPr>
                <w:spacing w:val="-4"/>
              </w:rPr>
              <w:t xml:space="preserve"> </w:t>
            </w:r>
            <w:r>
              <w:t>oral</w:t>
            </w:r>
            <w:r>
              <w:rPr>
                <w:spacing w:val="-4"/>
              </w:rPr>
              <w:t xml:space="preserve"> </w:t>
            </w:r>
            <w:r>
              <w:t>NSAID</w:t>
            </w:r>
            <w:r>
              <w:rPr>
                <w:spacing w:val="-5"/>
              </w:rPr>
              <w:t xml:space="preserve"> </w:t>
            </w:r>
            <w:r>
              <w:t>but</w:t>
            </w:r>
            <w:r>
              <w:rPr>
                <w:spacing w:val="-4"/>
              </w:rPr>
              <w:t xml:space="preserve"> </w:t>
            </w:r>
            <w:r>
              <w:t>NO</w:t>
            </w:r>
            <w:r>
              <w:rPr>
                <w:spacing w:val="-5"/>
              </w:rPr>
              <w:t xml:space="preserve"> </w:t>
            </w:r>
            <w:r>
              <w:t>gastro-protective</w:t>
            </w:r>
            <w:r>
              <w:rPr>
                <w:spacing w:val="-4"/>
              </w:rPr>
              <w:t xml:space="preserve"> </w:t>
            </w:r>
            <w:r>
              <w:t>drug</w:t>
            </w:r>
            <w:r>
              <w:rPr>
                <w:spacing w:val="-4"/>
              </w:rPr>
              <w:t xml:space="preserve"> </w:t>
            </w:r>
            <w:r>
              <w:t>(aged</w:t>
            </w:r>
            <w:r>
              <w:rPr>
                <w:spacing w:val="-4"/>
              </w:rPr>
              <w:t xml:space="preserve"> </w:t>
            </w:r>
            <w:r>
              <w:rPr>
                <w:rFonts w:ascii="Arial" w:hAnsi="Arial"/>
              </w:rPr>
              <w:t>≥</w:t>
            </w:r>
            <w:r>
              <w:rPr>
                <w:rFonts w:ascii="Arial" w:hAnsi="Arial"/>
                <w:spacing w:val="-16"/>
              </w:rPr>
              <w:t xml:space="preserve"> </w:t>
            </w:r>
            <w:r>
              <w:t>75</w:t>
            </w:r>
            <w:r>
              <w:rPr>
                <w:spacing w:val="-4"/>
              </w:rPr>
              <w:t xml:space="preserve"> </w:t>
            </w:r>
            <w:r>
              <w:t xml:space="preserve">years)- </w:t>
            </w:r>
            <w:proofErr w:type="spellStart"/>
            <w:r>
              <w:t>Dreischulte</w:t>
            </w:r>
            <w:proofErr w:type="spellEnd"/>
            <w:r>
              <w:rPr>
                <w:spacing w:val="-8"/>
              </w:rPr>
              <w:t xml:space="preserve"> </w:t>
            </w:r>
            <w:r>
              <w:t>A2</w:t>
            </w:r>
          </w:p>
        </w:tc>
        <w:tc>
          <w:tcPr>
            <w:tcW w:w="1843" w:type="dxa"/>
          </w:tcPr>
          <w:p w14:paraId="5FF1DF0E" w14:textId="77777777" w:rsidR="00075001" w:rsidRDefault="00075001" w:rsidP="00075001">
            <w:pPr>
              <w:pStyle w:val="TableParagraph"/>
              <w:spacing w:before="134"/>
            </w:pPr>
            <w:r>
              <w:t>80 (3.2)</w:t>
            </w:r>
          </w:p>
        </w:tc>
        <w:tc>
          <w:tcPr>
            <w:tcW w:w="1984" w:type="dxa"/>
          </w:tcPr>
          <w:p w14:paraId="5D070A27" w14:textId="77777777" w:rsidR="00075001" w:rsidRDefault="00075001" w:rsidP="00075001">
            <w:pPr>
              <w:pStyle w:val="TableParagraph"/>
              <w:spacing w:before="134"/>
              <w:ind w:left="102"/>
            </w:pPr>
            <w:r>
              <w:t>35 (3.3)</w:t>
            </w:r>
          </w:p>
        </w:tc>
        <w:tc>
          <w:tcPr>
            <w:tcW w:w="1701" w:type="dxa"/>
          </w:tcPr>
          <w:p w14:paraId="721D73D9" w14:textId="77777777" w:rsidR="00075001" w:rsidRDefault="00075001" w:rsidP="00075001">
            <w:pPr>
              <w:pStyle w:val="TableParagraph"/>
              <w:spacing w:before="134"/>
            </w:pPr>
            <w:r>
              <w:t>0.768</w:t>
            </w:r>
          </w:p>
        </w:tc>
      </w:tr>
    </w:tbl>
    <w:p w14:paraId="6044C80D" w14:textId="77777777" w:rsidR="00075001" w:rsidRDefault="00075001" w:rsidP="00075001">
      <w:pPr>
        <w:sectPr w:rsidR="00075001">
          <w:headerReference w:type="default" r:id="rId33"/>
          <w:footerReference w:type="default" r:id="rId34"/>
          <w:pgSz w:w="16840" w:h="11910" w:orient="landscape"/>
          <w:pgMar w:top="1100" w:right="560" w:bottom="280" w:left="130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9"/>
        <w:gridCol w:w="1843"/>
        <w:gridCol w:w="1984"/>
        <w:gridCol w:w="1701"/>
      </w:tblGrid>
      <w:tr w:rsidR="00075001" w14:paraId="484412FE" w14:textId="77777777" w:rsidTr="00075001">
        <w:trPr>
          <w:trHeight w:hRule="exact" w:val="547"/>
        </w:trPr>
        <w:tc>
          <w:tcPr>
            <w:tcW w:w="9209" w:type="dxa"/>
          </w:tcPr>
          <w:p w14:paraId="415C05A8" w14:textId="77777777" w:rsidR="00075001" w:rsidRDefault="00075001" w:rsidP="00075001">
            <w:pPr>
              <w:pStyle w:val="TableParagraph"/>
              <w:tabs>
                <w:tab w:val="left" w:pos="822"/>
              </w:tabs>
              <w:ind w:left="822" w:right="861" w:hanging="360"/>
            </w:pPr>
            <w:r>
              <w:lastRenderedPageBreak/>
              <w:t>-</w:t>
            </w:r>
            <w:r>
              <w:tab/>
              <w:t>Prescribed both a diuretic and an ACE inhibitor/ARB and prescribed any oral</w:t>
            </w:r>
            <w:r>
              <w:rPr>
                <w:spacing w:val="-26"/>
              </w:rPr>
              <w:t xml:space="preserve"> </w:t>
            </w:r>
            <w:r>
              <w:t>NSAID</w:t>
            </w:r>
            <w:r>
              <w:rPr>
                <w:spacing w:val="-3"/>
              </w:rPr>
              <w:t xml:space="preserve"> </w:t>
            </w:r>
            <w:r>
              <w:t xml:space="preserve">- </w:t>
            </w:r>
            <w:proofErr w:type="spellStart"/>
            <w:r>
              <w:t>Dreischulte</w:t>
            </w:r>
            <w:proofErr w:type="spellEnd"/>
            <w:r>
              <w:rPr>
                <w:spacing w:val="-7"/>
              </w:rPr>
              <w:t xml:space="preserve"> </w:t>
            </w:r>
            <w:r>
              <w:t>B1</w:t>
            </w:r>
          </w:p>
        </w:tc>
        <w:tc>
          <w:tcPr>
            <w:tcW w:w="1843" w:type="dxa"/>
          </w:tcPr>
          <w:p w14:paraId="0251DE2B" w14:textId="77777777" w:rsidR="00075001" w:rsidRDefault="00075001" w:rsidP="00075001">
            <w:pPr>
              <w:pStyle w:val="TableParagraph"/>
              <w:spacing w:before="134"/>
            </w:pPr>
            <w:r>
              <w:t>82 (3.2)</w:t>
            </w:r>
          </w:p>
        </w:tc>
        <w:tc>
          <w:tcPr>
            <w:tcW w:w="1984" w:type="dxa"/>
          </w:tcPr>
          <w:p w14:paraId="19C4CCD3" w14:textId="77777777" w:rsidR="00075001" w:rsidRDefault="00075001" w:rsidP="00075001">
            <w:pPr>
              <w:pStyle w:val="TableParagraph"/>
              <w:spacing w:before="134"/>
              <w:ind w:left="102"/>
            </w:pPr>
            <w:r>
              <w:t>37 (3.5)</w:t>
            </w:r>
          </w:p>
        </w:tc>
        <w:tc>
          <w:tcPr>
            <w:tcW w:w="1701" w:type="dxa"/>
          </w:tcPr>
          <w:p w14:paraId="2DF26CC8" w14:textId="77777777" w:rsidR="00075001" w:rsidRDefault="00075001" w:rsidP="00075001">
            <w:pPr>
              <w:pStyle w:val="TableParagraph"/>
              <w:spacing w:before="134"/>
            </w:pPr>
            <w:r>
              <w:t>0.645</w:t>
            </w:r>
          </w:p>
        </w:tc>
      </w:tr>
      <w:tr w:rsidR="00075001" w14:paraId="3E959CBA" w14:textId="77777777" w:rsidTr="00075001">
        <w:trPr>
          <w:trHeight w:hRule="exact" w:val="279"/>
        </w:trPr>
        <w:tc>
          <w:tcPr>
            <w:tcW w:w="9209" w:type="dxa"/>
          </w:tcPr>
          <w:p w14:paraId="7699680C" w14:textId="77777777" w:rsidR="00075001" w:rsidRDefault="00075001" w:rsidP="00075001">
            <w:pPr>
              <w:pStyle w:val="TableParagraph"/>
              <w:tabs>
                <w:tab w:val="left" w:pos="822"/>
              </w:tabs>
              <w:ind w:left="462"/>
            </w:pPr>
            <w:r>
              <w:t>-</w:t>
            </w:r>
            <w:r>
              <w:tab/>
              <w:t xml:space="preserve">Heart failure and prescribed any oral NSAID - </w:t>
            </w:r>
            <w:proofErr w:type="spellStart"/>
            <w:r>
              <w:t>Dreischulte</w:t>
            </w:r>
            <w:proofErr w:type="spellEnd"/>
            <w:r>
              <w:rPr>
                <w:spacing w:val="-23"/>
              </w:rPr>
              <w:t xml:space="preserve"> </w:t>
            </w:r>
            <w:r>
              <w:t>B3</w:t>
            </w:r>
          </w:p>
        </w:tc>
        <w:tc>
          <w:tcPr>
            <w:tcW w:w="1843" w:type="dxa"/>
          </w:tcPr>
          <w:p w14:paraId="76398307" w14:textId="77777777" w:rsidR="00075001" w:rsidRDefault="00075001" w:rsidP="00075001">
            <w:pPr>
              <w:pStyle w:val="TableParagraph"/>
            </w:pPr>
            <w:r>
              <w:t>57 (2.3)</w:t>
            </w:r>
          </w:p>
        </w:tc>
        <w:tc>
          <w:tcPr>
            <w:tcW w:w="1984" w:type="dxa"/>
          </w:tcPr>
          <w:p w14:paraId="17648853" w14:textId="77777777" w:rsidR="00075001" w:rsidRDefault="00075001" w:rsidP="00075001">
            <w:pPr>
              <w:pStyle w:val="TableParagraph"/>
              <w:ind w:left="102"/>
            </w:pPr>
            <w:r>
              <w:t>26 (2.5)</w:t>
            </w:r>
          </w:p>
        </w:tc>
        <w:tc>
          <w:tcPr>
            <w:tcW w:w="1701" w:type="dxa"/>
          </w:tcPr>
          <w:p w14:paraId="06CE9778" w14:textId="77777777" w:rsidR="00075001" w:rsidRDefault="00075001" w:rsidP="00075001">
            <w:pPr>
              <w:pStyle w:val="TableParagraph"/>
            </w:pPr>
            <w:r>
              <w:t>0.667</w:t>
            </w:r>
          </w:p>
        </w:tc>
      </w:tr>
      <w:tr w:rsidR="00075001" w14:paraId="74E52102" w14:textId="77777777" w:rsidTr="00075001">
        <w:trPr>
          <w:trHeight w:hRule="exact" w:val="279"/>
        </w:trPr>
        <w:tc>
          <w:tcPr>
            <w:tcW w:w="9209" w:type="dxa"/>
          </w:tcPr>
          <w:p w14:paraId="0CAA6603" w14:textId="77777777" w:rsidR="00075001" w:rsidRDefault="00075001" w:rsidP="00075001">
            <w:pPr>
              <w:pStyle w:val="TableParagraph"/>
            </w:pPr>
            <w:r>
              <w:t>Underuse</w:t>
            </w:r>
          </w:p>
        </w:tc>
        <w:tc>
          <w:tcPr>
            <w:tcW w:w="1843" w:type="dxa"/>
          </w:tcPr>
          <w:p w14:paraId="00183DC9" w14:textId="77777777" w:rsidR="00075001" w:rsidRDefault="00075001" w:rsidP="00075001"/>
        </w:tc>
        <w:tc>
          <w:tcPr>
            <w:tcW w:w="1984" w:type="dxa"/>
          </w:tcPr>
          <w:p w14:paraId="3D070071" w14:textId="77777777" w:rsidR="00075001" w:rsidRDefault="00075001" w:rsidP="00075001"/>
        </w:tc>
        <w:tc>
          <w:tcPr>
            <w:tcW w:w="1701" w:type="dxa"/>
          </w:tcPr>
          <w:p w14:paraId="50A8C046" w14:textId="77777777" w:rsidR="00075001" w:rsidRDefault="00075001" w:rsidP="00075001"/>
        </w:tc>
      </w:tr>
      <w:tr w:rsidR="00075001" w14:paraId="6C62E576" w14:textId="77777777" w:rsidTr="00075001">
        <w:trPr>
          <w:trHeight w:hRule="exact" w:val="279"/>
        </w:trPr>
        <w:tc>
          <w:tcPr>
            <w:tcW w:w="9209" w:type="dxa"/>
          </w:tcPr>
          <w:p w14:paraId="153032EE" w14:textId="77777777" w:rsidR="00075001" w:rsidRDefault="00075001" w:rsidP="00075001">
            <w:pPr>
              <w:pStyle w:val="TableParagraph"/>
              <w:tabs>
                <w:tab w:val="left" w:pos="822"/>
              </w:tabs>
              <w:ind w:left="462"/>
            </w:pPr>
            <w:r>
              <w:t>-</w:t>
            </w:r>
            <w:r>
              <w:tab/>
              <w:t>START criteria**** – Median</w:t>
            </w:r>
            <w:r>
              <w:rPr>
                <w:spacing w:val="-12"/>
              </w:rPr>
              <w:t xml:space="preserve"> </w:t>
            </w:r>
            <w:r>
              <w:t>(IQR)</w:t>
            </w:r>
          </w:p>
        </w:tc>
        <w:tc>
          <w:tcPr>
            <w:tcW w:w="1843" w:type="dxa"/>
          </w:tcPr>
          <w:p w14:paraId="751E88D5" w14:textId="77777777" w:rsidR="00075001" w:rsidRDefault="00075001" w:rsidP="00075001">
            <w:pPr>
              <w:pStyle w:val="TableParagraph"/>
            </w:pPr>
            <w:r>
              <w:t>1 (2)</w:t>
            </w:r>
          </w:p>
        </w:tc>
        <w:tc>
          <w:tcPr>
            <w:tcW w:w="1984" w:type="dxa"/>
          </w:tcPr>
          <w:p w14:paraId="2F74524F" w14:textId="77777777" w:rsidR="00075001" w:rsidRDefault="00075001" w:rsidP="00075001">
            <w:pPr>
              <w:pStyle w:val="TableParagraph"/>
              <w:ind w:left="102"/>
            </w:pPr>
            <w:r>
              <w:t>1 (2)</w:t>
            </w:r>
          </w:p>
        </w:tc>
        <w:tc>
          <w:tcPr>
            <w:tcW w:w="1701" w:type="dxa"/>
          </w:tcPr>
          <w:p w14:paraId="1C866F27" w14:textId="77777777" w:rsidR="00075001" w:rsidRDefault="00075001" w:rsidP="00075001">
            <w:pPr>
              <w:pStyle w:val="TableParagraph"/>
            </w:pPr>
            <w:r>
              <w:t>0.002</w:t>
            </w:r>
          </w:p>
        </w:tc>
      </w:tr>
      <w:tr w:rsidR="00075001" w14:paraId="49315872" w14:textId="77777777" w:rsidTr="00075001">
        <w:trPr>
          <w:trHeight w:hRule="exact" w:val="279"/>
        </w:trPr>
        <w:tc>
          <w:tcPr>
            <w:tcW w:w="9209" w:type="dxa"/>
          </w:tcPr>
          <w:p w14:paraId="2909C5D9" w14:textId="77777777" w:rsidR="00075001" w:rsidRDefault="00075001" w:rsidP="00075001">
            <w:pPr>
              <w:pStyle w:val="TableParagraph"/>
              <w:tabs>
                <w:tab w:val="left" w:pos="822"/>
              </w:tabs>
              <w:ind w:left="462"/>
            </w:pPr>
            <w:r>
              <w:t>-</w:t>
            </w:r>
            <w:r>
              <w:tab/>
              <w:t>START criteria**** - Frequency</w:t>
            </w:r>
            <w:r>
              <w:rPr>
                <w:spacing w:val="-13"/>
              </w:rPr>
              <w:t xml:space="preserve"> </w:t>
            </w:r>
            <w:r>
              <w:t>(%)</w:t>
            </w:r>
          </w:p>
        </w:tc>
        <w:tc>
          <w:tcPr>
            <w:tcW w:w="1843" w:type="dxa"/>
          </w:tcPr>
          <w:p w14:paraId="76F7D18C" w14:textId="77777777" w:rsidR="00075001" w:rsidRDefault="00075001" w:rsidP="00075001">
            <w:pPr>
              <w:pStyle w:val="TableParagraph"/>
            </w:pPr>
            <w:r>
              <w:t>1,425 (56.2)</w:t>
            </w:r>
          </w:p>
        </w:tc>
        <w:tc>
          <w:tcPr>
            <w:tcW w:w="1984" w:type="dxa"/>
          </w:tcPr>
          <w:p w14:paraId="1C2EDF26" w14:textId="77777777" w:rsidR="00075001" w:rsidRDefault="00075001" w:rsidP="00075001">
            <w:pPr>
              <w:pStyle w:val="TableParagraph"/>
              <w:ind w:left="102"/>
            </w:pPr>
            <w:r>
              <w:t>634 (60.6)</w:t>
            </w:r>
          </w:p>
        </w:tc>
        <w:tc>
          <w:tcPr>
            <w:tcW w:w="1701" w:type="dxa"/>
          </w:tcPr>
          <w:p w14:paraId="4D336EE0" w14:textId="77777777" w:rsidR="00075001" w:rsidRDefault="00075001" w:rsidP="00075001">
            <w:pPr>
              <w:pStyle w:val="TableParagraph"/>
            </w:pPr>
            <w:r>
              <w:t>0.015</w:t>
            </w:r>
          </w:p>
        </w:tc>
      </w:tr>
      <w:tr w:rsidR="00075001" w14:paraId="571FA4BD" w14:textId="77777777" w:rsidTr="00075001">
        <w:trPr>
          <w:trHeight w:hRule="exact" w:val="547"/>
        </w:trPr>
        <w:tc>
          <w:tcPr>
            <w:tcW w:w="9209" w:type="dxa"/>
          </w:tcPr>
          <w:p w14:paraId="051AFBCA" w14:textId="77777777" w:rsidR="00075001" w:rsidRDefault="00075001" w:rsidP="00075001">
            <w:pPr>
              <w:pStyle w:val="TableParagraph"/>
              <w:tabs>
                <w:tab w:val="left" w:pos="822"/>
              </w:tabs>
              <w:ind w:left="822" w:right="328" w:hanging="360"/>
            </w:pPr>
            <w:r>
              <w:t>-</w:t>
            </w:r>
            <w:r>
              <w:tab/>
              <w:t>Documented history of coronary or cerebral vascular disease with NO</w:t>
            </w:r>
            <w:r>
              <w:rPr>
                <w:spacing w:val="-29"/>
              </w:rPr>
              <w:t xml:space="preserve"> </w:t>
            </w:r>
            <w:r>
              <w:t>antiplatelet</w:t>
            </w:r>
            <w:r>
              <w:rPr>
                <w:spacing w:val="-2"/>
              </w:rPr>
              <w:t xml:space="preserve"> </w:t>
            </w:r>
            <w:r>
              <w:t>therapy (aspirin, clopidogrel, prasugrel, or ticagrelor) - START</w:t>
            </w:r>
            <w:r>
              <w:rPr>
                <w:spacing w:val="-29"/>
              </w:rPr>
              <w:t xml:space="preserve"> </w:t>
            </w:r>
            <w:r>
              <w:t>A3</w:t>
            </w:r>
          </w:p>
        </w:tc>
        <w:tc>
          <w:tcPr>
            <w:tcW w:w="1843" w:type="dxa"/>
          </w:tcPr>
          <w:p w14:paraId="773A16D9" w14:textId="77777777" w:rsidR="00075001" w:rsidRDefault="00075001" w:rsidP="00075001">
            <w:pPr>
              <w:pStyle w:val="TableParagraph"/>
              <w:spacing w:before="134"/>
            </w:pPr>
            <w:r>
              <w:t>307 (12.1)</w:t>
            </w:r>
          </w:p>
        </w:tc>
        <w:tc>
          <w:tcPr>
            <w:tcW w:w="1984" w:type="dxa"/>
          </w:tcPr>
          <w:p w14:paraId="0A8B71F4" w14:textId="77777777" w:rsidR="00075001" w:rsidRDefault="00075001" w:rsidP="00075001">
            <w:pPr>
              <w:pStyle w:val="TableParagraph"/>
              <w:spacing w:before="134"/>
              <w:ind w:left="102"/>
            </w:pPr>
            <w:r>
              <w:t>115 (11.0)</w:t>
            </w:r>
          </w:p>
        </w:tc>
        <w:tc>
          <w:tcPr>
            <w:tcW w:w="1701" w:type="dxa"/>
          </w:tcPr>
          <w:p w14:paraId="229F5F81" w14:textId="77777777" w:rsidR="00075001" w:rsidRDefault="00075001" w:rsidP="00075001">
            <w:pPr>
              <w:pStyle w:val="TableParagraph"/>
              <w:spacing w:before="134"/>
            </w:pPr>
            <w:r>
              <w:t>0.348</w:t>
            </w:r>
          </w:p>
        </w:tc>
      </w:tr>
      <w:tr w:rsidR="00075001" w14:paraId="5B7071FB" w14:textId="77777777" w:rsidTr="00075001">
        <w:trPr>
          <w:trHeight w:hRule="exact" w:val="547"/>
        </w:trPr>
        <w:tc>
          <w:tcPr>
            <w:tcW w:w="9209" w:type="dxa"/>
          </w:tcPr>
          <w:p w14:paraId="73FFCE6F" w14:textId="77777777" w:rsidR="00075001" w:rsidRDefault="00075001" w:rsidP="00075001">
            <w:pPr>
              <w:pStyle w:val="TableParagraph"/>
              <w:tabs>
                <w:tab w:val="left" w:pos="822"/>
              </w:tabs>
              <w:ind w:left="822" w:right="179" w:hanging="360"/>
            </w:pPr>
            <w:r>
              <w:t>-</w:t>
            </w:r>
            <w:r>
              <w:tab/>
              <w:t>Documented history of coronary or cerebral vascular disease (Aged 85 years and</w:t>
            </w:r>
            <w:r>
              <w:rPr>
                <w:spacing w:val="-32"/>
              </w:rPr>
              <w:t xml:space="preserve"> </w:t>
            </w:r>
            <w:r>
              <w:t>under)</w:t>
            </w:r>
            <w:r>
              <w:rPr>
                <w:spacing w:val="-3"/>
              </w:rPr>
              <w:t xml:space="preserve"> </w:t>
            </w:r>
            <w:r>
              <w:t>but NO statin therapy - START</w:t>
            </w:r>
            <w:r>
              <w:rPr>
                <w:spacing w:val="-12"/>
              </w:rPr>
              <w:t xml:space="preserve"> </w:t>
            </w:r>
            <w:r>
              <w:t>A5</w:t>
            </w:r>
          </w:p>
        </w:tc>
        <w:tc>
          <w:tcPr>
            <w:tcW w:w="1843" w:type="dxa"/>
          </w:tcPr>
          <w:p w14:paraId="379F681E" w14:textId="77777777" w:rsidR="00075001" w:rsidRDefault="00075001" w:rsidP="00075001">
            <w:pPr>
              <w:pStyle w:val="TableParagraph"/>
              <w:spacing w:before="134"/>
            </w:pPr>
            <w:r>
              <w:t>256 (10.1)</w:t>
            </w:r>
          </w:p>
        </w:tc>
        <w:tc>
          <w:tcPr>
            <w:tcW w:w="1984" w:type="dxa"/>
          </w:tcPr>
          <w:p w14:paraId="796A2109" w14:textId="77777777" w:rsidR="00075001" w:rsidRDefault="00075001" w:rsidP="00075001">
            <w:pPr>
              <w:pStyle w:val="TableParagraph"/>
              <w:spacing w:before="134"/>
              <w:ind w:left="102"/>
            </w:pPr>
            <w:r>
              <w:t>123 (11.8)</w:t>
            </w:r>
          </w:p>
        </w:tc>
        <w:tc>
          <w:tcPr>
            <w:tcW w:w="1701" w:type="dxa"/>
          </w:tcPr>
          <w:p w14:paraId="778243D0" w14:textId="77777777" w:rsidR="00075001" w:rsidRDefault="00075001" w:rsidP="00075001">
            <w:pPr>
              <w:pStyle w:val="TableParagraph"/>
              <w:spacing w:before="134"/>
            </w:pPr>
            <w:r>
              <w:t>0.141</w:t>
            </w:r>
          </w:p>
        </w:tc>
      </w:tr>
      <w:tr w:rsidR="00075001" w14:paraId="76EB40C8" w14:textId="77777777" w:rsidTr="00075001">
        <w:trPr>
          <w:trHeight w:hRule="exact" w:val="279"/>
        </w:trPr>
        <w:tc>
          <w:tcPr>
            <w:tcW w:w="9209" w:type="dxa"/>
          </w:tcPr>
          <w:p w14:paraId="03D187EC" w14:textId="77777777" w:rsidR="00075001" w:rsidRDefault="00075001" w:rsidP="00075001">
            <w:pPr>
              <w:pStyle w:val="TableParagraph"/>
              <w:tabs>
                <w:tab w:val="left" w:pos="822"/>
              </w:tabs>
              <w:ind w:left="462"/>
            </w:pPr>
            <w:r>
              <w:t>-</w:t>
            </w:r>
            <w:r>
              <w:tab/>
              <w:t>Heart</w:t>
            </w:r>
            <w:r>
              <w:rPr>
                <w:spacing w:val="-3"/>
              </w:rPr>
              <w:t xml:space="preserve"> </w:t>
            </w:r>
            <w:r>
              <w:t>failure</w:t>
            </w:r>
            <w:r>
              <w:rPr>
                <w:spacing w:val="-3"/>
              </w:rPr>
              <w:t xml:space="preserve"> </w:t>
            </w:r>
            <w:r>
              <w:t>and/or</w:t>
            </w:r>
            <w:r>
              <w:rPr>
                <w:spacing w:val="-3"/>
              </w:rPr>
              <w:t xml:space="preserve"> </w:t>
            </w:r>
            <w:r>
              <w:t>documented</w:t>
            </w:r>
            <w:r>
              <w:rPr>
                <w:spacing w:val="-4"/>
              </w:rPr>
              <w:t xml:space="preserve"> </w:t>
            </w:r>
            <w:r>
              <w:t>coronary</w:t>
            </w:r>
            <w:r>
              <w:rPr>
                <w:spacing w:val="-3"/>
              </w:rPr>
              <w:t xml:space="preserve"> </w:t>
            </w:r>
            <w:r>
              <w:t>artery</w:t>
            </w:r>
            <w:r>
              <w:rPr>
                <w:spacing w:val="-3"/>
              </w:rPr>
              <w:t xml:space="preserve"> </w:t>
            </w:r>
            <w:r>
              <w:t>disease</w:t>
            </w:r>
            <w:r>
              <w:rPr>
                <w:spacing w:val="-3"/>
              </w:rPr>
              <w:t xml:space="preserve"> </w:t>
            </w:r>
            <w:r>
              <w:t>but</w:t>
            </w:r>
            <w:r>
              <w:rPr>
                <w:spacing w:val="-3"/>
              </w:rPr>
              <w:t xml:space="preserve"> </w:t>
            </w:r>
            <w:r>
              <w:t>NO</w:t>
            </w:r>
            <w:r>
              <w:rPr>
                <w:spacing w:val="-3"/>
              </w:rPr>
              <w:t xml:space="preserve"> </w:t>
            </w:r>
            <w:r>
              <w:t>ACE</w:t>
            </w:r>
            <w:r>
              <w:rPr>
                <w:spacing w:val="-3"/>
              </w:rPr>
              <w:t xml:space="preserve"> </w:t>
            </w:r>
            <w:r>
              <w:t>inhibitor</w:t>
            </w:r>
            <w:r>
              <w:rPr>
                <w:spacing w:val="-4"/>
              </w:rPr>
              <w:t xml:space="preserve"> </w:t>
            </w:r>
            <w:r>
              <w:t>-</w:t>
            </w:r>
            <w:r>
              <w:rPr>
                <w:spacing w:val="-3"/>
              </w:rPr>
              <w:t xml:space="preserve"> </w:t>
            </w:r>
            <w:r>
              <w:t>START</w:t>
            </w:r>
            <w:r>
              <w:rPr>
                <w:spacing w:val="-4"/>
              </w:rPr>
              <w:t xml:space="preserve"> </w:t>
            </w:r>
            <w:r>
              <w:t>A6</w:t>
            </w:r>
          </w:p>
        </w:tc>
        <w:tc>
          <w:tcPr>
            <w:tcW w:w="1843" w:type="dxa"/>
          </w:tcPr>
          <w:p w14:paraId="18582521" w14:textId="77777777" w:rsidR="00075001" w:rsidRDefault="00075001" w:rsidP="00075001">
            <w:pPr>
              <w:pStyle w:val="TableParagraph"/>
            </w:pPr>
            <w:r>
              <w:t>255 (10.1)</w:t>
            </w:r>
          </w:p>
        </w:tc>
        <w:tc>
          <w:tcPr>
            <w:tcW w:w="1984" w:type="dxa"/>
          </w:tcPr>
          <w:p w14:paraId="089525E7" w14:textId="77777777" w:rsidR="00075001" w:rsidRDefault="00075001" w:rsidP="00075001">
            <w:pPr>
              <w:pStyle w:val="TableParagraph"/>
              <w:ind w:left="102"/>
            </w:pPr>
            <w:r>
              <w:t>160 (15.3)</w:t>
            </w:r>
          </w:p>
        </w:tc>
        <w:tc>
          <w:tcPr>
            <w:tcW w:w="1701" w:type="dxa"/>
          </w:tcPr>
          <w:p w14:paraId="5CDBCA42" w14:textId="77777777" w:rsidR="00075001" w:rsidRDefault="00075001" w:rsidP="00075001">
            <w:pPr>
              <w:pStyle w:val="TableParagraph"/>
            </w:pPr>
            <w:r>
              <w:t>&lt; 0.001</w:t>
            </w:r>
          </w:p>
        </w:tc>
      </w:tr>
      <w:tr w:rsidR="00075001" w14:paraId="47CF84BB" w14:textId="77777777" w:rsidTr="00075001">
        <w:trPr>
          <w:trHeight w:hRule="exact" w:val="279"/>
        </w:trPr>
        <w:tc>
          <w:tcPr>
            <w:tcW w:w="9209" w:type="dxa"/>
          </w:tcPr>
          <w:p w14:paraId="3A212DB2" w14:textId="77777777" w:rsidR="00075001" w:rsidRDefault="00075001" w:rsidP="00075001">
            <w:pPr>
              <w:pStyle w:val="TableParagraph"/>
              <w:tabs>
                <w:tab w:val="left" w:pos="822"/>
              </w:tabs>
              <w:ind w:left="462"/>
            </w:pPr>
            <w:r>
              <w:t>-</w:t>
            </w:r>
            <w:r>
              <w:tab/>
              <w:t>Ischemic heart disease but NO beta-blocker - START</w:t>
            </w:r>
            <w:r>
              <w:rPr>
                <w:spacing w:val="-23"/>
              </w:rPr>
              <w:t xml:space="preserve"> </w:t>
            </w:r>
            <w:r>
              <w:t>A7</w:t>
            </w:r>
          </w:p>
        </w:tc>
        <w:tc>
          <w:tcPr>
            <w:tcW w:w="1843" w:type="dxa"/>
          </w:tcPr>
          <w:p w14:paraId="25E2D504" w14:textId="77777777" w:rsidR="00075001" w:rsidRDefault="00075001" w:rsidP="00075001">
            <w:pPr>
              <w:pStyle w:val="TableParagraph"/>
            </w:pPr>
            <w:r>
              <w:t>203 (8.0)</w:t>
            </w:r>
          </w:p>
        </w:tc>
        <w:tc>
          <w:tcPr>
            <w:tcW w:w="1984" w:type="dxa"/>
          </w:tcPr>
          <w:p w14:paraId="0A12BBA5" w14:textId="77777777" w:rsidR="00075001" w:rsidRDefault="00075001" w:rsidP="00075001">
            <w:pPr>
              <w:pStyle w:val="TableParagraph"/>
              <w:ind w:left="102"/>
            </w:pPr>
            <w:r>
              <w:t>117 (11.2)</w:t>
            </w:r>
          </w:p>
        </w:tc>
        <w:tc>
          <w:tcPr>
            <w:tcW w:w="1701" w:type="dxa"/>
          </w:tcPr>
          <w:p w14:paraId="0BB55D78" w14:textId="77777777" w:rsidR="00075001" w:rsidRDefault="00075001" w:rsidP="00075001">
            <w:pPr>
              <w:pStyle w:val="TableParagraph"/>
            </w:pPr>
            <w:r>
              <w:t>0.003</w:t>
            </w:r>
          </w:p>
        </w:tc>
      </w:tr>
      <w:tr w:rsidR="00075001" w14:paraId="0AE654A4" w14:textId="77777777" w:rsidTr="00075001">
        <w:trPr>
          <w:trHeight w:hRule="exact" w:val="547"/>
        </w:trPr>
        <w:tc>
          <w:tcPr>
            <w:tcW w:w="9209" w:type="dxa"/>
          </w:tcPr>
          <w:p w14:paraId="7F23E65A" w14:textId="77777777" w:rsidR="00075001" w:rsidRDefault="00075001" w:rsidP="00075001">
            <w:pPr>
              <w:pStyle w:val="TableParagraph"/>
              <w:tabs>
                <w:tab w:val="left" w:pos="822"/>
              </w:tabs>
              <w:ind w:left="822" w:right="976" w:hanging="360"/>
            </w:pPr>
            <w:r>
              <w:t>-</w:t>
            </w:r>
            <w:r>
              <w:tab/>
              <w:t>Heart</w:t>
            </w:r>
            <w:r>
              <w:rPr>
                <w:spacing w:val="-5"/>
              </w:rPr>
              <w:t xml:space="preserve"> </w:t>
            </w:r>
            <w:r>
              <w:t>failure</w:t>
            </w:r>
            <w:r>
              <w:rPr>
                <w:spacing w:val="-5"/>
              </w:rPr>
              <w:t xml:space="preserve"> </w:t>
            </w:r>
            <w:r>
              <w:t>but</w:t>
            </w:r>
            <w:r>
              <w:rPr>
                <w:spacing w:val="-5"/>
              </w:rPr>
              <w:t xml:space="preserve"> </w:t>
            </w:r>
            <w:r>
              <w:t>NO</w:t>
            </w:r>
            <w:r>
              <w:rPr>
                <w:spacing w:val="-6"/>
              </w:rPr>
              <w:t xml:space="preserve"> </w:t>
            </w:r>
            <w:r>
              <w:t>appropriate</w:t>
            </w:r>
            <w:r>
              <w:rPr>
                <w:spacing w:val="-5"/>
              </w:rPr>
              <w:t xml:space="preserve"> </w:t>
            </w:r>
            <w:r>
              <w:t>beta-blocker</w:t>
            </w:r>
            <w:r>
              <w:rPr>
                <w:spacing w:val="-5"/>
              </w:rPr>
              <w:t xml:space="preserve"> </w:t>
            </w:r>
            <w:r>
              <w:t>(bisoprolol,</w:t>
            </w:r>
            <w:r>
              <w:rPr>
                <w:spacing w:val="-5"/>
              </w:rPr>
              <w:t xml:space="preserve"> </w:t>
            </w:r>
            <w:r>
              <w:t>nebivolol,</w:t>
            </w:r>
            <w:r>
              <w:rPr>
                <w:spacing w:val="-6"/>
              </w:rPr>
              <w:t xml:space="preserve"> </w:t>
            </w:r>
            <w:r>
              <w:t>metoprolol</w:t>
            </w:r>
            <w:r>
              <w:rPr>
                <w:spacing w:val="-5"/>
              </w:rPr>
              <w:t xml:space="preserve"> </w:t>
            </w:r>
            <w:r>
              <w:t>or</w:t>
            </w:r>
            <w:r>
              <w:rPr>
                <w:spacing w:val="-1"/>
              </w:rPr>
              <w:t xml:space="preserve"> </w:t>
            </w:r>
            <w:r>
              <w:t>carvedilol) - START</w:t>
            </w:r>
            <w:r>
              <w:rPr>
                <w:spacing w:val="-9"/>
              </w:rPr>
              <w:t xml:space="preserve"> </w:t>
            </w:r>
            <w:r>
              <w:t>A8</w:t>
            </w:r>
          </w:p>
        </w:tc>
        <w:tc>
          <w:tcPr>
            <w:tcW w:w="1843" w:type="dxa"/>
          </w:tcPr>
          <w:p w14:paraId="1F490488" w14:textId="77777777" w:rsidR="00075001" w:rsidRDefault="00075001" w:rsidP="00075001">
            <w:pPr>
              <w:pStyle w:val="TableParagraph"/>
              <w:spacing w:before="134"/>
            </w:pPr>
            <w:r>
              <w:t>153 (6.0)</w:t>
            </w:r>
          </w:p>
        </w:tc>
        <w:tc>
          <w:tcPr>
            <w:tcW w:w="1984" w:type="dxa"/>
          </w:tcPr>
          <w:p w14:paraId="4F3F965E" w14:textId="77777777" w:rsidR="00075001" w:rsidRDefault="00075001" w:rsidP="00075001">
            <w:pPr>
              <w:pStyle w:val="TableParagraph"/>
              <w:spacing w:before="134"/>
              <w:ind w:left="102"/>
            </w:pPr>
            <w:r>
              <w:t>75 (7.2)</w:t>
            </w:r>
          </w:p>
        </w:tc>
        <w:tc>
          <w:tcPr>
            <w:tcW w:w="1701" w:type="dxa"/>
          </w:tcPr>
          <w:p w14:paraId="5578807E" w14:textId="77777777" w:rsidR="00075001" w:rsidRDefault="00075001" w:rsidP="00075001">
            <w:pPr>
              <w:pStyle w:val="TableParagraph"/>
              <w:spacing w:before="134"/>
            </w:pPr>
            <w:r>
              <w:t>0.206</w:t>
            </w:r>
          </w:p>
        </w:tc>
      </w:tr>
      <w:tr w:rsidR="00075001" w14:paraId="5F69BC1A" w14:textId="77777777" w:rsidTr="00075001">
        <w:trPr>
          <w:trHeight w:hRule="exact" w:val="547"/>
        </w:trPr>
        <w:tc>
          <w:tcPr>
            <w:tcW w:w="9209" w:type="dxa"/>
          </w:tcPr>
          <w:p w14:paraId="4149DC83" w14:textId="77777777" w:rsidR="00075001" w:rsidRDefault="00075001" w:rsidP="00075001">
            <w:pPr>
              <w:pStyle w:val="TableParagraph"/>
              <w:tabs>
                <w:tab w:val="left" w:pos="822"/>
              </w:tabs>
              <w:ind w:left="822" w:right="1077" w:hanging="360"/>
            </w:pPr>
            <w:r>
              <w:t>-</w:t>
            </w:r>
            <w:r>
              <w:tab/>
              <w:t>Asthma or COPD but NO inhaled b2 agonist or antimuscarinic</w:t>
            </w:r>
            <w:r>
              <w:rPr>
                <w:spacing w:val="-27"/>
              </w:rPr>
              <w:t xml:space="preserve"> </w:t>
            </w:r>
            <w:r>
              <w:t>bronchodilator</w:t>
            </w:r>
            <w:r>
              <w:rPr>
                <w:spacing w:val="-4"/>
              </w:rPr>
              <w:t xml:space="preserve"> </w:t>
            </w:r>
            <w:r>
              <w:t>(e.g. ipratropium, tiotropium) - START</w:t>
            </w:r>
            <w:r>
              <w:rPr>
                <w:spacing w:val="-16"/>
              </w:rPr>
              <w:t xml:space="preserve"> </w:t>
            </w:r>
            <w:r>
              <w:t>B1</w:t>
            </w:r>
          </w:p>
        </w:tc>
        <w:tc>
          <w:tcPr>
            <w:tcW w:w="1843" w:type="dxa"/>
          </w:tcPr>
          <w:p w14:paraId="499D6BA0" w14:textId="77777777" w:rsidR="00075001" w:rsidRDefault="00075001" w:rsidP="00075001">
            <w:pPr>
              <w:pStyle w:val="TableParagraph"/>
              <w:spacing w:before="134"/>
            </w:pPr>
            <w:r>
              <w:t>263 (10.4)</w:t>
            </w:r>
          </w:p>
        </w:tc>
        <w:tc>
          <w:tcPr>
            <w:tcW w:w="1984" w:type="dxa"/>
          </w:tcPr>
          <w:p w14:paraId="3736B164" w14:textId="77777777" w:rsidR="00075001" w:rsidRDefault="00075001" w:rsidP="00075001">
            <w:pPr>
              <w:pStyle w:val="TableParagraph"/>
              <w:spacing w:before="134"/>
              <w:ind w:left="102"/>
            </w:pPr>
            <w:r>
              <w:t>108 (10.3)</w:t>
            </w:r>
          </w:p>
        </w:tc>
        <w:tc>
          <w:tcPr>
            <w:tcW w:w="1701" w:type="dxa"/>
          </w:tcPr>
          <w:p w14:paraId="4840221E" w14:textId="77777777" w:rsidR="00075001" w:rsidRDefault="00075001" w:rsidP="00075001">
            <w:pPr>
              <w:pStyle w:val="TableParagraph"/>
              <w:spacing w:before="134"/>
            </w:pPr>
            <w:r>
              <w:t>0.968</w:t>
            </w:r>
          </w:p>
        </w:tc>
      </w:tr>
      <w:tr w:rsidR="00075001" w14:paraId="016AB911" w14:textId="77777777" w:rsidTr="00075001">
        <w:trPr>
          <w:trHeight w:hRule="exact" w:val="279"/>
        </w:trPr>
        <w:tc>
          <w:tcPr>
            <w:tcW w:w="9209" w:type="dxa"/>
          </w:tcPr>
          <w:p w14:paraId="76621E2A" w14:textId="77777777" w:rsidR="00075001" w:rsidRDefault="00075001" w:rsidP="00075001">
            <w:pPr>
              <w:pStyle w:val="TableParagraph"/>
              <w:tabs>
                <w:tab w:val="left" w:pos="822"/>
              </w:tabs>
              <w:ind w:left="462"/>
            </w:pPr>
            <w:r>
              <w:t>-</w:t>
            </w:r>
            <w:r>
              <w:tab/>
              <w:t>Asthma or COPD but NO regular inhaled corticosteroid - START</w:t>
            </w:r>
            <w:r>
              <w:rPr>
                <w:spacing w:val="-21"/>
              </w:rPr>
              <w:t xml:space="preserve"> </w:t>
            </w:r>
            <w:r>
              <w:t>B2</w:t>
            </w:r>
          </w:p>
        </w:tc>
        <w:tc>
          <w:tcPr>
            <w:tcW w:w="1843" w:type="dxa"/>
          </w:tcPr>
          <w:p w14:paraId="2D2C209A" w14:textId="77777777" w:rsidR="00075001" w:rsidRDefault="00075001" w:rsidP="00075001">
            <w:pPr>
              <w:pStyle w:val="TableParagraph"/>
            </w:pPr>
            <w:r>
              <w:t>377 (14.9)</w:t>
            </w:r>
          </w:p>
        </w:tc>
        <w:tc>
          <w:tcPr>
            <w:tcW w:w="1984" w:type="dxa"/>
          </w:tcPr>
          <w:p w14:paraId="10EB8ACA" w14:textId="77777777" w:rsidR="00075001" w:rsidRDefault="00075001" w:rsidP="00075001">
            <w:pPr>
              <w:pStyle w:val="TableParagraph"/>
              <w:ind w:left="102"/>
            </w:pPr>
            <w:r>
              <w:t>172 (16.4)</w:t>
            </w:r>
          </w:p>
        </w:tc>
        <w:tc>
          <w:tcPr>
            <w:tcW w:w="1701" w:type="dxa"/>
          </w:tcPr>
          <w:p w14:paraId="37382EDE" w14:textId="77777777" w:rsidR="00075001" w:rsidRDefault="00075001" w:rsidP="00075001">
            <w:pPr>
              <w:pStyle w:val="TableParagraph"/>
            </w:pPr>
            <w:r>
              <w:t>0.234</w:t>
            </w:r>
          </w:p>
        </w:tc>
      </w:tr>
      <w:tr w:rsidR="00075001" w14:paraId="0DB2EE07" w14:textId="77777777" w:rsidTr="00075001">
        <w:trPr>
          <w:trHeight w:hRule="exact" w:val="279"/>
        </w:trPr>
        <w:tc>
          <w:tcPr>
            <w:tcW w:w="9209" w:type="dxa"/>
          </w:tcPr>
          <w:p w14:paraId="764A806A" w14:textId="77777777" w:rsidR="00075001" w:rsidRDefault="00075001" w:rsidP="00075001">
            <w:pPr>
              <w:pStyle w:val="TableParagraph"/>
              <w:tabs>
                <w:tab w:val="left" w:pos="822"/>
              </w:tabs>
              <w:ind w:left="462"/>
            </w:pPr>
            <w:r>
              <w:t>-</w:t>
            </w:r>
            <w:r>
              <w:tab/>
              <w:t>Presence of depressive symptoms but NO Non-TCA antidepressant drug - START</w:t>
            </w:r>
            <w:r>
              <w:rPr>
                <w:spacing w:val="-30"/>
              </w:rPr>
              <w:t xml:space="preserve"> </w:t>
            </w:r>
            <w:r>
              <w:t>C2</w:t>
            </w:r>
          </w:p>
        </w:tc>
        <w:tc>
          <w:tcPr>
            <w:tcW w:w="1843" w:type="dxa"/>
          </w:tcPr>
          <w:p w14:paraId="232D480A" w14:textId="77777777" w:rsidR="00075001" w:rsidRDefault="00075001" w:rsidP="00075001">
            <w:pPr>
              <w:pStyle w:val="TableParagraph"/>
            </w:pPr>
            <w:r>
              <w:t>92 (3.6)</w:t>
            </w:r>
          </w:p>
        </w:tc>
        <w:tc>
          <w:tcPr>
            <w:tcW w:w="1984" w:type="dxa"/>
          </w:tcPr>
          <w:p w14:paraId="1B316B72" w14:textId="77777777" w:rsidR="00075001" w:rsidRDefault="00075001" w:rsidP="00075001">
            <w:pPr>
              <w:pStyle w:val="TableParagraph"/>
              <w:ind w:left="102"/>
            </w:pPr>
            <w:r>
              <w:t>51 (4.9)</w:t>
            </w:r>
          </w:p>
        </w:tc>
        <w:tc>
          <w:tcPr>
            <w:tcW w:w="1701" w:type="dxa"/>
          </w:tcPr>
          <w:p w14:paraId="51F3B6A6" w14:textId="77777777" w:rsidR="00075001" w:rsidRDefault="00075001" w:rsidP="00075001">
            <w:pPr>
              <w:pStyle w:val="TableParagraph"/>
            </w:pPr>
            <w:r>
              <w:t>0.084</w:t>
            </w:r>
          </w:p>
        </w:tc>
      </w:tr>
      <w:tr w:rsidR="00075001" w14:paraId="45738C04" w14:textId="77777777" w:rsidTr="00075001">
        <w:trPr>
          <w:trHeight w:hRule="exact" w:val="547"/>
        </w:trPr>
        <w:tc>
          <w:tcPr>
            <w:tcW w:w="9209" w:type="dxa"/>
          </w:tcPr>
          <w:p w14:paraId="24622F5A" w14:textId="77777777" w:rsidR="00075001" w:rsidRDefault="00075001" w:rsidP="00075001">
            <w:pPr>
              <w:pStyle w:val="TableParagraph"/>
              <w:tabs>
                <w:tab w:val="left" w:pos="822"/>
              </w:tabs>
              <w:ind w:left="822" w:right="592" w:hanging="360"/>
            </w:pPr>
            <w:r>
              <w:t>-</w:t>
            </w:r>
            <w:r>
              <w:tab/>
              <w:t>Patients taking long-term systemic corticosteroid therapy but NO</w:t>
            </w:r>
            <w:r>
              <w:rPr>
                <w:spacing w:val="-28"/>
              </w:rPr>
              <w:t xml:space="preserve"> </w:t>
            </w:r>
            <w:r>
              <w:t>bisphosphonates</w:t>
            </w:r>
            <w:r>
              <w:rPr>
                <w:spacing w:val="-4"/>
              </w:rPr>
              <w:t xml:space="preserve"> </w:t>
            </w:r>
            <w:r>
              <w:t>and vitamin D and calcium - START</w:t>
            </w:r>
            <w:r>
              <w:rPr>
                <w:spacing w:val="-11"/>
              </w:rPr>
              <w:t xml:space="preserve"> </w:t>
            </w:r>
            <w:r>
              <w:t>E2</w:t>
            </w:r>
          </w:p>
        </w:tc>
        <w:tc>
          <w:tcPr>
            <w:tcW w:w="1843" w:type="dxa"/>
          </w:tcPr>
          <w:p w14:paraId="65BF5AFF" w14:textId="77777777" w:rsidR="00075001" w:rsidRDefault="00075001" w:rsidP="00075001">
            <w:pPr>
              <w:pStyle w:val="TableParagraph"/>
              <w:spacing w:before="134"/>
            </w:pPr>
            <w:r>
              <w:t>94 (3.7)</w:t>
            </w:r>
          </w:p>
        </w:tc>
        <w:tc>
          <w:tcPr>
            <w:tcW w:w="1984" w:type="dxa"/>
          </w:tcPr>
          <w:p w14:paraId="7912D787" w14:textId="77777777" w:rsidR="00075001" w:rsidRDefault="00075001" w:rsidP="00075001">
            <w:pPr>
              <w:pStyle w:val="TableParagraph"/>
              <w:spacing w:before="134"/>
              <w:ind w:left="102"/>
            </w:pPr>
            <w:r>
              <w:t>53 (5.1)</w:t>
            </w:r>
          </w:p>
        </w:tc>
        <w:tc>
          <w:tcPr>
            <w:tcW w:w="1701" w:type="dxa"/>
          </w:tcPr>
          <w:p w14:paraId="62E34FA6" w14:textId="77777777" w:rsidR="00075001" w:rsidRDefault="00075001" w:rsidP="00075001">
            <w:pPr>
              <w:pStyle w:val="TableParagraph"/>
              <w:spacing w:before="134"/>
            </w:pPr>
            <w:r>
              <w:t>0.063</w:t>
            </w:r>
          </w:p>
        </w:tc>
      </w:tr>
      <w:tr w:rsidR="00075001" w14:paraId="745F439A" w14:textId="77777777" w:rsidTr="00075001">
        <w:trPr>
          <w:trHeight w:hRule="exact" w:val="279"/>
        </w:trPr>
        <w:tc>
          <w:tcPr>
            <w:tcW w:w="9209" w:type="dxa"/>
          </w:tcPr>
          <w:p w14:paraId="7CCF40D4" w14:textId="77777777" w:rsidR="00075001" w:rsidRDefault="00075001" w:rsidP="00075001">
            <w:pPr>
              <w:pStyle w:val="TableParagraph"/>
              <w:tabs>
                <w:tab w:val="left" w:pos="822"/>
              </w:tabs>
              <w:ind w:left="462"/>
            </w:pPr>
            <w:r>
              <w:t>-</w:t>
            </w:r>
            <w:r>
              <w:tab/>
              <w:t>Patients</w:t>
            </w:r>
            <w:r>
              <w:rPr>
                <w:spacing w:val="-4"/>
              </w:rPr>
              <w:t xml:space="preserve"> </w:t>
            </w:r>
            <w:r>
              <w:t>with</w:t>
            </w:r>
            <w:r>
              <w:rPr>
                <w:spacing w:val="-3"/>
              </w:rPr>
              <w:t xml:space="preserve"> </w:t>
            </w:r>
            <w:r>
              <w:t>known</w:t>
            </w:r>
            <w:r>
              <w:rPr>
                <w:spacing w:val="-3"/>
              </w:rPr>
              <w:t xml:space="preserve"> </w:t>
            </w:r>
            <w:r>
              <w:t>osteoporosis</w:t>
            </w:r>
            <w:r>
              <w:rPr>
                <w:spacing w:val="-3"/>
              </w:rPr>
              <w:t xml:space="preserve"> </w:t>
            </w:r>
            <w:r>
              <w:t>but</w:t>
            </w:r>
            <w:r>
              <w:rPr>
                <w:spacing w:val="-2"/>
              </w:rPr>
              <w:t xml:space="preserve"> </w:t>
            </w:r>
            <w:r>
              <w:t>NO</w:t>
            </w:r>
            <w:r>
              <w:rPr>
                <w:spacing w:val="-3"/>
              </w:rPr>
              <w:t xml:space="preserve"> </w:t>
            </w:r>
            <w:r>
              <w:t>Vitamin</w:t>
            </w:r>
            <w:r>
              <w:rPr>
                <w:spacing w:val="-3"/>
              </w:rPr>
              <w:t xml:space="preserve"> </w:t>
            </w:r>
            <w:r>
              <w:t>D</w:t>
            </w:r>
            <w:r>
              <w:rPr>
                <w:spacing w:val="-3"/>
              </w:rPr>
              <w:t xml:space="preserve"> </w:t>
            </w:r>
            <w:r>
              <w:t>and</w:t>
            </w:r>
            <w:r>
              <w:rPr>
                <w:spacing w:val="-3"/>
              </w:rPr>
              <w:t xml:space="preserve"> </w:t>
            </w:r>
            <w:r>
              <w:t>calcium</w:t>
            </w:r>
            <w:r>
              <w:rPr>
                <w:spacing w:val="-2"/>
              </w:rPr>
              <w:t xml:space="preserve"> </w:t>
            </w:r>
            <w:r>
              <w:t>supplement</w:t>
            </w:r>
            <w:r>
              <w:rPr>
                <w:spacing w:val="-3"/>
              </w:rPr>
              <w:t xml:space="preserve"> </w:t>
            </w:r>
            <w:r>
              <w:t>-</w:t>
            </w:r>
            <w:r>
              <w:rPr>
                <w:spacing w:val="-2"/>
              </w:rPr>
              <w:t xml:space="preserve"> </w:t>
            </w:r>
            <w:r>
              <w:t>START</w:t>
            </w:r>
            <w:r>
              <w:rPr>
                <w:spacing w:val="-3"/>
              </w:rPr>
              <w:t xml:space="preserve"> </w:t>
            </w:r>
            <w:r>
              <w:t>E3</w:t>
            </w:r>
          </w:p>
        </w:tc>
        <w:tc>
          <w:tcPr>
            <w:tcW w:w="1843" w:type="dxa"/>
          </w:tcPr>
          <w:p w14:paraId="35F6FAE1" w14:textId="77777777" w:rsidR="00075001" w:rsidRDefault="00075001" w:rsidP="00075001">
            <w:pPr>
              <w:pStyle w:val="TableParagraph"/>
            </w:pPr>
            <w:r>
              <w:t>199 (7.9)</w:t>
            </w:r>
          </w:p>
        </w:tc>
        <w:tc>
          <w:tcPr>
            <w:tcW w:w="1984" w:type="dxa"/>
          </w:tcPr>
          <w:p w14:paraId="5F0358F0" w14:textId="77777777" w:rsidR="00075001" w:rsidRDefault="00075001" w:rsidP="00075001">
            <w:pPr>
              <w:pStyle w:val="TableParagraph"/>
              <w:ind w:left="102"/>
            </w:pPr>
            <w:r>
              <w:t>78 (7.5)</w:t>
            </w:r>
          </w:p>
        </w:tc>
        <w:tc>
          <w:tcPr>
            <w:tcW w:w="1701" w:type="dxa"/>
          </w:tcPr>
          <w:p w14:paraId="1E77C8CE" w14:textId="77777777" w:rsidR="00075001" w:rsidRDefault="00075001" w:rsidP="00075001">
            <w:pPr>
              <w:pStyle w:val="TableParagraph"/>
            </w:pPr>
            <w:r>
              <w:t>0.691</w:t>
            </w:r>
          </w:p>
        </w:tc>
      </w:tr>
      <w:tr w:rsidR="00075001" w14:paraId="12DE799E" w14:textId="77777777" w:rsidTr="00075001">
        <w:trPr>
          <w:trHeight w:hRule="exact" w:val="547"/>
        </w:trPr>
        <w:tc>
          <w:tcPr>
            <w:tcW w:w="9209" w:type="dxa"/>
          </w:tcPr>
          <w:p w14:paraId="05B150B4" w14:textId="77777777" w:rsidR="00075001" w:rsidRDefault="00075001" w:rsidP="00075001">
            <w:pPr>
              <w:pStyle w:val="TableParagraph"/>
              <w:tabs>
                <w:tab w:val="left" w:pos="822"/>
              </w:tabs>
              <w:ind w:left="822" w:right="447" w:hanging="360"/>
            </w:pPr>
            <w:r>
              <w:t>-</w:t>
            </w:r>
            <w:r>
              <w:tab/>
              <w:t>Patients with documented osteoporosis but NO bone anti-resorptive or</w:t>
            </w:r>
            <w:r>
              <w:rPr>
                <w:spacing w:val="-32"/>
              </w:rPr>
              <w:t xml:space="preserve"> </w:t>
            </w:r>
            <w:r>
              <w:t>anabolic</w:t>
            </w:r>
            <w:r>
              <w:rPr>
                <w:spacing w:val="-3"/>
              </w:rPr>
              <w:t xml:space="preserve"> </w:t>
            </w:r>
            <w:r>
              <w:t>therapy (e.g.</w:t>
            </w:r>
            <w:r>
              <w:rPr>
                <w:spacing w:val="-4"/>
              </w:rPr>
              <w:t xml:space="preserve"> </w:t>
            </w:r>
            <w:r>
              <w:t>bisphosphonate,</w:t>
            </w:r>
            <w:r>
              <w:rPr>
                <w:spacing w:val="-4"/>
              </w:rPr>
              <w:t xml:space="preserve"> </w:t>
            </w:r>
            <w:r>
              <w:t>strontium</w:t>
            </w:r>
            <w:r>
              <w:rPr>
                <w:spacing w:val="-4"/>
              </w:rPr>
              <w:t xml:space="preserve"> </w:t>
            </w:r>
            <w:r>
              <w:t>ranelate,</w:t>
            </w:r>
            <w:r>
              <w:rPr>
                <w:spacing w:val="-4"/>
              </w:rPr>
              <w:t xml:space="preserve"> </w:t>
            </w:r>
            <w:r>
              <w:t>teriparatide,</w:t>
            </w:r>
            <w:r>
              <w:rPr>
                <w:spacing w:val="-4"/>
              </w:rPr>
              <w:t xml:space="preserve"> </w:t>
            </w:r>
            <w:r>
              <w:t>or</w:t>
            </w:r>
            <w:r>
              <w:rPr>
                <w:spacing w:val="-5"/>
              </w:rPr>
              <w:t xml:space="preserve"> </w:t>
            </w:r>
            <w:r>
              <w:t>denosumab)</w:t>
            </w:r>
            <w:r>
              <w:rPr>
                <w:spacing w:val="-5"/>
              </w:rPr>
              <w:t xml:space="preserve"> </w:t>
            </w:r>
            <w:r>
              <w:t>-</w:t>
            </w:r>
            <w:r>
              <w:rPr>
                <w:spacing w:val="-5"/>
              </w:rPr>
              <w:t xml:space="preserve"> </w:t>
            </w:r>
            <w:r>
              <w:t>START</w:t>
            </w:r>
            <w:r>
              <w:rPr>
                <w:spacing w:val="-4"/>
              </w:rPr>
              <w:t xml:space="preserve"> </w:t>
            </w:r>
            <w:r>
              <w:t>E4</w:t>
            </w:r>
          </w:p>
        </w:tc>
        <w:tc>
          <w:tcPr>
            <w:tcW w:w="1843" w:type="dxa"/>
          </w:tcPr>
          <w:p w14:paraId="7E71B046" w14:textId="77777777" w:rsidR="00075001" w:rsidRDefault="00075001" w:rsidP="00075001">
            <w:pPr>
              <w:pStyle w:val="TableParagraph"/>
              <w:spacing w:before="134"/>
            </w:pPr>
            <w:r>
              <w:t>257 (10.1)</w:t>
            </w:r>
          </w:p>
        </w:tc>
        <w:tc>
          <w:tcPr>
            <w:tcW w:w="1984" w:type="dxa"/>
          </w:tcPr>
          <w:p w14:paraId="6A84780B" w14:textId="77777777" w:rsidR="00075001" w:rsidRDefault="00075001" w:rsidP="00075001">
            <w:pPr>
              <w:pStyle w:val="TableParagraph"/>
              <w:spacing w:before="134"/>
              <w:ind w:left="102"/>
            </w:pPr>
            <w:r>
              <w:t>98 (9.4)</w:t>
            </w:r>
          </w:p>
        </w:tc>
        <w:tc>
          <w:tcPr>
            <w:tcW w:w="1701" w:type="dxa"/>
          </w:tcPr>
          <w:p w14:paraId="76FE3FB2" w14:textId="77777777" w:rsidR="00075001" w:rsidRDefault="00075001" w:rsidP="00075001">
            <w:pPr>
              <w:pStyle w:val="TableParagraph"/>
              <w:spacing w:before="134"/>
            </w:pPr>
            <w:r>
              <w:t>0.486</w:t>
            </w:r>
          </w:p>
        </w:tc>
      </w:tr>
      <w:tr w:rsidR="00075001" w14:paraId="591D10D5" w14:textId="77777777" w:rsidTr="00075001">
        <w:trPr>
          <w:trHeight w:hRule="exact" w:val="279"/>
        </w:trPr>
        <w:tc>
          <w:tcPr>
            <w:tcW w:w="9209" w:type="dxa"/>
          </w:tcPr>
          <w:p w14:paraId="7BEC4FE0" w14:textId="77777777" w:rsidR="00075001" w:rsidRDefault="00075001" w:rsidP="00075001">
            <w:pPr>
              <w:pStyle w:val="TableParagraph"/>
              <w:tabs>
                <w:tab w:val="left" w:pos="822"/>
              </w:tabs>
              <w:ind w:left="462"/>
            </w:pPr>
            <w:r>
              <w:t>-</w:t>
            </w:r>
            <w:r>
              <w:tab/>
              <w:t>Patients taking methotrexate but NO folic acid supplement - START</w:t>
            </w:r>
            <w:r>
              <w:rPr>
                <w:spacing w:val="-25"/>
              </w:rPr>
              <w:t xml:space="preserve"> </w:t>
            </w:r>
            <w:r>
              <w:t>E7</w:t>
            </w:r>
          </w:p>
        </w:tc>
        <w:tc>
          <w:tcPr>
            <w:tcW w:w="1843" w:type="dxa"/>
          </w:tcPr>
          <w:p w14:paraId="33C14E65" w14:textId="77777777" w:rsidR="00075001" w:rsidRDefault="00075001" w:rsidP="00075001">
            <w:pPr>
              <w:pStyle w:val="TableParagraph"/>
            </w:pPr>
            <w:r>
              <w:t>56 (2.2)</w:t>
            </w:r>
          </w:p>
        </w:tc>
        <w:tc>
          <w:tcPr>
            <w:tcW w:w="1984" w:type="dxa"/>
          </w:tcPr>
          <w:p w14:paraId="19E942A6" w14:textId="77777777" w:rsidR="00075001" w:rsidRDefault="00075001" w:rsidP="00075001">
            <w:pPr>
              <w:pStyle w:val="TableParagraph"/>
              <w:ind w:left="102"/>
            </w:pPr>
            <w:r>
              <w:t>25 (2.4)</w:t>
            </w:r>
          </w:p>
        </w:tc>
        <w:tc>
          <w:tcPr>
            <w:tcW w:w="1701" w:type="dxa"/>
          </w:tcPr>
          <w:p w14:paraId="24AE987F" w14:textId="77777777" w:rsidR="00075001" w:rsidRDefault="00075001" w:rsidP="00075001">
            <w:pPr>
              <w:pStyle w:val="TableParagraph"/>
            </w:pPr>
            <w:r>
              <w:t>0.739</w:t>
            </w:r>
          </w:p>
        </w:tc>
      </w:tr>
      <w:tr w:rsidR="00075001" w14:paraId="5D96769B" w14:textId="77777777" w:rsidTr="00075001">
        <w:trPr>
          <w:trHeight w:hRule="exact" w:val="279"/>
        </w:trPr>
        <w:tc>
          <w:tcPr>
            <w:tcW w:w="9209" w:type="dxa"/>
          </w:tcPr>
          <w:p w14:paraId="4B1BAD45" w14:textId="77777777" w:rsidR="00075001" w:rsidRDefault="00075001" w:rsidP="00075001">
            <w:pPr>
              <w:pStyle w:val="TableParagraph"/>
              <w:tabs>
                <w:tab w:val="left" w:pos="822"/>
              </w:tabs>
              <w:ind w:left="462"/>
            </w:pPr>
            <w:r>
              <w:t>-</w:t>
            </w:r>
            <w:r>
              <w:tab/>
              <w:t>Diabetes but NO ACE inhibitor or ARB - START</w:t>
            </w:r>
            <w:r>
              <w:rPr>
                <w:spacing w:val="-21"/>
              </w:rPr>
              <w:t xml:space="preserve"> </w:t>
            </w:r>
            <w:r>
              <w:t>F1</w:t>
            </w:r>
          </w:p>
        </w:tc>
        <w:tc>
          <w:tcPr>
            <w:tcW w:w="1843" w:type="dxa"/>
          </w:tcPr>
          <w:p w14:paraId="7FD30D80" w14:textId="77777777" w:rsidR="00075001" w:rsidRDefault="00075001" w:rsidP="00075001">
            <w:pPr>
              <w:pStyle w:val="TableParagraph"/>
            </w:pPr>
            <w:r>
              <w:t>150 (5.9)</w:t>
            </w:r>
          </w:p>
        </w:tc>
        <w:tc>
          <w:tcPr>
            <w:tcW w:w="1984" w:type="dxa"/>
          </w:tcPr>
          <w:p w14:paraId="5EB9D4BE" w14:textId="77777777" w:rsidR="00075001" w:rsidRDefault="00075001" w:rsidP="00075001">
            <w:pPr>
              <w:pStyle w:val="TableParagraph"/>
              <w:ind w:left="102"/>
            </w:pPr>
            <w:r>
              <w:t>95 (9.1)</w:t>
            </w:r>
          </w:p>
        </w:tc>
        <w:tc>
          <w:tcPr>
            <w:tcW w:w="1701" w:type="dxa"/>
          </w:tcPr>
          <w:p w14:paraId="1A2376EF" w14:textId="77777777" w:rsidR="00075001" w:rsidRDefault="00075001" w:rsidP="00075001">
            <w:pPr>
              <w:pStyle w:val="TableParagraph"/>
            </w:pPr>
            <w:r>
              <w:t>0.001</w:t>
            </w:r>
          </w:p>
        </w:tc>
      </w:tr>
      <w:tr w:rsidR="00075001" w14:paraId="735F35CE" w14:textId="77777777" w:rsidTr="00075001">
        <w:trPr>
          <w:trHeight w:hRule="exact" w:val="279"/>
        </w:trPr>
        <w:tc>
          <w:tcPr>
            <w:tcW w:w="9209" w:type="dxa"/>
          </w:tcPr>
          <w:p w14:paraId="7050F298" w14:textId="77777777" w:rsidR="00075001" w:rsidRDefault="00075001" w:rsidP="00075001">
            <w:pPr>
              <w:pStyle w:val="TableParagraph"/>
              <w:rPr>
                <w:b/>
              </w:rPr>
            </w:pPr>
            <w:r>
              <w:rPr>
                <w:b/>
              </w:rPr>
              <w:t>Functional status and well-being-related</w:t>
            </w:r>
          </w:p>
        </w:tc>
        <w:tc>
          <w:tcPr>
            <w:tcW w:w="1843" w:type="dxa"/>
          </w:tcPr>
          <w:p w14:paraId="6C77ACB3" w14:textId="77777777" w:rsidR="00075001" w:rsidRDefault="00075001" w:rsidP="00075001"/>
        </w:tc>
        <w:tc>
          <w:tcPr>
            <w:tcW w:w="1984" w:type="dxa"/>
          </w:tcPr>
          <w:p w14:paraId="4629360E" w14:textId="77777777" w:rsidR="00075001" w:rsidRDefault="00075001" w:rsidP="00075001"/>
        </w:tc>
        <w:tc>
          <w:tcPr>
            <w:tcW w:w="1701" w:type="dxa"/>
          </w:tcPr>
          <w:p w14:paraId="360B87A3" w14:textId="77777777" w:rsidR="00075001" w:rsidRDefault="00075001" w:rsidP="00075001"/>
        </w:tc>
      </w:tr>
      <w:tr w:rsidR="00075001" w14:paraId="6514FC83" w14:textId="77777777" w:rsidTr="00075001">
        <w:trPr>
          <w:trHeight w:hRule="exact" w:val="279"/>
        </w:trPr>
        <w:tc>
          <w:tcPr>
            <w:tcW w:w="9209" w:type="dxa"/>
          </w:tcPr>
          <w:p w14:paraId="26A00584" w14:textId="77777777" w:rsidR="00075001" w:rsidRDefault="00075001" w:rsidP="00075001">
            <w:pPr>
              <w:pStyle w:val="TableParagraph"/>
            </w:pPr>
            <w:r>
              <w:t>Functional status – Mean (SD)</w:t>
            </w:r>
          </w:p>
        </w:tc>
        <w:tc>
          <w:tcPr>
            <w:tcW w:w="1843" w:type="dxa"/>
          </w:tcPr>
          <w:p w14:paraId="64005F29" w14:textId="77777777" w:rsidR="00075001" w:rsidRDefault="00075001" w:rsidP="00075001">
            <w:pPr>
              <w:pStyle w:val="TableParagraph"/>
            </w:pPr>
            <w:r>
              <w:t>-0.123 (0.92)</w:t>
            </w:r>
          </w:p>
        </w:tc>
        <w:tc>
          <w:tcPr>
            <w:tcW w:w="1984" w:type="dxa"/>
          </w:tcPr>
          <w:p w14:paraId="7D4F894C" w14:textId="77777777" w:rsidR="00075001" w:rsidRDefault="00075001" w:rsidP="00075001">
            <w:pPr>
              <w:pStyle w:val="TableParagraph"/>
              <w:ind w:left="102"/>
            </w:pPr>
            <w:r>
              <w:t>0.044 (0.99)</w:t>
            </w:r>
          </w:p>
        </w:tc>
        <w:tc>
          <w:tcPr>
            <w:tcW w:w="1701" w:type="dxa"/>
          </w:tcPr>
          <w:p w14:paraId="6F532DE7" w14:textId="77777777" w:rsidR="00075001" w:rsidRDefault="00075001" w:rsidP="00075001">
            <w:pPr>
              <w:pStyle w:val="TableParagraph"/>
            </w:pPr>
            <w:r>
              <w:t>&lt; 0.001</w:t>
            </w:r>
          </w:p>
        </w:tc>
      </w:tr>
      <w:tr w:rsidR="00075001" w14:paraId="6D41FD1E" w14:textId="77777777" w:rsidTr="00075001">
        <w:trPr>
          <w:trHeight w:hRule="exact" w:val="279"/>
        </w:trPr>
        <w:tc>
          <w:tcPr>
            <w:tcW w:w="9209" w:type="dxa"/>
          </w:tcPr>
          <w:p w14:paraId="712828B2" w14:textId="77777777" w:rsidR="00075001" w:rsidRDefault="00075001" w:rsidP="00075001">
            <w:pPr>
              <w:pStyle w:val="TableParagraph"/>
            </w:pPr>
            <w:r>
              <w:t>Depression ***** – Frequency (%)</w:t>
            </w:r>
          </w:p>
        </w:tc>
        <w:tc>
          <w:tcPr>
            <w:tcW w:w="1843" w:type="dxa"/>
          </w:tcPr>
          <w:p w14:paraId="2CAE1F37" w14:textId="77777777" w:rsidR="00075001" w:rsidRDefault="00075001" w:rsidP="00075001">
            <w:pPr>
              <w:pStyle w:val="TableParagraph"/>
            </w:pPr>
            <w:r>
              <w:t>485 (19.1)</w:t>
            </w:r>
          </w:p>
        </w:tc>
        <w:tc>
          <w:tcPr>
            <w:tcW w:w="1984" w:type="dxa"/>
          </w:tcPr>
          <w:p w14:paraId="2EF03FD9" w14:textId="77777777" w:rsidR="00075001" w:rsidRDefault="00075001" w:rsidP="00075001">
            <w:pPr>
              <w:pStyle w:val="TableParagraph"/>
              <w:ind w:left="102"/>
            </w:pPr>
            <w:r>
              <w:t>201 (19.2)</w:t>
            </w:r>
          </w:p>
        </w:tc>
        <w:tc>
          <w:tcPr>
            <w:tcW w:w="1701" w:type="dxa"/>
          </w:tcPr>
          <w:p w14:paraId="51CE2A84" w14:textId="77777777" w:rsidR="00075001" w:rsidRDefault="00075001" w:rsidP="00075001">
            <w:pPr>
              <w:pStyle w:val="TableParagraph"/>
            </w:pPr>
            <w:r>
              <w:t>0.95</w:t>
            </w:r>
          </w:p>
        </w:tc>
      </w:tr>
      <w:tr w:rsidR="00075001" w14:paraId="5CA34250" w14:textId="77777777" w:rsidTr="00075001">
        <w:trPr>
          <w:trHeight w:hRule="exact" w:val="279"/>
        </w:trPr>
        <w:tc>
          <w:tcPr>
            <w:tcW w:w="9209" w:type="dxa"/>
          </w:tcPr>
          <w:p w14:paraId="179848B5" w14:textId="77777777" w:rsidR="00075001" w:rsidRDefault="00075001" w:rsidP="00075001">
            <w:pPr>
              <w:pStyle w:val="TableParagraph"/>
            </w:pPr>
            <w:r>
              <w:t>Pain – Frequency (%)</w:t>
            </w:r>
          </w:p>
        </w:tc>
        <w:tc>
          <w:tcPr>
            <w:tcW w:w="1843" w:type="dxa"/>
          </w:tcPr>
          <w:p w14:paraId="482A154E" w14:textId="77777777" w:rsidR="00075001" w:rsidRDefault="00075001" w:rsidP="00075001">
            <w:pPr>
              <w:pStyle w:val="TableParagraph"/>
            </w:pPr>
            <w:r>
              <w:t>1,728 (68.1)</w:t>
            </w:r>
          </w:p>
        </w:tc>
        <w:tc>
          <w:tcPr>
            <w:tcW w:w="1984" w:type="dxa"/>
          </w:tcPr>
          <w:p w14:paraId="11802B1A" w14:textId="77777777" w:rsidR="00075001" w:rsidRDefault="00075001" w:rsidP="00075001">
            <w:pPr>
              <w:pStyle w:val="TableParagraph"/>
              <w:ind w:left="102"/>
            </w:pPr>
            <w:r>
              <w:t>675 (64.5)</w:t>
            </w:r>
          </w:p>
        </w:tc>
        <w:tc>
          <w:tcPr>
            <w:tcW w:w="1701" w:type="dxa"/>
          </w:tcPr>
          <w:p w14:paraId="7D024F25" w14:textId="77777777" w:rsidR="00075001" w:rsidRDefault="00075001" w:rsidP="00075001">
            <w:pPr>
              <w:pStyle w:val="TableParagraph"/>
            </w:pPr>
            <w:r>
              <w:t>0.037</w:t>
            </w:r>
          </w:p>
        </w:tc>
      </w:tr>
      <w:tr w:rsidR="00075001" w14:paraId="33C3C1F5" w14:textId="77777777" w:rsidTr="00075001">
        <w:trPr>
          <w:trHeight w:hRule="exact" w:val="279"/>
        </w:trPr>
        <w:tc>
          <w:tcPr>
            <w:tcW w:w="9209" w:type="dxa"/>
          </w:tcPr>
          <w:p w14:paraId="7E33EB46" w14:textId="77777777" w:rsidR="00075001" w:rsidRDefault="00075001" w:rsidP="00075001">
            <w:pPr>
              <w:pStyle w:val="TableParagraph"/>
            </w:pPr>
            <w:r>
              <w:t>Health-related quality of life comorbidity index, mental ******– Median (IQR)</w:t>
            </w:r>
          </w:p>
        </w:tc>
        <w:tc>
          <w:tcPr>
            <w:tcW w:w="1843" w:type="dxa"/>
          </w:tcPr>
          <w:p w14:paraId="28D5D212" w14:textId="77777777" w:rsidR="00075001" w:rsidRDefault="00075001" w:rsidP="00075001">
            <w:pPr>
              <w:pStyle w:val="TableParagraph"/>
            </w:pPr>
            <w:r>
              <w:t>1 (1)</w:t>
            </w:r>
          </w:p>
        </w:tc>
        <w:tc>
          <w:tcPr>
            <w:tcW w:w="1984" w:type="dxa"/>
          </w:tcPr>
          <w:p w14:paraId="2DE8B6E9" w14:textId="77777777" w:rsidR="00075001" w:rsidRDefault="00075001" w:rsidP="00075001">
            <w:pPr>
              <w:pStyle w:val="TableParagraph"/>
              <w:ind w:left="102"/>
            </w:pPr>
            <w:r>
              <w:t>1 (1)</w:t>
            </w:r>
          </w:p>
        </w:tc>
        <w:tc>
          <w:tcPr>
            <w:tcW w:w="1701" w:type="dxa"/>
          </w:tcPr>
          <w:p w14:paraId="53BDCF3A" w14:textId="77777777" w:rsidR="00075001" w:rsidRDefault="00075001" w:rsidP="00075001">
            <w:pPr>
              <w:pStyle w:val="TableParagraph"/>
            </w:pPr>
            <w:r>
              <w:t>0.044</w:t>
            </w:r>
          </w:p>
        </w:tc>
      </w:tr>
    </w:tbl>
    <w:p w14:paraId="77F49E54" w14:textId="77777777" w:rsidR="00075001" w:rsidRDefault="00075001" w:rsidP="00075001">
      <w:pPr>
        <w:sectPr w:rsidR="00075001">
          <w:headerReference w:type="even" r:id="rId35"/>
          <w:footerReference w:type="even" r:id="rId36"/>
          <w:pgSz w:w="16840" w:h="11910" w:orient="landscape"/>
          <w:pgMar w:top="1100" w:right="560" w:bottom="280" w:left="130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9"/>
        <w:gridCol w:w="1843"/>
        <w:gridCol w:w="1984"/>
        <w:gridCol w:w="1701"/>
      </w:tblGrid>
      <w:tr w:rsidR="00075001" w14:paraId="68560D12" w14:textId="77777777" w:rsidTr="00075001">
        <w:trPr>
          <w:trHeight w:hRule="exact" w:val="279"/>
        </w:trPr>
        <w:tc>
          <w:tcPr>
            <w:tcW w:w="9209" w:type="dxa"/>
          </w:tcPr>
          <w:p w14:paraId="7A43486B" w14:textId="77777777" w:rsidR="00075001" w:rsidRDefault="00075001" w:rsidP="00075001">
            <w:pPr>
              <w:pStyle w:val="TableParagraph"/>
            </w:pPr>
            <w:r>
              <w:lastRenderedPageBreak/>
              <w:t>Health-related quality of life comorbidity index, physical *******– Median (IQR)</w:t>
            </w:r>
          </w:p>
        </w:tc>
        <w:tc>
          <w:tcPr>
            <w:tcW w:w="1843" w:type="dxa"/>
          </w:tcPr>
          <w:p w14:paraId="023E2670" w14:textId="77777777" w:rsidR="00075001" w:rsidRDefault="00075001" w:rsidP="00075001">
            <w:pPr>
              <w:pStyle w:val="TableParagraph"/>
            </w:pPr>
            <w:r>
              <w:t>5 (4)</w:t>
            </w:r>
          </w:p>
        </w:tc>
        <w:tc>
          <w:tcPr>
            <w:tcW w:w="1984" w:type="dxa"/>
          </w:tcPr>
          <w:p w14:paraId="25554A04" w14:textId="77777777" w:rsidR="00075001" w:rsidRDefault="00075001" w:rsidP="00075001">
            <w:pPr>
              <w:pStyle w:val="TableParagraph"/>
              <w:ind w:left="102"/>
            </w:pPr>
            <w:r>
              <w:t>5 (4)</w:t>
            </w:r>
          </w:p>
        </w:tc>
        <w:tc>
          <w:tcPr>
            <w:tcW w:w="1701" w:type="dxa"/>
          </w:tcPr>
          <w:p w14:paraId="54053F31" w14:textId="77777777" w:rsidR="00075001" w:rsidRDefault="00075001" w:rsidP="00075001">
            <w:pPr>
              <w:pStyle w:val="TableParagraph"/>
            </w:pPr>
            <w:r>
              <w:t>0.1</w:t>
            </w:r>
          </w:p>
        </w:tc>
      </w:tr>
      <w:tr w:rsidR="00075001" w14:paraId="47551B48" w14:textId="77777777" w:rsidTr="00075001">
        <w:trPr>
          <w:trHeight w:hRule="exact" w:val="279"/>
        </w:trPr>
        <w:tc>
          <w:tcPr>
            <w:tcW w:w="9209" w:type="dxa"/>
          </w:tcPr>
          <w:p w14:paraId="48405650" w14:textId="77777777" w:rsidR="00075001" w:rsidRDefault="00075001" w:rsidP="00075001">
            <w:pPr>
              <w:pStyle w:val="TableParagraph"/>
            </w:pPr>
            <w:r>
              <w:t>Quality of life: EQ-5D, version 3L, Index value (baseline) – Mean (SD)</w:t>
            </w:r>
          </w:p>
        </w:tc>
        <w:tc>
          <w:tcPr>
            <w:tcW w:w="1843" w:type="dxa"/>
          </w:tcPr>
          <w:p w14:paraId="673C0EAE" w14:textId="77777777" w:rsidR="00075001" w:rsidRDefault="00075001" w:rsidP="00075001">
            <w:pPr>
              <w:pStyle w:val="TableParagraph"/>
            </w:pPr>
            <w:r>
              <w:t>0.70 (0.26)</w:t>
            </w:r>
          </w:p>
        </w:tc>
        <w:tc>
          <w:tcPr>
            <w:tcW w:w="1984" w:type="dxa"/>
          </w:tcPr>
          <w:p w14:paraId="060C1E54" w14:textId="77777777" w:rsidR="00075001" w:rsidRDefault="00075001" w:rsidP="00075001">
            <w:pPr>
              <w:pStyle w:val="TableParagraph"/>
              <w:ind w:left="102"/>
            </w:pPr>
            <w:r>
              <w:t>0.81 (0.19)</w:t>
            </w:r>
          </w:p>
        </w:tc>
        <w:tc>
          <w:tcPr>
            <w:tcW w:w="1701" w:type="dxa"/>
          </w:tcPr>
          <w:p w14:paraId="19F42C53" w14:textId="77777777" w:rsidR="00075001" w:rsidRDefault="00075001" w:rsidP="00075001">
            <w:pPr>
              <w:pStyle w:val="TableParagraph"/>
            </w:pPr>
            <w:r>
              <w:t>&lt; 0.001</w:t>
            </w:r>
          </w:p>
        </w:tc>
      </w:tr>
      <w:tr w:rsidR="00075001" w14:paraId="63AD1039" w14:textId="77777777" w:rsidTr="00075001">
        <w:trPr>
          <w:trHeight w:hRule="exact" w:val="279"/>
        </w:trPr>
        <w:tc>
          <w:tcPr>
            <w:tcW w:w="9209" w:type="dxa"/>
          </w:tcPr>
          <w:p w14:paraId="27047CAA" w14:textId="77777777" w:rsidR="00075001" w:rsidRDefault="00075001" w:rsidP="00075001">
            <w:pPr>
              <w:pStyle w:val="TableParagraph"/>
              <w:rPr>
                <w:b/>
              </w:rPr>
            </w:pPr>
            <w:r>
              <w:rPr>
                <w:b/>
              </w:rPr>
              <w:t>Group assigned</w:t>
            </w:r>
          </w:p>
        </w:tc>
        <w:tc>
          <w:tcPr>
            <w:tcW w:w="1843" w:type="dxa"/>
          </w:tcPr>
          <w:p w14:paraId="722F419F" w14:textId="77777777" w:rsidR="00075001" w:rsidRDefault="00075001" w:rsidP="00075001"/>
        </w:tc>
        <w:tc>
          <w:tcPr>
            <w:tcW w:w="1984" w:type="dxa"/>
          </w:tcPr>
          <w:p w14:paraId="19F575FD" w14:textId="77777777" w:rsidR="00075001" w:rsidRDefault="00075001" w:rsidP="00075001"/>
        </w:tc>
        <w:tc>
          <w:tcPr>
            <w:tcW w:w="1701" w:type="dxa"/>
          </w:tcPr>
          <w:p w14:paraId="78BC1CE2" w14:textId="77777777" w:rsidR="00075001" w:rsidRDefault="00075001" w:rsidP="00075001"/>
        </w:tc>
      </w:tr>
      <w:tr w:rsidR="00075001" w14:paraId="6DAD57BF" w14:textId="77777777" w:rsidTr="00075001">
        <w:trPr>
          <w:trHeight w:hRule="exact" w:val="279"/>
        </w:trPr>
        <w:tc>
          <w:tcPr>
            <w:tcW w:w="9209" w:type="dxa"/>
          </w:tcPr>
          <w:p w14:paraId="015439F2" w14:textId="77777777" w:rsidR="00075001" w:rsidRDefault="00075001" w:rsidP="00075001">
            <w:pPr>
              <w:pStyle w:val="TableParagraph"/>
              <w:tabs>
                <w:tab w:val="left" w:pos="822"/>
              </w:tabs>
              <w:ind w:left="462"/>
            </w:pPr>
            <w:r>
              <w:t>-</w:t>
            </w:r>
            <w:r>
              <w:tab/>
              <w:t>Control – Frequency</w:t>
            </w:r>
            <w:r>
              <w:rPr>
                <w:spacing w:val="-16"/>
              </w:rPr>
              <w:t xml:space="preserve"> </w:t>
            </w:r>
            <w:r>
              <w:t>(%)</w:t>
            </w:r>
          </w:p>
        </w:tc>
        <w:tc>
          <w:tcPr>
            <w:tcW w:w="1843" w:type="dxa"/>
          </w:tcPr>
          <w:p w14:paraId="173FA739" w14:textId="77777777" w:rsidR="00075001" w:rsidRDefault="00075001" w:rsidP="00075001">
            <w:pPr>
              <w:pStyle w:val="TableParagraph"/>
            </w:pPr>
            <w:r>
              <w:t>1,143 (45.07)</w:t>
            </w:r>
          </w:p>
        </w:tc>
        <w:tc>
          <w:tcPr>
            <w:tcW w:w="1984" w:type="dxa"/>
          </w:tcPr>
          <w:p w14:paraId="7FFEF2EC" w14:textId="77777777" w:rsidR="00075001" w:rsidRDefault="00075001" w:rsidP="00075001">
            <w:pPr>
              <w:pStyle w:val="TableParagraph"/>
              <w:ind w:left="102"/>
            </w:pPr>
            <w:r>
              <w:t>465 (44.46)</w:t>
            </w:r>
          </w:p>
        </w:tc>
        <w:tc>
          <w:tcPr>
            <w:tcW w:w="1701" w:type="dxa"/>
          </w:tcPr>
          <w:p w14:paraId="72BA3C6F" w14:textId="77777777" w:rsidR="00075001" w:rsidRDefault="00075001" w:rsidP="00075001"/>
        </w:tc>
      </w:tr>
      <w:tr w:rsidR="00075001" w14:paraId="3B562000" w14:textId="77777777" w:rsidTr="00075001">
        <w:trPr>
          <w:trHeight w:hRule="exact" w:val="279"/>
        </w:trPr>
        <w:tc>
          <w:tcPr>
            <w:tcW w:w="9209" w:type="dxa"/>
          </w:tcPr>
          <w:p w14:paraId="2E0C2A1B" w14:textId="77777777" w:rsidR="00075001" w:rsidRDefault="00075001" w:rsidP="00075001">
            <w:pPr>
              <w:pStyle w:val="TableParagraph"/>
              <w:tabs>
                <w:tab w:val="left" w:pos="822"/>
              </w:tabs>
              <w:ind w:left="462"/>
            </w:pPr>
            <w:r>
              <w:t>-</w:t>
            </w:r>
            <w:r>
              <w:tab/>
              <w:t>Intervention – Frequency</w:t>
            </w:r>
            <w:r>
              <w:rPr>
                <w:spacing w:val="-16"/>
              </w:rPr>
              <w:t xml:space="preserve"> </w:t>
            </w:r>
            <w:r>
              <w:t>(%)</w:t>
            </w:r>
          </w:p>
        </w:tc>
        <w:tc>
          <w:tcPr>
            <w:tcW w:w="1843" w:type="dxa"/>
          </w:tcPr>
          <w:p w14:paraId="23B8210E" w14:textId="77777777" w:rsidR="00075001" w:rsidRDefault="00075001" w:rsidP="00075001">
            <w:pPr>
              <w:pStyle w:val="TableParagraph"/>
            </w:pPr>
            <w:r>
              <w:t>1,393 (54.97)</w:t>
            </w:r>
          </w:p>
        </w:tc>
        <w:tc>
          <w:tcPr>
            <w:tcW w:w="1984" w:type="dxa"/>
          </w:tcPr>
          <w:p w14:paraId="69D8E85B" w14:textId="77777777" w:rsidR="00075001" w:rsidRDefault="00075001" w:rsidP="00075001">
            <w:pPr>
              <w:pStyle w:val="TableParagraph"/>
              <w:ind w:left="102"/>
            </w:pPr>
            <w:r>
              <w:t>581 (55.54)</w:t>
            </w:r>
          </w:p>
        </w:tc>
        <w:tc>
          <w:tcPr>
            <w:tcW w:w="1701" w:type="dxa"/>
          </w:tcPr>
          <w:p w14:paraId="4156D5D5" w14:textId="77777777" w:rsidR="00075001" w:rsidRDefault="00075001" w:rsidP="00075001">
            <w:pPr>
              <w:pStyle w:val="TableParagraph"/>
            </w:pPr>
            <w:r>
              <w:t>0.736</w:t>
            </w:r>
          </w:p>
        </w:tc>
      </w:tr>
    </w:tbl>
    <w:p w14:paraId="72166EBF" w14:textId="77777777" w:rsidR="00075001" w:rsidRDefault="00075001" w:rsidP="00075001">
      <w:pPr>
        <w:pStyle w:val="BodyText"/>
        <w:ind w:left="118"/>
        <w:jc w:val="both"/>
      </w:pPr>
      <w:r>
        <w:t xml:space="preserve">This table shows candidate prognostic variables stratified according to observed </w:t>
      </w:r>
      <w:proofErr w:type="spellStart"/>
      <w:r>
        <w:t>dHRQoL</w:t>
      </w:r>
      <w:proofErr w:type="spellEnd"/>
      <w:r>
        <w:t xml:space="preserve"> status and univariable associations.</w:t>
      </w:r>
    </w:p>
    <w:p w14:paraId="61A391EA" w14:textId="77777777" w:rsidR="00075001" w:rsidRDefault="00075001" w:rsidP="00075001">
      <w:pPr>
        <w:pStyle w:val="BodyText"/>
        <w:ind w:left="118" w:right="855"/>
        <w:jc w:val="both"/>
      </w:pPr>
      <w:r>
        <w:t>ACE</w:t>
      </w:r>
      <w:r>
        <w:rPr>
          <w:spacing w:val="-4"/>
        </w:rPr>
        <w:t xml:space="preserve"> </w:t>
      </w:r>
      <w:r>
        <w:t>=</w:t>
      </w:r>
      <w:r>
        <w:rPr>
          <w:spacing w:val="-3"/>
        </w:rPr>
        <w:t xml:space="preserve"> </w:t>
      </w:r>
      <w:r>
        <w:t>angiotensin</w:t>
      </w:r>
      <w:r>
        <w:rPr>
          <w:spacing w:val="-3"/>
        </w:rPr>
        <w:t xml:space="preserve"> </w:t>
      </w:r>
      <w:r>
        <w:t>converting</w:t>
      </w:r>
      <w:r>
        <w:rPr>
          <w:spacing w:val="-3"/>
        </w:rPr>
        <w:t xml:space="preserve"> </w:t>
      </w:r>
      <w:r>
        <w:t>enzyme;</w:t>
      </w:r>
      <w:r>
        <w:rPr>
          <w:spacing w:val="-3"/>
        </w:rPr>
        <w:t xml:space="preserve"> </w:t>
      </w:r>
      <w:r>
        <w:t>ARB</w:t>
      </w:r>
      <w:r>
        <w:rPr>
          <w:spacing w:val="-3"/>
        </w:rPr>
        <w:t xml:space="preserve"> </w:t>
      </w:r>
      <w:r>
        <w:t>=</w:t>
      </w:r>
      <w:r>
        <w:rPr>
          <w:spacing w:val="-3"/>
        </w:rPr>
        <w:t xml:space="preserve"> </w:t>
      </w:r>
      <w:r>
        <w:t>angiotensin</w:t>
      </w:r>
      <w:r>
        <w:rPr>
          <w:spacing w:val="-3"/>
        </w:rPr>
        <w:t xml:space="preserve"> </w:t>
      </w:r>
      <w:r>
        <w:t>II</w:t>
      </w:r>
      <w:r>
        <w:rPr>
          <w:spacing w:val="-3"/>
        </w:rPr>
        <w:t xml:space="preserve"> </w:t>
      </w:r>
      <w:r>
        <w:t>receptor</w:t>
      </w:r>
      <w:r>
        <w:rPr>
          <w:spacing w:val="-3"/>
        </w:rPr>
        <w:t xml:space="preserve"> </w:t>
      </w:r>
      <w:r>
        <w:t>blockers;</w:t>
      </w:r>
      <w:r>
        <w:rPr>
          <w:spacing w:val="-4"/>
        </w:rPr>
        <w:t xml:space="preserve"> </w:t>
      </w:r>
      <w:r>
        <w:t>ATC</w:t>
      </w:r>
      <w:r>
        <w:rPr>
          <w:spacing w:val="-4"/>
        </w:rPr>
        <w:t xml:space="preserve"> </w:t>
      </w:r>
      <w:r>
        <w:t>=</w:t>
      </w:r>
      <w:r>
        <w:rPr>
          <w:spacing w:val="-3"/>
        </w:rPr>
        <w:t xml:space="preserve"> </w:t>
      </w:r>
      <w:r>
        <w:t>anatomical</w:t>
      </w:r>
      <w:r>
        <w:rPr>
          <w:spacing w:val="-3"/>
        </w:rPr>
        <w:t xml:space="preserve"> </w:t>
      </w:r>
      <w:r>
        <w:t>therapeutic</w:t>
      </w:r>
      <w:r>
        <w:rPr>
          <w:spacing w:val="-3"/>
        </w:rPr>
        <w:t xml:space="preserve"> </w:t>
      </w:r>
      <w:r>
        <w:t>chemical;</w:t>
      </w:r>
      <w:r>
        <w:rPr>
          <w:spacing w:val="-3"/>
        </w:rPr>
        <w:t xml:space="preserve"> </w:t>
      </w:r>
      <w:r>
        <w:t>COPD</w:t>
      </w:r>
      <w:r>
        <w:rPr>
          <w:spacing w:val="-3"/>
        </w:rPr>
        <w:t xml:space="preserve"> </w:t>
      </w:r>
      <w:r>
        <w:t>=</w:t>
      </w:r>
      <w:r>
        <w:rPr>
          <w:spacing w:val="-3"/>
        </w:rPr>
        <w:t xml:space="preserve"> </w:t>
      </w:r>
      <w:r>
        <w:t>chronic</w:t>
      </w:r>
      <w:r>
        <w:rPr>
          <w:spacing w:val="-3"/>
        </w:rPr>
        <w:t xml:space="preserve"> </w:t>
      </w:r>
      <w:r>
        <w:t>obstructive</w:t>
      </w:r>
      <w:r>
        <w:rPr>
          <w:spacing w:val="-3"/>
        </w:rPr>
        <w:t xml:space="preserve"> </w:t>
      </w:r>
      <w:r>
        <w:t>pulmonary disease;</w:t>
      </w:r>
      <w:r>
        <w:rPr>
          <w:spacing w:val="-5"/>
        </w:rPr>
        <w:t xml:space="preserve"> </w:t>
      </w:r>
      <w:r>
        <w:t>IQR</w:t>
      </w:r>
      <w:r>
        <w:rPr>
          <w:spacing w:val="-5"/>
        </w:rPr>
        <w:t xml:space="preserve"> </w:t>
      </w:r>
      <w:r>
        <w:t>=</w:t>
      </w:r>
      <w:r>
        <w:rPr>
          <w:spacing w:val="-5"/>
        </w:rPr>
        <w:t xml:space="preserve"> </w:t>
      </w:r>
      <w:r>
        <w:t>interquartile</w:t>
      </w:r>
      <w:r>
        <w:rPr>
          <w:spacing w:val="-5"/>
        </w:rPr>
        <w:t xml:space="preserve"> </w:t>
      </w:r>
      <w:r>
        <w:t>range;</w:t>
      </w:r>
      <w:r>
        <w:rPr>
          <w:spacing w:val="-5"/>
        </w:rPr>
        <w:t xml:space="preserve"> </w:t>
      </w:r>
      <w:r>
        <w:t>No.</w:t>
      </w:r>
      <w:r>
        <w:rPr>
          <w:spacing w:val="-5"/>
        </w:rPr>
        <w:t xml:space="preserve"> </w:t>
      </w:r>
      <w:r>
        <w:t>=</w:t>
      </w:r>
      <w:r>
        <w:rPr>
          <w:spacing w:val="-5"/>
        </w:rPr>
        <w:t xml:space="preserve"> </w:t>
      </w:r>
      <w:r>
        <w:t>number;</w:t>
      </w:r>
      <w:r>
        <w:rPr>
          <w:spacing w:val="-5"/>
        </w:rPr>
        <w:t xml:space="preserve"> </w:t>
      </w:r>
      <w:r>
        <w:t>NSAID</w:t>
      </w:r>
      <w:r>
        <w:rPr>
          <w:spacing w:val="-5"/>
        </w:rPr>
        <w:t xml:space="preserve"> </w:t>
      </w:r>
      <w:r>
        <w:t>=</w:t>
      </w:r>
      <w:r>
        <w:rPr>
          <w:spacing w:val="-5"/>
        </w:rPr>
        <w:t xml:space="preserve"> </w:t>
      </w:r>
      <w:r>
        <w:t>nonsteroidal</w:t>
      </w:r>
      <w:r>
        <w:rPr>
          <w:spacing w:val="-4"/>
        </w:rPr>
        <w:t xml:space="preserve"> </w:t>
      </w:r>
      <w:r>
        <w:t>anti-inflammatory</w:t>
      </w:r>
      <w:r>
        <w:rPr>
          <w:spacing w:val="-4"/>
        </w:rPr>
        <w:t xml:space="preserve"> </w:t>
      </w:r>
      <w:r>
        <w:t>drugs;</w:t>
      </w:r>
      <w:r>
        <w:rPr>
          <w:spacing w:val="-5"/>
        </w:rPr>
        <w:t xml:space="preserve"> </w:t>
      </w:r>
      <w:r>
        <w:t>PPI</w:t>
      </w:r>
      <w:r>
        <w:rPr>
          <w:spacing w:val="-5"/>
        </w:rPr>
        <w:t xml:space="preserve"> </w:t>
      </w:r>
      <w:r>
        <w:t>=</w:t>
      </w:r>
      <w:r>
        <w:rPr>
          <w:spacing w:val="-5"/>
        </w:rPr>
        <w:t xml:space="preserve"> </w:t>
      </w:r>
      <w:r>
        <w:t>proton-pump</w:t>
      </w:r>
      <w:r>
        <w:rPr>
          <w:spacing w:val="-4"/>
        </w:rPr>
        <w:t xml:space="preserve"> </w:t>
      </w:r>
      <w:r>
        <w:t>inhibitor;</w:t>
      </w:r>
      <w:r>
        <w:rPr>
          <w:spacing w:val="-5"/>
        </w:rPr>
        <w:t xml:space="preserve"> </w:t>
      </w:r>
      <w:r>
        <w:t>SD</w:t>
      </w:r>
      <w:r>
        <w:rPr>
          <w:spacing w:val="-5"/>
        </w:rPr>
        <w:t xml:space="preserve"> </w:t>
      </w:r>
      <w:r>
        <w:t>=</w:t>
      </w:r>
      <w:r>
        <w:rPr>
          <w:spacing w:val="-5"/>
        </w:rPr>
        <w:t xml:space="preserve"> </w:t>
      </w:r>
      <w:r>
        <w:t>standard</w:t>
      </w:r>
      <w:r>
        <w:rPr>
          <w:spacing w:val="-4"/>
        </w:rPr>
        <w:t xml:space="preserve"> </w:t>
      </w:r>
      <w:r>
        <w:t>deviation;</w:t>
      </w:r>
      <w:r>
        <w:rPr>
          <w:spacing w:val="-4"/>
        </w:rPr>
        <w:t xml:space="preserve"> </w:t>
      </w:r>
      <w:r>
        <w:t>TCA</w:t>
      </w:r>
      <w:r>
        <w:rPr>
          <w:spacing w:val="-4"/>
        </w:rPr>
        <w:t xml:space="preserve"> </w:t>
      </w:r>
      <w:r>
        <w:t xml:space="preserve">= tricyclic antidepressants; </w:t>
      </w:r>
      <w:proofErr w:type="spellStart"/>
      <w:r>
        <w:t>dHRQoL</w:t>
      </w:r>
      <w:proofErr w:type="spellEnd"/>
      <w:r>
        <w:t>= deterioration in health-related quality of</w:t>
      </w:r>
      <w:r>
        <w:rPr>
          <w:spacing w:val="-30"/>
        </w:rPr>
        <w:t xml:space="preserve"> </w:t>
      </w:r>
      <w:r>
        <w:t>life.</w:t>
      </w:r>
    </w:p>
    <w:p w14:paraId="5B21BA03" w14:textId="77777777" w:rsidR="00075001" w:rsidRDefault="00075001" w:rsidP="00075001">
      <w:pPr>
        <w:pStyle w:val="BodyText"/>
        <w:ind w:left="118"/>
        <w:jc w:val="both"/>
      </w:pPr>
      <w:r>
        <w:t xml:space="preserve">*Twelve conditions were considered over a total of 17 conditions included in the </w:t>
      </w:r>
      <w:proofErr w:type="spellStart"/>
      <w:r>
        <w:t>Diederichs</w:t>
      </w:r>
      <w:proofErr w:type="spellEnd"/>
      <w:r>
        <w:t xml:space="preserve"> list.</w:t>
      </w:r>
    </w:p>
    <w:p w14:paraId="37E9F688" w14:textId="77777777" w:rsidR="00075001" w:rsidRDefault="00075001" w:rsidP="00075001">
      <w:pPr>
        <w:pStyle w:val="BodyText"/>
        <w:ind w:left="118"/>
        <w:jc w:val="both"/>
      </w:pPr>
      <w:r>
        <w:t>**Thirty-two STOPP criteria were considered.</w:t>
      </w:r>
    </w:p>
    <w:p w14:paraId="25A39966" w14:textId="77777777" w:rsidR="00075001" w:rsidRDefault="00075001" w:rsidP="00075001">
      <w:pPr>
        <w:pStyle w:val="BodyText"/>
        <w:ind w:left="118"/>
        <w:jc w:val="both"/>
      </w:pPr>
      <w:r>
        <w:t xml:space="preserve">***Eight </w:t>
      </w:r>
      <w:proofErr w:type="spellStart"/>
      <w:r>
        <w:t>Dreischulte</w:t>
      </w:r>
      <w:proofErr w:type="spellEnd"/>
      <w:r>
        <w:t xml:space="preserve"> criteria were considered.</w:t>
      </w:r>
    </w:p>
    <w:p w14:paraId="1040974E" w14:textId="77777777" w:rsidR="00075001" w:rsidRDefault="00075001" w:rsidP="00075001">
      <w:pPr>
        <w:pStyle w:val="BodyText"/>
        <w:ind w:left="118"/>
        <w:jc w:val="both"/>
      </w:pPr>
      <w:r>
        <w:t>****Fifteen START criteria were considered.</w:t>
      </w:r>
    </w:p>
    <w:p w14:paraId="18F9361F" w14:textId="77777777" w:rsidR="00075001" w:rsidRDefault="00075001" w:rsidP="00075001">
      <w:pPr>
        <w:pStyle w:val="BodyText"/>
        <w:ind w:left="118"/>
        <w:jc w:val="both"/>
      </w:pPr>
      <w:r>
        <w:t>*****Depression considered possible in case of a positive score on either of the two provided scales (GDS/SF).</w:t>
      </w:r>
    </w:p>
    <w:p w14:paraId="2B9E123D" w14:textId="77777777" w:rsidR="00075001" w:rsidRDefault="00075001" w:rsidP="00075001">
      <w:pPr>
        <w:pStyle w:val="BodyText"/>
        <w:ind w:left="118" w:right="8429"/>
      </w:pPr>
      <w:r>
        <w:t>******Score calculated considering a maximum count of six conditions. Score calculated considering a maximum count of 12 conditions.</w:t>
      </w:r>
    </w:p>
    <w:p w14:paraId="6A2E72DE" w14:textId="77777777" w:rsidR="00075001" w:rsidRDefault="00075001" w:rsidP="00075001">
      <w:pPr>
        <w:pStyle w:val="BodyText"/>
        <w:ind w:left="118"/>
        <w:jc w:val="both"/>
      </w:pPr>
      <w:r>
        <w:t>*******Score calculated considering a maximum count</w:t>
      </w:r>
    </w:p>
    <w:p w14:paraId="12F99E25" w14:textId="77777777" w:rsidR="00075001" w:rsidRDefault="00075001" w:rsidP="00075001">
      <w:pPr>
        <w:jc w:val="both"/>
        <w:sectPr w:rsidR="00075001">
          <w:headerReference w:type="default" r:id="rId37"/>
          <w:footerReference w:type="default" r:id="rId38"/>
          <w:pgSz w:w="16840" w:h="11910" w:orient="landscape"/>
          <w:pgMar w:top="1100" w:right="560" w:bottom="280" w:left="1300" w:header="0" w:footer="0" w:gutter="0"/>
          <w:cols w:space="720"/>
        </w:sectPr>
      </w:pPr>
    </w:p>
    <w:p w14:paraId="3BDC18A4" w14:textId="77777777" w:rsidR="00075001" w:rsidRPr="00BE21F9" w:rsidRDefault="00075001" w:rsidP="00075001">
      <w:pPr>
        <w:spacing w:before="56"/>
        <w:ind w:left="116"/>
        <w:rPr>
          <w:rFonts w:asciiTheme="minorHAnsi" w:hAnsiTheme="minorHAnsi" w:cstheme="minorHAnsi"/>
          <w:b/>
        </w:rPr>
      </w:pPr>
      <w:proofErr w:type="spellStart"/>
      <w:r w:rsidRPr="00BE21F9">
        <w:rPr>
          <w:rFonts w:asciiTheme="minorHAnsi" w:hAnsiTheme="minorHAnsi" w:cstheme="minorHAnsi"/>
          <w:b/>
          <w:sz w:val="22"/>
        </w:rPr>
        <w:lastRenderedPageBreak/>
        <w:t>Supplemental</w:t>
      </w:r>
      <w:proofErr w:type="spellEnd"/>
      <w:r w:rsidRPr="00BE21F9">
        <w:rPr>
          <w:rFonts w:asciiTheme="minorHAnsi" w:hAnsiTheme="minorHAnsi" w:cstheme="minorHAnsi"/>
          <w:b/>
          <w:sz w:val="22"/>
        </w:rPr>
        <w:t xml:space="preserve"> Table 5. </w:t>
      </w:r>
      <w:proofErr w:type="spellStart"/>
      <w:r w:rsidRPr="00BE21F9">
        <w:rPr>
          <w:rFonts w:asciiTheme="minorHAnsi" w:hAnsiTheme="minorHAnsi" w:cstheme="minorHAnsi"/>
          <w:b/>
          <w:sz w:val="22"/>
        </w:rPr>
        <w:t>Candidate</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prognostic</w:t>
      </w:r>
      <w:proofErr w:type="spellEnd"/>
      <w:r w:rsidRPr="00BE21F9">
        <w:rPr>
          <w:rFonts w:asciiTheme="minorHAnsi" w:hAnsiTheme="minorHAnsi" w:cstheme="minorHAnsi"/>
          <w:b/>
          <w:sz w:val="22"/>
        </w:rPr>
        <w:t xml:space="preserve"> variables and </w:t>
      </w:r>
      <w:proofErr w:type="spellStart"/>
      <w:r w:rsidRPr="00BE21F9">
        <w:rPr>
          <w:rFonts w:asciiTheme="minorHAnsi" w:hAnsiTheme="minorHAnsi" w:cstheme="minorHAnsi"/>
          <w:b/>
          <w:sz w:val="22"/>
        </w:rPr>
        <w:t>outcome</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of</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the</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five</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randomized</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controlled</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trials</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stratified</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by</w:t>
      </w:r>
      <w:proofErr w:type="spellEnd"/>
      <w:r w:rsidRPr="00BE21F9">
        <w:rPr>
          <w:rFonts w:asciiTheme="minorHAnsi" w:hAnsiTheme="minorHAnsi" w:cstheme="minorHAnsi"/>
          <w:b/>
          <w:sz w:val="22"/>
        </w:rPr>
        <w:t xml:space="preserve"> </w:t>
      </w:r>
      <w:proofErr w:type="spellStart"/>
      <w:r w:rsidRPr="00BE21F9">
        <w:rPr>
          <w:rFonts w:asciiTheme="minorHAnsi" w:hAnsiTheme="minorHAnsi" w:cstheme="minorHAnsi"/>
          <w:b/>
          <w:sz w:val="22"/>
        </w:rPr>
        <w:t>interventional</w:t>
      </w:r>
      <w:proofErr w:type="spellEnd"/>
      <w:r w:rsidRPr="00BE21F9">
        <w:rPr>
          <w:rFonts w:asciiTheme="minorHAnsi" w:hAnsiTheme="minorHAnsi" w:cstheme="minorHAnsi"/>
          <w:b/>
          <w:sz w:val="22"/>
        </w:rPr>
        <w:t xml:space="preserve"> </w:t>
      </w:r>
      <w:proofErr w:type="gramStart"/>
      <w:r w:rsidRPr="00BE21F9">
        <w:rPr>
          <w:rFonts w:asciiTheme="minorHAnsi" w:hAnsiTheme="minorHAnsi" w:cstheme="minorHAnsi"/>
          <w:b/>
          <w:sz w:val="22"/>
        </w:rPr>
        <w:t>status</w:t>
      </w:r>
      <w:proofErr w:type="gramEnd"/>
    </w:p>
    <w:p w14:paraId="05AA2964" w14:textId="77777777" w:rsidR="00075001" w:rsidRPr="00BE21F9" w:rsidRDefault="00075001" w:rsidP="00075001">
      <w:pPr>
        <w:pStyle w:val="BodyText"/>
        <w:rPr>
          <w:rFonts w:asciiTheme="minorHAnsi" w:hAnsiTheme="minorHAnsi" w:cstheme="minorHAnsi"/>
          <w:b/>
        </w:rPr>
      </w:pPr>
    </w:p>
    <w:p w14:paraId="6C02A4B0" w14:textId="77777777" w:rsidR="00075001" w:rsidRPr="00BE21F9" w:rsidRDefault="00075001" w:rsidP="00075001">
      <w:pPr>
        <w:ind w:left="116"/>
        <w:rPr>
          <w:rFonts w:asciiTheme="minorHAnsi" w:hAnsiTheme="minorHAnsi" w:cstheme="minorHAnsi"/>
          <w:b/>
          <w:sz w:val="20"/>
        </w:rPr>
      </w:pPr>
      <w:proofErr w:type="spellStart"/>
      <w:r w:rsidRPr="00BE21F9">
        <w:rPr>
          <w:rFonts w:asciiTheme="minorHAnsi" w:hAnsiTheme="minorHAnsi" w:cstheme="minorHAnsi"/>
          <w:b/>
          <w:sz w:val="20"/>
        </w:rPr>
        <w:t>Candidate</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prognostic</w:t>
      </w:r>
      <w:proofErr w:type="spellEnd"/>
      <w:r w:rsidRPr="00BE21F9">
        <w:rPr>
          <w:rFonts w:asciiTheme="minorHAnsi" w:hAnsiTheme="minorHAnsi" w:cstheme="minorHAnsi"/>
          <w:b/>
          <w:sz w:val="20"/>
        </w:rPr>
        <w:t xml:space="preserve"> variables – </w:t>
      </w:r>
      <w:proofErr w:type="spellStart"/>
      <w:r w:rsidRPr="00BE21F9">
        <w:rPr>
          <w:rFonts w:asciiTheme="minorHAnsi" w:hAnsiTheme="minorHAnsi" w:cstheme="minorHAnsi"/>
          <w:b/>
          <w:sz w:val="20"/>
        </w:rPr>
        <w:t>Sociodemographic</w:t>
      </w:r>
      <w:proofErr w:type="spellEnd"/>
      <w:r w:rsidRPr="00BE21F9">
        <w:rPr>
          <w:rFonts w:asciiTheme="minorHAnsi" w:hAnsiTheme="minorHAnsi" w:cstheme="minorHAnsi"/>
          <w:b/>
          <w:sz w:val="20"/>
        </w:rPr>
        <w:t xml:space="preserve"> and </w:t>
      </w:r>
      <w:proofErr w:type="spellStart"/>
      <w:r w:rsidRPr="00BE21F9">
        <w:rPr>
          <w:rFonts w:asciiTheme="minorHAnsi" w:hAnsiTheme="minorHAnsi" w:cstheme="minorHAnsi"/>
          <w:b/>
          <w:sz w:val="20"/>
        </w:rPr>
        <w:t>lifestyle-related</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baseline</w:t>
      </w:r>
      <w:proofErr w:type="spellEnd"/>
      <w:r w:rsidRPr="00BE21F9">
        <w:rPr>
          <w:rFonts w:asciiTheme="minorHAnsi" w:hAnsiTheme="minorHAnsi" w:cstheme="minorHAnsi"/>
          <w:b/>
          <w:sz w:val="20"/>
        </w:rPr>
        <w:t>)</w:t>
      </w:r>
    </w:p>
    <w:p w14:paraId="3C74D917" w14:textId="77777777" w:rsidR="00075001" w:rsidRDefault="00075001" w:rsidP="00075001">
      <w:pPr>
        <w:pStyle w:val="BodyText"/>
        <w:spacing w:before="12"/>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1276"/>
        <w:gridCol w:w="1134"/>
        <w:gridCol w:w="1276"/>
        <w:gridCol w:w="1134"/>
        <w:gridCol w:w="2268"/>
        <w:gridCol w:w="1276"/>
        <w:gridCol w:w="1275"/>
        <w:gridCol w:w="1293"/>
        <w:gridCol w:w="1259"/>
      </w:tblGrid>
      <w:tr w:rsidR="00075001" w14:paraId="60ACBFED" w14:textId="77777777" w:rsidTr="00075001">
        <w:trPr>
          <w:trHeight w:hRule="exact" w:val="498"/>
        </w:trPr>
        <w:tc>
          <w:tcPr>
            <w:tcW w:w="2263" w:type="dxa"/>
            <w:vMerge w:val="restart"/>
          </w:tcPr>
          <w:p w14:paraId="69B92996" w14:textId="77777777" w:rsidR="00075001" w:rsidRDefault="00075001" w:rsidP="00075001">
            <w:pPr>
              <w:pStyle w:val="TableParagraph"/>
              <w:rPr>
                <w:b/>
                <w:sz w:val="20"/>
              </w:rPr>
            </w:pPr>
            <w:r>
              <w:rPr>
                <w:b/>
                <w:sz w:val="20"/>
              </w:rPr>
              <w:t>Variables</w:t>
            </w:r>
          </w:p>
        </w:tc>
        <w:tc>
          <w:tcPr>
            <w:tcW w:w="2410" w:type="dxa"/>
            <w:gridSpan w:val="2"/>
          </w:tcPr>
          <w:p w14:paraId="7F7D3E59" w14:textId="77777777" w:rsidR="00075001" w:rsidRDefault="00075001" w:rsidP="00075001">
            <w:pPr>
              <w:pStyle w:val="TableParagraph"/>
              <w:rPr>
                <w:b/>
                <w:sz w:val="20"/>
              </w:rPr>
            </w:pPr>
            <w:r>
              <w:rPr>
                <w:b/>
                <w:sz w:val="20"/>
              </w:rPr>
              <w:t>PRIMUM</w:t>
            </w:r>
          </w:p>
        </w:tc>
        <w:tc>
          <w:tcPr>
            <w:tcW w:w="2410" w:type="dxa"/>
            <w:gridSpan w:val="2"/>
          </w:tcPr>
          <w:p w14:paraId="02CDDAE4" w14:textId="77777777" w:rsidR="00075001" w:rsidRDefault="00075001" w:rsidP="00075001">
            <w:pPr>
              <w:pStyle w:val="TableParagraph"/>
              <w:rPr>
                <w:b/>
                <w:sz w:val="20"/>
              </w:rPr>
            </w:pPr>
            <w:r>
              <w:rPr>
                <w:b/>
                <w:sz w:val="20"/>
              </w:rPr>
              <w:t>Opti-Med</w:t>
            </w:r>
          </w:p>
        </w:tc>
        <w:tc>
          <w:tcPr>
            <w:tcW w:w="2268" w:type="dxa"/>
          </w:tcPr>
          <w:p w14:paraId="2E53085D" w14:textId="77777777" w:rsidR="00075001" w:rsidRDefault="00075001" w:rsidP="00075001">
            <w:pPr>
              <w:pStyle w:val="TableParagraph"/>
              <w:rPr>
                <w:b/>
                <w:sz w:val="20"/>
              </w:rPr>
            </w:pPr>
            <w:r>
              <w:rPr>
                <w:b/>
                <w:sz w:val="20"/>
              </w:rPr>
              <w:t>PIL</w:t>
            </w:r>
          </w:p>
        </w:tc>
        <w:tc>
          <w:tcPr>
            <w:tcW w:w="2551" w:type="dxa"/>
            <w:gridSpan w:val="2"/>
          </w:tcPr>
          <w:p w14:paraId="42749FB8" w14:textId="77777777" w:rsidR="00075001" w:rsidRDefault="00075001" w:rsidP="00075001">
            <w:pPr>
              <w:pStyle w:val="TableParagraph"/>
              <w:rPr>
                <w:b/>
                <w:sz w:val="20"/>
              </w:rPr>
            </w:pPr>
            <w:r>
              <w:rPr>
                <w:b/>
                <w:sz w:val="20"/>
              </w:rPr>
              <w:t>ISCOPE</w:t>
            </w:r>
          </w:p>
        </w:tc>
        <w:tc>
          <w:tcPr>
            <w:tcW w:w="2552" w:type="dxa"/>
            <w:gridSpan w:val="2"/>
          </w:tcPr>
          <w:p w14:paraId="0F202EB6" w14:textId="77777777" w:rsidR="00075001" w:rsidRDefault="00075001" w:rsidP="00075001">
            <w:pPr>
              <w:pStyle w:val="TableParagraph"/>
              <w:rPr>
                <w:b/>
                <w:sz w:val="20"/>
              </w:rPr>
            </w:pPr>
            <w:r>
              <w:rPr>
                <w:b/>
                <w:sz w:val="20"/>
              </w:rPr>
              <w:t>RIME</w:t>
            </w:r>
          </w:p>
        </w:tc>
      </w:tr>
      <w:tr w:rsidR="00075001" w14:paraId="458F2A61" w14:textId="77777777" w:rsidTr="00075001">
        <w:trPr>
          <w:trHeight w:hRule="exact" w:val="498"/>
        </w:trPr>
        <w:tc>
          <w:tcPr>
            <w:tcW w:w="2263" w:type="dxa"/>
            <w:vMerge/>
          </w:tcPr>
          <w:p w14:paraId="5E4BCFB2" w14:textId="77777777" w:rsidR="00075001" w:rsidRDefault="00075001" w:rsidP="00075001"/>
        </w:tc>
        <w:tc>
          <w:tcPr>
            <w:tcW w:w="1276" w:type="dxa"/>
          </w:tcPr>
          <w:p w14:paraId="1D6BCF62" w14:textId="77777777" w:rsidR="00075001" w:rsidRDefault="00075001" w:rsidP="00075001">
            <w:pPr>
              <w:pStyle w:val="TableParagraph"/>
              <w:rPr>
                <w:sz w:val="20"/>
              </w:rPr>
            </w:pPr>
            <w:r>
              <w:rPr>
                <w:sz w:val="20"/>
              </w:rPr>
              <w:t>CG</w:t>
            </w:r>
          </w:p>
          <w:p w14:paraId="4BFFB5C6" w14:textId="77777777" w:rsidR="00075001" w:rsidRDefault="00075001" w:rsidP="00075001">
            <w:pPr>
              <w:pStyle w:val="TableParagraph"/>
              <w:rPr>
                <w:sz w:val="20"/>
              </w:rPr>
            </w:pPr>
            <w:r>
              <w:rPr>
                <w:sz w:val="20"/>
              </w:rPr>
              <w:t>n = 190</w:t>
            </w:r>
          </w:p>
        </w:tc>
        <w:tc>
          <w:tcPr>
            <w:tcW w:w="1134" w:type="dxa"/>
          </w:tcPr>
          <w:p w14:paraId="2BED383C" w14:textId="77777777" w:rsidR="00075001" w:rsidRDefault="00075001" w:rsidP="00075001">
            <w:pPr>
              <w:pStyle w:val="TableParagraph"/>
              <w:rPr>
                <w:sz w:val="20"/>
              </w:rPr>
            </w:pPr>
            <w:r>
              <w:rPr>
                <w:sz w:val="20"/>
              </w:rPr>
              <w:t>IG</w:t>
            </w:r>
          </w:p>
          <w:p w14:paraId="46931E54" w14:textId="77777777" w:rsidR="00075001" w:rsidRDefault="00075001" w:rsidP="00075001">
            <w:pPr>
              <w:pStyle w:val="TableParagraph"/>
              <w:rPr>
                <w:sz w:val="20"/>
              </w:rPr>
            </w:pPr>
            <w:r>
              <w:rPr>
                <w:sz w:val="20"/>
              </w:rPr>
              <w:t>n = 191</w:t>
            </w:r>
          </w:p>
        </w:tc>
        <w:tc>
          <w:tcPr>
            <w:tcW w:w="1276" w:type="dxa"/>
          </w:tcPr>
          <w:p w14:paraId="14FF4FC4" w14:textId="77777777" w:rsidR="00075001" w:rsidRDefault="00075001" w:rsidP="00075001">
            <w:pPr>
              <w:pStyle w:val="TableParagraph"/>
              <w:rPr>
                <w:sz w:val="20"/>
              </w:rPr>
            </w:pPr>
            <w:r>
              <w:rPr>
                <w:sz w:val="20"/>
              </w:rPr>
              <w:t>CG</w:t>
            </w:r>
          </w:p>
          <w:p w14:paraId="21A3BE1D" w14:textId="77777777" w:rsidR="00075001" w:rsidRDefault="00075001" w:rsidP="00075001">
            <w:pPr>
              <w:pStyle w:val="TableParagraph"/>
              <w:rPr>
                <w:sz w:val="20"/>
              </w:rPr>
            </w:pPr>
            <w:r>
              <w:rPr>
                <w:sz w:val="20"/>
              </w:rPr>
              <w:t>n = 191</w:t>
            </w:r>
          </w:p>
        </w:tc>
        <w:tc>
          <w:tcPr>
            <w:tcW w:w="1134" w:type="dxa"/>
          </w:tcPr>
          <w:p w14:paraId="21C122F2" w14:textId="77777777" w:rsidR="00075001" w:rsidRDefault="00075001" w:rsidP="00075001">
            <w:pPr>
              <w:pStyle w:val="TableParagraph"/>
              <w:rPr>
                <w:sz w:val="20"/>
              </w:rPr>
            </w:pPr>
            <w:r>
              <w:rPr>
                <w:sz w:val="20"/>
              </w:rPr>
              <w:t>IG</w:t>
            </w:r>
          </w:p>
          <w:p w14:paraId="0966718A" w14:textId="77777777" w:rsidR="00075001" w:rsidRDefault="00075001" w:rsidP="00075001">
            <w:pPr>
              <w:pStyle w:val="TableParagraph"/>
              <w:rPr>
                <w:sz w:val="20"/>
              </w:rPr>
            </w:pPr>
            <w:r>
              <w:rPr>
                <w:sz w:val="20"/>
              </w:rPr>
              <w:t>n = 195</w:t>
            </w:r>
          </w:p>
        </w:tc>
        <w:tc>
          <w:tcPr>
            <w:tcW w:w="2268" w:type="dxa"/>
          </w:tcPr>
          <w:p w14:paraId="3A1E6385" w14:textId="77777777" w:rsidR="00075001" w:rsidRDefault="00075001" w:rsidP="00075001">
            <w:pPr>
              <w:pStyle w:val="TableParagraph"/>
              <w:ind w:right="286"/>
              <w:rPr>
                <w:sz w:val="20"/>
              </w:rPr>
            </w:pPr>
            <w:r>
              <w:rPr>
                <w:sz w:val="20"/>
              </w:rPr>
              <w:t>Stepped-wedge design n = 448</w:t>
            </w:r>
          </w:p>
        </w:tc>
        <w:tc>
          <w:tcPr>
            <w:tcW w:w="1276" w:type="dxa"/>
          </w:tcPr>
          <w:p w14:paraId="3ADCBB7C" w14:textId="77777777" w:rsidR="00075001" w:rsidRDefault="00075001" w:rsidP="00075001">
            <w:pPr>
              <w:pStyle w:val="TableParagraph"/>
              <w:rPr>
                <w:sz w:val="20"/>
              </w:rPr>
            </w:pPr>
            <w:r>
              <w:rPr>
                <w:sz w:val="20"/>
              </w:rPr>
              <w:t>CG</w:t>
            </w:r>
          </w:p>
          <w:p w14:paraId="4111598A" w14:textId="77777777" w:rsidR="00075001" w:rsidRDefault="00075001" w:rsidP="00075001">
            <w:pPr>
              <w:pStyle w:val="TableParagraph"/>
              <w:rPr>
                <w:sz w:val="20"/>
              </w:rPr>
            </w:pPr>
            <w:r>
              <w:rPr>
                <w:sz w:val="20"/>
              </w:rPr>
              <w:t>n = 722</w:t>
            </w:r>
          </w:p>
        </w:tc>
        <w:tc>
          <w:tcPr>
            <w:tcW w:w="1275" w:type="dxa"/>
          </w:tcPr>
          <w:p w14:paraId="51A4E6A3" w14:textId="77777777" w:rsidR="00075001" w:rsidRDefault="00075001" w:rsidP="00075001">
            <w:pPr>
              <w:pStyle w:val="TableParagraph"/>
              <w:rPr>
                <w:sz w:val="20"/>
              </w:rPr>
            </w:pPr>
            <w:r>
              <w:rPr>
                <w:sz w:val="20"/>
              </w:rPr>
              <w:t>IG</w:t>
            </w:r>
          </w:p>
          <w:p w14:paraId="3E30DD72" w14:textId="77777777" w:rsidR="00075001" w:rsidRDefault="00075001" w:rsidP="00075001">
            <w:pPr>
              <w:pStyle w:val="TableParagraph"/>
              <w:rPr>
                <w:sz w:val="20"/>
              </w:rPr>
            </w:pPr>
            <w:r>
              <w:rPr>
                <w:sz w:val="20"/>
              </w:rPr>
              <w:t>n = 626</w:t>
            </w:r>
          </w:p>
        </w:tc>
        <w:tc>
          <w:tcPr>
            <w:tcW w:w="1293" w:type="dxa"/>
          </w:tcPr>
          <w:p w14:paraId="73AC3D45" w14:textId="77777777" w:rsidR="00075001" w:rsidRDefault="00075001" w:rsidP="00075001">
            <w:pPr>
              <w:pStyle w:val="TableParagraph"/>
              <w:rPr>
                <w:sz w:val="20"/>
              </w:rPr>
            </w:pPr>
            <w:r>
              <w:rPr>
                <w:sz w:val="20"/>
              </w:rPr>
              <w:t>CG</w:t>
            </w:r>
          </w:p>
          <w:p w14:paraId="31B77E9F" w14:textId="77777777" w:rsidR="00075001" w:rsidRDefault="00075001" w:rsidP="00075001">
            <w:pPr>
              <w:pStyle w:val="TableParagraph"/>
              <w:rPr>
                <w:sz w:val="20"/>
              </w:rPr>
            </w:pPr>
            <w:r>
              <w:rPr>
                <w:sz w:val="20"/>
              </w:rPr>
              <w:t>n = 505</w:t>
            </w:r>
          </w:p>
        </w:tc>
        <w:tc>
          <w:tcPr>
            <w:tcW w:w="1259" w:type="dxa"/>
          </w:tcPr>
          <w:p w14:paraId="67816BA8" w14:textId="77777777" w:rsidR="00075001" w:rsidRDefault="00075001" w:rsidP="00075001">
            <w:pPr>
              <w:pStyle w:val="TableParagraph"/>
              <w:rPr>
                <w:sz w:val="20"/>
              </w:rPr>
            </w:pPr>
            <w:r>
              <w:rPr>
                <w:sz w:val="20"/>
              </w:rPr>
              <w:t>IG</w:t>
            </w:r>
          </w:p>
          <w:p w14:paraId="6B0BFA53" w14:textId="77777777" w:rsidR="00075001" w:rsidRDefault="00075001" w:rsidP="00075001">
            <w:pPr>
              <w:pStyle w:val="TableParagraph"/>
              <w:rPr>
                <w:sz w:val="20"/>
              </w:rPr>
            </w:pPr>
            <w:r>
              <w:rPr>
                <w:sz w:val="20"/>
              </w:rPr>
              <w:t>n = 514</w:t>
            </w:r>
          </w:p>
        </w:tc>
      </w:tr>
      <w:tr w:rsidR="00075001" w14:paraId="327D0EDB" w14:textId="77777777" w:rsidTr="00075001">
        <w:trPr>
          <w:trHeight w:hRule="exact" w:val="265"/>
        </w:trPr>
        <w:tc>
          <w:tcPr>
            <w:tcW w:w="2263" w:type="dxa"/>
          </w:tcPr>
          <w:p w14:paraId="20599831" w14:textId="77777777" w:rsidR="00075001" w:rsidRDefault="00075001" w:rsidP="00075001">
            <w:pPr>
              <w:pStyle w:val="TableParagraph"/>
              <w:ind w:left="0" w:right="795"/>
              <w:jc w:val="right"/>
              <w:rPr>
                <w:sz w:val="20"/>
              </w:rPr>
            </w:pPr>
            <w:r>
              <w:rPr>
                <w:sz w:val="20"/>
              </w:rPr>
              <w:t>Age – Mean (SD)</w:t>
            </w:r>
          </w:p>
        </w:tc>
        <w:tc>
          <w:tcPr>
            <w:tcW w:w="1276" w:type="dxa"/>
          </w:tcPr>
          <w:p w14:paraId="2830582F" w14:textId="77777777" w:rsidR="00075001" w:rsidRDefault="00075001" w:rsidP="00075001">
            <w:pPr>
              <w:pStyle w:val="TableParagraph"/>
              <w:rPr>
                <w:sz w:val="20"/>
              </w:rPr>
            </w:pPr>
            <w:r>
              <w:rPr>
                <w:sz w:val="20"/>
              </w:rPr>
              <w:t>71.44 (7.3)</w:t>
            </w:r>
          </w:p>
        </w:tc>
        <w:tc>
          <w:tcPr>
            <w:tcW w:w="1134" w:type="dxa"/>
          </w:tcPr>
          <w:p w14:paraId="61B3C862" w14:textId="77777777" w:rsidR="00075001" w:rsidRDefault="00075001" w:rsidP="00075001">
            <w:pPr>
              <w:pStyle w:val="TableParagraph"/>
              <w:rPr>
                <w:sz w:val="20"/>
              </w:rPr>
            </w:pPr>
            <w:r>
              <w:rPr>
                <w:sz w:val="20"/>
              </w:rPr>
              <w:t>72.47 (6.5)</w:t>
            </w:r>
          </w:p>
        </w:tc>
        <w:tc>
          <w:tcPr>
            <w:tcW w:w="1276" w:type="dxa"/>
          </w:tcPr>
          <w:p w14:paraId="491B321D" w14:textId="77777777" w:rsidR="00075001" w:rsidRDefault="00075001" w:rsidP="00075001">
            <w:pPr>
              <w:pStyle w:val="TableParagraph"/>
              <w:rPr>
                <w:sz w:val="20"/>
              </w:rPr>
            </w:pPr>
            <w:r>
              <w:rPr>
                <w:sz w:val="20"/>
              </w:rPr>
              <w:t>76.9 (8.0)</w:t>
            </w:r>
          </w:p>
        </w:tc>
        <w:tc>
          <w:tcPr>
            <w:tcW w:w="1134" w:type="dxa"/>
          </w:tcPr>
          <w:p w14:paraId="335E6C8F" w14:textId="77777777" w:rsidR="00075001" w:rsidRDefault="00075001" w:rsidP="00075001">
            <w:pPr>
              <w:pStyle w:val="TableParagraph"/>
              <w:rPr>
                <w:sz w:val="20"/>
              </w:rPr>
            </w:pPr>
            <w:r>
              <w:rPr>
                <w:sz w:val="20"/>
              </w:rPr>
              <w:t>76.9 (7.4)</w:t>
            </w:r>
          </w:p>
        </w:tc>
        <w:tc>
          <w:tcPr>
            <w:tcW w:w="2268" w:type="dxa"/>
          </w:tcPr>
          <w:p w14:paraId="4877849D" w14:textId="77777777" w:rsidR="00075001" w:rsidRDefault="00075001" w:rsidP="00075001">
            <w:pPr>
              <w:pStyle w:val="TableParagraph"/>
              <w:rPr>
                <w:sz w:val="20"/>
              </w:rPr>
            </w:pPr>
            <w:r>
              <w:rPr>
                <w:sz w:val="20"/>
              </w:rPr>
              <w:t>72.4 (7.4)</w:t>
            </w:r>
          </w:p>
        </w:tc>
        <w:tc>
          <w:tcPr>
            <w:tcW w:w="1276" w:type="dxa"/>
          </w:tcPr>
          <w:p w14:paraId="2C274CA2" w14:textId="77777777" w:rsidR="00075001" w:rsidRDefault="00075001" w:rsidP="00075001">
            <w:pPr>
              <w:pStyle w:val="TableParagraph"/>
              <w:rPr>
                <w:sz w:val="20"/>
              </w:rPr>
            </w:pPr>
            <w:r>
              <w:rPr>
                <w:sz w:val="20"/>
              </w:rPr>
              <w:t>82.00 (5.0)</w:t>
            </w:r>
          </w:p>
        </w:tc>
        <w:tc>
          <w:tcPr>
            <w:tcW w:w="1275" w:type="dxa"/>
          </w:tcPr>
          <w:p w14:paraId="7AB3B545" w14:textId="77777777" w:rsidR="00075001" w:rsidRDefault="00075001" w:rsidP="00075001">
            <w:pPr>
              <w:pStyle w:val="TableParagraph"/>
              <w:rPr>
                <w:sz w:val="20"/>
              </w:rPr>
            </w:pPr>
            <w:r>
              <w:rPr>
                <w:sz w:val="20"/>
              </w:rPr>
              <w:t>81.34 (5.0)</w:t>
            </w:r>
          </w:p>
        </w:tc>
        <w:tc>
          <w:tcPr>
            <w:tcW w:w="1293" w:type="dxa"/>
          </w:tcPr>
          <w:p w14:paraId="5B3E10C6" w14:textId="77777777" w:rsidR="00075001" w:rsidRDefault="00075001" w:rsidP="00075001">
            <w:pPr>
              <w:pStyle w:val="TableParagraph"/>
              <w:rPr>
                <w:sz w:val="20"/>
              </w:rPr>
            </w:pPr>
            <w:r>
              <w:rPr>
                <w:sz w:val="20"/>
              </w:rPr>
              <w:t>76.7 (4.7)</w:t>
            </w:r>
          </w:p>
        </w:tc>
        <w:tc>
          <w:tcPr>
            <w:tcW w:w="1259" w:type="dxa"/>
          </w:tcPr>
          <w:p w14:paraId="77166DBE" w14:textId="77777777" w:rsidR="00075001" w:rsidRDefault="00075001" w:rsidP="00075001">
            <w:pPr>
              <w:pStyle w:val="TableParagraph"/>
              <w:rPr>
                <w:sz w:val="20"/>
              </w:rPr>
            </w:pPr>
            <w:r>
              <w:rPr>
                <w:sz w:val="20"/>
              </w:rPr>
              <w:t>76.8 (5.0)</w:t>
            </w:r>
          </w:p>
        </w:tc>
      </w:tr>
      <w:tr w:rsidR="00075001" w14:paraId="0A59A9DD" w14:textId="77777777" w:rsidTr="00075001">
        <w:trPr>
          <w:trHeight w:hRule="exact" w:val="498"/>
        </w:trPr>
        <w:tc>
          <w:tcPr>
            <w:tcW w:w="2263" w:type="dxa"/>
          </w:tcPr>
          <w:p w14:paraId="02AFB2B7" w14:textId="77777777" w:rsidR="00075001" w:rsidRDefault="00075001" w:rsidP="00075001">
            <w:pPr>
              <w:pStyle w:val="TableParagraph"/>
              <w:ind w:right="121"/>
              <w:rPr>
                <w:sz w:val="20"/>
              </w:rPr>
            </w:pPr>
            <w:r>
              <w:rPr>
                <w:sz w:val="20"/>
              </w:rPr>
              <w:t>Sex (female) - Frequency (%)</w:t>
            </w:r>
          </w:p>
        </w:tc>
        <w:tc>
          <w:tcPr>
            <w:tcW w:w="1276" w:type="dxa"/>
          </w:tcPr>
          <w:p w14:paraId="2967D113" w14:textId="77777777" w:rsidR="00075001" w:rsidRDefault="00075001" w:rsidP="00075001">
            <w:pPr>
              <w:pStyle w:val="TableParagraph"/>
              <w:rPr>
                <w:sz w:val="20"/>
              </w:rPr>
            </w:pPr>
            <w:r>
              <w:rPr>
                <w:sz w:val="20"/>
              </w:rPr>
              <w:t>98 (51.6)</w:t>
            </w:r>
          </w:p>
        </w:tc>
        <w:tc>
          <w:tcPr>
            <w:tcW w:w="1134" w:type="dxa"/>
          </w:tcPr>
          <w:p w14:paraId="0ECCA165" w14:textId="77777777" w:rsidR="00075001" w:rsidRDefault="00075001" w:rsidP="00075001">
            <w:pPr>
              <w:pStyle w:val="TableParagraph"/>
              <w:rPr>
                <w:sz w:val="20"/>
              </w:rPr>
            </w:pPr>
            <w:r>
              <w:rPr>
                <w:sz w:val="20"/>
              </w:rPr>
              <w:t>88 (46.1%)</w:t>
            </w:r>
          </w:p>
        </w:tc>
        <w:tc>
          <w:tcPr>
            <w:tcW w:w="1276" w:type="dxa"/>
          </w:tcPr>
          <w:p w14:paraId="5B5861DA" w14:textId="77777777" w:rsidR="00075001" w:rsidRDefault="00075001" w:rsidP="00075001">
            <w:pPr>
              <w:pStyle w:val="TableParagraph"/>
              <w:rPr>
                <w:sz w:val="20"/>
              </w:rPr>
            </w:pPr>
            <w:r>
              <w:rPr>
                <w:sz w:val="20"/>
              </w:rPr>
              <w:t>63 (33.0%)</w:t>
            </w:r>
          </w:p>
        </w:tc>
        <w:tc>
          <w:tcPr>
            <w:tcW w:w="1134" w:type="dxa"/>
          </w:tcPr>
          <w:p w14:paraId="68AED0F1" w14:textId="77777777" w:rsidR="00075001" w:rsidRDefault="00075001" w:rsidP="00075001">
            <w:pPr>
              <w:pStyle w:val="TableParagraph"/>
              <w:rPr>
                <w:sz w:val="20"/>
              </w:rPr>
            </w:pPr>
            <w:r>
              <w:rPr>
                <w:sz w:val="20"/>
              </w:rPr>
              <w:t>72 (36.9%)</w:t>
            </w:r>
          </w:p>
        </w:tc>
        <w:tc>
          <w:tcPr>
            <w:tcW w:w="2268" w:type="dxa"/>
          </w:tcPr>
          <w:p w14:paraId="1592AB35" w14:textId="77777777" w:rsidR="00075001" w:rsidRDefault="00075001" w:rsidP="00075001">
            <w:pPr>
              <w:pStyle w:val="TableParagraph"/>
              <w:rPr>
                <w:sz w:val="20"/>
              </w:rPr>
            </w:pPr>
            <w:r>
              <w:rPr>
                <w:sz w:val="20"/>
              </w:rPr>
              <w:t>245 (54.7%)</w:t>
            </w:r>
          </w:p>
        </w:tc>
        <w:tc>
          <w:tcPr>
            <w:tcW w:w="1276" w:type="dxa"/>
          </w:tcPr>
          <w:p w14:paraId="36BEDB2F" w14:textId="77777777" w:rsidR="00075001" w:rsidRDefault="00075001" w:rsidP="00075001">
            <w:pPr>
              <w:pStyle w:val="TableParagraph"/>
              <w:rPr>
                <w:sz w:val="20"/>
              </w:rPr>
            </w:pPr>
            <w:r>
              <w:rPr>
                <w:sz w:val="20"/>
              </w:rPr>
              <w:t>214 (29.6%)</w:t>
            </w:r>
          </w:p>
        </w:tc>
        <w:tc>
          <w:tcPr>
            <w:tcW w:w="1275" w:type="dxa"/>
          </w:tcPr>
          <w:p w14:paraId="52EB6620" w14:textId="77777777" w:rsidR="00075001" w:rsidRDefault="00075001" w:rsidP="00075001">
            <w:pPr>
              <w:pStyle w:val="TableParagraph"/>
              <w:rPr>
                <w:sz w:val="20"/>
              </w:rPr>
            </w:pPr>
            <w:r>
              <w:rPr>
                <w:sz w:val="20"/>
              </w:rPr>
              <w:t>209 (33.4%)</w:t>
            </w:r>
          </w:p>
        </w:tc>
        <w:tc>
          <w:tcPr>
            <w:tcW w:w="1293" w:type="dxa"/>
          </w:tcPr>
          <w:p w14:paraId="2BB9C17A" w14:textId="77777777" w:rsidR="00075001" w:rsidRDefault="00075001" w:rsidP="00075001">
            <w:pPr>
              <w:pStyle w:val="TableParagraph"/>
              <w:rPr>
                <w:sz w:val="20"/>
              </w:rPr>
            </w:pPr>
            <w:r>
              <w:rPr>
                <w:sz w:val="20"/>
              </w:rPr>
              <w:t>269 (53.3%)</w:t>
            </w:r>
          </w:p>
        </w:tc>
        <w:tc>
          <w:tcPr>
            <w:tcW w:w="1259" w:type="dxa"/>
          </w:tcPr>
          <w:p w14:paraId="104035B9" w14:textId="77777777" w:rsidR="00075001" w:rsidRDefault="00075001" w:rsidP="00075001">
            <w:pPr>
              <w:pStyle w:val="TableParagraph"/>
              <w:rPr>
                <w:sz w:val="20"/>
              </w:rPr>
            </w:pPr>
            <w:r>
              <w:rPr>
                <w:sz w:val="20"/>
              </w:rPr>
              <w:t>248 (48.2%)</w:t>
            </w:r>
          </w:p>
        </w:tc>
      </w:tr>
      <w:tr w:rsidR="00075001" w14:paraId="09040777" w14:textId="77777777" w:rsidTr="00075001">
        <w:trPr>
          <w:trHeight w:hRule="exact" w:val="791"/>
        </w:trPr>
        <w:tc>
          <w:tcPr>
            <w:tcW w:w="2263" w:type="dxa"/>
          </w:tcPr>
          <w:p w14:paraId="2CD64AD8" w14:textId="77777777" w:rsidR="00075001" w:rsidRDefault="00075001" w:rsidP="00075001">
            <w:pPr>
              <w:pStyle w:val="TableParagraph"/>
              <w:ind w:right="276"/>
              <w:rPr>
                <w:sz w:val="20"/>
              </w:rPr>
            </w:pPr>
            <w:r>
              <w:rPr>
                <w:sz w:val="20"/>
              </w:rPr>
              <w:t xml:space="preserve">Living situation </w:t>
            </w:r>
            <w:r>
              <w:t xml:space="preserve">(Institutionalized living) </w:t>
            </w:r>
            <w:r>
              <w:rPr>
                <w:sz w:val="20"/>
              </w:rPr>
              <w:t>- Frequency (%)</w:t>
            </w:r>
          </w:p>
        </w:tc>
        <w:tc>
          <w:tcPr>
            <w:tcW w:w="1276" w:type="dxa"/>
          </w:tcPr>
          <w:p w14:paraId="340205DA" w14:textId="77777777" w:rsidR="00075001" w:rsidRDefault="00075001" w:rsidP="00075001">
            <w:pPr>
              <w:pStyle w:val="TableParagraph"/>
              <w:rPr>
                <w:sz w:val="20"/>
              </w:rPr>
            </w:pPr>
            <w:r>
              <w:rPr>
                <w:sz w:val="20"/>
              </w:rPr>
              <w:t>1 (0.5%)</w:t>
            </w:r>
          </w:p>
        </w:tc>
        <w:tc>
          <w:tcPr>
            <w:tcW w:w="1134" w:type="dxa"/>
          </w:tcPr>
          <w:p w14:paraId="4CA75DAD" w14:textId="77777777" w:rsidR="00075001" w:rsidRDefault="00075001" w:rsidP="00075001">
            <w:pPr>
              <w:pStyle w:val="TableParagraph"/>
              <w:rPr>
                <w:sz w:val="20"/>
              </w:rPr>
            </w:pPr>
            <w:r>
              <w:rPr>
                <w:sz w:val="20"/>
              </w:rPr>
              <w:t>0 (0.0%)</w:t>
            </w:r>
          </w:p>
        </w:tc>
        <w:tc>
          <w:tcPr>
            <w:tcW w:w="1276" w:type="dxa"/>
          </w:tcPr>
          <w:p w14:paraId="4BC19BC0" w14:textId="77777777" w:rsidR="00075001" w:rsidRDefault="00075001" w:rsidP="00075001">
            <w:pPr>
              <w:pStyle w:val="TableParagraph"/>
              <w:rPr>
                <w:sz w:val="20"/>
              </w:rPr>
            </w:pPr>
            <w:r>
              <w:rPr>
                <w:sz w:val="20"/>
              </w:rPr>
              <w:t>4 (2.1%)</w:t>
            </w:r>
          </w:p>
        </w:tc>
        <w:tc>
          <w:tcPr>
            <w:tcW w:w="1134" w:type="dxa"/>
          </w:tcPr>
          <w:p w14:paraId="5D80EFC9" w14:textId="77777777" w:rsidR="00075001" w:rsidRDefault="00075001" w:rsidP="00075001">
            <w:pPr>
              <w:pStyle w:val="TableParagraph"/>
              <w:rPr>
                <w:sz w:val="20"/>
              </w:rPr>
            </w:pPr>
            <w:r>
              <w:rPr>
                <w:sz w:val="20"/>
              </w:rPr>
              <w:t>1 (0.5%)</w:t>
            </w:r>
          </w:p>
        </w:tc>
        <w:tc>
          <w:tcPr>
            <w:tcW w:w="2268" w:type="dxa"/>
          </w:tcPr>
          <w:p w14:paraId="367BE676" w14:textId="77777777" w:rsidR="00075001" w:rsidRDefault="00075001" w:rsidP="00075001">
            <w:pPr>
              <w:pStyle w:val="TableParagraph"/>
              <w:rPr>
                <w:sz w:val="20"/>
              </w:rPr>
            </w:pPr>
            <w:r>
              <w:rPr>
                <w:sz w:val="20"/>
              </w:rPr>
              <w:t>13 (2.9%)</w:t>
            </w:r>
          </w:p>
        </w:tc>
        <w:tc>
          <w:tcPr>
            <w:tcW w:w="1276" w:type="dxa"/>
          </w:tcPr>
          <w:p w14:paraId="4A44FAAF" w14:textId="77777777" w:rsidR="00075001" w:rsidRDefault="00075001" w:rsidP="00075001">
            <w:pPr>
              <w:pStyle w:val="TableParagraph"/>
              <w:rPr>
                <w:sz w:val="20"/>
              </w:rPr>
            </w:pPr>
            <w:r>
              <w:rPr>
                <w:sz w:val="20"/>
              </w:rPr>
              <w:t>54 (7.5%)</w:t>
            </w:r>
          </w:p>
        </w:tc>
        <w:tc>
          <w:tcPr>
            <w:tcW w:w="1275" w:type="dxa"/>
          </w:tcPr>
          <w:p w14:paraId="5351DFCB" w14:textId="77777777" w:rsidR="00075001" w:rsidRDefault="00075001" w:rsidP="00075001">
            <w:pPr>
              <w:pStyle w:val="TableParagraph"/>
              <w:rPr>
                <w:sz w:val="20"/>
              </w:rPr>
            </w:pPr>
            <w:r>
              <w:rPr>
                <w:sz w:val="20"/>
              </w:rPr>
              <w:t>36 (5.8%)</w:t>
            </w:r>
          </w:p>
        </w:tc>
        <w:tc>
          <w:tcPr>
            <w:tcW w:w="1293" w:type="dxa"/>
          </w:tcPr>
          <w:p w14:paraId="07034EE2" w14:textId="77777777" w:rsidR="00075001" w:rsidRDefault="00075001" w:rsidP="00075001">
            <w:pPr>
              <w:pStyle w:val="TableParagraph"/>
              <w:rPr>
                <w:sz w:val="20"/>
              </w:rPr>
            </w:pPr>
            <w:r>
              <w:rPr>
                <w:sz w:val="20"/>
              </w:rPr>
              <w:t>17 (3.4%)</w:t>
            </w:r>
          </w:p>
        </w:tc>
        <w:tc>
          <w:tcPr>
            <w:tcW w:w="1259" w:type="dxa"/>
          </w:tcPr>
          <w:p w14:paraId="24F5E94D" w14:textId="77777777" w:rsidR="00075001" w:rsidRDefault="00075001" w:rsidP="00075001">
            <w:pPr>
              <w:pStyle w:val="TableParagraph"/>
              <w:rPr>
                <w:sz w:val="20"/>
              </w:rPr>
            </w:pPr>
            <w:r>
              <w:rPr>
                <w:sz w:val="20"/>
              </w:rPr>
              <w:t>20 (3.9%)</w:t>
            </w:r>
          </w:p>
        </w:tc>
      </w:tr>
      <w:tr w:rsidR="00075001" w14:paraId="60BCB7CF" w14:textId="77777777" w:rsidTr="00075001">
        <w:trPr>
          <w:trHeight w:hRule="exact" w:val="498"/>
        </w:trPr>
        <w:tc>
          <w:tcPr>
            <w:tcW w:w="2263" w:type="dxa"/>
          </w:tcPr>
          <w:p w14:paraId="7A9F278F" w14:textId="77777777" w:rsidR="00075001" w:rsidRDefault="00075001" w:rsidP="00075001">
            <w:pPr>
              <w:pStyle w:val="TableParagraph"/>
              <w:ind w:right="643"/>
              <w:rPr>
                <w:sz w:val="20"/>
              </w:rPr>
            </w:pPr>
            <w:r>
              <w:rPr>
                <w:sz w:val="20"/>
              </w:rPr>
              <w:t>Educational level - Frequency (%)</w:t>
            </w:r>
          </w:p>
        </w:tc>
        <w:tc>
          <w:tcPr>
            <w:tcW w:w="1276" w:type="dxa"/>
          </w:tcPr>
          <w:p w14:paraId="46BD9628" w14:textId="77777777" w:rsidR="00075001" w:rsidRDefault="00075001" w:rsidP="00075001"/>
        </w:tc>
        <w:tc>
          <w:tcPr>
            <w:tcW w:w="1134" w:type="dxa"/>
          </w:tcPr>
          <w:p w14:paraId="72364416" w14:textId="77777777" w:rsidR="00075001" w:rsidRDefault="00075001" w:rsidP="00075001"/>
        </w:tc>
        <w:tc>
          <w:tcPr>
            <w:tcW w:w="1276" w:type="dxa"/>
          </w:tcPr>
          <w:p w14:paraId="26DEEBBE" w14:textId="77777777" w:rsidR="00075001" w:rsidRDefault="00075001" w:rsidP="00075001"/>
        </w:tc>
        <w:tc>
          <w:tcPr>
            <w:tcW w:w="1134" w:type="dxa"/>
          </w:tcPr>
          <w:p w14:paraId="5106934A" w14:textId="77777777" w:rsidR="00075001" w:rsidRDefault="00075001" w:rsidP="00075001"/>
        </w:tc>
        <w:tc>
          <w:tcPr>
            <w:tcW w:w="2268" w:type="dxa"/>
          </w:tcPr>
          <w:p w14:paraId="044D71BA" w14:textId="77777777" w:rsidR="00075001" w:rsidRDefault="00075001" w:rsidP="00075001"/>
        </w:tc>
        <w:tc>
          <w:tcPr>
            <w:tcW w:w="1276" w:type="dxa"/>
          </w:tcPr>
          <w:p w14:paraId="2A109901" w14:textId="77777777" w:rsidR="00075001" w:rsidRDefault="00075001" w:rsidP="00075001"/>
        </w:tc>
        <w:tc>
          <w:tcPr>
            <w:tcW w:w="1275" w:type="dxa"/>
          </w:tcPr>
          <w:p w14:paraId="59CA8A30" w14:textId="77777777" w:rsidR="00075001" w:rsidRDefault="00075001" w:rsidP="00075001"/>
        </w:tc>
        <w:tc>
          <w:tcPr>
            <w:tcW w:w="1293" w:type="dxa"/>
          </w:tcPr>
          <w:p w14:paraId="4A243093" w14:textId="77777777" w:rsidR="00075001" w:rsidRDefault="00075001" w:rsidP="00075001"/>
        </w:tc>
        <w:tc>
          <w:tcPr>
            <w:tcW w:w="1259" w:type="dxa"/>
          </w:tcPr>
          <w:p w14:paraId="696848C6" w14:textId="77777777" w:rsidR="00075001" w:rsidRDefault="00075001" w:rsidP="00075001"/>
        </w:tc>
      </w:tr>
      <w:tr w:rsidR="00075001" w14:paraId="63E88A97" w14:textId="77777777" w:rsidTr="00075001">
        <w:trPr>
          <w:trHeight w:hRule="exact" w:val="498"/>
        </w:trPr>
        <w:tc>
          <w:tcPr>
            <w:tcW w:w="2263" w:type="dxa"/>
          </w:tcPr>
          <w:p w14:paraId="42E45EE9" w14:textId="77777777" w:rsidR="00075001" w:rsidRDefault="00075001" w:rsidP="00075001">
            <w:pPr>
              <w:pStyle w:val="TableParagraph"/>
              <w:tabs>
                <w:tab w:val="left" w:pos="822"/>
              </w:tabs>
              <w:ind w:left="462"/>
              <w:rPr>
                <w:sz w:val="20"/>
              </w:rPr>
            </w:pPr>
            <w:r>
              <w:rPr>
                <w:sz w:val="20"/>
              </w:rPr>
              <w:t>-</w:t>
            </w:r>
            <w:r>
              <w:rPr>
                <w:sz w:val="20"/>
              </w:rPr>
              <w:tab/>
              <w:t>Low</w:t>
            </w:r>
          </w:p>
        </w:tc>
        <w:tc>
          <w:tcPr>
            <w:tcW w:w="1276" w:type="dxa"/>
          </w:tcPr>
          <w:p w14:paraId="4E19DAE6" w14:textId="77777777" w:rsidR="00075001" w:rsidRDefault="00075001" w:rsidP="00075001">
            <w:pPr>
              <w:pStyle w:val="TableParagraph"/>
              <w:rPr>
                <w:sz w:val="20"/>
              </w:rPr>
            </w:pPr>
            <w:r>
              <w:rPr>
                <w:sz w:val="20"/>
              </w:rPr>
              <w:t>104 (54.7%)</w:t>
            </w:r>
          </w:p>
        </w:tc>
        <w:tc>
          <w:tcPr>
            <w:tcW w:w="1134" w:type="dxa"/>
          </w:tcPr>
          <w:p w14:paraId="50EF839E" w14:textId="77777777" w:rsidR="00075001" w:rsidRDefault="00075001" w:rsidP="00075001">
            <w:pPr>
              <w:pStyle w:val="TableParagraph"/>
              <w:rPr>
                <w:sz w:val="20"/>
              </w:rPr>
            </w:pPr>
            <w:r>
              <w:rPr>
                <w:sz w:val="20"/>
              </w:rPr>
              <w:t>127</w:t>
            </w:r>
          </w:p>
          <w:p w14:paraId="0F992AFB" w14:textId="77777777" w:rsidR="00075001" w:rsidRDefault="00075001" w:rsidP="00075001">
            <w:pPr>
              <w:pStyle w:val="TableParagraph"/>
              <w:rPr>
                <w:sz w:val="20"/>
              </w:rPr>
            </w:pPr>
            <w:r>
              <w:rPr>
                <w:sz w:val="20"/>
              </w:rPr>
              <w:t>(66.5%)</w:t>
            </w:r>
          </w:p>
        </w:tc>
        <w:tc>
          <w:tcPr>
            <w:tcW w:w="1276" w:type="dxa"/>
          </w:tcPr>
          <w:p w14:paraId="021285DA" w14:textId="77777777" w:rsidR="00075001" w:rsidRDefault="00075001" w:rsidP="00075001">
            <w:pPr>
              <w:pStyle w:val="TableParagraph"/>
              <w:rPr>
                <w:sz w:val="20"/>
              </w:rPr>
            </w:pPr>
            <w:r>
              <w:rPr>
                <w:sz w:val="20"/>
              </w:rPr>
              <w:t>38 (19.9%)</w:t>
            </w:r>
          </w:p>
        </w:tc>
        <w:tc>
          <w:tcPr>
            <w:tcW w:w="1134" w:type="dxa"/>
          </w:tcPr>
          <w:p w14:paraId="1BA5A52F" w14:textId="77777777" w:rsidR="00075001" w:rsidRDefault="00075001" w:rsidP="00075001">
            <w:pPr>
              <w:pStyle w:val="TableParagraph"/>
              <w:rPr>
                <w:sz w:val="20"/>
              </w:rPr>
            </w:pPr>
            <w:r>
              <w:rPr>
                <w:sz w:val="20"/>
              </w:rPr>
              <w:t>47 (24.1%)</w:t>
            </w:r>
          </w:p>
        </w:tc>
        <w:tc>
          <w:tcPr>
            <w:tcW w:w="2268" w:type="dxa"/>
          </w:tcPr>
          <w:p w14:paraId="3CBEBD44" w14:textId="77777777" w:rsidR="00075001" w:rsidRDefault="00075001" w:rsidP="00075001">
            <w:pPr>
              <w:pStyle w:val="TableParagraph"/>
              <w:rPr>
                <w:sz w:val="20"/>
              </w:rPr>
            </w:pPr>
            <w:r>
              <w:rPr>
                <w:sz w:val="20"/>
              </w:rPr>
              <w:t>308 (68.8%)</w:t>
            </w:r>
          </w:p>
        </w:tc>
        <w:tc>
          <w:tcPr>
            <w:tcW w:w="1276" w:type="dxa"/>
          </w:tcPr>
          <w:p w14:paraId="7C6FA53A" w14:textId="77777777" w:rsidR="00075001" w:rsidRDefault="00075001" w:rsidP="00075001">
            <w:pPr>
              <w:pStyle w:val="TableParagraph"/>
              <w:rPr>
                <w:sz w:val="20"/>
              </w:rPr>
            </w:pPr>
            <w:r>
              <w:rPr>
                <w:sz w:val="20"/>
              </w:rPr>
              <w:t>364 (50.4)</w:t>
            </w:r>
          </w:p>
        </w:tc>
        <w:tc>
          <w:tcPr>
            <w:tcW w:w="1275" w:type="dxa"/>
          </w:tcPr>
          <w:p w14:paraId="6222A5DE" w14:textId="77777777" w:rsidR="00075001" w:rsidRDefault="00075001" w:rsidP="00075001">
            <w:pPr>
              <w:pStyle w:val="TableParagraph"/>
              <w:rPr>
                <w:sz w:val="20"/>
              </w:rPr>
            </w:pPr>
            <w:r>
              <w:rPr>
                <w:sz w:val="20"/>
              </w:rPr>
              <w:t>323 (51.6%)</w:t>
            </w:r>
          </w:p>
        </w:tc>
        <w:tc>
          <w:tcPr>
            <w:tcW w:w="1293" w:type="dxa"/>
          </w:tcPr>
          <w:p w14:paraId="664222F8" w14:textId="77777777" w:rsidR="00075001" w:rsidRDefault="00075001" w:rsidP="00075001">
            <w:pPr>
              <w:pStyle w:val="TableParagraph"/>
              <w:rPr>
                <w:sz w:val="20"/>
              </w:rPr>
            </w:pPr>
            <w:r>
              <w:rPr>
                <w:sz w:val="20"/>
              </w:rPr>
              <w:t>95 (18.8%)</w:t>
            </w:r>
          </w:p>
        </w:tc>
        <w:tc>
          <w:tcPr>
            <w:tcW w:w="1259" w:type="dxa"/>
          </w:tcPr>
          <w:p w14:paraId="12445E76" w14:textId="77777777" w:rsidR="00075001" w:rsidRDefault="00075001" w:rsidP="00075001">
            <w:pPr>
              <w:pStyle w:val="TableParagraph"/>
              <w:rPr>
                <w:sz w:val="20"/>
              </w:rPr>
            </w:pPr>
            <w:r>
              <w:rPr>
                <w:sz w:val="20"/>
              </w:rPr>
              <w:t>84 (16.3%)</w:t>
            </w:r>
          </w:p>
        </w:tc>
      </w:tr>
      <w:tr w:rsidR="00075001" w14:paraId="4999C05E" w14:textId="77777777" w:rsidTr="00075001">
        <w:trPr>
          <w:trHeight w:hRule="exact" w:val="265"/>
        </w:trPr>
        <w:tc>
          <w:tcPr>
            <w:tcW w:w="2263" w:type="dxa"/>
          </w:tcPr>
          <w:p w14:paraId="6B19A5C2" w14:textId="77777777" w:rsidR="00075001" w:rsidRDefault="00075001" w:rsidP="00075001">
            <w:pPr>
              <w:pStyle w:val="TableParagraph"/>
              <w:tabs>
                <w:tab w:val="left" w:pos="359"/>
              </w:tabs>
              <w:ind w:left="0" w:right="741"/>
              <w:jc w:val="right"/>
              <w:rPr>
                <w:sz w:val="20"/>
              </w:rPr>
            </w:pPr>
            <w:r>
              <w:rPr>
                <w:sz w:val="20"/>
              </w:rPr>
              <w:t>-</w:t>
            </w:r>
            <w:r>
              <w:rPr>
                <w:sz w:val="20"/>
              </w:rPr>
              <w:tab/>
              <w:t>Medium</w:t>
            </w:r>
          </w:p>
        </w:tc>
        <w:tc>
          <w:tcPr>
            <w:tcW w:w="1276" w:type="dxa"/>
          </w:tcPr>
          <w:p w14:paraId="51F8FAB0" w14:textId="77777777" w:rsidR="00075001" w:rsidRDefault="00075001" w:rsidP="00075001">
            <w:pPr>
              <w:pStyle w:val="TableParagraph"/>
              <w:rPr>
                <w:sz w:val="20"/>
              </w:rPr>
            </w:pPr>
            <w:r>
              <w:rPr>
                <w:sz w:val="20"/>
              </w:rPr>
              <w:t>66 (34.7%)</w:t>
            </w:r>
          </w:p>
        </w:tc>
        <w:tc>
          <w:tcPr>
            <w:tcW w:w="1134" w:type="dxa"/>
          </w:tcPr>
          <w:p w14:paraId="57B60B7A" w14:textId="77777777" w:rsidR="00075001" w:rsidRDefault="00075001" w:rsidP="00075001">
            <w:pPr>
              <w:pStyle w:val="TableParagraph"/>
              <w:rPr>
                <w:sz w:val="20"/>
              </w:rPr>
            </w:pPr>
            <w:r>
              <w:rPr>
                <w:sz w:val="20"/>
              </w:rPr>
              <w:t>51 (26.7%)</w:t>
            </w:r>
          </w:p>
        </w:tc>
        <w:tc>
          <w:tcPr>
            <w:tcW w:w="1276" w:type="dxa"/>
          </w:tcPr>
          <w:p w14:paraId="7DE3237B" w14:textId="77777777" w:rsidR="00075001" w:rsidRDefault="00075001" w:rsidP="00075001">
            <w:pPr>
              <w:pStyle w:val="TableParagraph"/>
              <w:rPr>
                <w:sz w:val="20"/>
              </w:rPr>
            </w:pPr>
            <w:r>
              <w:rPr>
                <w:sz w:val="20"/>
              </w:rPr>
              <w:t>89 (46.6%)</w:t>
            </w:r>
          </w:p>
        </w:tc>
        <w:tc>
          <w:tcPr>
            <w:tcW w:w="1134" w:type="dxa"/>
          </w:tcPr>
          <w:p w14:paraId="0DD50F90" w14:textId="77777777" w:rsidR="00075001" w:rsidRDefault="00075001" w:rsidP="00075001">
            <w:pPr>
              <w:pStyle w:val="TableParagraph"/>
              <w:rPr>
                <w:sz w:val="20"/>
              </w:rPr>
            </w:pPr>
            <w:r>
              <w:rPr>
                <w:sz w:val="20"/>
              </w:rPr>
              <w:t>88 (45.1%)</w:t>
            </w:r>
          </w:p>
        </w:tc>
        <w:tc>
          <w:tcPr>
            <w:tcW w:w="2268" w:type="dxa"/>
          </w:tcPr>
          <w:p w14:paraId="41C2ADC0" w14:textId="77777777" w:rsidR="00075001" w:rsidRDefault="00075001" w:rsidP="00075001">
            <w:pPr>
              <w:pStyle w:val="TableParagraph"/>
              <w:rPr>
                <w:sz w:val="20"/>
              </w:rPr>
            </w:pPr>
            <w:r>
              <w:rPr>
                <w:sz w:val="20"/>
              </w:rPr>
              <w:t>86 (19.2%)</w:t>
            </w:r>
          </w:p>
        </w:tc>
        <w:tc>
          <w:tcPr>
            <w:tcW w:w="1276" w:type="dxa"/>
          </w:tcPr>
          <w:p w14:paraId="64907F8E" w14:textId="77777777" w:rsidR="00075001" w:rsidRDefault="00075001" w:rsidP="00075001">
            <w:pPr>
              <w:pStyle w:val="TableParagraph"/>
              <w:rPr>
                <w:sz w:val="20"/>
              </w:rPr>
            </w:pPr>
            <w:r>
              <w:rPr>
                <w:sz w:val="20"/>
              </w:rPr>
              <w:t>297 (41.1)</w:t>
            </w:r>
          </w:p>
        </w:tc>
        <w:tc>
          <w:tcPr>
            <w:tcW w:w="1275" w:type="dxa"/>
          </w:tcPr>
          <w:p w14:paraId="167A5E81" w14:textId="77777777" w:rsidR="00075001" w:rsidRDefault="00075001" w:rsidP="00075001">
            <w:pPr>
              <w:pStyle w:val="TableParagraph"/>
              <w:rPr>
                <w:sz w:val="20"/>
              </w:rPr>
            </w:pPr>
            <w:r>
              <w:rPr>
                <w:sz w:val="20"/>
              </w:rPr>
              <w:t>245 (39.1%)</w:t>
            </w:r>
          </w:p>
        </w:tc>
        <w:tc>
          <w:tcPr>
            <w:tcW w:w="1293" w:type="dxa"/>
          </w:tcPr>
          <w:p w14:paraId="6F882E43" w14:textId="77777777" w:rsidR="00075001" w:rsidRDefault="00075001" w:rsidP="00075001">
            <w:pPr>
              <w:pStyle w:val="TableParagraph"/>
              <w:rPr>
                <w:sz w:val="20"/>
              </w:rPr>
            </w:pPr>
            <w:r>
              <w:rPr>
                <w:sz w:val="20"/>
              </w:rPr>
              <w:t>364 (72.1%)</w:t>
            </w:r>
          </w:p>
        </w:tc>
        <w:tc>
          <w:tcPr>
            <w:tcW w:w="1259" w:type="dxa"/>
          </w:tcPr>
          <w:p w14:paraId="5663B168" w14:textId="77777777" w:rsidR="00075001" w:rsidRDefault="00075001" w:rsidP="00075001">
            <w:pPr>
              <w:pStyle w:val="TableParagraph"/>
              <w:rPr>
                <w:sz w:val="20"/>
              </w:rPr>
            </w:pPr>
            <w:r>
              <w:rPr>
                <w:sz w:val="20"/>
              </w:rPr>
              <w:t>389 (75.7%)</w:t>
            </w:r>
          </w:p>
        </w:tc>
      </w:tr>
      <w:tr w:rsidR="00075001" w14:paraId="24F16F59" w14:textId="77777777" w:rsidTr="00075001">
        <w:trPr>
          <w:trHeight w:hRule="exact" w:val="265"/>
        </w:trPr>
        <w:tc>
          <w:tcPr>
            <w:tcW w:w="2263" w:type="dxa"/>
          </w:tcPr>
          <w:p w14:paraId="2A75AAF8" w14:textId="77777777" w:rsidR="00075001" w:rsidRDefault="00075001" w:rsidP="00075001">
            <w:pPr>
              <w:pStyle w:val="TableParagraph"/>
              <w:tabs>
                <w:tab w:val="left" w:pos="822"/>
              </w:tabs>
              <w:ind w:left="462"/>
              <w:rPr>
                <w:sz w:val="20"/>
              </w:rPr>
            </w:pPr>
            <w:r>
              <w:rPr>
                <w:sz w:val="20"/>
              </w:rPr>
              <w:t>-</w:t>
            </w:r>
            <w:r>
              <w:rPr>
                <w:sz w:val="20"/>
              </w:rPr>
              <w:tab/>
              <w:t>High</w:t>
            </w:r>
          </w:p>
        </w:tc>
        <w:tc>
          <w:tcPr>
            <w:tcW w:w="1276" w:type="dxa"/>
          </w:tcPr>
          <w:p w14:paraId="7F2CB73E" w14:textId="77777777" w:rsidR="00075001" w:rsidRDefault="00075001" w:rsidP="00075001">
            <w:pPr>
              <w:pStyle w:val="TableParagraph"/>
              <w:rPr>
                <w:sz w:val="20"/>
              </w:rPr>
            </w:pPr>
            <w:r>
              <w:rPr>
                <w:sz w:val="20"/>
              </w:rPr>
              <w:t>20 (10.5%)</w:t>
            </w:r>
          </w:p>
        </w:tc>
        <w:tc>
          <w:tcPr>
            <w:tcW w:w="1134" w:type="dxa"/>
          </w:tcPr>
          <w:p w14:paraId="717ECCD7" w14:textId="77777777" w:rsidR="00075001" w:rsidRDefault="00075001" w:rsidP="00075001">
            <w:pPr>
              <w:pStyle w:val="TableParagraph"/>
              <w:rPr>
                <w:sz w:val="20"/>
              </w:rPr>
            </w:pPr>
            <w:r>
              <w:rPr>
                <w:sz w:val="20"/>
              </w:rPr>
              <w:t>13 (6.8%)</w:t>
            </w:r>
          </w:p>
        </w:tc>
        <w:tc>
          <w:tcPr>
            <w:tcW w:w="1276" w:type="dxa"/>
          </w:tcPr>
          <w:p w14:paraId="2885561C" w14:textId="77777777" w:rsidR="00075001" w:rsidRDefault="00075001" w:rsidP="00075001">
            <w:pPr>
              <w:pStyle w:val="TableParagraph"/>
              <w:rPr>
                <w:sz w:val="20"/>
              </w:rPr>
            </w:pPr>
            <w:r>
              <w:rPr>
                <w:sz w:val="20"/>
              </w:rPr>
              <w:t>64 (33.5%)</w:t>
            </w:r>
          </w:p>
        </w:tc>
        <w:tc>
          <w:tcPr>
            <w:tcW w:w="1134" w:type="dxa"/>
          </w:tcPr>
          <w:p w14:paraId="1E452958" w14:textId="77777777" w:rsidR="00075001" w:rsidRDefault="00075001" w:rsidP="00075001">
            <w:pPr>
              <w:pStyle w:val="TableParagraph"/>
              <w:rPr>
                <w:sz w:val="20"/>
              </w:rPr>
            </w:pPr>
            <w:r>
              <w:rPr>
                <w:sz w:val="20"/>
              </w:rPr>
              <w:t>60 (30.8%)</w:t>
            </w:r>
          </w:p>
        </w:tc>
        <w:tc>
          <w:tcPr>
            <w:tcW w:w="2268" w:type="dxa"/>
          </w:tcPr>
          <w:p w14:paraId="5E4FDF25" w14:textId="77777777" w:rsidR="00075001" w:rsidRDefault="00075001" w:rsidP="00075001">
            <w:pPr>
              <w:pStyle w:val="TableParagraph"/>
              <w:rPr>
                <w:sz w:val="20"/>
              </w:rPr>
            </w:pPr>
            <w:r>
              <w:rPr>
                <w:sz w:val="20"/>
              </w:rPr>
              <w:t>54 (12.1%)</w:t>
            </w:r>
          </w:p>
        </w:tc>
        <w:tc>
          <w:tcPr>
            <w:tcW w:w="1276" w:type="dxa"/>
          </w:tcPr>
          <w:p w14:paraId="393087E7" w14:textId="77777777" w:rsidR="00075001" w:rsidRDefault="00075001" w:rsidP="00075001">
            <w:pPr>
              <w:pStyle w:val="TableParagraph"/>
              <w:rPr>
                <w:sz w:val="20"/>
              </w:rPr>
            </w:pPr>
            <w:r>
              <w:rPr>
                <w:sz w:val="20"/>
              </w:rPr>
              <w:t>61 (8.4)</w:t>
            </w:r>
          </w:p>
        </w:tc>
        <w:tc>
          <w:tcPr>
            <w:tcW w:w="1275" w:type="dxa"/>
          </w:tcPr>
          <w:p w14:paraId="15DA6D41" w14:textId="77777777" w:rsidR="00075001" w:rsidRDefault="00075001" w:rsidP="00075001">
            <w:pPr>
              <w:pStyle w:val="TableParagraph"/>
              <w:rPr>
                <w:sz w:val="20"/>
              </w:rPr>
            </w:pPr>
            <w:r>
              <w:rPr>
                <w:sz w:val="20"/>
              </w:rPr>
              <w:t>58 (9.3%)</w:t>
            </w:r>
          </w:p>
        </w:tc>
        <w:tc>
          <w:tcPr>
            <w:tcW w:w="1293" w:type="dxa"/>
          </w:tcPr>
          <w:p w14:paraId="779E2343" w14:textId="77777777" w:rsidR="00075001" w:rsidRDefault="00075001" w:rsidP="00075001">
            <w:pPr>
              <w:pStyle w:val="TableParagraph"/>
              <w:rPr>
                <w:sz w:val="20"/>
              </w:rPr>
            </w:pPr>
            <w:r>
              <w:rPr>
                <w:sz w:val="20"/>
              </w:rPr>
              <w:t>46 (9.1%)</w:t>
            </w:r>
          </w:p>
        </w:tc>
        <w:tc>
          <w:tcPr>
            <w:tcW w:w="1259" w:type="dxa"/>
          </w:tcPr>
          <w:p w14:paraId="08BBBA94" w14:textId="77777777" w:rsidR="00075001" w:rsidRDefault="00075001" w:rsidP="00075001">
            <w:pPr>
              <w:pStyle w:val="TableParagraph"/>
              <w:rPr>
                <w:sz w:val="20"/>
              </w:rPr>
            </w:pPr>
            <w:r>
              <w:rPr>
                <w:sz w:val="20"/>
              </w:rPr>
              <w:t>41 (8.0%)</w:t>
            </w:r>
          </w:p>
        </w:tc>
      </w:tr>
    </w:tbl>
    <w:p w14:paraId="5D4969EB" w14:textId="77777777" w:rsidR="00075001" w:rsidRDefault="00075001" w:rsidP="00075001">
      <w:pPr>
        <w:pStyle w:val="BodyText"/>
        <w:rPr>
          <w:b/>
          <w:sz w:val="19"/>
        </w:rPr>
      </w:pPr>
    </w:p>
    <w:p w14:paraId="64714C3D" w14:textId="77777777" w:rsidR="00075001" w:rsidRPr="00BE21F9" w:rsidRDefault="00075001" w:rsidP="00075001">
      <w:pPr>
        <w:spacing w:before="1"/>
        <w:ind w:left="116"/>
        <w:rPr>
          <w:rFonts w:asciiTheme="minorHAnsi" w:hAnsiTheme="minorHAnsi" w:cstheme="minorHAnsi"/>
          <w:b/>
          <w:sz w:val="20"/>
        </w:rPr>
      </w:pPr>
      <w:proofErr w:type="spellStart"/>
      <w:r w:rsidRPr="00BE21F9">
        <w:rPr>
          <w:rFonts w:asciiTheme="minorHAnsi" w:hAnsiTheme="minorHAnsi" w:cstheme="minorHAnsi"/>
          <w:b/>
          <w:sz w:val="20"/>
        </w:rPr>
        <w:t>Candidate</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prognostic</w:t>
      </w:r>
      <w:proofErr w:type="spellEnd"/>
      <w:r w:rsidRPr="00BE21F9">
        <w:rPr>
          <w:rFonts w:asciiTheme="minorHAnsi" w:hAnsiTheme="minorHAnsi" w:cstheme="minorHAnsi"/>
          <w:b/>
          <w:sz w:val="20"/>
        </w:rPr>
        <w:t xml:space="preserve"> variables – </w:t>
      </w:r>
      <w:proofErr w:type="spellStart"/>
      <w:r w:rsidRPr="00BE21F9">
        <w:rPr>
          <w:rFonts w:asciiTheme="minorHAnsi" w:hAnsiTheme="minorHAnsi" w:cstheme="minorHAnsi"/>
          <w:b/>
          <w:sz w:val="20"/>
        </w:rPr>
        <w:t>Morbidity-related</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baseline</w:t>
      </w:r>
      <w:proofErr w:type="spellEnd"/>
      <w:r w:rsidRPr="00BE21F9">
        <w:rPr>
          <w:rFonts w:asciiTheme="minorHAnsi" w:hAnsiTheme="minorHAnsi" w:cstheme="minorHAnsi"/>
          <w:b/>
          <w:sz w:val="20"/>
        </w:rPr>
        <w:t>)</w:t>
      </w:r>
    </w:p>
    <w:p w14:paraId="6986A144" w14:textId="77777777" w:rsidR="00075001" w:rsidRDefault="00075001" w:rsidP="00075001">
      <w:pPr>
        <w:pStyle w:val="BodyText"/>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1219"/>
        <w:gridCol w:w="1217"/>
        <w:gridCol w:w="1238"/>
        <w:gridCol w:w="1214"/>
        <w:gridCol w:w="2205"/>
        <w:gridCol w:w="1276"/>
        <w:gridCol w:w="1275"/>
        <w:gridCol w:w="1335"/>
        <w:gridCol w:w="1217"/>
      </w:tblGrid>
      <w:tr w:rsidR="00075001" w14:paraId="09B303B0" w14:textId="77777777" w:rsidTr="00075001">
        <w:trPr>
          <w:trHeight w:hRule="exact" w:val="498"/>
        </w:trPr>
        <w:tc>
          <w:tcPr>
            <w:tcW w:w="2258" w:type="dxa"/>
            <w:vMerge w:val="restart"/>
          </w:tcPr>
          <w:p w14:paraId="6CE59720" w14:textId="77777777" w:rsidR="00075001" w:rsidRDefault="00075001" w:rsidP="00075001">
            <w:pPr>
              <w:pStyle w:val="TableParagraph"/>
              <w:rPr>
                <w:b/>
                <w:sz w:val="20"/>
              </w:rPr>
            </w:pPr>
            <w:r>
              <w:rPr>
                <w:b/>
                <w:sz w:val="20"/>
              </w:rPr>
              <w:t>Variables</w:t>
            </w:r>
          </w:p>
        </w:tc>
        <w:tc>
          <w:tcPr>
            <w:tcW w:w="2436" w:type="dxa"/>
            <w:gridSpan w:val="2"/>
          </w:tcPr>
          <w:p w14:paraId="3EE39645" w14:textId="77777777" w:rsidR="00075001" w:rsidRDefault="00075001" w:rsidP="00075001">
            <w:pPr>
              <w:pStyle w:val="TableParagraph"/>
              <w:rPr>
                <w:b/>
                <w:sz w:val="20"/>
              </w:rPr>
            </w:pPr>
            <w:r>
              <w:rPr>
                <w:b/>
                <w:sz w:val="20"/>
              </w:rPr>
              <w:t>PRIMUM</w:t>
            </w:r>
          </w:p>
        </w:tc>
        <w:tc>
          <w:tcPr>
            <w:tcW w:w="2452" w:type="dxa"/>
            <w:gridSpan w:val="2"/>
          </w:tcPr>
          <w:p w14:paraId="3C08A16B" w14:textId="77777777" w:rsidR="00075001" w:rsidRDefault="00075001" w:rsidP="00075001">
            <w:pPr>
              <w:pStyle w:val="TableParagraph"/>
              <w:ind w:left="102"/>
              <w:rPr>
                <w:b/>
                <w:sz w:val="20"/>
              </w:rPr>
            </w:pPr>
            <w:r>
              <w:rPr>
                <w:b/>
                <w:sz w:val="20"/>
              </w:rPr>
              <w:t>Opti-Med</w:t>
            </w:r>
          </w:p>
        </w:tc>
        <w:tc>
          <w:tcPr>
            <w:tcW w:w="2205" w:type="dxa"/>
          </w:tcPr>
          <w:p w14:paraId="3225633C" w14:textId="77777777" w:rsidR="00075001" w:rsidRDefault="00075001" w:rsidP="00075001">
            <w:pPr>
              <w:pStyle w:val="TableParagraph"/>
              <w:rPr>
                <w:b/>
                <w:sz w:val="20"/>
              </w:rPr>
            </w:pPr>
            <w:r>
              <w:rPr>
                <w:b/>
                <w:sz w:val="20"/>
              </w:rPr>
              <w:t>PIL</w:t>
            </w:r>
          </w:p>
        </w:tc>
        <w:tc>
          <w:tcPr>
            <w:tcW w:w="2551" w:type="dxa"/>
            <w:gridSpan w:val="2"/>
          </w:tcPr>
          <w:p w14:paraId="5F5CB4B6" w14:textId="77777777" w:rsidR="00075001" w:rsidRDefault="00075001" w:rsidP="00075001">
            <w:pPr>
              <w:pStyle w:val="TableParagraph"/>
              <w:rPr>
                <w:b/>
                <w:sz w:val="20"/>
              </w:rPr>
            </w:pPr>
            <w:r>
              <w:rPr>
                <w:b/>
                <w:sz w:val="20"/>
              </w:rPr>
              <w:t>ISCOPE</w:t>
            </w:r>
          </w:p>
        </w:tc>
        <w:tc>
          <w:tcPr>
            <w:tcW w:w="2552" w:type="dxa"/>
            <w:gridSpan w:val="2"/>
          </w:tcPr>
          <w:p w14:paraId="028D81A3" w14:textId="77777777" w:rsidR="00075001" w:rsidRDefault="00075001" w:rsidP="00075001">
            <w:pPr>
              <w:pStyle w:val="TableParagraph"/>
              <w:rPr>
                <w:b/>
                <w:sz w:val="20"/>
              </w:rPr>
            </w:pPr>
            <w:r>
              <w:rPr>
                <w:b/>
                <w:sz w:val="20"/>
              </w:rPr>
              <w:t>RIME</w:t>
            </w:r>
          </w:p>
        </w:tc>
      </w:tr>
      <w:tr w:rsidR="00075001" w14:paraId="4281DC83" w14:textId="77777777" w:rsidTr="00075001">
        <w:trPr>
          <w:trHeight w:hRule="exact" w:val="498"/>
        </w:trPr>
        <w:tc>
          <w:tcPr>
            <w:tcW w:w="2258" w:type="dxa"/>
            <w:vMerge/>
          </w:tcPr>
          <w:p w14:paraId="33A136A1" w14:textId="77777777" w:rsidR="00075001" w:rsidRDefault="00075001" w:rsidP="00075001"/>
        </w:tc>
        <w:tc>
          <w:tcPr>
            <w:tcW w:w="1219" w:type="dxa"/>
          </w:tcPr>
          <w:p w14:paraId="4AB99818" w14:textId="77777777" w:rsidR="00075001" w:rsidRDefault="00075001" w:rsidP="00075001">
            <w:pPr>
              <w:pStyle w:val="TableParagraph"/>
              <w:rPr>
                <w:sz w:val="20"/>
              </w:rPr>
            </w:pPr>
            <w:r>
              <w:rPr>
                <w:sz w:val="20"/>
              </w:rPr>
              <w:t>CG</w:t>
            </w:r>
          </w:p>
          <w:p w14:paraId="4D0CA49A" w14:textId="77777777" w:rsidR="00075001" w:rsidRDefault="00075001" w:rsidP="00075001">
            <w:pPr>
              <w:pStyle w:val="TableParagraph"/>
              <w:rPr>
                <w:sz w:val="20"/>
              </w:rPr>
            </w:pPr>
            <w:r>
              <w:rPr>
                <w:sz w:val="20"/>
              </w:rPr>
              <w:t>n = 190</w:t>
            </w:r>
          </w:p>
        </w:tc>
        <w:tc>
          <w:tcPr>
            <w:tcW w:w="1217" w:type="dxa"/>
          </w:tcPr>
          <w:p w14:paraId="79137BDD" w14:textId="77777777" w:rsidR="00075001" w:rsidRDefault="00075001" w:rsidP="00075001">
            <w:pPr>
              <w:pStyle w:val="TableParagraph"/>
              <w:rPr>
                <w:sz w:val="20"/>
              </w:rPr>
            </w:pPr>
            <w:r>
              <w:rPr>
                <w:sz w:val="20"/>
              </w:rPr>
              <w:t>IG</w:t>
            </w:r>
          </w:p>
          <w:p w14:paraId="7B83B7E8" w14:textId="77777777" w:rsidR="00075001" w:rsidRDefault="00075001" w:rsidP="00075001">
            <w:pPr>
              <w:pStyle w:val="TableParagraph"/>
              <w:rPr>
                <w:sz w:val="20"/>
              </w:rPr>
            </w:pPr>
            <w:r>
              <w:rPr>
                <w:sz w:val="20"/>
              </w:rPr>
              <w:t>n = 191</w:t>
            </w:r>
          </w:p>
        </w:tc>
        <w:tc>
          <w:tcPr>
            <w:tcW w:w="1238" w:type="dxa"/>
          </w:tcPr>
          <w:p w14:paraId="07332B68" w14:textId="77777777" w:rsidR="00075001" w:rsidRDefault="00075001" w:rsidP="00075001">
            <w:pPr>
              <w:pStyle w:val="TableParagraph"/>
              <w:ind w:left="102"/>
              <w:rPr>
                <w:sz w:val="20"/>
              </w:rPr>
            </w:pPr>
            <w:r>
              <w:rPr>
                <w:sz w:val="20"/>
              </w:rPr>
              <w:t>CG</w:t>
            </w:r>
          </w:p>
          <w:p w14:paraId="5114EC74" w14:textId="77777777" w:rsidR="00075001" w:rsidRDefault="00075001" w:rsidP="00075001">
            <w:pPr>
              <w:pStyle w:val="TableParagraph"/>
              <w:ind w:left="102"/>
              <w:rPr>
                <w:sz w:val="20"/>
              </w:rPr>
            </w:pPr>
            <w:r>
              <w:rPr>
                <w:sz w:val="20"/>
              </w:rPr>
              <w:t>n = 191</w:t>
            </w:r>
          </w:p>
        </w:tc>
        <w:tc>
          <w:tcPr>
            <w:tcW w:w="1214" w:type="dxa"/>
          </w:tcPr>
          <w:p w14:paraId="2ABFF668" w14:textId="77777777" w:rsidR="00075001" w:rsidRDefault="00075001" w:rsidP="00075001">
            <w:pPr>
              <w:pStyle w:val="TableParagraph"/>
              <w:rPr>
                <w:sz w:val="20"/>
              </w:rPr>
            </w:pPr>
            <w:r>
              <w:rPr>
                <w:sz w:val="20"/>
              </w:rPr>
              <w:t>IG</w:t>
            </w:r>
          </w:p>
          <w:p w14:paraId="215CCC93" w14:textId="77777777" w:rsidR="00075001" w:rsidRDefault="00075001" w:rsidP="00075001">
            <w:pPr>
              <w:pStyle w:val="TableParagraph"/>
              <w:rPr>
                <w:sz w:val="20"/>
              </w:rPr>
            </w:pPr>
            <w:r>
              <w:rPr>
                <w:sz w:val="20"/>
              </w:rPr>
              <w:t>n = 195</w:t>
            </w:r>
          </w:p>
        </w:tc>
        <w:tc>
          <w:tcPr>
            <w:tcW w:w="2205" w:type="dxa"/>
          </w:tcPr>
          <w:p w14:paraId="0020E040" w14:textId="77777777" w:rsidR="00075001" w:rsidRDefault="00075001" w:rsidP="00075001">
            <w:pPr>
              <w:pStyle w:val="TableParagraph"/>
              <w:ind w:right="223"/>
              <w:rPr>
                <w:sz w:val="20"/>
              </w:rPr>
            </w:pPr>
            <w:r>
              <w:rPr>
                <w:sz w:val="20"/>
              </w:rPr>
              <w:t>Stepped-wedge design n = 448</w:t>
            </w:r>
          </w:p>
        </w:tc>
        <w:tc>
          <w:tcPr>
            <w:tcW w:w="1276" w:type="dxa"/>
          </w:tcPr>
          <w:p w14:paraId="08479740" w14:textId="77777777" w:rsidR="00075001" w:rsidRDefault="00075001" w:rsidP="00075001">
            <w:pPr>
              <w:pStyle w:val="TableParagraph"/>
              <w:rPr>
                <w:sz w:val="20"/>
              </w:rPr>
            </w:pPr>
            <w:r>
              <w:rPr>
                <w:sz w:val="20"/>
              </w:rPr>
              <w:t>No</w:t>
            </w:r>
          </w:p>
          <w:p w14:paraId="3D8214DE" w14:textId="77777777" w:rsidR="00075001" w:rsidRDefault="00075001" w:rsidP="00075001">
            <w:pPr>
              <w:pStyle w:val="TableParagraph"/>
              <w:rPr>
                <w:sz w:val="20"/>
              </w:rPr>
            </w:pPr>
            <w:r>
              <w:rPr>
                <w:sz w:val="20"/>
              </w:rPr>
              <w:t>n = 722</w:t>
            </w:r>
          </w:p>
        </w:tc>
        <w:tc>
          <w:tcPr>
            <w:tcW w:w="1275" w:type="dxa"/>
          </w:tcPr>
          <w:p w14:paraId="42676DB8" w14:textId="77777777" w:rsidR="00075001" w:rsidRDefault="00075001" w:rsidP="00075001">
            <w:pPr>
              <w:pStyle w:val="TableParagraph"/>
              <w:rPr>
                <w:sz w:val="20"/>
              </w:rPr>
            </w:pPr>
            <w:r>
              <w:rPr>
                <w:sz w:val="20"/>
              </w:rPr>
              <w:t>Yes</w:t>
            </w:r>
          </w:p>
          <w:p w14:paraId="14E8F7AD" w14:textId="77777777" w:rsidR="00075001" w:rsidRDefault="00075001" w:rsidP="00075001">
            <w:pPr>
              <w:pStyle w:val="TableParagraph"/>
              <w:rPr>
                <w:sz w:val="20"/>
              </w:rPr>
            </w:pPr>
            <w:r>
              <w:rPr>
                <w:sz w:val="20"/>
              </w:rPr>
              <w:t>n = 626</w:t>
            </w:r>
          </w:p>
        </w:tc>
        <w:tc>
          <w:tcPr>
            <w:tcW w:w="1335" w:type="dxa"/>
          </w:tcPr>
          <w:p w14:paraId="4872546E" w14:textId="77777777" w:rsidR="00075001" w:rsidRDefault="00075001" w:rsidP="00075001">
            <w:pPr>
              <w:pStyle w:val="TableParagraph"/>
              <w:rPr>
                <w:sz w:val="20"/>
              </w:rPr>
            </w:pPr>
            <w:r>
              <w:rPr>
                <w:sz w:val="20"/>
              </w:rPr>
              <w:t>No</w:t>
            </w:r>
          </w:p>
          <w:p w14:paraId="651DDCB8" w14:textId="77777777" w:rsidR="00075001" w:rsidRDefault="00075001" w:rsidP="00075001">
            <w:pPr>
              <w:pStyle w:val="TableParagraph"/>
              <w:rPr>
                <w:sz w:val="20"/>
              </w:rPr>
            </w:pPr>
            <w:r>
              <w:rPr>
                <w:sz w:val="20"/>
              </w:rPr>
              <w:t>n = 505</w:t>
            </w:r>
          </w:p>
        </w:tc>
        <w:tc>
          <w:tcPr>
            <w:tcW w:w="1217" w:type="dxa"/>
          </w:tcPr>
          <w:p w14:paraId="45A97A1A" w14:textId="77777777" w:rsidR="00075001" w:rsidRDefault="00075001" w:rsidP="00075001">
            <w:pPr>
              <w:pStyle w:val="TableParagraph"/>
              <w:rPr>
                <w:sz w:val="20"/>
              </w:rPr>
            </w:pPr>
            <w:r>
              <w:rPr>
                <w:sz w:val="20"/>
              </w:rPr>
              <w:t>Yes</w:t>
            </w:r>
          </w:p>
          <w:p w14:paraId="11BE0992" w14:textId="77777777" w:rsidR="00075001" w:rsidRDefault="00075001" w:rsidP="00075001">
            <w:pPr>
              <w:pStyle w:val="TableParagraph"/>
              <w:rPr>
                <w:sz w:val="20"/>
              </w:rPr>
            </w:pPr>
            <w:r>
              <w:rPr>
                <w:sz w:val="20"/>
              </w:rPr>
              <w:t>n = 514</w:t>
            </w:r>
          </w:p>
        </w:tc>
      </w:tr>
      <w:tr w:rsidR="00075001" w14:paraId="028B27B5" w14:textId="77777777" w:rsidTr="00075001">
        <w:trPr>
          <w:trHeight w:hRule="exact" w:val="498"/>
        </w:trPr>
        <w:tc>
          <w:tcPr>
            <w:tcW w:w="2258" w:type="dxa"/>
          </w:tcPr>
          <w:p w14:paraId="0AF56975" w14:textId="77777777" w:rsidR="00075001" w:rsidRDefault="00075001" w:rsidP="00075001">
            <w:pPr>
              <w:pStyle w:val="TableParagraph"/>
              <w:ind w:right="643"/>
              <w:rPr>
                <w:sz w:val="20"/>
              </w:rPr>
            </w:pPr>
            <w:r>
              <w:rPr>
                <w:sz w:val="20"/>
              </w:rPr>
              <w:t>Single conditions - Frequency (%)</w:t>
            </w:r>
          </w:p>
        </w:tc>
        <w:tc>
          <w:tcPr>
            <w:tcW w:w="1219" w:type="dxa"/>
          </w:tcPr>
          <w:p w14:paraId="03DB5525" w14:textId="77777777" w:rsidR="00075001" w:rsidRDefault="00075001" w:rsidP="00075001"/>
        </w:tc>
        <w:tc>
          <w:tcPr>
            <w:tcW w:w="1217" w:type="dxa"/>
          </w:tcPr>
          <w:p w14:paraId="105E234B" w14:textId="77777777" w:rsidR="00075001" w:rsidRDefault="00075001" w:rsidP="00075001"/>
        </w:tc>
        <w:tc>
          <w:tcPr>
            <w:tcW w:w="1238" w:type="dxa"/>
          </w:tcPr>
          <w:p w14:paraId="067CA63A" w14:textId="77777777" w:rsidR="00075001" w:rsidRDefault="00075001" w:rsidP="00075001"/>
        </w:tc>
        <w:tc>
          <w:tcPr>
            <w:tcW w:w="1214" w:type="dxa"/>
          </w:tcPr>
          <w:p w14:paraId="7701B876" w14:textId="77777777" w:rsidR="00075001" w:rsidRDefault="00075001" w:rsidP="00075001"/>
        </w:tc>
        <w:tc>
          <w:tcPr>
            <w:tcW w:w="2205" w:type="dxa"/>
          </w:tcPr>
          <w:p w14:paraId="180E8C51" w14:textId="77777777" w:rsidR="00075001" w:rsidRDefault="00075001" w:rsidP="00075001"/>
        </w:tc>
        <w:tc>
          <w:tcPr>
            <w:tcW w:w="1276" w:type="dxa"/>
          </w:tcPr>
          <w:p w14:paraId="0129C63D" w14:textId="77777777" w:rsidR="00075001" w:rsidRDefault="00075001" w:rsidP="00075001"/>
        </w:tc>
        <w:tc>
          <w:tcPr>
            <w:tcW w:w="1275" w:type="dxa"/>
          </w:tcPr>
          <w:p w14:paraId="3AA6B839" w14:textId="77777777" w:rsidR="00075001" w:rsidRDefault="00075001" w:rsidP="00075001"/>
        </w:tc>
        <w:tc>
          <w:tcPr>
            <w:tcW w:w="1335" w:type="dxa"/>
          </w:tcPr>
          <w:p w14:paraId="28F6470A" w14:textId="77777777" w:rsidR="00075001" w:rsidRDefault="00075001" w:rsidP="00075001"/>
        </w:tc>
        <w:tc>
          <w:tcPr>
            <w:tcW w:w="1217" w:type="dxa"/>
          </w:tcPr>
          <w:p w14:paraId="0B1011E5" w14:textId="77777777" w:rsidR="00075001" w:rsidRDefault="00075001" w:rsidP="00075001"/>
        </w:tc>
      </w:tr>
      <w:tr w:rsidR="00075001" w14:paraId="225F16E1" w14:textId="77777777" w:rsidTr="00075001">
        <w:trPr>
          <w:trHeight w:hRule="exact" w:val="265"/>
        </w:trPr>
        <w:tc>
          <w:tcPr>
            <w:tcW w:w="2258" w:type="dxa"/>
          </w:tcPr>
          <w:p w14:paraId="2F7EEFFF" w14:textId="77777777" w:rsidR="00075001" w:rsidRDefault="00075001" w:rsidP="00075001">
            <w:pPr>
              <w:pStyle w:val="TableParagraph"/>
              <w:tabs>
                <w:tab w:val="left" w:pos="462"/>
              </w:tabs>
              <w:rPr>
                <w:sz w:val="20"/>
              </w:rPr>
            </w:pPr>
            <w:r>
              <w:rPr>
                <w:sz w:val="20"/>
              </w:rPr>
              <w:t>-</w:t>
            </w:r>
            <w:r>
              <w:rPr>
                <w:sz w:val="20"/>
              </w:rPr>
              <w:tab/>
              <w:t>Cancer</w:t>
            </w:r>
          </w:p>
        </w:tc>
        <w:tc>
          <w:tcPr>
            <w:tcW w:w="1219" w:type="dxa"/>
          </w:tcPr>
          <w:p w14:paraId="33C9C7AE" w14:textId="77777777" w:rsidR="00075001" w:rsidRDefault="00075001" w:rsidP="00075001">
            <w:pPr>
              <w:pStyle w:val="TableParagraph"/>
              <w:rPr>
                <w:sz w:val="20"/>
              </w:rPr>
            </w:pPr>
            <w:r>
              <w:rPr>
                <w:sz w:val="20"/>
              </w:rPr>
              <w:t>21 (11.1%)</w:t>
            </w:r>
          </w:p>
        </w:tc>
        <w:tc>
          <w:tcPr>
            <w:tcW w:w="1217" w:type="dxa"/>
          </w:tcPr>
          <w:p w14:paraId="5EFE37F9" w14:textId="77777777" w:rsidR="00075001" w:rsidRDefault="00075001" w:rsidP="00075001">
            <w:pPr>
              <w:pStyle w:val="TableParagraph"/>
              <w:rPr>
                <w:sz w:val="20"/>
              </w:rPr>
            </w:pPr>
            <w:r>
              <w:rPr>
                <w:sz w:val="20"/>
              </w:rPr>
              <w:t>12 (6.3%</w:t>
            </w:r>
          </w:p>
        </w:tc>
        <w:tc>
          <w:tcPr>
            <w:tcW w:w="1238" w:type="dxa"/>
          </w:tcPr>
          <w:p w14:paraId="59B63C86" w14:textId="77777777" w:rsidR="00075001" w:rsidRDefault="00075001" w:rsidP="00075001">
            <w:pPr>
              <w:pStyle w:val="TableParagraph"/>
              <w:ind w:left="102"/>
              <w:rPr>
                <w:sz w:val="20"/>
              </w:rPr>
            </w:pPr>
            <w:r>
              <w:rPr>
                <w:sz w:val="20"/>
              </w:rPr>
              <w:t>58 (30.4%)</w:t>
            </w:r>
          </w:p>
        </w:tc>
        <w:tc>
          <w:tcPr>
            <w:tcW w:w="1214" w:type="dxa"/>
          </w:tcPr>
          <w:p w14:paraId="3F3CBE31" w14:textId="77777777" w:rsidR="00075001" w:rsidRDefault="00075001" w:rsidP="00075001">
            <w:pPr>
              <w:pStyle w:val="TableParagraph"/>
              <w:rPr>
                <w:sz w:val="20"/>
              </w:rPr>
            </w:pPr>
            <w:r>
              <w:rPr>
                <w:sz w:val="20"/>
              </w:rPr>
              <w:t>49 (25.1%)</w:t>
            </w:r>
          </w:p>
        </w:tc>
        <w:tc>
          <w:tcPr>
            <w:tcW w:w="2205" w:type="dxa"/>
          </w:tcPr>
          <w:p w14:paraId="18592BA7" w14:textId="77777777" w:rsidR="00075001" w:rsidRDefault="00075001" w:rsidP="00075001">
            <w:pPr>
              <w:pStyle w:val="TableParagraph"/>
              <w:rPr>
                <w:sz w:val="20"/>
              </w:rPr>
            </w:pPr>
            <w:r>
              <w:rPr>
                <w:sz w:val="20"/>
              </w:rPr>
              <w:t>60 (13.4%)</w:t>
            </w:r>
          </w:p>
        </w:tc>
        <w:tc>
          <w:tcPr>
            <w:tcW w:w="1276" w:type="dxa"/>
          </w:tcPr>
          <w:p w14:paraId="2FEC74F2" w14:textId="77777777" w:rsidR="00075001" w:rsidRDefault="00075001" w:rsidP="00075001">
            <w:pPr>
              <w:pStyle w:val="TableParagraph"/>
              <w:rPr>
                <w:sz w:val="20"/>
              </w:rPr>
            </w:pPr>
            <w:r>
              <w:rPr>
                <w:sz w:val="20"/>
              </w:rPr>
              <w:t>158 (21.9%)</w:t>
            </w:r>
          </w:p>
        </w:tc>
        <w:tc>
          <w:tcPr>
            <w:tcW w:w="1275" w:type="dxa"/>
          </w:tcPr>
          <w:p w14:paraId="1D4F2223" w14:textId="77777777" w:rsidR="00075001" w:rsidRDefault="00075001" w:rsidP="00075001">
            <w:pPr>
              <w:pStyle w:val="TableParagraph"/>
              <w:rPr>
                <w:sz w:val="20"/>
              </w:rPr>
            </w:pPr>
            <w:r>
              <w:rPr>
                <w:sz w:val="20"/>
              </w:rPr>
              <w:t>109 (17.4%)</w:t>
            </w:r>
          </w:p>
        </w:tc>
        <w:tc>
          <w:tcPr>
            <w:tcW w:w="1335" w:type="dxa"/>
          </w:tcPr>
          <w:p w14:paraId="7FDD515B" w14:textId="77777777" w:rsidR="00075001" w:rsidRDefault="00075001" w:rsidP="00075001">
            <w:pPr>
              <w:pStyle w:val="TableParagraph"/>
              <w:rPr>
                <w:sz w:val="20"/>
              </w:rPr>
            </w:pPr>
            <w:r>
              <w:rPr>
                <w:sz w:val="20"/>
              </w:rPr>
              <w:t>77 (15.2%)</w:t>
            </w:r>
          </w:p>
        </w:tc>
        <w:tc>
          <w:tcPr>
            <w:tcW w:w="1217" w:type="dxa"/>
          </w:tcPr>
          <w:p w14:paraId="68871C8C" w14:textId="77777777" w:rsidR="00075001" w:rsidRDefault="00075001" w:rsidP="00075001">
            <w:pPr>
              <w:pStyle w:val="TableParagraph"/>
              <w:rPr>
                <w:sz w:val="20"/>
              </w:rPr>
            </w:pPr>
            <w:r>
              <w:rPr>
                <w:sz w:val="20"/>
              </w:rPr>
              <w:t>118 (23.0%)</w:t>
            </w:r>
          </w:p>
        </w:tc>
      </w:tr>
      <w:tr w:rsidR="00075001" w14:paraId="1580486A" w14:textId="77777777" w:rsidTr="00075001">
        <w:trPr>
          <w:trHeight w:hRule="exact" w:val="498"/>
        </w:trPr>
        <w:tc>
          <w:tcPr>
            <w:tcW w:w="2258" w:type="dxa"/>
          </w:tcPr>
          <w:p w14:paraId="34FD7E6B" w14:textId="77777777" w:rsidR="00075001" w:rsidRDefault="00075001" w:rsidP="00075001">
            <w:pPr>
              <w:pStyle w:val="TableParagraph"/>
              <w:tabs>
                <w:tab w:val="left" w:pos="462"/>
              </w:tabs>
              <w:ind w:left="463" w:right="461" w:hanging="360"/>
              <w:rPr>
                <w:sz w:val="20"/>
              </w:rPr>
            </w:pPr>
            <w:r>
              <w:rPr>
                <w:sz w:val="20"/>
              </w:rPr>
              <w:t>-</w:t>
            </w:r>
            <w:r>
              <w:rPr>
                <w:sz w:val="20"/>
              </w:rPr>
              <w:tab/>
              <w:t>Cerebrovascular disease</w:t>
            </w:r>
          </w:p>
        </w:tc>
        <w:tc>
          <w:tcPr>
            <w:tcW w:w="1219" w:type="dxa"/>
          </w:tcPr>
          <w:p w14:paraId="7BE7B00D" w14:textId="77777777" w:rsidR="00075001" w:rsidRDefault="00075001" w:rsidP="00075001">
            <w:pPr>
              <w:pStyle w:val="TableParagraph"/>
              <w:rPr>
                <w:sz w:val="20"/>
              </w:rPr>
            </w:pPr>
            <w:r>
              <w:rPr>
                <w:sz w:val="20"/>
              </w:rPr>
              <w:t>41 (21.6%)</w:t>
            </w:r>
          </w:p>
        </w:tc>
        <w:tc>
          <w:tcPr>
            <w:tcW w:w="1217" w:type="dxa"/>
          </w:tcPr>
          <w:p w14:paraId="0259D31F" w14:textId="77777777" w:rsidR="00075001" w:rsidRDefault="00075001" w:rsidP="00075001">
            <w:pPr>
              <w:pStyle w:val="TableParagraph"/>
              <w:rPr>
                <w:sz w:val="20"/>
              </w:rPr>
            </w:pPr>
            <w:r>
              <w:rPr>
                <w:sz w:val="20"/>
              </w:rPr>
              <w:t>30 (15.7%)</w:t>
            </w:r>
          </w:p>
        </w:tc>
        <w:tc>
          <w:tcPr>
            <w:tcW w:w="1238" w:type="dxa"/>
          </w:tcPr>
          <w:p w14:paraId="4B04EB0F" w14:textId="77777777" w:rsidR="00075001" w:rsidRDefault="00075001" w:rsidP="00075001">
            <w:pPr>
              <w:pStyle w:val="TableParagraph"/>
              <w:ind w:left="102"/>
              <w:rPr>
                <w:sz w:val="20"/>
              </w:rPr>
            </w:pPr>
            <w:r>
              <w:rPr>
                <w:sz w:val="20"/>
              </w:rPr>
              <w:t>29 (15.2%)</w:t>
            </w:r>
          </w:p>
        </w:tc>
        <w:tc>
          <w:tcPr>
            <w:tcW w:w="1214" w:type="dxa"/>
          </w:tcPr>
          <w:p w14:paraId="16BA6B08" w14:textId="77777777" w:rsidR="00075001" w:rsidRDefault="00075001" w:rsidP="00075001">
            <w:pPr>
              <w:pStyle w:val="TableParagraph"/>
              <w:rPr>
                <w:sz w:val="20"/>
              </w:rPr>
            </w:pPr>
            <w:r>
              <w:rPr>
                <w:sz w:val="20"/>
              </w:rPr>
              <w:t>32 (16.4%)</w:t>
            </w:r>
          </w:p>
        </w:tc>
        <w:tc>
          <w:tcPr>
            <w:tcW w:w="2205" w:type="dxa"/>
          </w:tcPr>
          <w:p w14:paraId="08A8CE74" w14:textId="77777777" w:rsidR="00075001" w:rsidRDefault="00075001" w:rsidP="00075001">
            <w:pPr>
              <w:pStyle w:val="TableParagraph"/>
              <w:rPr>
                <w:sz w:val="20"/>
              </w:rPr>
            </w:pPr>
            <w:r>
              <w:rPr>
                <w:sz w:val="20"/>
              </w:rPr>
              <w:t>68 (15.2%)</w:t>
            </w:r>
          </w:p>
        </w:tc>
        <w:tc>
          <w:tcPr>
            <w:tcW w:w="1276" w:type="dxa"/>
          </w:tcPr>
          <w:p w14:paraId="4F04E2A0" w14:textId="77777777" w:rsidR="00075001" w:rsidRDefault="00075001" w:rsidP="00075001">
            <w:pPr>
              <w:pStyle w:val="TableParagraph"/>
              <w:rPr>
                <w:sz w:val="20"/>
              </w:rPr>
            </w:pPr>
            <w:r>
              <w:rPr>
                <w:sz w:val="20"/>
              </w:rPr>
              <w:t>123 (17.0%)</w:t>
            </w:r>
          </w:p>
        </w:tc>
        <w:tc>
          <w:tcPr>
            <w:tcW w:w="1275" w:type="dxa"/>
          </w:tcPr>
          <w:p w14:paraId="0976ED98" w14:textId="77777777" w:rsidR="00075001" w:rsidRDefault="00075001" w:rsidP="00075001">
            <w:pPr>
              <w:pStyle w:val="TableParagraph"/>
              <w:rPr>
                <w:sz w:val="20"/>
              </w:rPr>
            </w:pPr>
            <w:r>
              <w:rPr>
                <w:sz w:val="20"/>
              </w:rPr>
              <w:t>104 (16.6%)</w:t>
            </w:r>
          </w:p>
        </w:tc>
        <w:tc>
          <w:tcPr>
            <w:tcW w:w="1335" w:type="dxa"/>
          </w:tcPr>
          <w:p w14:paraId="32858F0D" w14:textId="77777777" w:rsidR="00075001" w:rsidRDefault="00075001" w:rsidP="00075001">
            <w:pPr>
              <w:pStyle w:val="TableParagraph"/>
              <w:rPr>
                <w:sz w:val="20"/>
              </w:rPr>
            </w:pPr>
            <w:r>
              <w:rPr>
                <w:sz w:val="20"/>
              </w:rPr>
              <w:t>65 (12.9%)</w:t>
            </w:r>
          </w:p>
        </w:tc>
        <w:tc>
          <w:tcPr>
            <w:tcW w:w="1217" w:type="dxa"/>
          </w:tcPr>
          <w:p w14:paraId="48CDAD5B" w14:textId="77777777" w:rsidR="00075001" w:rsidRDefault="00075001" w:rsidP="00075001">
            <w:pPr>
              <w:pStyle w:val="TableParagraph"/>
              <w:rPr>
                <w:sz w:val="20"/>
              </w:rPr>
            </w:pPr>
            <w:r>
              <w:rPr>
                <w:sz w:val="20"/>
              </w:rPr>
              <w:t>74 (14.4%)</w:t>
            </w:r>
          </w:p>
        </w:tc>
      </w:tr>
    </w:tbl>
    <w:p w14:paraId="7566C181" w14:textId="77777777" w:rsidR="00075001" w:rsidRDefault="00075001" w:rsidP="00075001">
      <w:pPr>
        <w:rPr>
          <w:sz w:val="20"/>
        </w:rPr>
        <w:sectPr w:rsidR="00075001">
          <w:headerReference w:type="even" r:id="rId39"/>
          <w:footerReference w:type="even" r:id="rId40"/>
          <w:pgSz w:w="16840" w:h="11900" w:orient="landscape"/>
          <w:pgMar w:top="1100" w:right="840" w:bottom="280" w:left="1300" w:header="0" w:footer="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1219"/>
        <w:gridCol w:w="1217"/>
        <w:gridCol w:w="1238"/>
        <w:gridCol w:w="1214"/>
        <w:gridCol w:w="2205"/>
        <w:gridCol w:w="1276"/>
        <w:gridCol w:w="1275"/>
        <w:gridCol w:w="1335"/>
        <w:gridCol w:w="1217"/>
      </w:tblGrid>
      <w:tr w:rsidR="00075001" w14:paraId="2675FFF4" w14:textId="77777777" w:rsidTr="00075001">
        <w:trPr>
          <w:trHeight w:hRule="exact" w:val="742"/>
        </w:trPr>
        <w:tc>
          <w:tcPr>
            <w:tcW w:w="2258" w:type="dxa"/>
          </w:tcPr>
          <w:p w14:paraId="67556AEC" w14:textId="77777777" w:rsidR="00075001" w:rsidRDefault="00075001" w:rsidP="00075001">
            <w:pPr>
              <w:pStyle w:val="TableParagraph"/>
              <w:tabs>
                <w:tab w:val="left" w:pos="462"/>
              </w:tabs>
              <w:ind w:left="463" w:right="130" w:hanging="360"/>
              <w:rPr>
                <w:sz w:val="20"/>
              </w:rPr>
            </w:pPr>
            <w:r>
              <w:rPr>
                <w:sz w:val="20"/>
              </w:rPr>
              <w:lastRenderedPageBreak/>
              <w:t>-</w:t>
            </w:r>
            <w:r>
              <w:rPr>
                <w:sz w:val="20"/>
              </w:rPr>
              <w:tab/>
              <w:t>Chronic</w:t>
            </w:r>
            <w:r>
              <w:rPr>
                <w:spacing w:val="-12"/>
                <w:sz w:val="20"/>
              </w:rPr>
              <w:t xml:space="preserve"> </w:t>
            </w:r>
            <w:r>
              <w:rPr>
                <w:sz w:val="20"/>
              </w:rPr>
              <w:t>obstructive pulmonary disease / asthma</w:t>
            </w:r>
          </w:p>
        </w:tc>
        <w:tc>
          <w:tcPr>
            <w:tcW w:w="1219" w:type="dxa"/>
          </w:tcPr>
          <w:p w14:paraId="52F3D8AB" w14:textId="77777777" w:rsidR="00075001" w:rsidRDefault="00075001" w:rsidP="00075001">
            <w:pPr>
              <w:pStyle w:val="TableParagraph"/>
              <w:rPr>
                <w:sz w:val="20"/>
              </w:rPr>
            </w:pPr>
            <w:r>
              <w:rPr>
                <w:sz w:val="20"/>
              </w:rPr>
              <w:t>50 (26.3%)</w:t>
            </w:r>
          </w:p>
        </w:tc>
        <w:tc>
          <w:tcPr>
            <w:tcW w:w="1217" w:type="dxa"/>
          </w:tcPr>
          <w:p w14:paraId="6FCBF867" w14:textId="77777777" w:rsidR="00075001" w:rsidRDefault="00075001" w:rsidP="00075001">
            <w:pPr>
              <w:pStyle w:val="TableParagraph"/>
              <w:rPr>
                <w:sz w:val="20"/>
              </w:rPr>
            </w:pPr>
            <w:r>
              <w:rPr>
                <w:sz w:val="20"/>
              </w:rPr>
              <w:t>52 (27.2%)</w:t>
            </w:r>
          </w:p>
        </w:tc>
        <w:tc>
          <w:tcPr>
            <w:tcW w:w="1238" w:type="dxa"/>
          </w:tcPr>
          <w:p w14:paraId="7F0570EA" w14:textId="77777777" w:rsidR="00075001" w:rsidRDefault="00075001" w:rsidP="00075001">
            <w:pPr>
              <w:pStyle w:val="TableParagraph"/>
              <w:ind w:left="102"/>
              <w:rPr>
                <w:sz w:val="20"/>
              </w:rPr>
            </w:pPr>
            <w:r>
              <w:rPr>
                <w:sz w:val="20"/>
              </w:rPr>
              <w:t>37 (19.4%)</w:t>
            </w:r>
          </w:p>
        </w:tc>
        <w:tc>
          <w:tcPr>
            <w:tcW w:w="1214" w:type="dxa"/>
          </w:tcPr>
          <w:p w14:paraId="0EC9B79F" w14:textId="77777777" w:rsidR="00075001" w:rsidRDefault="00075001" w:rsidP="00075001">
            <w:pPr>
              <w:pStyle w:val="TableParagraph"/>
              <w:rPr>
                <w:sz w:val="20"/>
              </w:rPr>
            </w:pPr>
            <w:r>
              <w:rPr>
                <w:sz w:val="20"/>
              </w:rPr>
              <w:t>41 (21.0%)</w:t>
            </w:r>
          </w:p>
        </w:tc>
        <w:tc>
          <w:tcPr>
            <w:tcW w:w="2205" w:type="dxa"/>
          </w:tcPr>
          <w:p w14:paraId="6B9616EA" w14:textId="77777777" w:rsidR="00075001" w:rsidRDefault="00075001" w:rsidP="00075001">
            <w:pPr>
              <w:pStyle w:val="TableParagraph"/>
              <w:ind w:left="102"/>
              <w:rPr>
                <w:sz w:val="20"/>
              </w:rPr>
            </w:pPr>
            <w:r>
              <w:rPr>
                <w:sz w:val="20"/>
              </w:rPr>
              <w:t>77 (17.2%)</w:t>
            </w:r>
          </w:p>
        </w:tc>
        <w:tc>
          <w:tcPr>
            <w:tcW w:w="1276" w:type="dxa"/>
          </w:tcPr>
          <w:p w14:paraId="77FA0C23" w14:textId="77777777" w:rsidR="00075001" w:rsidRDefault="00075001" w:rsidP="00075001">
            <w:pPr>
              <w:pStyle w:val="TableParagraph"/>
              <w:rPr>
                <w:sz w:val="20"/>
              </w:rPr>
            </w:pPr>
            <w:r>
              <w:rPr>
                <w:sz w:val="20"/>
              </w:rPr>
              <w:t>121 (16.8%)</w:t>
            </w:r>
          </w:p>
        </w:tc>
        <w:tc>
          <w:tcPr>
            <w:tcW w:w="1275" w:type="dxa"/>
          </w:tcPr>
          <w:p w14:paraId="4EB081BE" w14:textId="77777777" w:rsidR="00075001" w:rsidRDefault="00075001" w:rsidP="00075001">
            <w:pPr>
              <w:pStyle w:val="TableParagraph"/>
              <w:rPr>
                <w:sz w:val="20"/>
              </w:rPr>
            </w:pPr>
            <w:r>
              <w:rPr>
                <w:sz w:val="20"/>
              </w:rPr>
              <w:t>115 (18.4%)</w:t>
            </w:r>
          </w:p>
        </w:tc>
        <w:tc>
          <w:tcPr>
            <w:tcW w:w="1335" w:type="dxa"/>
          </w:tcPr>
          <w:p w14:paraId="646E2692" w14:textId="77777777" w:rsidR="00075001" w:rsidRDefault="00075001" w:rsidP="00075001">
            <w:pPr>
              <w:pStyle w:val="TableParagraph"/>
              <w:rPr>
                <w:sz w:val="20"/>
              </w:rPr>
            </w:pPr>
            <w:r>
              <w:rPr>
                <w:sz w:val="20"/>
              </w:rPr>
              <w:t>127 (25.1%</w:t>
            </w:r>
          </w:p>
        </w:tc>
        <w:tc>
          <w:tcPr>
            <w:tcW w:w="1217" w:type="dxa"/>
          </w:tcPr>
          <w:p w14:paraId="70CA92FE" w14:textId="77777777" w:rsidR="00075001" w:rsidRDefault="00075001" w:rsidP="00075001">
            <w:pPr>
              <w:pStyle w:val="TableParagraph"/>
              <w:rPr>
                <w:sz w:val="20"/>
              </w:rPr>
            </w:pPr>
            <w:r>
              <w:rPr>
                <w:sz w:val="20"/>
              </w:rPr>
              <w:t>95 (18.5%)</w:t>
            </w:r>
          </w:p>
        </w:tc>
      </w:tr>
      <w:tr w:rsidR="00075001" w14:paraId="35CCCBE1" w14:textId="77777777" w:rsidTr="00075001">
        <w:trPr>
          <w:trHeight w:hRule="exact" w:val="498"/>
        </w:trPr>
        <w:tc>
          <w:tcPr>
            <w:tcW w:w="2258" w:type="dxa"/>
          </w:tcPr>
          <w:p w14:paraId="17E8F9DA" w14:textId="77777777" w:rsidR="00075001" w:rsidRDefault="00075001" w:rsidP="00075001">
            <w:pPr>
              <w:pStyle w:val="TableParagraph"/>
              <w:tabs>
                <w:tab w:val="left" w:pos="462"/>
              </w:tabs>
              <w:ind w:left="463" w:right="552" w:hanging="360"/>
              <w:rPr>
                <w:sz w:val="20"/>
              </w:rPr>
            </w:pPr>
            <w:r>
              <w:rPr>
                <w:sz w:val="20"/>
              </w:rPr>
              <w:t>-</w:t>
            </w:r>
            <w:r>
              <w:rPr>
                <w:sz w:val="20"/>
              </w:rPr>
              <w:tab/>
              <w:t>Coronary</w:t>
            </w:r>
            <w:r>
              <w:rPr>
                <w:spacing w:val="-6"/>
                <w:sz w:val="20"/>
              </w:rPr>
              <w:t xml:space="preserve"> </w:t>
            </w:r>
            <w:r>
              <w:rPr>
                <w:sz w:val="20"/>
              </w:rPr>
              <w:t>heart disease</w:t>
            </w:r>
          </w:p>
        </w:tc>
        <w:tc>
          <w:tcPr>
            <w:tcW w:w="1219" w:type="dxa"/>
          </w:tcPr>
          <w:p w14:paraId="5FC5DB3D" w14:textId="77777777" w:rsidR="00075001" w:rsidRDefault="00075001" w:rsidP="00075001">
            <w:pPr>
              <w:pStyle w:val="TableParagraph"/>
              <w:rPr>
                <w:sz w:val="20"/>
              </w:rPr>
            </w:pPr>
            <w:r>
              <w:rPr>
                <w:sz w:val="20"/>
              </w:rPr>
              <w:t>85 (44.7%)</w:t>
            </w:r>
          </w:p>
        </w:tc>
        <w:tc>
          <w:tcPr>
            <w:tcW w:w="1217" w:type="dxa"/>
          </w:tcPr>
          <w:p w14:paraId="44789218" w14:textId="77777777" w:rsidR="00075001" w:rsidRDefault="00075001" w:rsidP="00075001">
            <w:pPr>
              <w:pStyle w:val="TableParagraph"/>
              <w:rPr>
                <w:sz w:val="20"/>
              </w:rPr>
            </w:pPr>
            <w:r>
              <w:rPr>
                <w:sz w:val="20"/>
              </w:rPr>
              <w:t>75 (39.3%)</w:t>
            </w:r>
          </w:p>
        </w:tc>
        <w:tc>
          <w:tcPr>
            <w:tcW w:w="1238" w:type="dxa"/>
          </w:tcPr>
          <w:p w14:paraId="608981E0" w14:textId="77777777" w:rsidR="00075001" w:rsidRDefault="00075001" w:rsidP="00075001">
            <w:pPr>
              <w:pStyle w:val="TableParagraph"/>
              <w:ind w:left="102"/>
              <w:rPr>
                <w:sz w:val="20"/>
              </w:rPr>
            </w:pPr>
            <w:r>
              <w:rPr>
                <w:sz w:val="20"/>
              </w:rPr>
              <w:t>45 (23.6%)</w:t>
            </w:r>
          </w:p>
        </w:tc>
        <w:tc>
          <w:tcPr>
            <w:tcW w:w="1214" w:type="dxa"/>
          </w:tcPr>
          <w:p w14:paraId="16486271" w14:textId="77777777" w:rsidR="00075001" w:rsidRDefault="00075001" w:rsidP="00075001">
            <w:pPr>
              <w:pStyle w:val="TableParagraph"/>
              <w:rPr>
                <w:sz w:val="20"/>
              </w:rPr>
            </w:pPr>
            <w:r>
              <w:rPr>
                <w:sz w:val="20"/>
              </w:rPr>
              <w:t>47 (24.1%)</w:t>
            </w:r>
          </w:p>
        </w:tc>
        <w:tc>
          <w:tcPr>
            <w:tcW w:w="2205" w:type="dxa"/>
          </w:tcPr>
          <w:p w14:paraId="71F54A63" w14:textId="77777777" w:rsidR="00075001" w:rsidRDefault="00075001" w:rsidP="00075001">
            <w:pPr>
              <w:pStyle w:val="TableParagraph"/>
              <w:ind w:left="102"/>
              <w:rPr>
                <w:sz w:val="20"/>
              </w:rPr>
            </w:pPr>
            <w:r>
              <w:rPr>
                <w:sz w:val="20"/>
              </w:rPr>
              <w:t>190 (42.4%)</w:t>
            </w:r>
          </w:p>
        </w:tc>
        <w:tc>
          <w:tcPr>
            <w:tcW w:w="1276" w:type="dxa"/>
          </w:tcPr>
          <w:p w14:paraId="6A33A0CA" w14:textId="77777777" w:rsidR="00075001" w:rsidRDefault="00075001" w:rsidP="00075001">
            <w:pPr>
              <w:pStyle w:val="TableParagraph"/>
              <w:rPr>
                <w:sz w:val="20"/>
              </w:rPr>
            </w:pPr>
            <w:r>
              <w:rPr>
                <w:sz w:val="20"/>
              </w:rPr>
              <w:t>191 (26.5%)</w:t>
            </w:r>
          </w:p>
        </w:tc>
        <w:tc>
          <w:tcPr>
            <w:tcW w:w="1275" w:type="dxa"/>
          </w:tcPr>
          <w:p w14:paraId="59AC43B7" w14:textId="77777777" w:rsidR="00075001" w:rsidRDefault="00075001" w:rsidP="00075001">
            <w:pPr>
              <w:pStyle w:val="TableParagraph"/>
              <w:rPr>
                <w:sz w:val="20"/>
              </w:rPr>
            </w:pPr>
            <w:r>
              <w:rPr>
                <w:sz w:val="20"/>
              </w:rPr>
              <w:t>138 (22.0%)</w:t>
            </w:r>
          </w:p>
        </w:tc>
        <w:tc>
          <w:tcPr>
            <w:tcW w:w="1335" w:type="dxa"/>
          </w:tcPr>
          <w:p w14:paraId="40AEB79F" w14:textId="77777777" w:rsidR="00075001" w:rsidRDefault="00075001" w:rsidP="00075001">
            <w:pPr>
              <w:pStyle w:val="TableParagraph"/>
              <w:rPr>
                <w:sz w:val="20"/>
              </w:rPr>
            </w:pPr>
            <w:r>
              <w:rPr>
                <w:sz w:val="20"/>
              </w:rPr>
              <w:t>227 (45.0%)</w:t>
            </w:r>
          </w:p>
        </w:tc>
        <w:tc>
          <w:tcPr>
            <w:tcW w:w="1217" w:type="dxa"/>
          </w:tcPr>
          <w:p w14:paraId="09C71712" w14:textId="77777777" w:rsidR="00075001" w:rsidRDefault="00075001" w:rsidP="00075001">
            <w:pPr>
              <w:pStyle w:val="TableParagraph"/>
              <w:rPr>
                <w:sz w:val="20"/>
              </w:rPr>
            </w:pPr>
            <w:r>
              <w:rPr>
                <w:sz w:val="20"/>
              </w:rPr>
              <w:t>212 (41.2%)</w:t>
            </w:r>
          </w:p>
        </w:tc>
      </w:tr>
      <w:tr w:rsidR="00075001" w14:paraId="15E96423" w14:textId="77777777" w:rsidTr="00075001">
        <w:trPr>
          <w:trHeight w:hRule="exact" w:val="265"/>
        </w:trPr>
        <w:tc>
          <w:tcPr>
            <w:tcW w:w="2258" w:type="dxa"/>
          </w:tcPr>
          <w:p w14:paraId="0CB65560" w14:textId="77777777" w:rsidR="00075001" w:rsidRDefault="00075001" w:rsidP="00075001">
            <w:pPr>
              <w:pStyle w:val="TableParagraph"/>
              <w:tabs>
                <w:tab w:val="left" w:pos="462"/>
              </w:tabs>
              <w:rPr>
                <w:sz w:val="20"/>
              </w:rPr>
            </w:pPr>
            <w:r>
              <w:rPr>
                <w:sz w:val="20"/>
              </w:rPr>
              <w:t>-</w:t>
            </w:r>
            <w:r>
              <w:rPr>
                <w:sz w:val="20"/>
              </w:rPr>
              <w:tab/>
              <w:t>Diabetes</w:t>
            </w:r>
          </w:p>
        </w:tc>
        <w:tc>
          <w:tcPr>
            <w:tcW w:w="1219" w:type="dxa"/>
          </w:tcPr>
          <w:p w14:paraId="49F60729" w14:textId="77777777" w:rsidR="00075001" w:rsidRDefault="00075001" w:rsidP="00075001">
            <w:pPr>
              <w:pStyle w:val="TableParagraph"/>
              <w:rPr>
                <w:sz w:val="20"/>
              </w:rPr>
            </w:pPr>
            <w:r>
              <w:rPr>
                <w:sz w:val="20"/>
              </w:rPr>
              <w:t>103 (54.2%)</w:t>
            </w:r>
          </w:p>
        </w:tc>
        <w:tc>
          <w:tcPr>
            <w:tcW w:w="1217" w:type="dxa"/>
          </w:tcPr>
          <w:p w14:paraId="7E7D8E13" w14:textId="77777777" w:rsidR="00075001" w:rsidRDefault="00075001" w:rsidP="00075001">
            <w:pPr>
              <w:pStyle w:val="TableParagraph"/>
              <w:rPr>
                <w:sz w:val="20"/>
              </w:rPr>
            </w:pPr>
            <w:r>
              <w:rPr>
                <w:sz w:val="20"/>
              </w:rPr>
              <w:t>100 (52.4%)</w:t>
            </w:r>
          </w:p>
        </w:tc>
        <w:tc>
          <w:tcPr>
            <w:tcW w:w="1238" w:type="dxa"/>
          </w:tcPr>
          <w:p w14:paraId="31C07B78" w14:textId="77777777" w:rsidR="00075001" w:rsidRDefault="00075001" w:rsidP="00075001">
            <w:pPr>
              <w:pStyle w:val="TableParagraph"/>
              <w:ind w:left="102"/>
              <w:rPr>
                <w:sz w:val="20"/>
              </w:rPr>
            </w:pPr>
            <w:r>
              <w:rPr>
                <w:sz w:val="20"/>
              </w:rPr>
              <w:t>34 (17.8%)</w:t>
            </w:r>
          </w:p>
        </w:tc>
        <w:tc>
          <w:tcPr>
            <w:tcW w:w="1214" w:type="dxa"/>
          </w:tcPr>
          <w:p w14:paraId="404D7B24" w14:textId="77777777" w:rsidR="00075001" w:rsidRDefault="00075001" w:rsidP="00075001">
            <w:pPr>
              <w:pStyle w:val="TableParagraph"/>
              <w:rPr>
                <w:sz w:val="20"/>
              </w:rPr>
            </w:pPr>
            <w:r>
              <w:rPr>
                <w:sz w:val="20"/>
              </w:rPr>
              <w:t>55 (28.2%)</w:t>
            </w:r>
          </w:p>
        </w:tc>
        <w:tc>
          <w:tcPr>
            <w:tcW w:w="2205" w:type="dxa"/>
          </w:tcPr>
          <w:p w14:paraId="7779F808" w14:textId="77777777" w:rsidR="00075001" w:rsidRDefault="00075001" w:rsidP="00075001">
            <w:pPr>
              <w:pStyle w:val="TableParagraph"/>
              <w:ind w:left="102"/>
              <w:rPr>
                <w:sz w:val="20"/>
              </w:rPr>
            </w:pPr>
            <w:r>
              <w:rPr>
                <w:sz w:val="20"/>
              </w:rPr>
              <w:t>182 (40.6%)</w:t>
            </w:r>
          </w:p>
        </w:tc>
        <w:tc>
          <w:tcPr>
            <w:tcW w:w="1276" w:type="dxa"/>
          </w:tcPr>
          <w:p w14:paraId="1D2D3096" w14:textId="77777777" w:rsidR="00075001" w:rsidRDefault="00075001" w:rsidP="00075001">
            <w:pPr>
              <w:pStyle w:val="TableParagraph"/>
              <w:rPr>
                <w:sz w:val="20"/>
              </w:rPr>
            </w:pPr>
            <w:r>
              <w:rPr>
                <w:sz w:val="20"/>
              </w:rPr>
              <w:t>157 (21.7%)</w:t>
            </w:r>
          </w:p>
        </w:tc>
        <w:tc>
          <w:tcPr>
            <w:tcW w:w="1275" w:type="dxa"/>
          </w:tcPr>
          <w:p w14:paraId="69ADB0B3" w14:textId="77777777" w:rsidR="00075001" w:rsidRDefault="00075001" w:rsidP="00075001">
            <w:pPr>
              <w:pStyle w:val="TableParagraph"/>
              <w:rPr>
                <w:sz w:val="20"/>
              </w:rPr>
            </w:pPr>
            <w:r>
              <w:rPr>
                <w:sz w:val="20"/>
              </w:rPr>
              <w:t>176 (28.1%)</w:t>
            </w:r>
          </w:p>
        </w:tc>
        <w:tc>
          <w:tcPr>
            <w:tcW w:w="1335" w:type="dxa"/>
          </w:tcPr>
          <w:p w14:paraId="4760A46F" w14:textId="77777777" w:rsidR="00075001" w:rsidRDefault="00075001" w:rsidP="00075001"/>
        </w:tc>
        <w:tc>
          <w:tcPr>
            <w:tcW w:w="1217" w:type="dxa"/>
          </w:tcPr>
          <w:p w14:paraId="61911542" w14:textId="77777777" w:rsidR="00075001" w:rsidRDefault="00075001" w:rsidP="00075001"/>
        </w:tc>
      </w:tr>
      <w:tr w:rsidR="00075001" w14:paraId="5140C864" w14:textId="77777777" w:rsidTr="00075001">
        <w:trPr>
          <w:trHeight w:hRule="exact" w:val="265"/>
        </w:trPr>
        <w:tc>
          <w:tcPr>
            <w:tcW w:w="2258" w:type="dxa"/>
          </w:tcPr>
          <w:p w14:paraId="35B3606B" w14:textId="77777777" w:rsidR="00075001" w:rsidRDefault="00075001" w:rsidP="00075001">
            <w:pPr>
              <w:pStyle w:val="TableParagraph"/>
              <w:tabs>
                <w:tab w:val="left" w:pos="462"/>
              </w:tabs>
              <w:rPr>
                <w:sz w:val="20"/>
              </w:rPr>
            </w:pPr>
            <w:r>
              <w:rPr>
                <w:sz w:val="20"/>
              </w:rPr>
              <w:t>-</w:t>
            </w:r>
            <w:r>
              <w:rPr>
                <w:sz w:val="20"/>
              </w:rPr>
              <w:tab/>
              <w:t>Hearing</w:t>
            </w:r>
            <w:r>
              <w:rPr>
                <w:spacing w:val="-9"/>
                <w:sz w:val="20"/>
              </w:rPr>
              <w:t xml:space="preserve"> </w:t>
            </w:r>
            <w:r>
              <w:rPr>
                <w:sz w:val="20"/>
              </w:rPr>
              <w:t>problems</w:t>
            </w:r>
          </w:p>
        </w:tc>
        <w:tc>
          <w:tcPr>
            <w:tcW w:w="1219" w:type="dxa"/>
          </w:tcPr>
          <w:p w14:paraId="3D86AA36" w14:textId="77777777" w:rsidR="00075001" w:rsidRDefault="00075001" w:rsidP="00075001">
            <w:pPr>
              <w:pStyle w:val="TableParagraph"/>
              <w:rPr>
                <w:sz w:val="20"/>
              </w:rPr>
            </w:pPr>
            <w:r>
              <w:rPr>
                <w:sz w:val="20"/>
              </w:rPr>
              <w:t>2 (1.1%)</w:t>
            </w:r>
          </w:p>
        </w:tc>
        <w:tc>
          <w:tcPr>
            <w:tcW w:w="1217" w:type="dxa"/>
          </w:tcPr>
          <w:p w14:paraId="723C9C13" w14:textId="77777777" w:rsidR="00075001" w:rsidRDefault="00075001" w:rsidP="00075001">
            <w:pPr>
              <w:pStyle w:val="TableParagraph"/>
              <w:rPr>
                <w:sz w:val="20"/>
              </w:rPr>
            </w:pPr>
            <w:r>
              <w:rPr>
                <w:sz w:val="20"/>
              </w:rPr>
              <w:t>9 (4.7%)</w:t>
            </w:r>
          </w:p>
        </w:tc>
        <w:tc>
          <w:tcPr>
            <w:tcW w:w="1238" w:type="dxa"/>
          </w:tcPr>
          <w:p w14:paraId="1A3C8987" w14:textId="77777777" w:rsidR="00075001" w:rsidRDefault="00075001" w:rsidP="00075001">
            <w:pPr>
              <w:pStyle w:val="TableParagraph"/>
              <w:ind w:left="102"/>
              <w:rPr>
                <w:sz w:val="20"/>
              </w:rPr>
            </w:pPr>
            <w:r>
              <w:rPr>
                <w:sz w:val="20"/>
              </w:rPr>
              <w:t>19 (9.9%)</w:t>
            </w:r>
          </w:p>
        </w:tc>
        <w:tc>
          <w:tcPr>
            <w:tcW w:w="1214" w:type="dxa"/>
          </w:tcPr>
          <w:p w14:paraId="1F74C701" w14:textId="77777777" w:rsidR="00075001" w:rsidRDefault="00075001" w:rsidP="00075001">
            <w:pPr>
              <w:pStyle w:val="TableParagraph"/>
              <w:rPr>
                <w:sz w:val="20"/>
              </w:rPr>
            </w:pPr>
            <w:r>
              <w:rPr>
                <w:sz w:val="20"/>
              </w:rPr>
              <w:t>14 (7.2%)</w:t>
            </w:r>
          </w:p>
        </w:tc>
        <w:tc>
          <w:tcPr>
            <w:tcW w:w="2205" w:type="dxa"/>
          </w:tcPr>
          <w:p w14:paraId="5E03255D" w14:textId="77777777" w:rsidR="00075001" w:rsidRDefault="00075001" w:rsidP="00075001">
            <w:pPr>
              <w:pStyle w:val="TableParagraph"/>
              <w:ind w:left="102"/>
              <w:rPr>
                <w:sz w:val="20"/>
              </w:rPr>
            </w:pPr>
            <w:r>
              <w:rPr>
                <w:sz w:val="20"/>
              </w:rPr>
              <w:t>59 (13.2%)</w:t>
            </w:r>
          </w:p>
        </w:tc>
        <w:tc>
          <w:tcPr>
            <w:tcW w:w="1276" w:type="dxa"/>
          </w:tcPr>
          <w:p w14:paraId="39BD3CDF" w14:textId="77777777" w:rsidR="00075001" w:rsidRDefault="00075001" w:rsidP="00075001">
            <w:pPr>
              <w:pStyle w:val="TableParagraph"/>
              <w:rPr>
                <w:sz w:val="20"/>
              </w:rPr>
            </w:pPr>
            <w:r>
              <w:rPr>
                <w:sz w:val="20"/>
              </w:rPr>
              <w:t>128 (17.7%)</w:t>
            </w:r>
          </w:p>
        </w:tc>
        <w:tc>
          <w:tcPr>
            <w:tcW w:w="1275" w:type="dxa"/>
          </w:tcPr>
          <w:p w14:paraId="2BD519EB" w14:textId="77777777" w:rsidR="00075001" w:rsidRDefault="00075001" w:rsidP="00075001">
            <w:pPr>
              <w:pStyle w:val="TableParagraph"/>
              <w:rPr>
                <w:sz w:val="20"/>
              </w:rPr>
            </w:pPr>
            <w:r>
              <w:rPr>
                <w:sz w:val="20"/>
              </w:rPr>
              <w:t>84 (13.4%)</w:t>
            </w:r>
          </w:p>
        </w:tc>
        <w:tc>
          <w:tcPr>
            <w:tcW w:w="1335" w:type="dxa"/>
          </w:tcPr>
          <w:p w14:paraId="29501D38" w14:textId="77777777" w:rsidR="00075001" w:rsidRDefault="00075001" w:rsidP="00075001">
            <w:pPr>
              <w:pStyle w:val="TableParagraph"/>
              <w:rPr>
                <w:sz w:val="20"/>
              </w:rPr>
            </w:pPr>
            <w:r>
              <w:rPr>
                <w:sz w:val="20"/>
              </w:rPr>
              <w:t>205 (40.6%)</w:t>
            </w:r>
          </w:p>
        </w:tc>
        <w:tc>
          <w:tcPr>
            <w:tcW w:w="1217" w:type="dxa"/>
          </w:tcPr>
          <w:p w14:paraId="017DC6D0" w14:textId="77777777" w:rsidR="00075001" w:rsidRDefault="00075001" w:rsidP="00075001">
            <w:pPr>
              <w:pStyle w:val="TableParagraph"/>
              <w:rPr>
                <w:sz w:val="20"/>
              </w:rPr>
            </w:pPr>
            <w:r>
              <w:rPr>
                <w:sz w:val="20"/>
              </w:rPr>
              <w:t>198 (38.5%)</w:t>
            </w:r>
          </w:p>
        </w:tc>
      </w:tr>
      <w:tr w:rsidR="00075001" w14:paraId="59C3C999" w14:textId="77777777" w:rsidTr="00075001">
        <w:trPr>
          <w:trHeight w:hRule="exact" w:val="265"/>
        </w:trPr>
        <w:tc>
          <w:tcPr>
            <w:tcW w:w="2258" w:type="dxa"/>
          </w:tcPr>
          <w:p w14:paraId="3D549253" w14:textId="77777777" w:rsidR="00075001" w:rsidRDefault="00075001" w:rsidP="00075001">
            <w:pPr>
              <w:pStyle w:val="TableParagraph"/>
              <w:tabs>
                <w:tab w:val="left" w:pos="462"/>
              </w:tabs>
              <w:rPr>
                <w:sz w:val="20"/>
              </w:rPr>
            </w:pPr>
            <w:r>
              <w:rPr>
                <w:sz w:val="20"/>
              </w:rPr>
              <w:t>-</w:t>
            </w:r>
            <w:r>
              <w:rPr>
                <w:sz w:val="20"/>
              </w:rPr>
              <w:tab/>
              <w:t>Heart</w:t>
            </w:r>
            <w:r>
              <w:rPr>
                <w:spacing w:val="-5"/>
                <w:sz w:val="20"/>
              </w:rPr>
              <w:t xml:space="preserve"> </w:t>
            </w:r>
            <w:r>
              <w:rPr>
                <w:sz w:val="20"/>
              </w:rPr>
              <w:t>failure</w:t>
            </w:r>
          </w:p>
        </w:tc>
        <w:tc>
          <w:tcPr>
            <w:tcW w:w="1219" w:type="dxa"/>
          </w:tcPr>
          <w:p w14:paraId="707E51F7" w14:textId="77777777" w:rsidR="00075001" w:rsidRDefault="00075001" w:rsidP="00075001">
            <w:pPr>
              <w:pStyle w:val="TableParagraph"/>
              <w:rPr>
                <w:sz w:val="20"/>
              </w:rPr>
            </w:pPr>
            <w:r>
              <w:rPr>
                <w:sz w:val="20"/>
              </w:rPr>
              <w:t>33 (17.4%)</w:t>
            </w:r>
          </w:p>
        </w:tc>
        <w:tc>
          <w:tcPr>
            <w:tcW w:w="1217" w:type="dxa"/>
          </w:tcPr>
          <w:p w14:paraId="391B6C70" w14:textId="77777777" w:rsidR="00075001" w:rsidRDefault="00075001" w:rsidP="00075001">
            <w:pPr>
              <w:pStyle w:val="TableParagraph"/>
              <w:rPr>
                <w:sz w:val="20"/>
              </w:rPr>
            </w:pPr>
            <w:r>
              <w:rPr>
                <w:sz w:val="20"/>
              </w:rPr>
              <w:t>30 (15.7%)</w:t>
            </w:r>
          </w:p>
        </w:tc>
        <w:tc>
          <w:tcPr>
            <w:tcW w:w="1238" w:type="dxa"/>
          </w:tcPr>
          <w:p w14:paraId="6C1BDA54" w14:textId="77777777" w:rsidR="00075001" w:rsidRDefault="00075001" w:rsidP="00075001">
            <w:pPr>
              <w:pStyle w:val="TableParagraph"/>
              <w:ind w:left="102"/>
              <w:rPr>
                <w:sz w:val="20"/>
              </w:rPr>
            </w:pPr>
            <w:r>
              <w:rPr>
                <w:sz w:val="20"/>
              </w:rPr>
              <w:t>21 (11.0%)</w:t>
            </w:r>
          </w:p>
        </w:tc>
        <w:tc>
          <w:tcPr>
            <w:tcW w:w="1214" w:type="dxa"/>
          </w:tcPr>
          <w:p w14:paraId="0393B9F6" w14:textId="77777777" w:rsidR="00075001" w:rsidRDefault="00075001" w:rsidP="00075001">
            <w:pPr>
              <w:pStyle w:val="TableParagraph"/>
              <w:rPr>
                <w:sz w:val="20"/>
              </w:rPr>
            </w:pPr>
            <w:r>
              <w:rPr>
                <w:sz w:val="20"/>
              </w:rPr>
              <w:t>16 (8.2%)</w:t>
            </w:r>
          </w:p>
        </w:tc>
        <w:tc>
          <w:tcPr>
            <w:tcW w:w="2205" w:type="dxa"/>
          </w:tcPr>
          <w:p w14:paraId="5551C624" w14:textId="77777777" w:rsidR="00075001" w:rsidRDefault="00075001" w:rsidP="00075001">
            <w:pPr>
              <w:pStyle w:val="TableParagraph"/>
              <w:ind w:left="102"/>
              <w:rPr>
                <w:sz w:val="20"/>
              </w:rPr>
            </w:pPr>
            <w:r>
              <w:rPr>
                <w:sz w:val="20"/>
              </w:rPr>
              <w:t>34 (7.6%)</w:t>
            </w:r>
          </w:p>
        </w:tc>
        <w:tc>
          <w:tcPr>
            <w:tcW w:w="1276" w:type="dxa"/>
          </w:tcPr>
          <w:p w14:paraId="3D2B40A0" w14:textId="77777777" w:rsidR="00075001" w:rsidRDefault="00075001" w:rsidP="00075001">
            <w:pPr>
              <w:pStyle w:val="TableParagraph"/>
              <w:rPr>
                <w:sz w:val="20"/>
              </w:rPr>
            </w:pPr>
            <w:r>
              <w:rPr>
                <w:sz w:val="20"/>
              </w:rPr>
              <w:t>81 (11.2%)</w:t>
            </w:r>
          </w:p>
        </w:tc>
        <w:tc>
          <w:tcPr>
            <w:tcW w:w="1275" w:type="dxa"/>
          </w:tcPr>
          <w:p w14:paraId="3F5B0308" w14:textId="77777777" w:rsidR="00075001" w:rsidRDefault="00075001" w:rsidP="00075001">
            <w:pPr>
              <w:pStyle w:val="TableParagraph"/>
              <w:rPr>
                <w:sz w:val="20"/>
              </w:rPr>
            </w:pPr>
            <w:r>
              <w:rPr>
                <w:sz w:val="20"/>
              </w:rPr>
              <w:t>81 (12.9%)</w:t>
            </w:r>
          </w:p>
        </w:tc>
        <w:tc>
          <w:tcPr>
            <w:tcW w:w="1335" w:type="dxa"/>
          </w:tcPr>
          <w:p w14:paraId="219019A2" w14:textId="77777777" w:rsidR="00075001" w:rsidRDefault="00075001" w:rsidP="00075001">
            <w:pPr>
              <w:pStyle w:val="TableParagraph"/>
              <w:rPr>
                <w:sz w:val="20"/>
              </w:rPr>
            </w:pPr>
            <w:r>
              <w:rPr>
                <w:sz w:val="20"/>
              </w:rPr>
              <w:t>171 (33.9%)</w:t>
            </w:r>
          </w:p>
        </w:tc>
        <w:tc>
          <w:tcPr>
            <w:tcW w:w="1217" w:type="dxa"/>
          </w:tcPr>
          <w:p w14:paraId="30341985" w14:textId="77777777" w:rsidR="00075001" w:rsidRDefault="00075001" w:rsidP="00075001">
            <w:pPr>
              <w:pStyle w:val="TableParagraph"/>
              <w:rPr>
                <w:sz w:val="20"/>
              </w:rPr>
            </w:pPr>
            <w:r>
              <w:rPr>
                <w:sz w:val="20"/>
              </w:rPr>
              <w:t>165 (32.1%)</w:t>
            </w:r>
          </w:p>
        </w:tc>
      </w:tr>
      <w:tr w:rsidR="00075001" w14:paraId="1B56148C" w14:textId="77777777" w:rsidTr="00075001">
        <w:trPr>
          <w:trHeight w:hRule="exact" w:val="265"/>
        </w:trPr>
        <w:tc>
          <w:tcPr>
            <w:tcW w:w="2258" w:type="dxa"/>
          </w:tcPr>
          <w:p w14:paraId="4719DAF5" w14:textId="77777777" w:rsidR="00075001" w:rsidRDefault="00075001" w:rsidP="00075001">
            <w:pPr>
              <w:pStyle w:val="TableParagraph"/>
              <w:tabs>
                <w:tab w:val="left" w:pos="462"/>
              </w:tabs>
              <w:rPr>
                <w:sz w:val="20"/>
              </w:rPr>
            </w:pPr>
            <w:r>
              <w:rPr>
                <w:sz w:val="20"/>
              </w:rPr>
              <w:t>-</w:t>
            </w:r>
            <w:r>
              <w:rPr>
                <w:sz w:val="20"/>
              </w:rPr>
              <w:tab/>
              <w:t>Hypertension</w:t>
            </w:r>
          </w:p>
        </w:tc>
        <w:tc>
          <w:tcPr>
            <w:tcW w:w="1219" w:type="dxa"/>
          </w:tcPr>
          <w:p w14:paraId="45F1C3D1" w14:textId="77777777" w:rsidR="00075001" w:rsidRDefault="00075001" w:rsidP="00075001">
            <w:pPr>
              <w:pStyle w:val="TableParagraph"/>
              <w:rPr>
                <w:sz w:val="20"/>
              </w:rPr>
            </w:pPr>
            <w:r>
              <w:rPr>
                <w:sz w:val="20"/>
              </w:rPr>
              <w:t>162 (85.3%)</w:t>
            </w:r>
          </w:p>
        </w:tc>
        <w:tc>
          <w:tcPr>
            <w:tcW w:w="1217" w:type="dxa"/>
          </w:tcPr>
          <w:p w14:paraId="66F20875" w14:textId="77777777" w:rsidR="00075001" w:rsidRDefault="00075001" w:rsidP="00075001">
            <w:pPr>
              <w:pStyle w:val="TableParagraph"/>
              <w:rPr>
                <w:sz w:val="20"/>
              </w:rPr>
            </w:pPr>
            <w:r>
              <w:rPr>
                <w:sz w:val="20"/>
              </w:rPr>
              <w:t>160 (83.8%)</w:t>
            </w:r>
          </w:p>
        </w:tc>
        <w:tc>
          <w:tcPr>
            <w:tcW w:w="1238" w:type="dxa"/>
          </w:tcPr>
          <w:p w14:paraId="6E3B610B" w14:textId="77777777" w:rsidR="00075001" w:rsidRDefault="00075001" w:rsidP="00075001">
            <w:pPr>
              <w:pStyle w:val="TableParagraph"/>
              <w:ind w:left="102"/>
              <w:rPr>
                <w:sz w:val="20"/>
              </w:rPr>
            </w:pPr>
            <w:r>
              <w:rPr>
                <w:sz w:val="20"/>
              </w:rPr>
              <w:t>109 (57.1%)</w:t>
            </w:r>
          </w:p>
        </w:tc>
        <w:tc>
          <w:tcPr>
            <w:tcW w:w="1214" w:type="dxa"/>
          </w:tcPr>
          <w:p w14:paraId="7706DC74" w14:textId="77777777" w:rsidR="00075001" w:rsidRDefault="00075001" w:rsidP="00075001">
            <w:pPr>
              <w:pStyle w:val="TableParagraph"/>
              <w:rPr>
                <w:sz w:val="20"/>
              </w:rPr>
            </w:pPr>
            <w:r>
              <w:rPr>
                <w:sz w:val="20"/>
              </w:rPr>
              <w:t>111 (56.9%)</w:t>
            </w:r>
          </w:p>
        </w:tc>
        <w:tc>
          <w:tcPr>
            <w:tcW w:w="2205" w:type="dxa"/>
          </w:tcPr>
          <w:p w14:paraId="5D4438E9" w14:textId="77777777" w:rsidR="00075001" w:rsidRDefault="00075001" w:rsidP="00075001">
            <w:pPr>
              <w:pStyle w:val="TableParagraph"/>
              <w:ind w:left="102"/>
              <w:rPr>
                <w:sz w:val="20"/>
              </w:rPr>
            </w:pPr>
            <w:r>
              <w:rPr>
                <w:sz w:val="20"/>
              </w:rPr>
              <w:t>290 (64.7%)</w:t>
            </w:r>
          </w:p>
        </w:tc>
        <w:tc>
          <w:tcPr>
            <w:tcW w:w="1276" w:type="dxa"/>
          </w:tcPr>
          <w:p w14:paraId="1D483CB5" w14:textId="77777777" w:rsidR="00075001" w:rsidRDefault="00075001" w:rsidP="00075001">
            <w:pPr>
              <w:pStyle w:val="TableParagraph"/>
              <w:rPr>
                <w:sz w:val="20"/>
              </w:rPr>
            </w:pPr>
            <w:r>
              <w:rPr>
                <w:sz w:val="20"/>
              </w:rPr>
              <w:t>381 (52.8%)</w:t>
            </w:r>
          </w:p>
        </w:tc>
        <w:tc>
          <w:tcPr>
            <w:tcW w:w="1275" w:type="dxa"/>
          </w:tcPr>
          <w:p w14:paraId="774D9B1B" w14:textId="77777777" w:rsidR="00075001" w:rsidRDefault="00075001" w:rsidP="00075001">
            <w:pPr>
              <w:pStyle w:val="TableParagraph"/>
              <w:rPr>
                <w:sz w:val="20"/>
              </w:rPr>
            </w:pPr>
            <w:r>
              <w:rPr>
                <w:sz w:val="20"/>
              </w:rPr>
              <w:t>295 (47.1%)</w:t>
            </w:r>
          </w:p>
        </w:tc>
        <w:tc>
          <w:tcPr>
            <w:tcW w:w="1335" w:type="dxa"/>
          </w:tcPr>
          <w:p w14:paraId="77445337" w14:textId="77777777" w:rsidR="00075001" w:rsidRDefault="00075001" w:rsidP="00075001">
            <w:pPr>
              <w:pStyle w:val="TableParagraph"/>
              <w:rPr>
                <w:sz w:val="20"/>
              </w:rPr>
            </w:pPr>
            <w:r>
              <w:rPr>
                <w:sz w:val="20"/>
              </w:rPr>
              <w:t>441 (87.3%)</w:t>
            </w:r>
          </w:p>
        </w:tc>
        <w:tc>
          <w:tcPr>
            <w:tcW w:w="1217" w:type="dxa"/>
          </w:tcPr>
          <w:p w14:paraId="1339614A" w14:textId="77777777" w:rsidR="00075001" w:rsidRDefault="00075001" w:rsidP="00075001">
            <w:pPr>
              <w:pStyle w:val="TableParagraph"/>
              <w:rPr>
                <w:sz w:val="20"/>
              </w:rPr>
            </w:pPr>
            <w:r>
              <w:rPr>
                <w:sz w:val="20"/>
              </w:rPr>
              <w:t>460 (89.5%)</w:t>
            </w:r>
          </w:p>
        </w:tc>
      </w:tr>
      <w:tr w:rsidR="00075001" w14:paraId="1D390710" w14:textId="77777777" w:rsidTr="00075001">
        <w:trPr>
          <w:trHeight w:hRule="exact" w:val="265"/>
        </w:trPr>
        <w:tc>
          <w:tcPr>
            <w:tcW w:w="2258" w:type="dxa"/>
          </w:tcPr>
          <w:p w14:paraId="505F0F55" w14:textId="77777777" w:rsidR="00075001" w:rsidRDefault="00075001" w:rsidP="00075001">
            <w:pPr>
              <w:pStyle w:val="TableParagraph"/>
              <w:tabs>
                <w:tab w:val="left" w:pos="462"/>
              </w:tabs>
              <w:rPr>
                <w:sz w:val="20"/>
              </w:rPr>
            </w:pPr>
            <w:r>
              <w:rPr>
                <w:sz w:val="20"/>
              </w:rPr>
              <w:t>-</w:t>
            </w:r>
            <w:r>
              <w:rPr>
                <w:sz w:val="20"/>
              </w:rPr>
              <w:tab/>
              <w:t>Osteoarthritis</w:t>
            </w:r>
          </w:p>
        </w:tc>
        <w:tc>
          <w:tcPr>
            <w:tcW w:w="1219" w:type="dxa"/>
          </w:tcPr>
          <w:p w14:paraId="69DC0CDD" w14:textId="77777777" w:rsidR="00075001" w:rsidRDefault="00075001" w:rsidP="00075001">
            <w:pPr>
              <w:pStyle w:val="TableParagraph"/>
              <w:rPr>
                <w:sz w:val="20"/>
              </w:rPr>
            </w:pPr>
            <w:r>
              <w:rPr>
                <w:sz w:val="20"/>
              </w:rPr>
              <w:t>89 (46.8%)</w:t>
            </w:r>
          </w:p>
        </w:tc>
        <w:tc>
          <w:tcPr>
            <w:tcW w:w="1217" w:type="dxa"/>
          </w:tcPr>
          <w:p w14:paraId="39E66416" w14:textId="77777777" w:rsidR="00075001" w:rsidRDefault="00075001" w:rsidP="00075001">
            <w:pPr>
              <w:pStyle w:val="TableParagraph"/>
              <w:rPr>
                <w:sz w:val="20"/>
              </w:rPr>
            </w:pPr>
            <w:r>
              <w:rPr>
                <w:sz w:val="20"/>
              </w:rPr>
              <w:t>114 (59.7%)</w:t>
            </w:r>
          </w:p>
        </w:tc>
        <w:tc>
          <w:tcPr>
            <w:tcW w:w="1238" w:type="dxa"/>
          </w:tcPr>
          <w:p w14:paraId="569A65C0" w14:textId="77777777" w:rsidR="00075001" w:rsidRDefault="00075001" w:rsidP="00075001">
            <w:pPr>
              <w:pStyle w:val="TableParagraph"/>
              <w:ind w:left="102"/>
              <w:rPr>
                <w:sz w:val="20"/>
              </w:rPr>
            </w:pPr>
            <w:r>
              <w:rPr>
                <w:sz w:val="20"/>
              </w:rPr>
              <w:t>63 (33.0%)</w:t>
            </w:r>
          </w:p>
        </w:tc>
        <w:tc>
          <w:tcPr>
            <w:tcW w:w="1214" w:type="dxa"/>
          </w:tcPr>
          <w:p w14:paraId="7C3E54B5" w14:textId="77777777" w:rsidR="00075001" w:rsidRDefault="00075001" w:rsidP="00075001">
            <w:pPr>
              <w:pStyle w:val="TableParagraph"/>
              <w:rPr>
                <w:sz w:val="20"/>
              </w:rPr>
            </w:pPr>
            <w:r>
              <w:rPr>
                <w:sz w:val="20"/>
              </w:rPr>
              <w:t>55 (28.2%)</w:t>
            </w:r>
          </w:p>
        </w:tc>
        <w:tc>
          <w:tcPr>
            <w:tcW w:w="2205" w:type="dxa"/>
          </w:tcPr>
          <w:p w14:paraId="7E449B69" w14:textId="77777777" w:rsidR="00075001" w:rsidRDefault="00075001" w:rsidP="00075001">
            <w:pPr>
              <w:pStyle w:val="TableParagraph"/>
              <w:ind w:left="102"/>
              <w:rPr>
                <w:sz w:val="20"/>
              </w:rPr>
            </w:pPr>
            <w:r>
              <w:rPr>
                <w:sz w:val="20"/>
              </w:rPr>
              <w:t>114 (25.4%)</w:t>
            </w:r>
          </w:p>
        </w:tc>
        <w:tc>
          <w:tcPr>
            <w:tcW w:w="1276" w:type="dxa"/>
          </w:tcPr>
          <w:p w14:paraId="290B0E7F" w14:textId="77777777" w:rsidR="00075001" w:rsidRDefault="00075001" w:rsidP="00075001">
            <w:pPr>
              <w:pStyle w:val="TableParagraph"/>
              <w:rPr>
                <w:sz w:val="20"/>
              </w:rPr>
            </w:pPr>
            <w:r>
              <w:rPr>
                <w:sz w:val="20"/>
              </w:rPr>
              <w:t>179 (24.8%)</w:t>
            </w:r>
          </w:p>
        </w:tc>
        <w:tc>
          <w:tcPr>
            <w:tcW w:w="1275" w:type="dxa"/>
          </w:tcPr>
          <w:p w14:paraId="2837E1A6" w14:textId="77777777" w:rsidR="00075001" w:rsidRDefault="00075001" w:rsidP="00075001">
            <w:pPr>
              <w:pStyle w:val="TableParagraph"/>
              <w:rPr>
                <w:sz w:val="20"/>
              </w:rPr>
            </w:pPr>
            <w:r>
              <w:rPr>
                <w:sz w:val="20"/>
              </w:rPr>
              <w:t>133 (21.2%)</w:t>
            </w:r>
          </w:p>
        </w:tc>
        <w:tc>
          <w:tcPr>
            <w:tcW w:w="1335" w:type="dxa"/>
          </w:tcPr>
          <w:p w14:paraId="02D86A09" w14:textId="77777777" w:rsidR="00075001" w:rsidRDefault="00075001" w:rsidP="00075001">
            <w:pPr>
              <w:pStyle w:val="TableParagraph"/>
              <w:rPr>
                <w:sz w:val="20"/>
              </w:rPr>
            </w:pPr>
            <w:r>
              <w:rPr>
                <w:sz w:val="20"/>
              </w:rPr>
              <w:t>218 (43.2%)</w:t>
            </w:r>
          </w:p>
        </w:tc>
        <w:tc>
          <w:tcPr>
            <w:tcW w:w="1217" w:type="dxa"/>
          </w:tcPr>
          <w:p w14:paraId="43688EBF" w14:textId="77777777" w:rsidR="00075001" w:rsidRDefault="00075001" w:rsidP="00075001">
            <w:pPr>
              <w:pStyle w:val="TableParagraph"/>
              <w:rPr>
                <w:sz w:val="20"/>
              </w:rPr>
            </w:pPr>
            <w:r>
              <w:rPr>
                <w:sz w:val="20"/>
              </w:rPr>
              <w:t>236 (45.9%)</w:t>
            </w:r>
          </w:p>
        </w:tc>
      </w:tr>
      <w:tr w:rsidR="00075001" w14:paraId="12E135A6" w14:textId="77777777" w:rsidTr="00075001">
        <w:trPr>
          <w:trHeight w:hRule="exact" w:val="265"/>
        </w:trPr>
        <w:tc>
          <w:tcPr>
            <w:tcW w:w="2258" w:type="dxa"/>
          </w:tcPr>
          <w:p w14:paraId="2FD0BAD8" w14:textId="77777777" w:rsidR="00075001" w:rsidRDefault="00075001" w:rsidP="00075001">
            <w:pPr>
              <w:pStyle w:val="TableParagraph"/>
              <w:tabs>
                <w:tab w:val="left" w:pos="462"/>
              </w:tabs>
              <w:rPr>
                <w:sz w:val="20"/>
              </w:rPr>
            </w:pPr>
            <w:r>
              <w:rPr>
                <w:sz w:val="20"/>
              </w:rPr>
              <w:t>-</w:t>
            </w:r>
            <w:r>
              <w:rPr>
                <w:sz w:val="20"/>
              </w:rPr>
              <w:tab/>
              <w:t>Osteoporosis</w:t>
            </w:r>
          </w:p>
        </w:tc>
        <w:tc>
          <w:tcPr>
            <w:tcW w:w="1219" w:type="dxa"/>
          </w:tcPr>
          <w:p w14:paraId="759CB5A0" w14:textId="77777777" w:rsidR="00075001" w:rsidRDefault="00075001" w:rsidP="00075001">
            <w:pPr>
              <w:pStyle w:val="TableParagraph"/>
              <w:rPr>
                <w:sz w:val="20"/>
              </w:rPr>
            </w:pPr>
            <w:r>
              <w:rPr>
                <w:sz w:val="20"/>
              </w:rPr>
              <w:t>19 (10.0%)</w:t>
            </w:r>
          </w:p>
        </w:tc>
        <w:tc>
          <w:tcPr>
            <w:tcW w:w="1217" w:type="dxa"/>
          </w:tcPr>
          <w:p w14:paraId="17F0AE11" w14:textId="77777777" w:rsidR="00075001" w:rsidRDefault="00075001" w:rsidP="00075001">
            <w:pPr>
              <w:pStyle w:val="TableParagraph"/>
              <w:rPr>
                <w:sz w:val="20"/>
              </w:rPr>
            </w:pPr>
            <w:r>
              <w:rPr>
                <w:sz w:val="20"/>
              </w:rPr>
              <w:t>23 (12.0%)</w:t>
            </w:r>
          </w:p>
        </w:tc>
        <w:tc>
          <w:tcPr>
            <w:tcW w:w="1238" w:type="dxa"/>
          </w:tcPr>
          <w:p w14:paraId="07528E3B" w14:textId="77777777" w:rsidR="00075001" w:rsidRDefault="00075001" w:rsidP="00075001">
            <w:pPr>
              <w:pStyle w:val="TableParagraph"/>
              <w:ind w:left="102"/>
              <w:rPr>
                <w:sz w:val="20"/>
              </w:rPr>
            </w:pPr>
            <w:r>
              <w:rPr>
                <w:sz w:val="20"/>
              </w:rPr>
              <w:t>44 (23.0%)</w:t>
            </w:r>
          </w:p>
        </w:tc>
        <w:tc>
          <w:tcPr>
            <w:tcW w:w="1214" w:type="dxa"/>
          </w:tcPr>
          <w:p w14:paraId="05272EED" w14:textId="77777777" w:rsidR="00075001" w:rsidRDefault="00075001" w:rsidP="00075001">
            <w:pPr>
              <w:pStyle w:val="TableParagraph"/>
              <w:rPr>
                <w:sz w:val="20"/>
              </w:rPr>
            </w:pPr>
            <w:r>
              <w:rPr>
                <w:sz w:val="20"/>
              </w:rPr>
              <w:t>34 (17.4%)</w:t>
            </w:r>
          </w:p>
        </w:tc>
        <w:tc>
          <w:tcPr>
            <w:tcW w:w="2205" w:type="dxa"/>
          </w:tcPr>
          <w:p w14:paraId="4B3FE422" w14:textId="77777777" w:rsidR="00075001" w:rsidRDefault="00075001" w:rsidP="00075001">
            <w:pPr>
              <w:pStyle w:val="TableParagraph"/>
              <w:ind w:left="102"/>
              <w:rPr>
                <w:sz w:val="20"/>
              </w:rPr>
            </w:pPr>
            <w:r>
              <w:rPr>
                <w:sz w:val="20"/>
              </w:rPr>
              <w:t>73 (16.3%)</w:t>
            </w:r>
          </w:p>
        </w:tc>
        <w:tc>
          <w:tcPr>
            <w:tcW w:w="1276" w:type="dxa"/>
          </w:tcPr>
          <w:p w14:paraId="6D1FC25E" w14:textId="77777777" w:rsidR="00075001" w:rsidRDefault="00075001" w:rsidP="00075001">
            <w:pPr>
              <w:pStyle w:val="TableParagraph"/>
              <w:rPr>
                <w:sz w:val="20"/>
              </w:rPr>
            </w:pPr>
            <w:r>
              <w:rPr>
                <w:sz w:val="20"/>
              </w:rPr>
              <w:t>79 (10.9%)</w:t>
            </w:r>
          </w:p>
        </w:tc>
        <w:tc>
          <w:tcPr>
            <w:tcW w:w="1275" w:type="dxa"/>
          </w:tcPr>
          <w:p w14:paraId="76707E11" w14:textId="77777777" w:rsidR="00075001" w:rsidRDefault="00075001" w:rsidP="00075001">
            <w:pPr>
              <w:pStyle w:val="TableParagraph"/>
              <w:rPr>
                <w:sz w:val="20"/>
              </w:rPr>
            </w:pPr>
            <w:r>
              <w:rPr>
                <w:sz w:val="20"/>
              </w:rPr>
              <w:t>64 (10.2%)</w:t>
            </w:r>
          </w:p>
        </w:tc>
        <w:tc>
          <w:tcPr>
            <w:tcW w:w="1335" w:type="dxa"/>
          </w:tcPr>
          <w:p w14:paraId="54A13DFF" w14:textId="77777777" w:rsidR="00075001" w:rsidRDefault="00075001" w:rsidP="00075001">
            <w:pPr>
              <w:pStyle w:val="TableParagraph"/>
              <w:rPr>
                <w:sz w:val="20"/>
              </w:rPr>
            </w:pPr>
            <w:r>
              <w:rPr>
                <w:sz w:val="20"/>
              </w:rPr>
              <w:t>104 (20.6%)</w:t>
            </w:r>
          </w:p>
        </w:tc>
        <w:tc>
          <w:tcPr>
            <w:tcW w:w="1217" w:type="dxa"/>
          </w:tcPr>
          <w:p w14:paraId="48D44829" w14:textId="77777777" w:rsidR="00075001" w:rsidRDefault="00075001" w:rsidP="00075001">
            <w:pPr>
              <w:pStyle w:val="TableParagraph"/>
              <w:rPr>
                <w:sz w:val="20"/>
              </w:rPr>
            </w:pPr>
            <w:r>
              <w:rPr>
                <w:sz w:val="20"/>
              </w:rPr>
              <w:t>106 (20.6%)</w:t>
            </w:r>
          </w:p>
        </w:tc>
      </w:tr>
      <w:tr w:rsidR="00075001" w14:paraId="64707687" w14:textId="77777777" w:rsidTr="00075001">
        <w:trPr>
          <w:trHeight w:hRule="exact" w:val="265"/>
        </w:trPr>
        <w:tc>
          <w:tcPr>
            <w:tcW w:w="2258" w:type="dxa"/>
          </w:tcPr>
          <w:p w14:paraId="64D3D23B" w14:textId="77777777" w:rsidR="00075001" w:rsidRDefault="00075001" w:rsidP="00075001">
            <w:pPr>
              <w:pStyle w:val="TableParagraph"/>
              <w:tabs>
                <w:tab w:val="left" w:pos="462"/>
              </w:tabs>
              <w:rPr>
                <w:sz w:val="20"/>
              </w:rPr>
            </w:pPr>
            <w:r>
              <w:rPr>
                <w:sz w:val="20"/>
              </w:rPr>
              <w:t>-</w:t>
            </w:r>
            <w:r>
              <w:rPr>
                <w:sz w:val="20"/>
              </w:rPr>
              <w:tab/>
              <w:t>Parkinsonism</w:t>
            </w:r>
          </w:p>
        </w:tc>
        <w:tc>
          <w:tcPr>
            <w:tcW w:w="1219" w:type="dxa"/>
          </w:tcPr>
          <w:p w14:paraId="2D3512BA" w14:textId="77777777" w:rsidR="00075001" w:rsidRDefault="00075001" w:rsidP="00075001">
            <w:pPr>
              <w:pStyle w:val="TableParagraph"/>
              <w:rPr>
                <w:sz w:val="20"/>
              </w:rPr>
            </w:pPr>
            <w:r>
              <w:rPr>
                <w:sz w:val="20"/>
              </w:rPr>
              <w:t>4 (2.1%)</w:t>
            </w:r>
          </w:p>
        </w:tc>
        <w:tc>
          <w:tcPr>
            <w:tcW w:w="1217" w:type="dxa"/>
          </w:tcPr>
          <w:p w14:paraId="681C359F" w14:textId="77777777" w:rsidR="00075001" w:rsidRDefault="00075001" w:rsidP="00075001">
            <w:pPr>
              <w:pStyle w:val="TableParagraph"/>
              <w:rPr>
                <w:sz w:val="20"/>
              </w:rPr>
            </w:pPr>
            <w:r>
              <w:rPr>
                <w:sz w:val="20"/>
              </w:rPr>
              <w:t>1 (0.5%)</w:t>
            </w:r>
          </w:p>
        </w:tc>
        <w:tc>
          <w:tcPr>
            <w:tcW w:w="1238" w:type="dxa"/>
          </w:tcPr>
          <w:p w14:paraId="1D41FC9D" w14:textId="77777777" w:rsidR="00075001" w:rsidRDefault="00075001" w:rsidP="00075001">
            <w:pPr>
              <w:pStyle w:val="TableParagraph"/>
              <w:ind w:left="102"/>
              <w:rPr>
                <w:sz w:val="20"/>
              </w:rPr>
            </w:pPr>
            <w:r>
              <w:rPr>
                <w:sz w:val="20"/>
              </w:rPr>
              <w:t>10 (5.2%)</w:t>
            </w:r>
          </w:p>
        </w:tc>
        <w:tc>
          <w:tcPr>
            <w:tcW w:w="1214" w:type="dxa"/>
          </w:tcPr>
          <w:p w14:paraId="0784E370" w14:textId="77777777" w:rsidR="00075001" w:rsidRDefault="00075001" w:rsidP="00075001">
            <w:pPr>
              <w:pStyle w:val="TableParagraph"/>
              <w:rPr>
                <w:sz w:val="20"/>
              </w:rPr>
            </w:pPr>
            <w:r>
              <w:rPr>
                <w:sz w:val="20"/>
              </w:rPr>
              <w:t>3 (1.5%)</w:t>
            </w:r>
          </w:p>
        </w:tc>
        <w:tc>
          <w:tcPr>
            <w:tcW w:w="2205" w:type="dxa"/>
          </w:tcPr>
          <w:p w14:paraId="1015EF58" w14:textId="77777777" w:rsidR="00075001" w:rsidRDefault="00075001" w:rsidP="00075001">
            <w:pPr>
              <w:pStyle w:val="TableParagraph"/>
              <w:ind w:left="102"/>
              <w:rPr>
                <w:sz w:val="20"/>
              </w:rPr>
            </w:pPr>
            <w:r>
              <w:rPr>
                <w:sz w:val="20"/>
              </w:rPr>
              <w:t>3 (0.7%)</w:t>
            </w:r>
          </w:p>
        </w:tc>
        <w:tc>
          <w:tcPr>
            <w:tcW w:w="1276" w:type="dxa"/>
          </w:tcPr>
          <w:p w14:paraId="348BCA87" w14:textId="77777777" w:rsidR="00075001" w:rsidRDefault="00075001" w:rsidP="00075001">
            <w:pPr>
              <w:pStyle w:val="TableParagraph"/>
              <w:rPr>
                <w:sz w:val="20"/>
              </w:rPr>
            </w:pPr>
            <w:r>
              <w:rPr>
                <w:sz w:val="20"/>
              </w:rPr>
              <w:t>22 (3.0%)</w:t>
            </w:r>
          </w:p>
        </w:tc>
        <w:tc>
          <w:tcPr>
            <w:tcW w:w="1275" w:type="dxa"/>
          </w:tcPr>
          <w:p w14:paraId="71E5626D" w14:textId="77777777" w:rsidR="00075001" w:rsidRDefault="00075001" w:rsidP="00075001">
            <w:pPr>
              <w:pStyle w:val="TableParagraph"/>
              <w:rPr>
                <w:sz w:val="20"/>
              </w:rPr>
            </w:pPr>
            <w:r>
              <w:rPr>
                <w:sz w:val="20"/>
              </w:rPr>
              <w:t>13 (2.1%)</w:t>
            </w:r>
          </w:p>
        </w:tc>
        <w:tc>
          <w:tcPr>
            <w:tcW w:w="1335" w:type="dxa"/>
          </w:tcPr>
          <w:p w14:paraId="07FDD115" w14:textId="77777777" w:rsidR="00075001" w:rsidRDefault="00075001" w:rsidP="00075001">
            <w:pPr>
              <w:pStyle w:val="TableParagraph"/>
              <w:rPr>
                <w:sz w:val="20"/>
              </w:rPr>
            </w:pPr>
            <w:r>
              <w:rPr>
                <w:sz w:val="20"/>
              </w:rPr>
              <w:t>7 (1.4%)</w:t>
            </w:r>
          </w:p>
        </w:tc>
        <w:tc>
          <w:tcPr>
            <w:tcW w:w="1217" w:type="dxa"/>
          </w:tcPr>
          <w:p w14:paraId="2F4AD23F" w14:textId="77777777" w:rsidR="00075001" w:rsidRDefault="00075001" w:rsidP="00075001">
            <w:pPr>
              <w:pStyle w:val="TableParagraph"/>
              <w:rPr>
                <w:sz w:val="20"/>
              </w:rPr>
            </w:pPr>
            <w:r>
              <w:rPr>
                <w:sz w:val="20"/>
              </w:rPr>
              <w:t>15 (2.9%)</w:t>
            </w:r>
          </w:p>
        </w:tc>
      </w:tr>
      <w:tr w:rsidR="00075001" w14:paraId="2A099D52" w14:textId="77777777" w:rsidTr="00075001">
        <w:trPr>
          <w:trHeight w:hRule="exact" w:val="498"/>
        </w:trPr>
        <w:tc>
          <w:tcPr>
            <w:tcW w:w="2258" w:type="dxa"/>
          </w:tcPr>
          <w:p w14:paraId="4980095C" w14:textId="77777777" w:rsidR="00075001" w:rsidRDefault="00075001" w:rsidP="00075001">
            <w:pPr>
              <w:pStyle w:val="TableParagraph"/>
              <w:tabs>
                <w:tab w:val="left" w:pos="462"/>
              </w:tabs>
              <w:ind w:left="463" w:right="785" w:hanging="360"/>
              <w:rPr>
                <w:sz w:val="20"/>
              </w:rPr>
            </w:pPr>
            <w:r>
              <w:rPr>
                <w:sz w:val="20"/>
              </w:rPr>
              <w:t>-</w:t>
            </w:r>
            <w:r>
              <w:rPr>
                <w:sz w:val="20"/>
              </w:rPr>
              <w:tab/>
              <w:t>Rheumatoid arthritis</w:t>
            </w:r>
          </w:p>
        </w:tc>
        <w:tc>
          <w:tcPr>
            <w:tcW w:w="1219" w:type="dxa"/>
          </w:tcPr>
          <w:p w14:paraId="4FF3F2FA" w14:textId="77777777" w:rsidR="00075001" w:rsidRDefault="00075001" w:rsidP="00075001">
            <w:pPr>
              <w:pStyle w:val="TableParagraph"/>
              <w:rPr>
                <w:sz w:val="20"/>
              </w:rPr>
            </w:pPr>
            <w:r>
              <w:rPr>
                <w:sz w:val="20"/>
              </w:rPr>
              <w:t>12 (6.3%)</w:t>
            </w:r>
          </w:p>
        </w:tc>
        <w:tc>
          <w:tcPr>
            <w:tcW w:w="1217" w:type="dxa"/>
          </w:tcPr>
          <w:p w14:paraId="5CBD3184" w14:textId="77777777" w:rsidR="00075001" w:rsidRDefault="00075001" w:rsidP="00075001">
            <w:pPr>
              <w:pStyle w:val="TableParagraph"/>
              <w:rPr>
                <w:sz w:val="20"/>
              </w:rPr>
            </w:pPr>
            <w:r>
              <w:rPr>
                <w:sz w:val="20"/>
              </w:rPr>
              <w:t>12 (6.3%)</w:t>
            </w:r>
          </w:p>
        </w:tc>
        <w:tc>
          <w:tcPr>
            <w:tcW w:w="1238" w:type="dxa"/>
          </w:tcPr>
          <w:p w14:paraId="612186D8" w14:textId="77777777" w:rsidR="00075001" w:rsidRDefault="00075001" w:rsidP="00075001">
            <w:pPr>
              <w:pStyle w:val="TableParagraph"/>
              <w:ind w:left="102"/>
              <w:rPr>
                <w:sz w:val="20"/>
              </w:rPr>
            </w:pPr>
            <w:r>
              <w:rPr>
                <w:sz w:val="20"/>
              </w:rPr>
              <w:t>8 (4.2%)</w:t>
            </w:r>
          </w:p>
        </w:tc>
        <w:tc>
          <w:tcPr>
            <w:tcW w:w="1214" w:type="dxa"/>
          </w:tcPr>
          <w:p w14:paraId="5E3EE9E7" w14:textId="77777777" w:rsidR="00075001" w:rsidRDefault="00075001" w:rsidP="00075001">
            <w:pPr>
              <w:pStyle w:val="TableParagraph"/>
              <w:rPr>
                <w:sz w:val="20"/>
              </w:rPr>
            </w:pPr>
            <w:r>
              <w:rPr>
                <w:sz w:val="20"/>
              </w:rPr>
              <w:t>3 (1.5%)</w:t>
            </w:r>
          </w:p>
        </w:tc>
        <w:tc>
          <w:tcPr>
            <w:tcW w:w="2205" w:type="dxa"/>
          </w:tcPr>
          <w:p w14:paraId="2EA0302A" w14:textId="77777777" w:rsidR="00075001" w:rsidRDefault="00075001" w:rsidP="00075001">
            <w:pPr>
              <w:pStyle w:val="TableParagraph"/>
              <w:ind w:left="102"/>
              <w:rPr>
                <w:sz w:val="20"/>
              </w:rPr>
            </w:pPr>
            <w:r>
              <w:rPr>
                <w:sz w:val="20"/>
              </w:rPr>
              <w:t>31 (6.9%)</w:t>
            </w:r>
          </w:p>
        </w:tc>
        <w:tc>
          <w:tcPr>
            <w:tcW w:w="1276" w:type="dxa"/>
          </w:tcPr>
          <w:p w14:paraId="52648EA7" w14:textId="77777777" w:rsidR="00075001" w:rsidRDefault="00075001" w:rsidP="00075001">
            <w:pPr>
              <w:pStyle w:val="TableParagraph"/>
              <w:rPr>
                <w:sz w:val="20"/>
              </w:rPr>
            </w:pPr>
            <w:r>
              <w:rPr>
                <w:sz w:val="20"/>
              </w:rPr>
              <w:t>33 (4.6%)</w:t>
            </w:r>
          </w:p>
        </w:tc>
        <w:tc>
          <w:tcPr>
            <w:tcW w:w="1275" w:type="dxa"/>
          </w:tcPr>
          <w:p w14:paraId="76C17CDF" w14:textId="77777777" w:rsidR="00075001" w:rsidRDefault="00075001" w:rsidP="00075001">
            <w:pPr>
              <w:pStyle w:val="TableParagraph"/>
              <w:rPr>
                <w:sz w:val="20"/>
              </w:rPr>
            </w:pPr>
            <w:r>
              <w:rPr>
                <w:sz w:val="20"/>
              </w:rPr>
              <w:t>22 (3.5%)</w:t>
            </w:r>
          </w:p>
        </w:tc>
        <w:tc>
          <w:tcPr>
            <w:tcW w:w="1335" w:type="dxa"/>
          </w:tcPr>
          <w:p w14:paraId="77E07FE7" w14:textId="77777777" w:rsidR="00075001" w:rsidRDefault="00075001" w:rsidP="00075001">
            <w:pPr>
              <w:pStyle w:val="TableParagraph"/>
              <w:rPr>
                <w:sz w:val="20"/>
              </w:rPr>
            </w:pPr>
            <w:r>
              <w:rPr>
                <w:sz w:val="20"/>
              </w:rPr>
              <w:t>97 (19.2%)</w:t>
            </w:r>
          </w:p>
        </w:tc>
        <w:tc>
          <w:tcPr>
            <w:tcW w:w="1217" w:type="dxa"/>
          </w:tcPr>
          <w:p w14:paraId="7A97BBB9" w14:textId="77777777" w:rsidR="00075001" w:rsidRDefault="00075001" w:rsidP="00075001">
            <w:pPr>
              <w:pStyle w:val="TableParagraph"/>
              <w:rPr>
                <w:sz w:val="20"/>
              </w:rPr>
            </w:pPr>
            <w:r>
              <w:rPr>
                <w:sz w:val="20"/>
              </w:rPr>
              <w:t>98 (19.1%)</w:t>
            </w:r>
          </w:p>
        </w:tc>
      </w:tr>
      <w:tr w:rsidR="00075001" w14:paraId="5C1B28A7" w14:textId="77777777" w:rsidTr="00075001">
        <w:trPr>
          <w:trHeight w:hRule="exact" w:val="265"/>
        </w:trPr>
        <w:tc>
          <w:tcPr>
            <w:tcW w:w="2258" w:type="dxa"/>
          </w:tcPr>
          <w:p w14:paraId="4DE52908" w14:textId="77777777" w:rsidR="00075001" w:rsidRDefault="00075001" w:rsidP="00075001">
            <w:pPr>
              <w:pStyle w:val="TableParagraph"/>
              <w:tabs>
                <w:tab w:val="left" w:pos="462"/>
              </w:tabs>
              <w:rPr>
                <w:sz w:val="20"/>
              </w:rPr>
            </w:pPr>
            <w:r>
              <w:rPr>
                <w:sz w:val="20"/>
              </w:rPr>
              <w:t>-</w:t>
            </w:r>
            <w:r>
              <w:rPr>
                <w:sz w:val="20"/>
              </w:rPr>
              <w:tab/>
              <w:t>Vision</w:t>
            </w:r>
            <w:r>
              <w:rPr>
                <w:spacing w:val="-7"/>
                <w:sz w:val="20"/>
              </w:rPr>
              <w:t xml:space="preserve"> </w:t>
            </w:r>
            <w:r>
              <w:rPr>
                <w:sz w:val="20"/>
              </w:rPr>
              <w:t>problems</w:t>
            </w:r>
          </w:p>
        </w:tc>
        <w:tc>
          <w:tcPr>
            <w:tcW w:w="1219" w:type="dxa"/>
          </w:tcPr>
          <w:p w14:paraId="6B63F45E" w14:textId="77777777" w:rsidR="00075001" w:rsidRDefault="00075001" w:rsidP="00075001">
            <w:pPr>
              <w:pStyle w:val="TableParagraph"/>
              <w:rPr>
                <w:sz w:val="20"/>
              </w:rPr>
            </w:pPr>
            <w:r>
              <w:rPr>
                <w:sz w:val="20"/>
              </w:rPr>
              <w:t>26 (13.7%)</w:t>
            </w:r>
          </w:p>
        </w:tc>
        <w:tc>
          <w:tcPr>
            <w:tcW w:w="1217" w:type="dxa"/>
          </w:tcPr>
          <w:p w14:paraId="74A29987" w14:textId="77777777" w:rsidR="00075001" w:rsidRDefault="00075001" w:rsidP="00075001">
            <w:pPr>
              <w:pStyle w:val="TableParagraph"/>
              <w:rPr>
                <w:sz w:val="20"/>
              </w:rPr>
            </w:pPr>
            <w:r>
              <w:rPr>
                <w:sz w:val="20"/>
              </w:rPr>
              <w:t>34 (17.8%)</w:t>
            </w:r>
          </w:p>
        </w:tc>
        <w:tc>
          <w:tcPr>
            <w:tcW w:w="1238" w:type="dxa"/>
          </w:tcPr>
          <w:p w14:paraId="1CE8D917" w14:textId="77777777" w:rsidR="00075001" w:rsidRDefault="00075001" w:rsidP="00075001">
            <w:pPr>
              <w:pStyle w:val="TableParagraph"/>
              <w:ind w:left="102"/>
              <w:rPr>
                <w:sz w:val="20"/>
              </w:rPr>
            </w:pPr>
            <w:r>
              <w:rPr>
                <w:sz w:val="20"/>
              </w:rPr>
              <w:t>72 (37.7%)</w:t>
            </w:r>
          </w:p>
        </w:tc>
        <w:tc>
          <w:tcPr>
            <w:tcW w:w="1214" w:type="dxa"/>
          </w:tcPr>
          <w:p w14:paraId="2BDD0360" w14:textId="77777777" w:rsidR="00075001" w:rsidRDefault="00075001" w:rsidP="00075001">
            <w:pPr>
              <w:pStyle w:val="TableParagraph"/>
              <w:rPr>
                <w:sz w:val="20"/>
              </w:rPr>
            </w:pPr>
            <w:r>
              <w:rPr>
                <w:sz w:val="20"/>
              </w:rPr>
              <w:t>68 (34.9%)</w:t>
            </w:r>
          </w:p>
        </w:tc>
        <w:tc>
          <w:tcPr>
            <w:tcW w:w="2205" w:type="dxa"/>
          </w:tcPr>
          <w:p w14:paraId="58D7404E" w14:textId="77777777" w:rsidR="00075001" w:rsidRDefault="00075001" w:rsidP="00075001">
            <w:pPr>
              <w:pStyle w:val="TableParagraph"/>
              <w:ind w:left="102"/>
              <w:rPr>
                <w:sz w:val="20"/>
              </w:rPr>
            </w:pPr>
            <w:r>
              <w:rPr>
                <w:sz w:val="20"/>
              </w:rPr>
              <w:t>121 (27.0%)</w:t>
            </w:r>
          </w:p>
        </w:tc>
        <w:tc>
          <w:tcPr>
            <w:tcW w:w="1276" w:type="dxa"/>
          </w:tcPr>
          <w:p w14:paraId="54CAE6A6" w14:textId="77777777" w:rsidR="00075001" w:rsidRDefault="00075001" w:rsidP="00075001">
            <w:pPr>
              <w:pStyle w:val="TableParagraph"/>
              <w:rPr>
                <w:sz w:val="20"/>
              </w:rPr>
            </w:pPr>
            <w:r>
              <w:rPr>
                <w:sz w:val="20"/>
              </w:rPr>
              <w:t>187 (25.9%)</w:t>
            </w:r>
          </w:p>
        </w:tc>
        <w:tc>
          <w:tcPr>
            <w:tcW w:w="1275" w:type="dxa"/>
          </w:tcPr>
          <w:p w14:paraId="06FF40E1" w14:textId="77777777" w:rsidR="00075001" w:rsidRDefault="00075001" w:rsidP="00075001">
            <w:pPr>
              <w:pStyle w:val="TableParagraph"/>
              <w:rPr>
                <w:sz w:val="20"/>
              </w:rPr>
            </w:pPr>
            <w:r>
              <w:rPr>
                <w:sz w:val="20"/>
              </w:rPr>
              <w:t>159 (25.4%)</w:t>
            </w:r>
          </w:p>
        </w:tc>
        <w:tc>
          <w:tcPr>
            <w:tcW w:w="1335" w:type="dxa"/>
          </w:tcPr>
          <w:p w14:paraId="0968B1A9" w14:textId="77777777" w:rsidR="00075001" w:rsidRDefault="00075001" w:rsidP="00075001">
            <w:pPr>
              <w:pStyle w:val="TableParagraph"/>
              <w:rPr>
                <w:sz w:val="20"/>
              </w:rPr>
            </w:pPr>
            <w:r>
              <w:rPr>
                <w:sz w:val="20"/>
              </w:rPr>
              <w:t>224 (44.4%)</w:t>
            </w:r>
          </w:p>
        </w:tc>
        <w:tc>
          <w:tcPr>
            <w:tcW w:w="1217" w:type="dxa"/>
          </w:tcPr>
          <w:p w14:paraId="10746389" w14:textId="77777777" w:rsidR="00075001" w:rsidRDefault="00075001" w:rsidP="00075001">
            <w:pPr>
              <w:pStyle w:val="TableParagraph"/>
              <w:rPr>
                <w:sz w:val="20"/>
              </w:rPr>
            </w:pPr>
            <w:r>
              <w:rPr>
                <w:sz w:val="20"/>
              </w:rPr>
              <w:t>251 (48.8%)</w:t>
            </w:r>
          </w:p>
        </w:tc>
      </w:tr>
      <w:tr w:rsidR="00075001" w14:paraId="2A4B94BD" w14:textId="77777777" w:rsidTr="00075001">
        <w:trPr>
          <w:trHeight w:hRule="exact" w:val="742"/>
        </w:trPr>
        <w:tc>
          <w:tcPr>
            <w:tcW w:w="2258" w:type="dxa"/>
          </w:tcPr>
          <w:p w14:paraId="18F37D1D" w14:textId="77777777" w:rsidR="00075001" w:rsidRDefault="00075001" w:rsidP="00075001">
            <w:pPr>
              <w:pStyle w:val="TableParagraph"/>
              <w:ind w:right="156"/>
              <w:rPr>
                <w:sz w:val="20"/>
              </w:rPr>
            </w:pPr>
            <w:r>
              <w:rPr>
                <w:sz w:val="20"/>
              </w:rPr>
              <w:t xml:space="preserve">Disease count according to </w:t>
            </w:r>
            <w:proofErr w:type="spellStart"/>
            <w:r>
              <w:rPr>
                <w:sz w:val="20"/>
              </w:rPr>
              <w:t>Diederichs</w:t>
            </w:r>
            <w:proofErr w:type="spellEnd"/>
            <w:r>
              <w:rPr>
                <w:sz w:val="20"/>
              </w:rPr>
              <w:t xml:space="preserve"> list – Median (IQR)</w:t>
            </w:r>
          </w:p>
        </w:tc>
        <w:tc>
          <w:tcPr>
            <w:tcW w:w="1219" w:type="dxa"/>
          </w:tcPr>
          <w:p w14:paraId="50139155" w14:textId="77777777" w:rsidR="00075001" w:rsidRDefault="00075001" w:rsidP="00075001">
            <w:pPr>
              <w:pStyle w:val="TableParagraph"/>
              <w:rPr>
                <w:sz w:val="20"/>
              </w:rPr>
            </w:pPr>
            <w:r>
              <w:rPr>
                <w:sz w:val="20"/>
              </w:rPr>
              <w:t>4 (4)</w:t>
            </w:r>
          </w:p>
        </w:tc>
        <w:tc>
          <w:tcPr>
            <w:tcW w:w="1217" w:type="dxa"/>
          </w:tcPr>
          <w:p w14:paraId="19BB54E1" w14:textId="77777777" w:rsidR="00075001" w:rsidRDefault="00075001" w:rsidP="00075001">
            <w:pPr>
              <w:pStyle w:val="TableParagraph"/>
              <w:rPr>
                <w:sz w:val="20"/>
              </w:rPr>
            </w:pPr>
            <w:r>
              <w:rPr>
                <w:sz w:val="20"/>
              </w:rPr>
              <w:t>4 (3)</w:t>
            </w:r>
          </w:p>
        </w:tc>
        <w:tc>
          <w:tcPr>
            <w:tcW w:w="1238" w:type="dxa"/>
          </w:tcPr>
          <w:p w14:paraId="42B3FDE6" w14:textId="77777777" w:rsidR="00075001" w:rsidRDefault="00075001" w:rsidP="00075001">
            <w:pPr>
              <w:pStyle w:val="TableParagraph"/>
              <w:ind w:left="102"/>
              <w:rPr>
                <w:sz w:val="20"/>
              </w:rPr>
            </w:pPr>
            <w:r>
              <w:rPr>
                <w:sz w:val="20"/>
              </w:rPr>
              <w:t>3 (5)</w:t>
            </w:r>
          </w:p>
        </w:tc>
        <w:tc>
          <w:tcPr>
            <w:tcW w:w="1214" w:type="dxa"/>
          </w:tcPr>
          <w:p w14:paraId="0E20494F" w14:textId="77777777" w:rsidR="00075001" w:rsidRDefault="00075001" w:rsidP="00075001">
            <w:pPr>
              <w:pStyle w:val="TableParagraph"/>
              <w:rPr>
                <w:sz w:val="20"/>
              </w:rPr>
            </w:pPr>
            <w:r>
              <w:rPr>
                <w:sz w:val="20"/>
              </w:rPr>
              <w:t>3 (5)</w:t>
            </w:r>
          </w:p>
        </w:tc>
        <w:tc>
          <w:tcPr>
            <w:tcW w:w="2205" w:type="dxa"/>
          </w:tcPr>
          <w:p w14:paraId="07A90CA2" w14:textId="77777777" w:rsidR="00075001" w:rsidRDefault="00075001" w:rsidP="00075001">
            <w:pPr>
              <w:pStyle w:val="TableParagraph"/>
              <w:ind w:left="102"/>
              <w:rPr>
                <w:sz w:val="20"/>
              </w:rPr>
            </w:pPr>
            <w:r>
              <w:rPr>
                <w:sz w:val="20"/>
              </w:rPr>
              <w:t>3 (3)</w:t>
            </w:r>
          </w:p>
        </w:tc>
        <w:tc>
          <w:tcPr>
            <w:tcW w:w="1276" w:type="dxa"/>
          </w:tcPr>
          <w:p w14:paraId="7B56476A" w14:textId="77777777" w:rsidR="00075001" w:rsidRDefault="00075001" w:rsidP="00075001">
            <w:pPr>
              <w:pStyle w:val="TableParagraph"/>
              <w:rPr>
                <w:sz w:val="20"/>
              </w:rPr>
            </w:pPr>
            <w:r>
              <w:rPr>
                <w:sz w:val="20"/>
              </w:rPr>
              <w:t>3 (5)</w:t>
            </w:r>
          </w:p>
        </w:tc>
        <w:tc>
          <w:tcPr>
            <w:tcW w:w="1275" w:type="dxa"/>
          </w:tcPr>
          <w:p w14:paraId="37FE9FED" w14:textId="77777777" w:rsidR="00075001" w:rsidRDefault="00075001" w:rsidP="00075001">
            <w:pPr>
              <w:pStyle w:val="TableParagraph"/>
              <w:rPr>
                <w:sz w:val="20"/>
              </w:rPr>
            </w:pPr>
            <w:r>
              <w:rPr>
                <w:sz w:val="20"/>
              </w:rPr>
              <w:t>2 (5)</w:t>
            </w:r>
          </w:p>
        </w:tc>
        <w:tc>
          <w:tcPr>
            <w:tcW w:w="1335" w:type="dxa"/>
          </w:tcPr>
          <w:p w14:paraId="3E4A08A9" w14:textId="77777777" w:rsidR="00075001" w:rsidRDefault="00075001" w:rsidP="00075001">
            <w:pPr>
              <w:pStyle w:val="TableParagraph"/>
              <w:rPr>
                <w:sz w:val="20"/>
              </w:rPr>
            </w:pPr>
            <w:r>
              <w:rPr>
                <w:sz w:val="20"/>
              </w:rPr>
              <w:t>4 (4)</w:t>
            </w:r>
          </w:p>
        </w:tc>
        <w:tc>
          <w:tcPr>
            <w:tcW w:w="1217" w:type="dxa"/>
          </w:tcPr>
          <w:p w14:paraId="393B12C3" w14:textId="77777777" w:rsidR="00075001" w:rsidRDefault="00075001" w:rsidP="00075001">
            <w:pPr>
              <w:pStyle w:val="TableParagraph"/>
              <w:rPr>
                <w:sz w:val="20"/>
              </w:rPr>
            </w:pPr>
            <w:r>
              <w:rPr>
                <w:sz w:val="20"/>
              </w:rPr>
              <w:t>4 (4)</w:t>
            </w:r>
          </w:p>
        </w:tc>
      </w:tr>
    </w:tbl>
    <w:p w14:paraId="3095DE98" w14:textId="77777777" w:rsidR="00075001" w:rsidRDefault="00075001" w:rsidP="00075001">
      <w:pPr>
        <w:pStyle w:val="BodyText"/>
        <w:spacing w:before="2"/>
        <w:rPr>
          <w:b/>
          <w:sz w:val="14"/>
        </w:rPr>
      </w:pPr>
    </w:p>
    <w:p w14:paraId="00892F16" w14:textId="77777777" w:rsidR="00075001" w:rsidRPr="00BE21F9" w:rsidRDefault="00075001" w:rsidP="00075001">
      <w:pPr>
        <w:spacing w:before="60"/>
        <w:ind w:left="116"/>
        <w:rPr>
          <w:rFonts w:asciiTheme="minorHAnsi" w:hAnsiTheme="minorHAnsi" w:cstheme="minorHAnsi"/>
          <w:b/>
          <w:sz w:val="20"/>
        </w:rPr>
      </w:pPr>
      <w:proofErr w:type="spellStart"/>
      <w:r w:rsidRPr="00BE21F9">
        <w:rPr>
          <w:rFonts w:asciiTheme="minorHAnsi" w:hAnsiTheme="minorHAnsi" w:cstheme="minorHAnsi"/>
          <w:b/>
          <w:sz w:val="20"/>
        </w:rPr>
        <w:t>Candidate</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prognostic</w:t>
      </w:r>
      <w:proofErr w:type="spellEnd"/>
      <w:r w:rsidRPr="00BE21F9">
        <w:rPr>
          <w:rFonts w:asciiTheme="minorHAnsi" w:hAnsiTheme="minorHAnsi" w:cstheme="minorHAnsi"/>
          <w:b/>
          <w:sz w:val="20"/>
        </w:rPr>
        <w:t xml:space="preserve"> variables – </w:t>
      </w:r>
      <w:proofErr w:type="spellStart"/>
      <w:r w:rsidRPr="00BE21F9">
        <w:rPr>
          <w:rFonts w:asciiTheme="minorHAnsi" w:hAnsiTheme="minorHAnsi" w:cstheme="minorHAnsi"/>
          <w:b/>
          <w:sz w:val="20"/>
        </w:rPr>
        <w:t>Medication-related</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baseline</w:t>
      </w:r>
      <w:proofErr w:type="spellEnd"/>
      <w:r w:rsidRPr="00BE21F9">
        <w:rPr>
          <w:rFonts w:asciiTheme="minorHAnsi" w:hAnsiTheme="minorHAnsi" w:cstheme="minorHAnsi"/>
          <w:b/>
          <w:sz w:val="20"/>
        </w:rPr>
        <w:t>)</w:t>
      </w:r>
    </w:p>
    <w:p w14:paraId="29E00582" w14:textId="77777777" w:rsidR="00075001" w:rsidRDefault="00075001" w:rsidP="00075001">
      <w:pPr>
        <w:pStyle w:val="BodyText"/>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1276"/>
        <w:gridCol w:w="1134"/>
        <w:gridCol w:w="1276"/>
        <w:gridCol w:w="1134"/>
        <w:gridCol w:w="2268"/>
        <w:gridCol w:w="1276"/>
        <w:gridCol w:w="1275"/>
        <w:gridCol w:w="1378"/>
        <w:gridCol w:w="1174"/>
      </w:tblGrid>
      <w:tr w:rsidR="00075001" w14:paraId="546423CB" w14:textId="77777777" w:rsidTr="00075001">
        <w:trPr>
          <w:trHeight w:hRule="exact" w:val="498"/>
        </w:trPr>
        <w:tc>
          <w:tcPr>
            <w:tcW w:w="2263" w:type="dxa"/>
            <w:vMerge w:val="restart"/>
          </w:tcPr>
          <w:p w14:paraId="12400DA5" w14:textId="77777777" w:rsidR="00075001" w:rsidRDefault="00075001" w:rsidP="00075001">
            <w:pPr>
              <w:pStyle w:val="TableParagraph"/>
              <w:rPr>
                <w:b/>
                <w:sz w:val="20"/>
              </w:rPr>
            </w:pPr>
            <w:r>
              <w:rPr>
                <w:b/>
                <w:sz w:val="20"/>
              </w:rPr>
              <w:t>Variables</w:t>
            </w:r>
          </w:p>
        </w:tc>
        <w:tc>
          <w:tcPr>
            <w:tcW w:w="2410" w:type="dxa"/>
            <w:gridSpan w:val="2"/>
          </w:tcPr>
          <w:p w14:paraId="3E582183" w14:textId="77777777" w:rsidR="00075001" w:rsidRDefault="00075001" w:rsidP="00075001">
            <w:pPr>
              <w:pStyle w:val="TableParagraph"/>
              <w:rPr>
                <w:b/>
                <w:sz w:val="20"/>
              </w:rPr>
            </w:pPr>
            <w:r>
              <w:rPr>
                <w:b/>
                <w:sz w:val="20"/>
              </w:rPr>
              <w:t>PRIMUM</w:t>
            </w:r>
          </w:p>
        </w:tc>
        <w:tc>
          <w:tcPr>
            <w:tcW w:w="2410" w:type="dxa"/>
            <w:gridSpan w:val="2"/>
          </w:tcPr>
          <w:p w14:paraId="560A6103" w14:textId="77777777" w:rsidR="00075001" w:rsidRDefault="00075001" w:rsidP="00075001">
            <w:pPr>
              <w:pStyle w:val="TableParagraph"/>
              <w:rPr>
                <w:b/>
                <w:sz w:val="20"/>
              </w:rPr>
            </w:pPr>
            <w:r>
              <w:rPr>
                <w:b/>
                <w:sz w:val="20"/>
              </w:rPr>
              <w:t>Opti-Med</w:t>
            </w:r>
          </w:p>
        </w:tc>
        <w:tc>
          <w:tcPr>
            <w:tcW w:w="2268" w:type="dxa"/>
          </w:tcPr>
          <w:p w14:paraId="67389E15" w14:textId="77777777" w:rsidR="00075001" w:rsidRDefault="00075001" w:rsidP="00075001">
            <w:pPr>
              <w:pStyle w:val="TableParagraph"/>
              <w:rPr>
                <w:b/>
                <w:sz w:val="20"/>
              </w:rPr>
            </w:pPr>
            <w:r>
              <w:rPr>
                <w:b/>
                <w:sz w:val="20"/>
              </w:rPr>
              <w:t>PIL</w:t>
            </w:r>
          </w:p>
        </w:tc>
        <w:tc>
          <w:tcPr>
            <w:tcW w:w="2551" w:type="dxa"/>
            <w:gridSpan w:val="2"/>
          </w:tcPr>
          <w:p w14:paraId="02157E59" w14:textId="77777777" w:rsidR="00075001" w:rsidRDefault="00075001" w:rsidP="00075001">
            <w:pPr>
              <w:pStyle w:val="TableParagraph"/>
              <w:rPr>
                <w:b/>
                <w:sz w:val="20"/>
              </w:rPr>
            </w:pPr>
            <w:r>
              <w:rPr>
                <w:b/>
                <w:sz w:val="20"/>
              </w:rPr>
              <w:t>ISCOPE</w:t>
            </w:r>
          </w:p>
        </w:tc>
        <w:tc>
          <w:tcPr>
            <w:tcW w:w="2552" w:type="dxa"/>
            <w:gridSpan w:val="2"/>
          </w:tcPr>
          <w:p w14:paraId="0D9CD355" w14:textId="77777777" w:rsidR="00075001" w:rsidRDefault="00075001" w:rsidP="00075001">
            <w:pPr>
              <w:pStyle w:val="TableParagraph"/>
              <w:rPr>
                <w:b/>
                <w:sz w:val="20"/>
              </w:rPr>
            </w:pPr>
            <w:r>
              <w:rPr>
                <w:b/>
                <w:sz w:val="20"/>
              </w:rPr>
              <w:t>RIME</w:t>
            </w:r>
          </w:p>
        </w:tc>
      </w:tr>
      <w:tr w:rsidR="00075001" w14:paraId="02D2641C" w14:textId="77777777" w:rsidTr="00075001">
        <w:trPr>
          <w:trHeight w:hRule="exact" w:val="498"/>
        </w:trPr>
        <w:tc>
          <w:tcPr>
            <w:tcW w:w="2263" w:type="dxa"/>
            <w:vMerge/>
          </w:tcPr>
          <w:p w14:paraId="20BE1144" w14:textId="77777777" w:rsidR="00075001" w:rsidRDefault="00075001" w:rsidP="00075001"/>
        </w:tc>
        <w:tc>
          <w:tcPr>
            <w:tcW w:w="1276" w:type="dxa"/>
          </w:tcPr>
          <w:p w14:paraId="36A93479" w14:textId="77777777" w:rsidR="00075001" w:rsidRDefault="00075001" w:rsidP="00075001">
            <w:pPr>
              <w:pStyle w:val="TableParagraph"/>
              <w:rPr>
                <w:sz w:val="20"/>
              </w:rPr>
            </w:pPr>
            <w:r>
              <w:rPr>
                <w:sz w:val="20"/>
              </w:rPr>
              <w:t>CG</w:t>
            </w:r>
          </w:p>
          <w:p w14:paraId="144EC679" w14:textId="77777777" w:rsidR="00075001" w:rsidRDefault="00075001" w:rsidP="00075001">
            <w:pPr>
              <w:pStyle w:val="TableParagraph"/>
              <w:rPr>
                <w:sz w:val="20"/>
              </w:rPr>
            </w:pPr>
            <w:r>
              <w:rPr>
                <w:sz w:val="20"/>
              </w:rPr>
              <w:t>n = 190</w:t>
            </w:r>
          </w:p>
        </w:tc>
        <w:tc>
          <w:tcPr>
            <w:tcW w:w="1134" w:type="dxa"/>
          </w:tcPr>
          <w:p w14:paraId="2D20D27F" w14:textId="77777777" w:rsidR="00075001" w:rsidRDefault="00075001" w:rsidP="00075001">
            <w:pPr>
              <w:pStyle w:val="TableParagraph"/>
              <w:rPr>
                <w:sz w:val="20"/>
              </w:rPr>
            </w:pPr>
            <w:r>
              <w:rPr>
                <w:sz w:val="20"/>
              </w:rPr>
              <w:t>IG</w:t>
            </w:r>
          </w:p>
          <w:p w14:paraId="5F381100" w14:textId="77777777" w:rsidR="00075001" w:rsidRDefault="00075001" w:rsidP="00075001">
            <w:pPr>
              <w:pStyle w:val="TableParagraph"/>
              <w:rPr>
                <w:sz w:val="20"/>
              </w:rPr>
            </w:pPr>
            <w:r>
              <w:rPr>
                <w:sz w:val="20"/>
              </w:rPr>
              <w:t>n = 191</w:t>
            </w:r>
          </w:p>
        </w:tc>
        <w:tc>
          <w:tcPr>
            <w:tcW w:w="1276" w:type="dxa"/>
          </w:tcPr>
          <w:p w14:paraId="04F1160E" w14:textId="77777777" w:rsidR="00075001" w:rsidRDefault="00075001" w:rsidP="00075001">
            <w:pPr>
              <w:pStyle w:val="TableParagraph"/>
              <w:rPr>
                <w:sz w:val="20"/>
              </w:rPr>
            </w:pPr>
            <w:r>
              <w:rPr>
                <w:sz w:val="20"/>
              </w:rPr>
              <w:t>CG</w:t>
            </w:r>
          </w:p>
          <w:p w14:paraId="2FE7BD87" w14:textId="77777777" w:rsidR="00075001" w:rsidRDefault="00075001" w:rsidP="00075001">
            <w:pPr>
              <w:pStyle w:val="TableParagraph"/>
              <w:rPr>
                <w:sz w:val="20"/>
              </w:rPr>
            </w:pPr>
            <w:r>
              <w:rPr>
                <w:sz w:val="20"/>
              </w:rPr>
              <w:t>n = 191</w:t>
            </w:r>
          </w:p>
        </w:tc>
        <w:tc>
          <w:tcPr>
            <w:tcW w:w="1134" w:type="dxa"/>
          </w:tcPr>
          <w:p w14:paraId="685E9E7C" w14:textId="77777777" w:rsidR="00075001" w:rsidRDefault="00075001" w:rsidP="00075001">
            <w:pPr>
              <w:pStyle w:val="TableParagraph"/>
              <w:rPr>
                <w:sz w:val="20"/>
              </w:rPr>
            </w:pPr>
            <w:r>
              <w:rPr>
                <w:sz w:val="20"/>
              </w:rPr>
              <w:t>IG</w:t>
            </w:r>
          </w:p>
          <w:p w14:paraId="10F2EEF7" w14:textId="77777777" w:rsidR="00075001" w:rsidRDefault="00075001" w:rsidP="00075001">
            <w:pPr>
              <w:pStyle w:val="TableParagraph"/>
              <w:rPr>
                <w:sz w:val="20"/>
              </w:rPr>
            </w:pPr>
            <w:r>
              <w:rPr>
                <w:sz w:val="20"/>
              </w:rPr>
              <w:t>n = 195</w:t>
            </w:r>
          </w:p>
        </w:tc>
        <w:tc>
          <w:tcPr>
            <w:tcW w:w="2268" w:type="dxa"/>
          </w:tcPr>
          <w:p w14:paraId="52C62D21" w14:textId="77777777" w:rsidR="00075001" w:rsidRDefault="00075001" w:rsidP="00075001">
            <w:pPr>
              <w:pStyle w:val="TableParagraph"/>
              <w:ind w:right="286"/>
              <w:rPr>
                <w:sz w:val="20"/>
              </w:rPr>
            </w:pPr>
            <w:r>
              <w:rPr>
                <w:sz w:val="20"/>
              </w:rPr>
              <w:t>Stepped-wedge design n = 448</w:t>
            </w:r>
          </w:p>
        </w:tc>
        <w:tc>
          <w:tcPr>
            <w:tcW w:w="1276" w:type="dxa"/>
          </w:tcPr>
          <w:p w14:paraId="17BE3C0F" w14:textId="77777777" w:rsidR="00075001" w:rsidRDefault="00075001" w:rsidP="00075001">
            <w:pPr>
              <w:pStyle w:val="TableParagraph"/>
              <w:rPr>
                <w:sz w:val="20"/>
              </w:rPr>
            </w:pPr>
            <w:r>
              <w:rPr>
                <w:sz w:val="20"/>
              </w:rPr>
              <w:t>CG</w:t>
            </w:r>
          </w:p>
          <w:p w14:paraId="7812C298" w14:textId="77777777" w:rsidR="00075001" w:rsidRDefault="00075001" w:rsidP="00075001">
            <w:pPr>
              <w:pStyle w:val="TableParagraph"/>
              <w:rPr>
                <w:sz w:val="20"/>
              </w:rPr>
            </w:pPr>
            <w:r>
              <w:rPr>
                <w:sz w:val="20"/>
              </w:rPr>
              <w:t>n = 722</w:t>
            </w:r>
          </w:p>
        </w:tc>
        <w:tc>
          <w:tcPr>
            <w:tcW w:w="1275" w:type="dxa"/>
          </w:tcPr>
          <w:p w14:paraId="02C03570" w14:textId="77777777" w:rsidR="00075001" w:rsidRDefault="00075001" w:rsidP="00075001">
            <w:pPr>
              <w:pStyle w:val="TableParagraph"/>
              <w:rPr>
                <w:sz w:val="20"/>
              </w:rPr>
            </w:pPr>
            <w:r>
              <w:rPr>
                <w:sz w:val="20"/>
              </w:rPr>
              <w:t>IG</w:t>
            </w:r>
          </w:p>
          <w:p w14:paraId="22CEB2AD" w14:textId="77777777" w:rsidR="00075001" w:rsidRDefault="00075001" w:rsidP="00075001">
            <w:pPr>
              <w:pStyle w:val="TableParagraph"/>
              <w:rPr>
                <w:sz w:val="20"/>
              </w:rPr>
            </w:pPr>
            <w:r>
              <w:rPr>
                <w:sz w:val="20"/>
              </w:rPr>
              <w:t>n = 626</w:t>
            </w:r>
          </w:p>
        </w:tc>
        <w:tc>
          <w:tcPr>
            <w:tcW w:w="1378" w:type="dxa"/>
          </w:tcPr>
          <w:p w14:paraId="6EA95809" w14:textId="77777777" w:rsidR="00075001" w:rsidRDefault="00075001" w:rsidP="00075001">
            <w:pPr>
              <w:pStyle w:val="TableParagraph"/>
              <w:rPr>
                <w:sz w:val="20"/>
              </w:rPr>
            </w:pPr>
            <w:r>
              <w:rPr>
                <w:sz w:val="20"/>
              </w:rPr>
              <w:t>CG</w:t>
            </w:r>
          </w:p>
          <w:p w14:paraId="71A34328" w14:textId="77777777" w:rsidR="00075001" w:rsidRDefault="00075001" w:rsidP="00075001">
            <w:pPr>
              <w:pStyle w:val="TableParagraph"/>
              <w:rPr>
                <w:sz w:val="20"/>
              </w:rPr>
            </w:pPr>
            <w:r>
              <w:rPr>
                <w:sz w:val="20"/>
              </w:rPr>
              <w:t>n = 505</w:t>
            </w:r>
          </w:p>
        </w:tc>
        <w:tc>
          <w:tcPr>
            <w:tcW w:w="1174" w:type="dxa"/>
          </w:tcPr>
          <w:p w14:paraId="1F545955" w14:textId="77777777" w:rsidR="00075001" w:rsidRDefault="00075001" w:rsidP="00075001">
            <w:pPr>
              <w:pStyle w:val="TableParagraph"/>
              <w:rPr>
                <w:sz w:val="20"/>
              </w:rPr>
            </w:pPr>
            <w:r>
              <w:rPr>
                <w:sz w:val="20"/>
              </w:rPr>
              <w:t>IG</w:t>
            </w:r>
          </w:p>
          <w:p w14:paraId="01F3D8D7" w14:textId="77777777" w:rsidR="00075001" w:rsidRDefault="00075001" w:rsidP="00075001">
            <w:pPr>
              <w:pStyle w:val="TableParagraph"/>
              <w:rPr>
                <w:sz w:val="20"/>
              </w:rPr>
            </w:pPr>
            <w:r>
              <w:rPr>
                <w:sz w:val="20"/>
              </w:rPr>
              <w:t>n = 514</w:t>
            </w:r>
          </w:p>
        </w:tc>
      </w:tr>
      <w:tr w:rsidR="00075001" w14:paraId="1ED46D16" w14:textId="77777777" w:rsidTr="00075001">
        <w:trPr>
          <w:trHeight w:hRule="exact" w:val="498"/>
        </w:trPr>
        <w:tc>
          <w:tcPr>
            <w:tcW w:w="2263" w:type="dxa"/>
          </w:tcPr>
          <w:p w14:paraId="5C573BE5" w14:textId="77777777" w:rsidR="00075001" w:rsidRDefault="00075001" w:rsidP="00075001">
            <w:pPr>
              <w:pStyle w:val="TableParagraph"/>
              <w:ind w:right="262"/>
              <w:rPr>
                <w:sz w:val="20"/>
              </w:rPr>
            </w:pPr>
            <w:r>
              <w:rPr>
                <w:sz w:val="20"/>
              </w:rPr>
              <w:t>No. of drugs† - Median (IQR)</w:t>
            </w:r>
          </w:p>
        </w:tc>
        <w:tc>
          <w:tcPr>
            <w:tcW w:w="1276" w:type="dxa"/>
          </w:tcPr>
          <w:p w14:paraId="19A1BA19" w14:textId="77777777" w:rsidR="00075001" w:rsidRDefault="00075001" w:rsidP="00075001">
            <w:pPr>
              <w:pStyle w:val="TableParagraph"/>
              <w:rPr>
                <w:sz w:val="20"/>
              </w:rPr>
            </w:pPr>
            <w:r>
              <w:rPr>
                <w:sz w:val="20"/>
              </w:rPr>
              <w:t>9 (4)</w:t>
            </w:r>
          </w:p>
        </w:tc>
        <w:tc>
          <w:tcPr>
            <w:tcW w:w="1134" w:type="dxa"/>
          </w:tcPr>
          <w:p w14:paraId="6C6D1138" w14:textId="77777777" w:rsidR="00075001" w:rsidRDefault="00075001" w:rsidP="00075001">
            <w:pPr>
              <w:pStyle w:val="TableParagraph"/>
              <w:rPr>
                <w:sz w:val="20"/>
              </w:rPr>
            </w:pPr>
            <w:r>
              <w:rPr>
                <w:sz w:val="20"/>
              </w:rPr>
              <w:t>8 (3)</w:t>
            </w:r>
          </w:p>
        </w:tc>
        <w:tc>
          <w:tcPr>
            <w:tcW w:w="1276" w:type="dxa"/>
          </w:tcPr>
          <w:p w14:paraId="2F3A7DC4" w14:textId="77777777" w:rsidR="00075001" w:rsidRDefault="00075001" w:rsidP="00075001">
            <w:pPr>
              <w:pStyle w:val="TableParagraph"/>
              <w:rPr>
                <w:sz w:val="20"/>
              </w:rPr>
            </w:pPr>
            <w:r>
              <w:rPr>
                <w:sz w:val="20"/>
              </w:rPr>
              <w:t>5 (5)</w:t>
            </w:r>
          </w:p>
        </w:tc>
        <w:tc>
          <w:tcPr>
            <w:tcW w:w="1134" w:type="dxa"/>
          </w:tcPr>
          <w:p w14:paraId="71F79BBF" w14:textId="77777777" w:rsidR="00075001" w:rsidRDefault="00075001" w:rsidP="00075001">
            <w:pPr>
              <w:pStyle w:val="TableParagraph"/>
              <w:rPr>
                <w:sz w:val="20"/>
              </w:rPr>
            </w:pPr>
            <w:r>
              <w:rPr>
                <w:sz w:val="20"/>
              </w:rPr>
              <w:t>5 (5)</w:t>
            </w:r>
          </w:p>
        </w:tc>
        <w:tc>
          <w:tcPr>
            <w:tcW w:w="2268" w:type="dxa"/>
          </w:tcPr>
          <w:p w14:paraId="431EDC88" w14:textId="77777777" w:rsidR="00075001" w:rsidRDefault="00075001" w:rsidP="00075001">
            <w:pPr>
              <w:pStyle w:val="TableParagraph"/>
              <w:rPr>
                <w:sz w:val="20"/>
              </w:rPr>
            </w:pPr>
            <w:r>
              <w:rPr>
                <w:sz w:val="20"/>
              </w:rPr>
              <w:t>7 (3)</w:t>
            </w:r>
          </w:p>
        </w:tc>
        <w:tc>
          <w:tcPr>
            <w:tcW w:w="1276" w:type="dxa"/>
          </w:tcPr>
          <w:p w14:paraId="11FF27D9" w14:textId="77777777" w:rsidR="00075001" w:rsidRDefault="00075001" w:rsidP="00075001">
            <w:pPr>
              <w:pStyle w:val="TableParagraph"/>
              <w:rPr>
                <w:sz w:val="20"/>
              </w:rPr>
            </w:pPr>
            <w:r>
              <w:rPr>
                <w:sz w:val="20"/>
              </w:rPr>
              <w:t>5 (5)</w:t>
            </w:r>
          </w:p>
        </w:tc>
        <w:tc>
          <w:tcPr>
            <w:tcW w:w="1275" w:type="dxa"/>
          </w:tcPr>
          <w:p w14:paraId="04A86C87" w14:textId="77777777" w:rsidR="00075001" w:rsidRDefault="00075001" w:rsidP="00075001">
            <w:pPr>
              <w:pStyle w:val="TableParagraph"/>
              <w:rPr>
                <w:sz w:val="20"/>
              </w:rPr>
            </w:pPr>
            <w:r>
              <w:rPr>
                <w:sz w:val="20"/>
              </w:rPr>
              <w:t>5 (5)</w:t>
            </w:r>
          </w:p>
        </w:tc>
        <w:tc>
          <w:tcPr>
            <w:tcW w:w="1378" w:type="dxa"/>
          </w:tcPr>
          <w:p w14:paraId="4C582F77" w14:textId="77777777" w:rsidR="00075001" w:rsidRDefault="00075001" w:rsidP="00075001">
            <w:pPr>
              <w:pStyle w:val="TableParagraph"/>
              <w:rPr>
                <w:sz w:val="20"/>
              </w:rPr>
            </w:pPr>
            <w:r>
              <w:rPr>
                <w:sz w:val="20"/>
              </w:rPr>
              <w:t>9 (4)</w:t>
            </w:r>
          </w:p>
        </w:tc>
        <w:tc>
          <w:tcPr>
            <w:tcW w:w="1174" w:type="dxa"/>
          </w:tcPr>
          <w:p w14:paraId="6E21B973" w14:textId="77777777" w:rsidR="00075001" w:rsidRDefault="00075001" w:rsidP="00075001">
            <w:pPr>
              <w:pStyle w:val="TableParagraph"/>
              <w:rPr>
                <w:sz w:val="20"/>
              </w:rPr>
            </w:pPr>
            <w:r>
              <w:rPr>
                <w:sz w:val="20"/>
              </w:rPr>
              <w:t>9 (4)</w:t>
            </w:r>
          </w:p>
        </w:tc>
      </w:tr>
      <w:tr w:rsidR="00075001" w14:paraId="4C39ED23" w14:textId="77777777" w:rsidTr="00075001">
        <w:trPr>
          <w:trHeight w:hRule="exact" w:val="1231"/>
        </w:trPr>
        <w:tc>
          <w:tcPr>
            <w:tcW w:w="2263" w:type="dxa"/>
          </w:tcPr>
          <w:p w14:paraId="5669A5A7" w14:textId="77777777" w:rsidR="00075001" w:rsidRDefault="00075001" w:rsidP="00075001">
            <w:pPr>
              <w:pStyle w:val="TableParagraph"/>
              <w:ind w:right="148"/>
              <w:rPr>
                <w:sz w:val="20"/>
              </w:rPr>
            </w:pPr>
            <w:r>
              <w:rPr>
                <w:sz w:val="20"/>
              </w:rPr>
              <w:t>No. of Potentially Inappropriate Medications (PIM) according to the EU-PIM list - Median (IQR)</w:t>
            </w:r>
          </w:p>
        </w:tc>
        <w:tc>
          <w:tcPr>
            <w:tcW w:w="1276" w:type="dxa"/>
          </w:tcPr>
          <w:p w14:paraId="2E04EE81" w14:textId="77777777" w:rsidR="00075001" w:rsidRDefault="00075001" w:rsidP="00075001">
            <w:pPr>
              <w:pStyle w:val="TableParagraph"/>
              <w:rPr>
                <w:sz w:val="20"/>
              </w:rPr>
            </w:pPr>
            <w:r>
              <w:rPr>
                <w:sz w:val="20"/>
              </w:rPr>
              <w:t>1 (2)</w:t>
            </w:r>
          </w:p>
        </w:tc>
        <w:tc>
          <w:tcPr>
            <w:tcW w:w="1134" w:type="dxa"/>
          </w:tcPr>
          <w:p w14:paraId="0E3EA7DA" w14:textId="77777777" w:rsidR="00075001" w:rsidRDefault="00075001" w:rsidP="00075001">
            <w:pPr>
              <w:pStyle w:val="TableParagraph"/>
              <w:rPr>
                <w:sz w:val="20"/>
              </w:rPr>
            </w:pPr>
            <w:r>
              <w:rPr>
                <w:sz w:val="20"/>
              </w:rPr>
              <w:t>1 (1)</w:t>
            </w:r>
          </w:p>
        </w:tc>
        <w:tc>
          <w:tcPr>
            <w:tcW w:w="1276" w:type="dxa"/>
          </w:tcPr>
          <w:p w14:paraId="14BA19A2" w14:textId="77777777" w:rsidR="00075001" w:rsidRDefault="00075001" w:rsidP="00075001">
            <w:pPr>
              <w:pStyle w:val="TableParagraph"/>
              <w:rPr>
                <w:sz w:val="20"/>
              </w:rPr>
            </w:pPr>
            <w:r>
              <w:rPr>
                <w:sz w:val="20"/>
              </w:rPr>
              <w:t>1 (1)</w:t>
            </w:r>
          </w:p>
        </w:tc>
        <w:tc>
          <w:tcPr>
            <w:tcW w:w="1134" w:type="dxa"/>
          </w:tcPr>
          <w:p w14:paraId="4276219C" w14:textId="77777777" w:rsidR="00075001" w:rsidRDefault="00075001" w:rsidP="00075001">
            <w:pPr>
              <w:pStyle w:val="TableParagraph"/>
              <w:rPr>
                <w:sz w:val="20"/>
              </w:rPr>
            </w:pPr>
            <w:r>
              <w:rPr>
                <w:sz w:val="20"/>
              </w:rPr>
              <w:t>1 (1)</w:t>
            </w:r>
          </w:p>
        </w:tc>
        <w:tc>
          <w:tcPr>
            <w:tcW w:w="2268" w:type="dxa"/>
          </w:tcPr>
          <w:p w14:paraId="48F43BA2" w14:textId="77777777" w:rsidR="00075001" w:rsidRDefault="00075001" w:rsidP="00075001">
            <w:pPr>
              <w:pStyle w:val="TableParagraph"/>
              <w:rPr>
                <w:sz w:val="20"/>
              </w:rPr>
            </w:pPr>
            <w:r>
              <w:rPr>
                <w:sz w:val="20"/>
              </w:rPr>
              <w:t>1 (2)</w:t>
            </w:r>
          </w:p>
        </w:tc>
        <w:tc>
          <w:tcPr>
            <w:tcW w:w="1276" w:type="dxa"/>
          </w:tcPr>
          <w:p w14:paraId="5CA08726" w14:textId="77777777" w:rsidR="00075001" w:rsidRDefault="00075001" w:rsidP="00075001">
            <w:pPr>
              <w:pStyle w:val="TableParagraph"/>
              <w:rPr>
                <w:sz w:val="20"/>
              </w:rPr>
            </w:pPr>
            <w:r>
              <w:rPr>
                <w:sz w:val="20"/>
              </w:rPr>
              <w:t>1 (1)</w:t>
            </w:r>
          </w:p>
        </w:tc>
        <w:tc>
          <w:tcPr>
            <w:tcW w:w="1275" w:type="dxa"/>
          </w:tcPr>
          <w:p w14:paraId="156D99B8" w14:textId="77777777" w:rsidR="00075001" w:rsidRDefault="00075001" w:rsidP="00075001">
            <w:pPr>
              <w:pStyle w:val="TableParagraph"/>
              <w:rPr>
                <w:sz w:val="20"/>
              </w:rPr>
            </w:pPr>
            <w:r>
              <w:rPr>
                <w:sz w:val="20"/>
              </w:rPr>
              <w:t>1 (1)</w:t>
            </w:r>
          </w:p>
        </w:tc>
        <w:tc>
          <w:tcPr>
            <w:tcW w:w="1378" w:type="dxa"/>
          </w:tcPr>
          <w:p w14:paraId="28AEE450" w14:textId="77777777" w:rsidR="00075001" w:rsidRDefault="00075001" w:rsidP="00075001">
            <w:pPr>
              <w:pStyle w:val="TableParagraph"/>
              <w:rPr>
                <w:sz w:val="20"/>
              </w:rPr>
            </w:pPr>
            <w:r>
              <w:rPr>
                <w:sz w:val="20"/>
              </w:rPr>
              <w:t>1 (2)</w:t>
            </w:r>
          </w:p>
        </w:tc>
        <w:tc>
          <w:tcPr>
            <w:tcW w:w="1174" w:type="dxa"/>
          </w:tcPr>
          <w:p w14:paraId="58799AF1" w14:textId="77777777" w:rsidR="00075001" w:rsidRDefault="00075001" w:rsidP="00075001">
            <w:pPr>
              <w:pStyle w:val="TableParagraph"/>
              <w:rPr>
                <w:sz w:val="20"/>
              </w:rPr>
            </w:pPr>
            <w:r>
              <w:rPr>
                <w:sz w:val="20"/>
              </w:rPr>
              <w:t>1 (2)</w:t>
            </w:r>
          </w:p>
        </w:tc>
      </w:tr>
    </w:tbl>
    <w:p w14:paraId="654B2C88" w14:textId="77777777" w:rsidR="00075001" w:rsidRDefault="00075001" w:rsidP="00075001">
      <w:pPr>
        <w:rPr>
          <w:sz w:val="20"/>
        </w:rPr>
        <w:sectPr w:rsidR="00075001">
          <w:headerReference w:type="default" r:id="rId41"/>
          <w:footerReference w:type="default" r:id="rId42"/>
          <w:pgSz w:w="16840" w:h="11900" w:orient="landscape"/>
          <w:pgMar w:top="1100" w:right="840" w:bottom="280" w:left="1300" w:header="0" w:footer="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1276"/>
        <w:gridCol w:w="1134"/>
        <w:gridCol w:w="1276"/>
        <w:gridCol w:w="1134"/>
        <w:gridCol w:w="2268"/>
        <w:gridCol w:w="1276"/>
        <w:gridCol w:w="1275"/>
        <w:gridCol w:w="1378"/>
        <w:gridCol w:w="1174"/>
      </w:tblGrid>
      <w:tr w:rsidR="00075001" w14:paraId="73065F6C" w14:textId="77777777" w:rsidTr="00075001">
        <w:trPr>
          <w:trHeight w:hRule="exact" w:val="498"/>
        </w:trPr>
        <w:tc>
          <w:tcPr>
            <w:tcW w:w="2263" w:type="dxa"/>
          </w:tcPr>
          <w:p w14:paraId="326D25CA" w14:textId="77777777" w:rsidR="00075001" w:rsidRDefault="00075001" w:rsidP="00075001">
            <w:pPr>
              <w:pStyle w:val="TableParagraph"/>
              <w:rPr>
                <w:sz w:val="20"/>
              </w:rPr>
            </w:pPr>
            <w:r>
              <w:rPr>
                <w:sz w:val="20"/>
              </w:rPr>
              <w:lastRenderedPageBreak/>
              <w:t>Drug Burden Index (DBI)</w:t>
            </w:r>
          </w:p>
          <w:p w14:paraId="204F87E8" w14:textId="77777777" w:rsidR="00075001" w:rsidRDefault="00075001" w:rsidP="00075001">
            <w:pPr>
              <w:pStyle w:val="TableParagraph"/>
              <w:rPr>
                <w:sz w:val="20"/>
              </w:rPr>
            </w:pPr>
            <w:r>
              <w:rPr>
                <w:sz w:val="20"/>
              </w:rPr>
              <w:t>- Median (IQR)</w:t>
            </w:r>
          </w:p>
        </w:tc>
        <w:tc>
          <w:tcPr>
            <w:tcW w:w="1276" w:type="dxa"/>
          </w:tcPr>
          <w:p w14:paraId="261D9ABC" w14:textId="77777777" w:rsidR="00075001" w:rsidRDefault="00075001" w:rsidP="00075001">
            <w:pPr>
              <w:pStyle w:val="TableParagraph"/>
              <w:rPr>
                <w:sz w:val="20"/>
              </w:rPr>
            </w:pPr>
            <w:r>
              <w:rPr>
                <w:sz w:val="20"/>
              </w:rPr>
              <w:t>0 (1)</w:t>
            </w:r>
          </w:p>
        </w:tc>
        <w:tc>
          <w:tcPr>
            <w:tcW w:w="1134" w:type="dxa"/>
          </w:tcPr>
          <w:p w14:paraId="58C5F4C3" w14:textId="77777777" w:rsidR="00075001" w:rsidRDefault="00075001" w:rsidP="00075001">
            <w:pPr>
              <w:pStyle w:val="TableParagraph"/>
              <w:rPr>
                <w:sz w:val="20"/>
              </w:rPr>
            </w:pPr>
            <w:r>
              <w:rPr>
                <w:sz w:val="20"/>
              </w:rPr>
              <w:t>0 (1)</w:t>
            </w:r>
          </w:p>
        </w:tc>
        <w:tc>
          <w:tcPr>
            <w:tcW w:w="1276" w:type="dxa"/>
          </w:tcPr>
          <w:p w14:paraId="3D4BCE35" w14:textId="77777777" w:rsidR="00075001" w:rsidRDefault="00075001" w:rsidP="00075001">
            <w:pPr>
              <w:pStyle w:val="TableParagraph"/>
              <w:rPr>
                <w:sz w:val="20"/>
              </w:rPr>
            </w:pPr>
            <w:r>
              <w:rPr>
                <w:sz w:val="20"/>
              </w:rPr>
              <w:t>0 (1)</w:t>
            </w:r>
          </w:p>
        </w:tc>
        <w:tc>
          <w:tcPr>
            <w:tcW w:w="1134" w:type="dxa"/>
          </w:tcPr>
          <w:p w14:paraId="20329A47" w14:textId="77777777" w:rsidR="00075001" w:rsidRDefault="00075001" w:rsidP="00075001">
            <w:pPr>
              <w:pStyle w:val="TableParagraph"/>
              <w:rPr>
                <w:sz w:val="20"/>
              </w:rPr>
            </w:pPr>
            <w:r>
              <w:rPr>
                <w:sz w:val="20"/>
              </w:rPr>
              <w:t>0 (1)</w:t>
            </w:r>
          </w:p>
        </w:tc>
        <w:tc>
          <w:tcPr>
            <w:tcW w:w="2268" w:type="dxa"/>
          </w:tcPr>
          <w:p w14:paraId="50555329" w14:textId="77777777" w:rsidR="00075001" w:rsidRDefault="00075001" w:rsidP="00075001">
            <w:pPr>
              <w:pStyle w:val="TableParagraph"/>
              <w:ind w:left="102"/>
              <w:rPr>
                <w:sz w:val="20"/>
              </w:rPr>
            </w:pPr>
            <w:r>
              <w:rPr>
                <w:sz w:val="20"/>
              </w:rPr>
              <w:t>0 (1)</w:t>
            </w:r>
          </w:p>
        </w:tc>
        <w:tc>
          <w:tcPr>
            <w:tcW w:w="1276" w:type="dxa"/>
          </w:tcPr>
          <w:p w14:paraId="74641CAA" w14:textId="77777777" w:rsidR="00075001" w:rsidRDefault="00075001" w:rsidP="00075001">
            <w:pPr>
              <w:pStyle w:val="TableParagraph"/>
              <w:rPr>
                <w:sz w:val="20"/>
              </w:rPr>
            </w:pPr>
            <w:r>
              <w:rPr>
                <w:sz w:val="20"/>
              </w:rPr>
              <w:t>0 (1)</w:t>
            </w:r>
          </w:p>
        </w:tc>
        <w:tc>
          <w:tcPr>
            <w:tcW w:w="1275" w:type="dxa"/>
          </w:tcPr>
          <w:p w14:paraId="3FAC9E9E" w14:textId="77777777" w:rsidR="00075001" w:rsidRDefault="00075001" w:rsidP="00075001">
            <w:pPr>
              <w:pStyle w:val="TableParagraph"/>
              <w:rPr>
                <w:sz w:val="20"/>
              </w:rPr>
            </w:pPr>
            <w:r>
              <w:rPr>
                <w:sz w:val="20"/>
              </w:rPr>
              <w:t>0 (1)</w:t>
            </w:r>
          </w:p>
        </w:tc>
        <w:tc>
          <w:tcPr>
            <w:tcW w:w="1378" w:type="dxa"/>
          </w:tcPr>
          <w:p w14:paraId="5C4DECC9" w14:textId="77777777" w:rsidR="00075001" w:rsidRDefault="00075001" w:rsidP="00075001">
            <w:pPr>
              <w:pStyle w:val="TableParagraph"/>
              <w:rPr>
                <w:sz w:val="20"/>
              </w:rPr>
            </w:pPr>
            <w:r>
              <w:rPr>
                <w:sz w:val="20"/>
              </w:rPr>
              <w:t>0 (1)</w:t>
            </w:r>
          </w:p>
        </w:tc>
        <w:tc>
          <w:tcPr>
            <w:tcW w:w="1174" w:type="dxa"/>
          </w:tcPr>
          <w:p w14:paraId="3481CF9C" w14:textId="77777777" w:rsidR="00075001" w:rsidRDefault="00075001" w:rsidP="00075001">
            <w:pPr>
              <w:pStyle w:val="TableParagraph"/>
              <w:rPr>
                <w:sz w:val="20"/>
              </w:rPr>
            </w:pPr>
            <w:r>
              <w:rPr>
                <w:sz w:val="20"/>
              </w:rPr>
              <w:t>0 (1)</w:t>
            </w:r>
          </w:p>
        </w:tc>
      </w:tr>
      <w:tr w:rsidR="00075001" w14:paraId="0D0E7B7C" w14:textId="77777777" w:rsidTr="00075001">
        <w:trPr>
          <w:trHeight w:hRule="exact" w:val="742"/>
        </w:trPr>
        <w:tc>
          <w:tcPr>
            <w:tcW w:w="2263" w:type="dxa"/>
          </w:tcPr>
          <w:p w14:paraId="5687A493" w14:textId="77777777" w:rsidR="00075001" w:rsidRDefault="00075001" w:rsidP="00075001">
            <w:pPr>
              <w:pStyle w:val="TableParagraph"/>
              <w:ind w:right="179"/>
              <w:rPr>
                <w:sz w:val="20"/>
              </w:rPr>
            </w:pPr>
            <w:r>
              <w:rPr>
                <w:sz w:val="20"/>
              </w:rPr>
              <w:t>Anticholinergic Drug Burden (ADB) according to Duran - Median (IQR)</w:t>
            </w:r>
          </w:p>
        </w:tc>
        <w:tc>
          <w:tcPr>
            <w:tcW w:w="1276" w:type="dxa"/>
          </w:tcPr>
          <w:p w14:paraId="2CC17C70" w14:textId="77777777" w:rsidR="00075001" w:rsidRDefault="00075001" w:rsidP="00075001">
            <w:pPr>
              <w:pStyle w:val="TableParagraph"/>
              <w:rPr>
                <w:sz w:val="20"/>
              </w:rPr>
            </w:pPr>
            <w:r>
              <w:rPr>
                <w:sz w:val="20"/>
              </w:rPr>
              <w:t>0 (1)</w:t>
            </w:r>
          </w:p>
        </w:tc>
        <w:tc>
          <w:tcPr>
            <w:tcW w:w="1134" w:type="dxa"/>
          </w:tcPr>
          <w:p w14:paraId="15CF90C8" w14:textId="77777777" w:rsidR="00075001" w:rsidRDefault="00075001" w:rsidP="00075001">
            <w:pPr>
              <w:pStyle w:val="TableParagraph"/>
              <w:rPr>
                <w:sz w:val="20"/>
              </w:rPr>
            </w:pPr>
            <w:r>
              <w:rPr>
                <w:sz w:val="20"/>
              </w:rPr>
              <w:t>0 (1)</w:t>
            </w:r>
          </w:p>
        </w:tc>
        <w:tc>
          <w:tcPr>
            <w:tcW w:w="1276" w:type="dxa"/>
          </w:tcPr>
          <w:p w14:paraId="56F2160E" w14:textId="77777777" w:rsidR="00075001" w:rsidRDefault="00075001" w:rsidP="00075001">
            <w:pPr>
              <w:pStyle w:val="TableParagraph"/>
              <w:rPr>
                <w:sz w:val="20"/>
              </w:rPr>
            </w:pPr>
            <w:r>
              <w:rPr>
                <w:sz w:val="20"/>
              </w:rPr>
              <w:t>0 (1)</w:t>
            </w:r>
          </w:p>
        </w:tc>
        <w:tc>
          <w:tcPr>
            <w:tcW w:w="1134" w:type="dxa"/>
          </w:tcPr>
          <w:p w14:paraId="20450947" w14:textId="77777777" w:rsidR="00075001" w:rsidRDefault="00075001" w:rsidP="00075001">
            <w:pPr>
              <w:pStyle w:val="TableParagraph"/>
              <w:rPr>
                <w:sz w:val="20"/>
              </w:rPr>
            </w:pPr>
            <w:r>
              <w:rPr>
                <w:sz w:val="20"/>
              </w:rPr>
              <w:t>0 (1)</w:t>
            </w:r>
          </w:p>
        </w:tc>
        <w:tc>
          <w:tcPr>
            <w:tcW w:w="2268" w:type="dxa"/>
          </w:tcPr>
          <w:p w14:paraId="1381BBBE" w14:textId="77777777" w:rsidR="00075001" w:rsidRDefault="00075001" w:rsidP="00075001">
            <w:pPr>
              <w:pStyle w:val="TableParagraph"/>
              <w:ind w:left="102"/>
              <w:rPr>
                <w:sz w:val="20"/>
              </w:rPr>
            </w:pPr>
            <w:r>
              <w:rPr>
                <w:sz w:val="20"/>
              </w:rPr>
              <w:t>0 (1)</w:t>
            </w:r>
          </w:p>
        </w:tc>
        <w:tc>
          <w:tcPr>
            <w:tcW w:w="1276" w:type="dxa"/>
          </w:tcPr>
          <w:p w14:paraId="730C1E6B" w14:textId="77777777" w:rsidR="00075001" w:rsidRDefault="00075001" w:rsidP="00075001">
            <w:pPr>
              <w:pStyle w:val="TableParagraph"/>
              <w:rPr>
                <w:sz w:val="20"/>
              </w:rPr>
            </w:pPr>
            <w:r>
              <w:rPr>
                <w:sz w:val="20"/>
              </w:rPr>
              <w:t>0 (1)</w:t>
            </w:r>
          </w:p>
        </w:tc>
        <w:tc>
          <w:tcPr>
            <w:tcW w:w="1275" w:type="dxa"/>
          </w:tcPr>
          <w:p w14:paraId="32F7EA21" w14:textId="77777777" w:rsidR="00075001" w:rsidRDefault="00075001" w:rsidP="00075001">
            <w:pPr>
              <w:pStyle w:val="TableParagraph"/>
              <w:rPr>
                <w:sz w:val="20"/>
              </w:rPr>
            </w:pPr>
            <w:r>
              <w:rPr>
                <w:sz w:val="20"/>
              </w:rPr>
              <w:t>0 (1)</w:t>
            </w:r>
          </w:p>
        </w:tc>
        <w:tc>
          <w:tcPr>
            <w:tcW w:w="1378" w:type="dxa"/>
          </w:tcPr>
          <w:p w14:paraId="6BDDC62F" w14:textId="77777777" w:rsidR="00075001" w:rsidRDefault="00075001" w:rsidP="00075001">
            <w:pPr>
              <w:pStyle w:val="TableParagraph"/>
              <w:rPr>
                <w:sz w:val="20"/>
              </w:rPr>
            </w:pPr>
            <w:r>
              <w:rPr>
                <w:sz w:val="20"/>
              </w:rPr>
              <w:t>0 (1)</w:t>
            </w:r>
          </w:p>
        </w:tc>
        <w:tc>
          <w:tcPr>
            <w:tcW w:w="1174" w:type="dxa"/>
          </w:tcPr>
          <w:p w14:paraId="3608DCE1" w14:textId="77777777" w:rsidR="00075001" w:rsidRDefault="00075001" w:rsidP="00075001">
            <w:pPr>
              <w:pStyle w:val="TableParagraph"/>
              <w:rPr>
                <w:sz w:val="20"/>
              </w:rPr>
            </w:pPr>
            <w:r>
              <w:rPr>
                <w:sz w:val="20"/>
              </w:rPr>
              <w:t>0 (1)</w:t>
            </w:r>
          </w:p>
        </w:tc>
      </w:tr>
      <w:tr w:rsidR="00075001" w14:paraId="4A6106DC" w14:textId="77777777" w:rsidTr="00075001">
        <w:trPr>
          <w:trHeight w:hRule="exact" w:val="742"/>
        </w:trPr>
        <w:tc>
          <w:tcPr>
            <w:tcW w:w="2263" w:type="dxa"/>
          </w:tcPr>
          <w:p w14:paraId="7FA3EC0E" w14:textId="77777777" w:rsidR="00075001" w:rsidRDefault="00075001" w:rsidP="00075001">
            <w:pPr>
              <w:pStyle w:val="TableParagraph"/>
              <w:ind w:right="116"/>
              <w:rPr>
                <w:sz w:val="20"/>
              </w:rPr>
            </w:pPr>
            <w:r>
              <w:rPr>
                <w:sz w:val="20"/>
              </w:rPr>
              <w:t>Anticholinergic Drug Scale (ADS) according to Carnahan - Median (IQR)</w:t>
            </w:r>
          </w:p>
        </w:tc>
        <w:tc>
          <w:tcPr>
            <w:tcW w:w="1276" w:type="dxa"/>
          </w:tcPr>
          <w:p w14:paraId="4EA3D523" w14:textId="77777777" w:rsidR="00075001" w:rsidRDefault="00075001" w:rsidP="00075001">
            <w:pPr>
              <w:pStyle w:val="TableParagraph"/>
              <w:rPr>
                <w:sz w:val="20"/>
              </w:rPr>
            </w:pPr>
            <w:r>
              <w:rPr>
                <w:sz w:val="20"/>
              </w:rPr>
              <w:t>0 (1)</w:t>
            </w:r>
          </w:p>
        </w:tc>
        <w:tc>
          <w:tcPr>
            <w:tcW w:w="1134" w:type="dxa"/>
          </w:tcPr>
          <w:p w14:paraId="7E3489E2" w14:textId="77777777" w:rsidR="00075001" w:rsidRDefault="00075001" w:rsidP="00075001">
            <w:pPr>
              <w:pStyle w:val="TableParagraph"/>
              <w:rPr>
                <w:sz w:val="20"/>
              </w:rPr>
            </w:pPr>
            <w:r>
              <w:rPr>
                <w:sz w:val="20"/>
              </w:rPr>
              <w:t>0 (1)</w:t>
            </w:r>
          </w:p>
        </w:tc>
        <w:tc>
          <w:tcPr>
            <w:tcW w:w="1276" w:type="dxa"/>
          </w:tcPr>
          <w:p w14:paraId="409AB211" w14:textId="77777777" w:rsidR="00075001" w:rsidRDefault="00075001" w:rsidP="00075001">
            <w:pPr>
              <w:pStyle w:val="TableParagraph"/>
              <w:rPr>
                <w:sz w:val="20"/>
              </w:rPr>
            </w:pPr>
            <w:r>
              <w:rPr>
                <w:sz w:val="20"/>
              </w:rPr>
              <w:t>0 (1)</w:t>
            </w:r>
          </w:p>
        </w:tc>
        <w:tc>
          <w:tcPr>
            <w:tcW w:w="1134" w:type="dxa"/>
          </w:tcPr>
          <w:p w14:paraId="09ADFF89" w14:textId="77777777" w:rsidR="00075001" w:rsidRDefault="00075001" w:rsidP="00075001">
            <w:pPr>
              <w:pStyle w:val="TableParagraph"/>
              <w:rPr>
                <w:sz w:val="20"/>
              </w:rPr>
            </w:pPr>
            <w:r>
              <w:rPr>
                <w:sz w:val="20"/>
              </w:rPr>
              <w:t>0 (1)</w:t>
            </w:r>
          </w:p>
        </w:tc>
        <w:tc>
          <w:tcPr>
            <w:tcW w:w="2268" w:type="dxa"/>
          </w:tcPr>
          <w:p w14:paraId="7330D793" w14:textId="77777777" w:rsidR="00075001" w:rsidRDefault="00075001" w:rsidP="00075001">
            <w:pPr>
              <w:pStyle w:val="TableParagraph"/>
              <w:ind w:left="102"/>
              <w:rPr>
                <w:sz w:val="20"/>
              </w:rPr>
            </w:pPr>
            <w:r>
              <w:rPr>
                <w:sz w:val="20"/>
              </w:rPr>
              <w:t>1 (1)</w:t>
            </w:r>
          </w:p>
        </w:tc>
        <w:tc>
          <w:tcPr>
            <w:tcW w:w="1276" w:type="dxa"/>
          </w:tcPr>
          <w:p w14:paraId="33CB1412" w14:textId="77777777" w:rsidR="00075001" w:rsidRDefault="00075001" w:rsidP="00075001">
            <w:pPr>
              <w:pStyle w:val="TableParagraph"/>
              <w:rPr>
                <w:sz w:val="20"/>
              </w:rPr>
            </w:pPr>
            <w:r>
              <w:rPr>
                <w:sz w:val="20"/>
              </w:rPr>
              <w:t>0.5 (1)</w:t>
            </w:r>
          </w:p>
        </w:tc>
        <w:tc>
          <w:tcPr>
            <w:tcW w:w="1275" w:type="dxa"/>
          </w:tcPr>
          <w:p w14:paraId="10CDBF26" w14:textId="77777777" w:rsidR="00075001" w:rsidRDefault="00075001" w:rsidP="00075001">
            <w:pPr>
              <w:pStyle w:val="TableParagraph"/>
              <w:rPr>
                <w:sz w:val="20"/>
              </w:rPr>
            </w:pPr>
            <w:r>
              <w:rPr>
                <w:sz w:val="20"/>
              </w:rPr>
              <w:t>0 (1)</w:t>
            </w:r>
          </w:p>
        </w:tc>
        <w:tc>
          <w:tcPr>
            <w:tcW w:w="1378" w:type="dxa"/>
          </w:tcPr>
          <w:p w14:paraId="402AC8A8" w14:textId="77777777" w:rsidR="00075001" w:rsidRDefault="00075001" w:rsidP="00075001">
            <w:pPr>
              <w:pStyle w:val="TableParagraph"/>
              <w:rPr>
                <w:sz w:val="20"/>
              </w:rPr>
            </w:pPr>
            <w:r>
              <w:rPr>
                <w:sz w:val="20"/>
              </w:rPr>
              <w:t>0 (1)</w:t>
            </w:r>
          </w:p>
        </w:tc>
        <w:tc>
          <w:tcPr>
            <w:tcW w:w="1174" w:type="dxa"/>
          </w:tcPr>
          <w:p w14:paraId="4460A32E" w14:textId="77777777" w:rsidR="00075001" w:rsidRDefault="00075001" w:rsidP="00075001">
            <w:pPr>
              <w:pStyle w:val="TableParagraph"/>
              <w:rPr>
                <w:sz w:val="20"/>
              </w:rPr>
            </w:pPr>
            <w:r>
              <w:rPr>
                <w:sz w:val="20"/>
              </w:rPr>
              <w:t>0.5 (1)</w:t>
            </w:r>
          </w:p>
        </w:tc>
      </w:tr>
      <w:tr w:rsidR="00075001" w14:paraId="7E9F69A7" w14:textId="77777777" w:rsidTr="00075001">
        <w:trPr>
          <w:trHeight w:hRule="exact" w:val="498"/>
        </w:trPr>
        <w:tc>
          <w:tcPr>
            <w:tcW w:w="2263" w:type="dxa"/>
          </w:tcPr>
          <w:p w14:paraId="0750F606" w14:textId="77777777" w:rsidR="00075001" w:rsidRDefault="00075001" w:rsidP="00075001">
            <w:pPr>
              <w:pStyle w:val="TableParagraph"/>
              <w:rPr>
                <w:sz w:val="20"/>
              </w:rPr>
            </w:pPr>
            <w:r>
              <w:rPr>
                <w:sz w:val="20"/>
              </w:rPr>
              <w:t>STOPP criteria (modified)</w:t>
            </w:r>
          </w:p>
          <w:p w14:paraId="47FAFE53" w14:textId="77777777" w:rsidR="00075001" w:rsidRDefault="00075001" w:rsidP="00075001">
            <w:pPr>
              <w:pStyle w:val="TableParagraph"/>
              <w:rPr>
                <w:sz w:val="20"/>
              </w:rPr>
            </w:pPr>
            <w:r>
              <w:rPr>
                <w:sz w:val="20"/>
              </w:rPr>
              <w:t>– Median (IQR)</w:t>
            </w:r>
          </w:p>
        </w:tc>
        <w:tc>
          <w:tcPr>
            <w:tcW w:w="1276" w:type="dxa"/>
          </w:tcPr>
          <w:p w14:paraId="02FB8E32" w14:textId="77777777" w:rsidR="00075001" w:rsidRDefault="00075001" w:rsidP="00075001">
            <w:pPr>
              <w:pStyle w:val="TableParagraph"/>
              <w:rPr>
                <w:sz w:val="20"/>
              </w:rPr>
            </w:pPr>
            <w:r>
              <w:rPr>
                <w:sz w:val="20"/>
              </w:rPr>
              <w:t>2 (2)</w:t>
            </w:r>
          </w:p>
        </w:tc>
        <w:tc>
          <w:tcPr>
            <w:tcW w:w="1134" w:type="dxa"/>
          </w:tcPr>
          <w:p w14:paraId="078AD80E" w14:textId="77777777" w:rsidR="00075001" w:rsidRDefault="00075001" w:rsidP="00075001">
            <w:pPr>
              <w:pStyle w:val="TableParagraph"/>
              <w:rPr>
                <w:sz w:val="20"/>
              </w:rPr>
            </w:pPr>
            <w:r>
              <w:rPr>
                <w:sz w:val="20"/>
              </w:rPr>
              <w:t>2 (2)</w:t>
            </w:r>
          </w:p>
        </w:tc>
        <w:tc>
          <w:tcPr>
            <w:tcW w:w="1276" w:type="dxa"/>
          </w:tcPr>
          <w:p w14:paraId="748F33ED" w14:textId="77777777" w:rsidR="00075001" w:rsidRDefault="00075001" w:rsidP="00075001">
            <w:pPr>
              <w:pStyle w:val="TableParagraph"/>
              <w:rPr>
                <w:sz w:val="20"/>
              </w:rPr>
            </w:pPr>
            <w:r>
              <w:rPr>
                <w:sz w:val="20"/>
              </w:rPr>
              <w:t>1 (2)</w:t>
            </w:r>
          </w:p>
        </w:tc>
        <w:tc>
          <w:tcPr>
            <w:tcW w:w="1134" w:type="dxa"/>
          </w:tcPr>
          <w:p w14:paraId="34C80DB0" w14:textId="77777777" w:rsidR="00075001" w:rsidRDefault="00075001" w:rsidP="00075001">
            <w:pPr>
              <w:pStyle w:val="TableParagraph"/>
              <w:rPr>
                <w:sz w:val="20"/>
              </w:rPr>
            </w:pPr>
            <w:r>
              <w:rPr>
                <w:sz w:val="20"/>
              </w:rPr>
              <w:t>1 (2)</w:t>
            </w:r>
          </w:p>
        </w:tc>
        <w:tc>
          <w:tcPr>
            <w:tcW w:w="2268" w:type="dxa"/>
          </w:tcPr>
          <w:p w14:paraId="79C1FA91" w14:textId="77777777" w:rsidR="00075001" w:rsidRDefault="00075001" w:rsidP="00075001">
            <w:pPr>
              <w:pStyle w:val="TableParagraph"/>
              <w:ind w:left="102"/>
              <w:rPr>
                <w:sz w:val="20"/>
              </w:rPr>
            </w:pPr>
            <w:r>
              <w:rPr>
                <w:sz w:val="20"/>
              </w:rPr>
              <w:t>1 (1)</w:t>
            </w:r>
          </w:p>
        </w:tc>
        <w:tc>
          <w:tcPr>
            <w:tcW w:w="1276" w:type="dxa"/>
          </w:tcPr>
          <w:p w14:paraId="21B68084" w14:textId="77777777" w:rsidR="00075001" w:rsidRDefault="00075001" w:rsidP="00075001">
            <w:pPr>
              <w:pStyle w:val="TableParagraph"/>
              <w:rPr>
                <w:sz w:val="20"/>
              </w:rPr>
            </w:pPr>
            <w:r>
              <w:rPr>
                <w:sz w:val="20"/>
              </w:rPr>
              <w:t>1 (2)</w:t>
            </w:r>
          </w:p>
        </w:tc>
        <w:tc>
          <w:tcPr>
            <w:tcW w:w="1275" w:type="dxa"/>
          </w:tcPr>
          <w:p w14:paraId="716D1AE5" w14:textId="77777777" w:rsidR="00075001" w:rsidRDefault="00075001" w:rsidP="00075001">
            <w:pPr>
              <w:pStyle w:val="TableParagraph"/>
              <w:rPr>
                <w:sz w:val="20"/>
              </w:rPr>
            </w:pPr>
            <w:r>
              <w:rPr>
                <w:sz w:val="20"/>
              </w:rPr>
              <w:t>1 (2)</w:t>
            </w:r>
          </w:p>
        </w:tc>
        <w:tc>
          <w:tcPr>
            <w:tcW w:w="1378" w:type="dxa"/>
          </w:tcPr>
          <w:p w14:paraId="01ADC652" w14:textId="77777777" w:rsidR="00075001" w:rsidRDefault="00075001" w:rsidP="00075001">
            <w:pPr>
              <w:pStyle w:val="TableParagraph"/>
              <w:rPr>
                <w:sz w:val="20"/>
              </w:rPr>
            </w:pPr>
            <w:r>
              <w:rPr>
                <w:sz w:val="20"/>
              </w:rPr>
              <w:t>2 (2)</w:t>
            </w:r>
          </w:p>
        </w:tc>
        <w:tc>
          <w:tcPr>
            <w:tcW w:w="1174" w:type="dxa"/>
          </w:tcPr>
          <w:p w14:paraId="029DE679" w14:textId="77777777" w:rsidR="00075001" w:rsidRDefault="00075001" w:rsidP="00075001">
            <w:pPr>
              <w:pStyle w:val="TableParagraph"/>
              <w:rPr>
                <w:sz w:val="20"/>
              </w:rPr>
            </w:pPr>
            <w:r>
              <w:rPr>
                <w:sz w:val="20"/>
              </w:rPr>
              <w:t>2 (2)</w:t>
            </w:r>
          </w:p>
        </w:tc>
      </w:tr>
      <w:tr w:rsidR="00075001" w14:paraId="73725E07" w14:textId="77777777" w:rsidTr="00075001">
        <w:trPr>
          <w:trHeight w:hRule="exact" w:val="742"/>
        </w:trPr>
        <w:tc>
          <w:tcPr>
            <w:tcW w:w="2263" w:type="dxa"/>
          </w:tcPr>
          <w:p w14:paraId="44A51743" w14:textId="77777777" w:rsidR="00075001" w:rsidRDefault="00075001" w:rsidP="00075001">
            <w:pPr>
              <w:pStyle w:val="TableParagraph"/>
              <w:ind w:right="506"/>
              <w:rPr>
                <w:sz w:val="20"/>
              </w:rPr>
            </w:pPr>
            <w:proofErr w:type="spellStart"/>
            <w:r>
              <w:rPr>
                <w:sz w:val="20"/>
              </w:rPr>
              <w:t>Dreischulte</w:t>
            </w:r>
            <w:proofErr w:type="spellEnd"/>
            <w:r>
              <w:rPr>
                <w:sz w:val="20"/>
              </w:rPr>
              <w:t xml:space="preserve"> criteria (modified) - Median (IQR)</w:t>
            </w:r>
          </w:p>
        </w:tc>
        <w:tc>
          <w:tcPr>
            <w:tcW w:w="1276" w:type="dxa"/>
          </w:tcPr>
          <w:p w14:paraId="0C7A3165" w14:textId="77777777" w:rsidR="00075001" w:rsidRDefault="00075001" w:rsidP="00075001">
            <w:pPr>
              <w:pStyle w:val="TableParagraph"/>
              <w:rPr>
                <w:sz w:val="20"/>
              </w:rPr>
            </w:pPr>
            <w:r>
              <w:rPr>
                <w:sz w:val="20"/>
              </w:rPr>
              <w:t>0 (0)</w:t>
            </w:r>
          </w:p>
        </w:tc>
        <w:tc>
          <w:tcPr>
            <w:tcW w:w="1134" w:type="dxa"/>
          </w:tcPr>
          <w:p w14:paraId="46C5B12E" w14:textId="77777777" w:rsidR="00075001" w:rsidRDefault="00075001" w:rsidP="00075001">
            <w:pPr>
              <w:pStyle w:val="TableParagraph"/>
              <w:rPr>
                <w:sz w:val="20"/>
              </w:rPr>
            </w:pPr>
            <w:r>
              <w:rPr>
                <w:sz w:val="20"/>
              </w:rPr>
              <w:t>0 (0)</w:t>
            </w:r>
          </w:p>
        </w:tc>
        <w:tc>
          <w:tcPr>
            <w:tcW w:w="1276" w:type="dxa"/>
          </w:tcPr>
          <w:p w14:paraId="292B021C" w14:textId="77777777" w:rsidR="00075001" w:rsidRDefault="00075001" w:rsidP="00075001">
            <w:pPr>
              <w:pStyle w:val="TableParagraph"/>
              <w:rPr>
                <w:sz w:val="20"/>
              </w:rPr>
            </w:pPr>
            <w:r>
              <w:rPr>
                <w:sz w:val="20"/>
              </w:rPr>
              <w:t>0 (0)</w:t>
            </w:r>
          </w:p>
        </w:tc>
        <w:tc>
          <w:tcPr>
            <w:tcW w:w="1134" w:type="dxa"/>
          </w:tcPr>
          <w:p w14:paraId="71FCC230" w14:textId="77777777" w:rsidR="00075001" w:rsidRDefault="00075001" w:rsidP="00075001">
            <w:pPr>
              <w:pStyle w:val="TableParagraph"/>
              <w:rPr>
                <w:sz w:val="20"/>
              </w:rPr>
            </w:pPr>
            <w:r>
              <w:rPr>
                <w:sz w:val="20"/>
              </w:rPr>
              <w:t>0 (0)</w:t>
            </w:r>
          </w:p>
        </w:tc>
        <w:tc>
          <w:tcPr>
            <w:tcW w:w="2268" w:type="dxa"/>
          </w:tcPr>
          <w:p w14:paraId="08B2995C" w14:textId="77777777" w:rsidR="00075001" w:rsidRDefault="00075001" w:rsidP="00075001">
            <w:pPr>
              <w:pStyle w:val="TableParagraph"/>
              <w:ind w:left="102"/>
              <w:rPr>
                <w:sz w:val="20"/>
              </w:rPr>
            </w:pPr>
            <w:r>
              <w:rPr>
                <w:sz w:val="20"/>
              </w:rPr>
              <w:t>0 (0)</w:t>
            </w:r>
          </w:p>
        </w:tc>
        <w:tc>
          <w:tcPr>
            <w:tcW w:w="1276" w:type="dxa"/>
          </w:tcPr>
          <w:p w14:paraId="46B223E1" w14:textId="77777777" w:rsidR="00075001" w:rsidRDefault="00075001" w:rsidP="00075001">
            <w:pPr>
              <w:pStyle w:val="TableParagraph"/>
              <w:rPr>
                <w:sz w:val="20"/>
              </w:rPr>
            </w:pPr>
            <w:r>
              <w:rPr>
                <w:sz w:val="20"/>
              </w:rPr>
              <w:t>0 (0)</w:t>
            </w:r>
          </w:p>
        </w:tc>
        <w:tc>
          <w:tcPr>
            <w:tcW w:w="1275" w:type="dxa"/>
          </w:tcPr>
          <w:p w14:paraId="3B175730" w14:textId="77777777" w:rsidR="00075001" w:rsidRDefault="00075001" w:rsidP="00075001">
            <w:pPr>
              <w:pStyle w:val="TableParagraph"/>
              <w:rPr>
                <w:sz w:val="20"/>
              </w:rPr>
            </w:pPr>
            <w:r>
              <w:rPr>
                <w:sz w:val="20"/>
              </w:rPr>
              <w:t>0 (0)</w:t>
            </w:r>
          </w:p>
        </w:tc>
        <w:tc>
          <w:tcPr>
            <w:tcW w:w="1378" w:type="dxa"/>
          </w:tcPr>
          <w:p w14:paraId="0978AE39" w14:textId="77777777" w:rsidR="00075001" w:rsidRDefault="00075001" w:rsidP="00075001">
            <w:pPr>
              <w:pStyle w:val="TableParagraph"/>
              <w:rPr>
                <w:sz w:val="20"/>
              </w:rPr>
            </w:pPr>
            <w:r>
              <w:rPr>
                <w:sz w:val="20"/>
              </w:rPr>
              <w:t>0 (0)</w:t>
            </w:r>
          </w:p>
        </w:tc>
        <w:tc>
          <w:tcPr>
            <w:tcW w:w="1174" w:type="dxa"/>
          </w:tcPr>
          <w:p w14:paraId="75C075C1" w14:textId="77777777" w:rsidR="00075001" w:rsidRDefault="00075001" w:rsidP="00075001">
            <w:pPr>
              <w:pStyle w:val="TableParagraph"/>
              <w:rPr>
                <w:sz w:val="20"/>
              </w:rPr>
            </w:pPr>
            <w:r>
              <w:rPr>
                <w:sz w:val="20"/>
              </w:rPr>
              <w:t>0 (0)</w:t>
            </w:r>
          </w:p>
        </w:tc>
      </w:tr>
      <w:tr w:rsidR="00075001" w14:paraId="7AF685F5" w14:textId="77777777" w:rsidTr="00075001">
        <w:trPr>
          <w:trHeight w:hRule="exact" w:val="498"/>
        </w:trPr>
        <w:tc>
          <w:tcPr>
            <w:tcW w:w="2263" w:type="dxa"/>
          </w:tcPr>
          <w:p w14:paraId="058E288F" w14:textId="77777777" w:rsidR="00075001" w:rsidRDefault="00075001" w:rsidP="00075001">
            <w:pPr>
              <w:pStyle w:val="TableParagraph"/>
              <w:rPr>
                <w:sz w:val="20"/>
              </w:rPr>
            </w:pPr>
            <w:r>
              <w:rPr>
                <w:sz w:val="20"/>
              </w:rPr>
              <w:t>START criteria (modified)</w:t>
            </w:r>
          </w:p>
          <w:p w14:paraId="39B6ACB9" w14:textId="77777777" w:rsidR="00075001" w:rsidRDefault="00075001" w:rsidP="00075001">
            <w:pPr>
              <w:pStyle w:val="TableParagraph"/>
              <w:rPr>
                <w:sz w:val="20"/>
              </w:rPr>
            </w:pPr>
            <w:r>
              <w:rPr>
                <w:sz w:val="20"/>
              </w:rPr>
              <w:t>– Median (IQR)</w:t>
            </w:r>
          </w:p>
        </w:tc>
        <w:tc>
          <w:tcPr>
            <w:tcW w:w="1276" w:type="dxa"/>
          </w:tcPr>
          <w:p w14:paraId="300D0695" w14:textId="77777777" w:rsidR="00075001" w:rsidRDefault="00075001" w:rsidP="00075001">
            <w:pPr>
              <w:pStyle w:val="TableParagraph"/>
              <w:rPr>
                <w:sz w:val="20"/>
              </w:rPr>
            </w:pPr>
            <w:r>
              <w:rPr>
                <w:sz w:val="20"/>
              </w:rPr>
              <w:t>1 (2)</w:t>
            </w:r>
          </w:p>
        </w:tc>
        <w:tc>
          <w:tcPr>
            <w:tcW w:w="1134" w:type="dxa"/>
          </w:tcPr>
          <w:p w14:paraId="7EC23FA4" w14:textId="77777777" w:rsidR="00075001" w:rsidRDefault="00075001" w:rsidP="00075001">
            <w:pPr>
              <w:pStyle w:val="TableParagraph"/>
              <w:rPr>
                <w:sz w:val="20"/>
              </w:rPr>
            </w:pPr>
            <w:r>
              <w:rPr>
                <w:sz w:val="20"/>
              </w:rPr>
              <w:t>1 (2)</w:t>
            </w:r>
          </w:p>
        </w:tc>
        <w:tc>
          <w:tcPr>
            <w:tcW w:w="1276" w:type="dxa"/>
          </w:tcPr>
          <w:p w14:paraId="7D107BA6" w14:textId="77777777" w:rsidR="00075001" w:rsidRDefault="00075001" w:rsidP="00075001">
            <w:pPr>
              <w:pStyle w:val="TableParagraph"/>
              <w:rPr>
                <w:sz w:val="20"/>
              </w:rPr>
            </w:pPr>
            <w:r>
              <w:rPr>
                <w:sz w:val="20"/>
              </w:rPr>
              <w:t>0 (2)</w:t>
            </w:r>
          </w:p>
        </w:tc>
        <w:tc>
          <w:tcPr>
            <w:tcW w:w="1134" w:type="dxa"/>
          </w:tcPr>
          <w:p w14:paraId="7C647FEB" w14:textId="77777777" w:rsidR="00075001" w:rsidRDefault="00075001" w:rsidP="00075001">
            <w:pPr>
              <w:pStyle w:val="TableParagraph"/>
              <w:rPr>
                <w:sz w:val="20"/>
              </w:rPr>
            </w:pPr>
            <w:r>
              <w:rPr>
                <w:sz w:val="20"/>
              </w:rPr>
              <w:t>0 (1)</w:t>
            </w:r>
          </w:p>
        </w:tc>
        <w:tc>
          <w:tcPr>
            <w:tcW w:w="2268" w:type="dxa"/>
          </w:tcPr>
          <w:p w14:paraId="368C5AE0" w14:textId="77777777" w:rsidR="00075001" w:rsidRDefault="00075001" w:rsidP="00075001">
            <w:pPr>
              <w:pStyle w:val="TableParagraph"/>
              <w:ind w:left="102"/>
              <w:rPr>
                <w:sz w:val="20"/>
              </w:rPr>
            </w:pPr>
            <w:r>
              <w:rPr>
                <w:sz w:val="20"/>
              </w:rPr>
              <w:t>1 (2)</w:t>
            </w:r>
          </w:p>
        </w:tc>
        <w:tc>
          <w:tcPr>
            <w:tcW w:w="1276" w:type="dxa"/>
          </w:tcPr>
          <w:p w14:paraId="41870AA2" w14:textId="77777777" w:rsidR="00075001" w:rsidRDefault="00075001" w:rsidP="00075001">
            <w:pPr>
              <w:pStyle w:val="TableParagraph"/>
              <w:rPr>
                <w:sz w:val="20"/>
              </w:rPr>
            </w:pPr>
            <w:r>
              <w:rPr>
                <w:sz w:val="20"/>
              </w:rPr>
              <w:t>1 (2)</w:t>
            </w:r>
          </w:p>
        </w:tc>
        <w:tc>
          <w:tcPr>
            <w:tcW w:w="1275" w:type="dxa"/>
          </w:tcPr>
          <w:p w14:paraId="74AFB8B9" w14:textId="77777777" w:rsidR="00075001" w:rsidRDefault="00075001" w:rsidP="00075001">
            <w:pPr>
              <w:pStyle w:val="TableParagraph"/>
              <w:rPr>
                <w:sz w:val="20"/>
              </w:rPr>
            </w:pPr>
            <w:r>
              <w:rPr>
                <w:sz w:val="20"/>
              </w:rPr>
              <w:t>1 (2)</w:t>
            </w:r>
          </w:p>
        </w:tc>
        <w:tc>
          <w:tcPr>
            <w:tcW w:w="1378" w:type="dxa"/>
          </w:tcPr>
          <w:p w14:paraId="144E832D" w14:textId="77777777" w:rsidR="00075001" w:rsidRDefault="00075001" w:rsidP="00075001">
            <w:pPr>
              <w:pStyle w:val="TableParagraph"/>
              <w:rPr>
                <w:sz w:val="20"/>
              </w:rPr>
            </w:pPr>
            <w:r>
              <w:rPr>
                <w:sz w:val="20"/>
              </w:rPr>
              <w:t>1 (2)</w:t>
            </w:r>
          </w:p>
        </w:tc>
        <w:tc>
          <w:tcPr>
            <w:tcW w:w="1174" w:type="dxa"/>
          </w:tcPr>
          <w:p w14:paraId="230B1377" w14:textId="77777777" w:rsidR="00075001" w:rsidRDefault="00075001" w:rsidP="00075001">
            <w:pPr>
              <w:pStyle w:val="TableParagraph"/>
              <w:rPr>
                <w:sz w:val="20"/>
              </w:rPr>
            </w:pPr>
            <w:r>
              <w:rPr>
                <w:sz w:val="20"/>
              </w:rPr>
              <w:t>1 (2)</w:t>
            </w:r>
          </w:p>
        </w:tc>
      </w:tr>
    </w:tbl>
    <w:p w14:paraId="5E7DFE04" w14:textId="77777777" w:rsidR="00075001" w:rsidRDefault="00075001" w:rsidP="00075001">
      <w:pPr>
        <w:pStyle w:val="BodyText"/>
        <w:spacing w:before="2"/>
        <w:rPr>
          <w:b/>
          <w:sz w:val="14"/>
        </w:rPr>
      </w:pPr>
    </w:p>
    <w:p w14:paraId="2286BC97" w14:textId="77777777" w:rsidR="00075001" w:rsidRPr="00BE21F9" w:rsidRDefault="00075001" w:rsidP="00075001">
      <w:pPr>
        <w:spacing w:before="60"/>
        <w:ind w:left="116"/>
        <w:rPr>
          <w:rFonts w:asciiTheme="minorHAnsi" w:hAnsiTheme="minorHAnsi" w:cstheme="minorHAnsi"/>
          <w:b/>
          <w:sz w:val="20"/>
        </w:rPr>
      </w:pPr>
      <w:proofErr w:type="spellStart"/>
      <w:r w:rsidRPr="00BE21F9">
        <w:rPr>
          <w:rFonts w:asciiTheme="minorHAnsi" w:hAnsiTheme="minorHAnsi" w:cstheme="minorHAnsi"/>
          <w:b/>
          <w:sz w:val="20"/>
        </w:rPr>
        <w:t>Candidate</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prognostic</w:t>
      </w:r>
      <w:proofErr w:type="spellEnd"/>
      <w:r w:rsidRPr="00BE21F9">
        <w:rPr>
          <w:rFonts w:asciiTheme="minorHAnsi" w:hAnsiTheme="minorHAnsi" w:cstheme="minorHAnsi"/>
          <w:b/>
          <w:sz w:val="20"/>
        </w:rPr>
        <w:t xml:space="preserve"> variables – </w:t>
      </w:r>
      <w:proofErr w:type="spellStart"/>
      <w:r w:rsidRPr="00BE21F9">
        <w:rPr>
          <w:rFonts w:asciiTheme="minorHAnsi" w:hAnsiTheme="minorHAnsi" w:cstheme="minorHAnsi"/>
          <w:b/>
          <w:sz w:val="20"/>
        </w:rPr>
        <w:t>Functional</w:t>
      </w:r>
      <w:proofErr w:type="spellEnd"/>
      <w:r w:rsidRPr="00BE21F9">
        <w:rPr>
          <w:rFonts w:asciiTheme="minorHAnsi" w:hAnsiTheme="minorHAnsi" w:cstheme="minorHAnsi"/>
          <w:b/>
          <w:sz w:val="20"/>
        </w:rPr>
        <w:t xml:space="preserve"> </w:t>
      </w:r>
      <w:proofErr w:type="gramStart"/>
      <w:r w:rsidRPr="00BE21F9">
        <w:rPr>
          <w:rFonts w:asciiTheme="minorHAnsi" w:hAnsiTheme="minorHAnsi" w:cstheme="minorHAnsi"/>
          <w:b/>
          <w:sz w:val="20"/>
        </w:rPr>
        <w:t>status</w:t>
      </w:r>
      <w:proofErr w:type="gramEnd"/>
      <w:r w:rsidRPr="00BE21F9">
        <w:rPr>
          <w:rFonts w:asciiTheme="minorHAnsi" w:hAnsiTheme="minorHAnsi" w:cstheme="minorHAnsi"/>
          <w:b/>
          <w:sz w:val="20"/>
        </w:rPr>
        <w:t xml:space="preserve"> and </w:t>
      </w:r>
      <w:proofErr w:type="spellStart"/>
      <w:r w:rsidRPr="00BE21F9">
        <w:rPr>
          <w:rFonts w:asciiTheme="minorHAnsi" w:hAnsiTheme="minorHAnsi" w:cstheme="minorHAnsi"/>
          <w:b/>
          <w:sz w:val="20"/>
        </w:rPr>
        <w:t>well-being-related</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baseline</w:t>
      </w:r>
      <w:proofErr w:type="spellEnd"/>
      <w:r w:rsidRPr="00BE21F9">
        <w:rPr>
          <w:rFonts w:asciiTheme="minorHAnsi" w:hAnsiTheme="minorHAnsi" w:cstheme="minorHAnsi"/>
          <w:b/>
          <w:sz w:val="20"/>
        </w:rPr>
        <w:t>)</w:t>
      </w:r>
    </w:p>
    <w:p w14:paraId="25FDBE3B" w14:textId="77777777" w:rsidR="00075001" w:rsidRDefault="00075001" w:rsidP="00075001">
      <w:pPr>
        <w:pStyle w:val="BodyText"/>
        <w:spacing w:before="1"/>
        <w:rPr>
          <w:b/>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1276"/>
        <w:gridCol w:w="1134"/>
        <w:gridCol w:w="1276"/>
        <w:gridCol w:w="1134"/>
        <w:gridCol w:w="2268"/>
        <w:gridCol w:w="1326"/>
        <w:gridCol w:w="1259"/>
        <w:gridCol w:w="1259"/>
        <w:gridCol w:w="1259"/>
      </w:tblGrid>
      <w:tr w:rsidR="00075001" w14:paraId="5DB3E77A" w14:textId="77777777" w:rsidTr="00075001">
        <w:trPr>
          <w:trHeight w:hRule="exact" w:val="498"/>
        </w:trPr>
        <w:tc>
          <w:tcPr>
            <w:tcW w:w="2263" w:type="dxa"/>
            <w:vMerge w:val="restart"/>
          </w:tcPr>
          <w:p w14:paraId="12779AF4" w14:textId="77777777" w:rsidR="00075001" w:rsidRDefault="00075001" w:rsidP="00075001">
            <w:pPr>
              <w:pStyle w:val="TableParagraph"/>
              <w:rPr>
                <w:b/>
                <w:sz w:val="20"/>
              </w:rPr>
            </w:pPr>
            <w:r>
              <w:rPr>
                <w:b/>
                <w:sz w:val="20"/>
              </w:rPr>
              <w:t>Variables</w:t>
            </w:r>
          </w:p>
        </w:tc>
        <w:tc>
          <w:tcPr>
            <w:tcW w:w="2410" w:type="dxa"/>
            <w:gridSpan w:val="2"/>
          </w:tcPr>
          <w:p w14:paraId="11803AFD" w14:textId="77777777" w:rsidR="00075001" w:rsidRDefault="00075001" w:rsidP="00075001">
            <w:pPr>
              <w:pStyle w:val="TableParagraph"/>
              <w:rPr>
                <w:b/>
                <w:sz w:val="20"/>
              </w:rPr>
            </w:pPr>
            <w:r>
              <w:rPr>
                <w:b/>
                <w:sz w:val="20"/>
              </w:rPr>
              <w:t>PRIMUM</w:t>
            </w:r>
          </w:p>
        </w:tc>
        <w:tc>
          <w:tcPr>
            <w:tcW w:w="2410" w:type="dxa"/>
            <w:gridSpan w:val="2"/>
          </w:tcPr>
          <w:p w14:paraId="7F63C629" w14:textId="77777777" w:rsidR="00075001" w:rsidRDefault="00075001" w:rsidP="00075001">
            <w:pPr>
              <w:pStyle w:val="TableParagraph"/>
              <w:rPr>
                <w:b/>
                <w:sz w:val="20"/>
              </w:rPr>
            </w:pPr>
            <w:r>
              <w:rPr>
                <w:b/>
                <w:sz w:val="20"/>
              </w:rPr>
              <w:t>Opti-Med</w:t>
            </w:r>
          </w:p>
        </w:tc>
        <w:tc>
          <w:tcPr>
            <w:tcW w:w="2268" w:type="dxa"/>
          </w:tcPr>
          <w:p w14:paraId="31B61353" w14:textId="77777777" w:rsidR="00075001" w:rsidRDefault="00075001" w:rsidP="00075001">
            <w:pPr>
              <w:pStyle w:val="TableParagraph"/>
              <w:rPr>
                <w:b/>
                <w:sz w:val="20"/>
              </w:rPr>
            </w:pPr>
            <w:r>
              <w:rPr>
                <w:b/>
                <w:sz w:val="20"/>
              </w:rPr>
              <w:t>PIL</w:t>
            </w:r>
          </w:p>
        </w:tc>
        <w:tc>
          <w:tcPr>
            <w:tcW w:w="2585" w:type="dxa"/>
            <w:gridSpan w:val="2"/>
          </w:tcPr>
          <w:p w14:paraId="31101784" w14:textId="77777777" w:rsidR="00075001" w:rsidRDefault="00075001" w:rsidP="00075001">
            <w:pPr>
              <w:pStyle w:val="TableParagraph"/>
              <w:rPr>
                <w:b/>
                <w:sz w:val="20"/>
              </w:rPr>
            </w:pPr>
            <w:r>
              <w:rPr>
                <w:b/>
                <w:sz w:val="20"/>
              </w:rPr>
              <w:t>ISCOPE</w:t>
            </w:r>
          </w:p>
        </w:tc>
        <w:tc>
          <w:tcPr>
            <w:tcW w:w="2518" w:type="dxa"/>
            <w:gridSpan w:val="2"/>
          </w:tcPr>
          <w:p w14:paraId="5162FDEA" w14:textId="77777777" w:rsidR="00075001" w:rsidRDefault="00075001" w:rsidP="00075001">
            <w:pPr>
              <w:pStyle w:val="TableParagraph"/>
              <w:rPr>
                <w:b/>
                <w:sz w:val="20"/>
              </w:rPr>
            </w:pPr>
            <w:r>
              <w:rPr>
                <w:b/>
                <w:sz w:val="20"/>
              </w:rPr>
              <w:t>RIME</w:t>
            </w:r>
          </w:p>
        </w:tc>
      </w:tr>
      <w:tr w:rsidR="00075001" w14:paraId="44A03C2A" w14:textId="77777777" w:rsidTr="00075001">
        <w:trPr>
          <w:trHeight w:hRule="exact" w:val="498"/>
        </w:trPr>
        <w:tc>
          <w:tcPr>
            <w:tcW w:w="2263" w:type="dxa"/>
            <w:vMerge/>
          </w:tcPr>
          <w:p w14:paraId="59C41B9F" w14:textId="77777777" w:rsidR="00075001" w:rsidRDefault="00075001" w:rsidP="00075001"/>
        </w:tc>
        <w:tc>
          <w:tcPr>
            <w:tcW w:w="1276" w:type="dxa"/>
          </w:tcPr>
          <w:p w14:paraId="5364769B" w14:textId="77777777" w:rsidR="00075001" w:rsidRDefault="00075001" w:rsidP="00075001">
            <w:pPr>
              <w:pStyle w:val="TableParagraph"/>
              <w:rPr>
                <w:sz w:val="20"/>
              </w:rPr>
            </w:pPr>
            <w:r>
              <w:rPr>
                <w:sz w:val="20"/>
              </w:rPr>
              <w:t>CG</w:t>
            </w:r>
          </w:p>
          <w:p w14:paraId="5026FBF6" w14:textId="77777777" w:rsidR="00075001" w:rsidRDefault="00075001" w:rsidP="00075001">
            <w:pPr>
              <w:pStyle w:val="TableParagraph"/>
              <w:rPr>
                <w:sz w:val="20"/>
              </w:rPr>
            </w:pPr>
            <w:r>
              <w:rPr>
                <w:sz w:val="20"/>
              </w:rPr>
              <w:t>n = 190</w:t>
            </w:r>
          </w:p>
        </w:tc>
        <w:tc>
          <w:tcPr>
            <w:tcW w:w="1134" w:type="dxa"/>
          </w:tcPr>
          <w:p w14:paraId="029CFC8A" w14:textId="77777777" w:rsidR="00075001" w:rsidRDefault="00075001" w:rsidP="00075001">
            <w:pPr>
              <w:pStyle w:val="TableParagraph"/>
              <w:rPr>
                <w:sz w:val="20"/>
              </w:rPr>
            </w:pPr>
            <w:r>
              <w:rPr>
                <w:sz w:val="20"/>
              </w:rPr>
              <w:t>IG</w:t>
            </w:r>
          </w:p>
          <w:p w14:paraId="5B90EA63" w14:textId="77777777" w:rsidR="00075001" w:rsidRDefault="00075001" w:rsidP="00075001">
            <w:pPr>
              <w:pStyle w:val="TableParagraph"/>
              <w:rPr>
                <w:sz w:val="20"/>
              </w:rPr>
            </w:pPr>
            <w:r>
              <w:rPr>
                <w:sz w:val="20"/>
              </w:rPr>
              <w:t>n = 191</w:t>
            </w:r>
          </w:p>
        </w:tc>
        <w:tc>
          <w:tcPr>
            <w:tcW w:w="1276" w:type="dxa"/>
          </w:tcPr>
          <w:p w14:paraId="617CB0E8" w14:textId="77777777" w:rsidR="00075001" w:rsidRDefault="00075001" w:rsidP="00075001">
            <w:pPr>
              <w:pStyle w:val="TableParagraph"/>
              <w:rPr>
                <w:sz w:val="20"/>
              </w:rPr>
            </w:pPr>
            <w:r>
              <w:rPr>
                <w:sz w:val="20"/>
              </w:rPr>
              <w:t>CG</w:t>
            </w:r>
          </w:p>
          <w:p w14:paraId="079B9611" w14:textId="77777777" w:rsidR="00075001" w:rsidRDefault="00075001" w:rsidP="00075001">
            <w:pPr>
              <w:pStyle w:val="TableParagraph"/>
              <w:rPr>
                <w:sz w:val="20"/>
              </w:rPr>
            </w:pPr>
            <w:r>
              <w:rPr>
                <w:sz w:val="20"/>
              </w:rPr>
              <w:t>n = 191</w:t>
            </w:r>
          </w:p>
        </w:tc>
        <w:tc>
          <w:tcPr>
            <w:tcW w:w="1134" w:type="dxa"/>
          </w:tcPr>
          <w:p w14:paraId="76D8BF39" w14:textId="77777777" w:rsidR="00075001" w:rsidRDefault="00075001" w:rsidP="00075001">
            <w:pPr>
              <w:pStyle w:val="TableParagraph"/>
              <w:rPr>
                <w:sz w:val="20"/>
              </w:rPr>
            </w:pPr>
            <w:r>
              <w:rPr>
                <w:sz w:val="20"/>
              </w:rPr>
              <w:t>IG</w:t>
            </w:r>
          </w:p>
          <w:p w14:paraId="742CDE9F" w14:textId="77777777" w:rsidR="00075001" w:rsidRDefault="00075001" w:rsidP="00075001">
            <w:pPr>
              <w:pStyle w:val="TableParagraph"/>
              <w:rPr>
                <w:sz w:val="20"/>
              </w:rPr>
            </w:pPr>
            <w:r>
              <w:rPr>
                <w:sz w:val="20"/>
              </w:rPr>
              <w:t>n = 195</w:t>
            </w:r>
          </w:p>
        </w:tc>
        <w:tc>
          <w:tcPr>
            <w:tcW w:w="2268" w:type="dxa"/>
          </w:tcPr>
          <w:p w14:paraId="78656FC5" w14:textId="77777777" w:rsidR="00075001" w:rsidRDefault="00075001" w:rsidP="00075001">
            <w:pPr>
              <w:pStyle w:val="TableParagraph"/>
              <w:ind w:right="286"/>
              <w:rPr>
                <w:sz w:val="20"/>
              </w:rPr>
            </w:pPr>
            <w:r>
              <w:rPr>
                <w:sz w:val="20"/>
              </w:rPr>
              <w:t>Stepped-wedge design n = 448</w:t>
            </w:r>
          </w:p>
        </w:tc>
        <w:tc>
          <w:tcPr>
            <w:tcW w:w="1326" w:type="dxa"/>
          </w:tcPr>
          <w:p w14:paraId="667DDC10" w14:textId="77777777" w:rsidR="00075001" w:rsidRDefault="00075001" w:rsidP="00075001">
            <w:pPr>
              <w:pStyle w:val="TableParagraph"/>
              <w:rPr>
                <w:sz w:val="20"/>
              </w:rPr>
            </w:pPr>
            <w:r>
              <w:rPr>
                <w:sz w:val="20"/>
              </w:rPr>
              <w:t>CG</w:t>
            </w:r>
          </w:p>
          <w:p w14:paraId="057049A0" w14:textId="77777777" w:rsidR="00075001" w:rsidRDefault="00075001" w:rsidP="00075001">
            <w:pPr>
              <w:pStyle w:val="TableParagraph"/>
              <w:rPr>
                <w:sz w:val="20"/>
              </w:rPr>
            </w:pPr>
            <w:r>
              <w:rPr>
                <w:sz w:val="20"/>
              </w:rPr>
              <w:t>n = 722</w:t>
            </w:r>
          </w:p>
        </w:tc>
        <w:tc>
          <w:tcPr>
            <w:tcW w:w="1259" w:type="dxa"/>
          </w:tcPr>
          <w:p w14:paraId="3FC5439C" w14:textId="77777777" w:rsidR="00075001" w:rsidRDefault="00075001" w:rsidP="00075001">
            <w:pPr>
              <w:pStyle w:val="TableParagraph"/>
              <w:rPr>
                <w:sz w:val="20"/>
              </w:rPr>
            </w:pPr>
            <w:r>
              <w:rPr>
                <w:sz w:val="20"/>
              </w:rPr>
              <w:t>IG</w:t>
            </w:r>
          </w:p>
          <w:p w14:paraId="0DBF9243" w14:textId="77777777" w:rsidR="00075001" w:rsidRDefault="00075001" w:rsidP="00075001">
            <w:pPr>
              <w:pStyle w:val="TableParagraph"/>
              <w:rPr>
                <w:sz w:val="20"/>
              </w:rPr>
            </w:pPr>
            <w:r>
              <w:rPr>
                <w:sz w:val="20"/>
              </w:rPr>
              <w:t>n = 626</w:t>
            </w:r>
          </w:p>
        </w:tc>
        <w:tc>
          <w:tcPr>
            <w:tcW w:w="1259" w:type="dxa"/>
          </w:tcPr>
          <w:p w14:paraId="095ADEF9" w14:textId="77777777" w:rsidR="00075001" w:rsidRDefault="00075001" w:rsidP="00075001">
            <w:pPr>
              <w:pStyle w:val="TableParagraph"/>
              <w:rPr>
                <w:sz w:val="20"/>
              </w:rPr>
            </w:pPr>
            <w:r>
              <w:rPr>
                <w:sz w:val="20"/>
              </w:rPr>
              <w:t>CG</w:t>
            </w:r>
          </w:p>
          <w:p w14:paraId="7E28A6A2" w14:textId="77777777" w:rsidR="00075001" w:rsidRDefault="00075001" w:rsidP="00075001">
            <w:pPr>
              <w:pStyle w:val="TableParagraph"/>
              <w:rPr>
                <w:sz w:val="20"/>
              </w:rPr>
            </w:pPr>
            <w:r>
              <w:rPr>
                <w:sz w:val="20"/>
              </w:rPr>
              <w:t>n = 505</w:t>
            </w:r>
          </w:p>
        </w:tc>
        <w:tc>
          <w:tcPr>
            <w:tcW w:w="1259" w:type="dxa"/>
          </w:tcPr>
          <w:p w14:paraId="788D8D2F" w14:textId="77777777" w:rsidR="00075001" w:rsidRDefault="00075001" w:rsidP="00075001">
            <w:pPr>
              <w:pStyle w:val="TableParagraph"/>
              <w:rPr>
                <w:sz w:val="20"/>
              </w:rPr>
            </w:pPr>
            <w:r>
              <w:rPr>
                <w:sz w:val="20"/>
              </w:rPr>
              <w:t>IG</w:t>
            </w:r>
          </w:p>
          <w:p w14:paraId="696E397C" w14:textId="77777777" w:rsidR="00075001" w:rsidRDefault="00075001" w:rsidP="00075001">
            <w:pPr>
              <w:pStyle w:val="TableParagraph"/>
              <w:rPr>
                <w:sz w:val="20"/>
              </w:rPr>
            </w:pPr>
            <w:r>
              <w:rPr>
                <w:sz w:val="20"/>
              </w:rPr>
              <w:t>n = 514</w:t>
            </w:r>
          </w:p>
        </w:tc>
      </w:tr>
      <w:tr w:rsidR="00075001" w14:paraId="725E2F6A" w14:textId="77777777" w:rsidTr="00075001">
        <w:trPr>
          <w:trHeight w:hRule="exact" w:val="498"/>
        </w:trPr>
        <w:tc>
          <w:tcPr>
            <w:tcW w:w="2263" w:type="dxa"/>
          </w:tcPr>
          <w:p w14:paraId="5230E33C" w14:textId="77777777" w:rsidR="00075001" w:rsidRDefault="00075001" w:rsidP="00075001">
            <w:pPr>
              <w:pStyle w:val="TableParagraph"/>
              <w:ind w:right="596"/>
              <w:rPr>
                <w:sz w:val="20"/>
              </w:rPr>
            </w:pPr>
            <w:r>
              <w:rPr>
                <w:sz w:val="20"/>
              </w:rPr>
              <w:t>Functional status – Mean (SD)</w:t>
            </w:r>
          </w:p>
        </w:tc>
        <w:tc>
          <w:tcPr>
            <w:tcW w:w="1276" w:type="dxa"/>
          </w:tcPr>
          <w:p w14:paraId="388A55AE" w14:textId="77777777" w:rsidR="00075001" w:rsidRDefault="00075001" w:rsidP="00075001">
            <w:pPr>
              <w:pStyle w:val="TableParagraph"/>
              <w:rPr>
                <w:sz w:val="13"/>
              </w:rPr>
            </w:pPr>
            <w:r>
              <w:rPr>
                <w:sz w:val="20"/>
              </w:rPr>
              <w:t xml:space="preserve">-0.07 (1.0) </w:t>
            </w:r>
            <w:r>
              <w:rPr>
                <w:position w:val="6"/>
                <w:sz w:val="13"/>
              </w:rPr>
              <w:t>a</w:t>
            </w:r>
          </w:p>
        </w:tc>
        <w:tc>
          <w:tcPr>
            <w:tcW w:w="1134" w:type="dxa"/>
          </w:tcPr>
          <w:p w14:paraId="2E05C8BB" w14:textId="77777777" w:rsidR="00075001" w:rsidRDefault="00075001" w:rsidP="00075001">
            <w:pPr>
              <w:pStyle w:val="TableParagraph"/>
              <w:rPr>
                <w:sz w:val="13"/>
              </w:rPr>
            </w:pPr>
            <w:r>
              <w:rPr>
                <w:sz w:val="20"/>
              </w:rPr>
              <w:t xml:space="preserve">-0.1 (0.9) </w:t>
            </w:r>
            <w:r>
              <w:rPr>
                <w:position w:val="6"/>
                <w:sz w:val="13"/>
              </w:rPr>
              <w:t>a</w:t>
            </w:r>
          </w:p>
        </w:tc>
        <w:tc>
          <w:tcPr>
            <w:tcW w:w="1276" w:type="dxa"/>
          </w:tcPr>
          <w:p w14:paraId="2EF28394" w14:textId="77777777" w:rsidR="00075001" w:rsidRDefault="00075001" w:rsidP="00075001">
            <w:pPr>
              <w:pStyle w:val="TableParagraph"/>
              <w:rPr>
                <w:sz w:val="13"/>
              </w:rPr>
            </w:pPr>
            <w:r>
              <w:rPr>
                <w:sz w:val="20"/>
              </w:rPr>
              <w:t xml:space="preserve">-0.03 (1.00) </w:t>
            </w:r>
            <w:r>
              <w:rPr>
                <w:position w:val="6"/>
                <w:sz w:val="13"/>
              </w:rPr>
              <w:t>b</w:t>
            </w:r>
          </w:p>
        </w:tc>
        <w:tc>
          <w:tcPr>
            <w:tcW w:w="1134" w:type="dxa"/>
          </w:tcPr>
          <w:p w14:paraId="28AE8FD8" w14:textId="77777777" w:rsidR="00075001" w:rsidRDefault="00075001" w:rsidP="00075001">
            <w:pPr>
              <w:pStyle w:val="TableParagraph"/>
              <w:rPr>
                <w:sz w:val="20"/>
              </w:rPr>
            </w:pPr>
            <w:r>
              <w:rPr>
                <w:sz w:val="20"/>
              </w:rPr>
              <w:t>-0.05</w:t>
            </w:r>
          </w:p>
          <w:p w14:paraId="4BD12B75" w14:textId="77777777" w:rsidR="00075001" w:rsidRDefault="00075001" w:rsidP="00075001">
            <w:pPr>
              <w:pStyle w:val="TableParagraph"/>
              <w:rPr>
                <w:sz w:val="13"/>
              </w:rPr>
            </w:pPr>
            <w:r>
              <w:rPr>
                <w:sz w:val="20"/>
              </w:rPr>
              <w:t xml:space="preserve">(1.02) </w:t>
            </w:r>
            <w:r>
              <w:rPr>
                <w:position w:val="6"/>
                <w:sz w:val="13"/>
              </w:rPr>
              <w:t>b</w:t>
            </w:r>
          </w:p>
        </w:tc>
        <w:tc>
          <w:tcPr>
            <w:tcW w:w="2268" w:type="dxa"/>
          </w:tcPr>
          <w:p w14:paraId="327D071D" w14:textId="77777777" w:rsidR="00075001" w:rsidRDefault="00075001" w:rsidP="00075001">
            <w:pPr>
              <w:pStyle w:val="TableParagraph"/>
              <w:rPr>
                <w:sz w:val="13"/>
              </w:rPr>
            </w:pPr>
            <w:r>
              <w:rPr>
                <w:sz w:val="20"/>
              </w:rPr>
              <w:t xml:space="preserve">-0.10 (0.91) </w:t>
            </w:r>
            <w:r>
              <w:rPr>
                <w:position w:val="6"/>
                <w:sz w:val="13"/>
              </w:rPr>
              <w:t>c</w:t>
            </w:r>
          </w:p>
        </w:tc>
        <w:tc>
          <w:tcPr>
            <w:tcW w:w="1326" w:type="dxa"/>
          </w:tcPr>
          <w:p w14:paraId="0186B4B0" w14:textId="77777777" w:rsidR="00075001" w:rsidRDefault="00075001" w:rsidP="00075001">
            <w:pPr>
              <w:pStyle w:val="TableParagraph"/>
              <w:rPr>
                <w:sz w:val="13"/>
              </w:rPr>
            </w:pPr>
            <w:r>
              <w:rPr>
                <w:sz w:val="20"/>
              </w:rPr>
              <w:t xml:space="preserve">-0.04 (0.95) </w:t>
            </w:r>
            <w:r>
              <w:rPr>
                <w:position w:val="6"/>
                <w:sz w:val="13"/>
              </w:rPr>
              <w:t>c</w:t>
            </w:r>
          </w:p>
        </w:tc>
        <w:tc>
          <w:tcPr>
            <w:tcW w:w="1259" w:type="dxa"/>
          </w:tcPr>
          <w:p w14:paraId="27CE6C8D" w14:textId="77777777" w:rsidR="00075001" w:rsidRDefault="00075001" w:rsidP="00075001">
            <w:pPr>
              <w:pStyle w:val="TableParagraph"/>
              <w:rPr>
                <w:sz w:val="13"/>
              </w:rPr>
            </w:pPr>
            <w:r>
              <w:rPr>
                <w:sz w:val="20"/>
              </w:rPr>
              <w:t xml:space="preserve">-0.13 (0.86) </w:t>
            </w:r>
            <w:r>
              <w:rPr>
                <w:position w:val="6"/>
                <w:sz w:val="13"/>
              </w:rPr>
              <w:t>c</w:t>
            </w:r>
          </w:p>
        </w:tc>
        <w:tc>
          <w:tcPr>
            <w:tcW w:w="1259" w:type="dxa"/>
          </w:tcPr>
          <w:p w14:paraId="352721EF" w14:textId="77777777" w:rsidR="00075001" w:rsidRDefault="00075001" w:rsidP="00075001">
            <w:pPr>
              <w:pStyle w:val="TableParagraph"/>
              <w:rPr>
                <w:sz w:val="13"/>
              </w:rPr>
            </w:pPr>
            <w:r>
              <w:rPr>
                <w:sz w:val="20"/>
              </w:rPr>
              <w:t xml:space="preserve">-0.1 (0.99) </w:t>
            </w:r>
            <w:r>
              <w:rPr>
                <w:position w:val="6"/>
                <w:sz w:val="13"/>
              </w:rPr>
              <w:t>a</w:t>
            </w:r>
          </w:p>
        </w:tc>
        <w:tc>
          <w:tcPr>
            <w:tcW w:w="1259" w:type="dxa"/>
          </w:tcPr>
          <w:p w14:paraId="394DA275" w14:textId="77777777" w:rsidR="00075001" w:rsidRDefault="00075001" w:rsidP="00075001">
            <w:pPr>
              <w:pStyle w:val="TableParagraph"/>
              <w:rPr>
                <w:sz w:val="13"/>
              </w:rPr>
            </w:pPr>
            <w:r>
              <w:rPr>
                <w:sz w:val="20"/>
              </w:rPr>
              <w:t>-0.03 (</w:t>
            </w:r>
            <w:proofErr w:type="gramStart"/>
            <w:r>
              <w:rPr>
                <w:sz w:val="20"/>
              </w:rPr>
              <w:t>0.96)</w:t>
            </w:r>
            <w:r>
              <w:rPr>
                <w:position w:val="6"/>
                <w:sz w:val="13"/>
              </w:rPr>
              <w:t>a</w:t>
            </w:r>
            <w:proofErr w:type="gramEnd"/>
          </w:p>
        </w:tc>
      </w:tr>
      <w:tr w:rsidR="00075001" w14:paraId="26432B7D" w14:textId="77777777" w:rsidTr="00075001">
        <w:trPr>
          <w:trHeight w:hRule="exact" w:val="498"/>
        </w:trPr>
        <w:tc>
          <w:tcPr>
            <w:tcW w:w="2263" w:type="dxa"/>
          </w:tcPr>
          <w:p w14:paraId="224DF3FD" w14:textId="77777777" w:rsidR="00075001" w:rsidRDefault="00075001" w:rsidP="00075001">
            <w:pPr>
              <w:pStyle w:val="TableParagraph"/>
              <w:ind w:right="921"/>
              <w:rPr>
                <w:sz w:val="20"/>
              </w:rPr>
            </w:pPr>
            <w:r>
              <w:rPr>
                <w:sz w:val="20"/>
              </w:rPr>
              <w:t>Depression††– Frequency (%)</w:t>
            </w:r>
          </w:p>
        </w:tc>
        <w:tc>
          <w:tcPr>
            <w:tcW w:w="1276" w:type="dxa"/>
          </w:tcPr>
          <w:p w14:paraId="2395FBC4" w14:textId="77777777" w:rsidR="00075001" w:rsidRDefault="00075001" w:rsidP="00075001">
            <w:pPr>
              <w:pStyle w:val="TableParagraph"/>
              <w:rPr>
                <w:sz w:val="13"/>
              </w:rPr>
            </w:pPr>
            <w:r>
              <w:rPr>
                <w:sz w:val="20"/>
              </w:rPr>
              <w:t xml:space="preserve">21 (11.1%) </w:t>
            </w:r>
            <w:r>
              <w:rPr>
                <w:position w:val="6"/>
                <w:sz w:val="13"/>
              </w:rPr>
              <w:t>d</w:t>
            </w:r>
          </w:p>
        </w:tc>
        <w:tc>
          <w:tcPr>
            <w:tcW w:w="1134" w:type="dxa"/>
          </w:tcPr>
          <w:p w14:paraId="4BE85349" w14:textId="77777777" w:rsidR="00075001" w:rsidRDefault="00075001" w:rsidP="00075001">
            <w:pPr>
              <w:pStyle w:val="TableParagraph"/>
              <w:rPr>
                <w:sz w:val="20"/>
              </w:rPr>
            </w:pPr>
            <w:r>
              <w:rPr>
                <w:sz w:val="20"/>
              </w:rPr>
              <w:t>29 (15.2%)</w:t>
            </w:r>
          </w:p>
          <w:p w14:paraId="2AD0037E" w14:textId="77777777" w:rsidR="00075001" w:rsidRDefault="00075001" w:rsidP="00075001">
            <w:pPr>
              <w:pStyle w:val="TableParagraph"/>
              <w:spacing w:before="6"/>
              <w:rPr>
                <w:sz w:val="13"/>
              </w:rPr>
            </w:pPr>
            <w:r>
              <w:rPr>
                <w:sz w:val="13"/>
              </w:rPr>
              <w:t>d</w:t>
            </w:r>
          </w:p>
        </w:tc>
        <w:tc>
          <w:tcPr>
            <w:tcW w:w="1276" w:type="dxa"/>
          </w:tcPr>
          <w:p w14:paraId="0922C8CD" w14:textId="77777777" w:rsidR="00075001" w:rsidRDefault="00075001" w:rsidP="00075001">
            <w:pPr>
              <w:pStyle w:val="TableParagraph"/>
              <w:rPr>
                <w:sz w:val="13"/>
              </w:rPr>
            </w:pPr>
            <w:r>
              <w:rPr>
                <w:sz w:val="20"/>
              </w:rPr>
              <w:t xml:space="preserve">61 (31.9%) </w:t>
            </w:r>
            <w:r>
              <w:rPr>
                <w:position w:val="6"/>
                <w:sz w:val="13"/>
              </w:rPr>
              <w:t>e</w:t>
            </w:r>
          </w:p>
        </w:tc>
        <w:tc>
          <w:tcPr>
            <w:tcW w:w="1134" w:type="dxa"/>
          </w:tcPr>
          <w:p w14:paraId="167E13A7" w14:textId="77777777" w:rsidR="00075001" w:rsidRDefault="00075001" w:rsidP="00075001">
            <w:pPr>
              <w:pStyle w:val="TableParagraph"/>
              <w:rPr>
                <w:sz w:val="20"/>
              </w:rPr>
            </w:pPr>
            <w:r>
              <w:rPr>
                <w:sz w:val="20"/>
              </w:rPr>
              <w:t>54 (27.7%)</w:t>
            </w:r>
          </w:p>
          <w:p w14:paraId="7DC4A377" w14:textId="77777777" w:rsidR="00075001" w:rsidRDefault="00075001" w:rsidP="00075001">
            <w:pPr>
              <w:pStyle w:val="TableParagraph"/>
              <w:spacing w:before="6"/>
              <w:rPr>
                <w:sz w:val="13"/>
              </w:rPr>
            </w:pPr>
            <w:r>
              <w:rPr>
                <w:sz w:val="13"/>
              </w:rPr>
              <w:t>e</w:t>
            </w:r>
          </w:p>
        </w:tc>
        <w:tc>
          <w:tcPr>
            <w:tcW w:w="2268" w:type="dxa"/>
          </w:tcPr>
          <w:p w14:paraId="7BBFF61A" w14:textId="77777777" w:rsidR="00075001" w:rsidRDefault="00075001" w:rsidP="00075001">
            <w:pPr>
              <w:pStyle w:val="TableParagraph"/>
              <w:rPr>
                <w:sz w:val="13"/>
              </w:rPr>
            </w:pPr>
            <w:r>
              <w:rPr>
                <w:sz w:val="20"/>
              </w:rPr>
              <w:t xml:space="preserve">17 (3.8%) </w:t>
            </w:r>
            <w:r>
              <w:rPr>
                <w:position w:val="6"/>
                <w:sz w:val="13"/>
              </w:rPr>
              <w:t>e</w:t>
            </w:r>
          </w:p>
        </w:tc>
        <w:tc>
          <w:tcPr>
            <w:tcW w:w="1326" w:type="dxa"/>
          </w:tcPr>
          <w:p w14:paraId="0E51369D" w14:textId="77777777" w:rsidR="00075001" w:rsidRDefault="00075001" w:rsidP="00075001">
            <w:pPr>
              <w:pStyle w:val="TableParagraph"/>
              <w:rPr>
                <w:sz w:val="13"/>
              </w:rPr>
            </w:pPr>
            <w:r>
              <w:rPr>
                <w:sz w:val="20"/>
              </w:rPr>
              <w:t xml:space="preserve">115 (15.9%) </w:t>
            </w:r>
            <w:r>
              <w:rPr>
                <w:position w:val="6"/>
                <w:sz w:val="13"/>
              </w:rPr>
              <w:t>d</w:t>
            </w:r>
          </w:p>
        </w:tc>
        <w:tc>
          <w:tcPr>
            <w:tcW w:w="1259" w:type="dxa"/>
          </w:tcPr>
          <w:p w14:paraId="5CA8DF8D" w14:textId="77777777" w:rsidR="00075001" w:rsidRDefault="00075001" w:rsidP="00075001">
            <w:pPr>
              <w:pStyle w:val="TableParagraph"/>
              <w:rPr>
                <w:sz w:val="13"/>
              </w:rPr>
            </w:pPr>
            <w:r>
              <w:rPr>
                <w:sz w:val="20"/>
              </w:rPr>
              <w:t xml:space="preserve">92 (14.7%) </w:t>
            </w:r>
            <w:r>
              <w:rPr>
                <w:position w:val="6"/>
                <w:sz w:val="13"/>
              </w:rPr>
              <w:t>d</w:t>
            </w:r>
          </w:p>
        </w:tc>
        <w:tc>
          <w:tcPr>
            <w:tcW w:w="1259" w:type="dxa"/>
          </w:tcPr>
          <w:p w14:paraId="55951F1B" w14:textId="77777777" w:rsidR="00075001" w:rsidRDefault="00075001" w:rsidP="00075001">
            <w:pPr>
              <w:pStyle w:val="TableParagraph"/>
              <w:rPr>
                <w:sz w:val="20"/>
              </w:rPr>
            </w:pPr>
            <w:r>
              <w:rPr>
                <w:sz w:val="20"/>
              </w:rPr>
              <w:t>140 (27.7%)</w:t>
            </w:r>
          </w:p>
          <w:p w14:paraId="54D72473" w14:textId="77777777" w:rsidR="00075001" w:rsidRDefault="00075001" w:rsidP="00075001">
            <w:pPr>
              <w:pStyle w:val="TableParagraph"/>
              <w:spacing w:before="6"/>
              <w:rPr>
                <w:sz w:val="13"/>
              </w:rPr>
            </w:pPr>
            <w:r>
              <w:rPr>
                <w:sz w:val="13"/>
              </w:rPr>
              <w:t>d</w:t>
            </w:r>
          </w:p>
        </w:tc>
        <w:tc>
          <w:tcPr>
            <w:tcW w:w="1259" w:type="dxa"/>
          </w:tcPr>
          <w:p w14:paraId="5C9E4138" w14:textId="77777777" w:rsidR="00075001" w:rsidRDefault="00075001" w:rsidP="00075001">
            <w:pPr>
              <w:pStyle w:val="TableParagraph"/>
              <w:rPr>
                <w:sz w:val="20"/>
              </w:rPr>
            </w:pPr>
            <w:r>
              <w:rPr>
                <w:sz w:val="20"/>
              </w:rPr>
              <w:t>157 (30.5%)</w:t>
            </w:r>
          </w:p>
          <w:p w14:paraId="3E38DB55" w14:textId="77777777" w:rsidR="00075001" w:rsidRDefault="00075001" w:rsidP="00075001">
            <w:pPr>
              <w:pStyle w:val="TableParagraph"/>
              <w:spacing w:before="6"/>
              <w:rPr>
                <w:sz w:val="13"/>
              </w:rPr>
            </w:pPr>
            <w:r>
              <w:rPr>
                <w:sz w:val="13"/>
              </w:rPr>
              <w:t>d</w:t>
            </w:r>
          </w:p>
        </w:tc>
      </w:tr>
      <w:tr w:rsidR="00075001" w14:paraId="7F853683" w14:textId="77777777" w:rsidTr="00075001">
        <w:trPr>
          <w:trHeight w:hRule="exact" w:val="498"/>
        </w:trPr>
        <w:tc>
          <w:tcPr>
            <w:tcW w:w="2263" w:type="dxa"/>
          </w:tcPr>
          <w:p w14:paraId="79E82B8E" w14:textId="77777777" w:rsidR="00075001" w:rsidRDefault="00075001" w:rsidP="00075001">
            <w:pPr>
              <w:pStyle w:val="TableParagraph"/>
              <w:rPr>
                <w:sz w:val="20"/>
              </w:rPr>
            </w:pPr>
            <w:r>
              <w:rPr>
                <w:sz w:val="20"/>
              </w:rPr>
              <w:t>Pain – Frequency (%)</w:t>
            </w:r>
          </w:p>
        </w:tc>
        <w:tc>
          <w:tcPr>
            <w:tcW w:w="1276" w:type="dxa"/>
          </w:tcPr>
          <w:p w14:paraId="5ADBDBEC" w14:textId="77777777" w:rsidR="00075001" w:rsidRDefault="00075001" w:rsidP="00075001">
            <w:pPr>
              <w:pStyle w:val="TableParagraph"/>
              <w:rPr>
                <w:sz w:val="13"/>
              </w:rPr>
            </w:pPr>
            <w:r>
              <w:rPr>
                <w:sz w:val="20"/>
              </w:rPr>
              <w:t xml:space="preserve">164 (86.3%) </w:t>
            </w:r>
            <w:r>
              <w:rPr>
                <w:position w:val="6"/>
                <w:sz w:val="13"/>
              </w:rPr>
              <w:t>f</w:t>
            </w:r>
          </w:p>
        </w:tc>
        <w:tc>
          <w:tcPr>
            <w:tcW w:w="1134" w:type="dxa"/>
          </w:tcPr>
          <w:p w14:paraId="3F90D7F5" w14:textId="77777777" w:rsidR="00075001" w:rsidRDefault="00075001" w:rsidP="00075001">
            <w:pPr>
              <w:pStyle w:val="TableParagraph"/>
              <w:rPr>
                <w:sz w:val="20"/>
              </w:rPr>
            </w:pPr>
            <w:r>
              <w:rPr>
                <w:sz w:val="20"/>
              </w:rPr>
              <w:t>172</w:t>
            </w:r>
          </w:p>
          <w:p w14:paraId="32B9A912" w14:textId="77777777" w:rsidR="00075001" w:rsidRDefault="00075001" w:rsidP="00075001">
            <w:pPr>
              <w:pStyle w:val="TableParagraph"/>
              <w:rPr>
                <w:sz w:val="13"/>
              </w:rPr>
            </w:pPr>
            <w:r>
              <w:rPr>
                <w:sz w:val="20"/>
              </w:rPr>
              <w:t xml:space="preserve">(90.1%) </w:t>
            </w:r>
            <w:r>
              <w:rPr>
                <w:position w:val="6"/>
                <w:sz w:val="13"/>
              </w:rPr>
              <w:t>f</w:t>
            </w:r>
          </w:p>
        </w:tc>
        <w:tc>
          <w:tcPr>
            <w:tcW w:w="1276" w:type="dxa"/>
          </w:tcPr>
          <w:p w14:paraId="1797F3EE" w14:textId="77777777" w:rsidR="00075001" w:rsidRDefault="00075001" w:rsidP="00075001">
            <w:pPr>
              <w:pStyle w:val="TableParagraph"/>
              <w:rPr>
                <w:sz w:val="20"/>
              </w:rPr>
            </w:pPr>
            <w:r>
              <w:rPr>
                <w:sz w:val="20"/>
              </w:rPr>
              <w:t>146 (76.4%)</w:t>
            </w:r>
          </w:p>
          <w:p w14:paraId="3B75A383" w14:textId="77777777" w:rsidR="00075001" w:rsidRDefault="00075001" w:rsidP="00075001">
            <w:pPr>
              <w:pStyle w:val="TableParagraph"/>
              <w:spacing w:before="6"/>
              <w:rPr>
                <w:sz w:val="13"/>
              </w:rPr>
            </w:pPr>
            <w:r>
              <w:rPr>
                <w:sz w:val="13"/>
              </w:rPr>
              <w:t>g</w:t>
            </w:r>
          </w:p>
        </w:tc>
        <w:tc>
          <w:tcPr>
            <w:tcW w:w="1134" w:type="dxa"/>
          </w:tcPr>
          <w:p w14:paraId="2B0EBF51" w14:textId="77777777" w:rsidR="00075001" w:rsidRDefault="00075001" w:rsidP="00075001">
            <w:pPr>
              <w:pStyle w:val="TableParagraph"/>
              <w:rPr>
                <w:sz w:val="20"/>
              </w:rPr>
            </w:pPr>
            <w:r>
              <w:rPr>
                <w:sz w:val="20"/>
              </w:rPr>
              <w:t>145</w:t>
            </w:r>
          </w:p>
          <w:p w14:paraId="6FCE6163" w14:textId="77777777" w:rsidR="00075001" w:rsidRDefault="00075001" w:rsidP="00075001">
            <w:pPr>
              <w:pStyle w:val="TableParagraph"/>
              <w:rPr>
                <w:sz w:val="13"/>
              </w:rPr>
            </w:pPr>
            <w:r>
              <w:rPr>
                <w:sz w:val="20"/>
              </w:rPr>
              <w:t xml:space="preserve">(74.4%) </w:t>
            </w:r>
            <w:r>
              <w:rPr>
                <w:position w:val="6"/>
                <w:sz w:val="13"/>
              </w:rPr>
              <w:t>g</w:t>
            </w:r>
          </w:p>
        </w:tc>
        <w:tc>
          <w:tcPr>
            <w:tcW w:w="2268" w:type="dxa"/>
          </w:tcPr>
          <w:p w14:paraId="5B7B006F" w14:textId="77777777" w:rsidR="00075001" w:rsidRDefault="00075001" w:rsidP="00075001">
            <w:pPr>
              <w:pStyle w:val="TableParagraph"/>
              <w:rPr>
                <w:sz w:val="13"/>
              </w:rPr>
            </w:pPr>
            <w:r>
              <w:rPr>
                <w:sz w:val="20"/>
              </w:rPr>
              <w:t xml:space="preserve">351 (78.3%) </w:t>
            </w:r>
            <w:r>
              <w:rPr>
                <w:position w:val="6"/>
                <w:sz w:val="13"/>
              </w:rPr>
              <w:t>h</w:t>
            </w:r>
          </w:p>
        </w:tc>
        <w:tc>
          <w:tcPr>
            <w:tcW w:w="1326" w:type="dxa"/>
          </w:tcPr>
          <w:p w14:paraId="18CC8AB4" w14:textId="77777777" w:rsidR="00075001" w:rsidRDefault="00075001" w:rsidP="00075001">
            <w:pPr>
              <w:pStyle w:val="TableParagraph"/>
              <w:rPr>
                <w:sz w:val="13"/>
              </w:rPr>
            </w:pPr>
            <w:r>
              <w:rPr>
                <w:sz w:val="20"/>
              </w:rPr>
              <w:t xml:space="preserve">367 (50.8%) </w:t>
            </w:r>
            <w:proofErr w:type="spellStart"/>
            <w:r>
              <w:rPr>
                <w:position w:val="6"/>
                <w:sz w:val="13"/>
              </w:rPr>
              <w:t>i</w:t>
            </w:r>
            <w:proofErr w:type="spellEnd"/>
          </w:p>
        </w:tc>
        <w:tc>
          <w:tcPr>
            <w:tcW w:w="1259" w:type="dxa"/>
          </w:tcPr>
          <w:p w14:paraId="79F1CFD6" w14:textId="77777777" w:rsidR="00075001" w:rsidRDefault="00075001" w:rsidP="00075001">
            <w:pPr>
              <w:pStyle w:val="TableParagraph"/>
              <w:rPr>
                <w:sz w:val="20"/>
              </w:rPr>
            </w:pPr>
            <w:r>
              <w:rPr>
                <w:sz w:val="20"/>
              </w:rPr>
              <w:t>313 (50.0%)</w:t>
            </w:r>
          </w:p>
          <w:p w14:paraId="4CBF4AA3" w14:textId="77777777" w:rsidR="00075001" w:rsidRDefault="00075001" w:rsidP="00075001">
            <w:pPr>
              <w:pStyle w:val="TableParagraph"/>
              <w:spacing w:before="6"/>
              <w:rPr>
                <w:sz w:val="13"/>
              </w:rPr>
            </w:pPr>
            <w:proofErr w:type="spellStart"/>
            <w:r>
              <w:rPr>
                <w:sz w:val="13"/>
              </w:rPr>
              <w:t>i</w:t>
            </w:r>
            <w:proofErr w:type="spellEnd"/>
          </w:p>
        </w:tc>
        <w:tc>
          <w:tcPr>
            <w:tcW w:w="1259" w:type="dxa"/>
          </w:tcPr>
          <w:p w14:paraId="619F3FD5" w14:textId="77777777" w:rsidR="00075001" w:rsidRDefault="00075001" w:rsidP="00075001">
            <w:pPr>
              <w:pStyle w:val="TableParagraph"/>
              <w:rPr>
                <w:sz w:val="20"/>
              </w:rPr>
            </w:pPr>
            <w:r>
              <w:rPr>
                <w:sz w:val="20"/>
              </w:rPr>
              <w:t>359 (71.1%)</w:t>
            </w:r>
          </w:p>
          <w:p w14:paraId="3560A872" w14:textId="77777777" w:rsidR="00075001" w:rsidRDefault="00075001" w:rsidP="00075001">
            <w:pPr>
              <w:pStyle w:val="TableParagraph"/>
              <w:spacing w:before="6"/>
              <w:rPr>
                <w:sz w:val="13"/>
              </w:rPr>
            </w:pPr>
            <w:r>
              <w:rPr>
                <w:sz w:val="13"/>
              </w:rPr>
              <w:t>h</w:t>
            </w:r>
          </w:p>
        </w:tc>
        <w:tc>
          <w:tcPr>
            <w:tcW w:w="1259" w:type="dxa"/>
          </w:tcPr>
          <w:p w14:paraId="582ADDA0" w14:textId="77777777" w:rsidR="00075001" w:rsidRDefault="00075001" w:rsidP="00075001">
            <w:pPr>
              <w:pStyle w:val="TableParagraph"/>
              <w:rPr>
                <w:sz w:val="13"/>
              </w:rPr>
            </w:pPr>
            <w:r>
              <w:rPr>
                <w:sz w:val="20"/>
              </w:rPr>
              <w:t xml:space="preserve">386 (75.1) </w:t>
            </w:r>
            <w:r>
              <w:rPr>
                <w:position w:val="6"/>
                <w:sz w:val="13"/>
              </w:rPr>
              <w:t>h</w:t>
            </w:r>
          </w:p>
        </w:tc>
      </w:tr>
      <w:tr w:rsidR="00075001" w14:paraId="61CB45B7" w14:textId="77777777" w:rsidTr="00075001">
        <w:trPr>
          <w:trHeight w:hRule="exact" w:val="742"/>
        </w:trPr>
        <w:tc>
          <w:tcPr>
            <w:tcW w:w="2263" w:type="dxa"/>
          </w:tcPr>
          <w:p w14:paraId="3489354E" w14:textId="77777777" w:rsidR="00075001" w:rsidRDefault="00075001" w:rsidP="00075001">
            <w:pPr>
              <w:pStyle w:val="TableParagraph"/>
              <w:ind w:right="136"/>
              <w:rPr>
                <w:sz w:val="20"/>
              </w:rPr>
            </w:pPr>
            <w:r>
              <w:rPr>
                <w:sz w:val="20"/>
              </w:rPr>
              <w:t>Health-related quality of life comorbidity index, mental – Median (IQR)</w:t>
            </w:r>
          </w:p>
        </w:tc>
        <w:tc>
          <w:tcPr>
            <w:tcW w:w="1276" w:type="dxa"/>
          </w:tcPr>
          <w:p w14:paraId="0ECEB29A" w14:textId="77777777" w:rsidR="00075001" w:rsidRDefault="00075001" w:rsidP="00075001">
            <w:pPr>
              <w:pStyle w:val="TableParagraph"/>
              <w:rPr>
                <w:sz w:val="20"/>
              </w:rPr>
            </w:pPr>
            <w:r>
              <w:rPr>
                <w:sz w:val="20"/>
              </w:rPr>
              <w:t>1 (3)</w:t>
            </w:r>
          </w:p>
        </w:tc>
        <w:tc>
          <w:tcPr>
            <w:tcW w:w="1134" w:type="dxa"/>
          </w:tcPr>
          <w:p w14:paraId="2AA67971" w14:textId="77777777" w:rsidR="00075001" w:rsidRDefault="00075001" w:rsidP="00075001">
            <w:pPr>
              <w:pStyle w:val="TableParagraph"/>
              <w:rPr>
                <w:sz w:val="20"/>
              </w:rPr>
            </w:pPr>
            <w:r>
              <w:rPr>
                <w:sz w:val="20"/>
              </w:rPr>
              <w:t>1 (2)</w:t>
            </w:r>
          </w:p>
        </w:tc>
        <w:tc>
          <w:tcPr>
            <w:tcW w:w="1276" w:type="dxa"/>
          </w:tcPr>
          <w:p w14:paraId="4F8DA011" w14:textId="77777777" w:rsidR="00075001" w:rsidRDefault="00075001" w:rsidP="00075001">
            <w:pPr>
              <w:pStyle w:val="TableParagraph"/>
              <w:rPr>
                <w:sz w:val="20"/>
              </w:rPr>
            </w:pPr>
            <w:r>
              <w:rPr>
                <w:sz w:val="20"/>
              </w:rPr>
              <w:t>0 (1)</w:t>
            </w:r>
          </w:p>
        </w:tc>
        <w:tc>
          <w:tcPr>
            <w:tcW w:w="1134" w:type="dxa"/>
          </w:tcPr>
          <w:p w14:paraId="074298FA" w14:textId="77777777" w:rsidR="00075001" w:rsidRDefault="00075001" w:rsidP="00075001">
            <w:pPr>
              <w:pStyle w:val="TableParagraph"/>
              <w:rPr>
                <w:sz w:val="20"/>
              </w:rPr>
            </w:pPr>
            <w:r>
              <w:rPr>
                <w:sz w:val="20"/>
              </w:rPr>
              <w:t>0 (1)</w:t>
            </w:r>
          </w:p>
        </w:tc>
        <w:tc>
          <w:tcPr>
            <w:tcW w:w="2268" w:type="dxa"/>
          </w:tcPr>
          <w:p w14:paraId="20F35868" w14:textId="77777777" w:rsidR="00075001" w:rsidRDefault="00075001" w:rsidP="00075001">
            <w:pPr>
              <w:pStyle w:val="TableParagraph"/>
              <w:rPr>
                <w:sz w:val="20"/>
              </w:rPr>
            </w:pPr>
            <w:r>
              <w:rPr>
                <w:sz w:val="20"/>
              </w:rPr>
              <w:t>1 (1)</w:t>
            </w:r>
          </w:p>
        </w:tc>
        <w:tc>
          <w:tcPr>
            <w:tcW w:w="1326" w:type="dxa"/>
          </w:tcPr>
          <w:p w14:paraId="3293605A" w14:textId="77777777" w:rsidR="00075001" w:rsidRDefault="00075001" w:rsidP="00075001">
            <w:pPr>
              <w:pStyle w:val="TableParagraph"/>
              <w:rPr>
                <w:sz w:val="20"/>
              </w:rPr>
            </w:pPr>
            <w:r>
              <w:rPr>
                <w:sz w:val="20"/>
              </w:rPr>
              <w:t>0 (1)</w:t>
            </w:r>
          </w:p>
        </w:tc>
        <w:tc>
          <w:tcPr>
            <w:tcW w:w="1259" w:type="dxa"/>
          </w:tcPr>
          <w:p w14:paraId="5AE43CFA" w14:textId="77777777" w:rsidR="00075001" w:rsidRDefault="00075001" w:rsidP="00075001">
            <w:pPr>
              <w:pStyle w:val="TableParagraph"/>
              <w:rPr>
                <w:sz w:val="20"/>
              </w:rPr>
            </w:pPr>
            <w:r>
              <w:rPr>
                <w:sz w:val="20"/>
              </w:rPr>
              <w:t>0 (1)</w:t>
            </w:r>
          </w:p>
        </w:tc>
        <w:tc>
          <w:tcPr>
            <w:tcW w:w="1259" w:type="dxa"/>
          </w:tcPr>
          <w:p w14:paraId="01042C53" w14:textId="77777777" w:rsidR="00075001" w:rsidRDefault="00075001" w:rsidP="00075001">
            <w:pPr>
              <w:pStyle w:val="TableParagraph"/>
              <w:rPr>
                <w:sz w:val="20"/>
              </w:rPr>
            </w:pPr>
            <w:r>
              <w:rPr>
                <w:sz w:val="20"/>
              </w:rPr>
              <w:t>1 (3)</w:t>
            </w:r>
          </w:p>
        </w:tc>
        <w:tc>
          <w:tcPr>
            <w:tcW w:w="1259" w:type="dxa"/>
          </w:tcPr>
          <w:p w14:paraId="1825160A" w14:textId="77777777" w:rsidR="00075001" w:rsidRDefault="00075001" w:rsidP="00075001">
            <w:pPr>
              <w:pStyle w:val="TableParagraph"/>
              <w:rPr>
                <w:sz w:val="20"/>
              </w:rPr>
            </w:pPr>
            <w:r>
              <w:rPr>
                <w:sz w:val="20"/>
              </w:rPr>
              <w:t>1 (2)</w:t>
            </w:r>
          </w:p>
        </w:tc>
      </w:tr>
      <w:tr w:rsidR="00075001" w14:paraId="5C489FA2" w14:textId="77777777" w:rsidTr="00075001">
        <w:trPr>
          <w:trHeight w:hRule="exact" w:val="742"/>
        </w:trPr>
        <w:tc>
          <w:tcPr>
            <w:tcW w:w="2263" w:type="dxa"/>
          </w:tcPr>
          <w:p w14:paraId="4E3E58C8" w14:textId="77777777" w:rsidR="00075001" w:rsidRDefault="00075001" w:rsidP="00075001">
            <w:pPr>
              <w:pStyle w:val="TableParagraph"/>
              <w:ind w:right="136"/>
              <w:rPr>
                <w:sz w:val="20"/>
              </w:rPr>
            </w:pPr>
            <w:r>
              <w:rPr>
                <w:sz w:val="20"/>
              </w:rPr>
              <w:t>Health-related quality of life comorbidity index, physical – Median (IQR)</w:t>
            </w:r>
          </w:p>
        </w:tc>
        <w:tc>
          <w:tcPr>
            <w:tcW w:w="1276" w:type="dxa"/>
          </w:tcPr>
          <w:p w14:paraId="48E0C3FA" w14:textId="77777777" w:rsidR="00075001" w:rsidRDefault="00075001" w:rsidP="00075001">
            <w:pPr>
              <w:pStyle w:val="TableParagraph"/>
              <w:rPr>
                <w:sz w:val="20"/>
              </w:rPr>
            </w:pPr>
            <w:r>
              <w:rPr>
                <w:sz w:val="20"/>
              </w:rPr>
              <w:t>6 (6)</w:t>
            </w:r>
          </w:p>
        </w:tc>
        <w:tc>
          <w:tcPr>
            <w:tcW w:w="1134" w:type="dxa"/>
          </w:tcPr>
          <w:p w14:paraId="71CB270F" w14:textId="77777777" w:rsidR="00075001" w:rsidRDefault="00075001" w:rsidP="00075001">
            <w:pPr>
              <w:pStyle w:val="TableParagraph"/>
              <w:rPr>
                <w:sz w:val="20"/>
              </w:rPr>
            </w:pPr>
            <w:r>
              <w:rPr>
                <w:sz w:val="20"/>
              </w:rPr>
              <w:t>5 (5)</w:t>
            </w:r>
          </w:p>
        </w:tc>
        <w:tc>
          <w:tcPr>
            <w:tcW w:w="1276" w:type="dxa"/>
          </w:tcPr>
          <w:p w14:paraId="19A6511B" w14:textId="77777777" w:rsidR="00075001" w:rsidRDefault="00075001" w:rsidP="00075001">
            <w:pPr>
              <w:pStyle w:val="TableParagraph"/>
              <w:rPr>
                <w:sz w:val="20"/>
              </w:rPr>
            </w:pPr>
            <w:r>
              <w:rPr>
                <w:sz w:val="20"/>
              </w:rPr>
              <w:t>3 (4)</w:t>
            </w:r>
          </w:p>
        </w:tc>
        <w:tc>
          <w:tcPr>
            <w:tcW w:w="1134" w:type="dxa"/>
          </w:tcPr>
          <w:p w14:paraId="1C822698" w14:textId="77777777" w:rsidR="00075001" w:rsidRDefault="00075001" w:rsidP="00075001">
            <w:pPr>
              <w:pStyle w:val="TableParagraph"/>
              <w:rPr>
                <w:sz w:val="20"/>
              </w:rPr>
            </w:pPr>
            <w:r>
              <w:rPr>
                <w:sz w:val="20"/>
              </w:rPr>
              <w:t>3 (4)</w:t>
            </w:r>
          </w:p>
        </w:tc>
        <w:tc>
          <w:tcPr>
            <w:tcW w:w="2268" w:type="dxa"/>
          </w:tcPr>
          <w:p w14:paraId="480F4805" w14:textId="77777777" w:rsidR="00075001" w:rsidRDefault="00075001" w:rsidP="00075001">
            <w:pPr>
              <w:pStyle w:val="TableParagraph"/>
              <w:rPr>
                <w:sz w:val="20"/>
              </w:rPr>
            </w:pPr>
            <w:r>
              <w:rPr>
                <w:sz w:val="20"/>
              </w:rPr>
              <w:t>4 (4)</w:t>
            </w:r>
          </w:p>
        </w:tc>
        <w:tc>
          <w:tcPr>
            <w:tcW w:w="1326" w:type="dxa"/>
          </w:tcPr>
          <w:p w14:paraId="0D4AC781" w14:textId="77777777" w:rsidR="00075001" w:rsidRDefault="00075001" w:rsidP="00075001">
            <w:pPr>
              <w:pStyle w:val="TableParagraph"/>
              <w:rPr>
                <w:sz w:val="20"/>
              </w:rPr>
            </w:pPr>
            <w:r>
              <w:rPr>
                <w:sz w:val="20"/>
              </w:rPr>
              <w:t>3 (4)</w:t>
            </w:r>
          </w:p>
        </w:tc>
        <w:tc>
          <w:tcPr>
            <w:tcW w:w="1259" w:type="dxa"/>
          </w:tcPr>
          <w:p w14:paraId="08D4519F" w14:textId="77777777" w:rsidR="00075001" w:rsidRDefault="00075001" w:rsidP="00075001">
            <w:pPr>
              <w:pStyle w:val="TableParagraph"/>
              <w:rPr>
                <w:sz w:val="20"/>
              </w:rPr>
            </w:pPr>
            <w:r>
              <w:rPr>
                <w:sz w:val="20"/>
              </w:rPr>
              <w:t>3 (4)</w:t>
            </w:r>
          </w:p>
        </w:tc>
        <w:tc>
          <w:tcPr>
            <w:tcW w:w="1259" w:type="dxa"/>
          </w:tcPr>
          <w:p w14:paraId="544BE540" w14:textId="77777777" w:rsidR="00075001" w:rsidRDefault="00075001" w:rsidP="00075001">
            <w:pPr>
              <w:pStyle w:val="TableParagraph"/>
              <w:rPr>
                <w:sz w:val="20"/>
              </w:rPr>
            </w:pPr>
            <w:r>
              <w:rPr>
                <w:sz w:val="20"/>
              </w:rPr>
              <w:t>7 (6)</w:t>
            </w:r>
          </w:p>
        </w:tc>
        <w:tc>
          <w:tcPr>
            <w:tcW w:w="1259" w:type="dxa"/>
          </w:tcPr>
          <w:p w14:paraId="7EA6B3B2" w14:textId="77777777" w:rsidR="00075001" w:rsidRDefault="00075001" w:rsidP="00075001">
            <w:pPr>
              <w:pStyle w:val="TableParagraph"/>
              <w:rPr>
                <w:sz w:val="20"/>
              </w:rPr>
            </w:pPr>
            <w:r>
              <w:rPr>
                <w:sz w:val="20"/>
              </w:rPr>
              <w:t>7 (6)</w:t>
            </w:r>
          </w:p>
        </w:tc>
      </w:tr>
    </w:tbl>
    <w:p w14:paraId="69210050" w14:textId="77777777" w:rsidR="00075001" w:rsidRDefault="00075001" w:rsidP="00075001">
      <w:pPr>
        <w:rPr>
          <w:sz w:val="20"/>
        </w:rPr>
        <w:sectPr w:rsidR="00075001">
          <w:headerReference w:type="even" r:id="rId43"/>
          <w:footerReference w:type="even" r:id="rId44"/>
          <w:pgSz w:w="16840" w:h="11900" w:orient="landscape"/>
          <w:pgMar w:top="1100" w:right="840" w:bottom="280" w:left="1300" w:header="0" w:footer="0" w:gutter="0"/>
          <w:cols w:space="720"/>
        </w:sectPr>
      </w:pPr>
    </w:p>
    <w:tbl>
      <w:tblPr>
        <w:tblW w:w="14454"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1276"/>
        <w:gridCol w:w="1134"/>
        <w:gridCol w:w="1276"/>
        <w:gridCol w:w="1134"/>
        <w:gridCol w:w="2268"/>
        <w:gridCol w:w="1326"/>
        <w:gridCol w:w="1259"/>
        <w:gridCol w:w="1259"/>
        <w:gridCol w:w="1259"/>
      </w:tblGrid>
      <w:tr w:rsidR="00075001" w14:paraId="6449F8FA" w14:textId="77777777" w:rsidTr="00BE21F9">
        <w:trPr>
          <w:trHeight w:hRule="exact" w:val="742"/>
        </w:trPr>
        <w:tc>
          <w:tcPr>
            <w:tcW w:w="2263" w:type="dxa"/>
          </w:tcPr>
          <w:p w14:paraId="7876A383" w14:textId="77777777" w:rsidR="00075001" w:rsidRDefault="00075001" w:rsidP="00075001">
            <w:pPr>
              <w:pStyle w:val="TableParagraph"/>
              <w:ind w:right="281"/>
              <w:rPr>
                <w:sz w:val="20"/>
              </w:rPr>
            </w:pPr>
            <w:r>
              <w:rPr>
                <w:sz w:val="20"/>
              </w:rPr>
              <w:lastRenderedPageBreak/>
              <w:t>Quality of life: EQ-5D, version 3L, Index value (baseline) – Mean (SD)</w:t>
            </w:r>
          </w:p>
        </w:tc>
        <w:tc>
          <w:tcPr>
            <w:tcW w:w="1276" w:type="dxa"/>
          </w:tcPr>
          <w:p w14:paraId="7A6BC828" w14:textId="77777777" w:rsidR="00075001" w:rsidRDefault="00075001" w:rsidP="00075001">
            <w:pPr>
              <w:pStyle w:val="TableParagraph"/>
              <w:rPr>
                <w:sz w:val="20"/>
              </w:rPr>
            </w:pPr>
            <w:r>
              <w:rPr>
                <w:sz w:val="20"/>
              </w:rPr>
              <w:t>0.8 (0.2)</w:t>
            </w:r>
          </w:p>
        </w:tc>
        <w:tc>
          <w:tcPr>
            <w:tcW w:w="1134" w:type="dxa"/>
          </w:tcPr>
          <w:p w14:paraId="13EA9235" w14:textId="77777777" w:rsidR="00075001" w:rsidRDefault="00075001" w:rsidP="00075001">
            <w:pPr>
              <w:pStyle w:val="TableParagraph"/>
              <w:rPr>
                <w:sz w:val="20"/>
              </w:rPr>
            </w:pPr>
            <w:r>
              <w:rPr>
                <w:sz w:val="20"/>
              </w:rPr>
              <w:t>0.8 (0.2)</w:t>
            </w:r>
          </w:p>
        </w:tc>
        <w:tc>
          <w:tcPr>
            <w:tcW w:w="1276" w:type="dxa"/>
          </w:tcPr>
          <w:p w14:paraId="28F7AF7B" w14:textId="77777777" w:rsidR="00075001" w:rsidRDefault="00075001" w:rsidP="00075001">
            <w:pPr>
              <w:pStyle w:val="TableParagraph"/>
              <w:rPr>
                <w:sz w:val="20"/>
              </w:rPr>
            </w:pPr>
            <w:r>
              <w:rPr>
                <w:sz w:val="20"/>
              </w:rPr>
              <w:t>0.8 (0.2)</w:t>
            </w:r>
          </w:p>
        </w:tc>
        <w:tc>
          <w:tcPr>
            <w:tcW w:w="1134" w:type="dxa"/>
          </w:tcPr>
          <w:p w14:paraId="4113CC50" w14:textId="77777777" w:rsidR="00075001" w:rsidRDefault="00075001" w:rsidP="00075001">
            <w:pPr>
              <w:pStyle w:val="TableParagraph"/>
              <w:rPr>
                <w:sz w:val="20"/>
              </w:rPr>
            </w:pPr>
            <w:r>
              <w:rPr>
                <w:sz w:val="20"/>
              </w:rPr>
              <w:t>0.7 (0.2)</w:t>
            </w:r>
          </w:p>
        </w:tc>
        <w:tc>
          <w:tcPr>
            <w:tcW w:w="2268" w:type="dxa"/>
          </w:tcPr>
          <w:p w14:paraId="2F91EF9B" w14:textId="77777777" w:rsidR="00075001" w:rsidRDefault="00075001" w:rsidP="00075001">
            <w:pPr>
              <w:pStyle w:val="TableParagraph"/>
              <w:ind w:left="102"/>
              <w:rPr>
                <w:sz w:val="13"/>
              </w:rPr>
            </w:pPr>
            <w:r>
              <w:rPr>
                <w:sz w:val="20"/>
              </w:rPr>
              <w:t xml:space="preserve">0.8 (0.2) </w:t>
            </w:r>
            <w:r>
              <w:rPr>
                <w:position w:val="6"/>
                <w:sz w:val="13"/>
              </w:rPr>
              <w:t>j</w:t>
            </w:r>
          </w:p>
        </w:tc>
        <w:tc>
          <w:tcPr>
            <w:tcW w:w="1326" w:type="dxa"/>
          </w:tcPr>
          <w:p w14:paraId="0CA1DF49" w14:textId="77777777" w:rsidR="00075001" w:rsidRDefault="00075001" w:rsidP="00075001">
            <w:pPr>
              <w:pStyle w:val="TableParagraph"/>
              <w:rPr>
                <w:sz w:val="13"/>
              </w:rPr>
            </w:pPr>
            <w:r>
              <w:rPr>
                <w:sz w:val="20"/>
              </w:rPr>
              <w:t xml:space="preserve">0.69 (0.26) </w:t>
            </w:r>
            <w:r>
              <w:rPr>
                <w:position w:val="6"/>
                <w:sz w:val="13"/>
              </w:rPr>
              <w:t>j</w:t>
            </w:r>
          </w:p>
        </w:tc>
        <w:tc>
          <w:tcPr>
            <w:tcW w:w="1259" w:type="dxa"/>
          </w:tcPr>
          <w:p w14:paraId="38FF9C0E" w14:textId="77777777" w:rsidR="00075001" w:rsidRDefault="00075001" w:rsidP="00075001">
            <w:pPr>
              <w:pStyle w:val="TableParagraph"/>
              <w:rPr>
                <w:sz w:val="13"/>
              </w:rPr>
            </w:pPr>
            <w:r>
              <w:rPr>
                <w:sz w:val="20"/>
              </w:rPr>
              <w:t xml:space="preserve">0.69 (0.27) </w:t>
            </w:r>
            <w:r>
              <w:rPr>
                <w:position w:val="6"/>
                <w:sz w:val="13"/>
              </w:rPr>
              <w:t>j</w:t>
            </w:r>
          </w:p>
        </w:tc>
        <w:tc>
          <w:tcPr>
            <w:tcW w:w="1259" w:type="dxa"/>
          </w:tcPr>
          <w:p w14:paraId="4112A931" w14:textId="77777777" w:rsidR="00075001" w:rsidRDefault="00075001" w:rsidP="00075001">
            <w:pPr>
              <w:pStyle w:val="TableParagraph"/>
              <w:rPr>
                <w:sz w:val="20"/>
              </w:rPr>
            </w:pPr>
            <w:r>
              <w:rPr>
                <w:sz w:val="20"/>
              </w:rPr>
              <w:t>0.73 (0.27)</w:t>
            </w:r>
          </w:p>
        </w:tc>
        <w:tc>
          <w:tcPr>
            <w:tcW w:w="1259" w:type="dxa"/>
          </w:tcPr>
          <w:p w14:paraId="03F18A0E" w14:textId="77777777" w:rsidR="00075001" w:rsidRDefault="00075001" w:rsidP="00075001">
            <w:pPr>
              <w:pStyle w:val="TableParagraph"/>
              <w:rPr>
                <w:sz w:val="20"/>
              </w:rPr>
            </w:pPr>
            <w:r>
              <w:rPr>
                <w:sz w:val="20"/>
              </w:rPr>
              <w:t>0.75 (0.24)</w:t>
            </w:r>
          </w:p>
        </w:tc>
      </w:tr>
    </w:tbl>
    <w:p w14:paraId="04E16A03" w14:textId="77777777" w:rsidR="00075001" w:rsidRDefault="00075001" w:rsidP="00075001">
      <w:pPr>
        <w:pStyle w:val="BodyText"/>
        <w:spacing w:before="2"/>
        <w:rPr>
          <w:b/>
          <w:sz w:val="14"/>
        </w:rPr>
      </w:pPr>
    </w:p>
    <w:p w14:paraId="56ACAABD" w14:textId="77777777" w:rsidR="00075001" w:rsidRPr="00BE21F9" w:rsidRDefault="00075001" w:rsidP="00075001">
      <w:pPr>
        <w:spacing w:before="60"/>
        <w:ind w:left="116"/>
        <w:rPr>
          <w:rFonts w:asciiTheme="minorHAnsi" w:hAnsiTheme="minorHAnsi" w:cstheme="minorHAnsi"/>
          <w:b/>
          <w:sz w:val="20"/>
        </w:rPr>
      </w:pPr>
      <w:proofErr w:type="spellStart"/>
      <w:r w:rsidRPr="00BE21F9">
        <w:rPr>
          <w:rFonts w:asciiTheme="minorHAnsi" w:hAnsiTheme="minorHAnsi" w:cstheme="minorHAnsi"/>
          <w:b/>
          <w:sz w:val="20"/>
        </w:rPr>
        <w:t>Candidate</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prognostic</w:t>
      </w:r>
      <w:proofErr w:type="spellEnd"/>
      <w:r w:rsidRPr="00BE21F9">
        <w:rPr>
          <w:rFonts w:asciiTheme="minorHAnsi" w:hAnsiTheme="minorHAnsi" w:cstheme="minorHAnsi"/>
          <w:b/>
          <w:sz w:val="20"/>
        </w:rPr>
        <w:t xml:space="preserve"> variables – </w:t>
      </w:r>
      <w:proofErr w:type="spellStart"/>
      <w:r w:rsidRPr="00BE21F9">
        <w:rPr>
          <w:rFonts w:asciiTheme="minorHAnsi" w:hAnsiTheme="minorHAnsi" w:cstheme="minorHAnsi"/>
          <w:b/>
          <w:sz w:val="20"/>
        </w:rPr>
        <w:t>Quality</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of</w:t>
      </w:r>
      <w:proofErr w:type="spellEnd"/>
      <w:r w:rsidRPr="00BE21F9">
        <w:rPr>
          <w:rFonts w:asciiTheme="minorHAnsi" w:hAnsiTheme="minorHAnsi" w:cstheme="minorHAnsi"/>
          <w:b/>
          <w:sz w:val="20"/>
        </w:rPr>
        <w:t xml:space="preserve"> </w:t>
      </w:r>
      <w:proofErr w:type="spellStart"/>
      <w:r w:rsidRPr="00BE21F9">
        <w:rPr>
          <w:rFonts w:asciiTheme="minorHAnsi" w:hAnsiTheme="minorHAnsi" w:cstheme="minorHAnsi"/>
          <w:b/>
          <w:sz w:val="20"/>
        </w:rPr>
        <w:t>life</w:t>
      </w:r>
      <w:proofErr w:type="spellEnd"/>
      <w:r w:rsidRPr="00BE21F9">
        <w:rPr>
          <w:rFonts w:asciiTheme="minorHAnsi" w:hAnsiTheme="minorHAnsi" w:cstheme="minorHAnsi"/>
          <w:b/>
          <w:sz w:val="20"/>
        </w:rPr>
        <w:t xml:space="preserve"> (6-month </w:t>
      </w:r>
      <w:proofErr w:type="spellStart"/>
      <w:r w:rsidRPr="00BE21F9">
        <w:rPr>
          <w:rFonts w:asciiTheme="minorHAnsi" w:hAnsiTheme="minorHAnsi" w:cstheme="minorHAnsi"/>
          <w:b/>
          <w:sz w:val="20"/>
        </w:rPr>
        <w:t>follow</w:t>
      </w:r>
      <w:proofErr w:type="spellEnd"/>
      <w:r w:rsidRPr="00BE21F9">
        <w:rPr>
          <w:rFonts w:asciiTheme="minorHAnsi" w:hAnsiTheme="minorHAnsi" w:cstheme="minorHAnsi"/>
          <w:b/>
          <w:sz w:val="20"/>
        </w:rPr>
        <w:t>-up)</w:t>
      </w:r>
    </w:p>
    <w:p w14:paraId="391EF099" w14:textId="77777777" w:rsidR="00075001" w:rsidRDefault="00075001" w:rsidP="00075001">
      <w:pPr>
        <w:pStyle w:val="BodyText"/>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1276"/>
        <w:gridCol w:w="1134"/>
        <w:gridCol w:w="1276"/>
        <w:gridCol w:w="1134"/>
        <w:gridCol w:w="2268"/>
        <w:gridCol w:w="1326"/>
        <w:gridCol w:w="1259"/>
        <w:gridCol w:w="1259"/>
        <w:gridCol w:w="1259"/>
      </w:tblGrid>
      <w:tr w:rsidR="00075001" w14:paraId="116DDEFF" w14:textId="77777777" w:rsidTr="00075001">
        <w:trPr>
          <w:trHeight w:hRule="exact" w:val="498"/>
        </w:trPr>
        <w:tc>
          <w:tcPr>
            <w:tcW w:w="2263" w:type="dxa"/>
            <w:vMerge w:val="restart"/>
          </w:tcPr>
          <w:p w14:paraId="7300F28C" w14:textId="77777777" w:rsidR="00075001" w:rsidRDefault="00075001" w:rsidP="00075001">
            <w:pPr>
              <w:pStyle w:val="TableParagraph"/>
              <w:rPr>
                <w:b/>
                <w:sz w:val="20"/>
              </w:rPr>
            </w:pPr>
            <w:r>
              <w:rPr>
                <w:b/>
                <w:sz w:val="20"/>
              </w:rPr>
              <w:t>Variables</w:t>
            </w:r>
          </w:p>
        </w:tc>
        <w:tc>
          <w:tcPr>
            <w:tcW w:w="2410" w:type="dxa"/>
            <w:gridSpan w:val="2"/>
          </w:tcPr>
          <w:p w14:paraId="0665E451" w14:textId="77777777" w:rsidR="00075001" w:rsidRDefault="00075001" w:rsidP="00075001">
            <w:pPr>
              <w:pStyle w:val="TableParagraph"/>
              <w:rPr>
                <w:b/>
                <w:sz w:val="20"/>
              </w:rPr>
            </w:pPr>
            <w:r>
              <w:rPr>
                <w:b/>
                <w:sz w:val="20"/>
              </w:rPr>
              <w:t>PRIMUM</w:t>
            </w:r>
          </w:p>
        </w:tc>
        <w:tc>
          <w:tcPr>
            <w:tcW w:w="2410" w:type="dxa"/>
            <w:gridSpan w:val="2"/>
          </w:tcPr>
          <w:p w14:paraId="0DF4A9DB" w14:textId="77777777" w:rsidR="00075001" w:rsidRDefault="00075001" w:rsidP="00075001">
            <w:pPr>
              <w:pStyle w:val="TableParagraph"/>
              <w:rPr>
                <w:b/>
                <w:sz w:val="20"/>
              </w:rPr>
            </w:pPr>
            <w:r>
              <w:rPr>
                <w:b/>
                <w:sz w:val="20"/>
              </w:rPr>
              <w:t>Opti-Med</w:t>
            </w:r>
          </w:p>
        </w:tc>
        <w:tc>
          <w:tcPr>
            <w:tcW w:w="2268" w:type="dxa"/>
          </w:tcPr>
          <w:p w14:paraId="7E24F366" w14:textId="77777777" w:rsidR="00075001" w:rsidRDefault="00075001" w:rsidP="00075001">
            <w:pPr>
              <w:pStyle w:val="TableParagraph"/>
              <w:rPr>
                <w:b/>
                <w:sz w:val="20"/>
              </w:rPr>
            </w:pPr>
            <w:r>
              <w:rPr>
                <w:b/>
                <w:sz w:val="20"/>
              </w:rPr>
              <w:t>PIL</w:t>
            </w:r>
          </w:p>
        </w:tc>
        <w:tc>
          <w:tcPr>
            <w:tcW w:w="2585" w:type="dxa"/>
            <w:gridSpan w:val="2"/>
          </w:tcPr>
          <w:p w14:paraId="6A9A7CC6" w14:textId="77777777" w:rsidR="00075001" w:rsidRDefault="00075001" w:rsidP="00075001">
            <w:pPr>
              <w:pStyle w:val="TableParagraph"/>
              <w:rPr>
                <w:b/>
                <w:sz w:val="20"/>
              </w:rPr>
            </w:pPr>
            <w:r>
              <w:rPr>
                <w:b/>
                <w:sz w:val="20"/>
              </w:rPr>
              <w:t>ISCOPE</w:t>
            </w:r>
          </w:p>
        </w:tc>
        <w:tc>
          <w:tcPr>
            <w:tcW w:w="2518" w:type="dxa"/>
            <w:gridSpan w:val="2"/>
          </w:tcPr>
          <w:p w14:paraId="43B1A759" w14:textId="77777777" w:rsidR="00075001" w:rsidRDefault="00075001" w:rsidP="00075001">
            <w:pPr>
              <w:pStyle w:val="TableParagraph"/>
              <w:rPr>
                <w:b/>
                <w:sz w:val="20"/>
              </w:rPr>
            </w:pPr>
            <w:r>
              <w:rPr>
                <w:b/>
                <w:sz w:val="20"/>
              </w:rPr>
              <w:t>RIME</w:t>
            </w:r>
          </w:p>
        </w:tc>
      </w:tr>
      <w:tr w:rsidR="00075001" w14:paraId="0514AB0E" w14:textId="77777777" w:rsidTr="00075001">
        <w:trPr>
          <w:trHeight w:hRule="exact" w:val="498"/>
        </w:trPr>
        <w:tc>
          <w:tcPr>
            <w:tcW w:w="2263" w:type="dxa"/>
            <w:vMerge/>
          </w:tcPr>
          <w:p w14:paraId="3F109210" w14:textId="77777777" w:rsidR="00075001" w:rsidRDefault="00075001" w:rsidP="00075001"/>
        </w:tc>
        <w:tc>
          <w:tcPr>
            <w:tcW w:w="1276" w:type="dxa"/>
          </w:tcPr>
          <w:p w14:paraId="79C036D7" w14:textId="77777777" w:rsidR="00075001" w:rsidRDefault="00075001" w:rsidP="00075001">
            <w:pPr>
              <w:pStyle w:val="TableParagraph"/>
              <w:rPr>
                <w:sz w:val="20"/>
              </w:rPr>
            </w:pPr>
            <w:r>
              <w:rPr>
                <w:sz w:val="20"/>
              </w:rPr>
              <w:t>CG</w:t>
            </w:r>
          </w:p>
          <w:p w14:paraId="5E04DDCD" w14:textId="77777777" w:rsidR="00075001" w:rsidRDefault="00075001" w:rsidP="00075001">
            <w:pPr>
              <w:pStyle w:val="TableParagraph"/>
              <w:rPr>
                <w:sz w:val="20"/>
              </w:rPr>
            </w:pPr>
            <w:r>
              <w:rPr>
                <w:sz w:val="20"/>
              </w:rPr>
              <w:t>n = 190</w:t>
            </w:r>
          </w:p>
        </w:tc>
        <w:tc>
          <w:tcPr>
            <w:tcW w:w="1134" w:type="dxa"/>
          </w:tcPr>
          <w:p w14:paraId="7BBDD983" w14:textId="77777777" w:rsidR="00075001" w:rsidRDefault="00075001" w:rsidP="00075001">
            <w:pPr>
              <w:pStyle w:val="TableParagraph"/>
              <w:rPr>
                <w:sz w:val="20"/>
              </w:rPr>
            </w:pPr>
            <w:r>
              <w:rPr>
                <w:sz w:val="20"/>
              </w:rPr>
              <w:t>IG</w:t>
            </w:r>
          </w:p>
          <w:p w14:paraId="3D4E60D7" w14:textId="77777777" w:rsidR="00075001" w:rsidRDefault="00075001" w:rsidP="00075001">
            <w:pPr>
              <w:pStyle w:val="TableParagraph"/>
              <w:rPr>
                <w:sz w:val="20"/>
              </w:rPr>
            </w:pPr>
            <w:r>
              <w:rPr>
                <w:sz w:val="20"/>
              </w:rPr>
              <w:t>n = 191</w:t>
            </w:r>
          </w:p>
        </w:tc>
        <w:tc>
          <w:tcPr>
            <w:tcW w:w="1276" w:type="dxa"/>
          </w:tcPr>
          <w:p w14:paraId="02E5E177" w14:textId="77777777" w:rsidR="00075001" w:rsidRDefault="00075001" w:rsidP="00075001">
            <w:pPr>
              <w:pStyle w:val="TableParagraph"/>
              <w:rPr>
                <w:sz w:val="20"/>
              </w:rPr>
            </w:pPr>
            <w:r>
              <w:rPr>
                <w:sz w:val="20"/>
              </w:rPr>
              <w:t>CG</w:t>
            </w:r>
          </w:p>
          <w:p w14:paraId="48073F0A" w14:textId="77777777" w:rsidR="00075001" w:rsidRDefault="00075001" w:rsidP="00075001">
            <w:pPr>
              <w:pStyle w:val="TableParagraph"/>
              <w:rPr>
                <w:sz w:val="20"/>
              </w:rPr>
            </w:pPr>
            <w:r>
              <w:rPr>
                <w:sz w:val="20"/>
              </w:rPr>
              <w:t>n = 191</w:t>
            </w:r>
          </w:p>
        </w:tc>
        <w:tc>
          <w:tcPr>
            <w:tcW w:w="1134" w:type="dxa"/>
          </w:tcPr>
          <w:p w14:paraId="590A2DF0" w14:textId="77777777" w:rsidR="00075001" w:rsidRDefault="00075001" w:rsidP="00075001">
            <w:pPr>
              <w:pStyle w:val="TableParagraph"/>
              <w:rPr>
                <w:sz w:val="20"/>
              </w:rPr>
            </w:pPr>
            <w:r>
              <w:rPr>
                <w:sz w:val="20"/>
              </w:rPr>
              <w:t>IG</w:t>
            </w:r>
          </w:p>
          <w:p w14:paraId="76912FB8" w14:textId="77777777" w:rsidR="00075001" w:rsidRDefault="00075001" w:rsidP="00075001">
            <w:pPr>
              <w:pStyle w:val="TableParagraph"/>
              <w:rPr>
                <w:sz w:val="20"/>
              </w:rPr>
            </w:pPr>
            <w:r>
              <w:rPr>
                <w:sz w:val="20"/>
              </w:rPr>
              <w:t>n = 195</w:t>
            </w:r>
          </w:p>
        </w:tc>
        <w:tc>
          <w:tcPr>
            <w:tcW w:w="2268" w:type="dxa"/>
          </w:tcPr>
          <w:p w14:paraId="3AE09663" w14:textId="77777777" w:rsidR="00075001" w:rsidRDefault="00075001" w:rsidP="00075001">
            <w:pPr>
              <w:pStyle w:val="TableParagraph"/>
              <w:ind w:right="286"/>
              <w:rPr>
                <w:sz w:val="20"/>
              </w:rPr>
            </w:pPr>
            <w:r>
              <w:rPr>
                <w:sz w:val="20"/>
              </w:rPr>
              <w:t>Stepped-wedge design n = 448</w:t>
            </w:r>
          </w:p>
        </w:tc>
        <w:tc>
          <w:tcPr>
            <w:tcW w:w="1326" w:type="dxa"/>
          </w:tcPr>
          <w:p w14:paraId="54F62736" w14:textId="77777777" w:rsidR="00075001" w:rsidRDefault="00075001" w:rsidP="00075001">
            <w:pPr>
              <w:pStyle w:val="TableParagraph"/>
              <w:rPr>
                <w:sz w:val="20"/>
              </w:rPr>
            </w:pPr>
            <w:r>
              <w:rPr>
                <w:sz w:val="20"/>
              </w:rPr>
              <w:t>CG</w:t>
            </w:r>
          </w:p>
          <w:p w14:paraId="024B14E4" w14:textId="77777777" w:rsidR="00075001" w:rsidRDefault="00075001" w:rsidP="00075001">
            <w:pPr>
              <w:pStyle w:val="TableParagraph"/>
              <w:rPr>
                <w:sz w:val="20"/>
              </w:rPr>
            </w:pPr>
            <w:r>
              <w:rPr>
                <w:sz w:val="20"/>
              </w:rPr>
              <w:t>n = 722</w:t>
            </w:r>
          </w:p>
        </w:tc>
        <w:tc>
          <w:tcPr>
            <w:tcW w:w="1259" w:type="dxa"/>
          </w:tcPr>
          <w:p w14:paraId="156D333E" w14:textId="77777777" w:rsidR="00075001" w:rsidRDefault="00075001" w:rsidP="00075001">
            <w:pPr>
              <w:pStyle w:val="TableParagraph"/>
              <w:rPr>
                <w:sz w:val="20"/>
              </w:rPr>
            </w:pPr>
            <w:r>
              <w:rPr>
                <w:sz w:val="20"/>
              </w:rPr>
              <w:t>IG</w:t>
            </w:r>
          </w:p>
          <w:p w14:paraId="19537EC9" w14:textId="77777777" w:rsidR="00075001" w:rsidRDefault="00075001" w:rsidP="00075001">
            <w:pPr>
              <w:pStyle w:val="TableParagraph"/>
              <w:rPr>
                <w:sz w:val="20"/>
              </w:rPr>
            </w:pPr>
            <w:r>
              <w:rPr>
                <w:sz w:val="20"/>
              </w:rPr>
              <w:t>n = 626</w:t>
            </w:r>
          </w:p>
        </w:tc>
        <w:tc>
          <w:tcPr>
            <w:tcW w:w="1259" w:type="dxa"/>
          </w:tcPr>
          <w:p w14:paraId="3333A469" w14:textId="77777777" w:rsidR="00075001" w:rsidRDefault="00075001" w:rsidP="00075001">
            <w:pPr>
              <w:pStyle w:val="TableParagraph"/>
              <w:rPr>
                <w:sz w:val="20"/>
              </w:rPr>
            </w:pPr>
            <w:r>
              <w:rPr>
                <w:sz w:val="20"/>
              </w:rPr>
              <w:t>CG</w:t>
            </w:r>
          </w:p>
          <w:p w14:paraId="5F371D3F" w14:textId="77777777" w:rsidR="00075001" w:rsidRDefault="00075001" w:rsidP="00075001">
            <w:pPr>
              <w:pStyle w:val="TableParagraph"/>
              <w:rPr>
                <w:sz w:val="20"/>
              </w:rPr>
            </w:pPr>
            <w:r>
              <w:rPr>
                <w:sz w:val="20"/>
              </w:rPr>
              <w:t>n = 505</w:t>
            </w:r>
          </w:p>
        </w:tc>
        <w:tc>
          <w:tcPr>
            <w:tcW w:w="1259" w:type="dxa"/>
          </w:tcPr>
          <w:p w14:paraId="6069D034" w14:textId="77777777" w:rsidR="00075001" w:rsidRDefault="00075001" w:rsidP="00075001">
            <w:pPr>
              <w:pStyle w:val="TableParagraph"/>
              <w:rPr>
                <w:sz w:val="20"/>
              </w:rPr>
            </w:pPr>
            <w:r>
              <w:rPr>
                <w:sz w:val="20"/>
              </w:rPr>
              <w:t>IG</w:t>
            </w:r>
          </w:p>
          <w:p w14:paraId="56653E52" w14:textId="77777777" w:rsidR="00075001" w:rsidRDefault="00075001" w:rsidP="00075001">
            <w:pPr>
              <w:pStyle w:val="TableParagraph"/>
              <w:rPr>
                <w:sz w:val="20"/>
              </w:rPr>
            </w:pPr>
            <w:r>
              <w:rPr>
                <w:sz w:val="20"/>
              </w:rPr>
              <w:t>n = 514</w:t>
            </w:r>
          </w:p>
        </w:tc>
      </w:tr>
      <w:tr w:rsidR="00075001" w14:paraId="40E7B092" w14:textId="77777777" w:rsidTr="00075001">
        <w:trPr>
          <w:trHeight w:hRule="exact" w:val="265"/>
        </w:trPr>
        <w:tc>
          <w:tcPr>
            <w:tcW w:w="2263" w:type="dxa"/>
          </w:tcPr>
          <w:p w14:paraId="04F2F4B5" w14:textId="77777777" w:rsidR="00075001" w:rsidRDefault="00075001" w:rsidP="00075001">
            <w:pPr>
              <w:pStyle w:val="TableParagraph"/>
              <w:rPr>
                <w:sz w:val="20"/>
              </w:rPr>
            </w:pPr>
            <w:proofErr w:type="spellStart"/>
            <w:r>
              <w:rPr>
                <w:sz w:val="20"/>
              </w:rPr>
              <w:t>dHRQoL</w:t>
            </w:r>
            <w:proofErr w:type="spellEnd"/>
            <w:r>
              <w:rPr>
                <w:sz w:val="20"/>
              </w:rPr>
              <w:t xml:space="preserve"> – Frequency (%)</w:t>
            </w:r>
          </w:p>
        </w:tc>
        <w:tc>
          <w:tcPr>
            <w:tcW w:w="1276" w:type="dxa"/>
          </w:tcPr>
          <w:p w14:paraId="77A27534" w14:textId="77777777" w:rsidR="00075001" w:rsidRDefault="00075001" w:rsidP="00075001">
            <w:pPr>
              <w:pStyle w:val="TableParagraph"/>
              <w:rPr>
                <w:sz w:val="20"/>
              </w:rPr>
            </w:pPr>
            <w:r>
              <w:rPr>
                <w:sz w:val="20"/>
              </w:rPr>
              <w:t>50 (26.3%)</w:t>
            </w:r>
          </w:p>
        </w:tc>
        <w:tc>
          <w:tcPr>
            <w:tcW w:w="1134" w:type="dxa"/>
          </w:tcPr>
          <w:p w14:paraId="2E774799" w14:textId="77777777" w:rsidR="00075001" w:rsidRDefault="00075001" w:rsidP="00075001">
            <w:pPr>
              <w:pStyle w:val="TableParagraph"/>
              <w:rPr>
                <w:sz w:val="20"/>
              </w:rPr>
            </w:pPr>
            <w:r>
              <w:rPr>
                <w:sz w:val="20"/>
              </w:rPr>
              <w:t>55 (28.8%)</w:t>
            </w:r>
          </w:p>
        </w:tc>
        <w:tc>
          <w:tcPr>
            <w:tcW w:w="1276" w:type="dxa"/>
          </w:tcPr>
          <w:p w14:paraId="31028E3A" w14:textId="77777777" w:rsidR="00075001" w:rsidRDefault="00075001" w:rsidP="00075001">
            <w:pPr>
              <w:pStyle w:val="TableParagraph"/>
              <w:rPr>
                <w:sz w:val="20"/>
              </w:rPr>
            </w:pPr>
            <w:r>
              <w:rPr>
                <w:sz w:val="20"/>
              </w:rPr>
              <w:t>51 (26.7%)</w:t>
            </w:r>
          </w:p>
        </w:tc>
        <w:tc>
          <w:tcPr>
            <w:tcW w:w="1134" w:type="dxa"/>
          </w:tcPr>
          <w:p w14:paraId="4A171226" w14:textId="77777777" w:rsidR="00075001" w:rsidRDefault="00075001" w:rsidP="00075001">
            <w:pPr>
              <w:pStyle w:val="TableParagraph"/>
              <w:rPr>
                <w:sz w:val="20"/>
              </w:rPr>
            </w:pPr>
            <w:r>
              <w:rPr>
                <w:sz w:val="20"/>
              </w:rPr>
              <w:t>43 (22.1%)</w:t>
            </w:r>
          </w:p>
        </w:tc>
        <w:tc>
          <w:tcPr>
            <w:tcW w:w="2268" w:type="dxa"/>
          </w:tcPr>
          <w:p w14:paraId="722015CA" w14:textId="77777777" w:rsidR="00075001" w:rsidRDefault="00075001" w:rsidP="00075001">
            <w:pPr>
              <w:pStyle w:val="TableParagraph"/>
              <w:rPr>
                <w:sz w:val="13"/>
              </w:rPr>
            </w:pPr>
            <w:r>
              <w:rPr>
                <w:sz w:val="20"/>
              </w:rPr>
              <w:t xml:space="preserve">131 (29.2%) </w:t>
            </w:r>
            <w:r>
              <w:rPr>
                <w:position w:val="6"/>
                <w:sz w:val="13"/>
              </w:rPr>
              <w:t>j</w:t>
            </w:r>
          </w:p>
        </w:tc>
        <w:tc>
          <w:tcPr>
            <w:tcW w:w="1326" w:type="dxa"/>
          </w:tcPr>
          <w:p w14:paraId="53F0EC5B" w14:textId="77777777" w:rsidR="00075001" w:rsidRDefault="00075001" w:rsidP="00075001">
            <w:pPr>
              <w:pStyle w:val="TableParagraph"/>
              <w:rPr>
                <w:sz w:val="20"/>
              </w:rPr>
            </w:pPr>
            <w:r>
              <w:rPr>
                <w:sz w:val="20"/>
              </w:rPr>
              <w:t>240 (33.2%)</w:t>
            </w:r>
          </w:p>
        </w:tc>
        <w:tc>
          <w:tcPr>
            <w:tcW w:w="1259" w:type="dxa"/>
          </w:tcPr>
          <w:p w14:paraId="5CA83034" w14:textId="77777777" w:rsidR="00075001" w:rsidRDefault="00075001" w:rsidP="00075001">
            <w:pPr>
              <w:pStyle w:val="TableParagraph"/>
              <w:rPr>
                <w:sz w:val="20"/>
              </w:rPr>
            </w:pPr>
            <w:r>
              <w:rPr>
                <w:sz w:val="20"/>
              </w:rPr>
              <w:t>202 (32.3%)</w:t>
            </w:r>
          </w:p>
        </w:tc>
        <w:tc>
          <w:tcPr>
            <w:tcW w:w="1259" w:type="dxa"/>
          </w:tcPr>
          <w:p w14:paraId="3B4E303B" w14:textId="77777777" w:rsidR="00075001" w:rsidRDefault="00075001" w:rsidP="00075001">
            <w:pPr>
              <w:pStyle w:val="TableParagraph"/>
              <w:rPr>
                <w:sz w:val="20"/>
              </w:rPr>
            </w:pPr>
            <w:r>
              <w:rPr>
                <w:sz w:val="20"/>
              </w:rPr>
              <w:t>124 (24.6%)</w:t>
            </w:r>
          </w:p>
        </w:tc>
        <w:tc>
          <w:tcPr>
            <w:tcW w:w="1259" w:type="dxa"/>
          </w:tcPr>
          <w:p w14:paraId="419D0C25" w14:textId="77777777" w:rsidR="00075001" w:rsidRDefault="00075001" w:rsidP="00075001">
            <w:pPr>
              <w:pStyle w:val="TableParagraph"/>
              <w:rPr>
                <w:sz w:val="20"/>
              </w:rPr>
            </w:pPr>
            <w:r>
              <w:rPr>
                <w:sz w:val="20"/>
              </w:rPr>
              <w:t>150 (29.2%)</w:t>
            </w:r>
          </w:p>
        </w:tc>
      </w:tr>
    </w:tbl>
    <w:p w14:paraId="136DB5AC" w14:textId="77777777" w:rsidR="00075001" w:rsidRPr="00075001" w:rsidRDefault="00075001" w:rsidP="00075001">
      <w:pPr>
        <w:pStyle w:val="BodyText"/>
        <w:rPr>
          <w:rFonts w:asciiTheme="minorHAnsi" w:hAnsiTheme="minorHAnsi" w:cstheme="minorHAnsi"/>
          <w:b/>
          <w:sz w:val="19"/>
        </w:rPr>
      </w:pPr>
    </w:p>
    <w:p w14:paraId="72DF38C9" w14:textId="77777777" w:rsidR="00075001" w:rsidRPr="00075001" w:rsidRDefault="00075001" w:rsidP="00075001">
      <w:pPr>
        <w:spacing w:before="1"/>
        <w:ind w:left="116"/>
        <w:rPr>
          <w:rFonts w:asciiTheme="minorHAnsi" w:hAnsiTheme="minorHAnsi" w:cstheme="minorHAnsi"/>
          <w:sz w:val="20"/>
        </w:rPr>
      </w:pPr>
      <w:r w:rsidRPr="00075001">
        <w:rPr>
          <w:rFonts w:asciiTheme="minorHAnsi" w:hAnsiTheme="minorHAnsi" w:cstheme="minorHAnsi"/>
          <w:sz w:val="20"/>
        </w:rPr>
        <w:t xml:space="preserve">CG = control </w:t>
      </w:r>
      <w:proofErr w:type="spellStart"/>
      <w:r w:rsidRPr="00075001">
        <w:rPr>
          <w:rFonts w:asciiTheme="minorHAnsi" w:hAnsiTheme="minorHAnsi" w:cstheme="minorHAnsi"/>
          <w:sz w:val="20"/>
        </w:rPr>
        <w:t>group</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dHRQoL</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deterioration</w:t>
      </w:r>
      <w:proofErr w:type="spellEnd"/>
      <w:r w:rsidRPr="00075001">
        <w:rPr>
          <w:rFonts w:asciiTheme="minorHAnsi" w:hAnsiTheme="minorHAnsi" w:cstheme="minorHAnsi"/>
          <w:sz w:val="20"/>
        </w:rPr>
        <w:t xml:space="preserve"> in health-</w:t>
      </w:r>
      <w:proofErr w:type="spellStart"/>
      <w:r w:rsidRPr="00075001">
        <w:rPr>
          <w:rFonts w:asciiTheme="minorHAnsi" w:hAnsiTheme="minorHAnsi" w:cstheme="minorHAnsi"/>
          <w:sz w:val="20"/>
        </w:rPr>
        <w:t>related</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quality</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of</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life</w:t>
      </w:r>
      <w:proofErr w:type="spellEnd"/>
      <w:r w:rsidRPr="00075001">
        <w:rPr>
          <w:rFonts w:asciiTheme="minorHAnsi" w:hAnsiTheme="minorHAnsi" w:cstheme="minorHAnsi"/>
          <w:sz w:val="20"/>
        </w:rPr>
        <w:t xml:space="preserve">; IG = </w:t>
      </w:r>
      <w:proofErr w:type="spellStart"/>
      <w:r w:rsidRPr="00075001">
        <w:rPr>
          <w:rFonts w:asciiTheme="minorHAnsi" w:hAnsiTheme="minorHAnsi" w:cstheme="minorHAnsi"/>
          <w:sz w:val="20"/>
        </w:rPr>
        <w:t>intervention</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group</w:t>
      </w:r>
      <w:proofErr w:type="spellEnd"/>
      <w:r w:rsidRPr="00075001">
        <w:rPr>
          <w:rFonts w:asciiTheme="minorHAnsi" w:hAnsiTheme="minorHAnsi" w:cstheme="minorHAnsi"/>
          <w:sz w:val="20"/>
        </w:rPr>
        <w:t xml:space="preserve">; NA = </w:t>
      </w:r>
      <w:proofErr w:type="spellStart"/>
      <w:r w:rsidRPr="00075001">
        <w:rPr>
          <w:rFonts w:asciiTheme="minorHAnsi" w:hAnsiTheme="minorHAnsi" w:cstheme="minorHAnsi"/>
          <w:sz w:val="20"/>
        </w:rPr>
        <w:t>not</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available</w:t>
      </w:r>
      <w:proofErr w:type="spellEnd"/>
      <w:r w:rsidRPr="00075001">
        <w:rPr>
          <w:rFonts w:asciiTheme="minorHAnsi" w:hAnsiTheme="minorHAnsi" w:cstheme="minorHAnsi"/>
          <w:sz w:val="20"/>
        </w:rPr>
        <w:t>.</w:t>
      </w:r>
    </w:p>
    <w:p w14:paraId="789264C9" w14:textId="77777777" w:rsidR="00075001" w:rsidRPr="00075001" w:rsidRDefault="00075001" w:rsidP="00075001">
      <w:pPr>
        <w:ind w:left="116"/>
        <w:rPr>
          <w:rFonts w:asciiTheme="minorHAnsi" w:hAnsiTheme="minorHAnsi" w:cstheme="minorHAnsi"/>
          <w:sz w:val="20"/>
        </w:rPr>
      </w:pPr>
      <w:r w:rsidRPr="00075001">
        <w:rPr>
          <w:rFonts w:asciiTheme="minorHAnsi" w:hAnsiTheme="minorHAnsi" w:cstheme="minorHAnsi"/>
          <w:sz w:val="20"/>
        </w:rPr>
        <w:t xml:space="preserve">†No. </w:t>
      </w:r>
      <w:proofErr w:type="spellStart"/>
      <w:r w:rsidRPr="00075001">
        <w:rPr>
          <w:rFonts w:asciiTheme="minorHAnsi" w:hAnsiTheme="minorHAnsi" w:cstheme="minorHAnsi"/>
          <w:sz w:val="20"/>
        </w:rPr>
        <w:t>of</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drugs</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refer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to</w:t>
      </w:r>
      <w:proofErr w:type="spellEnd"/>
      <w:r w:rsidRPr="00075001">
        <w:rPr>
          <w:rFonts w:asciiTheme="minorHAnsi" w:hAnsiTheme="minorHAnsi" w:cstheme="minorHAnsi"/>
          <w:sz w:val="20"/>
        </w:rPr>
        <w:t xml:space="preserve"> ATC </w:t>
      </w:r>
      <w:proofErr w:type="spellStart"/>
      <w:r w:rsidRPr="00075001">
        <w:rPr>
          <w:rFonts w:asciiTheme="minorHAnsi" w:hAnsiTheme="minorHAnsi" w:cstheme="minorHAnsi"/>
          <w:sz w:val="20"/>
        </w:rPr>
        <w:t>codes</w:t>
      </w:r>
      <w:proofErr w:type="spellEnd"/>
      <w:r w:rsidRPr="00075001">
        <w:rPr>
          <w:rFonts w:asciiTheme="minorHAnsi" w:hAnsiTheme="minorHAnsi" w:cstheme="minorHAnsi"/>
          <w:sz w:val="20"/>
        </w:rPr>
        <w:t xml:space="preserve"> (i.e., </w:t>
      </w:r>
      <w:proofErr w:type="gramStart"/>
      <w:r w:rsidRPr="00075001">
        <w:rPr>
          <w:rFonts w:asciiTheme="minorHAnsi" w:hAnsiTheme="minorHAnsi" w:cstheme="minorHAnsi"/>
          <w:sz w:val="20"/>
        </w:rPr>
        <w:t>single</w:t>
      </w:r>
      <w:proofErr w:type="gramEnd"/>
      <w:r w:rsidRPr="00075001">
        <w:rPr>
          <w:rFonts w:asciiTheme="minorHAnsi" w:hAnsiTheme="minorHAnsi" w:cstheme="minorHAnsi"/>
          <w:sz w:val="20"/>
        </w:rPr>
        <w:t xml:space="preserve"> active </w:t>
      </w:r>
      <w:proofErr w:type="spellStart"/>
      <w:r w:rsidRPr="00075001">
        <w:rPr>
          <w:rFonts w:asciiTheme="minorHAnsi" w:hAnsiTheme="minorHAnsi" w:cstheme="minorHAnsi"/>
          <w:sz w:val="20"/>
        </w:rPr>
        <w:t>ingredients</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or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fixed</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combinations</w:t>
      </w:r>
      <w:proofErr w:type="spellEnd"/>
      <w:r w:rsidRPr="00075001">
        <w:rPr>
          <w:rFonts w:asciiTheme="minorHAnsi" w:hAnsiTheme="minorHAnsi" w:cstheme="minorHAnsi"/>
          <w:sz w:val="20"/>
        </w:rPr>
        <w:t xml:space="preserve"> as </w:t>
      </w:r>
      <w:proofErr w:type="spellStart"/>
      <w:r w:rsidRPr="00075001">
        <w:rPr>
          <w:rFonts w:asciiTheme="minorHAnsi" w:hAnsiTheme="minorHAnsi" w:cstheme="minorHAnsi"/>
          <w:sz w:val="20"/>
        </w:rPr>
        <w:t>listed</w:t>
      </w:r>
      <w:proofErr w:type="spellEnd"/>
      <w:r w:rsidRPr="00075001">
        <w:rPr>
          <w:rFonts w:asciiTheme="minorHAnsi" w:hAnsiTheme="minorHAnsi" w:cstheme="minorHAnsi"/>
          <w:sz w:val="20"/>
        </w:rPr>
        <w:t xml:space="preserve"> in ATC </w:t>
      </w:r>
      <w:proofErr w:type="spellStart"/>
      <w:r w:rsidRPr="00075001">
        <w:rPr>
          <w:rFonts w:asciiTheme="minorHAnsi" w:hAnsiTheme="minorHAnsi" w:cstheme="minorHAnsi"/>
          <w:sz w:val="20"/>
        </w:rPr>
        <w:t>version</w:t>
      </w:r>
      <w:proofErr w:type="spellEnd"/>
      <w:r w:rsidRPr="00075001">
        <w:rPr>
          <w:rFonts w:asciiTheme="minorHAnsi" w:hAnsiTheme="minorHAnsi" w:cstheme="minorHAnsi"/>
          <w:sz w:val="20"/>
        </w:rPr>
        <w:t xml:space="preserve"> 2012).</w:t>
      </w:r>
    </w:p>
    <w:p w14:paraId="23317745" w14:textId="77777777" w:rsidR="00075001" w:rsidRPr="00075001" w:rsidRDefault="00075001" w:rsidP="00075001">
      <w:pPr>
        <w:ind w:left="116"/>
        <w:rPr>
          <w:rFonts w:asciiTheme="minorHAnsi" w:hAnsiTheme="minorHAnsi" w:cstheme="minorHAnsi"/>
          <w:sz w:val="20"/>
        </w:rPr>
      </w:pPr>
      <w:r w:rsidRPr="00075001">
        <w:rPr>
          <w:rFonts w:asciiTheme="minorHAnsi" w:hAnsiTheme="minorHAnsi" w:cstheme="minorHAnsi"/>
          <w:sz w:val="20"/>
        </w:rPr>
        <w:t xml:space="preserve">†† </w:t>
      </w:r>
      <w:proofErr w:type="spellStart"/>
      <w:r w:rsidRPr="00075001">
        <w:rPr>
          <w:rFonts w:asciiTheme="minorHAnsi" w:hAnsiTheme="minorHAnsi" w:cstheme="minorHAnsi"/>
          <w:sz w:val="20"/>
        </w:rPr>
        <w:t>Depression</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considered</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possible</w:t>
      </w:r>
      <w:proofErr w:type="spellEnd"/>
      <w:r w:rsidRPr="00075001">
        <w:rPr>
          <w:rFonts w:asciiTheme="minorHAnsi" w:hAnsiTheme="minorHAnsi" w:cstheme="minorHAnsi"/>
          <w:sz w:val="20"/>
        </w:rPr>
        <w:t xml:space="preserve"> in case </w:t>
      </w:r>
      <w:proofErr w:type="spellStart"/>
      <w:r w:rsidRPr="00075001">
        <w:rPr>
          <w:rFonts w:asciiTheme="minorHAnsi" w:hAnsiTheme="minorHAnsi" w:cstheme="minorHAnsi"/>
          <w:sz w:val="20"/>
        </w:rPr>
        <w:t>of</w:t>
      </w:r>
      <w:proofErr w:type="spellEnd"/>
      <w:r w:rsidRPr="00075001">
        <w:rPr>
          <w:rFonts w:asciiTheme="minorHAnsi" w:hAnsiTheme="minorHAnsi" w:cstheme="minorHAnsi"/>
          <w:sz w:val="20"/>
        </w:rPr>
        <w:t xml:space="preserve"> a positive score </w:t>
      </w:r>
      <w:proofErr w:type="spellStart"/>
      <w:r w:rsidRPr="00075001">
        <w:rPr>
          <w:rFonts w:asciiTheme="minorHAnsi" w:hAnsiTheme="minorHAnsi" w:cstheme="minorHAnsi"/>
          <w:sz w:val="20"/>
        </w:rPr>
        <w:t>on</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either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of</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the</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two</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provided</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scales</w:t>
      </w:r>
      <w:proofErr w:type="spellEnd"/>
      <w:r w:rsidRPr="00075001">
        <w:rPr>
          <w:rFonts w:asciiTheme="minorHAnsi" w:hAnsiTheme="minorHAnsi" w:cstheme="minorHAnsi"/>
          <w:sz w:val="20"/>
        </w:rPr>
        <w:t xml:space="preserve"> (GDS/SF).</w:t>
      </w:r>
    </w:p>
    <w:p w14:paraId="3BB95C79" w14:textId="77777777" w:rsidR="00075001" w:rsidRPr="00075001" w:rsidRDefault="00075001" w:rsidP="00075001">
      <w:pPr>
        <w:ind w:left="116"/>
        <w:rPr>
          <w:rFonts w:asciiTheme="minorHAnsi" w:hAnsiTheme="minorHAnsi" w:cstheme="minorHAnsi"/>
          <w:sz w:val="20"/>
        </w:rPr>
      </w:pPr>
      <w:r w:rsidRPr="00075001">
        <w:rPr>
          <w:rFonts w:asciiTheme="minorHAnsi" w:hAnsiTheme="minorHAnsi" w:cstheme="minorHAnsi"/>
          <w:position w:val="6"/>
          <w:sz w:val="13"/>
        </w:rPr>
        <w:t xml:space="preserve">a </w:t>
      </w:r>
      <w:r w:rsidRPr="00075001">
        <w:rPr>
          <w:rFonts w:asciiTheme="minorHAnsi" w:hAnsiTheme="minorHAnsi" w:cstheme="minorHAnsi"/>
          <w:sz w:val="20"/>
        </w:rPr>
        <w:t xml:space="preserve">VES-13; </w:t>
      </w:r>
      <w:r w:rsidRPr="00075001">
        <w:rPr>
          <w:rFonts w:asciiTheme="minorHAnsi" w:hAnsiTheme="minorHAnsi" w:cstheme="minorHAnsi"/>
          <w:position w:val="6"/>
          <w:sz w:val="13"/>
        </w:rPr>
        <w:t xml:space="preserve">b </w:t>
      </w:r>
      <w:proofErr w:type="spellStart"/>
      <w:r w:rsidRPr="00075001">
        <w:rPr>
          <w:rFonts w:asciiTheme="minorHAnsi" w:hAnsiTheme="minorHAnsi" w:cstheme="minorHAnsi"/>
          <w:sz w:val="20"/>
        </w:rPr>
        <w:t>Scale</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for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Mobility</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problems</w:t>
      </w:r>
      <w:proofErr w:type="spellEnd"/>
      <w:r w:rsidRPr="00075001">
        <w:rPr>
          <w:rFonts w:asciiTheme="minorHAnsi" w:hAnsiTheme="minorHAnsi" w:cstheme="minorHAnsi"/>
          <w:sz w:val="20"/>
        </w:rPr>
        <w:t xml:space="preserve">; </w:t>
      </w:r>
      <w:r w:rsidRPr="00075001">
        <w:rPr>
          <w:rFonts w:asciiTheme="minorHAnsi" w:hAnsiTheme="minorHAnsi" w:cstheme="minorHAnsi"/>
          <w:position w:val="6"/>
          <w:sz w:val="13"/>
        </w:rPr>
        <w:t xml:space="preserve">c </w:t>
      </w:r>
      <w:r w:rsidRPr="00075001">
        <w:rPr>
          <w:rFonts w:asciiTheme="minorHAnsi" w:hAnsiTheme="minorHAnsi" w:cstheme="minorHAnsi"/>
          <w:sz w:val="20"/>
        </w:rPr>
        <w:t xml:space="preserve">Katz-15; </w:t>
      </w:r>
      <w:r w:rsidRPr="00075001">
        <w:rPr>
          <w:rFonts w:asciiTheme="minorHAnsi" w:hAnsiTheme="minorHAnsi" w:cstheme="minorHAnsi"/>
          <w:position w:val="6"/>
          <w:sz w:val="13"/>
        </w:rPr>
        <w:t xml:space="preserve">d </w:t>
      </w:r>
      <w:r w:rsidRPr="00075001">
        <w:rPr>
          <w:rFonts w:asciiTheme="minorHAnsi" w:hAnsiTheme="minorHAnsi" w:cstheme="minorHAnsi"/>
          <w:sz w:val="20"/>
        </w:rPr>
        <w:t>PRIMUM and ISCOPE GDS 15 (</w:t>
      </w:r>
      <w:proofErr w:type="spellStart"/>
      <w:r w:rsidRPr="00075001">
        <w:rPr>
          <w:rFonts w:asciiTheme="minorHAnsi" w:hAnsiTheme="minorHAnsi" w:cstheme="minorHAnsi"/>
          <w:sz w:val="20"/>
        </w:rPr>
        <w:t>cut</w:t>
      </w:r>
      <w:proofErr w:type="spellEnd"/>
      <w:r w:rsidRPr="00075001">
        <w:rPr>
          <w:rFonts w:asciiTheme="minorHAnsi" w:hAnsiTheme="minorHAnsi" w:cstheme="minorHAnsi"/>
          <w:sz w:val="20"/>
        </w:rPr>
        <w:t xml:space="preserve">-off </w:t>
      </w:r>
      <w:r w:rsidRPr="00075001">
        <w:rPr>
          <w:rFonts w:asciiTheme="minorHAnsi" w:hAnsiTheme="minorHAnsi" w:cstheme="minorHAnsi"/>
          <w:sz w:val="20"/>
        </w:rPr>
        <w:t xml:space="preserve"> 5 </w:t>
      </w:r>
      <w:proofErr w:type="spellStart"/>
      <w:r w:rsidRPr="00075001">
        <w:rPr>
          <w:rFonts w:asciiTheme="minorHAnsi" w:hAnsiTheme="minorHAnsi" w:cstheme="minorHAnsi"/>
          <w:sz w:val="20"/>
        </w:rPr>
        <w:t>for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categorical</w:t>
      </w:r>
      <w:proofErr w:type="spellEnd"/>
      <w:r w:rsidRPr="00075001">
        <w:rPr>
          <w:rFonts w:asciiTheme="minorHAnsi" w:hAnsiTheme="minorHAnsi" w:cstheme="minorHAnsi"/>
          <w:sz w:val="20"/>
        </w:rPr>
        <w:t xml:space="preserve"> variable), RIME GDS 5 (</w:t>
      </w:r>
      <w:proofErr w:type="spellStart"/>
      <w:r w:rsidRPr="00075001">
        <w:rPr>
          <w:rFonts w:asciiTheme="minorHAnsi" w:hAnsiTheme="minorHAnsi" w:cstheme="minorHAnsi"/>
          <w:sz w:val="20"/>
        </w:rPr>
        <w:t>cut</w:t>
      </w:r>
      <w:proofErr w:type="spellEnd"/>
      <w:r w:rsidRPr="00075001">
        <w:rPr>
          <w:rFonts w:asciiTheme="minorHAnsi" w:hAnsiTheme="minorHAnsi" w:cstheme="minorHAnsi"/>
          <w:sz w:val="20"/>
        </w:rPr>
        <w:t xml:space="preserve">-off </w:t>
      </w:r>
      <w:r w:rsidRPr="00075001">
        <w:rPr>
          <w:rFonts w:asciiTheme="minorHAnsi" w:hAnsiTheme="minorHAnsi" w:cstheme="minorHAnsi"/>
          <w:sz w:val="20"/>
        </w:rPr>
        <w:t xml:space="preserve"> 2 </w:t>
      </w:r>
      <w:proofErr w:type="spellStart"/>
      <w:r w:rsidRPr="00075001">
        <w:rPr>
          <w:rFonts w:asciiTheme="minorHAnsi" w:hAnsiTheme="minorHAnsi" w:cstheme="minorHAnsi"/>
          <w:sz w:val="20"/>
        </w:rPr>
        <w:t>for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categorical</w:t>
      </w:r>
      <w:proofErr w:type="spellEnd"/>
      <w:r w:rsidRPr="00075001">
        <w:rPr>
          <w:rFonts w:asciiTheme="minorHAnsi" w:hAnsiTheme="minorHAnsi" w:cstheme="minorHAnsi"/>
          <w:sz w:val="20"/>
        </w:rPr>
        <w:t xml:space="preserve"> variable).</w:t>
      </w:r>
    </w:p>
    <w:p w14:paraId="511D4F98" w14:textId="77777777" w:rsidR="00075001" w:rsidRPr="00075001" w:rsidRDefault="00075001" w:rsidP="00075001">
      <w:pPr>
        <w:ind w:left="116" w:right="213"/>
        <w:rPr>
          <w:rFonts w:asciiTheme="minorHAnsi" w:hAnsiTheme="minorHAnsi" w:cstheme="minorHAnsi"/>
          <w:sz w:val="20"/>
        </w:rPr>
      </w:pPr>
      <w:r w:rsidRPr="00075001">
        <w:rPr>
          <w:rFonts w:asciiTheme="minorHAnsi" w:hAnsiTheme="minorHAnsi" w:cstheme="minorHAnsi"/>
          <w:position w:val="6"/>
          <w:sz w:val="13"/>
        </w:rPr>
        <w:t xml:space="preserve">e </w:t>
      </w:r>
      <w:proofErr w:type="spellStart"/>
      <w:r w:rsidRPr="00075001">
        <w:rPr>
          <w:rFonts w:asciiTheme="minorHAnsi" w:hAnsiTheme="minorHAnsi" w:cstheme="minorHAnsi"/>
          <w:sz w:val="20"/>
        </w:rPr>
        <w:t>Opti</w:t>
      </w:r>
      <w:proofErr w:type="spellEnd"/>
      <w:r w:rsidRPr="00075001">
        <w:rPr>
          <w:rFonts w:asciiTheme="minorHAnsi" w:hAnsiTheme="minorHAnsi" w:cstheme="minorHAnsi"/>
          <w:sz w:val="20"/>
        </w:rPr>
        <w:t>-Med and RIME MCS score SF-12 (</w:t>
      </w:r>
      <w:proofErr w:type="spellStart"/>
      <w:r w:rsidRPr="00075001">
        <w:rPr>
          <w:rFonts w:asciiTheme="minorHAnsi" w:hAnsiTheme="minorHAnsi" w:cstheme="minorHAnsi"/>
          <w:sz w:val="20"/>
        </w:rPr>
        <w:t>cut</w:t>
      </w:r>
      <w:proofErr w:type="spellEnd"/>
      <w:r w:rsidRPr="00075001">
        <w:rPr>
          <w:rFonts w:asciiTheme="minorHAnsi" w:hAnsiTheme="minorHAnsi" w:cstheme="minorHAnsi"/>
          <w:sz w:val="20"/>
        </w:rPr>
        <w:t xml:space="preserve">-off &lt; 50.2 </w:t>
      </w:r>
      <w:proofErr w:type="spellStart"/>
      <w:r w:rsidRPr="00075001">
        <w:rPr>
          <w:rFonts w:asciiTheme="minorHAnsi" w:hAnsiTheme="minorHAnsi" w:cstheme="minorHAnsi"/>
          <w:sz w:val="20"/>
        </w:rPr>
        <w:t>for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categorical</w:t>
      </w:r>
      <w:proofErr w:type="spellEnd"/>
      <w:r w:rsidRPr="00075001">
        <w:rPr>
          <w:rFonts w:asciiTheme="minorHAnsi" w:hAnsiTheme="minorHAnsi" w:cstheme="minorHAnsi"/>
          <w:sz w:val="20"/>
        </w:rPr>
        <w:t xml:space="preserve"> variable), and PIL MCS score SF-36 (</w:t>
      </w:r>
      <w:proofErr w:type="spellStart"/>
      <w:r w:rsidRPr="00075001">
        <w:rPr>
          <w:rFonts w:asciiTheme="minorHAnsi" w:hAnsiTheme="minorHAnsi" w:cstheme="minorHAnsi"/>
          <w:sz w:val="20"/>
        </w:rPr>
        <w:t>cut</w:t>
      </w:r>
      <w:proofErr w:type="spellEnd"/>
      <w:r w:rsidRPr="00075001">
        <w:rPr>
          <w:rFonts w:asciiTheme="minorHAnsi" w:hAnsiTheme="minorHAnsi" w:cstheme="minorHAnsi"/>
          <w:sz w:val="20"/>
        </w:rPr>
        <w:t xml:space="preserve">-off &lt; 42 </w:t>
      </w:r>
      <w:proofErr w:type="spellStart"/>
      <w:r w:rsidRPr="00075001">
        <w:rPr>
          <w:rFonts w:asciiTheme="minorHAnsi" w:hAnsiTheme="minorHAnsi" w:cstheme="minorHAnsi"/>
          <w:sz w:val="20"/>
        </w:rPr>
        <w:t>for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categorical</w:t>
      </w:r>
      <w:proofErr w:type="spellEnd"/>
      <w:r w:rsidRPr="00075001">
        <w:rPr>
          <w:rFonts w:asciiTheme="minorHAnsi" w:hAnsiTheme="minorHAnsi" w:cstheme="minorHAnsi"/>
          <w:sz w:val="20"/>
        </w:rPr>
        <w:t xml:space="preserve"> variable); </w:t>
      </w:r>
      <w:r w:rsidRPr="00075001">
        <w:rPr>
          <w:rFonts w:asciiTheme="minorHAnsi" w:hAnsiTheme="minorHAnsi" w:cstheme="minorHAnsi"/>
          <w:position w:val="6"/>
          <w:sz w:val="13"/>
        </w:rPr>
        <w:t xml:space="preserve">f </w:t>
      </w:r>
      <w:proofErr w:type="spellStart"/>
      <w:r w:rsidRPr="00075001">
        <w:rPr>
          <w:rFonts w:asciiTheme="minorHAnsi" w:hAnsiTheme="minorHAnsi" w:cstheme="minorHAnsi"/>
          <w:sz w:val="20"/>
        </w:rPr>
        <w:t>von</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Korff</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cut</w:t>
      </w:r>
      <w:proofErr w:type="spellEnd"/>
      <w:r w:rsidRPr="00075001">
        <w:rPr>
          <w:rFonts w:asciiTheme="minorHAnsi" w:hAnsiTheme="minorHAnsi" w:cstheme="minorHAnsi"/>
          <w:sz w:val="20"/>
        </w:rPr>
        <w:t xml:space="preserve">-off </w:t>
      </w:r>
      <w:r w:rsidRPr="00075001">
        <w:rPr>
          <w:rFonts w:asciiTheme="minorHAnsi" w:hAnsiTheme="minorHAnsi" w:cstheme="minorHAnsi"/>
          <w:sz w:val="20"/>
        </w:rPr>
        <w:t xml:space="preserve"> 1 </w:t>
      </w:r>
      <w:proofErr w:type="spellStart"/>
      <w:r w:rsidRPr="00075001">
        <w:rPr>
          <w:rFonts w:asciiTheme="minorHAnsi" w:hAnsiTheme="minorHAnsi" w:cstheme="minorHAnsi"/>
          <w:sz w:val="20"/>
        </w:rPr>
        <w:t>for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categorical</w:t>
      </w:r>
      <w:proofErr w:type="spellEnd"/>
      <w:r w:rsidRPr="00075001">
        <w:rPr>
          <w:rFonts w:asciiTheme="minorHAnsi" w:hAnsiTheme="minorHAnsi" w:cstheme="minorHAnsi"/>
          <w:sz w:val="20"/>
        </w:rPr>
        <w:t xml:space="preserve"> variable); </w:t>
      </w:r>
      <w:r w:rsidRPr="00075001">
        <w:rPr>
          <w:rFonts w:asciiTheme="minorHAnsi" w:hAnsiTheme="minorHAnsi" w:cstheme="minorHAnsi"/>
          <w:position w:val="6"/>
          <w:sz w:val="13"/>
        </w:rPr>
        <w:t xml:space="preserve">g </w:t>
      </w:r>
      <w:r w:rsidRPr="00075001">
        <w:rPr>
          <w:rFonts w:asciiTheme="minorHAnsi" w:hAnsiTheme="minorHAnsi" w:cstheme="minorHAnsi"/>
          <w:sz w:val="20"/>
        </w:rPr>
        <w:t>VAS (</w:t>
      </w:r>
      <w:proofErr w:type="spellStart"/>
      <w:r w:rsidRPr="00075001">
        <w:rPr>
          <w:rFonts w:asciiTheme="minorHAnsi" w:hAnsiTheme="minorHAnsi" w:cstheme="minorHAnsi"/>
          <w:sz w:val="20"/>
        </w:rPr>
        <w:t>cut</w:t>
      </w:r>
      <w:proofErr w:type="spellEnd"/>
      <w:r w:rsidRPr="00075001">
        <w:rPr>
          <w:rFonts w:asciiTheme="minorHAnsi" w:hAnsiTheme="minorHAnsi" w:cstheme="minorHAnsi"/>
          <w:sz w:val="20"/>
        </w:rPr>
        <w:t xml:space="preserve">-off </w:t>
      </w:r>
      <w:r w:rsidRPr="00075001">
        <w:rPr>
          <w:rFonts w:asciiTheme="minorHAnsi" w:hAnsiTheme="minorHAnsi" w:cstheme="minorHAnsi"/>
          <w:sz w:val="20"/>
        </w:rPr>
        <w:t xml:space="preserve"> 1 </w:t>
      </w:r>
      <w:proofErr w:type="spellStart"/>
      <w:r w:rsidRPr="00075001">
        <w:rPr>
          <w:rFonts w:asciiTheme="minorHAnsi" w:hAnsiTheme="minorHAnsi" w:cstheme="minorHAnsi"/>
          <w:sz w:val="20"/>
        </w:rPr>
        <w:t>for</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categorical</w:t>
      </w:r>
      <w:proofErr w:type="spellEnd"/>
      <w:r w:rsidRPr="00075001">
        <w:rPr>
          <w:rFonts w:asciiTheme="minorHAnsi" w:hAnsiTheme="minorHAnsi" w:cstheme="minorHAnsi"/>
          <w:sz w:val="20"/>
        </w:rPr>
        <w:t xml:space="preserve"> variable); </w:t>
      </w:r>
      <w:r w:rsidRPr="00075001">
        <w:rPr>
          <w:rFonts w:asciiTheme="minorHAnsi" w:hAnsiTheme="minorHAnsi" w:cstheme="minorHAnsi"/>
          <w:position w:val="6"/>
          <w:sz w:val="13"/>
        </w:rPr>
        <w:t xml:space="preserve">h </w:t>
      </w:r>
      <w:r w:rsidRPr="00075001">
        <w:rPr>
          <w:rFonts w:asciiTheme="minorHAnsi" w:hAnsiTheme="minorHAnsi" w:cstheme="minorHAnsi"/>
          <w:sz w:val="20"/>
        </w:rPr>
        <w:t xml:space="preserve">PIL SF-36 and RIME SF-12; </w:t>
      </w:r>
      <w:r w:rsidRPr="00075001">
        <w:rPr>
          <w:rFonts w:asciiTheme="minorHAnsi" w:hAnsiTheme="minorHAnsi" w:cstheme="minorHAnsi"/>
          <w:position w:val="6"/>
          <w:sz w:val="13"/>
        </w:rPr>
        <w:t xml:space="preserve">i </w:t>
      </w:r>
      <w:r w:rsidRPr="00075001">
        <w:rPr>
          <w:rFonts w:asciiTheme="minorHAnsi" w:hAnsiTheme="minorHAnsi" w:cstheme="minorHAnsi"/>
          <w:sz w:val="20"/>
        </w:rPr>
        <w:t xml:space="preserve">single </w:t>
      </w:r>
      <w:proofErr w:type="spellStart"/>
      <w:r w:rsidRPr="00075001">
        <w:rPr>
          <w:rFonts w:asciiTheme="minorHAnsi" w:hAnsiTheme="minorHAnsi" w:cstheme="minorHAnsi"/>
          <w:sz w:val="20"/>
        </w:rPr>
        <w:t>question</w:t>
      </w:r>
      <w:proofErr w:type="spellEnd"/>
      <w:r w:rsidRPr="00075001">
        <w:rPr>
          <w:rFonts w:asciiTheme="minorHAnsi" w:hAnsiTheme="minorHAnsi" w:cstheme="minorHAnsi"/>
          <w:sz w:val="20"/>
        </w:rPr>
        <w:t xml:space="preserve">; </w:t>
      </w:r>
      <w:r w:rsidRPr="00075001">
        <w:rPr>
          <w:rFonts w:asciiTheme="minorHAnsi" w:hAnsiTheme="minorHAnsi" w:cstheme="minorHAnsi"/>
          <w:position w:val="6"/>
          <w:sz w:val="13"/>
        </w:rPr>
        <w:t xml:space="preserve">j </w:t>
      </w:r>
      <w:r w:rsidRPr="00075001">
        <w:rPr>
          <w:rFonts w:asciiTheme="minorHAnsi" w:hAnsiTheme="minorHAnsi" w:cstheme="minorHAnsi"/>
          <w:sz w:val="20"/>
        </w:rPr>
        <w:t xml:space="preserve">EQ-5D </w:t>
      </w:r>
      <w:proofErr w:type="spellStart"/>
      <w:r w:rsidRPr="00075001">
        <w:rPr>
          <w:rFonts w:asciiTheme="minorHAnsi" w:hAnsiTheme="minorHAnsi" w:cstheme="minorHAnsi"/>
          <w:sz w:val="20"/>
        </w:rPr>
        <w:t>was</w:t>
      </w:r>
      <w:proofErr w:type="spellEnd"/>
      <w:r w:rsidRPr="00075001">
        <w:rPr>
          <w:rFonts w:asciiTheme="minorHAnsi" w:hAnsiTheme="minorHAnsi" w:cstheme="minorHAnsi"/>
          <w:sz w:val="20"/>
        </w:rPr>
        <w:t xml:space="preserve"> </w:t>
      </w:r>
      <w:proofErr w:type="spellStart"/>
      <w:r w:rsidRPr="00075001">
        <w:rPr>
          <w:rFonts w:asciiTheme="minorHAnsi" w:hAnsiTheme="minorHAnsi" w:cstheme="minorHAnsi"/>
          <w:sz w:val="20"/>
        </w:rPr>
        <w:t>used</w:t>
      </w:r>
      <w:proofErr w:type="spellEnd"/>
      <w:r w:rsidRPr="00075001">
        <w:rPr>
          <w:rFonts w:asciiTheme="minorHAnsi" w:hAnsiTheme="minorHAnsi" w:cstheme="minorHAnsi"/>
          <w:sz w:val="20"/>
        </w:rPr>
        <w:t xml:space="preserve"> in </w:t>
      </w:r>
      <w:proofErr w:type="spellStart"/>
      <w:r w:rsidRPr="00075001">
        <w:rPr>
          <w:rFonts w:asciiTheme="minorHAnsi" w:hAnsiTheme="minorHAnsi" w:cstheme="minorHAnsi"/>
          <w:sz w:val="20"/>
        </w:rPr>
        <w:t>an</w:t>
      </w:r>
      <w:proofErr w:type="spellEnd"/>
      <w:r w:rsidRPr="00075001">
        <w:rPr>
          <w:rFonts w:asciiTheme="minorHAnsi" w:hAnsiTheme="minorHAnsi" w:cstheme="minorHAnsi"/>
          <w:sz w:val="20"/>
        </w:rPr>
        <w:t xml:space="preserve"> experimental </w:t>
      </w:r>
      <w:proofErr w:type="spellStart"/>
      <w:r w:rsidRPr="00075001">
        <w:rPr>
          <w:rFonts w:asciiTheme="minorHAnsi" w:hAnsiTheme="minorHAnsi" w:cstheme="minorHAnsi"/>
          <w:sz w:val="20"/>
        </w:rPr>
        <w:t>version</w:t>
      </w:r>
      <w:proofErr w:type="spellEnd"/>
      <w:r w:rsidRPr="00075001">
        <w:rPr>
          <w:rFonts w:asciiTheme="minorHAnsi" w:hAnsiTheme="minorHAnsi" w:cstheme="minorHAnsi"/>
          <w:sz w:val="20"/>
        </w:rPr>
        <w:t xml:space="preserve"> in PIL and ISCOPE</w:t>
      </w:r>
    </w:p>
    <w:p w14:paraId="799A3EC7" w14:textId="77777777" w:rsidR="00BE21F9" w:rsidRDefault="00BE21F9" w:rsidP="00A453A4">
      <w:pPr>
        <w:rPr>
          <w:rFonts w:asciiTheme="minorHAnsi" w:eastAsiaTheme="minorHAnsi" w:hAnsiTheme="minorHAnsi" w:cstheme="minorBidi"/>
        </w:rPr>
        <w:sectPr w:rsidR="00BE21F9" w:rsidSect="00075001">
          <w:pgSz w:w="16840" w:h="11901" w:orient="landscape"/>
          <w:pgMar w:top="1701" w:right="1418" w:bottom="1701" w:left="1418" w:header="709" w:footer="709" w:gutter="0"/>
          <w:cols w:space="708"/>
          <w:docGrid w:linePitch="360"/>
        </w:sectPr>
      </w:pPr>
    </w:p>
    <w:p w14:paraId="0F6F970B" w14:textId="2A47128A" w:rsidR="00E141C7" w:rsidRDefault="00BE21F9" w:rsidP="00A453A4">
      <w:pPr>
        <w:rPr>
          <w:rFonts w:asciiTheme="minorHAnsi" w:eastAsiaTheme="minorHAnsi" w:hAnsiTheme="minorHAnsi" w:cstheme="minorBidi"/>
          <w:b/>
          <w:bCs/>
        </w:rPr>
      </w:pPr>
      <w:proofErr w:type="spellStart"/>
      <w:r>
        <w:rPr>
          <w:rFonts w:asciiTheme="minorHAnsi" w:eastAsiaTheme="minorHAnsi" w:hAnsiTheme="minorHAnsi" w:cstheme="minorBidi"/>
          <w:b/>
          <w:bCs/>
        </w:rPr>
        <w:lastRenderedPageBreak/>
        <w:t>Supplemental</w:t>
      </w:r>
      <w:proofErr w:type="spellEnd"/>
      <w:r>
        <w:rPr>
          <w:rFonts w:asciiTheme="minorHAnsi" w:eastAsiaTheme="minorHAnsi" w:hAnsiTheme="minorHAnsi" w:cstheme="minorBidi"/>
          <w:b/>
          <w:bCs/>
        </w:rPr>
        <w:t xml:space="preserve"> figure 1</w:t>
      </w:r>
    </w:p>
    <w:p w14:paraId="37EFB83B" w14:textId="027B7353" w:rsidR="00BE21F9" w:rsidRDefault="00BE21F9" w:rsidP="00A453A4">
      <w:pPr>
        <w:rPr>
          <w:rFonts w:asciiTheme="minorHAnsi" w:eastAsiaTheme="minorHAnsi" w:hAnsiTheme="minorHAnsi" w:cstheme="minorBidi"/>
          <w:b/>
          <w:bCs/>
        </w:rPr>
      </w:pPr>
    </w:p>
    <w:p w14:paraId="5503D9FE" w14:textId="52BB25FB" w:rsidR="00BE21F9" w:rsidRDefault="00BE21F9" w:rsidP="00A453A4">
      <w:pPr>
        <w:rPr>
          <w:rFonts w:asciiTheme="minorHAnsi" w:eastAsiaTheme="minorHAnsi" w:hAnsiTheme="minorHAnsi" w:cstheme="minorBidi"/>
          <w:b/>
          <w:bCs/>
        </w:rPr>
      </w:pPr>
      <w:r>
        <w:rPr>
          <w:noProof/>
        </w:rPr>
        <w:drawing>
          <wp:inline distT="0" distB="0" distL="0" distR="0" wp14:anchorId="32C05EEC" wp14:editId="08A23AEC">
            <wp:extent cx="8892540" cy="498030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92540" cy="4980305"/>
                    </a:xfrm>
                    <a:prstGeom prst="rect">
                      <a:avLst/>
                    </a:prstGeom>
                  </pic:spPr>
                </pic:pic>
              </a:graphicData>
            </a:graphic>
          </wp:inline>
        </w:drawing>
      </w:r>
    </w:p>
    <w:p w14:paraId="70ACFB80" w14:textId="06D4A2C0" w:rsidR="00BE21F9" w:rsidRPr="00BE21F9" w:rsidRDefault="00BE21F9" w:rsidP="00A453A4">
      <w:pPr>
        <w:rPr>
          <w:rFonts w:asciiTheme="minorHAnsi" w:eastAsiaTheme="minorHAnsi" w:hAnsiTheme="minorHAnsi" w:cstheme="minorBidi"/>
          <w:b/>
          <w:bCs/>
        </w:rPr>
      </w:pPr>
      <w:proofErr w:type="spellStart"/>
      <w:r>
        <w:rPr>
          <w:rFonts w:asciiTheme="minorHAnsi" w:eastAsiaTheme="minorHAnsi" w:hAnsiTheme="minorHAnsi" w:cstheme="minorBidi"/>
          <w:b/>
          <w:bCs/>
        </w:rPr>
        <w:lastRenderedPageBreak/>
        <w:t>Supplemental</w:t>
      </w:r>
      <w:proofErr w:type="spellEnd"/>
      <w:r>
        <w:rPr>
          <w:rFonts w:asciiTheme="minorHAnsi" w:eastAsiaTheme="minorHAnsi" w:hAnsiTheme="minorHAnsi" w:cstheme="minorBidi"/>
          <w:b/>
          <w:bCs/>
        </w:rPr>
        <w:t xml:space="preserve"> figure 2</w:t>
      </w:r>
      <w:r>
        <w:rPr>
          <w:noProof/>
        </w:rPr>
        <w:drawing>
          <wp:inline distT="0" distB="0" distL="0" distR="0" wp14:anchorId="74182FF9" wp14:editId="7E580E36">
            <wp:extent cx="8892540" cy="429323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92540" cy="4293235"/>
                    </a:xfrm>
                    <a:prstGeom prst="rect">
                      <a:avLst/>
                    </a:prstGeom>
                  </pic:spPr>
                </pic:pic>
              </a:graphicData>
            </a:graphic>
          </wp:inline>
        </w:drawing>
      </w:r>
    </w:p>
    <w:sectPr w:rsidR="00BE21F9" w:rsidRPr="00BE21F9" w:rsidSect="00075001">
      <w:pgSz w:w="16840" w:h="11901"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897D4" w14:textId="77777777" w:rsidR="00310A7C" w:rsidRDefault="00310A7C" w:rsidP="0036284C">
      <w:r>
        <w:separator/>
      </w:r>
    </w:p>
  </w:endnote>
  <w:endnote w:type="continuationSeparator" w:id="0">
    <w:p w14:paraId="29FA15A5" w14:textId="77777777" w:rsidR="00310A7C" w:rsidRDefault="00310A7C" w:rsidP="00362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8C00" w14:textId="62DC5AE6" w:rsidR="00945E1A" w:rsidRPr="00945E1A" w:rsidRDefault="0036284C">
    <w:pPr>
      <w:pStyle w:val="Footer"/>
      <w:rPr>
        <w:rFonts w:asciiTheme="minorHAnsi" w:hAnsiTheme="minorHAnsi" w:cstheme="minorHAnsi"/>
      </w:rPr>
    </w:pPr>
    <w:r w:rsidRPr="00945E1A">
      <w:rPr>
        <w:rFonts w:asciiTheme="minorHAnsi" w:hAnsiTheme="minorHAnsi" w:cstheme="minorHAnsi"/>
        <w:shd w:val="clear" w:color="auto" w:fill="FFFFFF"/>
      </w:rPr>
      <w:t>© </w:t>
    </w:r>
    <w:r w:rsidR="00945E1A">
      <w:rPr>
        <w:rFonts w:asciiTheme="minorHAnsi" w:hAnsiTheme="minorHAnsi" w:cstheme="minorHAnsi"/>
        <w:shd w:val="clear" w:color="auto" w:fill="FFFFFF"/>
      </w:rPr>
      <w:t>2020</w:t>
    </w:r>
    <w:r w:rsidRPr="00945E1A">
      <w:rPr>
        <w:rFonts w:asciiTheme="minorHAnsi" w:hAnsiTheme="minorHAnsi" w:cstheme="minorHAnsi"/>
        <w:shd w:val="clear" w:color="auto" w:fill="FFFFFF"/>
      </w:rPr>
      <w:t>. This manuscript version is made available under the CC-BY-NC-ND 4.0 license </w:t>
    </w:r>
    <w:hyperlink r:id="rId1" w:tgtFrame="_blank" w:history="1">
      <w:r w:rsidRPr="00945E1A">
        <w:rPr>
          <w:rStyle w:val="Hyperlink"/>
          <w:rFonts w:asciiTheme="minorHAnsi" w:hAnsiTheme="minorHAnsi" w:cstheme="minorHAnsi"/>
          <w:color w:val="auto"/>
          <w:u w:val="none"/>
          <w:shd w:val="clear" w:color="auto" w:fill="FFFFFF"/>
        </w:rPr>
        <w:t>http://creativecommons.org/licenses/by-nc-nd/4.0/</w:t>
      </w:r>
    </w:hyperlink>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7E8A8" w14:textId="77777777" w:rsidR="00075001" w:rsidRDefault="00075001">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4F1B1" w14:textId="77777777" w:rsidR="00075001" w:rsidRDefault="0007500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4B0A9" w14:textId="77777777" w:rsidR="00075001" w:rsidRDefault="0007500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99A1" w14:textId="77777777" w:rsidR="00075001" w:rsidRDefault="00075001">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5DCD5" w14:textId="77777777" w:rsidR="00075001" w:rsidRDefault="00075001">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0D0B2" w14:textId="77777777" w:rsidR="00075001" w:rsidRDefault="00075001">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C7770" w14:textId="77777777" w:rsidR="00075001" w:rsidRDefault="00075001">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CD734" w14:textId="77777777" w:rsidR="00075001" w:rsidRDefault="0007500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ADAEE" w14:textId="77777777" w:rsidR="00075001" w:rsidRDefault="0007500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274CF" w14:textId="77777777" w:rsidR="00075001" w:rsidRDefault="0007500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6C929" w14:textId="77777777" w:rsidR="00075001" w:rsidRDefault="0007500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2713D" w14:textId="77777777" w:rsidR="00075001" w:rsidRDefault="0007500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25B6" w14:textId="77777777" w:rsidR="00075001" w:rsidRDefault="0007500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27DBB" w14:textId="77777777" w:rsidR="00075001" w:rsidRDefault="0007500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CCEAC" w14:textId="77777777" w:rsidR="00075001" w:rsidRDefault="0007500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1183" w14:textId="77777777" w:rsidR="00075001" w:rsidRDefault="0007500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04452" w14:textId="77777777" w:rsidR="00310A7C" w:rsidRDefault="00310A7C" w:rsidP="0036284C">
      <w:r>
        <w:separator/>
      </w:r>
    </w:p>
  </w:footnote>
  <w:footnote w:type="continuationSeparator" w:id="0">
    <w:p w14:paraId="3B37D127" w14:textId="77777777" w:rsidR="00310A7C" w:rsidRDefault="00310A7C" w:rsidP="00362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E18CB" w14:textId="77777777" w:rsidR="00075001" w:rsidRDefault="00075001">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C0F41" w14:textId="77777777" w:rsidR="00075001" w:rsidRDefault="0007500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901FB" w14:textId="77777777" w:rsidR="00075001" w:rsidRDefault="0007500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DCF9D" w14:textId="77777777" w:rsidR="00075001" w:rsidRDefault="0007500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52115" w14:textId="77777777" w:rsidR="00075001" w:rsidRDefault="0007500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C22E" w14:textId="77777777" w:rsidR="00075001" w:rsidRDefault="0007500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D7999" w14:textId="77777777" w:rsidR="00075001" w:rsidRDefault="0007500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B4B5F" w14:textId="77777777" w:rsidR="00075001" w:rsidRDefault="0007500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E2FDD" w14:textId="77777777" w:rsidR="00075001" w:rsidRDefault="0007500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6D2B2" w14:textId="77777777" w:rsidR="00075001" w:rsidRDefault="0007500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3588D" w14:textId="77777777" w:rsidR="00075001" w:rsidRDefault="0007500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D45DD" w14:textId="77777777" w:rsidR="00075001" w:rsidRDefault="0007500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5A630" w14:textId="77777777" w:rsidR="00075001" w:rsidRDefault="0007500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1C3C7" w14:textId="77777777" w:rsidR="00075001" w:rsidRDefault="0007500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DC3B0" w14:textId="77777777" w:rsidR="00075001" w:rsidRDefault="0007500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7DB36" w14:textId="77777777" w:rsidR="00075001" w:rsidRDefault="0007500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625682"/>
    <w:multiLevelType w:val="hybridMultilevel"/>
    <w:tmpl w:val="F0F692F8"/>
    <w:lvl w:ilvl="0" w:tplc="E1169252">
      <w:numFmt w:val="bullet"/>
      <w:lvlText w:val="-"/>
      <w:lvlJc w:val="left"/>
      <w:pPr>
        <w:ind w:left="463" w:hanging="360"/>
      </w:pPr>
      <w:rPr>
        <w:rFonts w:ascii="Calibri" w:eastAsia="Calibri" w:hAnsi="Calibri" w:cs="Calibri" w:hint="default"/>
        <w:spacing w:val="-1"/>
        <w:w w:val="100"/>
        <w:sz w:val="22"/>
        <w:szCs w:val="22"/>
      </w:rPr>
    </w:lvl>
    <w:lvl w:ilvl="1" w:tplc="0054F680">
      <w:numFmt w:val="bullet"/>
      <w:lvlText w:val="•"/>
      <w:lvlJc w:val="left"/>
      <w:pPr>
        <w:ind w:left="839" w:hanging="360"/>
      </w:pPr>
      <w:rPr>
        <w:rFonts w:hint="default"/>
      </w:rPr>
    </w:lvl>
    <w:lvl w:ilvl="2" w:tplc="15944308">
      <w:numFmt w:val="bullet"/>
      <w:lvlText w:val="•"/>
      <w:lvlJc w:val="left"/>
      <w:pPr>
        <w:ind w:left="1218" w:hanging="360"/>
      </w:pPr>
      <w:rPr>
        <w:rFonts w:hint="default"/>
      </w:rPr>
    </w:lvl>
    <w:lvl w:ilvl="3" w:tplc="F798213E">
      <w:numFmt w:val="bullet"/>
      <w:lvlText w:val="•"/>
      <w:lvlJc w:val="left"/>
      <w:pPr>
        <w:ind w:left="1597" w:hanging="360"/>
      </w:pPr>
      <w:rPr>
        <w:rFonts w:hint="default"/>
      </w:rPr>
    </w:lvl>
    <w:lvl w:ilvl="4" w:tplc="8ABCBA2E">
      <w:numFmt w:val="bullet"/>
      <w:lvlText w:val="•"/>
      <w:lvlJc w:val="left"/>
      <w:pPr>
        <w:ind w:left="1976" w:hanging="360"/>
      </w:pPr>
      <w:rPr>
        <w:rFonts w:hint="default"/>
      </w:rPr>
    </w:lvl>
    <w:lvl w:ilvl="5" w:tplc="078E2ACE">
      <w:numFmt w:val="bullet"/>
      <w:lvlText w:val="•"/>
      <w:lvlJc w:val="left"/>
      <w:pPr>
        <w:ind w:left="2356" w:hanging="360"/>
      </w:pPr>
      <w:rPr>
        <w:rFonts w:hint="default"/>
      </w:rPr>
    </w:lvl>
    <w:lvl w:ilvl="6" w:tplc="AFE6B8B6">
      <w:numFmt w:val="bullet"/>
      <w:lvlText w:val="•"/>
      <w:lvlJc w:val="left"/>
      <w:pPr>
        <w:ind w:left="2735" w:hanging="360"/>
      </w:pPr>
      <w:rPr>
        <w:rFonts w:hint="default"/>
      </w:rPr>
    </w:lvl>
    <w:lvl w:ilvl="7" w:tplc="C78C0402">
      <w:numFmt w:val="bullet"/>
      <w:lvlText w:val="•"/>
      <w:lvlJc w:val="left"/>
      <w:pPr>
        <w:ind w:left="3114" w:hanging="360"/>
      </w:pPr>
      <w:rPr>
        <w:rFonts w:hint="default"/>
      </w:rPr>
    </w:lvl>
    <w:lvl w:ilvl="8" w:tplc="296C8CDE">
      <w:numFmt w:val="bullet"/>
      <w:lvlText w:val="•"/>
      <w:lvlJc w:val="left"/>
      <w:pPr>
        <w:ind w:left="3493" w:hanging="36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es-ES_tradnl" w:vendorID="64" w:dllVersion="409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4096" w:nlCheck="1" w:checkStyle="0"/>
  <w:activeWritingStyle w:appName="MSWord" w:lang="es-E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969"/>
    <w:rsid w:val="00000C93"/>
    <w:rsid w:val="00003AD0"/>
    <w:rsid w:val="000043F5"/>
    <w:rsid w:val="000048FF"/>
    <w:rsid w:val="000069C4"/>
    <w:rsid w:val="00007037"/>
    <w:rsid w:val="0000712A"/>
    <w:rsid w:val="00015264"/>
    <w:rsid w:val="00017D43"/>
    <w:rsid w:val="000208B3"/>
    <w:rsid w:val="000211CE"/>
    <w:rsid w:val="00022C88"/>
    <w:rsid w:val="00022FC2"/>
    <w:rsid w:val="00024660"/>
    <w:rsid w:val="00025724"/>
    <w:rsid w:val="000267CA"/>
    <w:rsid w:val="00027FBA"/>
    <w:rsid w:val="00030D79"/>
    <w:rsid w:val="000363B5"/>
    <w:rsid w:val="00036873"/>
    <w:rsid w:val="00041389"/>
    <w:rsid w:val="00041DC2"/>
    <w:rsid w:val="0004226D"/>
    <w:rsid w:val="00042FC2"/>
    <w:rsid w:val="00044E64"/>
    <w:rsid w:val="000451B8"/>
    <w:rsid w:val="00047501"/>
    <w:rsid w:val="00050EF1"/>
    <w:rsid w:val="00053D92"/>
    <w:rsid w:val="00054CA4"/>
    <w:rsid w:val="00056E45"/>
    <w:rsid w:val="00061CDE"/>
    <w:rsid w:val="000635CB"/>
    <w:rsid w:val="0006407A"/>
    <w:rsid w:val="000707E9"/>
    <w:rsid w:val="00073248"/>
    <w:rsid w:val="0007416A"/>
    <w:rsid w:val="00075001"/>
    <w:rsid w:val="0007729B"/>
    <w:rsid w:val="0008418B"/>
    <w:rsid w:val="00084573"/>
    <w:rsid w:val="0009217C"/>
    <w:rsid w:val="000A2AE6"/>
    <w:rsid w:val="000A78A5"/>
    <w:rsid w:val="000B0456"/>
    <w:rsid w:val="000B28E6"/>
    <w:rsid w:val="000B509A"/>
    <w:rsid w:val="000B58F0"/>
    <w:rsid w:val="000B5E74"/>
    <w:rsid w:val="000C2439"/>
    <w:rsid w:val="000C453D"/>
    <w:rsid w:val="000C45EC"/>
    <w:rsid w:val="000D08B5"/>
    <w:rsid w:val="000D1DCF"/>
    <w:rsid w:val="000E003C"/>
    <w:rsid w:val="000E26F1"/>
    <w:rsid w:val="000E2D96"/>
    <w:rsid w:val="000F3A4E"/>
    <w:rsid w:val="000F3CE5"/>
    <w:rsid w:val="000F5758"/>
    <w:rsid w:val="000F6B8D"/>
    <w:rsid w:val="001011DB"/>
    <w:rsid w:val="001032CF"/>
    <w:rsid w:val="001037B1"/>
    <w:rsid w:val="0010590A"/>
    <w:rsid w:val="00107899"/>
    <w:rsid w:val="00111A9A"/>
    <w:rsid w:val="00113177"/>
    <w:rsid w:val="001145BF"/>
    <w:rsid w:val="00117838"/>
    <w:rsid w:val="001236F8"/>
    <w:rsid w:val="001244D0"/>
    <w:rsid w:val="00124A16"/>
    <w:rsid w:val="001311B1"/>
    <w:rsid w:val="00131CEA"/>
    <w:rsid w:val="001348B6"/>
    <w:rsid w:val="00135006"/>
    <w:rsid w:val="001501C9"/>
    <w:rsid w:val="00150625"/>
    <w:rsid w:val="00153639"/>
    <w:rsid w:val="001536EC"/>
    <w:rsid w:val="00161647"/>
    <w:rsid w:val="00165428"/>
    <w:rsid w:val="00167FB0"/>
    <w:rsid w:val="001715FB"/>
    <w:rsid w:val="001839B8"/>
    <w:rsid w:val="0018741E"/>
    <w:rsid w:val="00190B1F"/>
    <w:rsid w:val="001958A2"/>
    <w:rsid w:val="00197646"/>
    <w:rsid w:val="00197651"/>
    <w:rsid w:val="001976E9"/>
    <w:rsid w:val="001A28AB"/>
    <w:rsid w:val="001A49A7"/>
    <w:rsid w:val="001A4F1E"/>
    <w:rsid w:val="001A6EE4"/>
    <w:rsid w:val="001B26ED"/>
    <w:rsid w:val="001B3547"/>
    <w:rsid w:val="001B6C9D"/>
    <w:rsid w:val="001B7CDF"/>
    <w:rsid w:val="001C205C"/>
    <w:rsid w:val="001C25CE"/>
    <w:rsid w:val="001C4FB8"/>
    <w:rsid w:val="001C6396"/>
    <w:rsid w:val="001D33BF"/>
    <w:rsid w:val="001D6F10"/>
    <w:rsid w:val="001E3FBD"/>
    <w:rsid w:val="001F1373"/>
    <w:rsid w:val="001F370D"/>
    <w:rsid w:val="001F4742"/>
    <w:rsid w:val="001F6AEC"/>
    <w:rsid w:val="001F7B19"/>
    <w:rsid w:val="00202D89"/>
    <w:rsid w:val="00204DFE"/>
    <w:rsid w:val="00206561"/>
    <w:rsid w:val="0021530C"/>
    <w:rsid w:val="00232AF8"/>
    <w:rsid w:val="00234656"/>
    <w:rsid w:val="00240F91"/>
    <w:rsid w:val="0024278E"/>
    <w:rsid w:val="002501CC"/>
    <w:rsid w:val="00251472"/>
    <w:rsid w:val="00253ABC"/>
    <w:rsid w:val="00254349"/>
    <w:rsid w:val="00261A32"/>
    <w:rsid w:val="00261B4D"/>
    <w:rsid w:val="00270536"/>
    <w:rsid w:val="00284E9E"/>
    <w:rsid w:val="002A4E90"/>
    <w:rsid w:val="002B0E24"/>
    <w:rsid w:val="002B26CB"/>
    <w:rsid w:val="002B5507"/>
    <w:rsid w:val="002B7370"/>
    <w:rsid w:val="002C011C"/>
    <w:rsid w:val="002C1B4B"/>
    <w:rsid w:val="002C2C1D"/>
    <w:rsid w:val="002C2C83"/>
    <w:rsid w:val="002D1F09"/>
    <w:rsid w:val="002D6155"/>
    <w:rsid w:val="002D7E0A"/>
    <w:rsid w:val="002E16ED"/>
    <w:rsid w:val="002E6437"/>
    <w:rsid w:val="002F5DF3"/>
    <w:rsid w:val="002F77BC"/>
    <w:rsid w:val="0030375D"/>
    <w:rsid w:val="00303CD3"/>
    <w:rsid w:val="00305871"/>
    <w:rsid w:val="00305B3B"/>
    <w:rsid w:val="00305E7D"/>
    <w:rsid w:val="00306894"/>
    <w:rsid w:val="00307F2F"/>
    <w:rsid w:val="00310A7C"/>
    <w:rsid w:val="00312212"/>
    <w:rsid w:val="003130FF"/>
    <w:rsid w:val="00316301"/>
    <w:rsid w:val="003173E5"/>
    <w:rsid w:val="0032527A"/>
    <w:rsid w:val="003260FD"/>
    <w:rsid w:val="003275F2"/>
    <w:rsid w:val="003278EA"/>
    <w:rsid w:val="003303CB"/>
    <w:rsid w:val="00331B38"/>
    <w:rsid w:val="00331F5A"/>
    <w:rsid w:val="00333039"/>
    <w:rsid w:val="003341E5"/>
    <w:rsid w:val="00335DC0"/>
    <w:rsid w:val="00337B64"/>
    <w:rsid w:val="00340B39"/>
    <w:rsid w:val="00345CDB"/>
    <w:rsid w:val="00346368"/>
    <w:rsid w:val="00360C64"/>
    <w:rsid w:val="0036284C"/>
    <w:rsid w:val="0036437F"/>
    <w:rsid w:val="003737DF"/>
    <w:rsid w:val="00376414"/>
    <w:rsid w:val="0037652A"/>
    <w:rsid w:val="00380F23"/>
    <w:rsid w:val="00385AE2"/>
    <w:rsid w:val="00386A84"/>
    <w:rsid w:val="00386A88"/>
    <w:rsid w:val="003876D2"/>
    <w:rsid w:val="003906AF"/>
    <w:rsid w:val="00391D58"/>
    <w:rsid w:val="00392ABA"/>
    <w:rsid w:val="003A0FCD"/>
    <w:rsid w:val="003A2BA8"/>
    <w:rsid w:val="003A310B"/>
    <w:rsid w:val="003A47CD"/>
    <w:rsid w:val="003A4A9C"/>
    <w:rsid w:val="003A75FB"/>
    <w:rsid w:val="003B0A6B"/>
    <w:rsid w:val="003B0EE6"/>
    <w:rsid w:val="003B41C6"/>
    <w:rsid w:val="003B66C2"/>
    <w:rsid w:val="003B77B9"/>
    <w:rsid w:val="003C19FB"/>
    <w:rsid w:val="003C2BED"/>
    <w:rsid w:val="003C3D1D"/>
    <w:rsid w:val="003D7E55"/>
    <w:rsid w:val="003D7FDE"/>
    <w:rsid w:val="003E499F"/>
    <w:rsid w:val="003E62F8"/>
    <w:rsid w:val="003E65FA"/>
    <w:rsid w:val="003F0E31"/>
    <w:rsid w:val="003F1178"/>
    <w:rsid w:val="003F27FC"/>
    <w:rsid w:val="003F2CCB"/>
    <w:rsid w:val="003F319D"/>
    <w:rsid w:val="003F38CD"/>
    <w:rsid w:val="003F542D"/>
    <w:rsid w:val="00400987"/>
    <w:rsid w:val="00403524"/>
    <w:rsid w:val="004035DD"/>
    <w:rsid w:val="00403838"/>
    <w:rsid w:val="004077C2"/>
    <w:rsid w:val="004132CF"/>
    <w:rsid w:val="004216F1"/>
    <w:rsid w:val="00424824"/>
    <w:rsid w:val="00425541"/>
    <w:rsid w:val="004272CE"/>
    <w:rsid w:val="00430506"/>
    <w:rsid w:val="0043091A"/>
    <w:rsid w:val="004316D4"/>
    <w:rsid w:val="00433436"/>
    <w:rsid w:val="004360F1"/>
    <w:rsid w:val="00436940"/>
    <w:rsid w:val="0044325B"/>
    <w:rsid w:val="00445D60"/>
    <w:rsid w:val="00446D86"/>
    <w:rsid w:val="00451DE2"/>
    <w:rsid w:val="00451E61"/>
    <w:rsid w:val="00454704"/>
    <w:rsid w:val="00456114"/>
    <w:rsid w:val="00461408"/>
    <w:rsid w:val="00465183"/>
    <w:rsid w:val="00465F21"/>
    <w:rsid w:val="004668A6"/>
    <w:rsid w:val="0047404F"/>
    <w:rsid w:val="00474874"/>
    <w:rsid w:val="00477B34"/>
    <w:rsid w:val="004811EC"/>
    <w:rsid w:val="00482C68"/>
    <w:rsid w:val="00487455"/>
    <w:rsid w:val="00491223"/>
    <w:rsid w:val="004926C2"/>
    <w:rsid w:val="00493A99"/>
    <w:rsid w:val="004978BB"/>
    <w:rsid w:val="004A05A9"/>
    <w:rsid w:val="004A24EB"/>
    <w:rsid w:val="004A32F7"/>
    <w:rsid w:val="004A5C44"/>
    <w:rsid w:val="004A707B"/>
    <w:rsid w:val="004A78BB"/>
    <w:rsid w:val="004B46F0"/>
    <w:rsid w:val="004C04BE"/>
    <w:rsid w:val="004C2FB0"/>
    <w:rsid w:val="004C483B"/>
    <w:rsid w:val="004C5BE8"/>
    <w:rsid w:val="004C76B8"/>
    <w:rsid w:val="004D132B"/>
    <w:rsid w:val="004D1C82"/>
    <w:rsid w:val="004D6D4E"/>
    <w:rsid w:val="004D741B"/>
    <w:rsid w:val="004E34F1"/>
    <w:rsid w:val="004E354E"/>
    <w:rsid w:val="004E591F"/>
    <w:rsid w:val="004F1146"/>
    <w:rsid w:val="004F1F9D"/>
    <w:rsid w:val="004F2074"/>
    <w:rsid w:val="0050078F"/>
    <w:rsid w:val="00503377"/>
    <w:rsid w:val="0050444E"/>
    <w:rsid w:val="005047C2"/>
    <w:rsid w:val="00505002"/>
    <w:rsid w:val="00505374"/>
    <w:rsid w:val="00511699"/>
    <w:rsid w:val="00516223"/>
    <w:rsid w:val="0052032D"/>
    <w:rsid w:val="005212EE"/>
    <w:rsid w:val="00526374"/>
    <w:rsid w:val="00527992"/>
    <w:rsid w:val="00527EE1"/>
    <w:rsid w:val="005307C4"/>
    <w:rsid w:val="00531C07"/>
    <w:rsid w:val="00531F65"/>
    <w:rsid w:val="00532666"/>
    <w:rsid w:val="0053545D"/>
    <w:rsid w:val="00541ADE"/>
    <w:rsid w:val="005456FA"/>
    <w:rsid w:val="0054611D"/>
    <w:rsid w:val="0054723A"/>
    <w:rsid w:val="00547438"/>
    <w:rsid w:val="0055111B"/>
    <w:rsid w:val="0055210F"/>
    <w:rsid w:val="00560540"/>
    <w:rsid w:val="00562526"/>
    <w:rsid w:val="00566861"/>
    <w:rsid w:val="0056738C"/>
    <w:rsid w:val="00572608"/>
    <w:rsid w:val="00572F22"/>
    <w:rsid w:val="005756D2"/>
    <w:rsid w:val="00580E3F"/>
    <w:rsid w:val="00581D22"/>
    <w:rsid w:val="005856EE"/>
    <w:rsid w:val="005935F2"/>
    <w:rsid w:val="00593996"/>
    <w:rsid w:val="005948D4"/>
    <w:rsid w:val="005962D5"/>
    <w:rsid w:val="00597626"/>
    <w:rsid w:val="00597853"/>
    <w:rsid w:val="005A0530"/>
    <w:rsid w:val="005A2371"/>
    <w:rsid w:val="005A3BFB"/>
    <w:rsid w:val="005A513E"/>
    <w:rsid w:val="005A6ECF"/>
    <w:rsid w:val="005B10DF"/>
    <w:rsid w:val="005B2A80"/>
    <w:rsid w:val="005B2EC3"/>
    <w:rsid w:val="005C3EB9"/>
    <w:rsid w:val="005C6150"/>
    <w:rsid w:val="005C6A16"/>
    <w:rsid w:val="005C6A4E"/>
    <w:rsid w:val="005D0F2B"/>
    <w:rsid w:val="005D3154"/>
    <w:rsid w:val="005D720D"/>
    <w:rsid w:val="005D7A9E"/>
    <w:rsid w:val="005E27FA"/>
    <w:rsid w:val="005E3FD6"/>
    <w:rsid w:val="005F0DD1"/>
    <w:rsid w:val="005F2583"/>
    <w:rsid w:val="005F4131"/>
    <w:rsid w:val="00601A01"/>
    <w:rsid w:val="00604409"/>
    <w:rsid w:val="00613073"/>
    <w:rsid w:val="0062066E"/>
    <w:rsid w:val="0062338E"/>
    <w:rsid w:val="006263B9"/>
    <w:rsid w:val="00641FEF"/>
    <w:rsid w:val="006467A4"/>
    <w:rsid w:val="00651988"/>
    <w:rsid w:val="00654D69"/>
    <w:rsid w:val="00660A61"/>
    <w:rsid w:val="00660B3E"/>
    <w:rsid w:val="006643F9"/>
    <w:rsid w:val="00665D92"/>
    <w:rsid w:val="00671F57"/>
    <w:rsid w:val="00673F9E"/>
    <w:rsid w:val="00675357"/>
    <w:rsid w:val="00675CF2"/>
    <w:rsid w:val="00680EFC"/>
    <w:rsid w:val="006819A8"/>
    <w:rsid w:val="00681FF1"/>
    <w:rsid w:val="00684624"/>
    <w:rsid w:val="006860A8"/>
    <w:rsid w:val="00687083"/>
    <w:rsid w:val="00687EB6"/>
    <w:rsid w:val="00690626"/>
    <w:rsid w:val="00691345"/>
    <w:rsid w:val="00691C98"/>
    <w:rsid w:val="00694918"/>
    <w:rsid w:val="00697244"/>
    <w:rsid w:val="006A1349"/>
    <w:rsid w:val="006A295D"/>
    <w:rsid w:val="006A2B33"/>
    <w:rsid w:val="006A4D6A"/>
    <w:rsid w:val="006A4EDA"/>
    <w:rsid w:val="006A57F9"/>
    <w:rsid w:val="006A5BDF"/>
    <w:rsid w:val="006A6C6E"/>
    <w:rsid w:val="006B5278"/>
    <w:rsid w:val="006B6DE6"/>
    <w:rsid w:val="006B7295"/>
    <w:rsid w:val="006B7554"/>
    <w:rsid w:val="006C3410"/>
    <w:rsid w:val="006C59FF"/>
    <w:rsid w:val="006C69C6"/>
    <w:rsid w:val="006D3560"/>
    <w:rsid w:val="006D6302"/>
    <w:rsid w:val="006D644C"/>
    <w:rsid w:val="006D66DE"/>
    <w:rsid w:val="006D678A"/>
    <w:rsid w:val="006D718F"/>
    <w:rsid w:val="006E26E5"/>
    <w:rsid w:val="006E27DA"/>
    <w:rsid w:val="006E3969"/>
    <w:rsid w:val="006E3DFE"/>
    <w:rsid w:val="006E5BC6"/>
    <w:rsid w:val="006E7296"/>
    <w:rsid w:val="006F1989"/>
    <w:rsid w:val="006F5D69"/>
    <w:rsid w:val="00700EEF"/>
    <w:rsid w:val="00710BE2"/>
    <w:rsid w:val="00710C83"/>
    <w:rsid w:val="007150BB"/>
    <w:rsid w:val="00716201"/>
    <w:rsid w:val="007171AC"/>
    <w:rsid w:val="00721868"/>
    <w:rsid w:val="00724A36"/>
    <w:rsid w:val="00726E55"/>
    <w:rsid w:val="00732021"/>
    <w:rsid w:val="00732B1A"/>
    <w:rsid w:val="00734718"/>
    <w:rsid w:val="00735BDC"/>
    <w:rsid w:val="00735D20"/>
    <w:rsid w:val="0074424E"/>
    <w:rsid w:val="00746A33"/>
    <w:rsid w:val="00746F34"/>
    <w:rsid w:val="00751758"/>
    <w:rsid w:val="00752A6E"/>
    <w:rsid w:val="00754143"/>
    <w:rsid w:val="00754315"/>
    <w:rsid w:val="007558AE"/>
    <w:rsid w:val="007564EE"/>
    <w:rsid w:val="00757187"/>
    <w:rsid w:val="007613F3"/>
    <w:rsid w:val="00762CD3"/>
    <w:rsid w:val="00766566"/>
    <w:rsid w:val="0077147E"/>
    <w:rsid w:val="00772CE7"/>
    <w:rsid w:val="0077325D"/>
    <w:rsid w:val="007737E6"/>
    <w:rsid w:val="0077463C"/>
    <w:rsid w:val="00776DB8"/>
    <w:rsid w:val="00780BD9"/>
    <w:rsid w:val="00786E88"/>
    <w:rsid w:val="00792761"/>
    <w:rsid w:val="00793FC3"/>
    <w:rsid w:val="00795CEF"/>
    <w:rsid w:val="007974E7"/>
    <w:rsid w:val="00797677"/>
    <w:rsid w:val="007976BB"/>
    <w:rsid w:val="0079780D"/>
    <w:rsid w:val="007A3DE2"/>
    <w:rsid w:val="007A5043"/>
    <w:rsid w:val="007A7176"/>
    <w:rsid w:val="007B00D4"/>
    <w:rsid w:val="007B511F"/>
    <w:rsid w:val="007C475C"/>
    <w:rsid w:val="007C4BEC"/>
    <w:rsid w:val="007C5BE0"/>
    <w:rsid w:val="007D2B0E"/>
    <w:rsid w:val="007D358C"/>
    <w:rsid w:val="007D65EF"/>
    <w:rsid w:val="007D6DBF"/>
    <w:rsid w:val="007E10D2"/>
    <w:rsid w:val="007E1946"/>
    <w:rsid w:val="007E3547"/>
    <w:rsid w:val="007E7EE0"/>
    <w:rsid w:val="007F0B84"/>
    <w:rsid w:val="007F16D2"/>
    <w:rsid w:val="007F20E8"/>
    <w:rsid w:val="007F2C69"/>
    <w:rsid w:val="007F3579"/>
    <w:rsid w:val="00800480"/>
    <w:rsid w:val="00801718"/>
    <w:rsid w:val="0080227B"/>
    <w:rsid w:val="008025C6"/>
    <w:rsid w:val="00804136"/>
    <w:rsid w:val="00806DF8"/>
    <w:rsid w:val="008076B0"/>
    <w:rsid w:val="00823254"/>
    <w:rsid w:val="00825117"/>
    <w:rsid w:val="00826B07"/>
    <w:rsid w:val="00826CA1"/>
    <w:rsid w:val="008310F0"/>
    <w:rsid w:val="0083208F"/>
    <w:rsid w:val="00834445"/>
    <w:rsid w:val="00834D54"/>
    <w:rsid w:val="00842A7A"/>
    <w:rsid w:val="00843E33"/>
    <w:rsid w:val="00850911"/>
    <w:rsid w:val="0085109A"/>
    <w:rsid w:val="00852CB9"/>
    <w:rsid w:val="00854866"/>
    <w:rsid w:val="008603EC"/>
    <w:rsid w:val="008606A3"/>
    <w:rsid w:val="00860C56"/>
    <w:rsid w:val="0086356A"/>
    <w:rsid w:val="00867661"/>
    <w:rsid w:val="008704FE"/>
    <w:rsid w:val="00870FF3"/>
    <w:rsid w:val="008756A3"/>
    <w:rsid w:val="008759CC"/>
    <w:rsid w:val="00875C0D"/>
    <w:rsid w:val="00880D7A"/>
    <w:rsid w:val="00884B0C"/>
    <w:rsid w:val="00885B1B"/>
    <w:rsid w:val="00891141"/>
    <w:rsid w:val="008A1A25"/>
    <w:rsid w:val="008A2485"/>
    <w:rsid w:val="008A3259"/>
    <w:rsid w:val="008A33E6"/>
    <w:rsid w:val="008A43C4"/>
    <w:rsid w:val="008A544B"/>
    <w:rsid w:val="008A7429"/>
    <w:rsid w:val="008B0029"/>
    <w:rsid w:val="008B00D1"/>
    <w:rsid w:val="008B4AC1"/>
    <w:rsid w:val="008B4E94"/>
    <w:rsid w:val="008B52E1"/>
    <w:rsid w:val="008B576B"/>
    <w:rsid w:val="008B6263"/>
    <w:rsid w:val="008B7EDC"/>
    <w:rsid w:val="008C09DA"/>
    <w:rsid w:val="008C7365"/>
    <w:rsid w:val="008D02CF"/>
    <w:rsid w:val="008D163F"/>
    <w:rsid w:val="008D463C"/>
    <w:rsid w:val="008D686F"/>
    <w:rsid w:val="008E237E"/>
    <w:rsid w:val="008E2885"/>
    <w:rsid w:val="008E28B3"/>
    <w:rsid w:val="008E332B"/>
    <w:rsid w:val="008E3A5A"/>
    <w:rsid w:val="008E4C58"/>
    <w:rsid w:val="008E5D5E"/>
    <w:rsid w:val="008F3C3D"/>
    <w:rsid w:val="00900F54"/>
    <w:rsid w:val="00901963"/>
    <w:rsid w:val="009034F9"/>
    <w:rsid w:val="009039F4"/>
    <w:rsid w:val="00905188"/>
    <w:rsid w:val="00907C2C"/>
    <w:rsid w:val="009107F7"/>
    <w:rsid w:val="00910960"/>
    <w:rsid w:val="009126CA"/>
    <w:rsid w:val="0091432D"/>
    <w:rsid w:val="00924D84"/>
    <w:rsid w:val="00926C3B"/>
    <w:rsid w:val="009321A1"/>
    <w:rsid w:val="00933924"/>
    <w:rsid w:val="009346D4"/>
    <w:rsid w:val="00940416"/>
    <w:rsid w:val="0094137D"/>
    <w:rsid w:val="00941B38"/>
    <w:rsid w:val="00945225"/>
    <w:rsid w:val="00945E1A"/>
    <w:rsid w:val="0094629A"/>
    <w:rsid w:val="009524EB"/>
    <w:rsid w:val="009544B8"/>
    <w:rsid w:val="0095474F"/>
    <w:rsid w:val="00955784"/>
    <w:rsid w:val="00960D7B"/>
    <w:rsid w:val="009640F2"/>
    <w:rsid w:val="00964DC8"/>
    <w:rsid w:val="00965309"/>
    <w:rsid w:val="009661E1"/>
    <w:rsid w:val="00970ED0"/>
    <w:rsid w:val="00971AA0"/>
    <w:rsid w:val="009745C7"/>
    <w:rsid w:val="00975098"/>
    <w:rsid w:val="00975D37"/>
    <w:rsid w:val="0097777B"/>
    <w:rsid w:val="00983E69"/>
    <w:rsid w:val="00984B1B"/>
    <w:rsid w:val="00985080"/>
    <w:rsid w:val="009873D4"/>
    <w:rsid w:val="00991F75"/>
    <w:rsid w:val="00995946"/>
    <w:rsid w:val="009A105A"/>
    <w:rsid w:val="009A2185"/>
    <w:rsid w:val="009A33AC"/>
    <w:rsid w:val="009A75FE"/>
    <w:rsid w:val="009B3E47"/>
    <w:rsid w:val="009B55DB"/>
    <w:rsid w:val="009B749B"/>
    <w:rsid w:val="009C40D5"/>
    <w:rsid w:val="009C4619"/>
    <w:rsid w:val="009C55E7"/>
    <w:rsid w:val="009C7DAE"/>
    <w:rsid w:val="009D027F"/>
    <w:rsid w:val="009D790B"/>
    <w:rsid w:val="009E01E6"/>
    <w:rsid w:val="009E1577"/>
    <w:rsid w:val="009E1BEE"/>
    <w:rsid w:val="009E27BB"/>
    <w:rsid w:val="009E658E"/>
    <w:rsid w:val="009F1707"/>
    <w:rsid w:val="00A068FD"/>
    <w:rsid w:val="00A151DA"/>
    <w:rsid w:val="00A269B9"/>
    <w:rsid w:val="00A26DBC"/>
    <w:rsid w:val="00A30806"/>
    <w:rsid w:val="00A329F0"/>
    <w:rsid w:val="00A32F70"/>
    <w:rsid w:val="00A33C93"/>
    <w:rsid w:val="00A35E8A"/>
    <w:rsid w:val="00A37749"/>
    <w:rsid w:val="00A41525"/>
    <w:rsid w:val="00A44B5F"/>
    <w:rsid w:val="00A453A4"/>
    <w:rsid w:val="00A46AE8"/>
    <w:rsid w:val="00A47723"/>
    <w:rsid w:val="00A47C33"/>
    <w:rsid w:val="00A506FC"/>
    <w:rsid w:val="00A526F7"/>
    <w:rsid w:val="00A5295A"/>
    <w:rsid w:val="00A53155"/>
    <w:rsid w:val="00A634C5"/>
    <w:rsid w:val="00A65EEE"/>
    <w:rsid w:val="00A66F2A"/>
    <w:rsid w:val="00A70CF2"/>
    <w:rsid w:val="00A74F69"/>
    <w:rsid w:val="00A75FD0"/>
    <w:rsid w:val="00A80B48"/>
    <w:rsid w:val="00A83418"/>
    <w:rsid w:val="00A83711"/>
    <w:rsid w:val="00A862B9"/>
    <w:rsid w:val="00A86B12"/>
    <w:rsid w:val="00A935A1"/>
    <w:rsid w:val="00A948FF"/>
    <w:rsid w:val="00A95F60"/>
    <w:rsid w:val="00A96B61"/>
    <w:rsid w:val="00AA2969"/>
    <w:rsid w:val="00AA3530"/>
    <w:rsid w:val="00AC5CBD"/>
    <w:rsid w:val="00AC7D29"/>
    <w:rsid w:val="00AD57B1"/>
    <w:rsid w:val="00AE3657"/>
    <w:rsid w:val="00AE3686"/>
    <w:rsid w:val="00AE5BBD"/>
    <w:rsid w:val="00AE7F81"/>
    <w:rsid w:val="00AF4081"/>
    <w:rsid w:val="00AF6107"/>
    <w:rsid w:val="00AF63B9"/>
    <w:rsid w:val="00AF67CB"/>
    <w:rsid w:val="00B012D5"/>
    <w:rsid w:val="00B036DD"/>
    <w:rsid w:val="00B040FA"/>
    <w:rsid w:val="00B061C1"/>
    <w:rsid w:val="00B0654E"/>
    <w:rsid w:val="00B07693"/>
    <w:rsid w:val="00B10274"/>
    <w:rsid w:val="00B10A87"/>
    <w:rsid w:val="00B21792"/>
    <w:rsid w:val="00B2454B"/>
    <w:rsid w:val="00B37AEC"/>
    <w:rsid w:val="00B402C3"/>
    <w:rsid w:val="00B41F24"/>
    <w:rsid w:val="00B43BBA"/>
    <w:rsid w:val="00B55856"/>
    <w:rsid w:val="00B55C31"/>
    <w:rsid w:val="00B571F1"/>
    <w:rsid w:val="00B60F7E"/>
    <w:rsid w:val="00B61F76"/>
    <w:rsid w:val="00B65D1F"/>
    <w:rsid w:val="00B67332"/>
    <w:rsid w:val="00B74D67"/>
    <w:rsid w:val="00B77E41"/>
    <w:rsid w:val="00B86805"/>
    <w:rsid w:val="00B87D51"/>
    <w:rsid w:val="00B91FE3"/>
    <w:rsid w:val="00B9265B"/>
    <w:rsid w:val="00B97F4E"/>
    <w:rsid w:val="00BA01AC"/>
    <w:rsid w:val="00BA228E"/>
    <w:rsid w:val="00BA2877"/>
    <w:rsid w:val="00BA4EC7"/>
    <w:rsid w:val="00BB29D8"/>
    <w:rsid w:val="00BB715D"/>
    <w:rsid w:val="00BC05A8"/>
    <w:rsid w:val="00BC4B1A"/>
    <w:rsid w:val="00BC4CEE"/>
    <w:rsid w:val="00BC5B64"/>
    <w:rsid w:val="00BC62B9"/>
    <w:rsid w:val="00BD159B"/>
    <w:rsid w:val="00BD1C42"/>
    <w:rsid w:val="00BD61FF"/>
    <w:rsid w:val="00BD690B"/>
    <w:rsid w:val="00BD727C"/>
    <w:rsid w:val="00BE1AD5"/>
    <w:rsid w:val="00BE21F9"/>
    <w:rsid w:val="00BE4B9A"/>
    <w:rsid w:val="00BE5964"/>
    <w:rsid w:val="00BE67E3"/>
    <w:rsid w:val="00BF0D1E"/>
    <w:rsid w:val="00BF18AF"/>
    <w:rsid w:val="00BF1E35"/>
    <w:rsid w:val="00BF2475"/>
    <w:rsid w:val="00BF3166"/>
    <w:rsid w:val="00BF6A22"/>
    <w:rsid w:val="00BF6F4B"/>
    <w:rsid w:val="00C00790"/>
    <w:rsid w:val="00C0201F"/>
    <w:rsid w:val="00C075A7"/>
    <w:rsid w:val="00C13E2B"/>
    <w:rsid w:val="00C14436"/>
    <w:rsid w:val="00C16541"/>
    <w:rsid w:val="00C241E9"/>
    <w:rsid w:val="00C25D84"/>
    <w:rsid w:val="00C31571"/>
    <w:rsid w:val="00C42276"/>
    <w:rsid w:val="00C445BB"/>
    <w:rsid w:val="00C538E5"/>
    <w:rsid w:val="00C54D53"/>
    <w:rsid w:val="00C5793E"/>
    <w:rsid w:val="00C57D1D"/>
    <w:rsid w:val="00C60C5C"/>
    <w:rsid w:val="00C61932"/>
    <w:rsid w:val="00C6363B"/>
    <w:rsid w:val="00C64C8A"/>
    <w:rsid w:val="00C65525"/>
    <w:rsid w:val="00C65EA3"/>
    <w:rsid w:val="00C70A82"/>
    <w:rsid w:val="00C739D7"/>
    <w:rsid w:val="00C75562"/>
    <w:rsid w:val="00C804F7"/>
    <w:rsid w:val="00C811F9"/>
    <w:rsid w:val="00C86194"/>
    <w:rsid w:val="00C91EF0"/>
    <w:rsid w:val="00C93DC3"/>
    <w:rsid w:val="00C95414"/>
    <w:rsid w:val="00C957E6"/>
    <w:rsid w:val="00C97294"/>
    <w:rsid w:val="00C978C3"/>
    <w:rsid w:val="00CA26FA"/>
    <w:rsid w:val="00CA35DB"/>
    <w:rsid w:val="00CA4A96"/>
    <w:rsid w:val="00CA5F47"/>
    <w:rsid w:val="00CA5FCD"/>
    <w:rsid w:val="00CA69D0"/>
    <w:rsid w:val="00CB0646"/>
    <w:rsid w:val="00CB28F5"/>
    <w:rsid w:val="00CB3B6D"/>
    <w:rsid w:val="00CB5CBD"/>
    <w:rsid w:val="00CB789D"/>
    <w:rsid w:val="00CC1C01"/>
    <w:rsid w:val="00CC30BD"/>
    <w:rsid w:val="00CC48DB"/>
    <w:rsid w:val="00CC4B6D"/>
    <w:rsid w:val="00CC514A"/>
    <w:rsid w:val="00CC7D75"/>
    <w:rsid w:val="00CD046E"/>
    <w:rsid w:val="00CD0FB0"/>
    <w:rsid w:val="00CD1B5B"/>
    <w:rsid w:val="00CD28B8"/>
    <w:rsid w:val="00CD49F6"/>
    <w:rsid w:val="00CE4AA4"/>
    <w:rsid w:val="00CF1FB9"/>
    <w:rsid w:val="00CF314E"/>
    <w:rsid w:val="00D03745"/>
    <w:rsid w:val="00D0419A"/>
    <w:rsid w:val="00D0479E"/>
    <w:rsid w:val="00D06322"/>
    <w:rsid w:val="00D07988"/>
    <w:rsid w:val="00D1064D"/>
    <w:rsid w:val="00D11113"/>
    <w:rsid w:val="00D165F4"/>
    <w:rsid w:val="00D167C9"/>
    <w:rsid w:val="00D244EA"/>
    <w:rsid w:val="00D25B64"/>
    <w:rsid w:val="00D267D6"/>
    <w:rsid w:val="00D30095"/>
    <w:rsid w:val="00D40B08"/>
    <w:rsid w:val="00D42094"/>
    <w:rsid w:val="00D427A9"/>
    <w:rsid w:val="00D453DB"/>
    <w:rsid w:val="00D467AD"/>
    <w:rsid w:val="00D50297"/>
    <w:rsid w:val="00D50619"/>
    <w:rsid w:val="00D5222F"/>
    <w:rsid w:val="00D52D54"/>
    <w:rsid w:val="00D5344A"/>
    <w:rsid w:val="00D569C2"/>
    <w:rsid w:val="00D63975"/>
    <w:rsid w:val="00D655AC"/>
    <w:rsid w:val="00D669CA"/>
    <w:rsid w:val="00D6770A"/>
    <w:rsid w:val="00D735A4"/>
    <w:rsid w:val="00D753AA"/>
    <w:rsid w:val="00D77680"/>
    <w:rsid w:val="00D77A46"/>
    <w:rsid w:val="00D81283"/>
    <w:rsid w:val="00D834FC"/>
    <w:rsid w:val="00D844DC"/>
    <w:rsid w:val="00D86426"/>
    <w:rsid w:val="00D87CE6"/>
    <w:rsid w:val="00D92693"/>
    <w:rsid w:val="00D9499E"/>
    <w:rsid w:val="00D971D5"/>
    <w:rsid w:val="00DA033F"/>
    <w:rsid w:val="00DA0E6F"/>
    <w:rsid w:val="00DA35B2"/>
    <w:rsid w:val="00DA4EF0"/>
    <w:rsid w:val="00DA6A63"/>
    <w:rsid w:val="00DC038E"/>
    <w:rsid w:val="00DC0BAA"/>
    <w:rsid w:val="00DC50D6"/>
    <w:rsid w:val="00DC77D3"/>
    <w:rsid w:val="00DC7A4E"/>
    <w:rsid w:val="00DD3E27"/>
    <w:rsid w:val="00DE33C3"/>
    <w:rsid w:val="00DE40CF"/>
    <w:rsid w:val="00DF1096"/>
    <w:rsid w:val="00E006D8"/>
    <w:rsid w:val="00E01E88"/>
    <w:rsid w:val="00E05329"/>
    <w:rsid w:val="00E12A52"/>
    <w:rsid w:val="00E13DAD"/>
    <w:rsid w:val="00E141C7"/>
    <w:rsid w:val="00E14715"/>
    <w:rsid w:val="00E155B4"/>
    <w:rsid w:val="00E172C6"/>
    <w:rsid w:val="00E17393"/>
    <w:rsid w:val="00E1764C"/>
    <w:rsid w:val="00E209EC"/>
    <w:rsid w:val="00E222A8"/>
    <w:rsid w:val="00E24F4D"/>
    <w:rsid w:val="00E30BCD"/>
    <w:rsid w:val="00E341BE"/>
    <w:rsid w:val="00E40081"/>
    <w:rsid w:val="00E41AD4"/>
    <w:rsid w:val="00E4342D"/>
    <w:rsid w:val="00E45592"/>
    <w:rsid w:val="00E4648C"/>
    <w:rsid w:val="00E5331A"/>
    <w:rsid w:val="00E534AB"/>
    <w:rsid w:val="00E53BA5"/>
    <w:rsid w:val="00E544CA"/>
    <w:rsid w:val="00E56134"/>
    <w:rsid w:val="00E56A26"/>
    <w:rsid w:val="00E5747F"/>
    <w:rsid w:val="00E57C4A"/>
    <w:rsid w:val="00E606E2"/>
    <w:rsid w:val="00E61695"/>
    <w:rsid w:val="00E61940"/>
    <w:rsid w:val="00E66EF4"/>
    <w:rsid w:val="00E717DC"/>
    <w:rsid w:val="00E7637F"/>
    <w:rsid w:val="00E84ACF"/>
    <w:rsid w:val="00E85A3C"/>
    <w:rsid w:val="00E94B37"/>
    <w:rsid w:val="00EA50C8"/>
    <w:rsid w:val="00EA6868"/>
    <w:rsid w:val="00EA72EE"/>
    <w:rsid w:val="00EA77AC"/>
    <w:rsid w:val="00EB199D"/>
    <w:rsid w:val="00EB1B80"/>
    <w:rsid w:val="00EB593D"/>
    <w:rsid w:val="00EC1FD8"/>
    <w:rsid w:val="00EC429B"/>
    <w:rsid w:val="00ED0963"/>
    <w:rsid w:val="00ED0FD9"/>
    <w:rsid w:val="00ED319D"/>
    <w:rsid w:val="00ED333C"/>
    <w:rsid w:val="00ED37F2"/>
    <w:rsid w:val="00ED4BE0"/>
    <w:rsid w:val="00ED5614"/>
    <w:rsid w:val="00ED6F4F"/>
    <w:rsid w:val="00EE45F5"/>
    <w:rsid w:val="00EE5E46"/>
    <w:rsid w:val="00EE7A71"/>
    <w:rsid w:val="00EE7B4C"/>
    <w:rsid w:val="00F01435"/>
    <w:rsid w:val="00F041AA"/>
    <w:rsid w:val="00F10A3F"/>
    <w:rsid w:val="00F12910"/>
    <w:rsid w:val="00F12F36"/>
    <w:rsid w:val="00F16B6A"/>
    <w:rsid w:val="00F16DA7"/>
    <w:rsid w:val="00F17AEE"/>
    <w:rsid w:val="00F2071F"/>
    <w:rsid w:val="00F22457"/>
    <w:rsid w:val="00F240B7"/>
    <w:rsid w:val="00F26C1D"/>
    <w:rsid w:val="00F3396A"/>
    <w:rsid w:val="00F36BE7"/>
    <w:rsid w:val="00F41A09"/>
    <w:rsid w:val="00F42945"/>
    <w:rsid w:val="00F42D98"/>
    <w:rsid w:val="00F462C4"/>
    <w:rsid w:val="00F46AEA"/>
    <w:rsid w:val="00F522A8"/>
    <w:rsid w:val="00F54B15"/>
    <w:rsid w:val="00F56DCB"/>
    <w:rsid w:val="00F6253A"/>
    <w:rsid w:val="00F63EF9"/>
    <w:rsid w:val="00F64591"/>
    <w:rsid w:val="00F65C5C"/>
    <w:rsid w:val="00F66AE6"/>
    <w:rsid w:val="00F716E2"/>
    <w:rsid w:val="00F82972"/>
    <w:rsid w:val="00F829D4"/>
    <w:rsid w:val="00F83869"/>
    <w:rsid w:val="00F84FEB"/>
    <w:rsid w:val="00F9007E"/>
    <w:rsid w:val="00F96490"/>
    <w:rsid w:val="00F97D17"/>
    <w:rsid w:val="00FA6F92"/>
    <w:rsid w:val="00FB07C5"/>
    <w:rsid w:val="00FB1DDD"/>
    <w:rsid w:val="00FB4B0A"/>
    <w:rsid w:val="00FB65BD"/>
    <w:rsid w:val="00FC21E8"/>
    <w:rsid w:val="00FC3EEB"/>
    <w:rsid w:val="00FC6A0F"/>
    <w:rsid w:val="00FC6CE7"/>
    <w:rsid w:val="00FC7D5A"/>
    <w:rsid w:val="00FD2EB0"/>
    <w:rsid w:val="00FD54EF"/>
    <w:rsid w:val="00FE179E"/>
    <w:rsid w:val="00FE1B6C"/>
    <w:rsid w:val="00FE3F24"/>
    <w:rsid w:val="00FF0230"/>
    <w:rsid w:val="00FF6B6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D2464"/>
  <w15:docId w15:val="{28F09520-A298-D742-8FE5-5F55EE3B8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FB0"/>
    <w:rPr>
      <w:rFonts w:ascii="Times New Roman" w:eastAsia="Times New Roman" w:hAnsi="Times New Roman" w:cs="Times New Roman"/>
      <w:lang w:val="es-ES" w:eastAsia="es-ES_tradnl"/>
    </w:rPr>
  </w:style>
  <w:style w:type="paragraph" w:styleId="Heading1">
    <w:name w:val="heading 1"/>
    <w:basedOn w:val="Normal"/>
    <w:link w:val="Heading1Char"/>
    <w:uiPriority w:val="9"/>
    <w:qFormat/>
    <w:rsid w:val="00075001"/>
    <w:pPr>
      <w:widowControl w:val="0"/>
      <w:autoSpaceDE w:val="0"/>
      <w:autoSpaceDN w:val="0"/>
      <w:spacing w:line="378" w:lineRule="exact"/>
      <w:ind w:left="193"/>
      <w:outlineLvl w:val="0"/>
    </w:pPr>
    <w:rPr>
      <w:rFonts w:ascii="Arial" w:eastAsia="Arial" w:hAnsi="Arial" w:cs="Arial"/>
      <w:b/>
      <w:bCs/>
      <w:i/>
      <w:sz w:val="47"/>
      <w:szCs w:val="47"/>
      <w:lang w:val="en-US" w:eastAsia="en-US"/>
    </w:rPr>
  </w:style>
  <w:style w:type="paragraph" w:styleId="Heading2">
    <w:name w:val="heading 2"/>
    <w:basedOn w:val="Standard1"/>
    <w:next w:val="Standard1"/>
    <w:link w:val="Heading2Char"/>
    <w:uiPriority w:val="9"/>
    <w:qFormat/>
    <w:rsid w:val="00601A01"/>
    <w:pPr>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
    <w:link w:val="Heading3Char"/>
    <w:uiPriority w:val="9"/>
    <w:unhideWhenUsed/>
    <w:qFormat/>
    <w:rsid w:val="00075001"/>
    <w:pPr>
      <w:widowControl w:val="0"/>
      <w:autoSpaceDE w:val="0"/>
      <w:autoSpaceDN w:val="0"/>
      <w:spacing w:line="317" w:lineRule="exact"/>
      <w:ind w:left="206"/>
      <w:outlineLvl w:val="2"/>
    </w:pPr>
    <w:rPr>
      <w:rFonts w:ascii="Arial" w:eastAsia="Arial" w:hAnsi="Arial" w:cs="Arial"/>
      <w:b/>
      <w:bCs/>
      <w:sz w:val="31"/>
      <w:szCs w:val="31"/>
      <w:lang w:val="en-US" w:eastAsia="en-US"/>
    </w:rPr>
  </w:style>
  <w:style w:type="paragraph" w:styleId="Heading4">
    <w:name w:val="heading 4"/>
    <w:basedOn w:val="Normal"/>
    <w:next w:val="Normal"/>
    <w:link w:val="Heading4Char"/>
    <w:uiPriority w:val="9"/>
    <w:unhideWhenUsed/>
    <w:qFormat/>
    <w:rsid w:val="00601A01"/>
    <w:pPr>
      <w:keepNext/>
      <w:keepLines/>
      <w:spacing w:before="40"/>
      <w:outlineLvl w:val="3"/>
    </w:pPr>
    <w:rPr>
      <w:rFonts w:ascii="Calibri Light" w:hAnsi="Calibri Light"/>
      <w:i/>
      <w:iCs/>
      <w:color w:val="2F5496"/>
      <w:lang w:val="es-ES_tradnl"/>
    </w:rPr>
  </w:style>
  <w:style w:type="paragraph" w:styleId="Heading5">
    <w:name w:val="heading 5"/>
    <w:basedOn w:val="Normal"/>
    <w:link w:val="Heading5Char"/>
    <w:uiPriority w:val="9"/>
    <w:unhideWhenUsed/>
    <w:qFormat/>
    <w:rsid w:val="00075001"/>
    <w:pPr>
      <w:widowControl w:val="0"/>
      <w:autoSpaceDE w:val="0"/>
      <w:autoSpaceDN w:val="0"/>
      <w:outlineLvl w:val="4"/>
    </w:pPr>
    <w:rPr>
      <w:rFonts w:ascii="Arial" w:eastAsia="Arial" w:hAnsi="Arial" w:cs="Arial"/>
      <w:sz w:val="29"/>
      <w:szCs w:val="29"/>
      <w:lang w:val="en-US" w:eastAsia="en-US"/>
    </w:rPr>
  </w:style>
  <w:style w:type="paragraph" w:styleId="Heading6">
    <w:name w:val="heading 6"/>
    <w:basedOn w:val="Normal"/>
    <w:link w:val="Heading6Char"/>
    <w:uiPriority w:val="9"/>
    <w:unhideWhenUsed/>
    <w:qFormat/>
    <w:rsid w:val="00075001"/>
    <w:pPr>
      <w:widowControl w:val="0"/>
      <w:autoSpaceDE w:val="0"/>
      <w:autoSpaceDN w:val="0"/>
      <w:outlineLvl w:val="5"/>
    </w:pPr>
    <w:rPr>
      <w:rFonts w:ascii="Calibri" w:eastAsia="Calibri" w:hAnsi="Calibri" w:cs="Calibri"/>
      <w:b/>
      <w:bCs/>
      <w:sz w:val="28"/>
      <w:szCs w:val="28"/>
      <w:lang w:val="en-US" w:eastAsia="en-US"/>
    </w:rPr>
  </w:style>
  <w:style w:type="paragraph" w:styleId="Heading7">
    <w:name w:val="heading 7"/>
    <w:basedOn w:val="Normal"/>
    <w:link w:val="Heading7Char"/>
    <w:uiPriority w:val="1"/>
    <w:qFormat/>
    <w:rsid w:val="00075001"/>
    <w:pPr>
      <w:widowControl w:val="0"/>
      <w:autoSpaceDE w:val="0"/>
      <w:autoSpaceDN w:val="0"/>
      <w:ind w:left="275"/>
      <w:outlineLvl w:val="6"/>
    </w:pPr>
    <w:rPr>
      <w:rFonts w:ascii="Arial" w:eastAsia="Arial" w:hAnsi="Arial" w:cs="Arial"/>
      <w:b/>
      <w:bCs/>
      <w:sz w:val="27"/>
      <w:szCs w:val="27"/>
      <w:lang w:val="en-US" w:eastAsia="en-US"/>
    </w:rPr>
  </w:style>
  <w:style w:type="paragraph" w:styleId="Heading8">
    <w:name w:val="heading 8"/>
    <w:basedOn w:val="Normal"/>
    <w:link w:val="Heading8Char"/>
    <w:uiPriority w:val="1"/>
    <w:qFormat/>
    <w:rsid w:val="00075001"/>
    <w:pPr>
      <w:widowControl w:val="0"/>
      <w:autoSpaceDE w:val="0"/>
      <w:autoSpaceDN w:val="0"/>
      <w:spacing w:before="1" w:line="237" w:lineRule="exact"/>
      <w:ind w:left="107"/>
      <w:outlineLvl w:val="7"/>
    </w:pPr>
    <w:rPr>
      <w:rFonts w:ascii="Arial" w:eastAsia="Arial" w:hAnsi="Arial" w:cs="Arial"/>
      <w:sz w:val="25"/>
      <w:szCs w:val="25"/>
      <w:lang w:val="en-US" w:eastAsia="en-US"/>
    </w:rPr>
  </w:style>
  <w:style w:type="paragraph" w:styleId="Heading9">
    <w:name w:val="heading 9"/>
    <w:basedOn w:val="Normal"/>
    <w:link w:val="Heading9Char"/>
    <w:uiPriority w:val="1"/>
    <w:qFormat/>
    <w:rsid w:val="00075001"/>
    <w:pPr>
      <w:widowControl w:val="0"/>
      <w:autoSpaceDE w:val="0"/>
      <w:autoSpaceDN w:val="0"/>
      <w:ind w:left="280"/>
      <w:outlineLvl w:val="8"/>
    </w:pPr>
    <w:rPr>
      <w:rFonts w:ascii="Calibri" w:eastAsia="Calibri" w:hAnsi="Calibri" w:cs="Calibri"/>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26B07"/>
  </w:style>
  <w:style w:type="character" w:styleId="Hyperlink">
    <w:name w:val="Hyperlink"/>
    <w:basedOn w:val="DefaultParagraphFont"/>
    <w:unhideWhenUsed/>
    <w:rsid w:val="00875C0D"/>
    <w:rPr>
      <w:color w:val="0563C1" w:themeColor="hyperlink"/>
      <w:u w:val="single"/>
    </w:rPr>
  </w:style>
  <w:style w:type="character" w:customStyle="1" w:styleId="UnresolvedMention1">
    <w:name w:val="Unresolved Mention1"/>
    <w:basedOn w:val="DefaultParagraphFont"/>
    <w:uiPriority w:val="99"/>
    <w:rsid w:val="00875C0D"/>
    <w:rPr>
      <w:color w:val="605E5C"/>
      <w:shd w:val="clear" w:color="auto" w:fill="E1DFDD"/>
    </w:rPr>
  </w:style>
  <w:style w:type="character" w:styleId="CommentReference">
    <w:name w:val="annotation reference"/>
    <w:basedOn w:val="DefaultParagraphFont"/>
    <w:uiPriority w:val="99"/>
    <w:unhideWhenUsed/>
    <w:rsid w:val="001244D0"/>
    <w:rPr>
      <w:sz w:val="16"/>
      <w:szCs w:val="16"/>
    </w:rPr>
  </w:style>
  <w:style w:type="paragraph" w:styleId="CommentText">
    <w:name w:val="annotation text"/>
    <w:basedOn w:val="Normal"/>
    <w:link w:val="CommentTextChar"/>
    <w:uiPriority w:val="99"/>
    <w:unhideWhenUsed/>
    <w:rsid w:val="001244D0"/>
    <w:rPr>
      <w:sz w:val="20"/>
      <w:szCs w:val="20"/>
    </w:rPr>
  </w:style>
  <w:style w:type="character" w:customStyle="1" w:styleId="CommentTextChar">
    <w:name w:val="Comment Text Char"/>
    <w:basedOn w:val="DefaultParagraphFont"/>
    <w:link w:val="CommentText"/>
    <w:uiPriority w:val="99"/>
    <w:rsid w:val="001244D0"/>
    <w:rPr>
      <w:sz w:val="20"/>
      <w:szCs w:val="20"/>
      <w:lang w:val="es-ES"/>
    </w:rPr>
  </w:style>
  <w:style w:type="paragraph" w:styleId="CommentSubject">
    <w:name w:val="annotation subject"/>
    <w:basedOn w:val="CommentText"/>
    <w:next w:val="CommentText"/>
    <w:link w:val="CommentSubjectChar"/>
    <w:uiPriority w:val="99"/>
    <w:unhideWhenUsed/>
    <w:rsid w:val="001244D0"/>
    <w:rPr>
      <w:b/>
      <w:bCs/>
    </w:rPr>
  </w:style>
  <w:style w:type="character" w:customStyle="1" w:styleId="CommentSubjectChar">
    <w:name w:val="Comment Subject Char"/>
    <w:basedOn w:val="CommentTextChar"/>
    <w:link w:val="CommentSubject"/>
    <w:uiPriority w:val="99"/>
    <w:rsid w:val="001244D0"/>
    <w:rPr>
      <w:b/>
      <w:bCs/>
      <w:sz w:val="20"/>
      <w:szCs w:val="20"/>
      <w:lang w:val="es-ES"/>
    </w:rPr>
  </w:style>
  <w:style w:type="paragraph" w:styleId="BalloonText">
    <w:name w:val="Balloon Text"/>
    <w:basedOn w:val="Normal"/>
    <w:link w:val="BalloonTextChar"/>
    <w:uiPriority w:val="99"/>
    <w:semiHidden/>
    <w:unhideWhenUsed/>
    <w:rsid w:val="001244D0"/>
    <w:rPr>
      <w:sz w:val="18"/>
      <w:szCs w:val="18"/>
    </w:rPr>
  </w:style>
  <w:style w:type="character" w:customStyle="1" w:styleId="BalloonTextChar">
    <w:name w:val="Balloon Text Char"/>
    <w:basedOn w:val="DefaultParagraphFont"/>
    <w:link w:val="BalloonText"/>
    <w:uiPriority w:val="99"/>
    <w:semiHidden/>
    <w:rsid w:val="001244D0"/>
    <w:rPr>
      <w:rFonts w:ascii="Times New Roman" w:hAnsi="Times New Roman" w:cs="Times New Roman"/>
      <w:sz w:val="18"/>
      <w:szCs w:val="18"/>
      <w:lang w:val="es-ES"/>
    </w:rPr>
  </w:style>
  <w:style w:type="character" w:customStyle="1" w:styleId="Heading2Char">
    <w:name w:val="Heading 2 Char"/>
    <w:basedOn w:val="DefaultParagraphFont"/>
    <w:link w:val="Heading2"/>
    <w:rsid w:val="00601A01"/>
    <w:rPr>
      <w:rFonts w:ascii="Times New Roman" w:eastAsia="Times New Roman" w:hAnsi="Times New Roman" w:cs="Times New Roman"/>
      <w:b/>
      <w:sz w:val="36"/>
      <w:szCs w:val="36"/>
      <w:lang w:val="en-US" w:eastAsia="es-ES"/>
    </w:rPr>
  </w:style>
  <w:style w:type="paragraph" w:customStyle="1" w:styleId="Ttulo41">
    <w:name w:val="Título 41"/>
    <w:basedOn w:val="Normal"/>
    <w:next w:val="Normal"/>
    <w:uiPriority w:val="9"/>
    <w:semiHidden/>
    <w:unhideWhenUsed/>
    <w:qFormat/>
    <w:rsid w:val="00601A01"/>
    <w:pPr>
      <w:keepNext/>
      <w:keepLines/>
      <w:spacing w:before="40"/>
      <w:outlineLvl w:val="3"/>
    </w:pPr>
    <w:rPr>
      <w:rFonts w:ascii="Calibri Light" w:hAnsi="Calibri Light"/>
      <w:i/>
      <w:iCs/>
      <w:color w:val="2F5496"/>
    </w:rPr>
  </w:style>
  <w:style w:type="numbering" w:customStyle="1" w:styleId="Sinlista1">
    <w:name w:val="Sin lista1"/>
    <w:next w:val="NoList"/>
    <w:uiPriority w:val="99"/>
    <w:semiHidden/>
    <w:unhideWhenUsed/>
    <w:rsid w:val="00601A01"/>
  </w:style>
  <w:style w:type="paragraph" w:styleId="ListParagraph">
    <w:name w:val="List Paragraph"/>
    <w:basedOn w:val="Normal"/>
    <w:uiPriority w:val="1"/>
    <w:qFormat/>
    <w:rsid w:val="00601A01"/>
    <w:pPr>
      <w:ind w:left="720"/>
      <w:contextualSpacing/>
    </w:pPr>
  </w:style>
  <w:style w:type="table" w:styleId="TableGrid">
    <w:name w:val="Table Grid"/>
    <w:basedOn w:val="TableNormal"/>
    <w:uiPriority w:val="39"/>
    <w:rsid w:val="00601A01"/>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1A01"/>
    <w:rPr>
      <w:b/>
      <w:bCs/>
    </w:rPr>
  </w:style>
  <w:style w:type="paragraph" w:styleId="Header">
    <w:name w:val="header"/>
    <w:basedOn w:val="Normal"/>
    <w:link w:val="HeaderChar"/>
    <w:uiPriority w:val="99"/>
    <w:unhideWhenUsed/>
    <w:rsid w:val="00601A01"/>
    <w:pPr>
      <w:tabs>
        <w:tab w:val="center" w:pos="4419"/>
        <w:tab w:val="right" w:pos="8838"/>
      </w:tabs>
    </w:pPr>
    <w:rPr>
      <w:sz w:val="22"/>
      <w:szCs w:val="22"/>
      <w:lang w:val="de-DE"/>
    </w:rPr>
  </w:style>
  <w:style w:type="character" w:customStyle="1" w:styleId="HeaderChar">
    <w:name w:val="Header Char"/>
    <w:basedOn w:val="DefaultParagraphFont"/>
    <w:link w:val="Header"/>
    <w:uiPriority w:val="99"/>
    <w:rsid w:val="00601A01"/>
    <w:rPr>
      <w:sz w:val="22"/>
      <w:szCs w:val="22"/>
      <w:lang w:val="de-DE"/>
    </w:rPr>
  </w:style>
  <w:style w:type="paragraph" w:styleId="Footer">
    <w:name w:val="footer"/>
    <w:basedOn w:val="Normal"/>
    <w:link w:val="FooterChar"/>
    <w:uiPriority w:val="99"/>
    <w:unhideWhenUsed/>
    <w:rsid w:val="00601A01"/>
    <w:pPr>
      <w:tabs>
        <w:tab w:val="center" w:pos="4419"/>
        <w:tab w:val="right" w:pos="8838"/>
      </w:tabs>
    </w:pPr>
    <w:rPr>
      <w:sz w:val="22"/>
      <w:szCs w:val="22"/>
      <w:lang w:val="de-DE"/>
    </w:rPr>
  </w:style>
  <w:style w:type="character" w:customStyle="1" w:styleId="FooterChar">
    <w:name w:val="Footer Char"/>
    <w:basedOn w:val="DefaultParagraphFont"/>
    <w:link w:val="Footer"/>
    <w:uiPriority w:val="99"/>
    <w:rsid w:val="00601A01"/>
    <w:rPr>
      <w:sz w:val="22"/>
      <w:szCs w:val="22"/>
      <w:lang w:val="de-DE"/>
    </w:rPr>
  </w:style>
  <w:style w:type="paragraph" w:customStyle="1" w:styleId="Standard1">
    <w:name w:val="Standard1"/>
    <w:rsid w:val="00601A01"/>
    <w:pPr>
      <w:spacing w:after="160" w:line="259" w:lineRule="auto"/>
    </w:pPr>
    <w:rPr>
      <w:rFonts w:ascii="Calibri" w:eastAsia="Calibri" w:hAnsi="Calibri" w:cs="Calibri"/>
      <w:sz w:val="22"/>
      <w:szCs w:val="22"/>
      <w:lang w:val="en-US" w:eastAsia="es-ES"/>
    </w:rPr>
  </w:style>
  <w:style w:type="character" w:styleId="PageNumber">
    <w:name w:val="page number"/>
    <w:basedOn w:val="DefaultParagraphFont"/>
    <w:uiPriority w:val="99"/>
    <w:semiHidden/>
    <w:unhideWhenUsed/>
    <w:rsid w:val="00601A01"/>
  </w:style>
  <w:style w:type="paragraph" w:styleId="HTMLPreformatted">
    <w:name w:val="HTML Preformatted"/>
    <w:basedOn w:val="Normal"/>
    <w:link w:val="HTMLPreformattedChar"/>
    <w:uiPriority w:val="99"/>
    <w:unhideWhenUsed/>
    <w:rsid w:val="00601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601A01"/>
    <w:rPr>
      <w:rFonts w:ascii="Courier New" w:eastAsia="Times New Roman" w:hAnsi="Courier New" w:cs="Courier New"/>
      <w:sz w:val="20"/>
      <w:szCs w:val="20"/>
      <w:lang w:val="de-DE" w:eastAsia="de-DE"/>
    </w:rPr>
  </w:style>
  <w:style w:type="character" w:customStyle="1" w:styleId="hvr">
    <w:name w:val="hvr"/>
    <w:basedOn w:val="DefaultParagraphFont"/>
    <w:rsid w:val="00601A01"/>
  </w:style>
  <w:style w:type="paragraph" w:customStyle="1" w:styleId="Descripcin1">
    <w:name w:val="Descripción1"/>
    <w:basedOn w:val="Normal"/>
    <w:next w:val="Normal"/>
    <w:uiPriority w:val="35"/>
    <w:unhideWhenUsed/>
    <w:qFormat/>
    <w:rsid w:val="00601A01"/>
    <w:pPr>
      <w:spacing w:after="200"/>
    </w:pPr>
    <w:rPr>
      <w:i/>
      <w:iCs/>
      <w:color w:val="44546A"/>
      <w:sz w:val="18"/>
      <w:szCs w:val="18"/>
      <w:lang w:val="de-DE"/>
    </w:rPr>
  </w:style>
  <w:style w:type="paragraph" w:styleId="NormalWeb">
    <w:name w:val="Normal (Web)"/>
    <w:basedOn w:val="Normal"/>
    <w:uiPriority w:val="99"/>
    <w:unhideWhenUsed/>
    <w:rsid w:val="00601A01"/>
    <w:pPr>
      <w:spacing w:before="100" w:beforeAutospacing="1" w:after="100" w:afterAutospacing="1"/>
    </w:pPr>
    <w:rPr>
      <w:lang w:val="de-DE" w:eastAsia="de-DE"/>
    </w:rPr>
  </w:style>
  <w:style w:type="paragraph" w:styleId="Revision">
    <w:name w:val="Revision"/>
    <w:hidden/>
    <w:uiPriority w:val="99"/>
    <w:semiHidden/>
    <w:rsid w:val="00601A01"/>
    <w:rPr>
      <w:sz w:val="22"/>
      <w:szCs w:val="22"/>
      <w:lang w:val="de-DE"/>
    </w:rPr>
  </w:style>
  <w:style w:type="character" w:customStyle="1" w:styleId="Mencinsinresolver1">
    <w:name w:val="Mención sin resolver1"/>
    <w:basedOn w:val="DefaultParagraphFont"/>
    <w:uiPriority w:val="99"/>
    <w:semiHidden/>
    <w:unhideWhenUsed/>
    <w:rsid w:val="00601A01"/>
    <w:rPr>
      <w:color w:val="605E5C"/>
      <w:shd w:val="clear" w:color="auto" w:fill="E1DFDD"/>
    </w:rPr>
  </w:style>
  <w:style w:type="character" w:customStyle="1" w:styleId="Hipervnculovisitado1">
    <w:name w:val="Hipervínculo visitado1"/>
    <w:basedOn w:val="DefaultParagraphFont"/>
    <w:uiPriority w:val="99"/>
    <w:semiHidden/>
    <w:unhideWhenUsed/>
    <w:rsid w:val="00601A01"/>
    <w:rPr>
      <w:color w:val="954F72"/>
      <w:u w:val="single"/>
    </w:rPr>
  </w:style>
  <w:style w:type="character" w:customStyle="1" w:styleId="gnkrckgcgsb">
    <w:name w:val="gnkrckgcgsb"/>
    <w:basedOn w:val="DefaultParagraphFont"/>
    <w:rsid w:val="00601A01"/>
  </w:style>
  <w:style w:type="character" w:customStyle="1" w:styleId="Heading4Char">
    <w:name w:val="Heading 4 Char"/>
    <w:basedOn w:val="DefaultParagraphFont"/>
    <w:link w:val="Heading4"/>
    <w:uiPriority w:val="9"/>
    <w:rsid w:val="00601A01"/>
    <w:rPr>
      <w:rFonts w:ascii="Calibri Light" w:eastAsia="Times New Roman" w:hAnsi="Calibri Light" w:cs="Times New Roman"/>
      <w:i/>
      <w:iCs/>
      <w:color w:val="2F5496"/>
    </w:rPr>
  </w:style>
  <w:style w:type="character" w:styleId="FollowedHyperlink">
    <w:name w:val="FollowedHyperlink"/>
    <w:basedOn w:val="DefaultParagraphFont"/>
    <w:uiPriority w:val="99"/>
    <w:semiHidden/>
    <w:unhideWhenUsed/>
    <w:rsid w:val="00601A01"/>
    <w:rPr>
      <w:color w:val="954F72" w:themeColor="followedHyperlink"/>
      <w:u w:val="single"/>
    </w:rPr>
  </w:style>
  <w:style w:type="character" w:customStyle="1" w:styleId="Ttulo4Car1">
    <w:name w:val="Título 4 Car1"/>
    <w:basedOn w:val="DefaultParagraphFont"/>
    <w:uiPriority w:val="9"/>
    <w:semiHidden/>
    <w:rsid w:val="00601A01"/>
    <w:rPr>
      <w:rFonts w:asciiTheme="majorHAnsi" w:eastAsiaTheme="majorEastAsia" w:hAnsiTheme="majorHAnsi" w:cstheme="majorBidi"/>
      <w:i/>
      <w:iCs/>
      <w:color w:val="2F5496" w:themeColor="accent1" w:themeShade="BF"/>
      <w:lang w:val="es-ES"/>
    </w:rPr>
  </w:style>
  <w:style w:type="paragraph" w:customStyle="1" w:styleId="EndNoteBibliography">
    <w:name w:val="EndNote Bibliography"/>
    <w:basedOn w:val="Normal"/>
    <w:link w:val="EndNoteBibliographyZchn"/>
    <w:rsid w:val="000C2439"/>
    <w:pPr>
      <w:spacing w:after="160"/>
    </w:pPr>
    <w:rPr>
      <w:rFonts w:ascii="Calibri" w:hAnsi="Calibri" w:cs="Calibri"/>
      <w:noProof/>
      <w:sz w:val="22"/>
      <w:szCs w:val="22"/>
      <w:lang w:val="en-US"/>
    </w:rPr>
  </w:style>
  <w:style w:type="character" w:customStyle="1" w:styleId="EndNoteBibliographyZchn">
    <w:name w:val="EndNote Bibliography Zchn"/>
    <w:basedOn w:val="DefaultParagraphFont"/>
    <w:link w:val="EndNoteBibliography"/>
    <w:rsid w:val="000C2439"/>
    <w:rPr>
      <w:rFonts w:ascii="Calibri" w:hAnsi="Calibri" w:cs="Calibri"/>
      <w:noProof/>
      <w:sz w:val="22"/>
      <w:szCs w:val="22"/>
      <w:lang w:val="en-US"/>
    </w:rPr>
  </w:style>
  <w:style w:type="paragraph" w:styleId="BodyText">
    <w:name w:val="Body Text"/>
    <w:basedOn w:val="Normal"/>
    <w:link w:val="BodyTextChar"/>
    <w:uiPriority w:val="1"/>
    <w:qFormat/>
    <w:rsid w:val="00075001"/>
    <w:pPr>
      <w:widowControl w:val="0"/>
      <w:autoSpaceDE w:val="0"/>
      <w:autoSpaceDN w:val="0"/>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075001"/>
    <w:rPr>
      <w:rFonts w:ascii="Calibri" w:eastAsia="Calibri" w:hAnsi="Calibri" w:cs="Calibri"/>
      <w:sz w:val="22"/>
      <w:szCs w:val="22"/>
      <w:lang w:val="en-US"/>
    </w:rPr>
  </w:style>
  <w:style w:type="paragraph" w:customStyle="1" w:styleId="TableParagraph">
    <w:name w:val="Table Paragraph"/>
    <w:basedOn w:val="Normal"/>
    <w:uiPriority w:val="1"/>
    <w:qFormat/>
    <w:rsid w:val="00075001"/>
    <w:pPr>
      <w:widowControl w:val="0"/>
      <w:autoSpaceDE w:val="0"/>
      <w:autoSpaceDN w:val="0"/>
      <w:ind w:left="103"/>
    </w:pPr>
    <w:rPr>
      <w:rFonts w:ascii="Calibri" w:eastAsia="Calibri" w:hAnsi="Calibri" w:cs="Calibri"/>
      <w:sz w:val="22"/>
      <w:szCs w:val="22"/>
      <w:lang w:val="en-US" w:eastAsia="en-US"/>
    </w:rPr>
  </w:style>
  <w:style w:type="character" w:customStyle="1" w:styleId="Heading1Char">
    <w:name w:val="Heading 1 Char"/>
    <w:basedOn w:val="DefaultParagraphFont"/>
    <w:link w:val="Heading1"/>
    <w:uiPriority w:val="9"/>
    <w:rsid w:val="00075001"/>
    <w:rPr>
      <w:rFonts w:ascii="Arial" w:eastAsia="Arial" w:hAnsi="Arial" w:cs="Arial"/>
      <w:b/>
      <w:bCs/>
      <w:i/>
      <w:sz w:val="47"/>
      <w:szCs w:val="47"/>
      <w:lang w:val="en-US"/>
    </w:rPr>
  </w:style>
  <w:style w:type="character" w:customStyle="1" w:styleId="Heading3Char">
    <w:name w:val="Heading 3 Char"/>
    <w:basedOn w:val="DefaultParagraphFont"/>
    <w:link w:val="Heading3"/>
    <w:uiPriority w:val="9"/>
    <w:rsid w:val="00075001"/>
    <w:rPr>
      <w:rFonts w:ascii="Arial" w:eastAsia="Arial" w:hAnsi="Arial" w:cs="Arial"/>
      <w:b/>
      <w:bCs/>
      <w:sz w:val="31"/>
      <w:szCs w:val="31"/>
      <w:lang w:val="en-US"/>
    </w:rPr>
  </w:style>
  <w:style w:type="character" w:customStyle="1" w:styleId="Heading5Char">
    <w:name w:val="Heading 5 Char"/>
    <w:basedOn w:val="DefaultParagraphFont"/>
    <w:link w:val="Heading5"/>
    <w:uiPriority w:val="9"/>
    <w:rsid w:val="00075001"/>
    <w:rPr>
      <w:rFonts w:ascii="Arial" w:eastAsia="Arial" w:hAnsi="Arial" w:cs="Arial"/>
      <w:sz w:val="29"/>
      <w:szCs w:val="29"/>
      <w:lang w:val="en-US"/>
    </w:rPr>
  </w:style>
  <w:style w:type="character" w:customStyle="1" w:styleId="Heading6Char">
    <w:name w:val="Heading 6 Char"/>
    <w:basedOn w:val="DefaultParagraphFont"/>
    <w:link w:val="Heading6"/>
    <w:uiPriority w:val="9"/>
    <w:rsid w:val="00075001"/>
    <w:rPr>
      <w:rFonts w:ascii="Calibri" w:eastAsia="Calibri" w:hAnsi="Calibri" w:cs="Calibri"/>
      <w:b/>
      <w:bCs/>
      <w:sz w:val="28"/>
      <w:szCs w:val="28"/>
      <w:lang w:val="en-US"/>
    </w:rPr>
  </w:style>
  <w:style w:type="character" w:customStyle="1" w:styleId="Heading7Char">
    <w:name w:val="Heading 7 Char"/>
    <w:basedOn w:val="DefaultParagraphFont"/>
    <w:link w:val="Heading7"/>
    <w:uiPriority w:val="1"/>
    <w:rsid w:val="00075001"/>
    <w:rPr>
      <w:rFonts w:ascii="Arial" w:eastAsia="Arial" w:hAnsi="Arial" w:cs="Arial"/>
      <w:b/>
      <w:bCs/>
      <w:sz w:val="27"/>
      <w:szCs w:val="27"/>
      <w:lang w:val="en-US"/>
    </w:rPr>
  </w:style>
  <w:style w:type="character" w:customStyle="1" w:styleId="Heading8Char">
    <w:name w:val="Heading 8 Char"/>
    <w:basedOn w:val="DefaultParagraphFont"/>
    <w:link w:val="Heading8"/>
    <w:uiPriority w:val="1"/>
    <w:rsid w:val="00075001"/>
    <w:rPr>
      <w:rFonts w:ascii="Arial" w:eastAsia="Arial" w:hAnsi="Arial" w:cs="Arial"/>
      <w:sz w:val="25"/>
      <w:szCs w:val="25"/>
      <w:lang w:val="en-US"/>
    </w:rPr>
  </w:style>
  <w:style w:type="character" w:customStyle="1" w:styleId="Heading9Char">
    <w:name w:val="Heading 9 Char"/>
    <w:basedOn w:val="DefaultParagraphFont"/>
    <w:link w:val="Heading9"/>
    <w:uiPriority w:val="1"/>
    <w:rsid w:val="00075001"/>
    <w:rPr>
      <w:rFonts w:ascii="Calibri" w:eastAsia="Calibri" w:hAnsi="Calibri" w:cs="Calibri"/>
      <w:b/>
      <w:bCs/>
      <w:lang w:val="en-US"/>
    </w:rPr>
  </w:style>
  <w:style w:type="character" w:styleId="UnresolvedMention">
    <w:name w:val="Unresolved Mention"/>
    <w:basedOn w:val="DefaultParagraphFont"/>
    <w:uiPriority w:val="99"/>
    <w:semiHidden/>
    <w:unhideWhenUsed/>
    <w:rsid w:val="00945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5360">
      <w:bodyDiv w:val="1"/>
      <w:marLeft w:val="0"/>
      <w:marRight w:val="0"/>
      <w:marTop w:val="0"/>
      <w:marBottom w:val="0"/>
      <w:divBdr>
        <w:top w:val="none" w:sz="0" w:space="0" w:color="auto"/>
        <w:left w:val="none" w:sz="0" w:space="0" w:color="auto"/>
        <w:bottom w:val="none" w:sz="0" w:space="0" w:color="auto"/>
        <w:right w:val="none" w:sz="0" w:space="0" w:color="auto"/>
      </w:divBdr>
    </w:div>
    <w:div w:id="228728691">
      <w:bodyDiv w:val="1"/>
      <w:marLeft w:val="0"/>
      <w:marRight w:val="0"/>
      <w:marTop w:val="0"/>
      <w:marBottom w:val="0"/>
      <w:divBdr>
        <w:top w:val="none" w:sz="0" w:space="0" w:color="auto"/>
        <w:left w:val="none" w:sz="0" w:space="0" w:color="auto"/>
        <w:bottom w:val="none" w:sz="0" w:space="0" w:color="auto"/>
        <w:right w:val="none" w:sz="0" w:space="0" w:color="auto"/>
      </w:divBdr>
    </w:div>
    <w:div w:id="424814184">
      <w:bodyDiv w:val="1"/>
      <w:marLeft w:val="0"/>
      <w:marRight w:val="0"/>
      <w:marTop w:val="0"/>
      <w:marBottom w:val="0"/>
      <w:divBdr>
        <w:top w:val="none" w:sz="0" w:space="0" w:color="auto"/>
        <w:left w:val="none" w:sz="0" w:space="0" w:color="auto"/>
        <w:bottom w:val="none" w:sz="0" w:space="0" w:color="auto"/>
        <w:right w:val="none" w:sz="0" w:space="0" w:color="auto"/>
      </w:divBdr>
    </w:div>
    <w:div w:id="583343544">
      <w:bodyDiv w:val="1"/>
      <w:marLeft w:val="0"/>
      <w:marRight w:val="0"/>
      <w:marTop w:val="0"/>
      <w:marBottom w:val="0"/>
      <w:divBdr>
        <w:top w:val="none" w:sz="0" w:space="0" w:color="auto"/>
        <w:left w:val="none" w:sz="0" w:space="0" w:color="auto"/>
        <w:bottom w:val="none" w:sz="0" w:space="0" w:color="auto"/>
        <w:right w:val="none" w:sz="0" w:space="0" w:color="auto"/>
      </w:divBdr>
    </w:div>
    <w:div w:id="881357862">
      <w:bodyDiv w:val="1"/>
      <w:marLeft w:val="0"/>
      <w:marRight w:val="0"/>
      <w:marTop w:val="0"/>
      <w:marBottom w:val="0"/>
      <w:divBdr>
        <w:top w:val="none" w:sz="0" w:space="0" w:color="auto"/>
        <w:left w:val="none" w:sz="0" w:space="0" w:color="auto"/>
        <w:bottom w:val="none" w:sz="0" w:space="0" w:color="auto"/>
        <w:right w:val="none" w:sz="0" w:space="0" w:color="auto"/>
      </w:divBdr>
    </w:div>
    <w:div w:id="1279145544">
      <w:bodyDiv w:val="1"/>
      <w:marLeft w:val="0"/>
      <w:marRight w:val="0"/>
      <w:marTop w:val="0"/>
      <w:marBottom w:val="0"/>
      <w:divBdr>
        <w:top w:val="none" w:sz="0" w:space="0" w:color="auto"/>
        <w:left w:val="none" w:sz="0" w:space="0" w:color="auto"/>
        <w:bottom w:val="none" w:sz="0" w:space="0" w:color="auto"/>
        <w:right w:val="none" w:sz="0" w:space="0" w:color="auto"/>
      </w:divBdr>
    </w:div>
    <w:div w:id="1337801827">
      <w:bodyDiv w:val="1"/>
      <w:marLeft w:val="0"/>
      <w:marRight w:val="0"/>
      <w:marTop w:val="0"/>
      <w:marBottom w:val="0"/>
      <w:divBdr>
        <w:top w:val="none" w:sz="0" w:space="0" w:color="auto"/>
        <w:left w:val="none" w:sz="0" w:space="0" w:color="auto"/>
        <w:bottom w:val="none" w:sz="0" w:space="0" w:color="auto"/>
        <w:right w:val="none" w:sz="0" w:space="0" w:color="auto"/>
      </w:divBdr>
    </w:div>
    <w:div w:id="1387217763">
      <w:bodyDiv w:val="1"/>
      <w:marLeft w:val="0"/>
      <w:marRight w:val="0"/>
      <w:marTop w:val="0"/>
      <w:marBottom w:val="0"/>
      <w:divBdr>
        <w:top w:val="none" w:sz="0" w:space="0" w:color="auto"/>
        <w:left w:val="none" w:sz="0" w:space="0" w:color="auto"/>
        <w:bottom w:val="none" w:sz="0" w:space="0" w:color="auto"/>
        <w:right w:val="none" w:sz="0" w:space="0" w:color="auto"/>
      </w:divBdr>
    </w:div>
    <w:div w:id="1579636096">
      <w:bodyDiv w:val="1"/>
      <w:marLeft w:val="0"/>
      <w:marRight w:val="0"/>
      <w:marTop w:val="0"/>
      <w:marBottom w:val="0"/>
      <w:divBdr>
        <w:top w:val="none" w:sz="0" w:space="0" w:color="auto"/>
        <w:left w:val="none" w:sz="0" w:space="0" w:color="auto"/>
        <w:bottom w:val="none" w:sz="0" w:space="0" w:color="auto"/>
        <w:right w:val="none" w:sz="0" w:space="0" w:color="auto"/>
      </w:divBdr>
    </w:div>
    <w:div w:id="16055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footer" Target="footer15.xm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yperlink" Target="http://www.icmje.org/coi_disclosure.pdf"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4.xml"/><Relationship Id="rId46" Type="http://schemas.openxmlformats.org/officeDocument/2006/relationships/image" Target="media/image5.png"/><Relationship Id="rId20" Type="http://schemas.openxmlformats.org/officeDocument/2006/relationships/footer" Target="footer5.xml"/><Relationship Id="rId41" Type="http://schemas.openxmlformats.org/officeDocument/2006/relationships/header" Target="header15.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B8902-664A-47B1-929E-5082C063C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56</Pages>
  <Words>48447</Words>
  <Characters>276151</Characters>
  <Application>Microsoft Office Word</Application>
  <DocSecurity>0</DocSecurity>
  <Lines>2301</Lines>
  <Paragraphs>647</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Manager/>
  <Company/>
  <LinksUpToDate>false</LinksUpToDate>
  <CharactersWithSpaces>323951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Kym Snell</cp:lastModifiedBy>
  <cp:revision>3</cp:revision>
  <dcterms:created xsi:type="dcterms:W3CDTF">2020-10-30T10:14:00Z</dcterms:created>
  <dcterms:modified xsi:type="dcterms:W3CDTF">2020-10-30T10:37:00Z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1f1082a8-2522-3f79-8534-5ff9efb3f23c</vt:lpwstr>
  </property>
  <property fmtid="{D5CDD505-2E9C-101B-9397-08002B2CF9AE}" pid="24" name="Mendeley Citation Style_1">
    <vt:lpwstr>http://www.zotero.org/styles/vancouver</vt:lpwstr>
  </property>
</Properties>
</file>