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FB1AFF" w14:textId="2B4E5D14" w:rsidR="005D6CBD" w:rsidRDefault="00B50B90" w:rsidP="006F3145">
      <w:pPr>
        <w:pStyle w:val="Title"/>
        <w:rPr>
          <w:rFonts w:ascii="Times New Roman" w:hAnsi="Times New Roman" w:cs="Times New Roman"/>
          <w:b/>
          <w:sz w:val="28"/>
          <w:szCs w:val="28"/>
        </w:rPr>
      </w:pPr>
      <w:r w:rsidRPr="00E31225">
        <w:rPr>
          <w:rFonts w:ascii="Times New Roman" w:hAnsi="Times New Roman" w:cs="Times New Roman"/>
          <w:b/>
          <w:sz w:val="28"/>
          <w:szCs w:val="28"/>
        </w:rPr>
        <w:t>Methyl gallate</w:t>
      </w:r>
      <w:r w:rsidR="00C8185B" w:rsidRPr="00E31225">
        <w:rPr>
          <w:rFonts w:ascii="Times New Roman" w:hAnsi="Times New Roman" w:cs="Times New Roman"/>
          <w:b/>
          <w:sz w:val="28"/>
          <w:szCs w:val="28"/>
        </w:rPr>
        <w:t xml:space="preserve"> – </w:t>
      </w:r>
      <w:r w:rsidRPr="00E31225">
        <w:rPr>
          <w:rFonts w:ascii="Times New Roman" w:hAnsi="Times New Roman" w:cs="Times New Roman"/>
          <w:b/>
          <w:sz w:val="28"/>
          <w:szCs w:val="28"/>
        </w:rPr>
        <w:t>rich</w:t>
      </w:r>
      <w:r w:rsidR="00C8185B" w:rsidRPr="00E31225">
        <w:rPr>
          <w:rFonts w:ascii="Times New Roman" w:hAnsi="Times New Roman" w:cs="Times New Roman"/>
          <w:b/>
          <w:sz w:val="28"/>
          <w:szCs w:val="28"/>
        </w:rPr>
        <w:t xml:space="preserve"> </w:t>
      </w:r>
      <w:r w:rsidRPr="00E31225">
        <w:rPr>
          <w:rFonts w:ascii="Times New Roman" w:hAnsi="Times New Roman" w:cs="Times New Roman"/>
          <w:b/>
          <w:sz w:val="28"/>
          <w:szCs w:val="28"/>
        </w:rPr>
        <w:t xml:space="preserve">fraction of </w:t>
      </w:r>
      <w:proofErr w:type="spellStart"/>
      <w:r w:rsidRPr="00E31225">
        <w:rPr>
          <w:rFonts w:ascii="Times New Roman" w:hAnsi="Times New Roman" w:cs="Times New Roman"/>
          <w:b/>
          <w:i/>
          <w:sz w:val="28"/>
          <w:szCs w:val="28"/>
        </w:rPr>
        <w:t>Syzygium</w:t>
      </w:r>
      <w:proofErr w:type="spellEnd"/>
      <w:r w:rsidRPr="00E31225">
        <w:rPr>
          <w:rFonts w:ascii="Times New Roman" w:hAnsi="Times New Roman" w:cs="Times New Roman"/>
          <w:b/>
          <w:i/>
          <w:sz w:val="28"/>
          <w:szCs w:val="28"/>
        </w:rPr>
        <w:t xml:space="preserve"> </w:t>
      </w:r>
      <w:proofErr w:type="spellStart"/>
      <w:r w:rsidRPr="00E31225">
        <w:rPr>
          <w:rFonts w:ascii="Times New Roman" w:hAnsi="Times New Roman" w:cs="Times New Roman"/>
          <w:b/>
          <w:i/>
          <w:sz w:val="28"/>
          <w:szCs w:val="28"/>
        </w:rPr>
        <w:t>coriaceum</w:t>
      </w:r>
      <w:proofErr w:type="spellEnd"/>
      <w:r w:rsidR="005A0183">
        <w:rPr>
          <w:rFonts w:ascii="Times New Roman" w:hAnsi="Times New Roman" w:cs="Times New Roman"/>
          <w:b/>
          <w:i/>
          <w:sz w:val="28"/>
          <w:szCs w:val="28"/>
        </w:rPr>
        <w:t xml:space="preserve"> </w:t>
      </w:r>
      <w:proofErr w:type="spellStart"/>
      <w:r w:rsidR="00852B71">
        <w:rPr>
          <w:rFonts w:ascii="Times New Roman" w:hAnsi="Times New Roman" w:cs="Times New Roman"/>
          <w:b/>
          <w:sz w:val="28"/>
          <w:szCs w:val="28"/>
        </w:rPr>
        <w:t>Bosser</w:t>
      </w:r>
      <w:proofErr w:type="spellEnd"/>
      <w:r w:rsidR="00852B71">
        <w:rPr>
          <w:rFonts w:ascii="Times New Roman" w:hAnsi="Times New Roman" w:cs="Times New Roman"/>
          <w:b/>
          <w:sz w:val="28"/>
          <w:szCs w:val="28"/>
        </w:rPr>
        <w:t xml:space="preserve"> &amp; </w:t>
      </w:r>
      <w:proofErr w:type="spellStart"/>
      <w:r w:rsidR="005A0183" w:rsidRPr="005A0183">
        <w:rPr>
          <w:rFonts w:ascii="Times New Roman" w:hAnsi="Times New Roman" w:cs="Times New Roman"/>
          <w:b/>
          <w:sz w:val="28"/>
          <w:szCs w:val="28"/>
        </w:rPr>
        <w:t>Guého</w:t>
      </w:r>
      <w:proofErr w:type="spellEnd"/>
      <w:r w:rsidRPr="00E31225">
        <w:rPr>
          <w:rFonts w:ascii="Times New Roman" w:hAnsi="Times New Roman" w:cs="Times New Roman"/>
          <w:b/>
          <w:sz w:val="28"/>
          <w:szCs w:val="28"/>
        </w:rPr>
        <w:t xml:space="preserve"> leaf extract</w:t>
      </w:r>
      <w:r w:rsidR="001E28E2" w:rsidRPr="00E31225">
        <w:rPr>
          <w:rFonts w:ascii="Times New Roman" w:hAnsi="Times New Roman" w:cs="Times New Roman"/>
          <w:b/>
          <w:sz w:val="28"/>
          <w:szCs w:val="28"/>
        </w:rPr>
        <w:t xml:space="preserve"> induced</w:t>
      </w:r>
      <w:r w:rsidRPr="00E31225">
        <w:rPr>
          <w:rFonts w:ascii="Times New Roman" w:hAnsi="Times New Roman" w:cs="Times New Roman"/>
          <w:b/>
          <w:sz w:val="28"/>
          <w:szCs w:val="28"/>
        </w:rPr>
        <w:t xml:space="preserve"> cancer cell </w:t>
      </w:r>
      <w:r w:rsidR="001E28E2" w:rsidRPr="00E31225">
        <w:rPr>
          <w:rFonts w:ascii="Times New Roman" w:hAnsi="Times New Roman" w:cs="Times New Roman"/>
          <w:b/>
          <w:sz w:val="28"/>
          <w:szCs w:val="28"/>
        </w:rPr>
        <w:t xml:space="preserve">cytotoxicity </w:t>
      </w:r>
      <w:r w:rsidRPr="00E31225">
        <w:rPr>
          <w:rFonts w:ascii="Times New Roman" w:hAnsi="Times New Roman" w:cs="Times New Roman"/>
          <w:b/>
          <w:sz w:val="28"/>
          <w:szCs w:val="28"/>
        </w:rPr>
        <w:t xml:space="preserve">via </w:t>
      </w:r>
      <w:r w:rsidR="001E7C17" w:rsidRPr="00E31225">
        <w:rPr>
          <w:rFonts w:ascii="Times New Roman" w:hAnsi="Times New Roman" w:cs="Times New Roman"/>
          <w:b/>
          <w:sz w:val="28"/>
          <w:szCs w:val="28"/>
        </w:rPr>
        <w:t>oxidative stress</w:t>
      </w:r>
    </w:p>
    <w:p w14:paraId="28973589" w14:textId="77777777" w:rsidR="003C4A9E" w:rsidRPr="003C4A9E" w:rsidRDefault="003C4A9E" w:rsidP="003C4A9E"/>
    <w:p w14:paraId="49478C11" w14:textId="3E9C90C1" w:rsidR="00BE3CE9" w:rsidRDefault="006A3A4F" w:rsidP="00C15F5B">
      <w:pPr>
        <w:spacing w:line="276" w:lineRule="auto"/>
        <w:jc w:val="both"/>
        <w:rPr>
          <w:rFonts w:ascii="Times New Roman" w:hAnsi="Times New Roman"/>
          <w:sz w:val="24"/>
          <w:szCs w:val="24"/>
        </w:rPr>
      </w:pPr>
      <w:proofErr w:type="spellStart"/>
      <w:r w:rsidRPr="006A3A4F">
        <w:rPr>
          <w:rFonts w:ascii="Times New Roman" w:hAnsi="Times New Roman"/>
          <w:sz w:val="24"/>
          <w:szCs w:val="24"/>
        </w:rPr>
        <w:t>Nawraj</w:t>
      </w:r>
      <w:proofErr w:type="spellEnd"/>
      <w:r w:rsidRPr="006A3A4F">
        <w:rPr>
          <w:rFonts w:ascii="Times New Roman" w:hAnsi="Times New Roman"/>
          <w:sz w:val="24"/>
          <w:szCs w:val="24"/>
        </w:rPr>
        <w:t xml:space="preserve"> Rummun</w:t>
      </w:r>
      <w:r w:rsidRPr="006A3A4F">
        <w:rPr>
          <w:rFonts w:ascii="Times New Roman" w:hAnsi="Times New Roman"/>
          <w:sz w:val="24"/>
          <w:szCs w:val="24"/>
          <w:vertAlign w:val="superscript"/>
        </w:rPr>
        <w:t>1,2,3</w:t>
      </w:r>
      <w:r w:rsidRPr="006A3A4F">
        <w:rPr>
          <w:rFonts w:ascii="Times New Roman" w:hAnsi="Times New Roman"/>
          <w:sz w:val="24"/>
          <w:szCs w:val="24"/>
        </w:rPr>
        <w:t>,</w:t>
      </w:r>
      <w:r w:rsidR="00F100BF" w:rsidRPr="00F100BF">
        <w:t xml:space="preserve"> </w:t>
      </w:r>
      <w:r w:rsidR="00F100BF" w:rsidRPr="00F100BF">
        <w:rPr>
          <w:rFonts w:ascii="Times New Roman" w:hAnsi="Times New Roman"/>
          <w:sz w:val="24"/>
          <w:szCs w:val="24"/>
        </w:rPr>
        <w:t>Elisabete Pires</w:t>
      </w:r>
      <w:r w:rsidR="00F100BF" w:rsidRPr="00E55994">
        <w:rPr>
          <w:rFonts w:ascii="Times New Roman" w:eastAsia="Times New Roman" w:hAnsi="Times New Roman"/>
          <w:color w:val="000000"/>
          <w:sz w:val="24"/>
          <w:szCs w:val="24"/>
          <w:vertAlign w:val="superscript"/>
          <w:lang w:eastAsia="de-DE" w:bidi="en-US"/>
        </w:rPr>
        <w:t>4</w:t>
      </w:r>
      <w:r w:rsidR="008660E1" w:rsidRPr="008660E1">
        <w:rPr>
          <w:rFonts w:ascii="Times New Roman" w:eastAsia="Times New Roman" w:hAnsi="Times New Roman"/>
          <w:color w:val="000000"/>
          <w:sz w:val="24"/>
          <w:szCs w:val="24"/>
          <w:lang w:eastAsia="de-DE" w:bidi="en-US"/>
        </w:rPr>
        <w:t>,</w:t>
      </w:r>
      <w:r w:rsidRPr="006A3A4F">
        <w:rPr>
          <w:rFonts w:ascii="Times New Roman" w:hAnsi="Times New Roman"/>
          <w:sz w:val="24"/>
          <w:szCs w:val="24"/>
        </w:rPr>
        <w:t xml:space="preserve"> </w:t>
      </w:r>
      <w:r w:rsidR="007128EB" w:rsidRPr="007128EB">
        <w:rPr>
          <w:rFonts w:ascii="Times New Roman" w:hAnsi="Times New Roman"/>
          <w:sz w:val="24"/>
          <w:szCs w:val="24"/>
        </w:rPr>
        <w:t>James McCullagh</w:t>
      </w:r>
      <w:r w:rsidR="00E66585" w:rsidRPr="00E55994">
        <w:rPr>
          <w:rFonts w:ascii="Times New Roman" w:eastAsia="Times New Roman" w:hAnsi="Times New Roman"/>
          <w:color w:val="000000"/>
          <w:sz w:val="24"/>
          <w:szCs w:val="24"/>
          <w:vertAlign w:val="superscript"/>
          <w:lang w:eastAsia="de-DE" w:bidi="en-US"/>
        </w:rPr>
        <w:t>4</w:t>
      </w:r>
      <w:r w:rsidR="008660E1">
        <w:rPr>
          <w:rFonts w:ascii="Times New Roman" w:eastAsia="Times New Roman" w:hAnsi="Times New Roman"/>
          <w:color w:val="000000"/>
          <w:sz w:val="24"/>
          <w:szCs w:val="24"/>
          <w:lang w:eastAsia="de-DE" w:bidi="en-US"/>
        </w:rPr>
        <w:t>,</w:t>
      </w:r>
      <w:r w:rsidR="007128EB" w:rsidRPr="007128EB">
        <w:rPr>
          <w:rFonts w:ascii="Times New Roman" w:hAnsi="Times New Roman"/>
          <w:sz w:val="24"/>
          <w:szCs w:val="24"/>
        </w:rPr>
        <w:t xml:space="preserve"> Timothy W.D. Claridge</w:t>
      </w:r>
      <w:r w:rsidR="008660E1" w:rsidRPr="008660E1">
        <w:rPr>
          <w:rFonts w:ascii="Times New Roman" w:hAnsi="Times New Roman"/>
          <w:sz w:val="24"/>
          <w:szCs w:val="24"/>
          <w:vertAlign w:val="superscript"/>
        </w:rPr>
        <w:t>4</w:t>
      </w:r>
      <w:r w:rsidR="007128EB" w:rsidRPr="007128EB">
        <w:rPr>
          <w:rFonts w:ascii="Times New Roman" w:hAnsi="Times New Roman"/>
          <w:sz w:val="24"/>
          <w:szCs w:val="24"/>
        </w:rPr>
        <w:t xml:space="preserve">, </w:t>
      </w:r>
      <w:proofErr w:type="spellStart"/>
      <w:r w:rsidR="000F4D78" w:rsidRPr="006A3A4F">
        <w:rPr>
          <w:rFonts w:ascii="Times New Roman" w:hAnsi="Times New Roman"/>
          <w:sz w:val="24"/>
          <w:szCs w:val="24"/>
        </w:rPr>
        <w:t>Theeshan</w:t>
      </w:r>
      <w:proofErr w:type="spellEnd"/>
      <w:r w:rsidR="000F4D78" w:rsidRPr="006A3A4F">
        <w:rPr>
          <w:rFonts w:ascii="Times New Roman" w:hAnsi="Times New Roman"/>
          <w:sz w:val="24"/>
          <w:szCs w:val="24"/>
        </w:rPr>
        <w:t xml:space="preserve"> Bahorun</w:t>
      </w:r>
      <w:r w:rsidR="000F4D78" w:rsidRPr="006A3A4F">
        <w:rPr>
          <w:rFonts w:ascii="Times New Roman" w:hAnsi="Times New Roman"/>
          <w:sz w:val="24"/>
          <w:szCs w:val="24"/>
          <w:vertAlign w:val="superscript"/>
        </w:rPr>
        <w:t>2</w:t>
      </w:r>
      <w:r w:rsidR="000F4D78" w:rsidRPr="006A3A4F">
        <w:rPr>
          <w:rFonts w:ascii="Times New Roman" w:hAnsi="Times New Roman"/>
          <w:sz w:val="24"/>
          <w:szCs w:val="24"/>
        </w:rPr>
        <w:t>,</w:t>
      </w:r>
      <w:r w:rsidRPr="006A3A4F">
        <w:rPr>
          <w:rFonts w:ascii="Times New Roman" w:hAnsi="Times New Roman"/>
          <w:sz w:val="24"/>
          <w:szCs w:val="24"/>
        </w:rPr>
        <w:t xml:space="preserve"> </w:t>
      </w:r>
      <w:r w:rsidR="007128EB" w:rsidRPr="006A3A4F">
        <w:rPr>
          <w:rFonts w:ascii="Times New Roman" w:hAnsi="Times New Roman"/>
          <w:sz w:val="24"/>
          <w:szCs w:val="24"/>
        </w:rPr>
        <w:t>Wen-Wu Li</w:t>
      </w:r>
      <w:r w:rsidR="007128EB" w:rsidRPr="006A3A4F">
        <w:rPr>
          <w:rFonts w:ascii="Times New Roman" w:hAnsi="Times New Roman"/>
          <w:sz w:val="24"/>
          <w:szCs w:val="24"/>
          <w:vertAlign w:val="superscript"/>
        </w:rPr>
        <w:t>3</w:t>
      </w:r>
      <w:r w:rsidR="00F42687">
        <w:rPr>
          <w:rFonts w:ascii="Times New Roman" w:hAnsi="Times New Roman"/>
          <w:sz w:val="24"/>
          <w:szCs w:val="24"/>
          <w:vertAlign w:val="superscript"/>
        </w:rPr>
        <w:t>,</w:t>
      </w:r>
      <w:r w:rsidR="00F42687" w:rsidRPr="00F42687">
        <w:rPr>
          <w:rFonts w:ascii="Times New Roman" w:hAnsi="Times New Roman"/>
          <w:sz w:val="24"/>
          <w:szCs w:val="24"/>
          <w:vertAlign w:val="superscript"/>
        </w:rPr>
        <w:t xml:space="preserve"> </w:t>
      </w:r>
      <w:r w:rsidR="00F42687">
        <w:rPr>
          <w:rFonts w:ascii="Times New Roman" w:hAnsi="Times New Roman"/>
          <w:sz w:val="24"/>
          <w:szCs w:val="24"/>
          <w:vertAlign w:val="superscript"/>
        </w:rPr>
        <w:t>*</w:t>
      </w:r>
      <w:r w:rsidR="007128EB" w:rsidRPr="006A3A4F">
        <w:rPr>
          <w:rFonts w:ascii="Times New Roman" w:hAnsi="Times New Roman"/>
          <w:sz w:val="24"/>
          <w:szCs w:val="24"/>
        </w:rPr>
        <w:t>,</w:t>
      </w:r>
      <w:r w:rsidR="007128EB" w:rsidRPr="000F4D78">
        <w:rPr>
          <w:rFonts w:ascii="Times New Roman" w:hAnsi="Times New Roman"/>
          <w:sz w:val="24"/>
          <w:szCs w:val="24"/>
        </w:rPr>
        <w:t xml:space="preserve"> </w:t>
      </w:r>
      <w:r w:rsidR="00C22AEB">
        <w:rPr>
          <w:rFonts w:ascii="Times New Roman" w:hAnsi="Times New Roman"/>
          <w:sz w:val="24"/>
          <w:szCs w:val="24"/>
        </w:rPr>
        <w:t>Vidushi S. Neergheen</w:t>
      </w:r>
      <w:r w:rsidRPr="006A3A4F">
        <w:rPr>
          <w:rFonts w:ascii="Times New Roman" w:hAnsi="Times New Roman"/>
          <w:sz w:val="24"/>
          <w:szCs w:val="24"/>
          <w:vertAlign w:val="superscript"/>
        </w:rPr>
        <w:t>1,2</w:t>
      </w:r>
      <w:r w:rsidR="009C5AB5">
        <w:rPr>
          <w:rFonts w:ascii="Times New Roman" w:hAnsi="Times New Roman"/>
          <w:sz w:val="24"/>
          <w:szCs w:val="24"/>
          <w:vertAlign w:val="superscript"/>
        </w:rPr>
        <w:t>*</w:t>
      </w:r>
    </w:p>
    <w:p w14:paraId="58D54383" w14:textId="6C0564F9" w:rsidR="00FE7B05" w:rsidRPr="00FE7B05" w:rsidRDefault="00FE7B05" w:rsidP="00C15F5B">
      <w:pPr>
        <w:spacing w:line="276" w:lineRule="auto"/>
        <w:jc w:val="both"/>
        <w:rPr>
          <w:rFonts w:ascii="Times New Roman" w:hAnsi="Times New Roman"/>
          <w:sz w:val="24"/>
          <w:szCs w:val="24"/>
        </w:rPr>
      </w:pPr>
      <w:r w:rsidRPr="007E13F0">
        <w:rPr>
          <w:rFonts w:ascii="Times New Roman" w:hAnsi="Times New Roman"/>
          <w:sz w:val="24"/>
          <w:szCs w:val="24"/>
          <w:vertAlign w:val="superscript"/>
        </w:rPr>
        <w:t>1</w:t>
      </w:r>
      <w:r w:rsidRPr="00FE7B05">
        <w:rPr>
          <w:rFonts w:ascii="Times New Roman" w:hAnsi="Times New Roman"/>
          <w:sz w:val="24"/>
          <w:szCs w:val="24"/>
        </w:rPr>
        <w:t xml:space="preserve">Department of Health Sciences, Faculty of </w:t>
      </w:r>
      <w:r w:rsidR="00A558B7">
        <w:rPr>
          <w:rFonts w:ascii="Times New Roman" w:hAnsi="Times New Roman"/>
          <w:sz w:val="24"/>
          <w:szCs w:val="24"/>
        </w:rPr>
        <w:t xml:space="preserve">Medicine and Health </w:t>
      </w:r>
      <w:r w:rsidRPr="00FE7B05">
        <w:rPr>
          <w:rFonts w:ascii="Times New Roman" w:hAnsi="Times New Roman"/>
          <w:sz w:val="24"/>
          <w:szCs w:val="24"/>
        </w:rPr>
        <w:t>Science</w:t>
      </w:r>
      <w:r w:rsidR="00A558B7">
        <w:rPr>
          <w:rFonts w:ascii="Times New Roman" w:hAnsi="Times New Roman"/>
          <w:sz w:val="24"/>
          <w:szCs w:val="24"/>
        </w:rPr>
        <w:t>s</w:t>
      </w:r>
      <w:r w:rsidRPr="00FE7B05">
        <w:rPr>
          <w:rFonts w:ascii="Times New Roman" w:hAnsi="Times New Roman"/>
          <w:sz w:val="24"/>
          <w:szCs w:val="24"/>
        </w:rPr>
        <w:t xml:space="preserve">, University of Mauritius, </w:t>
      </w:r>
      <w:proofErr w:type="spellStart"/>
      <w:r w:rsidRPr="00FE7B05">
        <w:rPr>
          <w:rFonts w:ascii="Times New Roman" w:hAnsi="Times New Roman"/>
          <w:sz w:val="24"/>
          <w:szCs w:val="24"/>
        </w:rPr>
        <w:t>Réduit</w:t>
      </w:r>
      <w:proofErr w:type="spellEnd"/>
      <w:r w:rsidRPr="00FE7B05">
        <w:rPr>
          <w:rFonts w:ascii="Times New Roman" w:hAnsi="Times New Roman"/>
          <w:sz w:val="24"/>
          <w:szCs w:val="24"/>
        </w:rPr>
        <w:t>, 80837,</w:t>
      </w:r>
    </w:p>
    <w:p w14:paraId="088BE28B" w14:textId="77777777" w:rsidR="008C74EE" w:rsidRDefault="00FE7B05" w:rsidP="00C15F5B">
      <w:pPr>
        <w:spacing w:line="276" w:lineRule="auto"/>
        <w:jc w:val="both"/>
        <w:rPr>
          <w:rFonts w:ascii="Times New Roman" w:hAnsi="Times New Roman"/>
          <w:sz w:val="24"/>
          <w:szCs w:val="24"/>
        </w:rPr>
      </w:pPr>
      <w:r w:rsidRPr="00FE7B05">
        <w:rPr>
          <w:rFonts w:ascii="Times New Roman" w:hAnsi="Times New Roman"/>
          <w:sz w:val="24"/>
          <w:szCs w:val="24"/>
        </w:rPr>
        <w:t xml:space="preserve">Republic of Mauritius </w:t>
      </w:r>
    </w:p>
    <w:p w14:paraId="797E9BD3" w14:textId="0B17AE4C" w:rsidR="00B140BD" w:rsidRDefault="00FE7B05" w:rsidP="00C15F5B">
      <w:pPr>
        <w:spacing w:line="276" w:lineRule="auto"/>
        <w:jc w:val="both"/>
        <w:rPr>
          <w:rFonts w:ascii="Times New Roman" w:hAnsi="Times New Roman"/>
          <w:sz w:val="24"/>
          <w:szCs w:val="24"/>
        </w:rPr>
      </w:pPr>
      <w:r w:rsidRPr="007E13F0">
        <w:rPr>
          <w:rFonts w:ascii="Times New Roman" w:hAnsi="Times New Roman"/>
          <w:sz w:val="24"/>
          <w:szCs w:val="24"/>
          <w:vertAlign w:val="superscript"/>
        </w:rPr>
        <w:t>2</w:t>
      </w:r>
      <w:r w:rsidR="00A558B7">
        <w:rPr>
          <w:rFonts w:ascii="Times New Roman" w:hAnsi="Times New Roman"/>
          <w:sz w:val="24"/>
          <w:szCs w:val="24"/>
        </w:rPr>
        <w:t>Biopharmaceutical Unit,</w:t>
      </w:r>
      <w:r w:rsidRPr="00FE7B05">
        <w:rPr>
          <w:rFonts w:ascii="Times New Roman" w:hAnsi="Times New Roman"/>
          <w:sz w:val="24"/>
          <w:szCs w:val="24"/>
        </w:rPr>
        <w:t xml:space="preserve"> Centre for Biomedical and Biomaterials Research, MSIRI Building, University of</w:t>
      </w:r>
      <w:r w:rsidR="008C74EE">
        <w:rPr>
          <w:rFonts w:ascii="Times New Roman" w:hAnsi="Times New Roman"/>
          <w:sz w:val="24"/>
          <w:szCs w:val="24"/>
        </w:rPr>
        <w:t xml:space="preserve"> </w:t>
      </w:r>
      <w:r w:rsidRPr="00FE7B05">
        <w:rPr>
          <w:rFonts w:ascii="Times New Roman" w:hAnsi="Times New Roman"/>
          <w:sz w:val="24"/>
          <w:szCs w:val="24"/>
        </w:rPr>
        <w:t xml:space="preserve">Mauritius, </w:t>
      </w:r>
      <w:proofErr w:type="spellStart"/>
      <w:r w:rsidRPr="00FE7B05">
        <w:rPr>
          <w:rFonts w:ascii="Times New Roman" w:hAnsi="Times New Roman"/>
          <w:sz w:val="24"/>
          <w:szCs w:val="24"/>
        </w:rPr>
        <w:t>Réduit</w:t>
      </w:r>
      <w:proofErr w:type="spellEnd"/>
      <w:r w:rsidRPr="00FE7B05">
        <w:rPr>
          <w:rFonts w:ascii="Times New Roman" w:hAnsi="Times New Roman"/>
          <w:sz w:val="24"/>
          <w:szCs w:val="24"/>
        </w:rPr>
        <w:t xml:space="preserve">, 80837, Republic of Mauritius </w:t>
      </w:r>
    </w:p>
    <w:p w14:paraId="092CE9BD" w14:textId="77777777" w:rsidR="00FE7B05" w:rsidRDefault="00FE7B05" w:rsidP="00C15F5B">
      <w:pPr>
        <w:spacing w:line="276" w:lineRule="auto"/>
        <w:jc w:val="both"/>
        <w:rPr>
          <w:rFonts w:ascii="Times New Roman" w:hAnsi="Times New Roman"/>
          <w:sz w:val="24"/>
          <w:szCs w:val="24"/>
        </w:rPr>
      </w:pPr>
      <w:r w:rsidRPr="00B140BD">
        <w:rPr>
          <w:rFonts w:ascii="Times New Roman" w:hAnsi="Times New Roman"/>
          <w:sz w:val="24"/>
          <w:szCs w:val="24"/>
          <w:vertAlign w:val="superscript"/>
        </w:rPr>
        <w:t>3</w:t>
      </w:r>
      <w:r w:rsidRPr="00FE7B05">
        <w:rPr>
          <w:rFonts w:ascii="Times New Roman" w:hAnsi="Times New Roman"/>
          <w:sz w:val="24"/>
          <w:szCs w:val="24"/>
        </w:rPr>
        <w:t xml:space="preserve">Guy Hilton Research Centre, </w:t>
      </w:r>
      <w:r w:rsidR="007128EB">
        <w:rPr>
          <w:rFonts w:ascii="Times New Roman" w:hAnsi="Times New Roman"/>
          <w:sz w:val="24"/>
          <w:szCs w:val="24"/>
        </w:rPr>
        <w:t>School of Pharmacy and Bioengineering</w:t>
      </w:r>
      <w:r w:rsidRPr="00FE7B05">
        <w:rPr>
          <w:rFonts w:ascii="Times New Roman" w:hAnsi="Times New Roman"/>
          <w:sz w:val="24"/>
          <w:szCs w:val="24"/>
        </w:rPr>
        <w:t>, Faculty of Medicine</w:t>
      </w:r>
      <w:r w:rsidR="008C74EE">
        <w:rPr>
          <w:rFonts w:ascii="Times New Roman" w:hAnsi="Times New Roman"/>
          <w:sz w:val="24"/>
          <w:szCs w:val="24"/>
        </w:rPr>
        <w:t xml:space="preserve"> </w:t>
      </w:r>
      <w:r w:rsidRPr="00FE7B05">
        <w:rPr>
          <w:rFonts w:ascii="Times New Roman" w:hAnsi="Times New Roman"/>
          <w:sz w:val="24"/>
          <w:szCs w:val="24"/>
        </w:rPr>
        <w:t xml:space="preserve">and Health Sciences, </w:t>
      </w:r>
      <w:proofErr w:type="spellStart"/>
      <w:r w:rsidR="007128EB">
        <w:rPr>
          <w:rFonts w:ascii="Times New Roman" w:hAnsi="Times New Roman"/>
          <w:sz w:val="24"/>
          <w:szCs w:val="24"/>
        </w:rPr>
        <w:t>Thornburrow</w:t>
      </w:r>
      <w:proofErr w:type="spellEnd"/>
      <w:r w:rsidR="007128EB">
        <w:rPr>
          <w:rFonts w:ascii="Times New Roman" w:hAnsi="Times New Roman"/>
          <w:sz w:val="24"/>
          <w:szCs w:val="24"/>
        </w:rPr>
        <w:t xml:space="preserve"> Drive, Stoke on Trent, </w:t>
      </w:r>
      <w:r w:rsidR="007128EB" w:rsidRPr="00FE7B05">
        <w:rPr>
          <w:rFonts w:ascii="Times New Roman" w:hAnsi="Times New Roman"/>
          <w:sz w:val="24"/>
          <w:szCs w:val="24"/>
        </w:rPr>
        <w:t>ST</w:t>
      </w:r>
      <w:r w:rsidR="007128EB">
        <w:rPr>
          <w:rFonts w:ascii="Times New Roman" w:hAnsi="Times New Roman"/>
          <w:sz w:val="24"/>
          <w:szCs w:val="24"/>
        </w:rPr>
        <w:t>4</w:t>
      </w:r>
      <w:r w:rsidR="007128EB" w:rsidRPr="00FE7B05">
        <w:rPr>
          <w:rFonts w:ascii="Times New Roman" w:hAnsi="Times New Roman"/>
          <w:sz w:val="24"/>
          <w:szCs w:val="24"/>
        </w:rPr>
        <w:t xml:space="preserve"> </w:t>
      </w:r>
      <w:r w:rsidR="007128EB">
        <w:rPr>
          <w:rFonts w:ascii="Times New Roman" w:hAnsi="Times New Roman"/>
          <w:sz w:val="24"/>
          <w:szCs w:val="24"/>
        </w:rPr>
        <w:t>7QB</w:t>
      </w:r>
      <w:r w:rsidR="007128EB" w:rsidRPr="00FE7B05">
        <w:rPr>
          <w:rFonts w:ascii="Times New Roman" w:hAnsi="Times New Roman"/>
          <w:sz w:val="24"/>
          <w:szCs w:val="24"/>
        </w:rPr>
        <w:t xml:space="preserve">, </w:t>
      </w:r>
      <w:proofErr w:type="spellStart"/>
      <w:r w:rsidRPr="00FE7B05">
        <w:rPr>
          <w:rFonts w:ascii="Times New Roman" w:hAnsi="Times New Roman"/>
          <w:sz w:val="24"/>
          <w:szCs w:val="24"/>
        </w:rPr>
        <w:t>Keele</w:t>
      </w:r>
      <w:proofErr w:type="spellEnd"/>
      <w:r w:rsidRPr="00FE7B05">
        <w:rPr>
          <w:rFonts w:ascii="Times New Roman" w:hAnsi="Times New Roman"/>
          <w:sz w:val="24"/>
          <w:szCs w:val="24"/>
        </w:rPr>
        <w:t xml:space="preserve"> </w:t>
      </w:r>
      <w:r w:rsidR="00B140BD">
        <w:rPr>
          <w:rFonts w:ascii="Times New Roman" w:hAnsi="Times New Roman"/>
          <w:sz w:val="24"/>
          <w:szCs w:val="24"/>
        </w:rPr>
        <w:t xml:space="preserve">University, UK </w:t>
      </w:r>
    </w:p>
    <w:p w14:paraId="1B0FA359" w14:textId="77777777" w:rsidR="007128EB" w:rsidRPr="00C92E00" w:rsidRDefault="007128EB" w:rsidP="00C92E00">
      <w:pPr>
        <w:adjustRightInd w:val="0"/>
        <w:snapToGrid w:val="0"/>
        <w:spacing w:after="0" w:line="480" w:lineRule="auto"/>
        <w:rPr>
          <w:rFonts w:ascii="Times New Roman" w:eastAsia="Times New Roman" w:hAnsi="Times New Roman"/>
          <w:color w:val="000000"/>
          <w:sz w:val="24"/>
          <w:szCs w:val="24"/>
          <w:lang w:eastAsia="de-DE" w:bidi="en-US"/>
        </w:rPr>
      </w:pPr>
      <w:r w:rsidRPr="00C92E00">
        <w:rPr>
          <w:rFonts w:ascii="Times New Roman" w:eastAsia="Times New Roman" w:hAnsi="Times New Roman"/>
          <w:color w:val="000000"/>
          <w:sz w:val="24"/>
          <w:szCs w:val="24"/>
          <w:vertAlign w:val="superscript"/>
          <w:lang w:eastAsia="de-DE" w:bidi="en-US"/>
        </w:rPr>
        <w:t xml:space="preserve">4 </w:t>
      </w:r>
      <w:r w:rsidRPr="00C92E00">
        <w:rPr>
          <w:rFonts w:ascii="Times New Roman" w:eastAsia="Times New Roman" w:hAnsi="Times New Roman"/>
          <w:color w:val="000000"/>
          <w:sz w:val="24"/>
          <w:szCs w:val="24"/>
          <w:lang w:eastAsia="de-DE" w:bidi="en-US"/>
        </w:rPr>
        <w:t xml:space="preserve">Chemical Research Laboratory, University of Oxford, Oxford, OX1 3TA, United Kingdom  </w:t>
      </w:r>
    </w:p>
    <w:p w14:paraId="41FA3CD6" w14:textId="510C52B7" w:rsidR="009C5AB5" w:rsidRDefault="00FE7B05" w:rsidP="00C15F5B">
      <w:pPr>
        <w:spacing w:line="276" w:lineRule="auto"/>
        <w:jc w:val="both"/>
        <w:rPr>
          <w:rFonts w:ascii="Times New Roman" w:hAnsi="Times New Roman"/>
          <w:sz w:val="24"/>
          <w:szCs w:val="24"/>
        </w:rPr>
      </w:pPr>
      <w:r w:rsidRPr="00FE7B05">
        <w:rPr>
          <w:rFonts w:ascii="Times New Roman" w:hAnsi="Times New Roman"/>
          <w:sz w:val="24"/>
          <w:szCs w:val="24"/>
        </w:rPr>
        <w:t xml:space="preserve">*E-mail: </w:t>
      </w:r>
      <w:hyperlink r:id="rId8" w:history="1">
        <w:r w:rsidR="009C5AB5" w:rsidRPr="000026A1">
          <w:rPr>
            <w:rStyle w:val="Hyperlink"/>
            <w:rFonts w:ascii="Times New Roman" w:hAnsi="Times New Roman"/>
            <w:sz w:val="24"/>
            <w:szCs w:val="24"/>
          </w:rPr>
          <w:t>v.neergheen@uom.ac.mu</w:t>
        </w:r>
      </w:hyperlink>
      <w:r w:rsidR="003045C2" w:rsidRPr="003045C2">
        <w:rPr>
          <w:rStyle w:val="Hyperlink"/>
          <w:rFonts w:ascii="Times New Roman" w:hAnsi="Times New Roman"/>
          <w:sz w:val="24"/>
          <w:szCs w:val="24"/>
          <w:u w:val="none"/>
        </w:rPr>
        <w:t>;</w:t>
      </w:r>
      <w:r w:rsidR="003045C2">
        <w:rPr>
          <w:rStyle w:val="Hyperlink"/>
          <w:rFonts w:ascii="Times New Roman" w:hAnsi="Times New Roman"/>
          <w:sz w:val="24"/>
          <w:szCs w:val="24"/>
          <w:u w:val="none"/>
        </w:rPr>
        <w:t xml:space="preserve"> </w:t>
      </w:r>
      <w:hyperlink r:id="rId9" w:history="1">
        <w:r w:rsidR="005A31C7" w:rsidRPr="00DD20C8">
          <w:rPr>
            <w:rStyle w:val="Hyperlink"/>
            <w:rFonts w:ascii="Times New Roman" w:hAnsi="Times New Roman"/>
            <w:sz w:val="24"/>
            <w:szCs w:val="24"/>
          </w:rPr>
          <w:t>w.li@keele.ac.uk</w:t>
        </w:r>
      </w:hyperlink>
    </w:p>
    <w:p w14:paraId="37FCBDBA" w14:textId="77777777" w:rsidR="009C5AB5" w:rsidRDefault="009C5AB5" w:rsidP="00C15F5B">
      <w:pPr>
        <w:spacing w:line="276" w:lineRule="auto"/>
        <w:jc w:val="both"/>
        <w:rPr>
          <w:rFonts w:ascii="Times New Roman" w:hAnsi="Times New Roman"/>
          <w:sz w:val="24"/>
          <w:szCs w:val="24"/>
        </w:rPr>
      </w:pPr>
    </w:p>
    <w:p w14:paraId="76075631" w14:textId="77777777" w:rsidR="00C15F5B" w:rsidRPr="00E31225" w:rsidRDefault="00C15F5B" w:rsidP="00C15F5B">
      <w:pPr>
        <w:spacing w:line="276" w:lineRule="auto"/>
        <w:jc w:val="both"/>
        <w:rPr>
          <w:rFonts w:ascii="Times New Roman" w:hAnsi="Times New Roman"/>
          <w:b/>
          <w:sz w:val="24"/>
          <w:szCs w:val="24"/>
        </w:rPr>
      </w:pPr>
    </w:p>
    <w:p w14:paraId="035F35ED" w14:textId="77777777" w:rsidR="00650575" w:rsidRDefault="00650575" w:rsidP="00C15F5B">
      <w:pPr>
        <w:tabs>
          <w:tab w:val="left" w:pos="5567"/>
          <w:tab w:val="left" w:pos="7660"/>
        </w:tabs>
        <w:spacing w:line="276" w:lineRule="auto"/>
        <w:jc w:val="both"/>
        <w:rPr>
          <w:rFonts w:ascii="Times New Roman" w:hAnsi="Times New Roman"/>
          <w:sz w:val="24"/>
          <w:szCs w:val="24"/>
        </w:rPr>
      </w:pPr>
    </w:p>
    <w:p w14:paraId="34F2007E" w14:textId="77777777" w:rsidR="00650575" w:rsidRDefault="00650575" w:rsidP="00C15F5B">
      <w:pPr>
        <w:tabs>
          <w:tab w:val="left" w:pos="5567"/>
          <w:tab w:val="left" w:pos="7660"/>
        </w:tabs>
        <w:spacing w:line="276" w:lineRule="auto"/>
        <w:jc w:val="both"/>
        <w:rPr>
          <w:rFonts w:ascii="Times New Roman" w:hAnsi="Times New Roman"/>
          <w:sz w:val="24"/>
          <w:szCs w:val="24"/>
        </w:rPr>
      </w:pPr>
    </w:p>
    <w:p w14:paraId="7DEB71EB" w14:textId="77777777" w:rsidR="00650575" w:rsidRDefault="00650575" w:rsidP="00C15F5B">
      <w:pPr>
        <w:tabs>
          <w:tab w:val="left" w:pos="5567"/>
          <w:tab w:val="left" w:pos="7660"/>
        </w:tabs>
        <w:spacing w:line="276" w:lineRule="auto"/>
        <w:jc w:val="both"/>
        <w:rPr>
          <w:rFonts w:ascii="Times New Roman" w:hAnsi="Times New Roman"/>
          <w:sz w:val="24"/>
          <w:szCs w:val="24"/>
        </w:rPr>
      </w:pPr>
    </w:p>
    <w:p w14:paraId="04CA5F60" w14:textId="77777777" w:rsidR="00650575" w:rsidRDefault="00650575" w:rsidP="00C15F5B">
      <w:pPr>
        <w:tabs>
          <w:tab w:val="left" w:pos="5567"/>
          <w:tab w:val="left" w:pos="7660"/>
        </w:tabs>
        <w:spacing w:line="276" w:lineRule="auto"/>
        <w:jc w:val="both"/>
        <w:rPr>
          <w:rFonts w:ascii="Times New Roman" w:hAnsi="Times New Roman"/>
          <w:sz w:val="24"/>
          <w:szCs w:val="24"/>
        </w:rPr>
      </w:pPr>
    </w:p>
    <w:p w14:paraId="38A6F39C" w14:textId="77777777" w:rsidR="00650575" w:rsidRDefault="00650575" w:rsidP="00C15F5B">
      <w:pPr>
        <w:tabs>
          <w:tab w:val="left" w:pos="5567"/>
          <w:tab w:val="left" w:pos="7660"/>
        </w:tabs>
        <w:spacing w:line="276" w:lineRule="auto"/>
        <w:jc w:val="both"/>
        <w:rPr>
          <w:rFonts w:ascii="Times New Roman" w:hAnsi="Times New Roman"/>
          <w:sz w:val="24"/>
          <w:szCs w:val="24"/>
        </w:rPr>
      </w:pPr>
    </w:p>
    <w:p w14:paraId="30E7AC52" w14:textId="77777777" w:rsidR="00650575" w:rsidRDefault="00650575" w:rsidP="00C15F5B">
      <w:pPr>
        <w:tabs>
          <w:tab w:val="left" w:pos="5567"/>
          <w:tab w:val="left" w:pos="7660"/>
        </w:tabs>
        <w:spacing w:line="276" w:lineRule="auto"/>
        <w:jc w:val="both"/>
        <w:rPr>
          <w:rFonts w:ascii="Times New Roman" w:hAnsi="Times New Roman"/>
          <w:sz w:val="24"/>
          <w:szCs w:val="24"/>
        </w:rPr>
      </w:pPr>
    </w:p>
    <w:p w14:paraId="1AFEE3C4" w14:textId="77777777" w:rsidR="00650575" w:rsidRDefault="00650575" w:rsidP="00C15F5B">
      <w:pPr>
        <w:tabs>
          <w:tab w:val="left" w:pos="5567"/>
          <w:tab w:val="left" w:pos="7660"/>
        </w:tabs>
        <w:spacing w:line="276" w:lineRule="auto"/>
        <w:jc w:val="both"/>
        <w:rPr>
          <w:rFonts w:ascii="Times New Roman" w:hAnsi="Times New Roman"/>
          <w:sz w:val="24"/>
          <w:szCs w:val="24"/>
        </w:rPr>
      </w:pPr>
    </w:p>
    <w:p w14:paraId="39AEA460" w14:textId="77777777" w:rsidR="00650575" w:rsidRDefault="00650575" w:rsidP="00C15F5B">
      <w:pPr>
        <w:tabs>
          <w:tab w:val="left" w:pos="5567"/>
          <w:tab w:val="left" w:pos="7660"/>
        </w:tabs>
        <w:spacing w:line="276" w:lineRule="auto"/>
        <w:jc w:val="both"/>
        <w:rPr>
          <w:rFonts w:ascii="Times New Roman" w:hAnsi="Times New Roman"/>
          <w:sz w:val="24"/>
          <w:szCs w:val="24"/>
        </w:rPr>
      </w:pPr>
    </w:p>
    <w:p w14:paraId="1FC6C7C1" w14:textId="77777777" w:rsidR="00650575" w:rsidRDefault="00650575" w:rsidP="00C15F5B">
      <w:pPr>
        <w:tabs>
          <w:tab w:val="left" w:pos="5567"/>
          <w:tab w:val="left" w:pos="7660"/>
        </w:tabs>
        <w:spacing w:line="276" w:lineRule="auto"/>
        <w:jc w:val="both"/>
        <w:rPr>
          <w:rFonts w:ascii="Times New Roman" w:hAnsi="Times New Roman"/>
          <w:sz w:val="24"/>
          <w:szCs w:val="24"/>
        </w:rPr>
      </w:pPr>
    </w:p>
    <w:p w14:paraId="24859CCF" w14:textId="77777777" w:rsidR="00650575" w:rsidRDefault="00650575" w:rsidP="00C15F5B">
      <w:pPr>
        <w:tabs>
          <w:tab w:val="left" w:pos="5567"/>
          <w:tab w:val="left" w:pos="7660"/>
        </w:tabs>
        <w:spacing w:line="276" w:lineRule="auto"/>
        <w:jc w:val="both"/>
        <w:rPr>
          <w:rFonts w:ascii="Times New Roman" w:hAnsi="Times New Roman"/>
          <w:sz w:val="24"/>
          <w:szCs w:val="24"/>
        </w:rPr>
      </w:pPr>
    </w:p>
    <w:p w14:paraId="7F352674" w14:textId="77777777" w:rsidR="00650575" w:rsidRDefault="00650575" w:rsidP="00C15F5B">
      <w:pPr>
        <w:tabs>
          <w:tab w:val="left" w:pos="5567"/>
          <w:tab w:val="left" w:pos="7660"/>
        </w:tabs>
        <w:spacing w:line="276" w:lineRule="auto"/>
        <w:jc w:val="both"/>
        <w:rPr>
          <w:rFonts w:ascii="Times New Roman" w:hAnsi="Times New Roman"/>
          <w:sz w:val="24"/>
          <w:szCs w:val="24"/>
        </w:rPr>
      </w:pPr>
    </w:p>
    <w:p w14:paraId="205E453A" w14:textId="77777777" w:rsidR="00650575" w:rsidRDefault="00650575" w:rsidP="00C15F5B">
      <w:pPr>
        <w:tabs>
          <w:tab w:val="left" w:pos="5567"/>
          <w:tab w:val="left" w:pos="7660"/>
        </w:tabs>
        <w:spacing w:line="276" w:lineRule="auto"/>
        <w:jc w:val="both"/>
        <w:rPr>
          <w:rFonts w:ascii="Times New Roman" w:hAnsi="Times New Roman"/>
          <w:sz w:val="24"/>
          <w:szCs w:val="24"/>
        </w:rPr>
      </w:pPr>
    </w:p>
    <w:p w14:paraId="277872B2" w14:textId="540008CB" w:rsidR="00AF157A" w:rsidRDefault="009F1922" w:rsidP="00C15F5B">
      <w:pPr>
        <w:tabs>
          <w:tab w:val="left" w:pos="5567"/>
          <w:tab w:val="left" w:pos="7660"/>
        </w:tabs>
        <w:spacing w:line="276" w:lineRule="auto"/>
        <w:jc w:val="both"/>
        <w:rPr>
          <w:rFonts w:ascii="Times New Roman" w:hAnsi="Times New Roman"/>
          <w:sz w:val="24"/>
          <w:szCs w:val="24"/>
        </w:rPr>
      </w:pPr>
      <w:r>
        <w:rPr>
          <w:rFonts w:ascii="Times New Roman" w:hAnsi="Times New Roman"/>
          <w:sz w:val="24"/>
          <w:szCs w:val="24"/>
        </w:rPr>
        <w:tab/>
      </w:r>
      <w:r w:rsidR="00295D92">
        <w:rPr>
          <w:rFonts w:ascii="Times New Roman" w:hAnsi="Times New Roman"/>
          <w:sz w:val="24"/>
          <w:szCs w:val="24"/>
        </w:rPr>
        <w:tab/>
      </w:r>
    </w:p>
    <w:p w14:paraId="52D4CF75" w14:textId="77777777" w:rsidR="00C15F5B" w:rsidRPr="00E31225" w:rsidRDefault="00C15F5B" w:rsidP="00C15F5B">
      <w:pPr>
        <w:spacing w:line="276" w:lineRule="auto"/>
        <w:jc w:val="both"/>
        <w:rPr>
          <w:rFonts w:ascii="Times New Roman" w:hAnsi="Times New Roman"/>
          <w:b/>
          <w:sz w:val="24"/>
          <w:szCs w:val="24"/>
        </w:rPr>
      </w:pPr>
    </w:p>
    <w:p w14:paraId="6DA216B0" w14:textId="1F6DAA13" w:rsidR="00FE7B05" w:rsidRPr="00E31225" w:rsidRDefault="00FE7B05" w:rsidP="006F3145">
      <w:pPr>
        <w:pStyle w:val="Title"/>
        <w:rPr>
          <w:rFonts w:ascii="Times New Roman" w:hAnsi="Times New Roman" w:cs="Times New Roman"/>
          <w:b/>
          <w:sz w:val="24"/>
          <w:szCs w:val="24"/>
        </w:rPr>
      </w:pPr>
      <w:r w:rsidRPr="00E31225">
        <w:rPr>
          <w:rFonts w:ascii="Times New Roman" w:hAnsi="Times New Roman" w:cs="Times New Roman"/>
          <w:b/>
          <w:sz w:val="24"/>
          <w:szCs w:val="24"/>
        </w:rPr>
        <w:t>ABSTRACT</w:t>
      </w:r>
      <w:r w:rsidR="00B57DA8" w:rsidRPr="00E31225">
        <w:rPr>
          <w:rFonts w:ascii="Times New Roman" w:hAnsi="Times New Roman" w:cs="Times New Roman"/>
          <w:b/>
          <w:sz w:val="24"/>
          <w:szCs w:val="24"/>
        </w:rPr>
        <w:t xml:space="preserve"> </w:t>
      </w:r>
    </w:p>
    <w:p w14:paraId="4D224D7A" w14:textId="77777777" w:rsidR="00E31225" w:rsidRPr="00E31225" w:rsidRDefault="00E31225" w:rsidP="00E31225"/>
    <w:p w14:paraId="501AC92C" w14:textId="77777777" w:rsidR="00262673" w:rsidRPr="00262673" w:rsidRDefault="00262673" w:rsidP="00262673">
      <w:pPr>
        <w:spacing w:line="276" w:lineRule="auto"/>
        <w:jc w:val="both"/>
        <w:rPr>
          <w:rFonts w:ascii="Times New Roman" w:eastAsia="Times New Roman" w:hAnsi="Times New Roman"/>
          <w:noProof/>
          <w:color w:val="000000"/>
          <w:sz w:val="24"/>
          <w:szCs w:val="24"/>
        </w:rPr>
      </w:pPr>
      <w:r w:rsidRPr="00262673">
        <w:rPr>
          <w:rFonts w:ascii="Times New Roman" w:eastAsia="Times New Roman" w:hAnsi="Times New Roman"/>
          <w:noProof/>
          <w:color w:val="000000"/>
          <w:sz w:val="24"/>
          <w:szCs w:val="24"/>
        </w:rPr>
        <w:t xml:space="preserve">Whilst the pharmacological potential of </w:t>
      </w:r>
      <w:r w:rsidRPr="00262673">
        <w:rPr>
          <w:rFonts w:ascii="Times New Roman" w:eastAsia="Times New Roman" w:hAnsi="Times New Roman"/>
          <w:i/>
          <w:noProof/>
          <w:color w:val="000000"/>
          <w:sz w:val="24"/>
          <w:szCs w:val="24"/>
        </w:rPr>
        <w:t>Syzygium</w:t>
      </w:r>
      <w:r w:rsidRPr="00262673">
        <w:rPr>
          <w:rFonts w:ascii="Times New Roman" w:eastAsia="Times New Roman" w:hAnsi="Times New Roman"/>
          <w:noProof/>
          <w:color w:val="000000"/>
          <w:sz w:val="24"/>
          <w:szCs w:val="24"/>
        </w:rPr>
        <w:t xml:space="preserve"> species </w:t>
      </w:r>
      <w:r w:rsidRPr="00262673">
        <w:rPr>
          <w:rFonts w:ascii="Times New Roman" w:eastAsia="Times New Roman" w:hAnsi="Times New Roman"/>
          <w:noProof/>
          <w:color w:val="00B050"/>
          <w:sz w:val="24"/>
          <w:szCs w:val="24"/>
        </w:rPr>
        <w:t>is well reported in the literature,</w:t>
      </w:r>
      <w:r w:rsidRPr="00262673">
        <w:rPr>
          <w:rFonts w:ascii="Times New Roman" w:eastAsia="Times New Roman" w:hAnsi="Times New Roman"/>
          <w:noProof/>
          <w:color w:val="000000"/>
          <w:sz w:val="24"/>
          <w:szCs w:val="24"/>
        </w:rPr>
        <w:t xml:space="preserve"> data on the Mauritian endemic </w:t>
      </w:r>
      <w:r w:rsidRPr="00262673">
        <w:rPr>
          <w:rFonts w:ascii="Times New Roman" w:eastAsia="Times New Roman" w:hAnsi="Times New Roman"/>
          <w:i/>
          <w:noProof/>
          <w:color w:val="000000"/>
          <w:sz w:val="24"/>
          <w:szCs w:val="24"/>
        </w:rPr>
        <w:t>Syzygium</w:t>
      </w:r>
      <w:r w:rsidRPr="00262673">
        <w:rPr>
          <w:rFonts w:ascii="Times New Roman" w:eastAsia="Times New Roman" w:hAnsi="Times New Roman"/>
          <w:noProof/>
          <w:color w:val="000000"/>
          <w:sz w:val="24"/>
          <w:szCs w:val="24"/>
        </w:rPr>
        <w:t xml:space="preserve"> species is limited. Thus, the </w:t>
      </w:r>
      <w:r w:rsidRPr="00262673">
        <w:rPr>
          <w:rFonts w:ascii="Times New Roman" w:eastAsia="Times New Roman" w:hAnsi="Times New Roman"/>
          <w:i/>
          <w:noProof/>
          <w:color w:val="000000"/>
          <w:sz w:val="24"/>
          <w:szCs w:val="24"/>
        </w:rPr>
        <w:t>in vitro</w:t>
      </w:r>
      <w:r w:rsidRPr="00262673">
        <w:rPr>
          <w:rFonts w:ascii="Times New Roman" w:eastAsia="Times New Roman" w:hAnsi="Times New Roman"/>
          <w:noProof/>
          <w:color w:val="000000"/>
          <w:sz w:val="24"/>
          <w:szCs w:val="24"/>
        </w:rPr>
        <w:t xml:space="preserve"> antioxidant and anti-proliferative propensities of three endangered </w:t>
      </w:r>
      <w:r w:rsidRPr="00262673">
        <w:rPr>
          <w:rFonts w:ascii="Times New Roman" w:eastAsia="Times New Roman" w:hAnsi="Times New Roman"/>
          <w:i/>
          <w:noProof/>
          <w:color w:val="000000"/>
          <w:sz w:val="24"/>
          <w:szCs w:val="24"/>
        </w:rPr>
        <w:t>Syzygium</w:t>
      </w:r>
      <w:r w:rsidRPr="00262673">
        <w:rPr>
          <w:rFonts w:ascii="Times New Roman" w:eastAsia="Times New Roman" w:hAnsi="Times New Roman"/>
          <w:noProof/>
          <w:color w:val="000000"/>
          <w:sz w:val="24"/>
          <w:szCs w:val="24"/>
        </w:rPr>
        <w:t xml:space="preserve"> species, endemic to Mauritius, were investigated</w:t>
      </w:r>
      <w:r w:rsidRPr="00262673">
        <w:rPr>
          <w:rFonts w:ascii="Times New Roman" w:eastAsia="Times New Roman" w:hAnsi="Times New Roman"/>
          <w:noProof/>
          <w:color w:val="00B050"/>
          <w:sz w:val="24"/>
          <w:szCs w:val="24"/>
        </w:rPr>
        <w:t xml:space="preserve">. Leaves samples of the three species were exhaustively extracted with a hydro-methanolic solvent and the antioxidant activities of the derived extracts were evaluated using a battery of six </w:t>
      </w:r>
      <w:r w:rsidRPr="00262673">
        <w:rPr>
          <w:rFonts w:ascii="Times New Roman" w:eastAsia="Times New Roman" w:hAnsi="Times New Roman"/>
          <w:i/>
          <w:noProof/>
          <w:color w:val="00B050"/>
          <w:sz w:val="24"/>
          <w:szCs w:val="24"/>
        </w:rPr>
        <w:t>in vitro</w:t>
      </w:r>
      <w:r w:rsidRPr="00262673">
        <w:rPr>
          <w:rFonts w:ascii="Times New Roman" w:eastAsia="Times New Roman" w:hAnsi="Times New Roman"/>
          <w:noProof/>
          <w:color w:val="00B050"/>
          <w:sz w:val="24"/>
          <w:szCs w:val="24"/>
        </w:rPr>
        <w:t xml:space="preserve"> models. The antiproliferative effect of </w:t>
      </w:r>
      <w:r w:rsidRPr="00262673">
        <w:rPr>
          <w:rFonts w:ascii="Times New Roman" w:eastAsia="Times New Roman" w:hAnsi="Times New Roman"/>
          <w:i/>
          <w:noProof/>
          <w:color w:val="00B050"/>
          <w:sz w:val="24"/>
          <w:szCs w:val="24"/>
        </w:rPr>
        <w:t>S. coriaceum</w:t>
      </w:r>
      <w:r w:rsidRPr="00262673">
        <w:rPr>
          <w:rFonts w:ascii="Times New Roman" w:eastAsia="Times New Roman" w:hAnsi="Times New Roman"/>
          <w:noProof/>
          <w:color w:val="00B050"/>
          <w:sz w:val="24"/>
          <w:szCs w:val="24"/>
        </w:rPr>
        <w:t xml:space="preserve"> was evaluated against lung carcinoma (A549), liposarcoma (SW872) and hepatocellular carcinoma (HepG2) cell lines. Further, the effect of </w:t>
      </w:r>
      <w:r w:rsidRPr="00262673">
        <w:rPr>
          <w:rFonts w:ascii="Times New Roman" w:eastAsia="Times New Roman" w:hAnsi="Times New Roman"/>
          <w:i/>
          <w:noProof/>
          <w:color w:val="00B050"/>
          <w:sz w:val="24"/>
          <w:szCs w:val="24"/>
        </w:rPr>
        <w:t>S. coriaceum</w:t>
      </w:r>
      <w:r w:rsidRPr="00262673">
        <w:rPr>
          <w:rFonts w:ascii="Times New Roman" w:eastAsia="Times New Roman" w:hAnsi="Times New Roman"/>
          <w:noProof/>
          <w:color w:val="00B050"/>
          <w:sz w:val="24"/>
          <w:szCs w:val="24"/>
        </w:rPr>
        <w:t xml:space="preserve"> on intracellular reactive oxygen species (ROS) generation, intrinsic antioxidant enzymes activities and DNA damage in HepG2 cells were studied. MTT guided-fractionation coupled with spectrometry, chromatography and spectroscopy analysis was employed to characterise the bioactive entities in </w:t>
      </w:r>
      <w:r w:rsidRPr="00262673">
        <w:rPr>
          <w:rFonts w:ascii="Times New Roman" w:eastAsia="Times New Roman" w:hAnsi="Times New Roman"/>
          <w:i/>
          <w:noProof/>
          <w:color w:val="00B050"/>
          <w:sz w:val="24"/>
          <w:szCs w:val="24"/>
        </w:rPr>
        <w:t xml:space="preserve">S.coriaceum. S.coriaceum </w:t>
      </w:r>
      <w:r w:rsidRPr="00262673">
        <w:rPr>
          <w:rFonts w:ascii="Times New Roman" w:eastAsia="Times New Roman" w:hAnsi="Times New Roman"/>
          <w:noProof/>
          <w:color w:val="00B050"/>
          <w:sz w:val="24"/>
          <w:szCs w:val="24"/>
        </w:rPr>
        <w:t>showed the most potent antioxidant activities in all six assay models and also</w:t>
      </w:r>
      <w:r w:rsidRPr="00262673">
        <w:rPr>
          <w:rFonts w:ascii="Times New Roman" w:eastAsia="Times New Roman" w:hAnsi="Times New Roman"/>
          <w:i/>
          <w:noProof/>
          <w:color w:val="00B050"/>
          <w:sz w:val="24"/>
          <w:szCs w:val="24"/>
        </w:rPr>
        <w:t xml:space="preserve"> </w:t>
      </w:r>
      <w:r w:rsidRPr="00262673">
        <w:rPr>
          <w:rFonts w:ascii="Times New Roman" w:eastAsia="Times New Roman" w:hAnsi="Times New Roman"/>
          <w:noProof/>
          <w:color w:val="00B050"/>
          <w:sz w:val="24"/>
          <w:szCs w:val="24"/>
        </w:rPr>
        <w:t xml:space="preserve">induced a dose-dependent decrease in the cells viability. </w:t>
      </w:r>
      <w:r w:rsidRPr="00262673">
        <w:rPr>
          <w:rFonts w:ascii="Times New Roman" w:eastAsia="Times New Roman" w:hAnsi="Times New Roman"/>
          <w:i/>
          <w:noProof/>
          <w:color w:val="000000"/>
          <w:sz w:val="24"/>
          <w:szCs w:val="24"/>
        </w:rPr>
        <w:t>S. coriaceum</w:t>
      </w:r>
      <w:r w:rsidRPr="00262673">
        <w:rPr>
          <w:rFonts w:ascii="Times New Roman" w:eastAsia="Times New Roman" w:hAnsi="Times New Roman"/>
          <w:noProof/>
          <w:color w:val="000000"/>
          <w:sz w:val="24"/>
          <w:szCs w:val="24"/>
        </w:rPr>
        <w:t xml:space="preserve"> treatment in HepG2 cells resulted in a dose-dependent increase in the level of ROS with a 4.4 folds increment at 100 µg/ml (p ≤ 0.0001). The surge in ROS level was corroborated by a parallel dose-dependent decrease in antioxidant enzyme activities</w:t>
      </w:r>
      <w:r w:rsidRPr="00262673">
        <w:rPr>
          <w:rFonts w:ascii="Times New Roman" w:eastAsiaTheme="minorHAnsi" w:hAnsi="Times New Roman"/>
          <w:sz w:val="24"/>
          <w:szCs w:val="24"/>
          <w:lang w:val="en-US"/>
        </w:rPr>
        <w:t xml:space="preserve">. A significant 80.5 % drop </w:t>
      </w:r>
      <w:r w:rsidRPr="00262673">
        <w:rPr>
          <w:rFonts w:ascii="Times New Roman" w:eastAsia="Times New Roman" w:hAnsi="Times New Roman"/>
          <w:noProof/>
          <w:color w:val="000000"/>
          <w:sz w:val="24"/>
          <w:szCs w:val="24"/>
        </w:rPr>
        <w:t xml:space="preserve">in </w:t>
      </w:r>
      <w:r w:rsidRPr="00262673">
        <w:rPr>
          <w:rFonts w:ascii="Times New Roman" w:eastAsiaTheme="minorHAnsi" w:hAnsi="Times New Roman"/>
          <w:sz w:val="24"/>
          <w:szCs w:val="24"/>
          <w:lang w:val="en-US"/>
        </w:rPr>
        <w:t>glutathione peroxidase activity was observed at 40 µ</w:t>
      </w:r>
      <w:r w:rsidRPr="00262673">
        <w:rPr>
          <w:rFonts w:ascii="Times New Roman" w:eastAsia="Times New Roman" w:hAnsi="Times New Roman"/>
          <w:noProof/>
          <w:color w:val="000000"/>
          <w:sz w:val="24"/>
          <w:szCs w:val="24"/>
        </w:rPr>
        <w:t>g/ml (p ≤ 0.0001). MTT–guided fractionation followed by characterisation and structure elucidation analysis, revealed gallic acid (</w:t>
      </w:r>
      <w:r w:rsidRPr="00262673">
        <w:rPr>
          <w:rFonts w:ascii="Times New Roman" w:eastAsia="Times New Roman" w:hAnsi="Times New Roman"/>
          <w:b/>
          <w:noProof/>
          <w:color w:val="000000"/>
          <w:sz w:val="24"/>
          <w:szCs w:val="24"/>
        </w:rPr>
        <w:t>1</w:t>
      </w:r>
      <w:r w:rsidRPr="00262673">
        <w:rPr>
          <w:rFonts w:ascii="Times New Roman" w:eastAsia="Times New Roman" w:hAnsi="Times New Roman"/>
          <w:noProof/>
          <w:color w:val="000000"/>
          <w:sz w:val="24"/>
          <w:szCs w:val="24"/>
        </w:rPr>
        <w:t>) and methyl gallate (</w:t>
      </w:r>
      <w:r w:rsidRPr="00262673">
        <w:rPr>
          <w:rFonts w:ascii="Times New Roman" w:eastAsia="Times New Roman" w:hAnsi="Times New Roman"/>
          <w:b/>
          <w:noProof/>
          <w:color w:val="000000"/>
          <w:sz w:val="24"/>
          <w:szCs w:val="24"/>
        </w:rPr>
        <w:t>2</w:t>
      </w:r>
      <w:r w:rsidRPr="00262673">
        <w:rPr>
          <w:rFonts w:ascii="Times New Roman" w:eastAsia="Times New Roman" w:hAnsi="Times New Roman"/>
          <w:noProof/>
          <w:color w:val="000000"/>
          <w:sz w:val="24"/>
          <w:szCs w:val="24"/>
        </w:rPr>
        <w:t xml:space="preserve">) as major bioactive components in </w:t>
      </w:r>
      <w:r w:rsidRPr="00262673">
        <w:rPr>
          <w:rFonts w:ascii="Times New Roman" w:eastAsia="Times New Roman" w:hAnsi="Times New Roman"/>
          <w:i/>
          <w:noProof/>
          <w:color w:val="000000"/>
          <w:sz w:val="24"/>
          <w:szCs w:val="24"/>
        </w:rPr>
        <w:t>S. coriaceum</w:t>
      </w:r>
      <w:r w:rsidRPr="00262673">
        <w:rPr>
          <w:rFonts w:ascii="Times New Roman" w:eastAsia="Times New Roman" w:hAnsi="Times New Roman"/>
          <w:noProof/>
          <w:color w:val="000000"/>
          <w:sz w:val="24"/>
          <w:szCs w:val="24"/>
        </w:rPr>
        <w:t xml:space="preserve"> leaf extract. Analysis of HepG2</w:t>
      </w:r>
      <w:r w:rsidRPr="00262673">
        <w:rPr>
          <w:rFonts w:ascii="Times New Roman" w:eastAsia="Times New Roman" w:hAnsi="Times New Roman"/>
          <w:noProof/>
          <w:color w:val="00B050"/>
          <w:sz w:val="24"/>
          <w:szCs w:val="24"/>
        </w:rPr>
        <w:t xml:space="preserve"> cells</w:t>
      </w:r>
      <w:r w:rsidRPr="00262673">
        <w:rPr>
          <w:rFonts w:ascii="Times New Roman" w:eastAsia="Times New Roman" w:hAnsi="Times New Roman"/>
          <w:noProof/>
          <w:color w:val="000000"/>
          <w:sz w:val="24"/>
          <w:szCs w:val="24"/>
        </w:rPr>
        <w:t xml:space="preserve"> treated with commercially available gallic acid and methyl gallate showed a similar trend in activities as </w:t>
      </w:r>
      <w:r w:rsidRPr="00262673">
        <w:rPr>
          <w:rFonts w:ascii="Times New Roman" w:eastAsia="Times New Roman" w:hAnsi="Times New Roman"/>
          <w:i/>
          <w:noProof/>
          <w:color w:val="000000"/>
          <w:sz w:val="24"/>
          <w:szCs w:val="24"/>
        </w:rPr>
        <w:t>S. coriaceum</w:t>
      </w:r>
      <w:r w:rsidRPr="00262673">
        <w:rPr>
          <w:rFonts w:ascii="Times New Roman" w:eastAsia="Times New Roman" w:hAnsi="Times New Roman"/>
          <w:noProof/>
          <w:color w:val="000000"/>
          <w:sz w:val="24"/>
          <w:szCs w:val="24"/>
        </w:rPr>
        <w:t xml:space="preserve"> leaf extract. Collectively, these results demonstrated that </w:t>
      </w:r>
      <w:r w:rsidRPr="00262673">
        <w:rPr>
          <w:rFonts w:ascii="Times New Roman" w:eastAsia="Times New Roman" w:hAnsi="Times New Roman"/>
          <w:i/>
          <w:noProof/>
          <w:color w:val="000000"/>
          <w:sz w:val="24"/>
          <w:szCs w:val="24"/>
        </w:rPr>
        <w:t>S. coriaceum</w:t>
      </w:r>
      <w:r w:rsidRPr="00262673">
        <w:rPr>
          <w:rFonts w:ascii="Times New Roman" w:eastAsia="Times New Roman" w:hAnsi="Times New Roman"/>
          <w:noProof/>
          <w:color w:val="000000"/>
          <w:sz w:val="24"/>
          <w:szCs w:val="24"/>
        </w:rPr>
        <w:t xml:space="preserve"> and its major bioactive phenolics: gallic acid and methyl gallate, may effectively induce cell death in HepG2 cells via upregulation of ROS.</w:t>
      </w:r>
    </w:p>
    <w:p w14:paraId="771ED3E5" w14:textId="12CC85F4" w:rsidR="004D33EE" w:rsidRPr="00E31225" w:rsidRDefault="006F3145" w:rsidP="00C15F5B">
      <w:pPr>
        <w:spacing w:line="276" w:lineRule="auto"/>
        <w:jc w:val="both"/>
        <w:rPr>
          <w:rFonts w:ascii="Times New Roman" w:hAnsi="Times New Roman"/>
          <w:b/>
          <w:sz w:val="24"/>
          <w:szCs w:val="24"/>
        </w:rPr>
      </w:pPr>
      <w:r w:rsidRPr="00E31225">
        <w:rPr>
          <w:rFonts w:ascii="Times New Roman" w:hAnsi="Times New Roman"/>
          <w:b/>
          <w:sz w:val="24"/>
          <w:szCs w:val="24"/>
        </w:rPr>
        <w:t>KEYWORDS</w:t>
      </w:r>
    </w:p>
    <w:p w14:paraId="74B400C8" w14:textId="6873CADC" w:rsidR="004D33EE" w:rsidRDefault="00792968" w:rsidP="00C15F5B">
      <w:pPr>
        <w:spacing w:line="276" w:lineRule="auto"/>
        <w:jc w:val="both"/>
        <w:rPr>
          <w:rFonts w:ascii="Times New Roman" w:hAnsi="Times New Roman"/>
          <w:sz w:val="24"/>
          <w:szCs w:val="24"/>
        </w:rPr>
      </w:pPr>
      <w:r>
        <w:rPr>
          <w:rFonts w:ascii="Times New Roman" w:hAnsi="Times New Roman"/>
          <w:sz w:val="24"/>
          <w:szCs w:val="24"/>
        </w:rPr>
        <w:t>Mauritian</w:t>
      </w:r>
      <w:r w:rsidR="004D33EE">
        <w:rPr>
          <w:rFonts w:ascii="Times New Roman" w:hAnsi="Times New Roman"/>
          <w:sz w:val="24"/>
          <w:szCs w:val="24"/>
        </w:rPr>
        <w:t xml:space="preserve"> endemic, </w:t>
      </w:r>
      <w:r w:rsidR="00EA5BCF">
        <w:rPr>
          <w:rFonts w:ascii="Times New Roman" w:hAnsi="Times New Roman"/>
          <w:sz w:val="24"/>
          <w:szCs w:val="24"/>
        </w:rPr>
        <w:t xml:space="preserve">methyl </w:t>
      </w:r>
      <w:r w:rsidR="004D33EE">
        <w:rPr>
          <w:rFonts w:ascii="Times New Roman" w:hAnsi="Times New Roman"/>
          <w:sz w:val="24"/>
          <w:szCs w:val="24"/>
        </w:rPr>
        <w:t>gall</w:t>
      </w:r>
      <w:r w:rsidR="00EA5BCF">
        <w:rPr>
          <w:rFonts w:ascii="Times New Roman" w:hAnsi="Times New Roman"/>
          <w:sz w:val="24"/>
          <w:szCs w:val="24"/>
        </w:rPr>
        <w:t>ate</w:t>
      </w:r>
      <w:r w:rsidR="004D33EE">
        <w:rPr>
          <w:rFonts w:ascii="Times New Roman" w:hAnsi="Times New Roman"/>
          <w:sz w:val="24"/>
          <w:szCs w:val="24"/>
        </w:rPr>
        <w:t xml:space="preserve">, antioxidant, </w:t>
      </w:r>
      <w:r w:rsidR="0077416D">
        <w:rPr>
          <w:rFonts w:ascii="Times New Roman" w:hAnsi="Times New Roman"/>
          <w:sz w:val="24"/>
          <w:szCs w:val="24"/>
        </w:rPr>
        <w:t>cytotoxicity, a</w:t>
      </w:r>
      <w:r w:rsidR="008E3486">
        <w:rPr>
          <w:rFonts w:ascii="Times New Roman" w:hAnsi="Times New Roman"/>
          <w:sz w:val="24"/>
          <w:szCs w:val="24"/>
        </w:rPr>
        <w:t>ssay-guided fractionation.</w:t>
      </w:r>
    </w:p>
    <w:p w14:paraId="0F719308" w14:textId="406EE8E3" w:rsidR="003210DE" w:rsidRDefault="003210DE" w:rsidP="00C15F5B">
      <w:pPr>
        <w:spacing w:line="276" w:lineRule="auto"/>
        <w:jc w:val="both"/>
        <w:rPr>
          <w:rFonts w:ascii="Times New Roman" w:hAnsi="Times New Roman"/>
          <w:sz w:val="24"/>
          <w:szCs w:val="24"/>
        </w:rPr>
      </w:pPr>
    </w:p>
    <w:p w14:paraId="79E91298" w14:textId="483C3E60" w:rsidR="003210DE" w:rsidRPr="002925D6" w:rsidRDefault="002925D6" w:rsidP="00C15F5B">
      <w:pPr>
        <w:spacing w:line="276" w:lineRule="auto"/>
        <w:jc w:val="both"/>
        <w:rPr>
          <w:rFonts w:ascii="Times New Roman" w:hAnsi="Times New Roman"/>
          <w:b/>
          <w:sz w:val="24"/>
          <w:szCs w:val="24"/>
        </w:rPr>
      </w:pPr>
      <w:r w:rsidRPr="002925D6">
        <w:rPr>
          <w:rFonts w:ascii="Times New Roman" w:hAnsi="Times New Roman"/>
          <w:b/>
          <w:sz w:val="24"/>
          <w:szCs w:val="24"/>
        </w:rPr>
        <w:t>ABBREVIATIONS</w:t>
      </w:r>
    </w:p>
    <w:p w14:paraId="7E988668" w14:textId="7E70EABC" w:rsidR="0001434F" w:rsidRDefault="002925D6" w:rsidP="00C15F5B">
      <w:pPr>
        <w:spacing w:line="276" w:lineRule="auto"/>
        <w:jc w:val="both"/>
        <w:rPr>
          <w:rFonts w:ascii="Times New Roman" w:hAnsi="Times New Roman"/>
          <w:sz w:val="24"/>
          <w:szCs w:val="24"/>
        </w:rPr>
      </w:pPr>
      <w:r w:rsidRPr="002925D6">
        <w:rPr>
          <w:rFonts w:ascii="Times New Roman" w:hAnsi="Times New Roman"/>
          <w:sz w:val="24"/>
          <w:szCs w:val="24"/>
        </w:rPr>
        <w:t>CAT</w:t>
      </w:r>
      <w:r w:rsidR="00BA59ED">
        <w:rPr>
          <w:rFonts w:ascii="Times New Roman" w:hAnsi="Times New Roman"/>
          <w:sz w:val="24"/>
          <w:szCs w:val="24"/>
        </w:rPr>
        <w:t xml:space="preserve"> – </w:t>
      </w:r>
      <w:r w:rsidRPr="002925D6">
        <w:rPr>
          <w:rFonts w:ascii="Times New Roman" w:hAnsi="Times New Roman"/>
          <w:sz w:val="24"/>
          <w:szCs w:val="24"/>
        </w:rPr>
        <w:t>catalase</w:t>
      </w:r>
      <w:r>
        <w:rPr>
          <w:rFonts w:ascii="Times New Roman" w:hAnsi="Times New Roman"/>
          <w:sz w:val="24"/>
          <w:szCs w:val="24"/>
        </w:rPr>
        <w:t xml:space="preserve">; </w:t>
      </w:r>
      <w:r w:rsidRPr="002925D6">
        <w:rPr>
          <w:rFonts w:ascii="Times New Roman" w:hAnsi="Times New Roman"/>
          <w:sz w:val="24"/>
          <w:szCs w:val="24"/>
        </w:rPr>
        <w:t xml:space="preserve">COSY </w:t>
      </w:r>
      <w:r w:rsidR="00BA59ED">
        <w:rPr>
          <w:rFonts w:ascii="Times New Roman" w:hAnsi="Times New Roman"/>
          <w:sz w:val="24"/>
          <w:szCs w:val="24"/>
        </w:rPr>
        <w:t>–</w:t>
      </w:r>
      <w:r w:rsidRPr="002925D6">
        <w:rPr>
          <w:rFonts w:ascii="Times New Roman" w:hAnsi="Times New Roman"/>
          <w:sz w:val="24"/>
          <w:szCs w:val="24"/>
        </w:rPr>
        <w:t xml:space="preserve"> correlated spectroscopy</w:t>
      </w:r>
      <w:r>
        <w:rPr>
          <w:rFonts w:ascii="Times New Roman" w:hAnsi="Times New Roman"/>
          <w:sz w:val="24"/>
          <w:szCs w:val="24"/>
        </w:rPr>
        <w:t xml:space="preserve">; </w:t>
      </w:r>
      <w:r w:rsidRPr="002925D6">
        <w:rPr>
          <w:rFonts w:ascii="Times New Roman" w:hAnsi="Times New Roman"/>
          <w:sz w:val="24"/>
          <w:szCs w:val="24"/>
        </w:rPr>
        <w:t xml:space="preserve">DCFH-DA </w:t>
      </w:r>
      <w:r w:rsidR="00BA59ED">
        <w:rPr>
          <w:rFonts w:ascii="Times New Roman" w:hAnsi="Times New Roman"/>
          <w:sz w:val="24"/>
          <w:szCs w:val="24"/>
        </w:rPr>
        <w:t>–</w:t>
      </w:r>
      <w:r w:rsidRPr="002925D6">
        <w:rPr>
          <w:rFonts w:ascii="Times New Roman" w:hAnsi="Times New Roman"/>
          <w:sz w:val="24"/>
          <w:szCs w:val="24"/>
        </w:rPr>
        <w:t xml:space="preserve"> dichloro-dihydro-fluorescein diacetate</w:t>
      </w:r>
      <w:r>
        <w:rPr>
          <w:rFonts w:ascii="Times New Roman" w:hAnsi="Times New Roman"/>
          <w:sz w:val="24"/>
          <w:szCs w:val="24"/>
        </w:rPr>
        <w:t xml:space="preserve">; </w:t>
      </w:r>
      <w:r w:rsidRPr="002925D6">
        <w:rPr>
          <w:rFonts w:ascii="Times New Roman" w:hAnsi="Times New Roman"/>
          <w:sz w:val="24"/>
          <w:szCs w:val="24"/>
        </w:rPr>
        <w:t xml:space="preserve">FDA </w:t>
      </w:r>
      <w:r w:rsidR="00BA59ED">
        <w:rPr>
          <w:rFonts w:ascii="Times New Roman" w:hAnsi="Times New Roman"/>
          <w:sz w:val="24"/>
          <w:szCs w:val="24"/>
        </w:rPr>
        <w:t>–</w:t>
      </w:r>
      <w:r w:rsidRPr="002925D6">
        <w:rPr>
          <w:rFonts w:ascii="Times New Roman" w:hAnsi="Times New Roman"/>
          <w:sz w:val="24"/>
          <w:szCs w:val="24"/>
        </w:rPr>
        <w:t xml:space="preserve">  food and drug administration</w:t>
      </w:r>
      <w:r>
        <w:rPr>
          <w:rFonts w:ascii="Times New Roman" w:hAnsi="Times New Roman"/>
          <w:sz w:val="24"/>
          <w:szCs w:val="24"/>
        </w:rPr>
        <w:t xml:space="preserve">; </w:t>
      </w:r>
      <w:r w:rsidRPr="002925D6">
        <w:rPr>
          <w:rFonts w:ascii="Times New Roman" w:hAnsi="Times New Roman"/>
          <w:sz w:val="24"/>
          <w:szCs w:val="24"/>
        </w:rPr>
        <w:t xml:space="preserve">FRAP </w:t>
      </w:r>
      <w:r w:rsidR="00BA59ED">
        <w:rPr>
          <w:rFonts w:ascii="Times New Roman" w:hAnsi="Times New Roman"/>
          <w:sz w:val="24"/>
          <w:szCs w:val="24"/>
        </w:rPr>
        <w:t>–</w:t>
      </w:r>
      <w:r w:rsidRPr="002925D6">
        <w:rPr>
          <w:rFonts w:ascii="Times New Roman" w:hAnsi="Times New Roman"/>
          <w:sz w:val="24"/>
          <w:szCs w:val="24"/>
        </w:rPr>
        <w:t xml:space="preserve"> ferric reducing antioxidant potential</w:t>
      </w:r>
      <w:r>
        <w:rPr>
          <w:rFonts w:ascii="Times New Roman" w:hAnsi="Times New Roman"/>
          <w:sz w:val="24"/>
          <w:szCs w:val="24"/>
        </w:rPr>
        <w:t xml:space="preserve">; </w:t>
      </w:r>
      <w:r w:rsidRPr="002925D6">
        <w:rPr>
          <w:rFonts w:ascii="Times New Roman" w:hAnsi="Times New Roman"/>
          <w:sz w:val="24"/>
          <w:szCs w:val="24"/>
        </w:rPr>
        <w:t xml:space="preserve">GAE </w:t>
      </w:r>
      <w:r w:rsidR="00BA59ED">
        <w:rPr>
          <w:rFonts w:ascii="Times New Roman" w:hAnsi="Times New Roman"/>
          <w:sz w:val="24"/>
          <w:szCs w:val="24"/>
        </w:rPr>
        <w:t>–</w:t>
      </w:r>
      <w:r w:rsidRPr="002925D6">
        <w:rPr>
          <w:rFonts w:ascii="Times New Roman" w:hAnsi="Times New Roman"/>
          <w:sz w:val="24"/>
          <w:szCs w:val="24"/>
        </w:rPr>
        <w:t xml:space="preserve"> gallic acid equivalent</w:t>
      </w:r>
      <w:r>
        <w:rPr>
          <w:rFonts w:ascii="Times New Roman" w:hAnsi="Times New Roman"/>
          <w:sz w:val="24"/>
          <w:szCs w:val="24"/>
        </w:rPr>
        <w:t xml:space="preserve">; </w:t>
      </w:r>
      <w:r w:rsidRPr="002925D6">
        <w:rPr>
          <w:rFonts w:ascii="Times New Roman" w:hAnsi="Times New Roman"/>
          <w:sz w:val="24"/>
          <w:szCs w:val="24"/>
        </w:rPr>
        <w:t xml:space="preserve">GC-MS </w:t>
      </w:r>
      <w:r w:rsidR="00BA59ED">
        <w:rPr>
          <w:rFonts w:ascii="Times New Roman" w:hAnsi="Times New Roman"/>
          <w:sz w:val="24"/>
          <w:szCs w:val="24"/>
        </w:rPr>
        <w:t>–</w:t>
      </w:r>
      <w:r w:rsidRPr="002925D6">
        <w:rPr>
          <w:rFonts w:ascii="Times New Roman" w:hAnsi="Times New Roman"/>
          <w:sz w:val="24"/>
          <w:szCs w:val="24"/>
        </w:rPr>
        <w:t xml:space="preserve"> gas chromatography–mass spectrometry</w:t>
      </w:r>
      <w:r>
        <w:rPr>
          <w:rFonts w:ascii="Times New Roman" w:hAnsi="Times New Roman"/>
          <w:sz w:val="24"/>
          <w:szCs w:val="24"/>
        </w:rPr>
        <w:t xml:space="preserve">; </w:t>
      </w:r>
      <w:proofErr w:type="spellStart"/>
      <w:r>
        <w:rPr>
          <w:rFonts w:ascii="Times New Roman" w:hAnsi="Times New Roman"/>
          <w:sz w:val="24"/>
          <w:szCs w:val="24"/>
        </w:rPr>
        <w:t>GPx</w:t>
      </w:r>
      <w:proofErr w:type="spellEnd"/>
      <w:r>
        <w:rPr>
          <w:rFonts w:ascii="Times New Roman" w:hAnsi="Times New Roman"/>
          <w:sz w:val="24"/>
          <w:szCs w:val="24"/>
        </w:rPr>
        <w:t xml:space="preserve"> </w:t>
      </w:r>
      <w:r w:rsidR="00BA59ED">
        <w:rPr>
          <w:rFonts w:ascii="Times New Roman" w:hAnsi="Times New Roman"/>
          <w:sz w:val="24"/>
          <w:szCs w:val="24"/>
        </w:rPr>
        <w:t>–</w:t>
      </w:r>
      <w:r>
        <w:rPr>
          <w:rFonts w:ascii="Times New Roman" w:hAnsi="Times New Roman"/>
          <w:sz w:val="24"/>
          <w:szCs w:val="24"/>
        </w:rPr>
        <w:t xml:space="preserve"> glutathione peroxidase; </w:t>
      </w:r>
      <w:r w:rsidRPr="002925D6">
        <w:rPr>
          <w:rFonts w:ascii="Times New Roman" w:hAnsi="Times New Roman"/>
          <w:sz w:val="24"/>
          <w:szCs w:val="24"/>
        </w:rPr>
        <w:t xml:space="preserve">HHDP </w:t>
      </w:r>
      <w:r>
        <w:rPr>
          <w:rFonts w:ascii="Times New Roman" w:hAnsi="Times New Roman"/>
          <w:sz w:val="24"/>
          <w:szCs w:val="24"/>
        </w:rPr>
        <w:t>–</w:t>
      </w:r>
      <w:r w:rsidRPr="002925D6">
        <w:rPr>
          <w:rFonts w:ascii="Times New Roman" w:hAnsi="Times New Roman"/>
          <w:sz w:val="24"/>
          <w:szCs w:val="24"/>
        </w:rPr>
        <w:t xml:space="preserve"> </w:t>
      </w:r>
      <w:proofErr w:type="spellStart"/>
      <w:r w:rsidRPr="002925D6">
        <w:rPr>
          <w:rFonts w:ascii="Times New Roman" w:hAnsi="Times New Roman"/>
          <w:sz w:val="24"/>
          <w:szCs w:val="24"/>
        </w:rPr>
        <w:t>hexahydroxydiphenoyl</w:t>
      </w:r>
      <w:proofErr w:type="spellEnd"/>
      <w:r>
        <w:rPr>
          <w:rFonts w:ascii="Times New Roman" w:hAnsi="Times New Roman"/>
          <w:sz w:val="24"/>
          <w:szCs w:val="24"/>
        </w:rPr>
        <w:t xml:space="preserve">; </w:t>
      </w:r>
      <w:r w:rsidRPr="002925D6">
        <w:rPr>
          <w:rFonts w:ascii="Times New Roman" w:hAnsi="Times New Roman"/>
          <w:sz w:val="24"/>
          <w:szCs w:val="24"/>
        </w:rPr>
        <w:t xml:space="preserve">HPLC </w:t>
      </w:r>
      <w:r w:rsidR="00BA59ED">
        <w:rPr>
          <w:rFonts w:ascii="Times New Roman" w:hAnsi="Times New Roman"/>
          <w:sz w:val="24"/>
          <w:szCs w:val="24"/>
        </w:rPr>
        <w:t>–</w:t>
      </w:r>
      <w:r w:rsidRPr="002925D6">
        <w:rPr>
          <w:rFonts w:ascii="Times New Roman" w:hAnsi="Times New Roman"/>
          <w:sz w:val="24"/>
          <w:szCs w:val="24"/>
        </w:rPr>
        <w:t xml:space="preserve"> High performance liquid chromatography</w:t>
      </w:r>
      <w:r>
        <w:rPr>
          <w:rFonts w:ascii="Times New Roman" w:hAnsi="Times New Roman"/>
          <w:sz w:val="24"/>
          <w:szCs w:val="24"/>
        </w:rPr>
        <w:t xml:space="preserve">; </w:t>
      </w:r>
      <w:r w:rsidRPr="002925D6">
        <w:rPr>
          <w:rFonts w:ascii="Times New Roman" w:hAnsi="Times New Roman"/>
          <w:sz w:val="24"/>
          <w:szCs w:val="24"/>
        </w:rPr>
        <w:t xml:space="preserve">HPLC </w:t>
      </w:r>
      <w:r w:rsidR="00BA59ED">
        <w:rPr>
          <w:rFonts w:ascii="Times New Roman" w:hAnsi="Times New Roman"/>
          <w:sz w:val="24"/>
          <w:szCs w:val="24"/>
        </w:rPr>
        <w:t>–</w:t>
      </w:r>
      <w:r w:rsidRPr="002925D6">
        <w:rPr>
          <w:rFonts w:ascii="Times New Roman" w:hAnsi="Times New Roman"/>
          <w:sz w:val="24"/>
          <w:szCs w:val="24"/>
        </w:rPr>
        <w:t xml:space="preserve"> High performance liquid chromatography</w:t>
      </w:r>
      <w:r>
        <w:rPr>
          <w:rFonts w:ascii="Times New Roman" w:hAnsi="Times New Roman"/>
          <w:sz w:val="24"/>
          <w:szCs w:val="24"/>
        </w:rPr>
        <w:t xml:space="preserve">; </w:t>
      </w:r>
      <w:r w:rsidRPr="002925D6">
        <w:rPr>
          <w:rFonts w:ascii="Times New Roman" w:hAnsi="Times New Roman"/>
          <w:sz w:val="24"/>
          <w:szCs w:val="24"/>
        </w:rPr>
        <w:t xml:space="preserve">HSQC </w:t>
      </w:r>
      <w:r w:rsidR="00BA59ED">
        <w:rPr>
          <w:rFonts w:ascii="Times New Roman" w:hAnsi="Times New Roman"/>
          <w:sz w:val="24"/>
          <w:szCs w:val="24"/>
        </w:rPr>
        <w:t>–</w:t>
      </w:r>
      <w:r w:rsidRPr="002925D6">
        <w:rPr>
          <w:rFonts w:ascii="Times New Roman" w:hAnsi="Times New Roman"/>
          <w:sz w:val="24"/>
          <w:szCs w:val="24"/>
        </w:rPr>
        <w:t xml:space="preserve"> heteronuclear single quantum correlation</w:t>
      </w:r>
      <w:r>
        <w:rPr>
          <w:rFonts w:ascii="Times New Roman" w:hAnsi="Times New Roman"/>
          <w:sz w:val="24"/>
          <w:szCs w:val="24"/>
        </w:rPr>
        <w:t xml:space="preserve">; </w:t>
      </w:r>
      <w:r w:rsidRPr="002925D6">
        <w:rPr>
          <w:rFonts w:ascii="Times New Roman" w:hAnsi="Times New Roman"/>
          <w:sz w:val="24"/>
          <w:szCs w:val="24"/>
        </w:rPr>
        <w:t xml:space="preserve">LC-MS </w:t>
      </w:r>
      <w:r w:rsidR="00BA59ED">
        <w:rPr>
          <w:rFonts w:ascii="Times New Roman" w:hAnsi="Times New Roman"/>
          <w:sz w:val="24"/>
          <w:szCs w:val="24"/>
        </w:rPr>
        <w:t>–</w:t>
      </w:r>
      <w:r w:rsidRPr="002925D6">
        <w:rPr>
          <w:rFonts w:ascii="Times New Roman" w:hAnsi="Times New Roman"/>
          <w:sz w:val="24"/>
          <w:szCs w:val="24"/>
        </w:rPr>
        <w:t xml:space="preserve"> liquid chromatography–mass spectrometry</w:t>
      </w:r>
      <w:r>
        <w:rPr>
          <w:rFonts w:ascii="Times New Roman" w:hAnsi="Times New Roman"/>
          <w:sz w:val="24"/>
          <w:szCs w:val="24"/>
        </w:rPr>
        <w:t xml:space="preserve">; </w:t>
      </w:r>
      <w:r w:rsidRPr="002925D6">
        <w:rPr>
          <w:rFonts w:ascii="Times New Roman" w:hAnsi="Times New Roman"/>
          <w:sz w:val="24"/>
          <w:szCs w:val="24"/>
        </w:rPr>
        <w:t xml:space="preserve">MTT </w:t>
      </w:r>
      <w:r w:rsidR="00BA59ED">
        <w:rPr>
          <w:rFonts w:ascii="Times New Roman" w:hAnsi="Times New Roman"/>
          <w:sz w:val="24"/>
          <w:szCs w:val="24"/>
        </w:rPr>
        <w:t>–</w:t>
      </w:r>
      <w:r w:rsidRPr="002925D6">
        <w:rPr>
          <w:rFonts w:ascii="Times New Roman" w:hAnsi="Times New Roman"/>
          <w:sz w:val="24"/>
          <w:szCs w:val="24"/>
        </w:rPr>
        <w:t xml:space="preserve"> methyl thiazolyl diphenyl-tetrazolium bromide</w:t>
      </w:r>
      <w:r>
        <w:rPr>
          <w:rFonts w:ascii="Times New Roman" w:hAnsi="Times New Roman"/>
          <w:sz w:val="24"/>
          <w:szCs w:val="24"/>
        </w:rPr>
        <w:t xml:space="preserve">; </w:t>
      </w:r>
      <w:r w:rsidRPr="002925D6">
        <w:rPr>
          <w:rFonts w:ascii="Times New Roman" w:hAnsi="Times New Roman"/>
          <w:sz w:val="24"/>
          <w:szCs w:val="24"/>
        </w:rPr>
        <w:t xml:space="preserve">NMR </w:t>
      </w:r>
      <w:r w:rsidR="00BA59ED">
        <w:rPr>
          <w:rFonts w:ascii="Times New Roman" w:hAnsi="Times New Roman"/>
          <w:sz w:val="24"/>
          <w:szCs w:val="24"/>
        </w:rPr>
        <w:t>–</w:t>
      </w:r>
      <w:r w:rsidRPr="002925D6">
        <w:rPr>
          <w:rFonts w:ascii="Times New Roman" w:hAnsi="Times New Roman"/>
          <w:sz w:val="24"/>
          <w:szCs w:val="24"/>
        </w:rPr>
        <w:t xml:space="preserve"> nuclear magnetic resonance</w:t>
      </w:r>
      <w:r>
        <w:rPr>
          <w:rFonts w:ascii="Times New Roman" w:hAnsi="Times New Roman"/>
          <w:sz w:val="24"/>
          <w:szCs w:val="24"/>
        </w:rPr>
        <w:t>; ROS</w:t>
      </w:r>
      <w:r w:rsidR="00BA59ED">
        <w:rPr>
          <w:rFonts w:ascii="Times New Roman" w:hAnsi="Times New Roman"/>
          <w:sz w:val="24"/>
          <w:szCs w:val="24"/>
        </w:rPr>
        <w:t xml:space="preserve"> –</w:t>
      </w:r>
      <w:r>
        <w:rPr>
          <w:rFonts w:ascii="Times New Roman" w:hAnsi="Times New Roman"/>
          <w:sz w:val="24"/>
          <w:szCs w:val="24"/>
        </w:rPr>
        <w:t xml:space="preserve"> reactive </w:t>
      </w:r>
      <w:r>
        <w:rPr>
          <w:rFonts w:ascii="Times New Roman" w:hAnsi="Times New Roman"/>
          <w:sz w:val="24"/>
          <w:szCs w:val="24"/>
        </w:rPr>
        <w:lastRenderedPageBreak/>
        <w:t xml:space="preserve">oxygen species; </w:t>
      </w:r>
      <w:r w:rsidR="00BA59ED">
        <w:rPr>
          <w:rFonts w:ascii="Times New Roman" w:hAnsi="Times New Roman"/>
          <w:sz w:val="24"/>
          <w:szCs w:val="24"/>
        </w:rPr>
        <w:t xml:space="preserve">SEM – </w:t>
      </w:r>
      <w:r w:rsidRPr="002925D6">
        <w:rPr>
          <w:rFonts w:ascii="Times New Roman" w:hAnsi="Times New Roman"/>
          <w:sz w:val="24"/>
          <w:szCs w:val="24"/>
        </w:rPr>
        <w:t>standard error of mean</w:t>
      </w:r>
      <w:r>
        <w:rPr>
          <w:rFonts w:ascii="Times New Roman" w:hAnsi="Times New Roman"/>
          <w:sz w:val="24"/>
          <w:szCs w:val="24"/>
        </w:rPr>
        <w:t xml:space="preserve">; SOD </w:t>
      </w:r>
      <w:r w:rsidR="00BA59ED">
        <w:rPr>
          <w:rFonts w:ascii="Times New Roman" w:hAnsi="Times New Roman"/>
          <w:sz w:val="24"/>
          <w:szCs w:val="24"/>
        </w:rPr>
        <w:t>–</w:t>
      </w:r>
      <w:r>
        <w:rPr>
          <w:rFonts w:ascii="Times New Roman" w:hAnsi="Times New Roman"/>
          <w:sz w:val="24"/>
          <w:szCs w:val="24"/>
        </w:rPr>
        <w:t xml:space="preserve"> superoxide dismutase; </w:t>
      </w:r>
      <w:r w:rsidRPr="002925D6">
        <w:rPr>
          <w:rFonts w:ascii="Times New Roman" w:hAnsi="Times New Roman"/>
          <w:sz w:val="24"/>
          <w:szCs w:val="24"/>
        </w:rPr>
        <w:t xml:space="preserve">TPC </w:t>
      </w:r>
      <w:r w:rsidR="00BA59ED">
        <w:rPr>
          <w:rFonts w:ascii="Times New Roman" w:hAnsi="Times New Roman"/>
          <w:sz w:val="24"/>
          <w:szCs w:val="24"/>
        </w:rPr>
        <w:t>–</w:t>
      </w:r>
      <w:r w:rsidRPr="002925D6">
        <w:rPr>
          <w:rFonts w:ascii="Times New Roman" w:hAnsi="Times New Roman"/>
          <w:sz w:val="24"/>
          <w:szCs w:val="24"/>
        </w:rPr>
        <w:t xml:space="preserve"> total phenolic content</w:t>
      </w:r>
      <w:r>
        <w:rPr>
          <w:rFonts w:ascii="Times New Roman" w:hAnsi="Times New Roman"/>
          <w:sz w:val="24"/>
          <w:szCs w:val="24"/>
        </w:rPr>
        <w:t>.</w:t>
      </w:r>
    </w:p>
    <w:p w14:paraId="70316323" w14:textId="05CA0036" w:rsidR="002163EC" w:rsidRPr="00E31225" w:rsidRDefault="00E31225" w:rsidP="00C15F5B">
      <w:pPr>
        <w:pStyle w:val="ListParagraph"/>
        <w:numPr>
          <w:ilvl w:val="0"/>
          <w:numId w:val="2"/>
        </w:numPr>
        <w:spacing w:line="276" w:lineRule="auto"/>
        <w:jc w:val="both"/>
        <w:rPr>
          <w:rFonts w:ascii="Times New Roman" w:hAnsi="Times New Roman"/>
          <w:b/>
          <w:sz w:val="24"/>
          <w:szCs w:val="24"/>
        </w:rPr>
      </w:pPr>
      <w:r w:rsidRPr="00E31225">
        <w:rPr>
          <w:rFonts w:ascii="Times New Roman" w:hAnsi="Times New Roman"/>
          <w:b/>
          <w:sz w:val="24"/>
          <w:szCs w:val="24"/>
        </w:rPr>
        <w:t>INTRODUCTION</w:t>
      </w:r>
    </w:p>
    <w:p w14:paraId="31B52A87" w14:textId="69FA05BF" w:rsidR="00C70843" w:rsidRDefault="00B65892" w:rsidP="00C15F5B">
      <w:pPr>
        <w:spacing w:line="276" w:lineRule="auto"/>
        <w:jc w:val="both"/>
        <w:rPr>
          <w:rFonts w:ascii="Times New Roman" w:hAnsi="Times New Roman"/>
          <w:sz w:val="24"/>
          <w:szCs w:val="24"/>
        </w:rPr>
      </w:pPr>
      <w:r>
        <w:rPr>
          <w:rFonts w:ascii="Times New Roman" w:hAnsi="Times New Roman"/>
          <w:sz w:val="24"/>
          <w:szCs w:val="24"/>
        </w:rPr>
        <w:t>Cancer remains a major public health concern d</w:t>
      </w:r>
      <w:r w:rsidR="002A6F28">
        <w:rPr>
          <w:rFonts w:ascii="Times New Roman" w:hAnsi="Times New Roman"/>
          <w:sz w:val="24"/>
          <w:szCs w:val="24"/>
        </w:rPr>
        <w:t xml:space="preserve">espite the </w:t>
      </w:r>
      <w:r w:rsidR="0048004D">
        <w:rPr>
          <w:rFonts w:ascii="Times New Roman" w:hAnsi="Times New Roman"/>
          <w:sz w:val="24"/>
          <w:szCs w:val="24"/>
        </w:rPr>
        <w:t xml:space="preserve">medico-technical advances </w:t>
      </w:r>
      <w:r w:rsidR="00865DA2">
        <w:rPr>
          <w:rFonts w:ascii="Times New Roman" w:hAnsi="Times New Roman"/>
          <w:sz w:val="24"/>
          <w:szCs w:val="24"/>
        </w:rPr>
        <w:t xml:space="preserve">in the </w:t>
      </w:r>
      <w:r w:rsidR="005B3EDE">
        <w:rPr>
          <w:rFonts w:ascii="Times New Roman" w:hAnsi="Times New Roman"/>
          <w:sz w:val="24"/>
          <w:szCs w:val="24"/>
        </w:rPr>
        <w:t>field</w:t>
      </w:r>
      <w:r w:rsidR="00865DA2">
        <w:rPr>
          <w:rFonts w:ascii="Times New Roman" w:hAnsi="Times New Roman"/>
          <w:sz w:val="24"/>
          <w:szCs w:val="24"/>
        </w:rPr>
        <w:t xml:space="preserve"> of therapeutics</w:t>
      </w:r>
      <w:r w:rsidR="005B3EDE">
        <w:rPr>
          <w:rFonts w:ascii="Times New Roman" w:hAnsi="Times New Roman"/>
          <w:sz w:val="24"/>
          <w:szCs w:val="24"/>
        </w:rPr>
        <w:t xml:space="preserve">. </w:t>
      </w:r>
      <w:r w:rsidR="00E62462">
        <w:rPr>
          <w:rFonts w:ascii="Times New Roman" w:hAnsi="Times New Roman"/>
          <w:sz w:val="24"/>
          <w:szCs w:val="24"/>
        </w:rPr>
        <w:t>With a</w:t>
      </w:r>
      <w:r w:rsidR="00394A6F">
        <w:rPr>
          <w:rFonts w:ascii="Times New Roman" w:hAnsi="Times New Roman"/>
          <w:sz w:val="24"/>
          <w:szCs w:val="24"/>
        </w:rPr>
        <w:t xml:space="preserve">n alarming </w:t>
      </w:r>
      <w:r w:rsidR="001E3615">
        <w:rPr>
          <w:rFonts w:ascii="Times New Roman" w:hAnsi="Times New Roman"/>
          <w:sz w:val="24"/>
          <w:szCs w:val="24"/>
        </w:rPr>
        <w:t xml:space="preserve">global </w:t>
      </w:r>
      <w:r w:rsidR="00E62462">
        <w:rPr>
          <w:rFonts w:ascii="Times New Roman" w:hAnsi="Times New Roman"/>
          <w:sz w:val="24"/>
          <w:szCs w:val="24"/>
        </w:rPr>
        <w:t>death toll of</w:t>
      </w:r>
      <w:r w:rsidR="00637779">
        <w:rPr>
          <w:rFonts w:ascii="Times New Roman" w:hAnsi="Times New Roman"/>
          <w:sz w:val="24"/>
          <w:szCs w:val="24"/>
        </w:rPr>
        <w:t xml:space="preserve"> 9.6 million in </w:t>
      </w:r>
      <w:r w:rsidR="00E62462">
        <w:rPr>
          <w:rFonts w:ascii="Times New Roman" w:hAnsi="Times New Roman"/>
          <w:sz w:val="24"/>
          <w:szCs w:val="24"/>
        </w:rPr>
        <w:t xml:space="preserve">2018, cancer </w:t>
      </w:r>
      <w:r w:rsidR="00396441">
        <w:rPr>
          <w:rFonts w:ascii="Times New Roman" w:hAnsi="Times New Roman"/>
          <w:sz w:val="24"/>
          <w:szCs w:val="24"/>
        </w:rPr>
        <w:t>ranks among the top</w:t>
      </w:r>
      <w:r w:rsidR="001E3615">
        <w:rPr>
          <w:rFonts w:ascii="Times New Roman" w:hAnsi="Times New Roman"/>
          <w:sz w:val="24"/>
          <w:szCs w:val="24"/>
        </w:rPr>
        <w:t xml:space="preserve"> leading cause</w:t>
      </w:r>
      <w:r w:rsidR="00394A6F">
        <w:rPr>
          <w:rFonts w:ascii="Times New Roman" w:hAnsi="Times New Roman"/>
          <w:sz w:val="24"/>
          <w:szCs w:val="24"/>
        </w:rPr>
        <w:t>s</w:t>
      </w:r>
      <w:r w:rsidR="00E62462">
        <w:rPr>
          <w:rFonts w:ascii="Times New Roman" w:hAnsi="Times New Roman"/>
          <w:sz w:val="24"/>
          <w:szCs w:val="24"/>
        </w:rPr>
        <w:t xml:space="preserve"> of </w:t>
      </w:r>
      <w:r w:rsidR="00137D79">
        <w:rPr>
          <w:rFonts w:ascii="Times New Roman" w:hAnsi="Times New Roman"/>
          <w:sz w:val="24"/>
          <w:szCs w:val="24"/>
        </w:rPr>
        <w:t xml:space="preserve">mortality due to </w:t>
      </w:r>
      <w:r w:rsidR="001E3615">
        <w:rPr>
          <w:rFonts w:ascii="Times New Roman" w:hAnsi="Times New Roman"/>
          <w:sz w:val="24"/>
          <w:szCs w:val="24"/>
        </w:rPr>
        <w:t>non-communicable disease</w:t>
      </w:r>
      <w:r w:rsidR="00137D79">
        <w:rPr>
          <w:rFonts w:ascii="Times New Roman" w:hAnsi="Times New Roman"/>
          <w:sz w:val="24"/>
          <w:szCs w:val="24"/>
        </w:rPr>
        <w:t xml:space="preserve">s </w:t>
      </w:r>
      <w:r w:rsidR="00857C19">
        <w:rPr>
          <w:rFonts w:ascii="Times New Roman" w:hAnsi="Times New Roman"/>
          <w:sz w:val="24"/>
          <w:szCs w:val="24"/>
        </w:rPr>
        <w:fldChar w:fldCharType="begin" w:fldLock="1"/>
      </w:r>
      <w:r w:rsidR="0027650C">
        <w:rPr>
          <w:rFonts w:ascii="Times New Roman" w:hAnsi="Times New Roman"/>
          <w:sz w:val="24"/>
          <w:szCs w:val="24"/>
        </w:rPr>
        <w:instrText>ADDIN CSL_CITATION {"citationItems":[{"id":"ITEM-1","itemData":{"abstract":"today released the latest estimates on the global burden of cancer. The GLOBOCAN 2018 database, accessible online as part of the IARC Global Cancer Observatory, provides estimates of incidence and mortality in 185 countries for 36 types of cancer and for all cancer sites combined. An analysis of these results, published today in CA: A Cancer Journal for Clinicians, highlights the large geographical diversity in cancer occurrence and the variations in the magnitude and profile of the disease between and within world regions. Global cancer burden The global cancer burden is estimated to have risen to 18.1 million new cases and 9.6 million deaths in 2018. One in 5 men and one in 6 women worldwide develop cancer during their lifetime, and one in 8 men and one in 11 women die from the disease. Worldwide, the total number of people who are alive within 5 years of a cancer diagnosis, called the 5-year prevalence, is estimated to be 43.8 million. The increasing cancer burden is due to several factors, including population growth and ageing as well as the changing prevalence of certain causes of cancer linked to social and economic development. This is particularly true in rapidly growing economies, where a shift is observed from cancers related to poverty and infections to cancers associated with lifestyles more typical of industrialized countries. Effective prevention efforts may explain the observed decrease in incidence rates for some cancers, such as lung cancer (e.g. in men in Northern Europe and North America) and cervical cancer (e.g. in most regions apart from Sub-Saharan Africa). However, the new data show that most countries are still faced with an increase in the absolute number of cases being diagnosed and requiring treatment and care. Global patterns show that for men and women combined, nearly half of the new cases and more than half of the cancer deaths worldwide in 2018 are estimated to occur in Asia, in part because the region has nearly 60% of the global population. Europe accounts for 23.4% of the global cancer cases and 20.3% of the cancer deaths, although it has only 9.0% of the global population. The Americas have 13.3% of the global population and account for 21.0% of incidence and 14.4% of mortality worldwide. In contrast to other world regions, the proportions of cancer deaths in Asia and in Africa (57.3% and 7.3%, respectively) are higher than the proportions of incident cases (48.4% and 5.8%, respectively), because these regions have …","author":[{"dropping-particle":"","family":"World Health Organisation","given":"","non-dropping-particle":"","parse-names":false,"suffix":""}],"container-title":"International Agency for Research on cancer","id":"ITEM-1","issue":"263","issued":{"date-parts":[["2018"]]},"title":"Global cancer data","type":"report"},"uris":["http://www.mendeley.com/documents/?uuid=635cf3f2-87ae-4d97-ab4c-0866b4320083"]}],"mendeley":{"formattedCitation":"(World Health Organisation, 2018)","plainTextFormattedCitation":"(World Health Organisation, 2018)","previouslyFormattedCitation":"[1]"},"properties":{"noteIndex":0},"schema":"https://github.com/citation-style-language/schema/raw/master/csl-citation.json"}</w:instrText>
      </w:r>
      <w:r w:rsidR="00857C19">
        <w:rPr>
          <w:rFonts w:ascii="Times New Roman" w:hAnsi="Times New Roman"/>
          <w:sz w:val="24"/>
          <w:szCs w:val="24"/>
        </w:rPr>
        <w:fldChar w:fldCharType="separate"/>
      </w:r>
      <w:r w:rsidR="0027650C" w:rsidRPr="0027650C">
        <w:rPr>
          <w:rFonts w:ascii="Times New Roman" w:hAnsi="Times New Roman"/>
          <w:noProof/>
          <w:sz w:val="24"/>
          <w:szCs w:val="24"/>
        </w:rPr>
        <w:t>(World Health Organisation, 2018)</w:t>
      </w:r>
      <w:r w:rsidR="00857C19">
        <w:rPr>
          <w:rFonts w:ascii="Times New Roman" w:hAnsi="Times New Roman"/>
          <w:sz w:val="24"/>
          <w:szCs w:val="24"/>
        </w:rPr>
        <w:fldChar w:fldCharType="end"/>
      </w:r>
      <w:r w:rsidR="00637779">
        <w:rPr>
          <w:rFonts w:ascii="Times New Roman" w:hAnsi="Times New Roman"/>
          <w:sz w:val="24"/>
          <w:szCs w:val="24"/>
        </w:rPr>
        <w:t>.</w:t>
      </w:r>
      <w:r w:rsidR="005A35A5">
        <w:rPr>
          <w:rFonts w:ascii="Times New Roman" w:hAnsi="Times New Roman"/>
          <w:sz w:val="24"/>
          <w:szCs w:val="24"/>
        </w:rPr>
        <w:t xml:space="preserve"> </w:t>
      </w:r>
      <w:r>
        <w:rPr>
          <w:rFonts w:ascii="Times New Roman" w:hAnsi="Times New Roman"/>
          <w:sz w:val="24"/>
          <w:szCs w:val="24"/>
        </w:rPr>
        <w:t>This is also the case in Sub Saharan Africa</w:t>
      </w:r>
      <w:r w:rsidR="004A30FF">
        <w:rPr>
          <w:rFonts w:ascii="Times New Roman" w:hAnsi="Times New Roman"/>
          <w:sz w:val="24"/>
          <w:szCs w:val="24"/>
        </w:rPr>
        <w:t xml:space="preserve"> </w:t>
      </w:r>
      <w:r w:rsidR="004A30FF">
        <w:rPr>
          <w:rFonts w:ascii="Times New Roman" w:hAnsi="Times New Roman"/>
          <w:sz w:val="24"/>
          <w:szCs w:val="24"/>
        </w:rPr>
        <w:fldChar w:fldCharType="begin" w:fldLock="1"/>
      </w:r>
      <w:r w:rsidR="0027650C">
        <w:rPr>
          <w:rFonts w:ascii="Times New Roman" w:hAnsi="Times New Roman"/>
          <w:sz w:val="24"/>
          <w:szCs w:val="24"/>
        </w:rPr>
        <w:instrText>ADDIN CSL_CITATION {"citationItems":[{"id":"ITEM-1","itemData":{"DOI":"10.1126/science.aay4743","ISSN":"0036-8075","author":[{"dropping-particle":"","family":"Rebbeck","given":"Timothy R.","non-dropping-particle":"","parse-names":false,"suffix":""}],"container-title":"Science","id":"ITEM-1","issue":"6473","issued":{"date-parts":[["2020","1","3"]]},"page":"27-28","title":"Cancer in sub-Saharan Africa","type":"article-journal","volume":"367"},"uris":["http://www.mendeley.com/documents/?uuid=e794ae49-8619-4594-a16c-1c66ebb15533"]}],"mendeley":{"formattedCitation":"(Rebbeck, 2020)","plainTextFormattedCitation":"(Rebbeck, 2020)","previouslyFormattedCitation":"[2]"},"properties":{"noteIndex":0},"schema":"https://github.com/citation-style-language/schema/raw/master/csl-citation.json"}</w:instrText>
      </w:r>
      <w:r w:rsidR="004A30FF">
        <w:rPr>
          <w:rFonts w:ascii="Times New Roman" w:hAnsi="Times New Roman"/>
          <w:sz w:val="24"/>
          <w:szCs w:val="24"/>
        </w:rPr>
        <w:fldChar w:fldCharType="separate"/>
      </w:r>
      <w:r w:rsidR="0027650C" w:rsidRPr="0027650C">
        <w:rPr>
          <w:rFonts w:ascii="Times New Roman" w:hAnsi="Times New Roman"/>
          <w:noProof/>
          <w:sz w:val="24"/>
          <w:szCs w:val="24"/>
        </w:rPr>
        <w:t>(Rebbeck, 2020)</w:t>
      </w:r>
      <w:r w:rsidR="004A30FF">
        <w:rPr>
          <w:rFonts w:ascii="Times New Roman" w:hAnsi="Times New Roman"/>
          <w:sz w:val="24"/>
          <w:szCs w:val="24"/>
        </w:rPr>
        <w:fldChar w:fldCharType="end"/>
      </w:r>
      <w:r w:rsidR="004A30FF">
        <w:rPr>
          <w:rFonts w:ascii="Times New Roman" w:hAnsi="Times New Roman"/>
          <w:sz w:val="24"/>
          <w:szCs w:val="24"/>
        </w:rPr>
        <w:t>.</w:t>
      </w:r>
      <w:r>
        <w:rPr>
          <w:rFonts w:ascii="Times New Roman" w:hAnsi="Times New Roman"/>
          <w:sz w:val="24"/>
          <w:szCs w:val="24"/>
        </w:rPr>
        <w:t xml:space="preserve">  </w:t>
      </w:r>
      <w:r w:rsidR="00DA621B">
        <w:rPr>
          <w:rFonts w:ascii="Times New Roman" w:hAnsi="Times New Roman"/>
          <w:sz w:val="24"/>
          <w:szCs w:val="24"/>
        </w:rPr>
        <w:t xml:space="preserve">The </w:t>
      </w:r>
      <w:r w:rsidR="00F66391">
        <w:rPr>
          <w:rFonts w:ascii="Times New Roman" w:hAnsi="Times New Roman"/>
          <w:sz w:val="24"/>
          <w:szCs w:val="24"/>
        </w:rPr>
        <w:t xml:space="preserve">complexity of cancer </w:t>
      </w:r>
      <w:r w:rsidR="00DD0B4E">
        <w:rPr>
          <w:rFonts w:ascii="Times New Roman" w:hAnsi="Times New Roman"/>
          <w:sz w:val="24"/>
          <w:szCs w:val="24"/>
        </w:rPr>
        <w:t>aetiology</w:t>
      </w:r>
      <w:r w:rsidR="00F66391">
        <w:rPr>
          <w:rFonts w:ascii="Times New Roman" w:hAnsi="Times New Roman"/>
          <w:sz w:val="24"/>
          <w:szCs w:val="24"/>
        </w:rPr>
        <w:t xml:space="preserve"> and multifactorial nature</w:t>
      </w:r>
      <w:r w:rsidR="00DC7A2E">
        <w:rPr>
          <w:rFonts w:ascii="Times New Roman" w:hAnsi="Times New Roman"/>
          <w:sz w:val="24"/>
          <w:szCs w:val="24"/>
        </w:rPr>
        <w:t xml:space="preserve"> of</w:t>
      </w:r>
      <w:r w:rsidR="00F66391">
        <w:rPr>
          <w:rFonts w:ascii="Times New Roman" w:hAnsi="Times New Roman"/>
          <w:sz w:val="24"/>
          <w:szCs w:val="24"/>
        </w:rPr>
        <w:t xml:space="preserve"> </w:t>
      </w:r>
      <w:r w:rsidR="00DD0B4E">
        <w:rPr>
          <w:rFonts w:ascii="Times New Roman" w:hAnsi="Times New Roman"/>
          <w:sz w:val="24"/>
          <w:szCs w:val="24"/>
        </w:rPr>
        <w:t>tumour</w:t>
      </w:r>
      <w:r w:rsidR="00F66391">
        <w:rPr>
          <w:rFonts w:ascii="Times New Roman" w:hAnsi="Times New Roman"/>
          <w:sz w:val="24"/>
          <w:szCs w:val="24"/>
        </w:rPr>
        <w:t xml:space="preserve"> dr</w:t>
      </w:r>
      <w:r w:rsidR="002528F9">
        <w:rPr>
          <w:rFonts w:ascii="Times New Roman" w:hAnsi="Times New Roman"/>
          <w:sz w:val="24"/>
          <w:szCs w:val="24"/>
        </w:rPr>
        <w:t>ug resistance</w:t>
      </w:r>
      <w:r w:rsidR="006A1963">
        <w:rPr>
          <w:rFonts w:ascii="Times New Roman" w:hAnsi="Times New Roman"/>
          <w:sz w:val="24"/>
          <w:szCs w:val="24"/>
        </w:rPr>
        <w:t xml:space="preserve"> </w:t>
      </w:r>
      <w:r>
        <w:rPr>
          <w:rFonts w:ascii="Times New Roman" w:hAnsi="Times New Roman"/>
          <w:sz w:val="24"/>
          <w:szCs w:val="24"/>
        </w:rPr>
        <w:t>along wit</w:t>
      </w:r>
      <w:r w:rsidR="004A30FF">
        <w:rPr>
          <w:rFonts w:ascii="Times New Roman" w:hAnsi="Times New Roman"/>
          <w:sz w:val="24"/>
          <w:szCs w:val="24"/>
        </w:rPr>
        <w:t xml:space="preserve">h the toxic effects render </w:t>
      </w:r>
      <w:r w:rsidR="00BF7FE3">
        <w:rPr>
          <w:rFonts w:ascii="Times New Roman" w:hAnsi="Times New Roman"/>
          <w:sz w:val="24"/>
          <w:szCs w:val="24"/>
        </w:rPr>
        <w:t xml:space="preserve">effective </w:t>
      </w:r>
      <w:r w:rsidR="002528F9">
        <w:rPr>
          <w:rFonts w:ascii="Times New Roman" w:hAnsi="Times New Roman"/>
          <w:sz w:val="24"/>
          <w:szCs w:val="24"/>
        </w:rPr>
        <w:t xml:space="preserve">oncotherapy </w:t>
      </w:r>
      <w:r w:rsidR="006A0BE5">
        <w:rPr>
          <w:rFonts w:ascii="Times New Roman" w:hAnsi="Times New Roman"/>
          <w:sz w:val="24"/>
          <w:szCs w:val="24"/>
        </w:rPr>
        <w:t>elusive</w:t>
      </w:r>
      <w:r w:rsidR="00D1181D">
        <w:rPr>
          <w:rFonts w:ascii="Times New Roman" w:hAnsi="Times New Roman"/>
          <w:sz w:val="24"/>
          <w:szCs w:val="24"/>
        </w:rPr>
        <w:t xml:space="preserve"> </w:t>
      </w:r>
      <w:r w:rsidR="00D1181D">
        <w:rPr>
          <w:rFonts w:ascii="Times New Roman" w:hAnsi="Times New Roman"/>
          <w:sz w:val="24"/>
          <w:szCs w:val="24"/>
        </w:rPr>
        <w:fldChar w:fldCharType="begin" w:fldLock="1"/>
      </w:r>
      <w:r w:rsidR="0027650C">
        <w:rPr>
          <w:rFonts w:ascii="Times New Roman" w:hAnsi="Times New Roman"/>
          <w:sz w:val="24"/>
          <w:szCs w:val="24"/>
        </w:rPr>
        <w:instrText>ADDIN CSL_CITATION {"citationItems":[{"id":"ITEM-1","itemData":{"DOI":"10.1016/j.eururo.2018.02.023","ISSN":"03022838","author":[{"dropping-particle":"","family":"Rajpert-De Meyts","given":"Ewa","non-dropping-particle":"","parse-names":false,"suffix":""},{"dropping-particle":"","family":"Skotheim","given":"Rolf I.","non-dropping-particle":"","parse-names":false,"suffix":""}],"container-title":"European Urology","id":"ITEM-1","issue":"6","issued":{"date-parts":[["2018","6"]]},"page":"832-833","publisher":"European Association of Urology","title":"Complex Polygenic Nature of Testicular Germ Cell Cancer Suggests Multifactorial Aetiology","type":"article-journal","volume":"73"},"uris":["http://www.mendeley.com/documents/?uuid=21f5cd78-c819-4315-936d-4b5e03a61d57"]},{"id":"ITEM-2","itemData":{"DOI":"10.3389/fphar.2018.00245","ISSN":"1663-9812","author":[{"dropping-particle":"","family":"Nurgali","given":"Kulmira","non-dropping-particle":"","parse-names":false,"suffix":""},{"dropping-particle":"","family":"Jagoe","given":"R. Thomas","non-dropping-particle":"","parse-names":false,"suffix":""},{"dropping-particle":"","family":"Abalo","given":"Raquel","non-dropping-particle":"","parse-names":false,"suffix":""}],"container-title":"Frontiers in Pharmacology","id":"ITEM-2","issue":"MAR","issued":{"date-parts":[["2018","3","22"]]},"page":"1-3","title":"Editorial: Adverse Effects of Cancer Chemotherapy: Anything New to Improve Tolerance and Reduce Sequelae?","type":"article-journal","volume":"9"},"uris":["http://www.mendeley.com/documents/?uuid=0f3ef23e-9d27-4a40-b0e6-b3219a77382d"]}],"mendeley":{"formattedCitation":"(Nurgali et al., 2018; Rajpert-De Meyts and Skotheim, 2018)","plainTextFormattedCitation":"(Nurgali et al., 2018; Rajpert-De Meyts and Skotheim, 2018)","previouslyFormattedCitation":"[3,4]"},"properties":{"noteIndex":0},"schema":"https://github.com/citation-style-language/schema/raw/master/csl-citation.json"}</w:instrText>
      </w:r>
      <w:r w:rsidR="00D1181D">
        <w:rPr>
          <w:rFonts w:ascii="Times New Roman" w:hAnsi="Times New Roman"/>
          <w:sz w:val="24"/>
          <w:szCs w:val="24"/>
        </w:rPr>
        <w:fldChar w:fldCharType="separate"/>
      </w:r>
      <w:r w:rsidR="0027650C" w:rsidRPr="0027650C">
        <w:rPr>
          <w:rFonts w:ascii="Times New Roman" w:hAnsi="Times New Roman"/>
          <w:noProof/>
          <w:sz w:val="24"/>
          <w:szCs w:val="24"/>
        </w:rPr>
        <w:t>(Nurgali et al., 2018; Rajpert-De Meyts and Skotheim, 2018)</w:t>
      </w:r>
      <w:r w:rsidR="00D1181D">
        <w:rPr>
          <w:rFonts w:ascii="Times New Roman" w:hAnsi="Times New Roman"/>
          <w:sz w:val="24"/>
          <w:szCs w:val="24"/>
        </w:rPr>
        <w:fldChar w:fldCharType="end"/>
      </w:r>
      <w:r w:rsidR="00BF7FE3">
        <w:rPr>
          <w:rFonts w:ascii="Times New Roman" w:hAnsi="Times New Roman"/>
          <w:sz w:val="24"/>
          <w:szCs w:val="24"/>
        </w:rPr>
        <w:t xml:space="preserve">. </w:t>
      </w:r>
      <w:r w:rsidR="00AB79AD">
        <w:rPr>
          <w:rFonts w:ascii="Times New Roman" w:hAnsi="Times New Roman"/>
          <w:sz w:val="24"/>
          <w:szCs w:val="24"/>
        </w:rPr>
        <w:t xml:space="preserve">Therefore, there is </w:t>
      </w:r>
      <w:r w:rsidR="00B91052">
        <w:rPr>
          <w:rFonts w:ascii="Times New Roman" w:hAnsi="Times New Roman"/>
          <w:sz w:val="24"/>
          <w:szCs w:val="24"/>
        </w:rPr>
        <w:t>a compelling need for developing n</w:t>
      </w:r>
      <w:r w:rsidR="003C51D0">
        <w:rPr>
          <w:rFonts w:ascii="Times New Roman" w:hAnsi="Times New Roman"/>
          <w:sz w:val="24"/>
          <w:szCs w:val="24"/>
        </w:rPr>
        <w:t>ew</w:t>
      </w:r>
      <w:r w:rsidR="00322019">
        <w:rPr>
          <w:rFonts w:ascii="Times New Roman" w:hAnsi="Times New Roman"/>
          <w:sz w:val="24"/>
          <w:szCs w:val="24"/>
        </w:rPr>
        <w:t xml:space="preserve"> </w:t>
      </w:r>
      <w:r w:rsidR="00EB7C58">
        <w:rPr>
          <w:rFonts w:ascii="Times New Roman" w:hAnsi="Times New Roman"/>
          <w:sz w:val="24"/>
          <w:szCs w:val="24"/>
        </w:rPr>
        <w:t xml:space="preserve">and alternative </w:t>
      </w:r>
      <w:r w:rsidR="009E1473">
        <w:rPr>
          <w:rFonts w:ascii="Times New Roman" w:hAnsi="Times New Roman"/>
          <w:sz w:val="24"/>
          <w:szCs w:val="24"/>
        </w:rPr>
        <w:t xml:space="preserve">onco-therapeutics </w:t>
      </w:r>
      <w:r w:rsidR="00AA3476">
        <w:rPr>
          <w:rFonts w:ascii="Times New Roman" w:hAnsi="Times New Roman"/>
          <w:sz w:val="24"/>
          <w:szCs w:val="24"/>
        </w:rPr>
        <w:t>with</w:t>
      </w:r>
      <w:r w:rsidR="003C51D0">
        <w:rPr>
          <w:rFonts w:ascii="Times New Roman" w:hAnsi="Times New Roman"/>
          <w:sz w:val="24"/>
          <w:szCs w:val="24"/>
        </w:rPr>
        <w:t xml:space="preserve"> novel oncogenic targets, </w:t>
      </w:r>
      <w:r w:rsidR="00E34A89">
        <w:rPr>
          <w:rFonts w:ascii="Times New Roman" w:hAnsi="Times New Roman"/>
          <w:sz w:val="24"/>
          <w:szCs w:val="24"/>
        </w:rPr>
        <w:t>reduce</w:t>
      </w:r>
      <w:r w:rsidR="00281275">
        <w:rPr>
          <w:rFonts w:ascii="Times New Roman" w:hAnsi="Times New Roman"/>
          <w:sz w:val="24"/>
          <w:szCs w:val="24"/>
        </w:rPr>
        <w:t xml:space="preserve">d systemic toxicity and improved clinical efficacy against cancerous cells. </w:t>
      </w:r>
    </w:p>
    <w:p w14:paraId="0E2D5DC7" w14:textId="5C92980D" w:rsidR="00CC033B" w:rsidRPr="00CC033B" w:rsidRDefault="002F4DAD" w:rsidP="00C15F5B">
      <w:pPr>
        <w:spacing w:line="276" w:lineRule="auto"/>
        <w:jc w:val="both"/>
        <w:rPr>
          <w:rFonts w:ascii="Times New Roman" w:hAnsi="Times New Roman"/>
          <w:sz w:val="24"/>
          <w:szCs w:val="24"/>
        </w:rPr>
      </w:pPr>
      <w:r>
        <w:rPr>
          <w:rFonts w:ascii="Times New Roman" w:hAnsi="Times New Roman"/>
          <w:sz w:val="24"/>
          <w:szCs w:val="24"/>
        </w:rPr>
        <w:t>There is continued interest in</w:t>
      </w:r>
      <w:r w:rsidR="00BC6746">
        <w:rPr>
          <w:rFonts w:ascii="Times New Roman" w:hAnsi="Times New Roman"/>
          <w:sz w:val="24"/>
          <w:szCs w:val="24"/>
        </w:rPr>
        <w:t xml:space="preserve"> terrestrial plants </w:t>
      </w:r>
      <w:r w:rsidR="00530E26">
        <w:rPr>
          <w:rFonts w:ascii="Times New Roman" w:hAnsi="Times New Roman"/>
          <w:sz w:val="24"/>
          <w:szCs w:val="24"/>
        </w:rPr>
        <w:t xml:space="preserve">for </w:t>
      </w:r>
      <w:r w:rsidR="003C51D0">
        <w:rPr>
          <w:rFonts w:ascii="Times New Roman" w:hAnsi="Times New Roman"/>
          <w:sz w:val="24"/>
          <w:szCs w:val="24"/>
        </w:rPr>
        <w:t xml:space="preserve">lead compounds </w:t>
      </w:r>
      <w:r w:rsidR="003C4A9E">
        <w:rPr>
          <w:rFonts w:ascii="Times New Roman" w:hAnsi="Times New Roman"/>
          <w:sz w:val="24"/>
          <w:szCs w:val="24"/>
        </w:rPr>
        <w:t xml:space="preserve">to be developed </w:t>
      </w:r>
      <w:r w:rsidR="006733FF">
        <w:rPr>
          <w:rFonts w:ascii="Times New Roman" w:hAnsi="Times New Roman"/>
          <w:sz w:val="24"/>
          <w:szCs w:val="24"/>
        </w:rPr>
        <w:t>as</w:t>
      </w:r>
      <w:r w:rsidR="003C51D0">
        <w:rPr>
          <w:rFonts w:ascii="Times New Roman" w:hAnsi="Times New Roman"/>
          <w:sz w:val="24"/>
          <w:szCs w:val="24"/>
        </w:rPr>
        <w:t xml:space="preserve"> chemotherapeutic</w:t>
      </w:r>
      <w:r w:rsidR="003C4A9E">
        <w:rPr>
          <w:rFonts w:ascii="Times New Roman" w:hAnsi="Times New Roman"/>
          <w:sz w:val="24"/>
          <w:szCs w:val="24"/>
        </w:rPr>
        <w:t xml:space="preserve"> agents</w:t>
      </w:r>
      <w:r w:rsidR="003C51D0">
        <w:rPr>
          <w:rFonts w:ascii="Times New Roman" w:hAnsi="Times New Roman"/>
          <w:sz w:val="24"/>
          <w:szCs w:val="24"/>
        </w:rPr>
        <w:t xml:space="preserve">. </w:t>
      </w:r>
      <w:r w:rsidR="00A27010">
        <w:rPr>
          <w:rFonts w:ascii="Times New Roman" w:hAnsi="Times New Roman"/>
          <w:sz w:val="24"/>
          <w:szCs w:val="24"/>
        </w:rPr>
        <w:t xml:space="preserve">Undoubtedly, with </w:t>
      </w:r>
      <w:r w:rsidR="00EE1C45">
        <w:rPr>
          <w:rFonts w:ascii="Times New Roman" w:hAnsi="Times New Roman"/>
          <w:sz w:val="24"/>
          <w:szCs w:val="24"/>
        </w:rPr>
        <w:t>the ethnomedicinal use</w:t>
      </w:r>
      <w:r w:rsidR="00D57476">
        <w:rPr>
          <w:rFonts w:ascii="Times New Roman" w:hAnsi="Times New Roman"/>
          <w:sz w:val="24"/>
          <w:szCs w:val="24"/>
        </w:rPr>
        <w:t>s</w:t>
      </w:r>
      <w:r w:rsidR="00EE1C45">
        <w:rPr>
          <w:rFonts w:ascii="Times New Roman" w:hAnsi="Times New Roman"/>
          <w:sz w:val="24"/>
          <w:szCs w:val="24"/>
        </w:rPr>
        <w:t xml:space="preserve"> of over 3,000 glob</w:t>
      </w:r>
      <w:r w:rsidR="00A27010" w:rsidRPr="00A27010">
        <w:rPr>
          <w:rFonts w:ascii="Times New Roman" w:hAnsi="Times New Roman"/>
          <w:sz w:val="24"/>
          <w:szCs w:val="24"/>
        </w:rPr>
        <w:t>al plant taxa in the treatment of cancer</w:t>
      </w:r>
      <w:r w:rsidR="00D57476">
        <w:rPr>
          <w:rFonts w:ascii="Times New Roman" w:hAnsi="Times New Roman"/>
          <w:sz w:val="24"/>
          <w:szCs w:val="24"/>
        </w:rPr>
        <w:t xml:space="preserve"> </w:t>
      </w:r>
      <w:r w:rsidR="00D57476">
        <w:rPr>
          <w:rFonts w:ascii="Times New Roman" w:hAnsi="Times New Roman"/>
          <w:sz w:val="24"/>
          <w:szCs w:val="24"/>
        </w:rPr>
        <w:fldChar w:fldCharType="begin" w:fldLock="1"/>
      </w:r>
      <w:r w:rsidR="0027650C">
        <w:rPr>
          <w:rFonts w:ascii="Times New Roman" w:hAnsi="Times New Roman"/>
          <w:sz w:val="24"/>
          <w:szCs w:val="24"/>
        </w:rPr>
        <w:instrText>ADDIN CSL_CITATION {"citationItems":[{"id":"ITEM-1","itemData":{"DOI":"10.1016/S0378-8741(00)00341-X","ISBN":"0378-8741","ISSN":"03788741","PMID":"11090989","abstract":"A survey of plants used ethnomedically against cancer was undertaken, using the NAPRALERT database currently maintained by the Program for Collaborative Research in the Pharmaceutical Sciences, College of Pharmacy, University of Illinois-Chicago. We report over 350 species which are reported to be used against cancer and not cited in the work of Jonathan Hartwell, 'Plants used against cancer: a survey', including previously unrepresented genera and families. (C) 2000 Elsevier Science Ireland Ltd.","author":[{"dropping-particle":"","family":"Graham","given":"J.G.","non-dropping-particle":"","parse-names":false,"suffix":""},{"dropping-particle":"","family":"Quinn","given":"M.L.","non-dropping-particle":"","parse-names":false,"suffix":""},{"dropping-particle":"","family":"Fabricant","given":"D.S.","non-dropping-particle":"","parse-names":false,"suffix":""},{"dropping-particle":"","family":"Farnsworth","given":"N.R.","non-dropping-particle":"","parse-names":false,"suffix":""}],"container-title":"Journal of Ethnopharmacology","id":"ITEM-1","issue":"3","issued":{"date-parts":[["2000","12"]]},"page":"347-377","title":"Plants used against cancer – an extension of the work of Jonathan Hartwell","type":"article-journal","volume":"73"},"uris":["http://www.mendeley.com/documents/?uuid=e896df8d-6412-421d-ba1c-d1562e2ce963"]}],"mendeley":{"formattedCitation":"(Graham et al., 2000)","plainTextFormattedCitation":"(Graham et al., 2000)","previouslyFormattedCitation":"[5]"},"properties":{"noteIndex":0},"schema":"https://github.com/citation-style-language/schema/raw/master/csl-citation.json"}</w:instrText>
      </w:r>
      <w:r w:rsidR="00D57476">
        <w:rPr>
          <w:rFonts w:ascii="Times New Roman" w:hAnsi="Times New Roman"/>
          <w:sz w:val="24"/>
          <w:szCs w:val="24"/>
        </w:rPr>
        <w:fldChar w:fldCharType="separate"/>
      </w:r>
      <w:r w:rsidR="0027650C" w:rsidRPr="0027650C">
        <w:rPr>
          <w:rFonts w:ascii="Times New Roman" w:hAnsi="Times New Roman"/>
          <w:noProof/>
          <w:sz w:val="24"/>
          <w:szCs w:val="24"/>
        </w:rPr>
        <w:t>(Graham et al., 2000)</w:t>
      </w:r>
      <w:r w:rsidR="00D57476">
        <w:rPr>
          <w:rFonts w:ascii="Times New Roman" w:hAnsi="Times New Roman"/>
          <w:sz w:val="24"/>
          <w:szCs w:val="24"/>
        </w:rPr>
        <w:fldChar w:fldCharType="end"/>
      </w:r>
      <w:r w:rsidR="00C41345">
        <w:rPr>
          <w:rFonts w:ascii="Times New Roman" w:hAnsi="Times New Roman"/>
          <w:sz w:val="24"/>
          <w:szCs w:val="24"/>
        </w:rPr>
        <w:t>, plant</w:t>
      </w:r>
      <w:r w:rsidR="00732EA6">
        <w:rPr>
          <w:rFonts w:ascii="Times New Roman" w:hAnsi="Times New Roman"/>
          <w:sz w:val="24"/>
          <w:szCs w:val="24"/>
        </w:rPr>
        <w:t>-</w:t>
      </w:r>
      <w:r w:rsidR="00C41345">
        <w:rPr>
          <w:rFonts w:ascii="Times New Roman" w:hAnsi="Times New Roman"/>
          <w:sz w:val="24"/>
          <w:szCs w:val="24"/>
        </w:rPr>
        <w:t>derived natural product</w:t>
      </w:r>
      <w:r w:rsidR="00D57476">
        <w:rPr>
          <w:rFonts w:ascii="Times New Roman" w:hAnsi="Times New Roman"/>
          <w:sz w:val="24"/>
          <w:szCs w:val="24"/>
        </w:rPr>
        <w:t>s</w:t>
      </w:r>
      <w:r w:rsidR="00C41345">
        <w:rPr>
          <w:rFonts w:ascii="Times New Roman" w:hAnsi="Times New Roman"/>
          <w:sz w:val="24"/>
          <w:szCs w:val="24"/>
        </w:rPr>
        <w:t xml:space="preserve"> </w:t>
      </w:r>
      <w:r w:rsidR="00C41345" w:rsidRPr="00620CBE">
        <w:rPr>
          <w:rFonts w:ascii="Times New Roman" w:hAnsi="Times New Roman"/>
          <w:color w:val="00B050"/>
          <w:sz w:val="24"/>
          <w:szCs w:val="24"/>
        </w:rPr>
        <w:t xml:space="preserve">provided </w:t>
      </w:r>
      <w:r w:rsidR="00C41345">
        <w:rPr>
          <w:rFonts w:ascii="Times New Roman" w:hAnsi="Times New Roman"/>
          <w:sz w:val="24"/>
          <w:szCs w:val="24"/>
        </w:rPr>
        <w:t xml:space="preserve">the </w:t>
      </w:r>
      <w:r w:rsidR="00AA3476" w:rsidRPr="00CC033B">
        <w:rPr>
          <w:rFonts w:ascii="Times New Roman" w:hAnsi="Times New Roman"/>
          <w:sz w:val="24"/>
          <w:szCs w:val="24"/>
        </w:rPr>
        <w:t>architectural</w:t>
      </w:r>
      <w:r w:rsidR="00C41345" w:rsidRPr="00CC033B">
        <w:rPr>
          <w:rFonts w:ascii="Times New Roman" w:hAnsi="Times New Roman"/>
          <w:sz w:val="24"/>
          <w:szCs w:val="24"/>
        </w:rPr>
        <w:t xml:space="preserve"> blueprint</w:t>
      </w:r>
      <w:r w:rsidR="00C41345">
        <w:rPr>
          <w:rFonts w:ascii="Times New Roman" w:hAnsi="Times New Roman"/>
          <w:sz w:val="24"/>
          <w:szCs w:val="24"/>
        </w:rPr>
        <w:t xml:space="preserve"> </w:t>
      </w:r>
      <w:r w:rsidR="00AA3476">
        <w:rPr>
          <w:rFonts w:ascii="Times New Roman" w:hAnsi="Times New Roman"/>
          <w:sz w:val="24"/>
          <w:szCs w:val="24"/>
        </w:rPr>
        <w:t xml:space="preserve">for </w:t>
      </w:r>
      <w:r w:rsidR="00E94E7C">
        <w:rPr>
          <w:rFonts w:ascii="Times New Roman" w:hAnsi="Times New Roman"/>
          <w:sz w:val="24"/>
          <w:szCs w:val="24"/>
        </w:rPr>
        <w:t xml:space="preserve">about 27 % of the clinically approved anticancer drugs, since 1980 </w:t>
      </w:r>
      <w:r w:rsidR="00E94E7C">
        <w:rPr>
          <w:rFonts w:ascii="Times New Roman" w:hAnsi="Times New Roman"/>
          <w:sz w:val="24"/>
          <w:szCs w:val="24"/>
        </w:rPr>
        <w:fldChar w:fldCharType="begin" w:fldLock="1"/>
      </w:r>
      <w:r w:rsidR="0027650C">
        <w:rPr>
          <w:rFonts w:ascii="Times New Roman" w:hAnsi="Times New Roman"/>
          <w:sz w:val="24"/>
          <w:szCs w:val="24"/>
        </w:rPr>
        <w:instrText>ADDIN CSL_CITATION {"citationItems":[{"id":"ITEM-1","itemData":{"author":[{"dropping-particle":"","family":"Willis","given":"K. J","non-dropping-particle":"","parse-names":false,"suffix":""}],"id":"ITEM-1","issued":{"date-parts":[["2017"]]},"title":"State of the World’s Plants 2017. Report. Royal Botanic Gardens, Kew.","type":"report"},"uris":["http://www.mendeley.com/documents/?uuid=aa5914a9-a673-43f6-a131-611e0e7bbd46"]}],"mendeley":{"formattedCitation":"(Willis, 2017)","plainTextFormattedCitation":"(Willis, 2017)","previouslyFormattedCitation":"[6]"},"properties":{"noteIndex":0},"schema":"https://github.com/citation-style-language/schema/raw/master/csl-citation.json"}</w:instrText>
      </w:r>
      <w:r w:rsidR="00E94E7C">
        <w:rPr>
          <w:rFonts w:ascii="Times New Roman" w:hAnsi="Times New Roman"/>
          <w:sz w:val="24"/>
          <w:szCs w:val="24"/>
        </w:rPr>
        <w:fldChar w:fldCharType="separate"/>
      </w:r>
      <w:r w:rsidR="0027650C" w:rsidRPr="0027650C">
        <w:rPr>
          <w:rFonts w:ascii="Times New Roman" w:hAnsi="Times New Roman"/>
          <w:noProof/>
          <w:sz w:val="24"/>
          <w:szCs w:val="24"/>
        </w:rPr>
        <w:t>(Willis, 2017)</w:t>
      </w:r>
      <w:r w:rsidR="00E94E7C">
        <w:rPr>
          <w:rFonts w:ascii="Times New Roman" w:hAnsi="Times New Roman"/>
          <w:sz w:val="24"/>
          <w:szCs w:val="24"/>
        </w:rPr>
        <w:fldChar w:fldCharType="end"/>
      </w:r>
      <w:r w:rsidR="00E94E7C">
        <w:rPr>
          <w:rFonts w:ascii="Times New Roman" w:hAnsi="Times New Roman"/>
          <w:sz w:val="24"/>
          <w:szCs w:val="24"/>
        </w:rPr>
        <w:t xml:space="preserve">. </w:t>
      </w:r>
      <w:r>
        <w:rPr>
          <w:rFonts w:ascii="Times New Roman" w:hAnsi="Times New Roman"/>
          <w:sz w:val="24"/>
          <w:szCs w:val="24"/>
        </w:rPr>
        <w:t xml:space="preserve">The search from unexplored biodiversity hotspots </w:t>
      </w:r>
      <w:r w:rsidR="006733FF">
        <w:rPr>
          <w:rFonts w:ascii="Times New Roman" w:hAnsi="Times New Roman"/>
          <w:sz w:val="24"/>
          <w:szCs w:val="24"/>
        </w:rPr>
        <w:t>hence provides much optimism.</w:t>
      </w:r>
      <w:r>
        <w:rPr>
          <w:rFonts w:ascii="Times New Roman" w:hAnsi="Times New Roman"/>
          <w:sz w:val="24"/>
          <w:szCs w:val="24"/>
        </w:rPr>
        <w:t xml:space="preserve"> </w:t>
      </w:r>
      <w:r w:rsidR="002E3F97">
        <w:rPr>
          <w:rFonts w:ascii="Times New Roman" w:hAnsi="Times New Roman"/>
          <w:sz w:val="24"/>
          <w:szCs w:val="24"/>
        </w:rPr>
        <w:t>Numerous studies</w:t>
      </w:r>
      <w:r w:rsidR="002E3F97" w:rsidRPr="00620CBE">
        <w:rPr>
          <w:rFonts w:ascii="Times New Roman" w:hAnsi="Times New Roman"/>
          <w:color w:val="00B050"/>
          <w:sz w:val="24"/>
          <w:szCs w:val="24"/>
        </w:rPr>
        <w:t xml:space="preserve"> reported </w:t>
      </w:r>
      <w:r w:rsidR="002E3F97">
        <w:rPr>
          <w:rFonts w:ascii="Times New Roman" w:hAnsi="Times New Roman"/>
          <w:sz w:val="24"/>
          <w:szCs w:val="24"/>
        </w:rPr>
        <w:t xml:space="preserve">the </w:t>
      </w:r>
      <w:r w:rsidR="00850799">
        <w:rPr>
          <w:rFonts w:ascii="Times New Roman" w:hAnsi="Times New Roman"/>
          <w:sz w:val="24"/>
          <w:szCs w:val="24"/>
        </w:rPr>
        <w:t>onco-therapeutic</w:t>
      </w:r>
      <w:r w:rsidR="002E3F97">
        <w:rPr>
          <w:rFonts w:ascii="Times New Roman" w:hAnsi="Times New Roman"/>
          <w:sz w:val="24"/>
          <w:szCs w:val="24"/>
        </w:rPr>
        <w:t xml:space="preserve"> potentials of</w:t>
      </w:r>
      <w:r w:rsidR="00E22BD2">
        <w:rPr>
          <w:rFonts w:ascii="Times New Roman" w:hAnsi="Times New Roman"/>
          <w:sz w:val="24"/>
          <w:szCs w:val="24"/>
        </w:rPr>
        <w:t xml:space="preserve"> </w:t>
      </w:r>
      <w:proofErr w:type="spellStart"/>
      <w:r w:rsidR="00E22BD2" w:rsidRPr="00CC033B">
        <w:rPr>
          <w:rFonts w:ascii="Times New Roman" w:hAnsi="Times New Roman"/>
          <w:i/>
          <w:sz w:val="24"/>
          <w:szCs w:val="24"/>
        </w:rPr>
        <w:t>Syzygium</w:t>
      </w:r>
      <w:proofErr w:type="spellEnd"/>
      <w:r w:rsidR="00E22BD2" w:rsidRPr="00CC033B">
        <w:rPr>
          <w:rFonts w:ascii="Times New Roman" w:hAnsi="Times New Roman"/>
          <w:sz w:val="24"/>
          <w:szCs w:val="24"/>
        </w:rPr>
        <w:t xml:space="preserve"> (</w:t>
      </w:r>
      <w:proofErr w:type="spellStart"/>
      <w:r w:rsidR="00E22BD2" w:rsidRPr="00CC033B">
        <w:rPr>
          <w:rFonts w:ascii="Times New Roman" w:hAnsi="Times New Roman"/>
          <w:sz w:val="24"/>
          <w:szCs w:val="24"/>
        </w:rPr>
        <w:t>Myrtaceae</w:t>
      </w:r>
      <w:proofErr w:type="spellEnd"/>
      <w:r w:rsidR="00E22BD2" w:rsidRPr="00CC033B">
        <w:rPr>
          <w:rFonts w:ascii="Times New Roman" w:hAnsi="Times New Roman"/>
          <w:sz w:val="24"/>
          <w:szCs w:val="24"/>
        </w:rPr>
        <w:t>)</w:t>
      </w:r>
      <w:r w:rsidR="00E22BD2">
        <w:rPr>
          <w:rFonts w:ascii="Times New Roman" w:hAnsi="Times New Roman"/>
          <w:sz w:val="24"/>
          <w:szCs w:val="24"/>
        </w:rPr>
        <w:t xml:space="preserve"> </w:t>
      </w:r>
      <w:r w:rsidR="00CC033B" w:rsidRPr="00CC033B">
        <w:rPr>
          <w:rFonts w:ascii="Times New Roman" w:hAnsi="Times New Roman"/>
          <w:sz w:val="24"/>
          <w:szCs w:val="24"/>
        </w:rPr>
        <w:t>species</w:t>
      </w:r>
      <w:r w:rsidR="008B78C1">
        <w:rPr>
          <w:rFonts w:ascii="Times New Roman" w:hAnsi="Times New Roman"/>
          <w:sz w:val="24"/>
          <w:szCs w:val="24"/>
        </w:rPr>
        <w:t xml:space="preserve"> </w:t>
      </w:r>
      <w:r w:rsidR="008B78C1">
        <w:rPr>
          <w:rFonts w:ascii="Times New Roman" w:hAnsi="Times New Roman"/>
          <w:sz w:val="24"/>
          <w:szCs w:val="24"/>
        </w:rPr>
        <w:fldChar w:fldCharType="begin" w:fldLock="1"/>
      </w:r>
      <w:r w:rsidR="0027650C">
        <w:rPr>
          <w:rFonts w:ascii="Times New Roman" w:hAnsi="Times New Roman"/>
          <w:sz w:val="24"/>
          <w:szCs w:val="24"/>
        </w:rPr>
        <w:instrText>ADDIN CSL_CITATION {"citationItems":[{"id":"ITEM-1","itemData":{"DOI":"10.1007/s11130-018-0704-z","ISSN":"0921-9668","abstract":"Cancer is a preventable and treatable disease, however, the incidence rates are on the rise. Classical treatment modalities for cancer include surgery, radiotherapy and chemotherapy. However, these are associated with detrimental side effects such as nausea and emesis. Therefore, researchers currently vest interest in complementary and alternative medicines for cancer treatment and prevention. Plants such as Syzygium sp. are a common basis of complementary medicines due to its abundance of bioactive phytochemicals. Numerous natural compounds derived from Syzygium sp., such as phenolics, oleanolic acids, and betulinic acids, and dimethyl cardamonins, were reported to have anticancer effects. Many possess the ability to inhibit cell proliferation and induce apoptosis. In this review, we discuss the vast potential Syzygium sp. harbours as a source of anticancer natural compounds due to its abundance, easy acceptability, affordability and safety for regular consumption.","author":[{"dropping-particle":"","family":"Chua","given":"Lee Kee","non-dropping-particle":"","parse-names":false,"suffix":""},{"dropping-particle":"","family":"Lim","given":"Chooi Ling","non-dropping-particle":"","parse-names":false,"suffix":""},{"dropping-particle":"","family":"Ling","given":"Anna Pick Kiong","non-dropping-particle":"","parse-names":false,"suffix":""},{"dropping-particle":"","family":"Chye","given":"Soi Moi","non-dropping-particle":"","parse-names":false,"suffix":""},{"dropping-particle":"","family":"Koh","given":"Rhun Yian","non-dropping-particle":"","parse-names":false,"suffix":""}],"container-title":"Plant Foods for Human Nutrition","id":"ITEM-1","issue":"1","issued":{"date-parts":[["2019","3","10"]]},"page":"18-27","publisher":"Plant Foods for Human Nutrition","title":"Anticancer Potential of Syzygium Species: a Review","type":"article-journal","volume":"74"},"uris":["http://www.mendeley.com/documents/?uuid=3732c021-ca3b-4388-aa7c-b272ec6f9793"]},{"id":"ITEM-2","itemData":{"DOI":"10.1201/b22426-20","ISBN":"9781771886482","abstract":"Scope and content: \"Bioactive Compounds of Medicinal Plants: Properties and Potential for Human Health sheds light on the immense potential of medicinal plants from human health from different technological aspects, focusing on the continent of Africa. The volume presents new research on bioactive compounds in medicinal plants that provide health benefits, medicinal plant and plant products for health promotion, medicinal plants for the management of diabetes mellitus, and medicinal plants for the management of hypertension.\"--Provided by publisher. Phytochemistry and antifungal activity of desmodium adscendens root extracts / Nwanekwu Kenneth Emeka, Adeniyi Bola, and Mahady Gail -- Bioactive compounds in plants and their antioxidant capacity / Oluyemisi E. Adelakun, Islamiyat Folashade Bolarinwa, and Johnson Akinwumi Adejuyitan -- Plants of the genus Syzygium (Myrtaceae) : a review on ethnobotany, medicinal properties, and phytochemistry / Ian Edwin Cock and Matthew Cheesman -- Effects of Talinum triangulare on hepatic antioxidant gene expression profile in carbon tetrachloride-induced rat liver injury / Gbenga Anthony Adefolaju, Benedict Abiola Falana, Adeoye Oluwole Oyewopo, and Anthony Mwakikunga -- Review on potential of seeds and value-added products of Bambara groundnut (Vigna subterranea) : antioxidant, anti-inflammatory, and anti-oxidative stress / Yvonne Yeukai Murevanhema, Victoria Adaora Jideani, and Oluwafemi Omoniyi Oguntibeju -- Antioxidant and antimicrobial activity of Opuntia aurantiaca Lindl / Wilfred Mbeng Otang and Anthony Jide Afolayan -- Dietary Intervention of Utazi (Gongrenema latifolium) supplemented diet using wistar male rat animal brain model / Esther Emem Nwanna, Ganiyu Oboh, and Olukemi Abimbola Okediran -- Therapeutic potentials of selected medicinal plants in the management of diabetes mellitus : a review / Folorunso Adewale Olabiyi, Yapo Guillaume Aboua, and Oluwafemi Omoniyi Oguntibeju -- Medicinal activities of Anchomanes difformis and its potential in the treatment of diabetes mellitus and other disease conditions : a review / Toyin D. Udje, Nicole L. Brooks, and Oluwafemi O. Oguntibeju -- Screening of different extracts of Ageratum conyzoides for inhibition of diabetes-related enzymes / Mutiu I. Kazeem, Oluwatosin O. Ogunkelu, Ademola O. Ayeleso, and Emmanuel Mukwevho -- Potential of Catharanthus roseus and Punica granatum in the management and treatment of diabetes mellitus and its complications / Mediline Goboza, P…","author":[{"dropping-particle":"","family":"Cock","given":"Ian Edwin","non-dropping-particle":"","parse-names":false,"suffix":""},{"dropping-particle":"","family":"Cheesman","given":"Matthew","non-dropping-particle":"","parse-names":false,"suffix":""}],"container-title":"Bioactive compounds of medicinal plants: Properties and potential for human health","editor":[{"dropping-particle":"","family":"Goyal","given":"MR","non-dropping-particle":"","parse-names":false,"suffix":""},{"dropping-particle":"","family":"Ayeleso","given":"A","non-dropping-particle":"","parse-names":false,"suffix":""}],"id":"ITEM-2","issue":"June","issued":{"date-parts":[["2018"]]},"page":"35–84","publisher":"Apple Academic Press, USA","title":"Plants of the genus Syzygium (Myrtaceae): a review on ethnobotany, medicinal properties and phytochemistry","type":"chapter"},"uris":["http://www.mendeley.com/documents/?uuid=5c66cf88-7ccb-4aa8-bec5-32e538056803"]}],"mendeley":{"formattedCitation":"(Chua et al., 2019; Cock and Cheesman, 2018)","plainTextFormattedCitation":"(Chua et al., 2019; Cock and Cheesman, 2018)","previouslyFormattedCitation":"[7,8]"},"properties":{"noteIndex":0},"schema":"https://github.com/citation-style-language/schema/raw/master/csl-citation.json"}</w:instrText>
      </w:r>
      <w:r w:rsidR="008B78C1">
        <w:rPr>
          <w:rFonts w:ascii="Times New Roman" w:hAnsi="Times New Roman"/>
          <w:sz w:val="24"/>
          <w:szCs w:val="24"/>
        </w:rPr>
        <w:fldChar w:fldCharType="separate"/>
      </w:r>
      <w:r w:rsidR="0027650C" w:rsidRPr="0027650C">
        <w:rPr>
          <w:rFonts w:ascii="Times New Roman" w:hAnsi="Times New Roman"/>
          <w:noProof/>
          <w:sz w:val="24"/>
          <w:szCs w:val="24"/>
        </w:rPr>
        <w:t>(Chua et al., 2019; Cock and Cheesman, 2018)</w:t>
      </w:r>
      <w:r w:rsidR="008B78C1">
        <w:rPr>
          <w:rFonts w:ascii="Times New Roman" w:hAnsi="Times New Roman"/>
          <w:sz w:val="24"/>
          <w:szCs w:val="24"/>
        </w:rPr>
        <w:fldChar w:fldCharType="end"/>
      </w:r>
      <w:r w:rsidR="008B78C1">
        <w:rPr>
          <w:rFonts w:ascii="Times New Roman" w:hAnsi="Times New Roman"/>
          <w:sz w:val="24"/>
          <w:szCs w:val="24"/>
        </w:rPr>
        <w:t>.</w:t>
      </w:r>
      <w:r w:rsidR="00CC033B" w:rsidRPr="00CC033B">
        <w:rPr>
          <w:rFonts w:ascii="Times New Roman" w:hAnsi="Times New Roman"/>
          <w:sz w:val="24"/>
          <w:szCs w:val="24"/>
        </w:rPr>
        <w:t xml:space="preserve"> </w:t>
      </w:r>
      <w:r w:rsidR="00702A37" w:rsidRPr="00CC033B">
        <w:rPr>
          <w:rFonts w:ascii="Times New Roman" w:hAnsi="Times New Roman"/>
          <w:sz w:val="24"/>
          <w:szCs w:val="24"/>
        </w:rPr>
        <w:t>However,</w:t>
      </w:r>
      <w:r w:rsidR="00DD0AC5">
        <w:rPr>
          <w:rFonts w:ascii="Times New Roman" w:hAnsi="Times New Roman"/>
          <w:sz w:val="24"/>
          <w:szCs w:val="24"/>
        </w:rPr>
        <w:t xml:space="preserve"> scientific reports on the anticancer potential of </w:t>
      </w:r>
      <w:proofErr w:type="spellStart"/>
      <w:r w:rsidR="00E22BD2" w:rsidRPr="00DD0AC5">
        <w:rPr>
          <w:rFonts w:ascii="Times New Roman" w:hAnsi="Times New Roman"/>
          <w:i/>
          <w:sz w:val="24"/>
          <w:szCs w:val="24"/>
        </w:rPr>
        <w:t>Syzygium</w:t>
      </w:r>
      <w:proofErr w:type="spellEnd"/>
      <w:r w:rsidR="00E22BD2">
        <w:rPr>
          <w:rFonts w:ascii="Times New Roman" w:hAnsi="Times New Roman"/>
          <w:sz w:val="24"/>
          <w:szCs w:val="24"/>
        </w:rPr>
        <w:t xml:space="preserve"> species </w:t>
      </w:r>
      <w:r w:rsidR="00DD0AC5">
        <w:rPr>
          <w:rFonts w:ascii="Times New Roman" w:hAnsi="Times New Roman"/>
          <w:sz w:val="24"/>
          <w:szCs w:val="24"/>
        </w:rPr>
        <w:t>endemic</w:t>
      </w:r>
      <w:r w:rsidR="00DD0AC5" w:rsidRPr="00DD0AC5">
        <w:rPr>
          <w:rFonts w:ascii="Times New Roman" w:hAnsi="Times New Roman"/>
          <w:i/>
          <w:sz w:val="24"/>
          <w:szCs w:val="24"/>
        </w:rPr>
        <w:t xml:space="preserve"> </w:t>
      </w:r>
      <w:r w:rsidR="008B78C1">
        <w:rPr>
          <w:rFonts w:ascii="Times New Roman" w:hAnsi="Times New Roman"/>
          <w:sz w:val="24"/>
          <w:szCs w:val="24"/>
        </w:rPr>
        <w:t xml:space="preserve">to the Republic of Mauritius </w:t>
      </w:r>
      <w:r w:rsidR="00467235">
        <w:rPr>
          <w:rFonts w:ascii="Times New Roman" w:hAnsi="Times New Roman"/>
          <w:sz w:val="24"/>
          <w:szCs w:val="24"/>
        </w:rPr>
        <w:t>is scarce</w:t>
      </w:r>
      <w:r w:rsidR="00DD0AC5">
        <w:rPr>
          <w:rFonts w:ascii="Times New Roman" w:hAnsi="Times New Roman"/>
          <w:sz w:val="24"/>
          <w:szCs w:val="24"/>
        </w:rPr>
        <w:t xml:space="preserve">. </w:t>
      </w:r>
      <w:r w:rsidR="008B78C1">
        <w:rPr>
          <w:rFonts w:ascii="Times New Roman" w:hAnsi="Times New Roman"/>
          <w:sz w:val="24"/>
          <w:szCs w:val="24"/>
        </w:rPr>
        <w:t xml:space="preserve">Therefore, this untapped </w:t>
      </w:r>
      <w:r w:rsidR="00003560">
        <w:rPr>
          <w:rFonts w:ascii="Times New Roman" w:hAnsi="Times New Roman"/>
          <w:sz w:val="24"/>
          <w:szCs w:val="24"/>
        </w:rPr>
        <w:t>resource</w:t>
      </w:r>
      <w:r w:rsidR="008B78C1">
        <w:rPr>
          <w:rFonts w:ascii="Times New Roman" w:hAnsi="Times New Roman"/>
          <w:sz w:val="24"/>
          <w:szCs w:val="24"/>
        </w:rPr>
        <w:t xml:space="preserve"> harbours </w:t>
      </w:r>
      <w:r w:rsidR="00003560">
        <w:rPr>
          <w:rFonts w:ascii="Times New Roman" w:hAnsi="Times New Roman"/>
          <w:sz w:val="24"/>
          <w:szCs w:val="24"/>
        </w:rPr>
        <w:t xml:space="preserve">a fertile </w:t>
      </w:r>
      <w:r w:rsidR="002E1F7F">
        <w:rPr>
          <w:rFonts w:ascii="Times New Roman" w:hAnsi="Times New Roman"/>
          <w:sz w:val="24"/>
          <w:szCs w:val="24"/>
        </w:rPr>
        <w:t>ground</w:t>
      </w:r>
      <w:r w:rsidR="00003560">
        <w:rPr>
          <w:rFonts w:ascii="Times New Roman" w:hAnsi="Times New Roman"/>
          <w:sz w:val="24"/>
          <w:szCs w:val="24"/>
        </w:rPr>
        <w:t xml:space="preserve"> to probe for lead bioactive compounds having potential for </w:t>
      </w:r>
      <w:r w:rsidR="00B46EC4">
        <w:rPr>
          <w:rFonts w:ascii="Times New Roman" w:hAnsi="Times New Roman"/>
          <w:sz w:val="24"/>
          <w:szCs w:val="24"/>
        </w:rPr>
        <w:t xml:space="preserve">oncologic drug development. </w:t>
      </w:r>
    </w:p>
    <w:p w14:paraId="71F1733F" w14:textId="191346B1" w:rsidR="006733FF" w:rsidRDefault="00300D24" w:rsidP="00300D24">
      <w:pPr>
        <w:spacing w:line="276" w:lineRule="auto"/>
        <w:jc w:val="both"/>
        <w:rPr>
          <w:rFonts w:ascii="Times New Roman" w:hAnsi="Times New Roman"/>
          <w:sz w:val="24"/>
          <w:szCs w:val="24"/>
        </w:rPr>
      </w:pPr>
      <w:r w:rsidRPr="007E6CBF">
        <w:rPr>
          <w:rFonts w:ascii="Times New Roman" w:hAnsi="Times New Roman"/>
          <w:sz w:val="24"/>
          <w:szCs w:val="24"/>
        </w:rPr>
        <w:t>Mauritius forms part of a</w:t>
      </w:r>
      <w:r>
        <w:rPr>
          <w:rFonts w:ascii="Times New Roman" w:hAnsi="Times New Roman"/>
          <w:sz w:val="24"/>
          <w:szCs w:val="24"/>
        </w:rPr>
        <w:t xml:space="preserve"> </w:t>
      </w:r>
      <w:r w:rsidRPr="007E6CBF">
        <w:rPr>
          <w:rFonts w:ascii="Times New Roman" w:hAnsi="Times New Roman"/>
          <w:sz w:val="24"/>
          <w:szCs w:val="24"/>
        </w:rPr>
        <w:t>biodive</w:t>
      </w:r>
      <w:r>
        <w:rPr>
          <w:rFonts w:ascii="Times New Roman" w:hAnsi="Times New Roman"/>
          <w:sz w:val="24"/>
          <w:szCs w:val="24"/>
        </w:rPr>
        <w:t xml:space="preserve">rsity hotspot with </w:t>
      </w:r>
      <w:r w:rsidRPr="007E6CBF">
        <w:rPr>
          <w:rFonts w:ascii="Times New Roman" w:hAnsi="Times New Roman"/>
          <w:sz w:val="24"/>
          <w:szCs w:val="24"/>
        </w:rPr>
        <w:t>39.5 %</w:t>
      </w:r>
      <w:r>
        <w:rPr>
          <w:rFonts w:ascii="Times New Roman" w:hAnsi="Times New Roman"/>
          <w:sz w:val="24"/>
          <w:szCs w:val="24"/>
        </w:rPr>
        <w:t xml:space="preserve"> </w:t>
      </w:r>
      <w:r w:rsidRPr="007E6CBF">
        <w:rPr>
          <w:rFonts w:ascii="Times New Roman" w:hAnsi="Times New Roman"/>
          <w:sz w:val="24"/>
          <w:szCs w:val="24"/>
        </w:rPr>
        <w:t>of the 691 flowering plant</w:t>
      </w:r>
      <w:r w:rsidR="00520D27">
        <w:rPr>
          <w:rFonts w:ascii="Times New Roman" w:hAnsi="Times New Roman"/>
          <w:sz w:val="24"/>
          <w:szCs w:val="24"/>
        </w:rPr>
        <w:t>s</w:t>
      </w:r>
      <w:r w:rsidRPr="007E6CBF">
        <w:rPr>
          <w:rFonts w:ascii="Times New Roman" w:hAnsi="Times New Roman"/>
          <w:sz w:val="24"/>
          <w:szCs w:val="24"/>
        </w:rPr>
        <w:t xml:space="preserve"> being</w:t>
      </w:r>
      <w:r>
        <w:rPr>
          <w:rFonts w:ascii="Times New Roman" w:hAnsi="Times New Roman"/>
          <w:sz w:val="24"/>
          <w:szCs w:val="24"/>
        </w:rPr>
        <w:t xml:space="preserve"> </w:t>
      </w:r>
      <w:r w:rsidRPr="007E6CBF">
        <w:rPr>
          <w:rFonts w:ascii="Times New Roman" w:hAnsi="Times New Roman"/>
          <w:sz w:val="24"/>
          <w:szCs w:val="24"/>
        </w:rPr>
        <w:t xml:space="preserve">strictly endemic </w:t>
      </w:r>
      <w:r>
        <w:rPr>
          <w:rFonts w:ascii="Times New Roman" w:hAnsi="Times New Roman"/>
          <w:sz w:val="24"/>
          <w:szCs w:val="24"/>
        </w:rPr>
        <w:t>to the island</w:t>
      </w:r>
      <w:r w:rsidR="006572DB">
        <w:rPr>
          <w:rFonts w:ascii="Times New Roman" w:hAnsi="Times New Roman"/>
          <w:sz w:val="24"/>
          <w:szCs w:val="24"/>
        </w:rPr>
        <w:t xml:space="preserve"> </w:t>
      </w:r>
      <w:r w:rsidR="006572DB">
        <w:rPr>
          <w:rFonts w:ascii="Times New Roman" w:hAnsi="Times New Roman"/>
          <w:sz w:val="24"/>
          <w:szCs w:val="24"/>
        </w:rPr>
        <w:fldChar w:fldCharType="begin" w:fldLock="1"/>
      </w:r>
      <w:r w:rsidR="0027650C">
        <w:rPr>
          <w:rFonts w:ascii="Times New Roman" w:hAnsi="Times New Roman"/>
          <w:sz w:val="24"/>
          <w:szCs w:val="24"/>
        </w:rPr>
        <w:instrText>ADDIN CSL_CITATION {"citationItems":[{"id":"ITEM-1","itemData":{"DOI":"10.1038/35002501","ISBN":"0028-0836","ISSN":"00280836","PMID":"10706275","abstract":"Conservationists are far from able to assist all species under threat, if only for lack of funding. This places a premium on priorities: how can we support the most species at the least cost? One way is to identify 'biodiversity hotspots' where exceptional concentrations of endemic species are undergoing exceptional loss of habitat. As many as 44% of all species of vascular plants and 35% of all species in four vertebrate groups are confined to 25 hotspots comprising only 1.4% of the land surface of the Earth. This opens the way for a 'silver bullet' strategy on the part of conservation planners, focusing on these hotspots in proportion to their share of the world's species at risk.","author":[{"dropping-particle":"","family":"Myers","given":"Norman","non-dropping-particle":"","parse-names":false,"suffix":""},{"dropping-particle":"","family":"Mittermeier","given":"Russell A.","non-dropping-particle":"","parse-names":false,"suffix":""},{"dropping-particle":"","family":"Mittermeier","given":"Cristina G.","non-dropping-particle":"","parse-names":false,"suffix":""},{"dropping-particle":"","family":"Fonseca","given":"Gustavo A. B.","non-dropping-particle":"da","parse-names":false,"suffix":""},{"dropping-particle":"","family":"Kent","given":"Jennifer","non-dropping-particle":"","parse-names":false,"suffix":""}],"container-title":"Nature","id":"ITEM-1","issue":"6772","issued":{"date-parts":[["2000","2","24"]]},"page":"853-858","title":"Biodiversity hotspots for conservation priorities","type":"article-journal","volume":"403"},"uris":["http://www.mendeley.com/documents/?uuid=1ce6df35-d360-467f-9ee4-8002660c5197"]}],"mendeley":{"formattedCitation":"(Myers et al., 2000)","plainTextFormattedCitation":"(Myers et al., 2000)","previouslyFormattedCitation":"[9]"},"properties":{"noteIndex":0},"schema":"https://github.com/citation-style-language/schema/raw/master/csl-citation.json"}</w:instrText>
      </w:r>
      <w:r w:rsidR="006572DB">
        <w:rPr>
          <w:rFonts w:ascii="Times New Roman" w:hAnsi="Times New Roman"/>
          <w:sz w:val="24"/>
          <w:szCs w:val="24"/>
        </w:rPr>
        <w:fldChar w:fldCharType="separate"/>
      </w:r>
      <w:r w:rsidR="0027650C" w:rsidRPr="0027650C">
        <w:rPr>
          <w:rFonts w:ascii="Times New Roman" w:hAnsi="Times New Roman"/>
          <w:noProof/>
          <w:sz w:val="24"/>
          <w:szCs w:val="24"/>
        </w:rPr>
        <w:t>(Myers et al., 2000)</w:t>
      </w:r>
      <w:r w:rsidR="006572DB">
        <w:rPr>
          <w:rFonts w:ascii="Times New Roman" w:hAnsi="Times New Roman"/>
          <w:sz w:val="24"/>
          <w:szCs w:val="24"/>
        </w:rPr>
        <w:fldChar w:fldCharType="end"/>
      </w:r>
      <w:r>
        <w:rPr>
          <w:rFonts w:ascii="Times New Roman" w:hAnsi="Times New Roman"/>
          <w:sz w:val="24"/>
          <w:szCs w:val="24"/>
        </w:rPr>
        <w:t xml:space="preserve">. </w:t>
      </w:r>
      <w:r w:rsidRPr="007E6CBF">
        <w:rPr>
          <w:rFonts w:ascii="Times New Roman" w:hAnsi="Times New Roman"/>
          <w:sz w:val="24"/>
          <w:szCs w:val="24"/>
        </w:rPr>
        <w:t>With more than 95 % of the original</w:t>
      </w:r>
      <w:r>
        <w:rPr>
          <w:rFonts w:ascii="Times New Roman" w:hAnsi="Times New Roman"/>
          <w:sz w:val="24"/>
          <w:szCs w:val="24"/>
        </w:rPr>
        <w:t xml:space="preserve"> </w:t>
      </w:r>
      <w:r w:rsidRPr="007E6CBF">
        <w:rPr>
          <w:rFonts w:ascii="Times New Roman" w:hAnsi="Times New Roman"/>
          <w:sz w:val="24"/>
          <w:szCs w:val="24"/>
        </w:rPr>
        <w:t>forest destroyed</w:t>
      </w:r>
      <w:r>
        <w:rPr>
          <w:rFonts w:ascii="Times New Roman" w:hAnsi="Times New Roman"/>
          <w:sz w:val="24"/>
          <w:szCs w:val="24"/>
        </w:rPr>
        <w:t xml:space="preserve"> </w:t>
      </w:r>
      <w:r>
        <w:rPr>
          <w:rFonts w:ascii="Times New Roman" w:hAnsi="Times New Roman"/>
          <w:sz w:val="24"/>
          <w:szCs w:val="24"/>
        </w:rPr>
        <w:fldChar w:fldCharType="begin" w:fldLock="1"/>
      </w:r>
      <w:r w:rsidR="0027650C">
        <w:rPr>
          <w:rFonts w:ascii="Times New Roman" w:hAnsi="Times New Roman"/>
          <w:sz w:val="24"/>
          <w:szCs w:val="24"/>
        </w:rPr>
        <w:instrText>ADDIN CSL_CITATION {"citationItems":[{"id":"ITEM-1","itemData":{"DOI":"10.1016/j.jep.2017.10.006","ISSN":"03788741","abstract":"AbstractEthnopharmacological relevance The Mauritian endemic flora has been recorded to be used as medicinal for nearly 300 years. Despite acceptance of these endemic plants among the local population, proper documentation of their therapeutic uses is scarce. This review aims at summarizing documented traditional uses of Mauritian endemic plants with existing scientific data of their alleged bioactivities, showing there is a need for more stringent evidence-based validations for clinical efficacy. Material and Methods We made a comprehensive bibliographic search of Mauritian endemic plants on ethnobotanical textbooks, regional and local herbal pharmacopeia and dissertations and theses, concurrently with screening of peer-reviewed journals. Available data on the usage of Mauritian endemic plants in the folklore medicine and scientific investigation were correlated. Results and Discussion Analysis of the available literature shows that a small percentage of the Mauritian endemic plants are used for their medicinal value. Endemic plants are either used as part of complex herbal formulations or singly, and are prescribed by herbalists to mitigate a myriad of diseases from metabolic disorders, dermatological pathologies, arthritis to sexually transmissible diseases. However, these species have undergone a limited consistent evaluation to validate their purported ethnomedicinal claims. As the World Health Organization Traditional Medicine Strategy 2014–2023 emphasizes on moving traditional medicine into mainstream medicine on an equally trusted footage, the re-evaluation and modernization of Mauritius cultural heritage become necessary. Conclusions With a consumer-driven ‘return to nature’, scientific validation and valorization of the herbal remedies, including evidence-based efficacy and safety are, therefore, important. The use of optimized methodologies to investigate the claims of these traditional medicines is mandatory for effective treatments to emanate from unfounded superstitions.","author":[{"dropping-particle":"","family":"Rummun","given":"Nawraj","non-dropping-particle":"","parse-names":false,"suffix":""},{"dropping-particle":"","family":"Neergheen-Bhujun","given":"Vidushi S.","non-dropping-particle":"","parse-names":false,"suffix":""},{"dropping-particle":"","family":"Pynee","given":"Kersley B.","non-dropping-particle":"","parse-names":false,"suffix":""},{"dropping-particle":"","family":"Baider","given":"Cláudia","non-dropping-particle":"","parse-names":false,"suffix":""},{"dropping-particle":"","family":"Bahorun","given":"Theeshan","non-dropping-particle":"","parse-names":false,"suffix":""}],"container-title":"Journal of Ethnopharmacology","id":"ITEM-1","issue":"April 2017","issued":{"date-parts":[["2018","3"]]},"page":"111-117","publisher":"Elsevier Ireland Ltd","title":"The role of endemic plants in Mauritian traditional medicine – Potential therapeutic benefits or placebo effect?","type":"article-journal","volume":"213"},"uris":["http://www.mendeley.com/documents/?uuid=6a6d0137-0564-4033-a440-6e8e8e26aaa4"]}],"mendeley":{"formattedCitation":"(Rummun et al., 2018)","plainTextFormattedCitation":"(Rummun et al., 2018)","previouslyFormattedCitation":"[10]"},"properties":{"noteIndex":0},"schema":"https://github.com/citation-style-language/schema/raw/master/csl-citation.json"}</w:instrText>
      </w:r>
      <w:r>
        <w:rPr>
          <w:rFonts w:ascii="Times New Roman" w:hAnsi="Times New Roman"/>
          <w:sz w:val="24"/>
          <w:szCs w:val="24"/>
        </w:rPr>
        <w:fldChar w:fldCharType="separate"/>
      </w:r>
      <w:r w:rsidR="0027650C" w:rsidRPr="0027650C">
        <w:rPr>
          <w:rFonts w:ascii="Times New Roman" w:hAnsi="Times New Roman"/>
          <w:noProof/>
          <w:sz w:val="24"/>
          <w:szCs w:val="24"/>
        </w:rPr>
        <w:t>(Rummun et al., 2018)</w:t>
      </w:r>
      <w:r>
        <w:rPr>
          <w:rFonts w:ascii="Times New Roman" w:hAnsi="Times New Roman"/>
          <w:sz w:val="24"/>
          <w:szCs w:val="24"/>
        </w:rPr>
        <w:fldChar w:fldCharType="end"/>
      </w:r>
      <w:r w:rsidRPr="007E6CBF">
        <w:rPr>
          <w:rFonts w:ascii="Times New Roman" w:hAnsi="Times New Roman"/>
          <w:sz w:val="24"/>
          <w:szCs w:val="24"/>
        </w:rPr>
        <w:t>,</w:t>
      </w:r>
      <w:r>
        <w:rPr>
          <w:rFonts w:ascii="Times New Roman" w:hAnsi="Times New Roman"/>
          <w:sz w:val="24"/>
          <w:szCs w:val="24"/>
        </w:rPr>
        <w:t xml:space="preserve"> Mauritius ranks fourth among the top geographical regions with </w:t>
      </w:r>
      <w:r w:rsidR="00732EA6">
        <w:rPr>
          <w:rFonts w:ascii="Times New Roman" w:hAnsi="Times New Roman"/>
          <w:sz w:val="24"/>
          <w:szCs w:val="24"/>
        </w:rPr>
        <w:t xml:space="preserve">the </w:t>
      </w:r>
      <w:r>
        <w:rPr>
          <w:rFonts w:ascii="Times New Roman" w:hAnsi="Times New Roman"/>
          <w:sz w:val="24"/>
          <w:szCs w:val="24"/>
        </w:rPr>
        <w:t xml:space="preserve">highest extinction rate of plant species </w:t>
      </w:r>
      <w:r>
        <w:rPr>
          <w:rFonts w:ascii="Times New Roman" w:hAnsi="Times New Roman"/>
          <w:sz w:val="24"/>
          <w:szCs w:val="24"/>
        </w:rPr>
        <w:fldChar w:fldCharType="begin" w:fldLock="1"/>
      </w:r>
      <w:r w:rsidR="0027650C">
        <w:rPr>
          <w:rFonts w:ascii="Times New Roman" w:hAnsi="Times New Roman"/>
          <w:sz w:val="24"/>
          <w:szCs w:val="24"/>
        </w:rPr>
        <w:instrText>ADDIN CSL_CITATION {"citationItems":[{"id":"ITEM-1","itemData":{"DOI":"10.1038/s41559-019-0906-2","ISSN":"2397-334X","abstract":"Most people can name a mammal or bird that has become extinct in recent centuries, but few can name a recently extinct plant. We present a comprehensive, global analysis of modern extinction in plants. Almost 600 species have become extinct, at a higher rate than background extinction, but almost as many have been erroneously declared extinct and then been rediscovered. Reports of extinction on islands, in the tropics and of shrubs, trees or species with narrow ranges are least likely to be refuted by rediscovery. Plant extinctions endanger other organisms, ecosystems and human well-being, and must be understood for effective conservation planning.","author":[{"dropping-particle":"","family":"Humphreys","given":"Aelys M.","non-dropping-particle":"","parse-names":false,"suffix":""},{"dropping-particle":"","family":"Govaerts","given":"Rafaël","non-dropping-particle":"","parse-names":false,"suffix":""},{"dropping-particle":"","family":"Ficinski","given":"Sarah Z.","non-dropping-particle":"","parse-names":false,"suffix":""},{"dropping-particle":"","family":"Nic Lughadha","given":"Eimear","non-dropping-particle":"","parse-names":false,"suffix":""},{"dropping-particle":"","family":"Vorontsova","given":"Maria S.","non-dropping-particle":"","parse-names":false,"suffix":""}],"container-title":"Nature Ecology &amp; Evolution","id":"ITEM-1","issue":"7","issued":{"date-parts":[["2019","7","10"]]},"page":"1043-1047","publisher":"Springer US","title":"Global dataset shows geography and life form predict modern plant extinction and rediscovery","type":"article-journal","volume":"3"},"uris":["http://www.mendeley.com/documents/?uuid=e37c70e1-69ba-40ba-bd5f-e520c0217895"]}],"mendeley":{"formattedCitation":"(Humphreys et al., 2019)","plainTextFormattedCitation":"(Humphreys et al., 2019)","previouslyFormattedCitation":"[11]"},"properties":{"noteIndex":0},"schema":"https://github.com/citation-style-language/schema/raw/master/csl-citation.json"}</w:instrText>
      </w:r>
      <w:r>
        <w:rPr>
          <w:rFonts w:ascii="Times New Roman" w:hAnsi="Times New Roman"/>
          <w:sz w:val="24"/>
          <w:szCs w:val="24"/>
        </w:rPr>
        <w:fldChar w:fldCharType="separate"/>
      </w:r>
      <w:r w:rsidR="0027650C" w:rsidRPr="0027650C">
        <w:rPr>
          <w:rFonts w:ascii="Times New Roman" w:hAnsi="Times New Roman"/>
          <w:noProof/>
          <w:sz w:val="24"/>
          <w:szCs w:val="24"/>
        </w:rPr>
        <w:t>(Humphreys et al., 2019)</w:t>
      </w:r>
      <w:r>
        <w:rPr>
          <w:rFonts w:ascii="Times New Roman" w:hAnsi="Times New Roman"/>
          <w:sz w:val="24"/>
          <w:szCs w:val="24"/>
        </w:rPr>
        <w:fldChar w:fldCharType="end"/>
      </w:r>
      <w:r>
        <w:rPr>
          <w:rFonts w:ascii="Times New Roman" w:hAnsi="Times New Roman"/>
          <w:sz w:val="24"/>
          <w:szCs w:val="24"/>
        </w:rPr>
        <w:t xml:space="preserve">.   Furthermore, </w:t>
      </w:r>
      <w:r w:rsidRPr="007E6CBF">
        <w:rPr>
          <w:rFonts w:ascii="Times New Roman" w:hAnsi="Times New Roman"/>
          <w:sz w:val="24"/>
          <w:szCs w:val="24"/>
        </w:rPr>
        <w:t>the remnant of Mauritian endemic flora</w:t>
      </w:r>
      <w:r>
        <w:rPr>
          <w:rFonts w:ascii="Times New Roman" w:hAnsi="Times New Roman"/>
          <w:sz w:val="24"/>
          <w:szCs w:val="24"/>
        </w:rPr>
        <w:t xml:space="preserve"> </w:t>
      </w:r>
      <w:r w:rsidR="00732EA6">
        <w:rPr>
          <w:rFonts w:ascii="Times New Roman" w:hAnsi="Times New Roman"/>
          <w:sz w:val="24"/>
          <w:szCs w:val="24"/>
        </w:rPr>
        <w:t>is</w:t>
      </w:r>
      <w:r>
        <w:rPr>
          <w:rFonts w:ascii="Times New Roman" w:hAnsi="Times New Roman"/>
          <w:sz w:val="24"/>
          <w:szCs w:val="24"/>
        </w:rPr>
        <w:t xml:space="preserve"> becoming rare</w:t>
      </w:r>
      <w:r w:rsidR="00820BF8">
        <w:rPr>
          <w:rFonts w:ascii="Times New Roman" w:hAnsi="Times New Roman"/>
          <w:sz w:val="24"/>
          <w:szCs w:val="24"/>
        </w:rPr>
        <w:t>r in the wild and many endemic</w:t>
      </w:r>
      <w:r>
        <w:rPr>
          <w:rFonts w:ascii="Times New Roman" w:hAnsi="Times New Roman"/>
          <w:sz w:val="24"/>
          <w:szCs w:val="24"/>
        </w:rPr>
        <w:t xml:space="preserve"> species are considered on the brink of </w:t>
      </w:r>
      <w:r w:rsidRPr="007E6CBF">
        <w:rPr>
          <w:rFonts w:ascii="Times New Roman" w:hAnsi="Times New Roman"/>
          <w:sz w:val="24"/>
          <w:szCs w:val="24"/>
        </w:rPr>
        <w:t xml:space="preserve">extinction </w:t>
      </w:r>
      <w:r>
        <w:rPr>
          <w:rFonts w:ascii="Times New Roman" w:hAnsi="Times New Roman"/>
          <w:sz w:val="24"/>
          <w:szCs w:val="24"/>
        </w:rPr>
        <w:fldChar w:fldCharType="begin" w:fldLock="1"/>
      </w:r>
      <w:r w:rsidR="0027650C">
        <w:rPr>
          <w:rFonts w:ascii="Times New Roman" w:hAnsi="Times New Roman"/>
          <w:sz w:val="24"/>
          <w:szCs w:val="24"/>
        </w:rPr>
        <w:instrText>ADDIN CSL_CITATION {"citationItems":[{"id":"ITEM-1","itemData":{"abstract":"We review plant conservation in the Mascarenes (Réunion, Mauritius, Rodrigues) and the granitic Seychelles islands. Sizes of angiosperm floras are: Seychelles (200 species, c. 70 endemics of which c. 70% are threatened), Mauritius (691 species of which 273 are single island endemics [SIE] and another 150 are Mascarene endemics [ME]), Rodrigues (150 species, 47 SIE, 72 ME), Réunion (550 species, c. 165 SIE, c. 140 ME). The main threats affecting plant diversity are small population sizes and fragmentation, and invasive alien species. While in Mauritius, Rodrigues and Seychelles &lt;5% of intact habitat is left, this proportion is still 30% in Réunion. Consequently habitat restoration is a priority in Mauritius, Rodrigues and Seychelles. All islands have recently greatly advanced some aspects of plant conservation, while gaps are also apparent. Advances include conservation strategies (all), ex situ conservation (all), extent of protected areas (Réunion, Seychelles), new NGOs (Réunion, Seychelles) and outreach (Réunion, Seychelles). Weaknesses include lack of government support (Mauritius, Rodrigues), local scientific expertise (Mauritius, Rodrigues, Seychelles). Given the similarity in biogeography and past and current anthropogenic disturbances a regional plant conservation network and strategy needs to be strengthened.","author":[{"dropping-particle":"","family":"Baider","given":"Claudia","non-dropping-particle":"","parse-names":false,"suffix":""},{"dropping-particle":"","family":"Florens","given":"F B Vincent","non-dropping-particle":"","parse-names":false,"suffix":""},{"dropping-particle":"","family":"Baret","given":"Stéphane","non-dropping-particle":"","parse-names":false,"suffix":""},{"dropping-particle":"","family":"Beaver","given":"Katy","non-dropping-particle":"","parse-names":false,"suffix":""},{"dropping-particle":"","family":"Strasberg","given":"Dominique","non-dropping-particle":"","parse-names":false,"suffix":""},{"dropping-particle":"","family":"Kueffer","given":"Christoph","non-dropping-particle":"","parse-names":false,"suffix":""}],"container-title":"Proceedings of the 4th Global Botanic Gardens Congress","id":"ITEM-1","issue":"June","issued":{"date-parts":[["2010"]]},"page":"1-7","title":"Status of plant conservation in oceanic islands of the Western Indian Ocean","type":"article-journal"},"uris":["http://www.mendeley.com/documents/?uuid=ec6666e9-19be-4b3d-b7d6-0f7b88351170"]}],"mendeley":{"formattedCitation":"(Baider et al., 2010)","plainTextFormattedCitation":"(Baider et al., 2010)","previouslyFormattedCitation":"[12]"},"properties":{"noteIndex":0},"schema":"https://github.com/citation-style-language/schema/raw/master/csl-citation.json"}</w:instrText>
      </w:r>
      <w:r>
        <w:rPr>
          <w:rFonts w:ascii="Times New Roman" w:hAnsi="Times New Roman"/>
          <w:sz w:val="24"/>
          <w:szCs w:val="24"/>
        </w:rPr>
        <w:fldChar w:fldCharType="separate"/>
      </w:r>
      <w:r w:rsidR="0027650C" w:rsidRPr="0027650C">
        <w:rPr>
          <w:rFonts w:ascii="Times New Roman" w:hAnsi="Times New Roman"/>
          <w:noProof/>
          <w:sz w:val="24"/>
          <w:szCs w:val="24"/>
        </w:rPr>
        <w:t>(Baider et al., 2010)</w:t>
      </w:r>
      <w:r>
        <w:rPr>
          <w:rFonts w:ascii="Times New Roman" w:hAnsi="Times New Roman"/>
          <w:sz w:val="24"/>
          <w:szCs w:val="24"/>
        </w:rPr>
        <w:fldChar w:fldCharType="end"/>
      </w:r>
      <w:r>
        <w:rPr>
          <w:rFonts w:ascii="Times New Roman" w:hAnsi="Times New Roman"/>
          <w:sz w:val="24"/>
          <w:szCs w:val="24"/>
        </w:rPr>
        <w:t xml:space="preserve">. </w:t>
      </w:r>
    </w:p>
    <w:p w14:paraId="3BB0A019" w14:textId="4957B10E" w:rsidR="00300D24" w:rsidRPr="00520D27" w:rsidRDefault="00300D24" w:rsidP="00300D24">
      <w:pPr>
        <w:spacing w:line="276" w:lineRule="auto"/>
        <w:jc w:val="both"/>
        <w:rPr>
          <w:rFonts w:ascii="Times New Roman" w:hAnsi="Times New Roman"/>
          <w:sz w:val="24"/>
          <w:szCs w:val="24"/>
        </w:rPr>
      </w:pPr>
      <w:r w:rsidRPr="007E6CBF">
        <w:rPr>
          <w:rFonts w:ascii="Times New Roman" w:hAnsi="Times New Roman"/>
          <w:sz w:val="24"/>
          <w:szCs w:val="24"/>
        </w:rPr>
        <w:t>Thus,</w:t>
      </w:r>
      <w:r>
        <w:rPr>
          <w:rFonts w:ascii="Times New Roman" w:hAnsi="Times New Roman"/>
          <w:sz w:val="24"/>
          <w:szCs w:val="24"/>
        </w:rPr>
        <w:t xml:space="preserve"> in v</w:t>
      </w:r>
      <w:r w:rsidRPr="007E6CBF">
        <w:rPr>
          <w:rFonts w:ascii="Times New Roman" w:hAnsi="Times New Roman"/>
          <w:sz w:val="24"/>
          <w:szCs w:val="24"/>
        </w:rPr>
        <w:t>iew of encouraging conservation policies</w:t>
      </w:r>
      <w:r w:rsidR="00520D27">
        <w:rPr>
          <w:rFonts w:ascii="Times New Roman" w:hAnsi="Times New Roman"/>
          <w:sz w:val="24"/>
          <w:szCs w:val="24"/>
        </w:rPr>
        <w:t xml:space="preserve"> </w:t>
      </w:r>
      <w:r w:rsidR="006733FF">
        <w:rPr>
          <w:rFonts w:ascii="Times New Roman" w:hAnsi="Times New Roman"/>
          <w:sz w:val="24"/>
          <w:szCs w:val="24"/>
        </w:rPr>
        <w:t>as well as to ascertain potential therapeutic role(s)</w:t>
      </w:r>
      <w:r>
        <w:rPr>
          <w:rFonts w:ascii="Times New Roman" w:hAnsi="Times New Roman"/>
          <w:sz w:val="24"/>
          <w:szCs w:val="24"/>
        </w:rPr>
        <w:t xml:space="preserve">, it is of paramount importance to evaluate the </w:t>
      </w:r>
      <w:r w:rsidR="00520D27">
        <w:rPr>
          <w:rFonts w:ascii="Times New Roman" w:hAnsi="Times New Roman"/>
          <w:sz w:val="24"/>
          <w:szCs w:val="24"/>
        </w:rPr>
        <w:t>beneficial effects</w:t>
      </w:r>
      <w:r>
        <w:rPr>
          <w:rFonts w:ascii="Times New Roman" w:hAnsi="Times New Roman"/>
          <w:sz w:val="24"/>
          <w:szCs w:val="24"/>
        </w:rPr>
        <w:t xml:space="preserve"> of </w:t>
      </w:r>
      <w:r w:rsidR="006733FF">
        <w:rPr>
          <w:rFonts w:ascii="Times New Roman" w:hAnsi="Times New Roman"/>
          <w:sz w:val="24"/>
          <w:szCs w:val="24"/>
        </w:rPr>
        <w:t>th</w:t>
      </w:r>
      <w:r w:rsidR="000D7968">
        <w:rPr>
          <w:rFonts w:ascii="Times New Roman" w:hAnsi="Times New Roman"/>
          <w:sz w:val="24"/>
          <w:szCs w:val="24"/>
        </w:rPr>
        <w:t>is</w:t>
      </w:r>
      <w:r w:rsidR="006733FF">
        <w:rPr>
          <w:rFonts w:ascii="Times New Roman" w:hAnsi="Times New Roman"/>
          <w:sz w:val="24"/>
          <w:szCs w:val="24"/>
        </w:rPr>
        <w:t xml:space="preserve"> </w:t>
      </w:r>
      <w:r>
        <w:rPr>
          <w:rFonts w:ascii="Times New Roman" w:hAnsi="Times New Roman"/>
          <w:sz w:val="24"/>
          <w:szCs w:val="24"/>
        </w:rPr>
        <w:t xml:space="preserve">endemic </w:t>
      </w:r>
      <w:r w:rsidR="006733FF">
        <w:rPr>
          <w:rFonts w:ascii="Times New Roman" w:hAnsi="Times New Roman"/>
          <w:sz w:val="24"/>
          <w:szCs w:val="24"/>
        </w:rPr>
        <w:t>flora</w:t>
      </w:r>
      <w:r>
        <w:rPr>
          <w:rFonts w:ascii="Times New Roman" w:hAnsi="Times New Roman"/>
          <w:sz w:val="24"/>
          <w:szCs w:val="24"/>
        </w:rPr>
        <w:t xml:space="preserve"> </w:t>
      </w:r>
      <w:r w:rsidR="000D7968">
        <w:rPr>
          <w:rFonts w:ascii="Times New Roman" w:hAnsi="Times New Roman"/>
          <w:sz w:val="24"/>
          <w:szCs w:val="24"/>
        </w:rPr>
        <w:t>before</w:t>
      </w:r>
      <w:r w:rsidR="006733FF">
        <w:rPr>
          <w:rFonts w:ascii="Times New Roman" w:hAnsi="Times New Roman"/>
          <w:sz w:val="24"/>
          <w:szCs w:val="24"/>
        </w:rPr>
        <w:t xml:space="preserve"> the</w:t>
      </w:r>
      <w:r>
        <w:rPr>
          <w:rFonts w:ascii="Times New Roman" w:hAnsi="Times New Roman"/>
          <w:sz w:val="24"/>
          <w:szCs w:val="24"/>
        </w:rPr>
        <w:t xml:space="preserve"> irreversible loss of this untapped biodiversity. T</w:t>
      </w:r>
      <w:r w:rsidR="00620CBE">
        <w:rPr>
          <w:rFonts w:ascii="Times New Roman" w:hAnsi="Times New Roman"/>
          <w:sz w:val="24"/>
          <w:szCs w:val="24"/>
        </w:rPr>
        <w:t>his</w:t>
      </w:r>
      <w:r w:rsidRPr="007E6CBF">
        <w:rPr>
          <w:rFonts w:ascii="Times New Roman" w:hAnsi="Times New Roman"/>
          <w:sz w:val="24"/>
          <w:szCs w:val="24"/>
        </w:rPr>
        <w:t xml:space="preserve"> </w:t>
      </w:r>
      <w:r w:rsidRPr="00620CBE">
        <w:rPr>
          <w:rFonts w:ascii="Times New Roman" w:hAnsi="Times New Roman"/>
          <w:color w:val="00B050"/>
          <w:sz w:val="24"/>
          <w:szCs w:val="24"/>
        </w:rPr>
        <w:t>prompted</w:t>
      </w:r>
      <w:r w:rsidRPr="007E6CBF">
        <w:rPr>
          <w:rFonts w:ascii="Times New Roman" w:hAnsi="Times New Roman"/>
          <w:sz w:val="24"/>
          <w:szCs w:val="24"/>
        </w:rPr>
        <w:t xml:space="preserve"> us to</w:t>
      </w:r>
      <w:r>
        <w:rPr>
          <w:rFonts w:ascii="Times New Roman" w:hAnsi="Times New Roman"/>
          <w:sz w:val="24"/>
          <w:szCs w:val="24"/>
        </w:rPr>
        <w:t xml:space="preserve"> investigate the </w:t>
      </w:r>
      <w:r w:rsidR="00620CBE">
        <w:rPr>
          <w:rFonts w:ascii="Times New Roman" w:hAnsi="Times New Roman"/>
          <w:i/>
          <w:sz w:val="24"/>
          <w:szCs w:val="24"/>
        </w:rPr>
        <w:t>in vitro</w:t>
      </w:r>
      <w:r>
        <w:rPr>
          <w:rFonts w:ascii="Times New Roman" w:hAnsi="Times New Roman"/>
          <w:sz w:val="24"/>
          <w:szCs w:val="24"/>
        </w:rPr>
        <w:t xml:space="preserve"> an</w:t>
      </w:r>
      <w:r w:rsidR="00214023">
        <w:rPr>
          <w:rFonts w:ascii="Times New Roman" w:hAnsi="Times New Roman"/>
          <w:sz w:val="24"/>
          <w:szCs w:val="24"/>
        </w:rPr>
        <w:t xml:space="preserve">tioxidant </w:t>
      </w:r>
      <w:r>
        <w:rPr>
          <w:rFonts w:ascii="Times New Roman" w:hAnsi="Times New Roman"/>
          <w:sz w:val="24"/>
          <w:szCs w:val="24"/>
        </w:rPr>
        <w:t xml:space="preserve">of leaf extracts of three </w:t>
      </w:r>
      <w:proofErr w:type="spellStart"/>
      <w:r w:rsidRPr="00DD0AC5">
        <w:rPr>
          <w:rFonts w:ascii="Times New Roman" w:hAnsi="Times New Roman"/>
          <w:i/>
          <w:sz w:val="24"/>
          <w:szCs w:val="24"/>
        </w:rPr>
        <w:t>Syzygium</w:t>
      </w:r>
      <w:proofErr w:type="spellEnd"/>
      <w:r w:rsidR="005A0183">
        <w:rPr>
          <w:rFonts w:ascii="Times New Roman" w:hAnsi="Times New Roman"/>
          <w:i/>
          <w:sz w:val="24"/>
          <w:szCs w:val="24"/>
        </w:rPr>
        <w:t xml:space="preserve"> </w:t>
      </w:r>
      <w:proofErr w:type="spellStart"/>
      <w:r w:rsidR="005A0183" w:rsidRPr="005A0183">
        <w:rPr>
          <w:rFonts w:ascii="Times New Roman" w:hAnsi="Times New Roman"/>
          <w:sz w:val="24"/>
          <w:szCs w:val="24"/>
        </w:rPr>
        <w:t>Gaertn</w:t>
      </w:r>
      <w:proofErr w:type="spellEnd"/>
      <w:r w:rsidR="005A0183" w:rsidRPr="005A0183">
        <w:rPr>
          <w:rFonts w:ascii="Times New Roman" w:hAnsi="Times New Roman"/>
          <w:sz w:val="24"/>
          <w:szCs w:val="24"/>
        </w:rPr>
        <w:t>.</w:t>
      </w:r>
      <w:r w:rsidR="005A0183">
        <w:rPr>
          <w:rFonts w:ascii="Times New Roman" w:hAnsi="Times New Roman"/>
          <w:sz w:val="24"/>
          <w:szCs w:val="24"/>
        </w:rPr>
        <w:t xml:space="preserve"> (</w:t>
      </w:r>
      <w:proofErr w:type="spellStart"/>
      <w:r w:rsidR="005A0183">
        <w:rPr>
          <w:rFonts w:ascii="Times New Roman" w:hAnsi="Times New Roman"/>
          <w:sz w:val="24"/>
          <w:szCs w:val="24"/>
        </w:rPr>
        <w:t>Myrtaceae</w:t>
      </w:r>
      <w:proofErr w:type="spellEnd"/>
      <w:r w:rsidR="005A0183">
        <w:rPr>
          <w:rFonts w:ascii="Times New Roman" w:hAnsi="Times New Roman"/>
          <w:sz w:val="24"/>
          <w:szCs w:val="24"/>
        </w:rPr>
        <w:t>)</w:t>
      </w:r>
      <w:r w:rsidR="005A0183" w:rsidRPr="005A0183">
        <w:rPr>
          <w:rFonts w:ascii="Times New Roman" w:hAnsi="Times New Roman"/>
          <w:i/>
          <w:sz w:val="24"/>
          <w:szCs w:val="24"/>
        </w:rPr>
        <w:t xml:space="preserve"> </w:t>
      </w:r>
      <w:r w:rsidR="006733FF">
        <w:rPr>
          <w:rFonts w:ascii="Times New Roman" w:hAnsi="Times New Roman"/>
          <w:sz w:val="24"/>
          <w:szCs w:val="24"/>
        </w:rPr>
        <w:t>species endemic to the i</w:t>
      </w:r>
      <w:r>
        <w:rPr>
          <w:rFonts w:ascii="Times New Roman" w:hAnsi="Times New Roman"/>
          <w:sz w:val="24"/>
          <w:szCs w:val="24"/>
        </w:rPr>
        <w:t>sland of Mauritius</w:t>
      </w:r>
      <w:r w:rsidR="00AE7D02">
        <w:rPr>
          <w:rFonts w:ascii="Times New Roman" w:hAnsi="Times New Roman"/>
          <w:sz w:val="24"/>
          <w:szCs w:val="24"/>
        </w:rPr>
        <w:t xml:space="preserve"> (</w:t>
      </w:r>
      <w:r w:rsidR="00AE7D02" w:rsidRPr="00AE7D02">
        <w:rPr>
          <w:rFonts w:ascii="Times New Roman" w:hAnsi="Times New Roman"/>
          <w:b/>
          <w:sz w:val="24"/>
          <w:szCs w:val="24"/>
        </w:rPr>
        <w:t>Figure 1</w:t>
      </w:r>
      <w:r w:rsidR="00AE7D02">
        <w:rPr>
          <w:rFonts w:ascii="Times New Roman" w:hAnsi="Times New Roman"/>
          <w:sz w:val="24"/>
          <w:szCs w:val="24"/>
        </w:rPr>
        <w:t>)</w:t>
      </w:r>
      <w:r>
        <w:rPr>
          <w:rFonts w:ascii="Times New Roman" w:hAnsi="Times New Roman"/>
          <w:sz w:val="24"/>
          <w:szCs w:val="24"/>
        </w:rPr>
        <w:t xml:space="preserve">. </w:t>
      </w:r>
      <w:r>
        <w:rPr>
          <w:rFonts w:ascii="Times New Roman" w:eastAsia="Times New Roman" w:hAnsi="Times New Roman"/>
          <w:noProof/>
          <w:color w:val="000000"/>
          <w:sz w:val="24"/>
          <w:szCs w:val="24"/>
        </w:rPr>
        <w:t xml:space="preserve">The </w:t>
      </w:r>
      <w:r w:rsidR="00047A60">
        <w:rPr>
          <w:rFonts w:ascii="Times New Roman" w:eastAsia="Times New Roman" w:hAnsi="Times New Roman"/>
          <w:noProof/>
          <w:color w:val="000000"/>
          <w:sz w:val="24"/>
          <w:szCs w:val="24"/>
        </w:rPr>
        <w:t xml:space="preserve">cytotoxic </w:t>
      </w:r>
      <w:r>
        <w:rPr>
          <w:rFonts w:ascii="Times New Roman" w:eastAsia="Times New Roman" w:hAnsi="Times New Roman"/>
          <w:noProof/>
          <w:color w:val="000000"/>
          <w:sz w:val="24"/>
          <w:szCs w:val="24"/>
        </w:rPr>
        <w:t xml:space="preserve">effect of </w:t>
      </w:r>
      <w:proofErr w:type="spellStart"/>
      <w:r w:rsidR="006733FF">
        <w:rPr>
          <w:rFonts w:ascii="Times New Roman" w:eastAsia="Times New Roman" w:hAnsi="Times New Roman"/>
          <w:i/>
          <w:iCs/>
          <w:color w:val="000000"/>
          <w:sz w:val="24"/>
          <w:szCs w:val="24"/>
        </w:rPr>
        <w:t>Syzygium</w:t>
      </w:r>
      <w:proofErr w:type="spellEnd"/>
      <w:r w:rsidRPr="00A31206">
        <w:rPr>
          <w:rFonts w:ascii="Times New Roman" w:eastAsia="Times New Roman" w:hAnsi="Times New Roman"/>
          <w:i/>
          <w:iCs/>
          <w:color w:val="000000"/>
          <w:sz w:val="24"/>
          <w:szCs w:val="24"/>
        </w:rPr>
        <w:t xml:space="preserve"> </w:t>
      </w:r>
      <w:r w:rsidRPr="00A31206">
        <w:rPr>
          <w:rFonts w:ascii="Times New Roman" w:eastAsia="Times New Roman" w:hAnsi="Times New Roman"/>
          <w:i/>
          <w:iCs/>
          <w:noProof/>
          <w:color w:val="000000"/>
          <w:sz w:val="24"/>
          <w:szCs w:val="24"/>
        </w:rPr>
        <w:t>coriaceum</w:t>
      </w:r>
      <w:r>
        <w:rPr>
          <w:rFonts w:ascii="Times New Roman" w:eastAsia="Times New Roman" w:hAnsi="Times New Roman"/>
          <w:iCs/>
          <w:noProof/>
          <w:color w:val="000000"/>
          <w:sz w:val="24"/>
          <w:szCs w:val="24"/>
        </w:rPr>
        <w:t xml:space="preserve"> and its ability to modulate intracellular oxidative stress in </w:t>
      </w:r>
      <w:r w:rsidR="00047A60">
        <w:rPr>
          <w:rFonts w:ascii="Times New Roman" w:eastAsia="Times New Roman" w:hAnsi="Times New Roman"/>
          <w:iCs/>
          <w:noProof/>
          <w:color w:val="000000"/>
          <w:sz w:val="24"/>
          <w:szCs w:val="24"/>
        </w:rPr>
        <w:t>liver hepatocellular carcinoma (</w:t>
      </w:r>
      <w:r>
        <w:rPr>
          <w:rFonts w:ascii="Times New Roman" w:eastAsia="Times New Roman" w:hAnsi="Times New Roman"/>
          <w:iCs/>
          <w:noProof/>
          <w:color w:val="000000"/>
          <w:sz w:val="24"/>
          <w:szCs w:val="24"/>
        </w:rPr>
        <w:t>HepG2</w:t>
      </w:r>
      <w:r w:rsidR="00047A60">
        <w:rPr>
          <w:rFonts w:ascii="Times New Roman" w:eastAsia="Times New Roman" w:hAnsi="Times New Roman"/>
          <w:iCs/>
          <w:noProof/>
          <w:color w:val="000000"/>
          <w:sz w:val="24"/>
          <w:szCs w:val="24"/>
        </w:rPr>
        <w:t>)</w:t>
      </w:r>
      <w:r>
        <w:rPr>
          <w:rFonts w:ascii="Times New Roman" w:eastAsia="Times New Roman" w:hAnsi="Times New Roman"/>
          <w:iCs/>
          <w:noProof/>
          <w:color w:val="000000"/>
          <w:sz w:val="24"/>
          <w:szCs w:val="24"/>
        </w:rPr>
        <w:t xml:space="preserve"> cells were </w:t>
      </w:r>
      <w:r w:rsidR="00102691">
        <w:rPr>
          <w:rFonts w:ascii="Times New Roman" w:eastAsia="Times New Roman" w:hAnsi="Times New Roman"/>
          <w:iCs/>
          <w:noProof/>
          <w:color w:val="000000"/>
          <w:sz w:val="24"/>
          <w:szCs w:val="24"/>
        </w:rPr>
        <w:t>determined</w:t>
      </w:r>
      <w:r>
        <w:rPr>
          <w:rFonts w:ascii="Times New Roman" w:eastAsia="Times New Roman" w:hAnsi="Times New Roman"/>
          <w:iCs/>
          <w:noProof/>
          <w:color w:val="000000"/>
          <w:sz w:val="24"/>
          <w:szCs w:val="24"/>
        </w:rPr>
        <w:t xml:space="preserve">. </w:t>
      </w:r>
      <w:r w:rsidR="00047A60">
        <w:rPr>
          <w:rFonts w:ascii="Times New Roman" w:eastAsia="Times New Roman" w:hAnsi="Times New Roman"/>
          <w:iCs/>
          <w:noProof/>
          <w:color w:val="000000"/>
          <w:sz w:val="24"/>
          <w:szCs w:val="24"/>
        </w:rPr>
        <w:t>The c</w:t>
      </w:r>
      <w:r>
        <w:rPr>
          <w:rFonts w:ascii="Times New Roman" w:eastAsia="Times New Roman" w:hAnsi="Times New Roman"/>
          <w:iCs/>
          <w:noProof/>
          <w:color w:val="000000"/>
          <w:sz w:val="24"/>
          <w:szCs w:val="24"/>
        </w:rPr>
        <w:t xml:space="preserve">haracterisation of </w:t>
      </w:r>
      <w:r w:rsidR="00047A60">
        <w:rPr>
          <w:rFonts w:ascii="Times New Roman" w:eastAsia="Times New Roman" w:hAnsi="Times New Roman"/>
          <w:iCs/>
          <w:noProof/>
          <w:color w:val="000000"/>
          <w:sz w:val="24"/>
          <w:szCs w:val="24"/>
        </w:rPr>
        <w:t xml:space="preserve">the </w:t>
      </w:r>
      <w:r>
        <w:rPr>
          <w:rFonts w:ascii="Times New Roman" w:eastAsia="Times New Roman" w:hAnsi="Times New Roman"/>
          <w:iCs/>
          <w:noProof/>
          <w:color w:val="000000"/>
          <w:sz w:val="24"/>
          <w:szCs w:val="24"/>
        </w:rPr>
        <w:t xml:space="preserve">bioactive compounds in </w:t>
      </w:r>
      <w:r w:rsidRPr="00F547FB">
        <w:rPr>
          <w:rFonts w:ascii="Times New Roman" w:eastAsia="Times New Roman" w:hAnsi="Times New Roman"/>
          <w:i/>
          <w:iCs/>
          <w:noProof/>
          <w:color w:val="000000"/>
          <w:sz w:val="24"/>
          <w:szCs w:val="24"/>
        </w:rPr>
        <w:t>S. coriaceum</w:t>
      </w:r>
      <w:r>
        <w:rPr>
          <w:rFonts w:ascii="Times New Roman" w:eastAsia="Times New Roman" w:hAnsi="Times New Roman"/>
          <w:iCs/>
          <w:noProof/>
          <w:color w:val="000000"/>
          <w:sz w:val="24"/>
          <w:szCs w:val="24"/>
        </w:rPr>
        <w:t xml:space="preserve"> leaf extract was als</w:t>
      </w:r>
      <w:r w:rsidR="00F23AC1">
        <w:rPr>
          <w:rFonts w:ascii="Times New Roman" w:eastAsia="Times New Roman" w:hAnsi="Times New Roman"/>
          <w:iCs/>
          <w:noProof/>
          <w:color w:val="000000"/>
          <w:sz w:val="24"/>
          <w:szCs w:val="24"/>
        </w:rPr>
        <w:t xml:space="preserve">o attempted, following </w:t>
      </w:r>
      <w:r w:rsidR="001B3D89" w:rsidRPr="001B3D89">
        <w:rPr>
          <w:rFonts w:ascii="Times New Roman" w:eastAsia="Times New Roman" w:hAnsi="Times New Roman"/>
          <w:iCs/>
          <w:noProof/>
          <w:color w:val="000000"/>
          <w:sz w:val="24"/>
          <w:szCs w:val="24"/>
        </w:rPr>
        <w:t xml:space="preserve">methyl thiazolyl diphenyl-tetrazolium bromide </w:t>
      </w:r>
      <w:r w:rsidR="001B3D89">
        <w:rPr>
          <w:rFonts w:ascii="Times New Roman" w:eastAsia="Times New Roman" w:hAnsi="Times New Roman"/>
          <w:iCs/>
          <w:noProof/>
          <w:color w:val="000000"/>
          <w:sz w:val="24"/>
          <w:szCs w:val="24"/>
        </w:rPr>
        <w:t>(</w:t>
      </w:r>
      <w:r w:rsidR="00F23AC1">
        <w:rPr>
          <w:rFonts w:ascii="Times New Roman" w:eastAsia="Times New Roman" w:hAnsi="Times New Roman"/>
          <w:iCs/>
          <w:noProof/>
          <w:color w:val="000000"/>
          <w:sz w:val="24"/>
          <w:szCs w:val="24"/>
        </w:rPr>
        <w:t>MTT</w:t>
      </w:r>
      <w:r w:rsidR="001B3D89">
        <w:rPr>
          <w:rFonts w:ascii="Times New Roman" w:eastAsia="Times New Roman" w:hAnsi="Times New Roman"/>
          <w:iCs/>
          <w:noProof/>
          <w:color w:val="000000"/>
          <w:sz w:val="24"/>
          <w:szCs w:val="24"/>
        </w:rPr>
        <w:t xml:space="preserve">) </w:t>
      </w:r>
      <w:r w:rsidR="00F23AC1">
        <w:rPr>
          <w:rFonts w:ascii="Times New Roman" w:eastAsia="Times New Roman" w:hAnsi="Times New Roman"/>
          <w:iCs/>
          <w:noProof/>
          <w:color w:val="000000"/>
          <w:sz w:val="24"/>
          <w:szCs w:val="24"/>
        </w:rPr>
        <w:t>- via</w:t>
      </w:r>
      <w:r>
        <w:rPr>
          <w:rFonts w:ascii="Times New Roman" w:eastAsia="Times New Roman" w:hAnsi="Times New Roman"/>
          <w:iCs/>
          <w:noProof/>
          <w:color w:val="000000"/>
          <w:sz w:val="24"/>
          <w:szCs w:val="24"/>
        </w:rPr>
        <w:t>bility guided fractionation.</w:t>
      </w:r>
    </w:p>
    <w:p w14:paraId="6A24CF66" w14:textId="77777777" w:rsidR="00CD3A92" w:rsidRPr="00E31225" w:rsidRDefault="00CD3A92" w:rsidP="00CD3A92">
      <w:pPr>
        <w:pStyle w:val="ListParagraph"/>
        <w:numPr>
          <w:ilvl w:val="0"/>
          <w:numId w:val="2"/>
        </w:numPr>
        <w:spacing w:line="276" w:lineRule="auto"/>
        <w:jc w:val="both"/>
        <w:rPr>
          <w:rFonts w:ascii="Times New Roman" w:hAnsi="Times New Roman"/>
          <w:b/>
          <w:sz w:val="24"/>
          <w:szCs w:val="24"/>
        </w:rPr>
      </w:pPr>
      <w:r w:rsidRPr="00E31225">
        <w:rPr>
          <w:rFonts w:ascii="Times New Roman" w:hAnsi="Times New Roman"/>
          <w:b/>
          <w:sz w:val="24"/>
          <w:szCs w:val="24"/>
        </w:rPr>
        <w:lastRenderedPageBreak/>
        <w:t>METHODOLOGY</w:t>
      </w:r>
    </w:p>
    <w:p w14:paraId="25FF82F1" w14:textId="77777777" w:rsidR="00CD3A92" w:rsidRPr="00E31225" w:rsidRDefault="00CD3A92" w:rsidP="00CD3A92">
      <w:pPr>
        <w:pStyle w:val="ListParagraph"/>
        <w:numPr>
          <w:ilvl w:val="1"/>
          <w:numId w:val="2"/>
        </w:numPr>
        <w:spacing w:line="276" w:lineRule="auto"/>
        <w:jc w:val="both"/>
        <w:rPr>
          <w:rFonts w:ascii="Times New Roman" w:hAnsi="Times New Roman"/>
          <w:b/>
          <w:sz w:val="24"/>
          <w:szCs w:val="24"/>
        </w:rPr>
      </w:pPr>
      <w:r w:rsidRPr="00E31225">
        <w:rPr>
          <w:rFonts w:ascii="Times New Roman" w:hAnsi="Times New Roman"/>
          <w:b/>
          <w:sz w:val="24"/>
          <w:szCs w:val="24"/>
        </w:rPr>
        <w:t>PLANT MATERIAL AND PREPARATION OF TOTAL EXTRACTS.</w:t>
      </w:r>
    </w:p>
    <w:p w14:paraId="564F222E" w14:textId="423F5EC8" w:rsidR="00CD3A92" w:rsidRDefault="00CD3A92" w:rsidP="00CD3A92">
      <w:pPr>
        <w:spacing w:line="276" w:lineRule="auto"/>
        <w:jc w:val="both"/>
        <w:rPr>
          <w:rFonts w:ascii="Times New Roman" w:hAnsi="Times New Roman"/>
          <w:sz w:val="24"/>
          <w:szCs w:val="24"/>
        </w:rPr>
      </w:pPr>
      <w:r w:rsidRPr="00CD3A92">
        <w:rPr>
          <w:rFonts w:ascii="Times New Roman" w:hAnsi="Times New Roman"/>
          <w:sz w:val="24"/>
          <w:szCs w:val="24"/>
        </w:rPr>
        <w:t xml:space="preserve">The collection of Mauritian endemic plant samples was authorised by the National Parks &amp; Conservation Service under the Ministry of Agro-Industry &amp; Food Security, </w:t>
      </w:r>
      <w:proofErr w:type="spellStart"/>
      <w:r w:rsidRPr="00CD3A92">
        <w:rPr>
          <w:rFonts w:ascii="Times New Roman" w:hAnsi="Times New Roman"/>
          <w:sz w:val="24"/>
          <w:szCs w:val="24"/>
        </w:rPr>
        <w:t>Réduit</w:t>
      </w:r>
      <w:proofErr w:type="spellEnd"/>
      <w:r w:rsidRPr="00CD3A92">
        <w:rPr>
          <w:rFonts w:ascii="Times New Roman" w:hAnsi="Times New Roman"/>
          <w:sz w:val="24"/>
          <w:szCs w:val="24"/>
        </w:rPr>
        <w:t>, Mauritius.</w:t>
      </w:r>
      <w:r>
        <w:rPr>
          <w:rFonts w:ascii="Times New Roman" w:hAnsi="Times New Roman"/>
          <w:sz w:val="24"/>
          <w:szCs w:val="24"/>
        </w:rPr>
        <w:t xml:space="preserve"> </w:t>
      </w:r>
      <w:r w:rsidRPr="00A31206">
        <w:rPr>
          <w:rFonts w:ascii="Times New Roman" w:hAnsi="Times New Roman"/>
          <w:sz w:val="24"/>
          <w:szCs w:val="24"/>
        </w:rPr>
        <w:t>Fresh leaves</w:t>
      </w:r>
      <w:r>
        <w:rPr>
          <w:rFonts w:ascii="Times New Roman" w:hAnsi="Times New Roman"/>
          <w:sz w:val="24"/>
          <w:szCs w:val="24"/>
        </w:rPr>
        <w:t xml:space="preserve"> of</w:t>
      </w:r>
      <w:r w:rsidRPr="00A31206">
        <w:rPr>
          <w:rFonts w:ascii="Times New Roman" w:hAnsi="Times New Roman"/>
          <w:sz w:val="24"/>
          <w:szCs w:val="24"/>
        </w:rPr>
        <w:t xml:space="preserve"> </w:t>
      </w:r>
      <w:proofErr w:type="spellStart"/>
      <w:r w:rsidRPr="00A31206">
        <w:rPr>
          <w:rFonts w:ascii="Times New Roman" w:hAnsi="Times New Roman"/>
          <w:i/>
          <w:sz w:val="24"/>
          <w:szCs w:val="24"/>
        </w:rPr>
        <w:t>S</w:t>
      </w:r>
      <w:r>
        <w:rPr>
          <w:rFonts w:ascii="Times New Roman" w:hAnsi="Times New Roman"/>
          <w:i/>
          <w:sz w:val="24"/>
          <w:szCs w:val="24"/>
        </w:rPr>
        <w:t>yzygium</w:t>
      </w:r>
      <w:proofErr w:type="spellEnd"/>
      <w:r w:rsidRPr="00A31206">
        <w:rPr>
          <w:rFonts w:ascii="Times New Roman" w:hAnsi="Times New Roman"/>
          <w:i/>
          <w:sz w:val="24"/>
          <w:szCs w:val="24"/>
        </w:rPr>
        <w:t xml:space="preserve"> </w:t>
      </w:r>
      <w:proofErr w:type="spellStart"/>
      <w:r w:rsidRPr="000C7341">
        <w:rPr>
          <w:rFonts w:ascii="Times New Roman" w:eastAsia="Times New Roman" w:hAnsi="Times New Roman"/>
          <w:i/>
          <w:iCs/>
          <w:color w:val="000000"/>
          <w:sz w:val="24"/>
          <w:szCs w:val="24"/>
        </w:rPr>
        <w:t>bijouxii</w:t>
      </w:r>
      <w:proofErr w:type="spellEnd"/>
      <w:r w:rsidRPr="000C7341">
        <w:rPr>
          <w:rFonts w:ascii="Times New Roman" w:eastAsia="Times New Roman" w:hAnsi="Times New Roman"/>
          <w:color w:val="000000"/>
          <w:sz w:val="24"/>
          <w:szCs w:val="24"/>
        </w:rPr>
        <w:t xml:space="preserve"> </w:t>
      </w:r>
      <w:proofErr w:type="spellStart"/>
      <w:r w:rsidRPr="000C7341">
        <w:rPr>
          <w:rFonts w:ascii="Times New Roman" w:eastAsia="Times New Roman" w:hAnsi="Times New Roman"/>
          <w:color w:val="000000"/>
          <w:sz w:val="24"/>
          <w:szCs w:val="24"/>
        </w:rPr>
        <w:t>Guého</w:t>
      </w:r>
      <w:proofErr w:type="spellEnd"/>
      <w:r w:rsidRPr="000C7341">
        <w:rPr>
          <w:rFonts w:ascii="Times New Roman" w:eastAsia="Times New Roman" w:hAnsi="Times New Roman"/>
          <w:color w:val="000000"/>
          <w:sz w:val="24"/>
          <w:szCs w:val="24"/>
        </w:rPr>
        <w:t xml:space="preserve"> et A. J. Scott</w:t>
      </w:r>
      <w:r w:rsidRPr="00A31206">
        <w:rPr>
          <w:rFonts w:ascii="Times New Roman" w:hAnsi="Times New Roman"/>
          <w:i/>
          <w:sz w:val="24"/>
          <w:szCs w:val="24"/>
        </w:rPr>
        <w:t xml:space="preserve"> </w:t>
      </w:r>
      <w:r w:rsidRPr="00A31206">
        <w:rPr>
          <w:rFonts w:ascii="Times New Roman" w:hAnsi="Times New Roman"/>
          <w:sz w:val="24"/>
          <w:szCs w:val="24"/>
        </w:rPr>
        <w:t xml:space="preserve">and </w:t>
      </w:r>
      <w:r w:rsidRPr="00A31206">
        <w:rPr>
          <w:rFonts w:ascii="Times New Roman" w:hAnsi="Times New Roman"/>
          <w:i/>
          <w:sz w:val="24"/>
          <w:szCs w:val="24"/>
        </w:rPr>
        <w:t xml:space="preserve">S. </w:t>
      </w:r>
      <w:proofErr w:type="spellStart"/>
      <w:r w:rsidRPr="00A31206">
        <w:rPr>
          <w:rFonts w:ascii="Times New Roman" w:hAnsi="Times New Roman"/>
          <w:i/>
          <w:sz w:val="24"/>
          <w:szCs w:val="24"/>
        </w:rPr>
        <w:t>coriaceum</w:t>
      </w:r>
      <w:proofErr w:type="spellEnd"/>
      <w:r w:rsidRPr="00A31206">
        <w:rPr>
          <w:rFonts w:ascii="Times New Roman" w:hAnsi="Times New Roman"/>
          <w:sz w:val="24"/>
          <w:szCs w:val="24"/>
        </w:rPr>
        <w:t xml:space="preserve"> </w:t>
      </w:r>
      <w:proofErr w:type="spellStart"/>
      <w:r w:rsidRPr="00135A58">
        <w:rPr>
          <w:rFonts w:ascii="Times New Roman" w:hAnsi="Times New Roman"/>
          <w:sz w:val="24"/>
          <w:szCs w:val="24"/>
        </w:rPr>
        <w:t>Bosser</w:t>
      </w:r>
      <w:proofErr w:type="spellEnd"/>
      <w:r w:rsidRPr="00135A58">
        <w:rPr>
          <w:rFonts w:ascii="Times New Roman" w:hAnsi="Times New Roman"/>
          <w:sz w:val="24"/>
          <w:szCs w:val="24"/>
        </w:rPr>
        <w:t xml:space="preserve"> &amp; </w:t>
      </w:r>
      <w:proofErr w:type="spellStart"/>
      <w:r w:rsidRPr="00135A58">
        <w:rPr>
          <w:rFonts w:ascii="Times New Roman" w:hAnsi="Times New Roman"/>
          <w:sz w:val="24"/>
          <w:szCs w:val="24"/>
        </w:rPr>
        <w:t>Guého</w:t>
      </w:r>
      <w:proofErr w:type="spellEnd"/>
      <w:r w:rsidRPr="00135A58">
        <w:rPr>
          <w:rFonts w:ascii="Times New Roman" w:hAnsi="Times New Roman"/>
          <w:sz w:val="24"/>
          <w:szCs w:val="24"/>
        </w:rPr>
        <w:t xml:space="preserve"> </w:t>
      </w:r>
      <w:r w:rsidRPr="00A31206">
        <w:rPr>
          <w:rFonts w:ascii="Times New Roman" w:hAnsi="Times New Roman"/>
          <w:sz w:val="24"/>
          <w:szCs w:val="24"/>
        </w:rPr>
        <w:t xml:space="preserve">were collected, in October 2014, at </w:t>
      </w:r>
      <w:proofErr w:type="spellStart"/>
      <w:r w:rsidRPr="00A31206">
        <w:rPr>
          <w:rFonts w:ascii="Times New Roman" w:hAnsi="Times New Roman"/>
          <w:sz w:val="24"/>
          <w:szCs w:val="24"/>
        </w:rPr>
        <w:t>Gaulette</w:t>
      </w:r>
      <w:proofErr w:type="spellEnd"/>
      <w:r w:rsidRPr="00A31206">
        <w:rPr>
          <w:rFonts w:ascii="Times New Roman" w:hAnsi="Times New Roman"/>
          <w:sz w:val="24"/>
          <w:szCs w:val="24"/>
        </w:rPr>
        <w:t xml:space="preserve"> </w:t>
      </w:r>
      <w:proofErr w:type="spellStart"/>
      <w:r w:rsidRPr="00A31206">
        <w:rPr>
          <w:rFonts w:ascii="Times New Roman" w:hAnsi="Times New Roman"/>
          <w:sz w:val="24"/>
          <w:szCs w:val="24"/>
        </w:rPr>
        <w:t>serré</w:t>
      </w:r>
      <w:proofErr w:type="spellEnd"/>
      <w:r w:rsidRPr="00A31206">
        <w:rPr>
          <w:rFonts w:ascii="Times New Roman" w:hAnsi="Times New Roman"/>
          <w:sz w:val="24"/>
          <w:szCs w:val="24"/>
        </w:rPr>
        <w:t xml:space="preserve">, near Camp </w:t>
      </w:r>
      <w:proofErr w:type="spellStart"/>
      <w:r w:rsidRPr="00A31206">
        <w:rPr>
          <w:rFonts w:ascii="Times New Roman" w:hAnsi="Times New Roman"/>
          <w:sz w:val="24"/>
          <w:szCs w:val="24"/>
        </w:rPr>
        <w:t>Thorel</w:t>
      </w:r>
      <w:proofErr w:type="spellEnd"/>
      <w:r w:rsidRPr="00A31206">
        <w:rPr>
          <w:rFonts w:ascii="Times New Roman" w:hAnsi="Times New Roman"/>
          <w:sz w:val="24"/>
          <w:szCs w:val="24"/>
        </w:rPr>
        <w:t xml:space="preserve"> situated in the district of </w:t>
      </w:r>
      <w:proofErr w:type="spellStart"/>
      <w:r w:rsidRPr="00A31206">
        <w:rPr>
          <w:rFonts w:ascii="Times New Roman" w:hAnsi="Times New Roman"/>
          <w:sz w:val="24"/>
          <w:szCs w:val="24"/>
        </w:rPr>
        <w:t>Moka</w:t>
      </w:r>
      <w:proofErr w:type="spellEnd"/>
      <w:r w:rsidRPr="00A31206">
        <w:rPr>
          <w:rFonts w:ascii="Times New Roman" w:hAnsi="Times New Roman"/>
          <w:sz w:val="24"/>
          <w:szCs w:val="24"/>
        </w:rPr>
        <w:t xml:space="preserve">; while leaves of </w:t>
      </w:r>
      <w:r w:rsidRPr="00A31206">
        <w:rPr>
          <w:rFonts w:ascii="Times New Roman" w:hAnsi="Times New Roman"/>
          <w:i/>
          <w:sz w:val="24"/>
          <w:szCs w:val="24"/>
        </w:rPr>
        <w:t xml:space="preserve">S. </w:t>
      </w:r>
      <w:proofErr w:type="spellStart"/>
      <w:r w:rsidRPr="00A31206">
        <w:rPr>
          <w:rFonts w:ascii="Times New Roman" w:hAnsi="Times New Roman"/>
          <w:i/>
          <w:sz w:val="24"/>
          <w:szCs w:val="24"/>
        </w:rPr>
        <w:t>pyneei</w:t>
      </w:r>
      <w:proofErr w:type="spellEnd"/>
      <w:r w:rsidRPr="00A31206">
        <w:rPr>
          <w:rFonts w:ascii="Times New Roman" w:hAnsi="Times New Roman"/>
          <w:sz w:val="24"/>
          <w:szCs w:val="24"/>
        </w:rPr>
        <w:t xml:space="preserve"> </w:t>
      </w:r>
      <w:r w:rsidRPr="00265917">
        <w:rPr>
          <w:rFonts w:ascii="Times New Roman" w:hAnsi="Times New Roman"/>
          <w:sz w:val="24"/>
          <w:szCs w:val="24"/>
        </w:rPr>
        <w:t xml:space="preserve">Byng, V. </w:t>
      </w:r>
      <w:proofErr w:type="spellStart"/>
      <w:r w:rsidRPr="00265917">
        <w:rPr>
          <w:rFonts w:ascii="Times New Roman" w:hAnsi="Times New Roman"/>
          <w:sz w:val="24"/>
          <w:szCs w:val="24"/>
        </w:rPr>
        <w:t>Florens</w:t>
      </w:r>
      <w:proofErr w:type="spellEnd"/>
      <w:r w:rsidRPr="00265917">
        <w:rPr>
          <w:rFonts w:ascii="Times New Roman" w:hAnsi="Times New Roman"/>
          <w:sz w:val="24"/>
          <w:szCs w:val="24"/>
        </w:rPr>
        <w:t xml:space="preserve"> &amp; </w:t>
      </w:r>
      <w:proofErr w:type="spellStart"/>
      <w:r w:rsidRPr="00265917">
        <w:rPr>
          <w:rFonts w:ascii="Times New Roman" w:hAnsi="Times New Roman"/>
          <w:sz w:val="24"/>
          <w:szCs w:val="24"/>
        </w:rPr>
        <w:t>Baider</w:t>
      </w:r>
      <w:proofErr w:type="spellEnd"/>
      <w:r w:rsidRPr="00265917">
        <w:rPr>
          <w:rFonts w:ascii="Times New Roman" w:hAnsi="Times New Roman"/>
          <w:sz w:val="24"/>
          <w:szCs w:val="24"/>
        </w:rPr>
        <w:t xml:space="preserve"> </w:t>
      </w:r>
      <w:r w:rsidRPr="00A31206">
        <w:rPr>
          <w:rFonts w:ascii="Times New Roman" w:hAnsi="Times New Roman"/>
          <w:sz w:val="24"/>
          <w:szCs w:val="24"/>
        </w:rPr>
        <w:t xml:space="preserve">were collected, in February 2015, at </w:t>
      </w:r>
      <w:proofErr w:type="spellStart"/>
      <w:r w:rsidRPr="00A31206">
        <w:rPr>
          <w:rFonts w:ascii="Times New Roman" w:hAnsi="Times New Roman"/>
          <w:sz w:val="24"/>
          <w:szCs w:val="24"/>
        </w:rPr>
        <w:t>Mondrain</w:t>
      </w:r>
      <w:proofErr w:type="spellEnd"/>
      <w:r w:rsidRPr="00A31206">
        <w:rPr>
          <w:rFonts w:ascii="Times New Roman" w:hAnsi="Times New Roman"/>
          <w:sz w:val="24"/>
          <w:szCs w:val="24"/>
        </w:rPr>
        <w:t xml:space="preserve"> situated in the district of Plaines </w:t>
      </w:r>
      <w:proofErr w:type="spellStart"/>
      <w:r w:rsidRPr="00A31206">
        <w:rPr>
          <w:rFonts w:ascii="Times New Roman" w:hAnsi="Times New Roman"/>
          <w:sz w:val="24"/>
          <w:szCs w:val="24"/>
        </w:rPr>
        <w:t>Wilhems</w:t>
      </w:r>
      <w:proofErr w:type="spellEnd"/>
      <w:r w:rsidRPr="00A31206">
        <w:rPr>
          <w:rFonts w:ascii="Times New Roman" w:hAnsi="Times New Roman"/>
          <w:sz w:val="24"/>
          <w:szCs w:val="24"/>
        </w:rPr>
        <w:t xml:space="preserve">. </w:t>
      </w:r>
      <w:r>
        <w:rPr>
          <w:rFonts w:ascii="Times New Roman" w:hAnsi="Times New Roman"/>
          <w:sz w:val="24"/>
          <w:szCs w:val="24"/>
        </w:rPr>
        <w:t>A v</w:t>
      </w:r>
      <w:r w:rsidRPr="00A31206">
        <w:rPr>
          <w:rFonts w:ascii="Times New Roman" w:hAnsi="Times New Roman"/>
          <w:sz w:val="24"/>
          <w:szCs w:val="24"/>
        </w:rPr>
        <w:t>oucher specimen of the plant species were deposited at the Mauritius herbarium where the species were authenticated by the botanist</w:t>
      </w:r>
      <w:r>
        <w:rPr>
          <w:rFonts w:ascii="Times New Roman" w:hAnsi="Times New Roman"/>
          <w:sz w:val="24"/>
          <w:szCs w:val="24"/>
        </w:rPr>
        <w:t xml:space="preserve"> </w:t>
      </w:r>
      <w:r w:rsidRPr="000C7341">
        <w:rPr>
          <w:rFonts w:ascii="Times New Roman" w:eastAsia="Times New Roman" w:hAnsi="Times New Roman"/>
          <w:noProof/>
          <w:color w:val="000000"/>
          <w:sz w:val="24"/>
          <w:szCs w:val="24"/>
        </w:rPr>
        <w:t>(</w:t>
      </w:r>
      <w:r w:rsidRPr="000C7341">
        <w:rPr>
          <w:rFonts w:ascii="Times New Roman" w:eastAsia="Times New Roman" w:hAnsi="Times New Roman"/>
          <w:b/>
          <w:noProof/>
          <w:color w:val="000000"/>
          <w:sz w:val="24"/>
          <w:szCs w:val="24"/>
        </w:rPr>
        <w:t>Figure 1</w:t>
      </w:r>
      <w:r w:rsidRPr="000C7341">
        <w:rPr>
          <w:rFonts w:ascii="Times New Roman" w:eastAsia="Times New Roman" w:hAnsi="Times New Roman"/>
          <w:noProof/>
          <w:color w:val="000000"/>
          <w:sz w:val="24"/>
          <w:szCs w:val="24"/>
        </w:rPr>
        <w:t>)</w:t>
      </w:r>
      <w:r w:rsidRPr="00A31206">
        <w:rPr>
          <w:rFonts w:ascii="Times New Roman" w:hAnsi="Times New Roman"/>
          <w:sz w:val="24"/>
          <w:szCs w:val="24"/>
        </w:rPr>
        <w:t>. The fresh leaves were air</w:t>
      </w:r>
      <w:r>
        <w:rPr>
          <w:rFonts w:ascii="Times New Roman" w:hAnsi="Times New Roman"/>
          <w:sz w:val="24"/>
          <w:szCs w:val="24"/>
        </w:rPr>
        <w:t>-</w:t>
      </w:r>
      <w:r w:rsidRPr="00A31206">
        <w:rPr>
          <w:rFonts w:ascii="Times New Roman" w:hAnsi="Times New Roman"/>
          <w:sz w:val="24"/>
          <w:szCs w:val="24"/>
        </w:rPr>
        <w:t>dried followed by exhaustive maceration with aqueous methanol (80 %, v/v) and freeze-dried as described previously</w:t>
      </w:r>
      <w:r>
        <w:rPr>
          <w:rFonts w:ascii="Times New Roman" w:hAnsi="Times New Roman"/>
          <w:sz w:val="24"/>
          <w:szCs w:val="24"/>
        </w:rPr>
        <w:t xml:space="preserve"> </w:t>
      </w:r>
      <w:r w:rsidRPr="00A31206">
        <w:rPr>
          <w:rFonts w:ascii="Times New Roman" w:hAnsi="Times New Roman"/>
          <w:sz w:val="24"/>
          <w:szCs w:val="24"/>
        </w:rPr>
        <w:fldChar w:fldCharType="begin" w:fldLock="1"/>
      </w:r>
      <w:r>
        <w:rPr>
          <w:rFonts w:ascii="Times New Roman" w:hAnsi="Times New Roman"/>
          <w:sz w:val="24"/>
          <w:szCs w:val="24"/>
        </w:rPr>
        <w:instrText>ADDIN CSL_CITATION {"citationItems":[{"id":"ITEM-1","itemData":{"DOI":"10.1155/2013/602312","ISSN":"2314-5765","abstract":"Punica granatum L. has a long standing culinary and medicinal traditional use in Mauritius. This prompted a comparative study to determine the bioefficacy of the flower, peel, leaf, stem, and seed extracts of the Mauritian P. granatum . The flower and peel extracts resulting from organic solvent extraction exhibited strong antioxidant activities which correlated with the high levels of total phenolics, flavonoids, and proanthocyanidins. The peel extract had the most potent scavenging capacity reflected by high Trolox equivalent antioxidant capacity value ( μ mol/g air dry weight), very low IC 50 values for hypochlorous acid ( mg air dry weight/mL), and hydroxyl radicals scavenging ( mg air dry weight/mL). Peel extracts also significantly inhibited S. mutans (), S. mitis (), and L. acidophilus () growth compared to ciprofloxacin. The flower extract exhibited high ferric reducing, nitric oxide scavenging, and iron (II) ions chelation and significantly inhibited microsomal lipid peroxidation. Furthermore, it showed a dose-dependent inhibition of xanthine oxidase with an IC 50 value of mg air dry weight/mL. This study showed that nonedible parts of cultivated pomegranates, that are generally discarded, are bioactive in multiassay systems thereby suggesting their potential use as natural prophylactics and in food applications.","author":[{"dropping-particle":"","family":"Rummun","given":"Nawraj","non-dropping-particle":"","parse-names":false,"suffix":""},{"dropping-particle":"","family":"Somanah","given":"Jhoti","non-dropping-particle":"","parse-names":false,"suffix":""},{"dropping-particle":"","family":"Ramsaha","given":"Srishti","non-dropping-particle":"","parse-names":false,"suffix":""},{"dropping-particle":"","family":"Bahorun","given":"Theeshan","non-dropping-particle":"","parse-names":false,"suffix":""},{"dropping-particle":"","family":"Neergheen-Bhujun","given":"Vidushi S.","non-dropping-particle":"","parse-names":false,"suffix":""}],"container-title":"International Journal of Food Science","id":"ITEM-1","issued":{"date-parts":[["2013"]]},"page":"1-12","title":"Bioactivity of Nonedible Parts of Punica granatum L.: A Potential Source of Functional Ingredients","type":"article-journal","volume":"2013"},"uris":["http://www.mendeley.com/documents/?uuid=d7dfcce2-4e44-44ef-8e50-1fcdcd9459fd"]}],"mendeley":{"formattedCitation":"(Rummun et al., 2013)","plainTextFormattedCitation":"(Rummun et al., 2013)","previouslyFormattedCitation":"[26]"},"properties":{"noteIndex":0},"schema":"https://github.com/citation-style-language/schema/raw/master/csl-citation.json"}</w:instrText>
      </w:r>
      <w:r w:rsidRPr="00A31206">
        <w:rPr>
          <w:rFonts w:ascii="Times New Roman" w:hAnsi="Times New Roman"/>
          <w:sz w:val="24"/>
          <w:szCs w:val="24"/>
        </w:rPr>
        <w:fldChar w:fldCharType="separate"/>
      </w:r>
      <w:r w:rsidRPr="0027650C">
        <w:rPr>
          <w:rFonts w:ascii="Times New Roman" w:hAnsi="Times New Roman"/>
          <w:noProof/>
          <w:sz w:val="24"/>
          <w:szCs w:val="24"/>
        </w:rPr>
        <w:t>(Rummun et al., 2013)</w:t>
      </w:r>
      <w:r w:rsidRPr="00A31206">
        <w:rPr>
          <w:rFonts w:ascii="Times New Roman" w:hAnsi="Times New Roman"/>
          <w:sz w:val="24"/>
          <w:szCs w:val="24"/>
        </w:rPr>
        <w:fldChar w:fldCharType="end"/>
      </w:r>
      <w:r w:rsidRPr="00A31206">
        <w:rPr>
          <w:rFonts w:ascii="Times New Roman" w:hAnsi="Times New Roman"/>
          <w:sz w:val="24"/>
          <w:szCs w:val="24"/>
        </w:rPr>
        <w:t>.</w:t>
      </w:r>
      <w:r>
        <w:rPr>
          <w:rFonts w:ascii="Times New Roman" w:hAnsi="Times New Roman"/>
          <w:sz w:val="24"/>
          <w:szCs w:val="24"/>
        </w:rPr>
        <w:t xml:space="preserve"> The results are expressed in terms of the lyophilised weight of extracts.</w:t>
      </w:r>
    </w:p>
    <w:p w14:paraId="34DF1541" w14:textId="77777777" w:rsidR="00CD3A92" w:rsidRPr="00A31206" w:rsidRDefault="00CD3A92" w:rsidP="00CD3A92">
      <w:pPr>
        <w:spacing w:line="276" w:lineRule="auto"/>
        <w:jc w:val="both"/>
        <w:rPr>
          <w:rFonts w:ascii="Times New Roman" w:hAnsi="Times New Roman"/>
          <w:sz w:val="24"/>
          <w:szCs w:val="24"/>
        </w:rPr>
      </w:pPr>
      <w:r w:rsidRPr="00A92678">
        <w:rPr>
          <w:noProof/>
          <w:lang w:eastAsia="en-GB"/>
        </w:rPr>
        <w:t xml:space="preserve"> </w:t>
      </w:r>
    </w:p>
    <w:p w14:paraId="6D3F3095" w14:textId="77777777" w:rsidR="00CD3A92" w:rsidRPr="00E31225" w:rsidRDefault="00CD3A92" w:rsidP="00CD3A92">
      <w:pPr>
        <w:pStyle w:val="ListParagraph"/>
        <w:numPr>
          <w:ilvl w:val="1"/>
          <w:numId w:val="2"/>
        </w:numPr>
        <w:spacing w:line="276" w:lineRule="auto"/>
        <w:jc w:val="both"/>
        <w:rPr>
          <w:rFonts w:ascii="Times New Roman" w:hAnsi="Times New Roman"/>
          <w:b/>
          <w:sz w:val="24"/>
          <w:szCs w:val="24"/>
        </w:rPr>
      </w:pPr>
      <w:r w:rsidRPr="00E31225">
        <w:rPr>
          <w:rFonts w:ascii="Times New Roman" w:hAnsi="Times New Roman"/>
          <w:b/>
          <w:sz w:val="24"/>
          <w:szCs w:val="24"/>
        </w:rPr>
        <w:t>ESTIMATION OF POLYPHENOLIC CONTENTS.</w:t>
      </w:r>
    </w:p>
    <w:p w14:paraId="2C37B965" w14:textId="77777777" w:rsidR="00CD3A92" w:rsidRDefault="00CD3A92" w:rsidP="00CD3A92">
      <w:pPr>
        <w:spacing w:line="276" w:lineRule="auto"/>
        <w:jc w:val="both"/>
        <w:rPr>
          <w:rFonts w:ascii="Times New Roman" w:hAnsi="Times New Roman"/>
          <w:sz w:val="24"/>
          <w:szCs w:val="24"/>
        </w:rPr>
      </w:pPr>
      <w:r w:rsidRPr="00A31206">
        <w:rPr>
          <w:rFonts w:ascii="Times New Roman" w:hAnsi="Times New Roman"/>
          <w:sz w:val="24"/>
          <w:szCs w:val="24"/>
        </w:rPr>
        <w:t xml:space="preserve">The total phenolic, flavonoid, and </w:t>
      </w:r>
      <w:proofErr w:type="spellStart"/>
      <w:r w:rsidRPr="00A31206">
        <w:rPr>
          <w:rFonts w:ascii="Times New Roman" w:hAnsi="Times New Roman"/>
          <w:sz w:val="24"/>
          <w:szCs w:val="24"/>
        </w:rPr>
        <w:t>proanthocyanidin</w:t>
      </w:r>
      <w:proofErr w:type="spellEnd"/>
      <w:r w:rsidRPr="00A31206">
        <w:rPr>
          <w:rFonts w:ascii="Times New Roman" w:hAnsi="Times New Roman"/>
          <w:sz w:val="24"/>
          <w:szCs w:val="24"/>
        </w:rPr>
        <w:t xml:space="preserve"> level in the </w:t>
      </w:r>
      <w:r>
        <w:rPr>
          <w:rFonts w:ascii="Times New Roman" w:hAnsi="Times New Roman"/>
          <w:sz w:val="24"/>
          <w:szCs w:val="24"/>
        </w:rPr>
        <w:t>total</w:t>
      </w:r>
      <w:r w:rsidRPr="00A31206">
        <w:rPr>
          <w:rFonts w:ascii="Times New Roman" w:hAnsi="Times New Roman"/>
          <w:sz w:val="24"/>
          <w:szCs w:val="24"/>
        </w:rPr>
        <w:t xml:space="preserve"> extracts were estimated using the </w:t>
      </w:r>
      <w:proofErr w:type="spellStart"/>
      <w:r w:rsidRPr="00A31206">
        <w:rPr>
          <w:rFonts w:ascii="Times New Roman" w:hAnsi="Times New Roman"/>
          <w:sz w:val="24"/>
          <w:szCs w:val="24"/>
        </w:rPr>
        <w:t>Folin-Ciocalteu</w:t>
      </w:r>
      <w:proofErr w:type="spellEnd"/>
      <w:r w:rsidRPr="00A31206">
        <w:rPr>
          <w:rFonts w:ascii="Times New Roman" w:hAnsi="Times New Roman"/>
          <w:sz w:val="24"/>
          <w:szCs w:val="24"/>
        </w:rPr>
        <w:t xml:space="preserve"> assay, aluminium chloride assay and HCl/Butan-1-ol assay as described </w:t>
      </w:r>
      <w:r w:rsidRPr="00A31206">
        <w:rPr>
          <w:rFonts w:ascii="Times New Roman" w:hAnsi="Times New Roman"/>
          <w:sz w:val="24"/>
          <w:szCs w:val="24"/>
        </w:rPr>
        <w:fldChar w:fldCharType="begin" w:fldLock="1"/>
      </w:r>
      <w:r>
        <w:rPr>
          <w:rFonts w:ascii="Times New Roman" w:hAnsi="Times New Roman"/>
          <w:sz w:val="24"/>
          <w:szCs w:val="24"/>
        </w:rPr>
        <w:instrText>ADDIN CSL_CITATION {"citationItems":[{"id":"ITEM-1","itemData":{"DOI":"10.1155/2013/602312","ISSN":"2314-5765","abstract":"Punica granatum L. has a long standing culinary and medicinal traditional use in Mauritius. This prompted a comparative study to determine the bioefficacy of the flower, peel, leaf, stem, and seed extracts of the Mauritian P. granatum . The flower and peel extracts resulting from organic solvent extraction exhibited strong antioxidant activities which correlated with the high levels of total phenolics, flavonoids, and proanthocyanidins. The peel extract had the most potent scavenging capacity reflected by high Trolox equivalent antioxidant capacity value ( μ mol/g air dry weight), very low IC 50 values for hypochlorous acid ( mg air dry weight/mL), and hydroxyl radicals scavenging ( mg air dry weight/mL). Peel extracts also significantly inhibited S. mutans (), S. mitis (), and L. acidophilus () growth compared to ciprofloxacin. The flower extract exhibited high ferric reducing, nitric oxide scavenging, and iron (II) ions chelation and significantly inhibited microsomal lipid peroxidation. Furthermore, it showed a dose-dependent inhibition of xanthine oxidase with an IC 50 value of mg air dry weight/mL. This study showed that nonedible parts of cultivated pomegranates, that are generally discarded, are bioactive in multiassay systems thereby suggesting their potential use as natural prophylactics and in food applications.","author":[{"dropping-particle":"","family":"Rummun","given":"Nawraj","non-dropping-particle":"","parse-names":false,"suffix":""},{"dropping-particle":"","family":"Somanah","given":"Jhoti","non-dropping-particle":"","parse-names":false,"suffix":""},{"dropping-particle":"","family":"Ramsaha","given":"Srishti","non-dropping-particle":"","parse-names":false,"suffix":""},{"dropping-particle":"","family":"Bahorun","given":"Theeshan","non-dropping-particle":"","parse-names":false,"suffix":""},{"dropping-particle":"","family":"Neergheen-Bhujun","given":"Vidushi S.","non-dropping-particle":"","parse-names":false,"suffix":""}],"container-title":"International Journal of Food Science","id":"ITEM-1","issued":{"date-parts":[["2013"]]},"page":"1-12","title":"Bioactivity of Nonedible Parts of Punica granatum L.: A Potential Source of Functional Ingredients","type":"article-journal","volume":"2013"},"uris":["http://www.mendeley.com/documents/?uuid=d7dfcce2-4e44-44ef-8e50-1fcdcd9459fd"]}],"mendeley":{"formattedCitation":"(Rummun et al., 2013)","plainTextFormattedCitation":"(Rummun et al., 2013)","previouslyFormattedCitation":"[26]"},"properties":{"noteIndex":0},"schema":"https://github.com/citation-style-language/schema/raw/master/csl-citation.json"}</w:instrText>
      </w:r>
      <w:r w:rsidRPr="00A31206">
        <w:rPr>
          <w:rFonts w:ascii="Times New Roman" w:hAnsi="Times New Roman"/>
          <w:sz w:val="24"/>
          <w:szCs w:val="24"/>
        </w:rPr>
        <w:fldChar w:fldCharType="separate"/>
      </w:r>
      <w:r w:rsidRPr="0027650C">
        <w:rPr>
          <w:rFonts w:ascii="Times New Roman" w:hAnsi="Times New Roman"/>
          <w:noProof/>
          <w:sz w:val="24"/>
          <w:szCs w:val="24"/>
        </w:rPr>
        <w:t>(Rummun et al., 2013)</w:t>
      </w:r>
      <w:r w:rsidRPr="00A31206">
        <w:rPr>
          <w:rFonts w:ascii="Times New Roman" w:hAnsi="Times New Roman"/>
          <w:sz w:val="24"/>
          <w:szCs w:val="24"/>
        </w:rPr>
        <w:fldChar w:fldCharType="end"/>
      </w:r>
      <w:r w:rsidRPr="00A31206">
        <w:rPr>
          <w:rFonts w:ascii="Times New Roman" w:hAnsi="Times New Roman"/>
          <w:sz w:val="24"/>
          <w:szCs w:val="24"/>
        </w:rPr>
        <w:t>.</w:t>
      </w:r>
    </w:p>
    <w:p w14:paraId="70D01581" w14:textId="77777777" w:rsidR="00CD3A92" w:rsidRPr="00A31206" w:rsidRDefault="00CD3A92" w:rsidP="00CD3A92">
      <w:pPr>
        <w:spacing w:line="276" w:lineRule="auto"/>
        <w:jc w:val="both"/>
        <w:rPr>
          <w:rFonts w:ascii="Times New Roman" w:hAnsi="Times New Roman"/>
          <w:sz w:val="24"/>
          <w:szCs w:val="24"/>
        </w:rPr>
      </w:pPr>
    </w:p>
    <w:p w14:paraId="79D5F071" w14:textId="771C155C" w:rsidR="00CD3A92" w:rsidRPr="00E31225" w:rsidRDefault="00CD3A92" w:rsidP="00CD3A92">
      <w:pPr>
        <w:pStyle w:val="ListParagraph"/>
        <w:numPr>
          <w:ilvl w:val="1"/>
          <w:numId w:val="2"/>
        </w:numPr>
        <w:spacing w:line="276" w:lineRule="auto"/>
        <w:jc w:val="both"/>
        <w:rPr>
          <w:rFonts w:ascii="Times New Roman" w:hAnsi="Times New Roman"/>
          <w:b/>
          <w:sz w:val="24"/>
          <w:szCs w:val="24"/>
        </w:rPr>
      </w:pPr>
      <w:r w:rsidRPr="00E31225">
        <w:rPr>
          <w:rFonts w:ascii="Times New Roman" w:hAnsi="Times New Roman"/>
          <w:b/>
          <w:sz w:val="24"/>
          <w:szCs w:val="24"/>
        </w:rPr>
        <w:t xml:space="preserve"> </w:t>
      </w:r>
      <w:r w:rsidR="00620CBE">
        <w:rPr>
          <w:rFonts w:ascii="Times New Roman" w:hAnsi="Times New Roman"/>
          <w:b/>
          <w:i/>
          <w:sz w:val="24"/>
          <w:szCs w:val="24"/>
        </w:rPr>
        <w:t>IN VITRO</w:t>
      </w:r>
      <w:r w:rsidRPr="00E31225">
        <w:rPr>
          <w:rFonts w:ascii="Times New Roman" w:hAnsi="Times New Roman"/>
          <w:b/>
          <w:sz w:val="24"/>
          <w:szCs w:val="24"/>
        </w:rPr>
        <w:t xml:space="preserve"> ANTIOXIDANT CAPACITIES OF EXTRACTS.</w:t>
      </w:r>
    </w:p>
    <w:p w14:paraId="1F76258D" w14:textId="77777777" w:rsidR="00CD3A92" w:rsidRDefault="00CD3A92" w:rsidP="00CD3A92">
      <w:pPr>
        <w:spacing w:line="276" w:lineRule="auto"/>
        <w:jc w:val="both"/>
        <w:rPr>
          <w:rFonts w:ascii="Times New Roman" w:hAnsi="Times New Roman"/>
          <w:sz w:val="24"/>
          <w:szCs w:val="24"/>
        </w:rPr>
      </w:pPr>
      <w:r w:rsidRPr="00A31206">
        <w:rPr>
          <w:rFonts w:ascii="Times New Roman" w:hAnsi="Times New Roman"/>
          <w:sz w:val="24"/>
          <w:szCs w:val="24"/>
        </w:rPr>
        <w:t xml:space="preserve">The antioxidant potential of the extracts was investigated </w:t>
      </w:r>
      <w:r>
        <w:rPr>
          <w:rFonts w:ascii="Times New Roman" w:hAnsi="Times New Roman"/>
          <w:sz w:val="24"/>
          <w:szCs w:val="24"/>
        </w:rPr>
        <w:t>by the iron-chelating; ferric reducing antioxidant power</w:t>
      </w:r>
      <w:r w:rsidRPr="00A31206">
        <w:rPr>
          <w:rFonts w:ascii="Times New Roman" w:hAnsi="Times New Roman"/>
          <w:sz w:val="24"/>
          <w:szCs w:val="24"/>
        </w:rPr>
        <w:t xml:space="preserve">; superoxide anion radical scavenging; </w:t>
      </w:r>
      <w:r>
        <w:rPr>
          <w:rFonts w:ascii="Times New Roman" w:hAnsi="Times New Roman"/>
          <w:sz w:val="24"/>
          <w:szCs w:val="24"/>
        </w:rPr>
        <w:t>nitric oxide radical inhibition and</w:t>
      </w:r>
      <w:r w:rsidRPr="00A31206">
        <w:rPr>
          <w:rFonts w:ascii="Times New Roman" w:hAnsi="Times New Roman"/>
          <w:sz w:val="24"/>
          <w:szCs w:val="24"/>
        </w:rPr>
        <w:t xml:space="preserve"> deoxyribose degradation assay</w:t>
      </w:r>
      <w:r>
        <w:rPr>
          <w:rFonts w:ascii="Times New Roman" w:hAnsi="Times New Roman"/>
          <w:sz w:val="24"/>
          <w:szCs w:val="24"/>
        </w:rPr>
        <w:t>s</w:t>
      </w:r>
      <w:r w:rsidRPr="00A31206">
        <w:rPr>
          <w:rFonts w:ascii="Times New Roman" w:hAnsi="Times New Roman"/>
          <w:sz w:val="24"/>
          <w:szCs w:val="24"/>
        </w:rPr>
        <w:t xml:space="preserve"> according to reported methods </w:t>
      </w:r>
      <w:r w:rsidRPr="00A31206">
        <w:rPr>
          <w:rFonts w:ascii="Times New Roman" w:hAnsi="Times New Roman"/>
          <w:sz w:val="24"/>
          <w:szCs w:val="24"/>
        </w:rPr>
        <w:fldChar w:fldCharType="begin" w:fldLock="1"/>
      </w:r>
      <w:r>
        <w:rPr>
          <w:rFonts w:ascii="Times New Roman" w:hAnsi="Times New Roman"/>
          <w:sz w:val="24"/>
          <w:szCs w:val="24"/>
        </w:rPr>
        <w:instrText>ADDIN CSL_CITATION {"citationItems":[{"id":"ITEM-1","itemData":{"DOI":"10.1155/2013/602312","ISSN":"2314-5765","abstract":"Punica granatum L. has a long standing culinary and medicinal traditional use in Mauritius. This prompted a comparative study to determine the bioefficacy of the flower, peel, leaf, stem, and seed extracts of the Mauritian P. granatum . The flower and peel extracts resulting from organic solvent extraction exhibited strong antioxidant activities which correlated with the high levels of total phenolics, flavonoids, and proanthocyanidins. The peel extract had the most potent scavenging capacity reflected by high Trolox equivalent antioxidant capacity value ( μ mol/g air dry weight), very low IC 50 values for hypochlorous acid ( mg air dry weight/mL), and hydroxyl radicals scavenging ( mg air dry weight/mL). Peel extracts also significantly inhibited S. mutans (), S. mitis (), and L. acidophilus () growth compared to ciprofloxacin. The flower extract exhibited high ferric reducing, nitric oxide scavenging, and iron (II) ions chelation and significantly inhibited microsomal lipid peroxidation. Furthermore, it showed a dose-dependent inhibition of xanthine oxidase with an IC 50 value of mg air dry weight/mL. This study showed that nonedible parts of cultivated pomegranates, that are generally discarded, are bioactive in multiassay systems thereby suggesting their potential use as natural prophylactics and in food applications.","author":[{"dropping-particle":"","family":"Rummun","given":"Nawraj","non-dropping-particle":"","parse-names":false,"suffix":""},{"dropping-particle":"","family":"Somanah","given":"Jhoti","non-dropping-particle":"","parse-names":false,"suffix":""},{"dropping-particle":"","family":"Ramsaha","given":"Srishti","non-dropping-particle":"","parse-names":false,"suffix":""},{"dropping-particle":"","family":"Bahorun","given":"Theeshan","non-dropping-particle":"","parse-names":false,"suffix":""},{"dropping-particle":"","family":"Neergheen-Bhujun","given":"Vidushi S.","non-dropping-particle":"","parse-names":false,"suffix":""}],"container-title":"International Journal of Food Science","id":"ITEM-1","issued":{"date-parts":[["2013"]]},"page":"1-12","title":"Bioactivity of Nonedible Parts of Punica granatum L.: A Potential Source of Functional Ingredients","type":"article-journal","volume":"2013"},"uris":["http://www.mendeley.com/documents/?uuid=d7dfcce2-4e44-44ef-8e50-1fcdcd9459fd"]}],"mendeley":{"formattedCitation":"(Rummun et al., 2013)","plainTextFormattedCitation":"(Rummun et al., 2013)","previouslyFormattedCitation":"[26]"},"properties":{"noteIndex":0},"schema":"https://github.com/citation-style-language/schema/raw/master/csl-citation.json"}</w:instrText>
      </w:r>
      <w:r w:rsidRPr="00A31206">
        <w:rPr>
          <w:rFonts w:ascii="Times New Roman" w:hAnsi="Times New Roman"/>
          <w:sz w:val="24"/>
          <w:szCs w:val="24"/>
        </w:rPr>
        <w:fldChar w:fldCharType="separate"/>
      </w:r>
      <w:r w:rsidRPr="0027650C">
        <w:rPr>
          <w:rFonts w:ascii="Times New Roman" w:hAnsi="Times New Roman"/>
          <w:noProof/>
          <w:sz w:val="24"/>
          <w:szCs w:val="24"/>
        </w:rPr>
        <w:t>(Rummun et al., 2013)</w:t>
      </w:r>
      <w:r w:rsidRPr="00A31206">
        <w:rPr>
          <w:rFonts w:ascii="Times New Roman" w:hAnsi="Times New Roman"/>
          <w:sz w:val="24"/>
          <w:szCs w:val="24"/>
        </w:rPr>
        <w:fldChar w:fldCharType="end"/>
      </w:r>
      <w:r w:rsidRPr="00A31206">
        <w:rPr>
          <w:rFonts w:ascii="Times New Roman" w:hAnsi="Times New Roman"/>
          <w:sz w:val="24"/>
          <w:szCs w:val="24"/>
        </w:rPr>
        <w:t xml:space="preserve">. DPPH radical scavenging activity was performed as previously described </w:t>
      </w:r>
      <w:r w:rsidRPr="00A31206">
        <w:rPr>
          <w:rFonts w:ascii="Times New Roman" w:hAnsi="Times New Roman"/>
          <w:sz w:val="24"/>
          <w:szCs w:val="24"/>
        </w:rPr>
        <w:fldChar w:fldCharType="begin" w:fldLock="1"/>
      </w:r>
      <w:r>
        <w:rPr>
          <w:rFonts w:ascii="Times New Roman" w:hAnsi="Times New Roman"/>
          <w:sz w:val="24"/>
          <w:szCs w:val="24"/>
        </w:rPr>
        <w:instrText>ADDIN CSL_CITATION {"citationItems":[{"id":"ITEM-1","itemData":{"DOI":"10.32607/20758251-2019-11-1-81-90","ISSN":"20758251","abstract":"© 2019 National Research University Higher School of Economics. Terrestrial plants have contributed massively to the development of modern oncologic drugs. Despite the wide acceptance of Mauritian endemic flowering plants in traditional medicine, scientific evidence of their chemotherapeutic potential is lacking. This study aimed to evaluate the in vitro tumor cytotoxicity of leaf extracts from five Mauritian endemic medicinal plants, namely Acalypha integrifolia Willd (Euphorbiaceae), Labourdonnaisia glauca Bojer (Sapotaceae), Dombeya acutangula Cav. subsp. rosea Friedmann (Malvaceae), Gaertnera psychotrioides (DC.) Baker (Rubiaceae), and Eugenia tinifolia Lam (Myrtaceae). The cytotoxicities of the extracts were determined against six human cancer cell lines, including cervical adenocarcinoma, colorectal carcinoma, oesophageal adenocarcinoma, and oesophageal squamous cell carcinoma. The potent extracts were further investigated using cell cycle analysis and reverse phase protein array (RPPA) analysis. The antioxidant properties and polyphenolic profile of the potent extracts were also evaluated. Gas chromatography mass spectrometry (GC-MS) analyses revealed the presence of (+)-catechin and gallocatechin in E. tinifolia and L. glauca, while gallic acid was detected in A. integrifolia. L. glauca, A. integrifolia, and E. tinifolia were highly selective towards human oesophageal squamous cell carcinoma (KYSE-30) cells. L. glauca and E. tinifolia arrested KYSE- 30 cells in the G2/M phase, in a concentration-dependent manner. RPPA analysis indicated that the extracts may partly exert their tumor growth-inhibitory activity by upregulating the intracellular level of 5'AMP-activated kinase (AMPK). The findings highlight the potent antiproliferative activity of three Mauritian endemic leaf extracts against oesophageal squamous cell carcinoma and calls for further investigation into their chemotherapeutic application.","author":[{"dropping-particle":"","family":"Rummun","given":"N.","non-dropping-particle":"","parse-names":false,"suffix":""},{"dropping-particle":"","family":"Hughes","given":"R.E.","non-dropping-particle":"","parse-names":false,"suffix":""},{"dropping-particle":"","family":"Beesoo","given":"R.","non-dropping-particle":"","parse-names":false,"suffix":""},{"dropping-particle":"","family":"Li","given":"W.W.","non-dropping-particle":"","parse-names":false,"suffix":""},{"dropping-particle":"","family":"Aldulaimi","given":"O.","non-dropping-particle":"","parse-names":false,"suffix":""},{"dropping-particle":"","family":"Macleod","given":"K.G.","non-dropping-particle":"","parse-names":false,"suffix":""},{"dropping-particle":"","family":"Bahorun","given":"T.","non-dropping-particle":"","parse-names":false,"suffix":""},{"dropping-particle":"","family":"Carragher","given":"N.O.","non-dropping-particle":"","parse-names":false,"suffix":""},{"dropping-particle":"","family":"Kagansky","given":"A.","non-dropping-particle":"","parse-names":false,"suffix":""},{"dropping-particle":"","family":"Neergheen-Bhujun","given":"V.S.","non-dropping-particle":"","parse-names":false,"suffix":""}],"container-title":"Acta Naturae","id":"ITEM-1","issue":"1","issued":{"date-parts":[["2019","3","1"]]},"page":"81-90","publisher":"Acta Naturae","title":"Mauritian Endemic Medicinal Plant Extracts Induce G2/M Phase Cell Cycle Arrest and Growth Inhibition of Oesophageal Squamous Cell Carcinoma in Vitro","type":"article-journal","volume":"11"},"uris":["http://www.mendeley.com/documents/?uuid=61bec6f9-8c8d-49b3-8263-270dfda68688"]}],"mendeley":{"formattedCitation":"(Rummun et al., 2019)","plainTextFormattedCitation":"(Rummun et al., 2019)","previouslyFormattedCitation":"[30]"},"properties":{"noteIndex":0},"schema":"https://github.com/citation-style-language/schema/raw/master/csl-citation.json"}</w:instrText>
      </w:r>
      <w:r w:rsidRPr="00A31206">
        <w:rPr>
          <w:rFonts w:ascii="Times New Roman" w:hAnsi="Times New Roman"/>
          <w:sz w:val="24"/>
          <w:szCs w:val="24"/>
        </w:rPr>
        <w:fldChar w:fldCharType="separate"/>
      </w:r>
      <w:r w:rsidRPr="0027650C">
        <w:rPr>
          <w:rFonts w:ascii="Times New Roman" w:hAnsi="Times New Roman"/>
          <w:noProof/>
          <w:sz w:val="24"/>
          <w:szCs w:val="24"/>
        </w:rPr>
        <w:t>(Rummun et al., 2019)</w:t>
      </w:r>
      <w:r w:rsidRPr="00A31206">
        <w:rPr>
          <w:rFonts w:ascii="Times New Roman" w:hAnsi="Times New Roman"/>
          <w:sz w:val="24"/>
          <w:szCs w:val="24"/>
        </w:rPr>
        <w:fldChar w:fldCharType="end"/>
      </w:r>
      <w:r w:rsidRPr="00A31206">
        <w:rPr>
          <w:rFonts w:ascii="Times New Roman" w:hAnsi="Times New Roman"/>
          <w:sz w:val="24"/>
          <w:szCs w:val="24"/>
        </w:rPr>
        <w:t xml:space="preserve">. Extract vehicle and gallic acid (or otherwise stated) were used as negative and positive controls respectively. The percentage activity of the extracts was calculated </w:t>
      </w:r>
      <w:r>
        <w:rPr>
          <w:rFonts w:ascii="Times New Roman" w:hAnsi="Times New Roman"/>
          <w:sz w:val="24"/>
          <w:szCs w:val="24"/>
        </w:rPr>
        <w:t>relative</w:t>
      </w:r>
      <w:r w:rsidRPr="00A31206">
        <w:rPr>
          <w:rFonts w:ascii="Times New Roman" w:hAnsi="Times New Roman"/>
          <w:sz w:val="24"/>
          <w:szCs w:val="24"/>
        </w:rPr>
        <w:t xml:space="preserve"> to </w:t>
      </w:r>
      <w:r>
        <w:rPr>
          <w:rFonts w:ascii="Times New Roman" w:hAnsi="Times New Roman"/>
          <w:sz w:val="24"/>
          <w:szCs w:val="24"/>
        </w:rPr>
        <w:t xml:space="preserve">the </w:t>
      </w:r>
      <w:r w:rsidRPr="00A31206">
        <w:rPr>
          <w:rFonts w:ascii="Times New Roman" w:hAnsi="Times New Roman"/>
          <w:sz w:val="24"/>
          <w:szCs w:val="24"/>
        </w:rPr>
        <w:t>negative</w:t>
      </w:r>
      <w:r>
        <w:rPr>
          <w:rFonts w:ascii="Times New Roman" w:hAnsi="Times New Roman"/>
          <w:sz w:val="24"/>
          <w:szCs w:val="24"/>
        </w:rPr>
        <w:t xml:space="preserve"> control</w:t>
      </w:r>
      <w:r w:rsidRPr="00A31206">
        <w:rPr>
          <w:rFonts w:ascii="Times New Roman" w:hAnsi="Times New Roman"/>
          <w:sz w:val="24"/>
          <w:szCs w:val="24"/>
        </w:rPr>
        <w:t>. GraphPad Prism 6 software (GraphPad Inc., USA) was used to plot dose</w:t>
      </w:r>
      <w:r>
        <w:rPr>
          <w:rFonts w:ascii="Times New Roman" w:hAnsi="Times New Roman"/>
          <w:sz w:val="24"/>
          <w:szCs w:val="24"/>
        </w:rPr>
        <w:t>-</w:t>
      </w:r>
      <w:r w:rsidRPr="00A31206">
        <w:rPr>
          <w:rFonts w:ascii="Times New Roman" w:hAnsi="Times New Roman"/>
          <w:sz w:val="24"/>
          <w:szCs w:val="24"/>
        </w:rPr>
        <w:t>response curves and generate the half</w:t>
      </w:r>
      <w:r>
        <w:rPr>
          <w:rFonts w:ascii="Times New Roman" w:hAnsi="Times New Roman"/>
          <w:sz w:val="24"/>
          <w:szCs w:val="24"/>
        </w:rPr>
        <w:t>-</w:t>
      </w:r>
      <w:r w:rsidRPr="00A31206">
        <w:rPr>
          <w:rFonts w:ascii="Times New Roman" w:hAnsi="Times New Roman"/>
          <w:sz w:val="24"/>
          <w:szCs w:val="24"/>
        </w:rPr>
        <w:t>maximal inhibitory concentration (IC</w:t>
      </w:r>
      <w:r w:rsidRPr="00A31206">
        <w:rPr>
          <w:rFonts w:ascii="Times New Roman" w:hAnsi="Times New Roman"/>
          <w:sz w:val="24"/>
          <w:szCs w:val="24"/>
          <w:vertAlign w:val="subscript"/>
        </w:rPr>
        <w:t>50</w:t>
      </w:r>
      <w:r w:rsidRPr="00A31206">
        <w:rPr>
          <w:rFonts w:ascii="Times New Roman" w:hAnsi="Times New Roman"/>
          <w:sz w:val="24"/>
          <w:szCs w:val="24"/>
        </w:rPr>
        <w:t>) values. All experiments were performed in triplicates in three independent assays. The results were expressed as mean ±</w:t>
      </w:r>
      <w:r>
        <w:rPr>
          <w:rFonts w:ascii="Times New Roman" w:hAnsi="Times New Roman"/>
          <w:sz w:val="24"/>
          <w:szCs w:val="24"/>
        </w:rPr>
        <w:t xml:space="preserve"> SEM</w:t>
      </w:r>
      <w:r w:rsidRPr="00A31206">
        <w:rPr>
          <w:rFonts w:ascii="Times New Roman" w:hAnsi="Times New Roman"/>
          <w:sz w:val="24"/>
          <w:szCs w:val="24"/>
        </w:rPr>
        <w:t>.</w:t>
      </w:r>
    </w:p>
    <w:p w14:paraId="128B4780" w14:textId="77777777" w:rsidR="00CD3A92" w:rsidRPr="00A31206" w:rsidRDefault="00CD3A92" w:rsidP="00CD3A92">
      <w:pPr>
        <w:spacing w:line="276" w:lineRule="auto"/>
        <w:jc w:val="both"/>
        <w:rPr>
          <w:rFonts w:ascii="Times New Roman" w:hAnsi="Times New Roman"/>
          <w:sz w:val="24"/>
          <w:szCs w:val="24"/>
        </w:rPr>
      </w:pPr>
    </w:p>
    <w:p w14:paraId="0442B299" w14:textId="77777777" w:rsidR="00CD3A92" w:rsidRPr="00E31225" w:rsidRDefault="00CD3A92" w:rsidP="00CD3A92">
      <w:pPr>
        <w:pStyle w:val="ListParagraph"/>
        <w:numPr>
          <w:ilvl w:val="1"/>
          <w:numId w:val="2"/>
        </w:numPr>
        <w:spacing w:line="276" w:lineRule="auto"/>
        <w:jc w:val="both"/>
        <w:rPr>
          <w:rFonts w:ascii="Times New Roman" w:hAnsi="Times New Roman"/>
          <w:b/>
          <w:sz w:val="24"/>
          <w:szCs w:val="24"/>
        </w:rPr>
      </w:pPr>
      <w:r w:rsidRPr="00E31225">
        <w:rPr>
          <w:rFonts w:ascii="Times New Roman" w:hAnsi="Times New Roman"/>
          <w:b/>
          <w:sz w:val="24"/>
          <w:szCs w:val="24"/>
        </w:rPr>
        <w:t>HUMAN CELL LINES AND CULTURE CONDITIONS.</w:t>
      </w:r>
    </w:p>
    <w:p w14:paraId="0DCA5ACC" w14:textId="77777777" w:rsidR="00CD3A92" w:rsidRDefault="00CD3A92" w:rsidP="00CD3A92">
      <w:pPr>
        <w:spacing w:after="200" w:line="276" w:lineRule="auto"/>
        <w:jc w:val="both"/>
        <w:rPr>
          <w:rFonts w:ascii="Times New Roman" w:eastAsia="Times New Roman" w:hAnsi="Times New Roman"/>
          <w:color w:val="000000"/>
          <w:sz w:val="24"/>
          <w:szCs w:val="24"/>
        </w:rPr>
      </w:pPr>
      <w:r w:rsidRPr="00A31206">
        <w:rPr>
          <w:rFonts w:ascii="Times New Roman" w:hAnsi="Times New Roman"/>
          <w:sz w:val="24"/>
          <w:szCs w:val="24"/>
        </w:rPr>
        <w:t>Human liposarcoma cells (SW872) (ATCC HTB-92), Human lung carcinoma cells (A549) (ATCC CCL</w:t>
      </w:r>
      <w:r>
        <w:rPr>
          <w:rFonts w:ascii="Times New Roman" w:hAnsi="Times New Roman"/>
          <w:sz w:val="24"/>
          <w:szCs w:val="24"/>
        </w:rPr>
        <w:t>-185) and Human h</w:t>
      </w:r>
      <w:r w:rsidRPr="00A31206">
        <w:rPr>
          <w:rFonts w:ascii="Times New Roman" w:hAnsi="Times New Roman"/>
          <w:sz w:val="24"/>
          <w:szCs w:val="24"/>
        </w:rPr>
        <w:t xml:space="preserve">epatocellular carcinoma cells (HepG2) (ATCC HB-8065) were purchased from American Type Culture Collection (USA). </w:t>
      </w:r>
      <w:r>
        <w:rPr>
          <w:rFonts w:ascii="Times New Roman" w:hAnsi="Times New Roman"/>
          <w:sz w:val="24"/>
          <w:szCs w:val="24"/>
        </w:rPr>
        <w:t>H</w:t>
      </w:r>
      <w:r w:rsidRPr="00C0698A">
        <w:rPr>
          <w:rFonts w:ascii="Times New Roman" w:hAnsi="Times New Roman"/>
          <w:sz w:val="24"/>
          <w:szCs w:val="24"/>
        </w:rPr>
        <w:t>uman</w:t>
      </w:r>
      <w:r>
        <w:rPr>
          <w:rFonts w:ascii="Times New Roman" w:hAnsi="Times New Roman"/>
          <w:sz w:val="24"/>
          <w:szCs w:val="24"/>
        </w:rPr>
        <w:t xml:space="preserve"> </w:t>
      </w:r>
      <w:r w:rsidRPr="00C0698A">
        <w:rPr>
          <w:rFonts w:ascii="Times New Roman" w:hAnsi="Times New Roman"/>
          <w:sz w:val="24"/>
          <w:szCs w:val="24"/>
        </w:rPr>
        <w:t>ovarian epithelial (HOE) cells immortalized using SV40 large T antigen (Catalogue number: T1074)</w:t>
      </w:r>
      <w:r>
        <w:rPr>
          <w:rFonts w:ascii="Times New Roman" w:hAnsi="Times New Roman"/>
          <w:sz w:val="24"/>
          <w:szCs w:val="24"/>
        </w:rPr>
        <w:t xml:space="preserve"> </w:t>
      </w:r>
      <w:r w:rsidRPr="00A31206">
        <w:rPr>
          <w:rFonts w:ascii="Times New Roman" w:hAnsi="Times New Roman"/>
          <w:sz w:val="24"/>
          <w:szCs w:val="24"/>
        </w:rPr>
        <w:t xml:space="preserve">was obtained from </w:t>
      </w:r>
      <w:r w:rsidRPr="00A31206">
        <w:rPr>
          <w:rFonts w:ascii="Times New Roman" w:hAnsi="Times New Roman"/>
          <w:sz w:val="24"/>
          <w:szCs w:val="24"/>
        </w:rPr>
        <w:lastRenderedPageBreak/>
        <w:t>Applied Biological Materials Inc (Canada)</w:t>
      </w:r>
      <w:r>
        <w:rPr>
          <w:rFonts w:ascii="Times New Roman" w:hAnsi="Times New Roman"/>
          <w:sz w:val="24"/>
          <w:szCs w:val="24"/>
        </w:rPr>
        <w:t xml:space="preserve">. All cell lines, except HOE cells, were cultured in </w:t>
      </w:r>
      <w:r w:rsidRPr="00A31206">
        <w:rPr>
          <w:rFonts w:ascii="Times New Roman" w:hAnsi="Times New Roman"/>
          <w:sz w:val="24"/>
          <w:szCs w:val="24"/>
        </w:rPr>
        <w:t>Dulbecco's Modified Eagle's Medium</w:t>
      </w:r>
      <w:r>
        <w:rPr>
          <w:rFonts w:ascii="Times New Roman" w:hAnsi="Times New Roman"/>
          <w:sz w:val="24"/>
          <w:szCs w:val="24"/>
        </w:rPr>
        <w:t xml:space="preserve">. </w:t>
      </w:r>
      <w:r w:rsidRPr="00B24E45">
        <w:rPr>
          <w:rFonts w:ascii="Times New Roman" w:hAnsi="Times New Roman"/>
          <w:sz w:val="24"/>
          <w:szCs w:val="24"/>
        </w:rPr>
        <w:t>Roswell Park Memorial Institute (RPMI) 1640</w:t>
      </w:r>
      <w:r>
        <w:rPr>
          <w:rFonts w:ascii="Times New Roman" w:hAnsi="Times New Roman"/>
          <w:sz w:val="24"/>
          <w:szCs w:val="24"/>
        </w:rPr>
        <w:t xml:space="preserve"> </w:t>
      </w:r>
      <w:r w:rsidRPr="00B24E45">
        <w:rPr>
          <w:rFonts w:ascii="Times New Roman" w:hAnsi="Times New Roman"/>
          <w:sz w:val="24"/>
          <w:szCs w:val="24"/>
        </w:rPr>
        <w:t>medium</w:t>
      </w:r>
      <w:r w:rsidRPr="00A31206">
        <w:rPr>
          <w:rFonts w:ascii="Times New Roman" w:hAnsi="Times New Roman"/>
          <w:sz w:val="24"/>
          <w:szCs w:val="24"/>
        </w:rPr>
        <w:t xml:space="preserve"> </w:t>
      </w:r>
      <w:r>
        <w:rPr>
          <w:rFonts w:ascii="Times New Roman" w:hAnsi="Times New Roman"/>
          <w:sz w:val="24"/>
          <w:szCs w:val="24"/>
        </w:rPr>
        <w:t xml:space="preserve">was used in the case of HOE cells. Culture medium was </w:t>
      </w:r>
      <w:r w:rsidRPr="00A31206">
        <w:rPr>
          <w:rFonts w:ascii="Times New Roman" w:hAnsi="Times New Roman"/>
          <w:sz w:val="24"/>
          <w:szCs w:val="24"/>
        </w:rPr>
        <w:t xml:space="preserve">supplemented with 10% </w:t>
      </w:r>
      <w:proofErr w:type="spellStart"/>
      <w:r w:rsidRPr="00A31206">
        <w:rPr>
          <w:rFonts w:ascii="Times New Roman" w:hAnsi="Times New Roman"/>
          <w:sz w:val="24"/>
          <w:szCs w:val="24"/>
        </w:rPr>
        <w:t>fetal</w:t>
      </w:r>
      <w:proofErr w:type="spellEnd"/>
      <w:r w:rsidRPr="00A31206">
        <w:rPr>
          <w:rFonts w:ascii="Times New Roman" w:hAnsi="Times New Roman"/>
          <w:sz w:val="24"/>
          <w:szCs w:val="24"/>
        </w:rPr>
        <w:t xml:space="preserve"> bovine serum, 2 mM L-glutamine and 100 U/L streptomycin-penicilli</w:t>
      </w:r>
      <w:r>
        <w:rPr>
          <w:rFonts w:ascii="Times New Roman" w:hAnsi="Times New Roman"/>
          <w:sz w:val="24"/>
          <w:szCs w:val="24"/>
        </w:rPr>
        <w:t xml:space="preserve">n. Cells were </w:t>
      </w:r>
      <w:r w:rsidRPr="00A31206">
        <w:rPr>
          <w:rFonts w:ascii="Times New Roman" w:eastAsia="Times New Roman" w:hAnsi="Times New Roman"/>
          <w:color w:val="000000"/>
          <w:sz w:val="24"/>
          <w:szCs w:val="24"/>
        </w:rPr>
        <w:t xml:space="preserve">grown </w:t>
      </w:r>
      <w:r w:rsidRPr="00A31206">
        <w:rPr>
          <w:rFonts w:ascii="Times New Roman" w:eastAsia="Times New Roman" w:hAnsi="Times New Roman"/>
          <w:color w:val="000000"/>
          <w:sz w:val="24"/>
          <w:szCs w:val="24"/>
          <w:lang w:val="en-US"/>
        </w:rPr>
        <w:t>in a humidified atmosphere of 5 % carbon dioxide and 95 % humidity at 37 ˚C</w:t>
      </w:r>
      <w:r w:rsidRPr="00A31206">
        <w:rPr>
          <w:rFonts w:ascii="Times New Roman" w:eastAsia="Times New Roman" w:hAnsi="Times New Roman"/>
          <w:color w:val="000000"/>
          <w:sz w:val="24"/>
          <w:szCs w:val="24"/>
        </w:rPr>
        <w:t>.</w:t>
      </w:r>
    </w:p>
    <w:p w14:paraId="2709F4F7" w14:textId="77777777" w:rsidR="00CD3A92" w:rsidRPr="000375EF" w:rsidRDefault="00CD3A92" w:rsidP="00CD3A92">
      <w:pPr>
        <w:pStyle w:val="ListParagraph"/>
        <w:spacing w:after="200" w:line="276" w:lineRule="auto"/>
        <w:ind w:left="1440"/>
        <w:jc w:val="both"/>
        <w:rPr>
          <w:rFonts w:ascii="Times New Roman" w:eastAsia="Times New Roman" w:hAnsi="Times New Roman"/>
          <w:b/>
          <w:sz w:val="24"/>
          <w:szCs w:val="24"/>
        </w:rPr>
      </w:pPr>
    </w:p>
    <w:p w14:paraId="44076BB1" w14:textId="77777777" w:rsidR="00CD3A92" w:rsidRPr="00E31225" w:rsidRDefault="00CD3A92" w:rsidP="00CD3A92">
      <w:pPr>
        <w:pStyle w:val="ListParagraph"/>
        <w:numPr>
          <w:ilvl w:val="1"/>
          <w:numId w:val="2"/>
        </w:numPr>
        <w:spacing w:after="200" w:line="276" w:lineRule="auto"/>
        <w:jc w:val="both"/>
        <w:rPr>
          <w:rFonts w:ascii="Times New Roman" w:eastAsia="Times New Roman" w:hAnsi="Times New Roman"/>
          <w:b/>
          <w:sz w:val="24"/>
          <w:szCs w:val="24"/>
        </w:rPr>
      </w:pPr>
      <w:r w:rsidRPr="00E31225">
        <w:rPr>
          <w:rFonts w:ascii="Times New Roman" w:hAnsi="Times New Roman"/>
          <w:b/>
          <w:sz w:val="24"/>
          <w:szCs w:val="24"/>
        </w:rPr>
        <w:t xml:space="preserve"> </w:t>
      </w:r>
      <w:r w:rsidRPr="00E31225">
        <w:rPr>
          <w:rFonts w:ascii="Times New Roman" w:eastAsia="Times New Roman" w:hAnsi="Times New Roman"/>
          <w:b/>
          <w:sz w:val="24"/>
          <w:szCs w:val="24"/>
        </w:rPr>
        <w:t>CELL-BASED ASSAYS.</w:t>
      </w:r>
    </w:p>
    <w:p w14:paraId="07FF4A70" w14:textId="59298605" w:rsidR="00CD3A92" w:rsidRPr="00E31225" w:rsidRDefault="00262673" w:rsidP="0077416D">
      <w:pPr>
        <w:pStyle w:val="ListParagraph"/>
        <w:numPr>
          <w:ilvl w:val="2"/>
          <w:numId w:val="2"/>
        </w:numPr>
        <w:spacing w:after="200" w:line="276" w:lineRule="auto"/>
        <w:ind w:left="1560" w:hanging="851"/>
        <w:jc w:val="both"/>
        <w:rPr>
          <w:rFonts w:ascii="Times New Roman" w:eastAsia="Times New Roman" w:hAnsi="Times New Roman"/>
          <w:b/>
          <w:sz w:val="24"/>
          <w:szCs w:val="24"/>
        </w:rPr>
      </w:pPr>
      <w:r>
        <w:rPr>
          <w:rFonts w:ascii="Times New Roman" w:hAnsi="Times New Roman"/>
          <w:color w:val="00B050"/>
          <w:sz w:val="24"/>
          <w:szCs w:val="24"/>
          <w:lang w:val="en-US"/>
        </w:rPr>
        <w:t>M</w:t>
      </w:r>
      <w:r w:rsidRPr="00262673">
        <w:rPr>
          <w:rFonts w:ascii="Times New Roman" w:hAnsi="Times New Roman"/>
          <w:color w:val="00B050"/>
          <w:sz w:val="24"/>
          <w:szCs w:val="24"/>
          <w:lang w:val="en-US"/>
        </w:rPr>
        <w:t xml:space="preserve">ethyl thiazolyl diphenyl-tetrazolium bromide </w:t>
      </w:r>
      <w:r>
        <w:rPr>
          <w:rFonts w:ascii="Times New Roman" w:hAnsi="Times New Roman"/>
          <w:color w:val="00B050"/>
          <w:sz w:val="24"/>
          <w:szCs w:val="24"/>
          <w:lang w:val="en-US"/>
        </w:rPr>
        <w:t>(</w:t>
      </w:r>
      <w:r w:rsidR="00CD3A92" w:rsidRPr="00E31225">
        <w:rPr>
          <w:rFonts w:ascii="Times New Roman" w:eastAsia="Times New Roman" w:hAnsi="Times New Roman"/>
          <w:b/>
          <w:sz w:val="24"/>
          <w:szCs w:val="24"/>
        </w:rPr>
        <w:t>MTT</w:t>
      </w:r>
      <w:r>
        <w:rPr>
          <w:rFonts w:ascii="Times New Roman" w:eastAsia="Times New Roman" w:hAnsi="Times New Roman"/>
          <w:b/>
          <w:sz w:val="24"/>
          <w:szCs w:val="24"/>
        </w:rPr>
        <w:t>)</w:t>
      </w:r>
      <w:r w:rsidR="00CD3A92" w:rsidRPr="00E31225">
        <w:rPr>
          <w:rFonts w:ascii="Times New Roman" w:eastAsia="Times New Roman" w:hAnsi="Times New Roman"/>
          <w:b/>
          <w:sz w:val="24"/>
          <w:szCs w:val="24"/>
        </w:rPr>
        <w:t xml:space="preserve"> viability assay.</w:t>
      </w:r>
    </w:p>
    <w:p w14:paraId="11005D83" w14:textId="559E794A" w:rsidR="00262673" w:rsidRPr="00262673" w:rsidRDefault="00262673" w:rsidP="00262673">
      <w:pPr>
        <w:spacing w:line="276" w:lineRule="auto"/>
        <w:jc w:val="both"/>
        <w:rPr>
          <w:rFonts w:ascii="Times New Roman" w:hAnsi="Times New Roman"/>
          <w:color w:val="00B050"/>
          <w:sz w:val="24"/>
          <w:szCs w:val="24"/>
          <w:lang w:val="en-US"/>
        </w:rPr>
      </w:pPr>
      <w:r w:rsidRPr="00262673">
        <w:rPr>
          <w:rFonts w:ascii="Times New Roman" w:hAnsi="Times New Roman"/>
          <w:color w:val="00B050"/>
          <w:sz w:val="24"/>
          <w:szCs w:val="24"/>
          <w:lang w:val="en-US"/>
        </w:rPr>
        <w:t xml:space="preserve">The viability of SW872, A549, HepG2 and HOE cells treated with test samples was evaluated using the </w:t>
      </w:r>
      <w:r>
        <w:rPr>
          <w:rFonts w:ascii="Times New Roman" w:hAnsi="Times New Roman"/>
          <w:color w:val="00B050"/>
          <w:sz w:val="24"/>
          <w:szCs w:val="24"/>
          <w:lang w:val="en-US"/>
        </w:rPr>
        <w:t>MTT</w:t>
      </w:r>
      <w:r w:rsidRPr="00262673">
        <w:rPr>
          <w:rFonts w:ascii="Times New Roman" w:hAnsi="Times New Roman"/>
          <w:color w:val="00B050"/>
          <w:sz w:val="24"/>
          <w:szCs w:val="24"/>
          <w:lang w:val="en-US"/>
        </w:rPr>
        <w:t xml:space="preserve"> cell viability assay, performed in 96 – well plate </w:t>
      </w:r>
      <w:r w:rsidRPr="00262673">
        <w:rPr>
          <w:rFonts w:ascii="Times New Roman" w:hAnsi="Times New Roman"/>
          <w:color w:val="00B050"/>
          <w:sz w:val="24"/>
          <w:szCs w:val="24"/>
          <w:lang w:val="en-US"/>
        </w:rPr>
        <w:fldChar w:fldCharType="begin" w:fldLock="1"/>
      </w:r>
      <w:r w:rsidRPr="00262673">
        <w:rPr>
          <w:rFonts w:ascii="Times New Roman" w:hAnsi="Times New Roman"/>
          <w:color w:val="00B050"/>
          <w:sz w:val="24"/>
          <w:szCs w:val="24"/>
          <w:lang w:val="en-US"/>
        </w:rPr>
        <w:instrText>ADDIN CSL_CITATION {"citationItems":[{"id":"ITEM-1","itemData":{"DOI":"10.1021/jf102762s","ISBN":"0021-8561","ISSN":"0021-8561","PMID":"20882960","abstract":"Diabetes is a reactive oxygen species (ROS)-mediated pathology, with a worldwide prevalence estimated to double by 2030. A major effort has been launched to find therapeutic means to improve health conditions of diabetic patients. Recent data show that supplemental natural antioxidants represent a potential strategy as adjunct therapy. Despite the major role of adipocytes in the etiology of diabetes, little is known about the effect of natural antioxidants on adipocyte response to oxidative stress. Using a diabetes-like oxidative stress model, the potential protective effect of antioxidative flavedo, albedo, and pulp extracts of (1) tangor Elendale ( Citrus reticulata × Citrus sinensis ) and (2) tangelo Minneola ( C. reticulata × Citrus paradisis ) was investigated on human adipocytes. Besides the retardation of free-radical-induced hemolysis of human erythrocytes, non-cytotoxic concentrations of tangelo and tangor flavedo extracts significantly reduced the levels of protein carbonyls in response to advanced glycation end products (AGEs) generated by albumin glycation in SW872 cells. Flavedo extracts lowered carbonyl accumulation in H2O2-treated adipocytes, while tangelo and tangor flavedo, albedo, and pulp extracts suppressed ROS production in SW872 cells with or without the addition of H2O2. Our results clearly show that Mauritian Citrus fruit extracts represent an important source of antioxidants, with a novel antioxidative role at the adipose tissue level.","author":[{"dropping-particle":"","family":"Ramful","given":"Deena","non-dropping-particle":"","parse-names":false,"suffix":""},{"dropping-particle":"","family":"Tarnus","given":"Evelyne","non-dropping-particle":"","parse-names":false,"suffix":""},{"dropping-particle":"","family":"Rondeau","given":"Philippe","non-dropping-particle":"","parse-names":false,"suffix":""},{"dropping-particle":"","family":"Robert Da Silva","given":"Christine","non-dropping-particle":"","parse-names":false,"suffix":""},{"dropping-particle":"","family":"Bahorun","given":"Theeshan","non-dropping-particle":"","parse-names":false,"suffix":""},{"dropping-particle":"","family":"Bourdon","given":"Emmanuel","non-dropping-particle":"","parse-names":false,"suffix":""}],"container-title":"Journal of Agricultural and Food Chemistry","id":"ITEM-1","issue":"20","issued":{"date-parts":[["2010","10","27"]]},"page":"11119-11129","title":"Citrus fruit extracts reduce advanced glycation end products (AGEs)- and H2O2 -induced oxidative stress in human adipocytes.","type":"article-journal","volume":"58"},"uris":["http://www.mendeley.com/documents/?uuid=85358f00-a854-411d-9d41-0ce03f6fd611"]}],"mendeley":{"formattedCitation":"(Ramful et al., 2010)","plainTextFormattedCitation":"(Ramful et al., 2010)","previouslyFormattedCitation":"[50]"},"properties":{"noteIndex":0},"schema":"https://github.com/citation-style-language/schema/raw/master/csl-citation.json"}</w:instrText>
      </w:r>
      <w:r w:rsidRPr="00262673">
        <w:rPr>
          <w:rFonts w:ascii="Times New Roman" w:hAnsi="Times New Roman"/>
          <w:color w:val="00B050"/>
          <w:sz w:val="24"/>
          <w:szCs w:val="24"/>
          <w:lang w:val="en-US"/>
        </w:rPr>
        <w:fldChar w:fldCharType="separate"/>
      </w:r>
      <w:r w:rsidRPr="00262673">
        <w:rPr>
          <w:rFonts w:ascii="Times New Roman" w:hAnsi="Times New Roman"/>
          <w:noProof/>
          <w:color w:val="00B050"/>
          <w:sz w:val="24"/>
          <w:szCs w:val="24"/>
          <w:lang w:val="en-US"/>
        </w:rPr>
        <w:t>(Ramful et al., 2010)</w:t>
      </w:r>
      <w:r w:rsidRPr="00262673">
        <w:rPr>
          <w:rFonts w:ascii="Times New Roman" w:hAnsi="Times New Roman"/>
          <w:color w:val="00B050"/>
          <w:sz w:val="24"/>
          <w:szCs w:val="24"/>
          <w:lang w:val="en-US"/>
        </w:rPr>
        <w:fldChar w:fldCharType="end"/>
      </w:r>
      <w:r w:rsidRPr="00262673">
        <w:rPr>
          <w:rFonts w:ascii="Times New Roman" w:hAnsi="Times New Roman"/>
          <w:color w:val="00B050"/>
          <w:sz w:val="24"/>
          <w:szCs w:val="24"/>
          <w:lang w:val="en-US"/>
        </w:rPr>
        <w:t>. The seeding densities for cancer cell lines and HOE cells were 5 x 10</w:t>
      </w:r>
      <w:r w:rsidRPr="00262673">
        <w:rPr>
          <w:rFonts w:ascii="Times New Roman" w:hAnsi="Times New Roman"/>
          <w:color w:val="00B050"/>
          <w:sz w:val="24"/>
          <w:szCs w:val="24"/>
          <w:vertAlign w:val="superscript"/>
          <w:lang w:val="en-US"/>
        </w:rPr>
        <w:t>3</w:t>
      </w:r>
      <w:r w:rsidRPr="00262673">
        <w:rPr>
          <w:rFonts w:ascii="Times New Roman" w:hAnsi="Times New Roman"/>
          <w:color w:val="00B050"/>
          <w:sz w:val="24"/>
          <w:szCs w:val="24"/>
          <w:lang w:val="en-US"/>
        </w:rPr>
        <w:t xml:space="preserve"> cells/mL and 2 x 10</w:t>
      </w:r>
      <w:r w:rsidRPr="00262673">
        <w:rPr>
          <w:rFonts w:ascii="Times New Roman" w:hAnsi="Times New Roman"/>
          <w:color w:val="00B050"/>
          <w:sz w:val="24"/>
          <w:szCs w:val="24"/>
          <w:vertAlign w:val="superscript"/>
          <w:lang w:val="en-US"/>
        </w:rPr>
        <w:t>3</w:t>
      </w:r>
      <w:r w:rsidRPr="00262673">
        <w:rPr>
          <w:rFonts w:ascii="Times New Roman" w:hAnsi="Times New Roman"/>
          <w:color w:val="00B050"/>
          <w:sz w:val="24"/>
          <w:szCs w:val="24"/>
          <w:lang w:val="en-US"/>
        </w:rPr>
        <w:t xml:space="preserve"> cells/mL per well, respectively. Following overnight </w:t>
      </w:r>
      <w:proofErr w:type="spellStart"/>
      <w:r w:rsidRPr="00262673">
        <w:rPr>
          <w:rFonts w:ascii="Times New Roman" w:hAnsi="Times New Roman"/>
          <w:color w:val="00B050"/>
          <w:sz w:val="24"/>
          <w:szCs w:val="24"/>
          <w:lang w:val="en-US"/>
        </w:rPr>
        <w:t>acclimatisation</w:t>
      </w:r>
      <w:proofErr w:type="spellEnd"/>
      <w:r w:rsidRPr="00262673">
        <w:rPr>
          <w:rFonts w:ascii="Times New Roman" w:hAnsi="Times New Roman"/>
          <w:color w:val="00B050"/>
          <w:sz w:val="24"/>
          <w:szCs w:val="24"/>
          <w:lang w:val="en-US"/>
        </w:rPr>
        <w:t xml:space="preserve"> of </w:t>
      </w:r>
      <w:r w:rsidR="0077416D">
        <w:rPr>
          <w:rFonts w:ascii="Times New Roman" w:hAnsi="Times New Roman"/>
          <w:color w:val="00B050"/>
          <w:sz w:val="24"/>
          <w:szCs w:val="24"/>
          <w:lang w:val="en-US"/>
        </w:rPr>
        <w:t xml:space="preserve">the </w:t>
      </w:r>
      <w:r w:rsidRPr="00262673">
        <w:rPr>
          <w:rFonts w:ascii="Times New Roman" w:hAnsi="Times New Roman"/>
          <w:color w:val="00B050"/>
          <w:sz w:val="24"/>
          <w:szCs w:val="24"/>
          <w:lang w:val="en-US"/>
        </w:rPr>
        <w:t>cells, the latter were treated with six concentrations of the test samples (ranging between 10-100 µg/mL) and etoposide (ranging between1-10 µg/</w:t>
      </w:r>
      <w:r w:rsidR="00707233">
        <w:rPr>
          <w:rFonts w:ascii="Times New Roman" w:hAnsi="Times New Roman"/>
          <w:color w:val="00B050"/>
          <w:sz w:val="24"/>
          <w:szCs w:val="24"/>
          <w:lang w:val="en-US"/>
        </w:rPr>
        <w:t>ml) for 48 hours. Sterile</w:t>
      </w:r>
      <w:r w:rsidRPr="00262673">
        <w:rPr>
          <w:rFonts w:ascii="Times New Roman" w:hAnsi="Times New Roman"/>
          <w:color w:val="00B050"/>
          <w:sz w:val="24"/>
          <w:szCs w:val="24"/>
          <w:lang w:val="en-US"/>
        </w:rPr>
        <w:t xml:space="preserve"> filtered extract (20 mg/mL) dissolved in </w:t>
      </w:r>
      <w:r w:rsidR="00707233">
        <w:rPr>
          <w:rFonts w:ascii="Times New Roman" w:hAnsi="Times New Roman"/>
          <w:color w:val="00B050"/>
          <w:sz w:val="24"/>
          <w:szCs w:val="24"/>
          <w:lang w:val="en-US"/>
        </w:rPr>
        <w:t>DMSO: water (1</w:t>
      </w:r>
      <w:r w:rsidRPr="00262673">
        <w:rPr>
          <w:rFonts w:ascii="Times New Roman" w:hAnsi="Times New Roman"/>
          <w:color w:val="00B050"/>
          <w:sz w:val="24"/>
          <w:szCs w:val="24"/>
          <w:lang w:val="en-US"/>
        </w:rPr>
        <w:t>: 1</w:t>
      </w:r>
      <w:r w:rsidR="00707233">
        <w:rPr>
          <w:rFonts w:ascii="Times New Roman" w:hAnsi="Times New Roman"/>
          <w:color w:val="00B050"/>
          <w:sz w:val="24"/>
          <w:szCs w:val="24"/>
          <w:lang w:val="en-US"/>
        </w:rPr>
        <w:t>9, v/v) was stored</w:t>
      </w:r>
      <w:r w:rsidRPr="00262673">
        <w:rPr>
          <w:rFonts w:ascii="Times New Roman" w:hAnsi="Times New Roman"/>
          <w:color w:val="00B050"/>
          <w:sz w:val="24"/>
          <w:szCs w:val="24"/>
          <w:lang w:val="en-US"/>
        </w:rPr>
        <w:t xml:space="preserve"> at -80 ˚C </w:t>
      </w:r>
      <w:r w:rsidR="00707233">
        <w:rPr>
          <w:rFonts w:ascii="Times New Roman" w:hAnsi="Times New Roman"/>
          <w:color w:val="00B050"/>
          <w:sz w:val="24"/>
          <w:szCs w:val="24"/>
          <w:lang w:val="en-US"/>
        </w:rPr>
        <w:t>for subsequent dilutions</w:t>
      </w:r>
      <w:r w:rsidRPr="00262673">
        <w:rPr>
          <w:rFonts w:ascii="Times New Roman" w:hAnsi="Times New Roman"/>
          <w:color w:val="00B050"/>
          <w:sz w:val="24"/>
          <w:szCs w:val="24"/>
          <w:lang w:val="en-US"/>
        </w:rPr>
        <w:t xml:space="preserve"> using complete media. </w:t>
      </w:r>
      <w:r w:rsidRPr="00262673">
        <w:rPr>
          <w:rFonts w:ascii="Times New Roman" w:hAnsi="Times New Roman"/>
          <w:color w:val="00B050"/>
          <w:sz w:val="24"/>
          <w:szCs w:val="24"/>
        </w:rPr>
        <w:t>After</w:t>
      </w:r>
      <w:r w:rsidRPr="00262673">
        <w:rPr>
          <w:rFonts w:ascii="Times New Roman" w:hAnsi="Times New Roman"/>
          <w:color w:val="00B050"/>
          <w:sz w:val="24"/>
          <w:szCs w:val="24"/>
          <w:lang w:val="en-US"/>
        </w:rPr>
        <w:t xml:space="preserve"> extract treatment,</w:t>
      </w:r>
      <w:r w:rsidR="00707233">
        <w:rPr>
          <w:rFonts w:ascii="Times New Roman" w:hAnsi="Times New Roman"/>
          <w:color w:val="00B050"/>
          <w:sz w:val="24"/>
          <w:szCs w:val="24"/>
        </w:rPr>
        <w:t xml:space="preserve"> the cells were incubated </w:t>
      </w:r>
      <w:r w:rsidRPr="00262673">
        <w:rPr>
          <w:rFonts w:ascii="Times New Roman" w:hAnsi="Times New Roman"/>
          <w:color w:val="00B050"/>
          <w:sz w:val="24"/>
          <w:szCs w:val="24"/>
        </w:rPr>
        <w:t xml:space="preserve">with MTT solution (5 mg/mL) for 2 hours. Subsequently the formazan formed was solubilised in 100 µL of DMSO and the absorbance read at 550 nm. </w:t>
      </w:r>
      <w:r w:rsidRPr="00262673">
        <w:rPr>
          <w:rFonts w:ascii="Times New Roman" w:hAnsi="Times New Roman"/>
          <w:color w:val="00B050"/>
          <w:sz w:val="24"/>
          <w:szCs w:val="24"/>
          <w:lang w:val="en-US"/>
        </w:rPr>
        <w:t xml:space="preserve">The percentage cell viability relative to </w:t>
      </w:r>
      <w:r w:rsidRPr="00262673">
        <w:rPr>
          <w:rFonts w:ascii="Times New Roman" w:hAnsi="Times New Roman"/>
          <w:color w:val="00B050"/>
          <w:sz w:val="24"/>
          <w:szCs w:val="24"/>
        </w:rPr>
        <w:t>DMSO</w:t>
      </w:r>
      <w:r w:rsidRPr="00262673">
        <w:rPr>
          <w:rFonts w:ascii="Times New Roman" w:hAnsi="Times New Roman"/>
          <w:color w:val="00B050"/>
          <w:sz w:val="24"/>
          <w:szCs w:val="24"/>
          <w:lang w:val="en-US"/>
        </w:rPr>
        <w:t xml:space="preserve"> (0.025 %) control</w:t>
      </w:r>
      <w:r w:rsidRPr="00262673">
        <w:rPr>
          <w:rFonts w:ascii="Times New Roman" w:hAnsi="Times New Roman"/>
          <w:color w:val="00B050"/>
          <w:sz w:val="24"/>
          <w:szCs w:val="24"/>
        </w:rPr>
        <w:t xml:space="preserve"> was calculated</w:t>
      </w:r>
      <w:r w:rsidRPr="00262673">
        <w:rPr>
          <w:rFonts w:ascii="Times New Roman" w:hAnsi="Times New Roman"/>
          <w:color w:val="00B050"/>
          <w:sz w:val="24"/>
          <w:szCs w:val="24"/>
          <w:lang w:val="en-US"/>
        </w:rPr>
        <w:t xml:space="preserve"> and the </w:t>
      </w:r>
      <w:r w:rsidRPr="00262673">
        <w:rPr>
          <w:rFonts w:ascii="Times New Roman" w:hAnsi="Times New Roman"/>
          <w:i/>
          <w:color w:val="00B050"/>
          <w:sz w:val="24"/>
          <w:szCs w:val="24"/>
          <w:lang w:val="en-US"/>
        </w:rPr>
        <w:t>IC</w:t>
      </w:r>
      <w:r w:rsidRPr="00262673">
        <w:rPr>
          <w:rFonts w:ascii="Times New Roman" w:hAnsi="Times New Roman"/>
          <w:i/>
          <w:color w:val="00B050"/>
          <w:sz w:val="24"/>
          <w:szCs w:val="24"/>
          <w:vertAlign w:val="subscript"/>
          <w:lang w:val="en-US"/>
        </w:rPr>
        <w:t>50</w:t>
      </w:r>
      <w:r w:rsidRPr="00262673">
        <w:rPr>
          <w:rFonts w:ascii="Times New Roman" w:hAnsi="Times New Roman"/>
          <w:color w:val="00B050"/>
          <w:sz w:val="24"/>
          <w:szCs w:val="24"/>
          <w:lang w:val="en-US"/>
        </w:rPr>
        <w:t xml:space="preserve"> value determined using GraphPad Prism 6 software </w:t>
      </w:r>
      <w:r w:rsidRPr="00262673">
        <w:rPr>
          <w:rFonts w:ascii="Times New Roman" w:hAnsi="Times New Roman"/>
          <w:color w:val="00B050"/>
          <w:sz w:val="24"/>
          <w:szCs w:val="24"/>
        </w:rPr>
        <w:t>(GraphPad Inc., USA).</w:t>
      </w:r>
      <w:r w:rsidRPr="00262673">
        <w:rPr>
          <w:rFonts w:ascii="Times New Roman" w:hAnsi="Times New Roman"/>
          <w:color w:val="00B050"/>
          <w:sz w:val="24"/>
          <w:szCs w:val="24"/>
          <w:lang w:val="en-US"/>
        </w:rPr>
        <w:t xml:space="preserve"> All experiments were performed in triplicates in three independent assays.</w:t>
      </w:r>
    </w:p>
    <w:p w14:paraId="4B640D04" w14:textId="77777777" w:rsidR="00CD3A92" w:rsidRDefault="00CD3A92" w:rsidP="00CD3A92">
      <w:pPr>
        <w:spacing w:line="276" w:lineRule="auto"/>
        <w:jc w:val="both"/>
        <w:rPr>
          <w:rFonts w:ascii="Times New Roman" w:hAnsi="Times New Roman"/>
          <w:sz w:val="24"/>
          <w:szCs w:val="24"/>
          <w:lang w:val="en-US"/>
        </w:rPr>
      </w:pPr>
    </w:p>
    <w:p w14:paraId="58543A61" w14:textId="77777777" w:rsidR="00CD3A92" w:rsidRPr="00E31225" w:rsidRDefault="00CD3A92" w:rsidP="00CD3A92">
      <w:pPr>
        <w:pStyle w:val="ListParagraph"/>
        <w:numPr>
          <w:ilvl w:val="2"/>
          <w:numId w:val="2"/>
        </w:numPr>
        <w:spacing w:line="276" w:lineRule="auto"/>
        <w:jc w:val="both"/>
        <w:rPr>
          <w:rFonts w:ascii="Times New Roman" w:hAnsi="Times New Roman"/>
          <w:b/>
          <w:iCs/>
          <w:sz w:val="24"/>
          <w:szCs w:val="24"/>
          <w:lang w:val="en-US"/>
        </w:rPr>
      </w:pPr>
      <w:r w:rsidRPr="00E31225">
        <w:rPr>
          <w:rFonts w:ascii="Times New Roman" w:hAnsi="Times New Roman"/>
          <w:b/>
          <w:iCs/>
          <w:sz w:val="24"/>
          <w:szCs w:val="24"/>
          <w:lang w:val="en-US"/>
        </w:rPr>
        <w:t>Determination of</w:t>
      </w:r>
      <w:r w:rsidRPr="00E31225">
        <w:rPr>
          <w:rFonts w:ascii="Times New Roman" w:hAnsi="Times New Roman"/>
          <w:b/>
          <w:sz w:val="24"/>
          <w:szCs w:val="24"/>
          <w:lang w:val="en-US"/>
        </w:rPr>
        <w:t xml:space="preserve"> </w:t>
      </w:r>
      <w:r w:rsidRPr="00E31225">
        <w:rPr>
          <w:rFonts w:ascii="Times New Roman" w:hAnsi="Times New Roman"/>
          <w:b/>
          <w:iCs/>
          <w:sz w:val="24"/>
          <w:szCs w:val="24"/>
          <w:lang w:val="en-US"/>
        </w:rPr>
        <w:t>intracellular ROS production.</w:t>
      </w:r>
    </w:p>
    <w:p w14:paraId="701E19A7" w14:textId="184F6559" w:rsidR="00262673" w:rsidRPr="00262673" w:rsidRDefault="00262673" w:rsidP="00262673">
      <w:pPr>
        <w:spacing w:line="276" w:lineRule="auto"/>
        <w:jc w:val="both"/>
        <w:rPr>
          <w:rFonts w:ascii="Times New Roman" w:hAnsi="Times New Roman"/>
          <w:sz w:val="24"/>
          <w:szCs w:val="24"/>
          <w:lang w:val="en-US"/>
        </w:rPr>
      </w:pPr>
      <w:r w:rsidRPr="00262673">
        <w:rPr>
          <w:rFonts w:ascii="Times New Roman" w:hAnsi="Times New Roman"/>
          <w:sz w:val="24"/>
          <w:szCs w:val="24"/>
          <w:lang w:val="en-US"/>
        </w:rPr>
        <w:t xml:space="preserve">The intracellular ROS level in HepG2 cells exposed to varying test sample concentrations was determined as described </w:t>
      </w:r>
      <w:r w:rsidRPr="00262673">
        <w:rPr>
          <w:rFonts w:ascii="Times New Roman" w:hAnsi="Times New Roman"/>
          <w:sz w:val="24"/>
          <w:szCs w:val="24"/>
          <w:lang w:val="en-US"/>
        </w:rPr>
        <w:fldChar w:fldCharType="begin" w:fldLock="1"/>
      </w:r>
      <w:r w:rsidRPr="00262673">
        <w:rPr>
          <w:rFonts w:ascii="Times New Roman" w:hAnsi="Times New Roman"/>
          <w:sz w:val="24"/>
          <w:szCs w:val="24"/>
          <w:lang w:val="en-US"/>
        </w:rPr>
        <w:instrText>ADDIN CSL_CITATION {"citationItems":[{"id":"ITEM-1","itemData":{"DOI":"10.1039/c7fo01038a","ISSN":"2042-650X","PMID":"29043349","abstract":"This study aimed at investigating and comparing the anti-diabetic potential of black and green teas. Biochemical analyses indicate higher antioxidant potency, significantly correlated with the phytochemicals present, in green teas compared to black teas. Both extracts afforded a similar level of protection to erythrocytes against peroxyl radical-induced lysis. Non-cytotoxic concentration of green and black tea extracts significantly reduced the reactive oxygen species (ROS) production (P &lt; 0.01), lowered the oxidation of proteins (P &lt; 0.05) and decreased the IL-6 secretion (P &lt; 0.01) induced by AGEs or H2O2 in 3T3-L1 preadipocytes. Both teas also inhibited the decline in the enzymatic activities of superoxide dismutase, catalase and glutathione peroxidase induced by the pro-oxidants. The teas further suppressed the glycation of BSA mediated by glucose, ribose and MGO by reducing fluorescent AGE, fructosamine, protein carbonyl and AOPP levels. Black and green teas also inhibited the activities of α-amylase (AA50: 589.86 ± 39.51 and 947.80 ± 18.20 μg mL(-1), respectively) and α-glucosidase (AA50: 72.31 ± 4.23 and 100.23 ± 8.10 μg mL(-1), respectively). The teas afforded a comparable level of protection at the cellular level and against glycation while black tea exerted the highest carbohydrate hydrolysing enzymes inhibitory activity. Our results clearly show that black and green teas represent an important source of antioxidants with anti-diabetic potential.","author":[{"dropping-particle":"","family":"Ramlagan","given":"P","non-dropping-particle":"","parse-names":false,"suffix":""},{"dropping-particle":"","family":"Rondeau","given":"P","non-dropping-particle":"","parse-names":false,"suffix":""},{"dropping-particle":"","family":"Planesse","given":"C","non-dropping-particle":"","parse-names":false,"suffix":""},{"dropping-particle":"","family":"Neergheen-Bhujun","given":"V S","non-dropping-particle":"","parse-names":false,"suffix":""},{"dropping-particle":"","family":"Bourdon","given":"E","non-dropping-particle":"","parse-names":false,"suffix":""},{"dropping-particle":"","family":"Bahorun","given":"T","non-dropping-particle":"","parse-names":false,"suffix":""}],"container-title":"Food &amp; function","id":"ITEM-1","issued":{"date-parts":[["2017"]]},"title":"Comparative suppressing effects of black and green teas on the formation of advanced glycation end products (AGEs) and AGE-induced oxidative stress.","type":"article-journal"},"uris":["http://www.mendeley.com/documents/?uuid=5601798f-8612-417e-8820-839bb64b663e"]}],"mendeley":{"formattedCitation":"(Ramlagan et al., 2017)","plainTextFormattedCitation":"(Ramlagan et al., 2017)","previouslyFormattedCitation":"[51]"},"properties":{"noteIndex":0},"schema":"https://github.com/citation-style-language/schema/raw/master/csl-citation.json"}</w:instrText>
      </w:r>
      <w:r w:rsidRPr="00262673">
        <w:rPr>
          <w:rFonts w:ascii="Times New Roman" w:hAnsi="Times New Roman"/>
          <w:sz w:val="24"/>
          <w:szCs w:val="24"/>
          <w:lang w:val="en-US"/>
        </w:rPr>
        <w:fldChar w:fldCharType="separate"/>
      </w:r>
      <w:r w:rsidRPr="00262673">
        <w:rPr>
          <w:rFonts w:ascii="Times New Roman" w:hAnsi="Times New Roman"/>
          <w:noProof/>
          <w:sz w:val="24"/>
          <w:szCs w:val="24"/>
          <w:lang w:val="en-US"/>
        </w:rPr>
        <w:t>(Ramlagan et al., 2017)</w:t>
      </w:r>
      <w:r w:rsidRPr="00262673">
        <w:rPr>
          <w:rFonts w:ascii="Times New Roman" w:hAnsi="Times New Roman"/>
          <w:sz w:val="24"/>
          <w:szCs w:val="24"/>
          <w:lang w:val="en-US"/>
        </w:rPr>
        <w:fldChar w:fldCharType="end"/>
      </w:r>
      <w:r w:rsidRPr="00262673">
        <w:rPr>
          <w:rFonts w:ascii="Times New Roman" w:hAnsi="Times New Roman"/>
          <w:sz w:val="24"/>
          <w:szCs w:val="24"/>
          <w:lang w:val="en-US"/>
        </w:rPr>
        <w:t xml:space="preserve">. </w:t>
      </w:r>
      <w:r w:rsidRPr="00262673">
        <w:rPr>
          <w:rFonts w:ascii="Times New Roman" w:hAnsi="Times New Roman"/>
          <w:color w:val="00B050"/>
          <w:sz w:val="24"/>
          <w:szCs w:val="24"/>
          <w:lang w:val="en-US"/>
        </w:rPr>
        <w:t>HepG2 cells (5 x 10</w:t>
      </w:r>
      <w:r w:rsidRPr="00262673">
        <w:rPr>
          <w:rFonts w:ascii="Times New Roman" w:hAnsi="Times New Roman"/>
          <w:color w:val="00B050"/>
          <w:sz w:val="24"/>
          <w:szCs w:val="24"/>
          <w:vertAlign w:val="superscript"/>
          <w:lang w:val="en-US"/>
        </w:rPr>
        <w:t>3</w:t>
      </w:r>
      <w:r w:rsidR="00707233">
        <w:rPr>
          <w:rFonts w:ascii="Times New Roman" w:hAnsi="Times New Roman"/>
          <w:color w:val="00B050"/>
          <w:sz w:val="24"/>
          <w:szCs w:val="24"/>
          <w:lang w:val="en-US"/>
        </w:rPr>
        <w:t xml:space="preserve"> cells/mL) were allowed to attach</w:t>
      </w:r>
      <w:r w:rsidRPr="00262673">
        <w:rPr>
          <w:rFonts w:ascii="Times New Roman" w:hAnsi="Times New Roman"/>
          <w:color w:val="00B050"/>
          <w:sz w:val="24"/>
          <w:szCs w:val="24"/>
          <w:lang w:val="en-US"/>
        </w:rPr>
        <w:t xml:space="preserve"> in 96-well plates for 24 hours. The cells were treated with test samples for 48 hours, at six concentrations, as specified in section 2.5.1. Following </w:t>
      </w:r>
      <w:r w:rsidR="00707233">
        <w:rPr>
          <w:rFonts w:ascii="Times New Roman" w:hAnsi="Times New Roman"/>
          <w:sz w:val="24"/>
          <w:szCs w:val="24"/>
          <w:lang w:val="en-US"/>
        </w:rPr>
        <w:t>incubation with the</w:t>
      </w:r>
      <w:r w:rsidRPr="00262673">
        <w:rPr>
          <w:rFonts w:ascii="Times New Roman" w:hAnsi="Times New Roman"/>
          <w:sz w:val="24"/>
          <w:szCs w:val="24"/>
          <w:lang w:val="en-US"/>
        </w:rPr>
        <w:t xml:space="preserve"> extracts, </w:t>
      </w:r>
      <w:r w:rsidR="00707233">
        <w:rPr>
          <w:rFonts w:ascii="Times New Roman" w:hAnsi="Times New Roman"/>
          <w:sz w:val="24"/>
          <w:szCs w:val="24"/>
          <w:lang w:val="en-US"/>
        </w:rPr>
        <w:t xml:space="preserve">the </w:t>
      </w:r>
      <w:r w:rsidRPr="00262673">
        <w:rPr>
          <w:rFonts w:ascii="Times New Roman" w:hAnsi="Times New Roman"/>
          <w:sz w:val="24"/>
          <w:szCs w:val="24"/>
          <w:lang w:val="en-US"/>
        </w:rPr>
        <w:t xml:space="preserve">cells were washed and incubated with 100 </w:t>
      </w:r>
      <w:proofErr w:type="spellStart"/>
      <w:r w:rsidRPr="00262673">
        <w:rPr>
          <w:rFonts w:ascii="Times New Roman" w:hAnsi="Times New Roman"/>
          <w:sz w:val="24"/>
          <w:szCs w:val="24"/>
          <w:lang w:val="en-US"/>
        </w:rPr>
        <w:t>μL</w:t>
      </w:r>
      <w:proofErr w:type="spellEnd"/>
      <w:r w:rsidRPr="00262673">
        <w:rPr>
          <w:rFonts w:ascii="Times New Roman" w:hAnsi="Times New Roman"/>
          <w:sz w:val="24"/>
          <w:szCs w:val="24"/>
          <w:lang w:val="en-US"/>
        </w:rPr>
        <w:t xml:space="preserve"> of 10 </w:t>
      </w:r>
      <w:proofErr w:type="spellStart"/>
      <w:r w:rsidRPr="00262673">
        <w:rPr>
          <w:rFonts w:ascii="Times New Roman" w:hAnsi="Times New Roman"/>
          <w:sz w:val="24"/>
          <w:szCs w:val="24"/>
          <w:lang w:val="en-US"/>
        </w:rPr>
        <w:t>μM</w:t>
      </w:r>
      <w:proofErr w:type="spellEnd"/>
      <w:r w:rsidRPr="00262673">
        <w:rPr>
          <w:rFonts w:ascii="Times New Roman" w:hAnsi="Times New Roman"/>
          <w:sz w:val="24"/>
          <w:szCs w:val="24"/>
          <w:lang w:val="en-US"/>
        </w:rPr>
        <w:t xml:space="preserve"> of DCFH-DA for 45 min in a humidified atmosphere at 37 °C. Fluorescence was measured at excitation and emission wavelengths of 485 nm and 520 nm respectively. Results were normalized to the percentage of viable cells and expressed as a percentage of the negative control.</w:t>
      </w:r>
    </w:p>
    <w:p w14:paraId="53497634" w14:textId="77777777" w:rsidR="00CD3A92" w:rsidRPr="00E31225" w:rsidRDefault="00CD3A92" w:rsidP="00CD3A92">
      <w:pPr>
        <w:pStyle w:val="ListParagraph"/>
        <w:numPr>
          <w:ilvl w:val="2"/>
          <w:numId w:val="2"/>
        </w:numPr>
        <w:spacing w:line="276" w:lineRule="auto"/>
        <w:jc w:val="both"/>
        <w:rPr>
          <w:rFonts w:ascii="Times New Roman" w:hAnsi="Times New Roman"/>
          <w:b/>
          <w:sz w:val="24"/>
          <w:szCs w:val="24"/>
          <w:lang w:val="en-US"/>
        </w:rPr>
      </w:pPr>
      <w:r w:rsidRPr="00E31225">
        <w:rPr>
          <w:rFonts w:ascii="Times New Roman" w:hAnsi="Times New Roman"/>
          <w:b/>
          <w:sz w:val="24"/>
          <w:szCs w:val="24"/>
          <w:lang w:val="en-US"/>
        </w:rPr>
        <w:t>Evaluation of intrinsic antioxidant activities.</w:t>
      </w:r>
    </w:p>
    <w:p w14:paraId="228E948C" w14:textId="77777777" w:rsidR="00262673" w:rsidRPr="00262673" w:rsidRDefault="00262673" w:rsidP="00262673">
      <w:pPr>
        <w:spacing w:line="276" w:lineRule="auto"/>
        <w:jc w:val="both"/>
        <w:rPr>
          <w:rFonts w:ascii="Times New Roman" w:hAnsi="Times New Roman"/>
          <w:sz w:val="24"/>
          <w:szCs w:val="24"/>
        </w:rPr>
      </w:pPr>
      <w:r w:rsidRPr="00262673">
        <w:rPr>
          <w:rFonts w:ascii="Times New Roman" w:hAnsi="Times New Roman"/>
          <w:sz w:val="24"/>
          <w:szCs w:val="24"/>
          <w:lang w:val="en-US"/>
        </w:rPr>
        <w:t>HepG2 cells (7 x 10</w:t>
      </w:r>
      <w:r w:rsidRPr="00262673">
        <w:rPr>
          <w:rFonts w:ascii="Times New Roman" w:hAnsi="Times New Roman"/>
          <w:sz w:val="24"/>
          <w:szCs w:val="24"/>
          <w:vertAlign w:val="superscript"/>
          <w:lang w:val="en-US"/>
        </w:rPr>
        <w:t xml:space="preserve">4 </w:t>
      </w:r>
      <w:r w:rsidRPr="00262673">
        <w:rPr>
          <w:rFonts w:ascii="Times New Roman" w:hAnsi="Times New Roman"/>
          <w:sz w:val="24"/>
          <w:szCs w:val="24"/>
          <w:lang w:val="en-US"/>
        </w:rPr>
        <w:t>cells/ mL) were allowed to adhere overnight in 12 well plates and treated with different concentrations of test samples. After 48-hours, cells were washed twice with PBS, lysed and the protein concentration of cell lysates, as well as the activity of intrinsic antioxidant enzymes, namely, superoxide dismutase (SOD), catalase (CAT) and glutathione peroxidase (</w:t>
      </w:r>
      <w:proofErr w:type="spellStart"/>
      <w:r w:rsidRPr="00262673">
        <w:rPr>
          <w:rFonts w:ascii="Times New Roman" w:hAnsi="Times New Roman"/>
          <w:color w:val="00B050"/>
          <w:sz w:val="24"/>
          <w:szCs w:val="24"/>
        </w:rPr>
        <w:t>GPx</w:t>
      </w:r>
      <w:proofErr w:type="spellEnd"/>
      <w:r w:rsidRPr="00262673">
        <w:rPr>
          <w:rFonts w:ascii="Times New Roman" w:hAnsi="Times New Roman"/>
          <w:color w:val="00B050"/>
          <w:sz w:val="24"/>
          <w:szCs w:val="24"/>
        </w:rPr>
        <w:t>)</w:t>
      </w:r>
      <w:r w:rsidRPr="00262673">
        <w:rPr>
          <w:rFonts w:ascii="Times New Roman" w:hAnsi="Times New Roman"/>
          <w:sz w:val="24"/>
          <w:szCs w:val="24"/>
          <w:lang w:val="en-US"/>
        </w:rPr>
        <w:t xml:space="preserve"> enzymes, were investigated as described </w:t>
      </w:r>
      <w:r w:rsidRPr="00262673">
        <w:rPr>
          <w:rFonts w:ascii="Times New Roman" w:hAnsi="Times New Roman"/>
          <w:sz w:val="24"/>
          <w:szCs w:val="24"/>
          <w:lang w:val="en-US"/>
        </w:rPr>
        <w:fldChar w:fldCharType="begin" w:fldLock="1"/>
      </w:r>
      <w:r w:rsidRPr="00262673">
        <w:rPr>
          <w:rFonts w:ascii="Times New Roman" w:hAnsi="Times New Roman"/>
          <w:sz w:val="24"/>
          <w:szCs w:val="24"/>
          <w:lang w:val="en-US"/>
        </w:rPr>
        <w:instrText>ADDIN CSL_CITATION {"citationItems":[{"id":"ITEM-1","itemData":{"DOI":"10.1039/c7fo01038a","ISSN":"2042-650X","PMID":"29043349","abstract":"This study aimed at investigating and comparing the anti-diabetic potential of black and green teas. Biochemical analyses indicate higher antioxidant potency, significantly correlated with the phytochemicals present, in green teas compared to black teas. Both extracts afforded a similar level of protection to erythrocytes against peroxyl radical-induced lysis. Non-cytotoxic concentration of green and black tea extracts significantly reduced the reactive oxygen species (ROS) production (P &lt; 0.01), lowered the oxidation of proteins (P &lt; 0.05) and decreased the IL-6 secretion (P &lt; 0.01) induced by AGEs or H2O2 in 3T3-L1 preadipocytes. Both teas also inhibited the decline in the enzymatic activities of superoxide dismutase, catalase and glutathione peroxidase induced by the pro-oxidants. The teas further suppressed the glycation of BSA mediated by glucose, ribose and MGO by reducing fluorescent AGE, fructosamine, protein carbonyl and AOPP levels. Black and green teas also inhibited the activities of α-amylase (AA50: 589.86 ± 39.51 and 947.80 ± 18.20 μg mL(-1), respectively) and α-glucosidase (AA50: 72.31 ± 4.23 and 100.23 ± 8.10 μg mL(-1), respectively). The teas afforded a comparable level of protection at the cellular level and against glycation while black tea exerted the highest carbohydrate hydrolysing enzymes inhibitory activity. Our results clearly show that black and green teas represent an important source of antioxidants with anti-diabetic potential.","author":[{"dropping-particle":"","family":"Ramlagan","given":"P","non-dropping-particle":"","parse-names":false,"suffix":""},{"dropping-particle":"","family":"Rondeau","given":"P","non-dropping-particle":"","parse-names":false,"suffix":""},{"dropping-particle":"","family":"Planesse","given":"C","non-dropping-particle":"","parse-names":false,"suffix":""},{"dropping-particle":"","family":"Neergheen-Bhujun","given":"V S","non-dropping-particle":"","parse-names":false,"suffix":""},{"dropping-particle":"","family":"Bourdon","given":"E","non-dropping-particle":"","parse-names":false,"suffix":""},{"dropping-particle":"","family":"Bahorun","given":"T","non-dropping-particle":"","parse-names":false,"suffix":""}],"container-title":"Food &amp; function","id":"ITEM-1","issued":{"date-parts":[["2017"]]},"title":"Comparative suppressing effects of black and green teas on the formation of advanced glycation end products (AGEs) and AGE-induced oxidative stress.","type":"article-journal"},"uris":["http://www.mendeley.com/documents/?uuid=5601798f-8612-417e-8820-839bb64b663e"]}],"mendeley":{"formattedCitation":"(Ramlagan et al., 2017)","plainTextFormattedCitation":"(Ramlagan et al., 2017)","previouslyFormattedCitation":"[51]"},"properties":{"noteIndex":0},"schema":"https://github.com/citation-style-language/schema/raw/master/csl-citation.json"}</w:instrText>
      </w:r>
      <w:r w:rsidRPr="00262673">
        <w:rPr>
          <w:rFonts w:ascii="Times New Roman" w:hAnsi="Times New Roman"/>
          <w:sz w:val="24"/>
          <w:szCs w:val="24"/>
          <w:lang w:val="en-US"/>
        </w:rPr>
        <w:fldChar w:fldCharType="separate"/>
      </w:r>
      <w:r w:rsidRPr="00262673">
        <w:rPr>
          <w:rFonts w:ascii="Times New Roman" w:hAnsi="Times New Roman"/>
          <w:noProof/>
          <w:sz w:val="24"/>
          <w:szCs w:val="24"/>
          <w:lang w:val="en-US"/>
        </w:rPr>
        <w:t>(Ramlagan et al., 2017)</w:t>
      </w:r>
      <w:r w:rsidRPr="00262673">
        <w:rPr>
          <w:rFonts w:ascii="Times New Roman" w:hAnsi="Times New Roman"/>
          <w:sz w:val="24"/>
          <w:szCs w:val="24"/>
          <w:lang w:val="en-US"/>
        </w:rPr>
        <w:fldChar w:fldCharType="end"/>
      </w:r>
      <w:r w:rsidRPr="00262673">
        <w:rPr>
          <w:rFonts w:ascii="Times New Roman" w:hAnsi="Times New Roman"/>
          <w:sz w:val="24"/>
          <w:szCs w:val="24"/>
          <w:lang w:val="en-US"/>
        </w:rPr>
        <w:t xml:space="preserve">.  </w:t>
      </w:r>
      <w:r w:rsidRPr="00262673">
        <w:rPr>
          <w:rFonts w:ascii="Times New Roman" w:hAnsi="Times New Roman"/>
          <w:color w:val="00B050"/>
          <w:sz w:val="24"/>
          <w:szCs w:val="24"/>
          <w:lang w:val="en-US"/>
        </w:rPr>
        <w:t xml:space="preserve">For SOD activity, the final reaction mixture consisted of 20 µL protein lysate, 10 µL of 50 mM phosphate buffer and </w:t>
      </w:r>
      <w:r w:rsidRPr="00262673">
        <w:rPr>
          <w:rFonts w:ascii="Times New Roman" w:hAnsi="Times New Roman"/>
          <w:color w:val="00B050"/>
          <w:sz w:val="24"/>
          <w:szCs w:val="24"/>
          <w:lang w:val="en-US"/>
        </w:rPr>
        <w:lastRenderedPageBreak/>
        <w:t xml:space="preserve">150 µL reagent mix. The reduction of cytochrome c was monitored at 550 nm immediately after the addition of 20 µL of 4 </w:t>
      </w:r>
      <w:proofErr w:type="spellStart"/>
      <w:r w:rsidRPr="00262673">
        <w:rPr>
          <w:rFonts w:ascii="Times New Roman" w:hAnsi="Times New Roman"/>
          <w:color w:val="00B050"/>
          <w:sz w:val="24"/>
          <w:szCs w:val="24"/>
          <w:lang w:val="en-US"/>
        </w:rPr>
        <w:t>mU</w:t>
      </w:r>
      <w:proofErr w:type="spellEnd"/>
      <w:r w:rsidRPr="00262673">
        <w:rPr>
          <w:rFonts w:ascii="Times New Roman" w:hAnsi="Times New Roman"/>
          <w:color w:val="00B050"/>
          <w:sz w:val="24"/>
          <w:szCs w:val="24"/>
          <w:lang w:val="en-US"/>
        </w:rPr>
        <w:t xml:space="preserve"> xanthine oxidase, at 25 °C for 3 minutes at every 5-second intervals. </w:t>
      </w:r>
      <w:r w:rsidRPr="00262673">
        <w:rPr>
          <w:rFonts w:ascii="Times New Roman" w:hAnsi="Times New Roman"/>
          <w:color w:val="00B050"/>
          <w:sz w:val="24"/>
          <w:szCs w:val="24"/>
        </w:rPr>
        <w:t xml:space="preserve">For </w:t>
      </w:r>
      <w:proofErr w:type="spellStart"/>
      <w:r w:rsidRPr="00262673">
        <w:rPr>
          <w:rFonts w:ascii="Times New Roman" w:hAnsi="Times New Roman"/>
          <w:color w:val="00B050"/>
          <w:sz w:val="24"/>
          <w:szCs w:val="24"/>
        </w:rPr>
        <w:t>GPx</w:t>
      </w:r>
      <w:proofErr w:type="spellEnd"/>
      <w:r w:rsidRPr="00262673">
        <w:rPr>
          <w:rFonts w:ascii="Times New Roman" w:hAnsi="Times New Roman"/>
          <w:color w:val="00B050"/>
          <w:sz w:val="24"/>
          <w:szCs w:val="24"/>
        </w:rPr>
        <w:t xml:space="preserve"> activity, 20 µL of protein lysate was incubated, at 37 °C for 5 min, with 140 µL 50 mM tris buffer (pH 8), 20 µL 60 mM reduced glutathione, 20 µL 1.5 mM NADPH, and 10 µL buffer mix (consisting of 16 mM sodium </w:t>
      </w:r>
      <w:proofErr w:type="spellStart"/>
      <w:r w:rsidRPr="00262673">
        <w:rPr>
          <w:rFonts w:ascii="Times New Roman" w:hAnsi="Times New Roman"/>
          <w:color w:val="00B050"/>
          <w:sz w:val="24"/>
          <w:szCs w:val="24"/>
        </w:rPr>
        <w:t>azide</w:t>
      </w:r>
      <w:proofErr w:type="spellEnd"/>
      <w:r w:rsidRPr="00262673">
        <w:rPr>
          <w:rFonts w:ascii="Times New Roman" w:hAnsi="Times New Roman"/>
          <w:color w:val="00B050"/>
          <w:sz w:val="24"/>
          <w:szCs w:val="24"/>
        </w:rPr>
        <w:t>, 100 mM tris buffer (pH 8) and 0.16 mM EDTA). Following incubation time, 20 µL 50 mM cumene H</w:t>
      </w:r>
      <w:r w:rsidRPr="00262673">
        <w:rPr>
          <w:rFonts w:ascii="Times New Roman" w:hAnsi="Times New Roman"/>
          <w:color w:val="00B050"/>
          <w:sz w:val="24"/>
          <w:szCs w:val="24"/>
          <w:vertAlign w:val="subscript"/>
        </w:rPr>
        <w:t>2</w:t>
      </w:r>
      <w:r w:rsidRPr="00262673">
        <w:rPr>
          <w:rFonts w:ascii="Times New Roman" w:hAnsi="Times New Roman"/>
          <w:color w:val="00B050"/>
          <w:sz w:val="24"/>
          <w:szCs w:val="24"/>
        </w:rPr>
        <w:t>O</w:t>
      </w:r>
      <w:r w:rsidRPr="00262673">
        <w:rPr>
          <w:rFonts w:ascii="Times New Roman" w:hAnsi="Times New Roman"/>
          <w:color w:val="00B050"/>
          <w:sz w:val="24"/>
          <w:szCs w:val="24"/>
          <w:vertAlign w:val="subscript"/>
        </w:rPr>
        <w:t>2</w:t>
      </w:r>
      <w:r w:rsidRPr="00262673">
        <w:rPr>
          <w:rFonts w:ascii="Times New Roman" w:hAnsi="Times New Roman"/>
          <w:color w:val="00B050"/>
          <w:sz w:val="24"/>
          <w:szCs w:val="24"/>
        </w:rPr>
        <w:t xml:space="preserve"> and 10 µL 7 </w:t>
      </w:r>
      <w:proofErr w:type="spellStart"/>
      <w:r w:rsidRPr="00262673">
        <w:rPr>
          <w:rFonts w:ascii="Times New Roman" w:hAnsi="Times New Roman"/>
          <w:color w:val="00B050"/>
          <w:sz w:val="24"/>
          <w:szCs w:val="24"/>
        </w:rPr>
        <w:t>mU</w:t>
      </w:r>
      <w:proofErr w:type="spellEnd"/>
      <w:r w:rsidRPr="00262673">
        <w:rPr>
          <w:rFonts w:ascii="Times New Roman" w:hAnsi="Times New Roman"/>
          <w:color w:val="00B050"/>
          <w:sz w:val="24"/>
          <w:szCs w:val="24"/>
        </w:rPr>
        <w:t xml:space="preserve"> glutathione reductase was added to the reaction mixture and the NADPH oxidation rate was monitored at 340 nm for 2 minutes every 5 seconds.</w:t>
      </w:r>
      <w:r w:rsidRPr="00262673">
        <w:rPr>
          <w:rFonts w:ascii="Times New Roman" w:hAnsi="Times New Roman"/>
          <w:sz w:val="24"/>
          <w:szCs w:val="24"/>
          <w:lang w:val="en-US"/>
        </w:rPr>
        <w:t xml:space="preserve"> </w:t>
      </w:r>
      <w:r w:rsidRPr="00262673">
        <w:rPr>
          <w:rFonts w:ascii="Times New Roman" w:hAnsi="Times New Roman"/>
          <w:color w:val="00B050"/>
          <w:sz w:val="24"/>
          <w:szCs w:val="24"/>
          <w:lang w:val="en-US"/>
        </w:rPr>
        <w:t xml:space="preserve">The superoxide dismutase activity and glutathione peroxidase activity were expressed as a percentage of control per mg total protein. For catalase activity, </w:t>
      </w:r>
      <w:r w:rsidRPr="00262673">
        <w:rPr>
          <w:rFonts w:ascii="Times New Roman" w:hAnsi="Times New Roman"/>
          <w:color w:val="00B050"/>
          <w:sz w:val="24"/>
          <w:szCs w:val="24"/>
        </w:rPr>
        <w:t>10 µL of lysate was added to a well containing 240 µL 0.2% (v/v) H</w:t>
      </w:r>
      <w:r w:rsidRPr="00262673">
        <w:rPr>
          <w:rFonts w:ascii="Times New Roman" w:hAnsi="Times New Roman"/>
          <w:color w:val="00B050"/>
          <w:sz w:val="24"/>
          <w:szCs w:val="24"/>
          <w:vertAlign w:val="subscript"/>
        </w:rPr>
        <w:t>2</w:t>
      </w:r>
      <w:r w:rsidRPr="00262673">
        <w:rPr>
          <w:rFonts w:ascii="Times New Roman" w:hAnsi="Times New Roman"/>
          <w:color w:val="00B050"/>
          <w:sz w:val="24"/>
          <w:szCs w:val="24"/>
        </w:rPr>
        <w:t>O</w:t>
      </w:r>
      <w:r w:rsidRPr="00262673">
        <w:rPr>
          <w:rFonts w:ascii="Times New Roman" w:hAnsi="Times New Roman"/>
          <w:color w:val="00B050"/>
          <w:sz w:val="24"/>
          <w:szCs w:val="24"/>
          <w:vertAlign w:val="subscript"/>
        </w:rPr>
        <w:t xml:space="preserve">2 </w:t>
      </w:r>
      <w:r w:rsidRPr="00262673">
        <w:rPr>
          <w:rFonts w:ascii="Times New Roman" w:hAnsi="Times New Roman"/>
          <w:color w:val="00B050"/>
          <w:sz w:val="24"/>
          <w:szCs w:val="24"/>
        </w:rPr>
        <w:t xml:space="preserve">and the absorbance read at 240 nm every 5 seconds for 1 minute at 25 °C. </w:t>
      </w:r>
      <w:r w:rsidRPr="00262673">
        <w:rPr>
          <w:rFonts w:ascii="Times New Roman" w:hAnsi="Times New Roman"/>
          <w:color w:val="00B050"/>
          <w:sz w:val="24"/>
          <w:szCs w:val="24"/>
          <w:lang w:val="en-US"/>
        </w:rPr>
        <w:t xml:space="preserve"> </w:t>
      </w:r>
      <w:r w:rsidRPr="00262673">
        <w:rPr>
          <w:rFonts w:ascii="Times New Roman" w:hAnsi="Times New Roman"/>
          <w:sz w:val="24"/>
          <w:szCs w:val="24"/>
          <w:lang w:val="en-US"/>
        </w:rPr>
        <w:t xml:space="preserve">The CAT activity of lysate was calculated relative to the CAT standard curve and results expressed in unit (U) CAT per mg total protein. All </w:t>
      </w:r>
      <w:r w:rsidRPr="00262673">
        <w:rPr>
          <w:rFonts w:ascii="Times New Roman" w:hAnsi="Times New Roman"/>
          <w:sz w:val="24"/>
          <w:szCs w:val="24"/>
        </w:rPr>
        <w:t>experiments were carried out in triplicates.</w:t>
      </w:r>
    </w:p>
    <w:p w14:paraId="4448972F" w14:textId="394EE406" w:rsidR="00CD3A92" w:rsidRDefault="00CD3A92" w:rsidP="00CD3A92">
      <w:pPr>
        <w:spacing w:line="276" w:lineRule="auto"/>
        <w:jc w:val="both"/>
        <w:rPr>
          <w:rFonts w:ascii="Times New Roman" w:hAnsi="Times New Roman"/>
          <w:sz w:val="24"/>
          <w:szCs w:val="24"/>
        </w:rPr>
      </w:pPr>
    </w:p>
    <w:p w14:paraId="44E32CD9" w14:textId="77777777" w:rsidR="00CD3A92" w:rsidRPr="00E31225" w:rsidRDefault="00CD3A92" w:rsidP="00CD3A92">
      <w:pPr>
        <w:pStyle w:val="ListParagraph"/>
        <w:numPr>
          <w:ilvl w:val="2"/>
          <w:numId w:val="2"/>
        </w:numPr>
        <w:spacing w:line="276" w:lineRule="auto"/>
        <w:jc w:val="both"/>
        <w:rPr>
          <w:rFonts w:ascii="Times New Roman" w:hAnsi="Times New Roman"/>
          <w:b/>
          <w:sz w:val="24"/>
          <w:szCs w:val="24"/>
          <w:lang w:val="en-US"/>
        </w:rPr>
      </w:pPr>
      <w:r w:rsidRPr="00E31225">
        <w:rPr>
          <w:rFonts w:ascii="Times New Roman" w:hAnsi="Times New Roman"/>
          <w:b/>
          <w:sz w:val="24"/>
          <w:szCs w:val="24"/>
        </w:rPr>
        <w:t xml:space="preserve">MTT-guided purification and identification of bioactive molecules. </w:t>
      </w:r>
    </w:p>
    <w:p w14:paraId="5A3C689B" w14:textId="77777777" w:rsidR="00CD3A92" w:rsidRPr="00C92E00" w:rsidRDefault="00CD3A92" w:rsidP="00CD3A92">
      <w:pPr>
        <w:spacing w:line="276" w:lineRule="auto"/>
        <w:jc w:val="both"/>
        <w:rPr>
          <w:rFonts w:ascii="Times New Roman" w:hAnsi="Times New Roman"/>
          <w:sz w:val="24"/>
          <w:szCs w:val="24"/>
        </w:rPr>
      </w:pPr>
      <w:r w:rsidRPr="00BD0038">
        <w:rPr>
          <w:rFonts w:ascii="Times New Roman" w:hAnsi="Times New Roman"/>
          <w:sz w:val="24"/>
          <w:szCs w:val="24"/>
        </w:rPr>
        <w:t xml:space="preserve">The total extract of </w:t>
      </w:r>
      <w:r w:rsidRPr="00BD0038">
        <w:rPr>
          <w:rFonts w:ascii="Times New Roman" w:hAnsi="Times New Roman"/>
          <w:i/>
          <w:sz w:val="24"/>
          <w:szCs w:val="24"/>
        </w:rPr>
        <w:t xml:space="preserve">S. </w:t>
      </w:r>
      <w:proofErr w:type="spellStart"/>
      <w:r w:rsidRPr="00BD0038">
        <w:rPr>
          <w:rFonts w:ascii="Times New Roman" w:hAnsi="Times New Roman"/>
          <w:i/>
          <w:sz w:val="24"/>
          <w:szCs w:val="24"/>
        </w:rPr>
        <w:t>coriaceum</w:t>
      </w:r>
      <w:proofErr w:type="spellEnd"/>
      <w:r w:rsidRPr="00BD0038">
        <w:rPr>
          <w:rFonts w:ascii="Times New Roman" w:hAnsi="Times New Roman"/>
          <w:sz w:val="24"/>
          <w:szCs w:val="24"/>
        </w:rPr>
        <w:t xml:space="preserve"> was </w:t>
      </w:r>
      <w:proofErr w:type="spellStart"/>
      <w:r>
        <w:rPr>
          <w:rFonts w:ascii="Times New Roman" w:hAnsi="Times New Roman"/>
          <w:sz w:val="24"/>
          <w:szCs w:val="24"/>
          <w:lang w:val="en-US"/>
        </w:rPr>
        <w:t>solubilis</w:t>
      </w:r>
      <w:r w:rsidRPr="00BD0038">
        <w:rPr>
          <w:rFonts w:ascii="Times New Roman" w:hAnsi="Times New Roman"/>
          <w:sz w:val="24"/>
          <w:szCs w:val="24"/>
          <w:lang w:val="en-US"/>
        </w:rPr>
        <w:t>ed</w:t>
      </w:r>
      <w:proofErr w:type="spellEnd"/>
      <w:r w:rsidRPr="00BD0038">
        <w:rPr>
          <w:rFonts w:ascii="Times New Roman" w:hAnsi="Times New Roman"/>
          <w:sz w:val="24"/>
          <w:szCs w:val="24"/>
          <w:lang w:val="en-US"/>
        </w:rPr>
        <w:t xml:space="preserve"> in distilled water and sequentially partitioned with ethyl acetate, followed by n-butanol. Each fraction was dried </w:t>
      </w:r>
      <w:r w:rsidRPr="00BD0038">
        <w:rPr>
          <w:rFonts w:ascii="Times New Roman" w:hAnsi="Times New Roman"/>
          <w:sz w:val="24"/>
          <w:szCs w:val="24"/>
        </w:rPr>
        <w:t>and their cytotoxicity evaluated against SW872, A549, HepG2</w:t>
      </w:r>
      <w:r w:rsidRPr="00BD0038">
        <w:rPr>
          <w:rFonts w:ascii="Times New Roman" w:hAnsi="Times New Roman"/>
          <w:sz w:val="24"/>
          <w:szCs w:val="24"/>
          <w:lang w:val="en-US"/>
        </w:rPr>
        <w:t xml:space="preserve"> using the MTT cell viability assay. The ethyl acetate fraction being selective towards HepG2 cells</w:t>
      </w:r>
      <w:r>
        <w:rPr>
          <w:rFonts w:ascii="Times New Roman" w:hAnsi="Times New Roman"/>
          <w:sz w:val="24"/>
          <w:szCs w:val="24"/>
          <w:lang w:val="en-US"/>
        </w:rPr>
        <w:t xml:space="preserve"> </w:t>
      </w:r>
      <w:r w:rsidRPr="00BD0038">
        <w:rPr>
          <w:rFonts w:ascii="Times New Roman" w:hAnsi="Times New Roman"/>
          <w:sz w:val="24"/>
          <w:szCs w:val="24"/>
          <w:lang w:val="en-US"/>
        </w:rPr>
        <w:t xml:space="preserve">was subjected to Sephadex LH-20 column chromatography (30 cm X 2.1 cm internal diameter) and eluted with water, water: methanol (3:1 v/v, 1:1 v/v and 1:3 v/v respectively), methanol and acetone. The flow rate was maintained at 1.5 ml/min. </w:t>
      </w:r>
      <w:r>
        <w:rPr>
          <w:rFonts w:ascii="Times New Roman" w:hAnsi="Times New Roman"/>
          <w:sz w:val="24"/>
          <w:szCs w:val="24"/>
          <w:lang w:val="en-US"/>
        </w:rPr>
        <w:t xml:space="preserve"> Guided by the cytotoxicity against HepG2 cells and purity profile, potent </w:t>
      </w:r>
      <w:r w:rsidRPr="00BD0038">
        <w:rPr>
          <w:rFonts w:ascii="Times New Roman" w:hAnsi="Times New Roman"/>
          <w:sz w:val="24"/>
          <w:szCs w:val="24"/>
          <w:lang w:val="en-US"/>
        </w:rPr>
        <w:t>sub-fraction was further fractionated using semi-preparative HPLC column</w:t>
      </w:r>
      <w:r>
        <w:rPr>
          <w:rFonts w:ascii="Times New Roman" w:hAnsi="Times New Roman"/>
          <w:sz w:val="24"/>
          <w:szCs w:val="24"/>
          <w:lang w:val="en-US"/>
        </w:rPr>
        <w:t xml:space="preserve">. </w:t>
      </w:r>
      <w:r w:rsidRPr="00E47632">
        <w:rPr>
          <w:rFonts w:ascii="Times New Roman" w:hAnsi="Times New Roman"/>
          <w:color w:val="000000" w:themeColor="text1"/>
          <w:sz w:val="24"/>
          <w:szCs w:val="24"/>
        </w:rPr>
        <w:t xml:space="preserve">The crude extract and thereof derived </w:t>
      </w:r>
      <w:r>
        <w:rPr>
          <w:rFonts w:ascii="Times New Roman" w:hAnsi="Times New Roman"/>
          <w:color w:val="000000" w:themeColor="text1"/>
          <w:sz w:val="24"/>
          <w:szCs w:val="24"/>
        </w:rPr>
        <w:t xml:space="preserve">purified fractions were analysed by extensive spectroscopic methods including GC-MS, LC-MS, HPLC, </w:t>
      </w:r>
      <w:r w:rsidRPr="0043383C">
        <w:rPr>
          <w:rFonts w:ascii="Times New Roman" w:hAnsi="Times New Roman"/>
          <w:color w:val="000000" w:themeColor="text1"/>
          <w:sz w:val="24"/>
          <w:szCs w:val="24"/>
          <w:vertAlign w:val="superscript"/>
        </w:rPr>
        <w:t>1</w:t>
      </w:r>
      <w:r>
        <w:rPr>
          <w:rFonts w:ascii="Times New Roman" w:hAnsi="Times New Roman"/>
          <w:color w:val="000000" w:themeColor="text1"/>
          <w:sz w:val="24"/>
          <w:szCs w:val="24"/>
        </w:rPr>
        <w:t xml:space="preserve">H-NMR and </w:t>
      </w:r>
      <w:r w:rsidRPr="0043383C">
        <w:rPr>
          <w:rFonts w:ascii="Times New Roman" w:hAnsi="Times New Roman"/>
          <w:color w:val="000000" w:themeColor="text1"/>
          <w:sz w:val="24"/>
          <w:szCs w:val="24"/>
          <w:vertAlign w:val="superscript"/>
        </w:rPr>
        <w:t>1</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C-NMR (Supporting Information). </w:t>
      </w:r>
      <w:r>
        <w:rPr>
          <w:rFonts w:ascii="Times New Roman" w:hAnsi="Times New Roman"/>
          <w:sz w:val="24"/>
          <w:szCs w:val="24"/>
          <w:lang w:val="en-US"/>
        </w:rPr>
        <w:t xml:space="preserve">For analytical HPLC, </w:t>
      </w:r>
      <w:r>
        <w:rPr>
          <w:rFonts w:ascii="Times New Roman" w:hAnsi="Times New Roman"/>
          <w:sz w:val="24"/>
          <w:szCs w:val="24"/>
        </w:rPr>
        <w:t>t</w:t>
      </w:r>
      <w:r w:rsidRPr="006F4EBE">
        <w:rPr>
          <w:rFonts w:ascii="Times New Roman" w:hAnsi="Times New Roman"/>
          <w:sz w:val="24"/>
          <w:szCs w:val="24"/>
        </w:rPr>
        <w:t xml:space="preserve">he </w:t>
      </w:r>
      <w:r>
        <w:rPr>
          <w:rFonts w:ascii="Times New Roman" w:hAnsi="Times New Roman"/>
          <w:sz w:val="24"/>
          <w:szCs w:val="24"/>
        </w:rPr>
        <w:t>concentration of standards in the crude extract was determined from the linear regression of the analytical standards curve namely y = 12.317 x, R</w:t>
      </w:r>
      <w:r w:rsidRPr="00B9381C">
        <w:rPr>
          <w:rFonts w:ascii="Times New Roman" w:hAnsi="Times New Roman"/>
          <w:sz w:val="24"/>
          <w:szCs w:val="24"/>
          <w:vertAlign w:val="superscript"/>
        </w:rPr>
        <w:t>2</w:t>
      </w:r>
      <w:r>
        <w:rPr>
          <w:rFonts w:ascii="Times New Roman" w:hAnsi="Times New Roman"/>
          <w:sz w:val="24"/>
          <w:szCs w:val="24"/>
        </w:rPr>
        <w:t xml:space="preserve"> = 0.9996: gallic acid and y = 16.066 x, R</w:t>
      </w:r>
      <w:r w:rsidRPr="00B9381C">
        <w:rPr>
          <w:rFonts w:ascii="Times New Roman" w:hAnsi="Times New Roman"/>
          <w:sz w:val="24"/>
          <w:szCs w:val="24"/>
          <w:vertAlign w:val="superscript"/>
        </w:rPr>
        <w:t>2</w:t>
      </w:r>
      <w:r>
        <w:rPr>
          <w:rFonts w:ascii="Times New Roman" w:hAnsi="Times New Roman"/>
          <w:sz w:val="24"/>
          <w:szCs w:val="24"/>
        </w:rPr>
        <w:t xml:space="preserve"> = 0.9992: methyl gallate. </w:t>
      </w:r>
    </w:p>
    <w:p w14:paraId="5A85F21A" w14:textId="77777777" w:rsidR="00CD3A92" w:rsidRDefault="00CD3A92" w:rsidP="00CD3A92">
      <w:pPr>
        <w:spacing w:line="276" w:lineRule="auto"/>
        <w:jc w:val="both"/>
        <w:rPr>
          <w:rFonts w:ascii="Times New Roman" w:hAnsi="Times New Roman"/>
          <w:sz w:val="24"/>
          <w:szCs w:val="24"/>
          <w:lang w:val="en-US"/>
        </w:rPr>
      </w:pPr>
    </w:p>
    <w:p w14:paraId="5FA5A995" w14:textId="77777777" w:rsidR="00CD3A92" w:rsidRPr="00E31225" w:rsidRDefault="00CD3A92" w:rsidP="00CD3A92">
      <w:pPr>
        <w:pStyle w:val="ListParagraph"/>
        <w:numPr>
          <w:ilvl w:val="1"/>
          <w:numId w:val="2"/>
        </w:numPr>
        <w:spacing w:line="276" w:lineRule="auto"/>
        <w:jc w:val="both"/>
        <w:rPr>
          <w:rFonts w:ascii="Times New Roman" w:hAnsi="Times New Roman"/>
          <w:b/>
          <w:sz w:val="24"/>
          <w:szCs w:val="24"/>
        </w:rPr>
      </w:pPr>
      <w:r w:rsidRPr="00E31225">
        <w:rPr>
          <w:rFonts w:ascii="Times New Roman" w:hAnsi="Times New Roman"/>
          <w:b/>
          <w:sz w:val="24"/>
          <w:szCs w:val="24"/>
        </w:rPr>
        <w:t>STATISTICAL ANALYSIS.</w:t>
      </w:r>
    </w:p>
    <w:p w14:paraId="7167A6AC" w14:textId="122D697E" w:rsidR="00CD3A92" w:rsidRDefault="00CD3A92" w:rsidP="00CD3A92">
      <w:pPr>
        <w:spacing w:line="276" w:lineRule="auto"/>
        <w:jc w:val="both"/>
        <w:rPr>
          <w:rFonts w:ascii="Times New Roman" w:hAnsi="Times New Roman"/>
          <w:sz w:val="24"/>
          <w:szCs w:val="24"/>
          <w:lang w:val="en-US"/>
        </w:rPr>
      </w:pPr>
      <w:r>
        <w:rPr>
          <w:rFonts w:ascii="Times New Roman" w:hAnsi="Times New Roman"/>
          <w:sz w:val="24"/>
          <w:szCs w:val="24"/>
          <w:lang w:val="en-US"/>
        </w:rPr>
        <w:t xml:space="preserve">Statistical analyses were performed using </w:t>
      </w:r>
      <w:r w:rsidRPr="00461316">
        <w:rPr>
          <w:rFonts w:ascii="Times New Roman" w:hAnsi="Times New Roman"/>
          <w:sz w:val="24"/>
          <w:szCs w:val="24"/>
          <w:lang w:val="en-US"/>
        </w:rPr>
        <w:t>GraphPad Prism 6 software (GraphPad Inc., San Diego, California</w:t>
      </w:r>
      <w:r w:rsidRPr="007A0257">
        <w:rPr>
          <w:rFonts w:ascii="Times New Roman" w:hAnsi="Times New Roman"/>
          <w:sz w:val="24"/>
          <w:szCs w:val="24"/>
          <w:lang w:val="en-US"/>
        </w:rPr>
        <w:t>)</w:t>
      </w:r>
      <w:r w:rsidR="007A0257" w:rsidRPr="007A0257">
        <w:rPr>
          <w:rFonts w:ascii="Times New Roman" w:hAnsi="Times New Roman"/>
          <w:sz w:val="24"/>
          <w:szCs w:val="24"/>
          <w:lang w:val="en-US"/>
        </w:rPr>
        <w:t>.</w:t>
      </w:r>
      <w:r w:rsidR="0043414E" w:rsidRPr="007A0257">
        <w:rPr>
          <w:rFonts w:ascii="Times New Roman" w:hAnsi="Times New Roman"/>
          <w:sz w:val="24"/>
          <w:szCs w:val="24"/>
          <w:lang w:val="en-US"/>
        </w:rPr>
        <w:t xml:space="preserve"> </w:t>
      </w:r>
      <w:r w:rsidR="0043414E" w:rsidRPr="007A0257">
        <w:rPr>
          <w:rFonts w:ascii="Times New Roman" w:hAnsi="Times New Roman"/>
          <w:color w:val="00B050"/>
          <w:sz w:val="24"/>
          <w:szCs w:val="24"/>
          <w:lang w:val="en-US"/>
        </w:rPr>
        <w:t>The sample normal distribution was confirmed using K</w:t>
      </w:r>
      <w:r w:rsidR="007A0257" w:rsidRPr="007A0257">
        <w:rPr>
          <w:rFonts w:ascii="Times New Roman" w:hAnsi="Times New Roman"/>
          <w:color w:val="00B050"/>
          <w:sz w:val="24"/>
          <w:szCs w:val="24"/>
          <w:lang w:val="en-US"/>
        </w:rPr>
        <w:t>olmogorov - Smirnoff statistics</w:t>
      </w:r>
      <w:r w:rsidRPr="007A0257">
        <w:rPr>
          <w:rFonts w:ascii="Times New Roman" w:hAnsi="Times New Roman"/>
          <w:color w:val="00B050"/>
          <w:sz w:val="24"/>
          <w:szCs w:val="24"/>
          <w:lang w:val="en-US"/>
        </w:rPr>
        <w:t>.</w:t>
      </w:r>
      <w:r>
        <w:rPr>
          <w:rFonts w:ascii="Times New Roman" w:hAnsi="Times New Roman"/>
          <w:sz w:val="24"/>
          <w:szCs w:val="24"/>
          <w:lang w:val="en-US"/>
        </w:rPr>
        <w:t xml:space="preserve"> </w:t>
      </w:r>
      <w:r w:rsidRPr="00461316">
        <w:rPr>
          <w:rFonts w:ascii="Times New Roman" w:hAnsi="Times New Roman"/>
          <w:sz w:val="24"/>
          <w:szCs w:val="24"/>
          <w:lang w:val="en-US"/>
        </w:rPr>
        <w:t>The mean</w:t>
      </w:r>
      <w:r>
        <w:rPr>
          <w:rFonts w:ascii="Times New Roman" w:hAnsi="Times New Roman"/>
          <w:sz w:val="24"/>
          <w:szCs w:val="24"/>
          <w:lang w:val="en-US"/>
        </w:rPr>
        <w:t xml:space="preserve"> values</w:t>
      </w:r>
      <w:r w:rsidRPr="00461316">
        <w:rPr>
          <w:rFonts w:ascii="Times New Roman" w:hAnsi="Times New Roman"/>
          <w:sz w:val="24"/>
          <w:szCs w:val="24"/>
          <w:lang w:val="en-US"/>
        </w:rPr>
        <w:t xml:space="preserve"> </w:t>
      </w:r>
      <w:r>
        <w:rPr>
          <w:rFonts w:ascii="Times New Roman" w:hAnsi="Times New Roman"/>
          <w:sz w:val="24"/>
          <w:szCs w:val="24"/>
          <w:lang w:val="en-US"/>
        </w:rPr>
        <w:t>among extracts were</w:t>
      </w:r>
      <w:r w:rsidRPr="00461316">
        <w:rPr>
          <w:rFonts w:ascii="Times New Roman" w:hAnsi="Times New Roman"/>
          <w:sz w:val="24"/>
          <w:szCs w:val="24"/>
          <w:lang w:val="en-US"/>
        </w:rPr>
        <w:t xml:space="preserve"> compared using One-Way ANOVA. Student t-test and/or Tukey’s multiple comparisons as Post Hoc test was used to determine significances in mean phytochemicals, antioxidants and cytotoxic acti</w:t>
      </w:r>
      <w:r>
        <w:rPr>
          <w:rFonts w:ascii="Times New Roman" w:hAnsi="Times New Roman"/>
          <w:sz w:val="24"/>
          <w:szCs w:val="24"/>
          <w:lang w:val="en-US"/>
        </w:rPr>
        <w:t>vities among different species.</w:t>
      </w:r>
      <w:r w:rsidRPr="00A425FF">
        <w:rPr>
          <w:rFonts w:ascii="Times New Roman" w:hAnsi="Times New Roman"/>
          <w:sz w:val="24"/>
          <w:szCs w:val="24"/>
          <w:lang w:val="en-US"/>
        </w:rPr>
        <w:t xml:space="preserve"> </w:t>
      </w:r>
      <w:r w:rsidRPr="00461316">
        <w:rPr>
          <w:rFonts w:ascii="Times New Roman" w:hAnsi="Times New Roman"/>
          <w:sz w:val="24"/>
          <w:szCs w:val="24"/>
          <w:lang w:val="en-US"/>
        </w:rPr>
        <w:t>All charts were generated using Microsoft Excel software (version 2010).</w:t>
      </w:r>
    </w:p>
    <w:p w14:paraId="293CDB02" w14:textId="27278049" w:rsidR="000375EF" w:rsidRDefault="000375EF" w:rsidP="00C15F5B">
      <w:pPr>
        <w:spacing w:line="276" w:lineRule="auto"/>
        <w:jc w:val="both"/>
        <w:rPr>
          <w:rFonts w:ascii="Times New Roman" w:hAnsi="Times New Roman"/>
          <w:sz w:val="24"/>
          <w:szCs w:val="24"/>
        </w:rPr>
      </w:pPr>
    </w:p>
    <w:p w14:paraId="47167DA2" w14:textId="7D40E96E" w:rsidR="009E1253" w:rsidRPr="00E31225" w:rsidRDefault="00E31225" w:rsidP="00C15F5B">
      <w:pPr>
        <w:pStyle w:val="ListParagraph"/>
        <w:numPr>
          <w:ilvl w:val="0"/>
          <w:numId w:val="2"/>
        </w:numPr>
        <w:spacing w:line="276" w:lineRule="auto"/>
        <w:jc w:val="both"/>
        <w:rPr>
          <w:rFonts w:ascii="Times New Roman" w:hAnsi="Times New Roman"/>
          <w:b/>
          <w:sz w:val="24"/>
          <w:szCs w:val="24"/>
          <w:lang w:val="en-US"/>
        </w:rPr>
      </w:pPr>
      <w:r w:rsidRPr="00E31225">
        <w:rPr>
          <w:rFonts w:ascii="Times New Roman" w:hAnsi="Times New Roman"/>
          <w:b/>
          <w:sz w:val="24"/>
          <w:szCs w:val="24"/>
          <w:lang w:val="en-US"/>
        </w:rPr>
        <w:lastRenderedPageBreak/>
        <w:t>RESULTS</w:t>
      </w:r>
    </w:p>
    <w:p w14:paraId="44DE9082" w14:textId="3DE3D364" w:rsidR="005F2B3F" w:rsidRPr="006242A9" w:rsidRDefault="00E31225" w:rsidP="006242A9">
      <w:pPr>
        <w:pStyle w:val="ListParagraph"/>
        <w:numPr>
          <w:ilvl w:val="1"/>
          <w:numId w:val="2"/>
        </w:numPr>
        <w:spacing w:line="276" w:lineRule="auto"/>
        <w:jc w:val="both"/>
        <w:rPr>
          <w:rFonts w:ascii="Times New Roman" w:hAnsi="Times New Roman"/>
          <w:b/>
          <w:sz w:val="24"/>
          <w:szCs w:val="24"/>
        </w:rPr>
      </w:pPr>
      <w:r w:rsidRPr="006242A9">
        <w:rPr>
          <w:rFonts w:ascii="Times New Roman" w:hAnsi="Times New Roman"/>
          <w:b/>
          <w:sz w:val="24"/>
          <w:szCs w:val="24"/>
        </w:rPr>
        <w:t xml:space="preserve"> ESTIMATION OF POLYPHENOLS LEVEL</w:t>
      </w:r>
      <w:r w:rsidRPr="006242A9">
        <w:rPr>
          <w:rFonts w:ascii="Times New Roman" w:hAnsi="Times New Roman"/>
          <w:b/>
          <w:sz w:val="24"/>
          <w:szCs w:val="24"/>
          <w:lang w:val="en-US"/>
        </w:rPr>
        <w:t xml:space="preserve"> IN </w:t>
      </w:r>
      <w:proofErr w:type="spellStart"/>
      <w:r w:rsidRPr="006242A9">
        <w:rPr>
          <w:rFonts w:ascii="Times New Roman" w:hAnsi="Times New Roman"/>
          <w:b/>
          <w:i/>
          <w:sz w:val="24"/>
          <w:szCs w:val="24"/>
          <w:lang w:val="en-US"/>
        </w:rPr>
        <w:t>Syzygium</w:t>
      </w:r>
      <w:proofErr w:type="spellEnd"/>
      <w:r w:rsidRPr="006242A9">
        <w:rPr>
          <w:rFonts w:ascii="Times New Roman" w:hAnsi="Times New Roman"/>
          <w:b/>
          <w:sz w:val="24"/>
          <w:szCs w:val="24"/>
          <w:lang w:val="en-US"/>
        </w:rPr>
        <w:t xml:space="preserve"> LEAF TOTAL EXTRACTS</w:t>
      </w:r>
      <w:r w:rsidRPr="006242A9">
        <w:rPr>
          <w:rFonts w:ascii="Times New Roman" w:hAnsi="Times New Roman"/>
          <w:b/>
          <w:sz w:val="24"/>
          <w:szCs w:val="24"/>
        </w:rPr>
        <w:t>.</w:t>
      </w:r>
    </w:p>
    <w:p w14:paraId="295AB135" w14:textId="7D360614" w:rsidR="005F2B3F" w:rsidRDefault="005F2B3F" w:rsidP="00C15F5B">
      <w:pPr>
        <w:spacing w:line="276" w:lineRule="auto"/>
        <w:jc w:val="both"/>
        <w:rPr>
          <w:rFonts w:ascii="Times New Roman" w:hAnsi="Times New Roman"/>
          <w:sz w:val="24"/>
          <w:szCs w:val="24"/>
        </w:rPr>
      </w:pPr>
      <w:r>
        <w:rPr>
          <w:rFonts w:ascii="Times New Roman" w:hAnsi="Times New Roman"/>
          <w:sz w:val="24"/>
          <w:szCs w:val="24"/>
        </w:rPr>
        <w:t>The polyphenol content varied significantly among the studied species (p &lt;0.05)</w:t>
      </w:r>
      <w:r w:rsidR="00145A76">
        <w:rPr>
          <w:rFonts w:ascii="Times New Roman" w:hAnsi="Times New Roman"/>
          <w:sz w:val="24"/>
          <w:szCs w:val="24"/>
        </w:rPr>
        <w:t xml:space="preserve"> </w:t>
      </w:r>
      <w:r w:rsidR="00145A76" w:rsidRPr="00FD59AC">
        <w:rPr>
          <w:rFonts w:ascii="Times New Roman" w:hAnsi="Times New Roman"/>
          <w:sz w:val="24"/>
          <w:szCs w:val="24"/>
        </w:rPr>
        <w:t xml:space="preserve">with </w:t>
      </w:r>
      <w:r w:rsidR="00E74EE7">
        <w:rPr>
          <w:rFonts w:ascii="Times New Roman" w:hAnsi="Times New Roman"/>
          <w:sz w:val="24"/>
          <w:szCs w:val="24"/>
        </w:rPr>
        <w:t>amounts</w:t>
      </w:r>
      <w:r w:rsidR="00E74EE7" w:rsidRPr="00FD59AC">
        <w:rPr>
          <w:rFonts w:ascii="Times New Roman" w:hAnsi="Times New Roman"/>
          <w:sz w:val="24"/>
          <w:szCs w:val="24"/>
        </w:rPr>
        <w:t xml:space="preserve"> </w:t>
      </w:r>
      <w:r w:rsidR="00145A76" w:rsidRPr="00FD59AC">
        <w:rPr>
          <w:rFonts w:ascii="Times New Roman" w:hAnsi="Times New Roman"/>
          <w:sz w:val="24"/>
          <w:szCs w:val="24"/>
        </w:rPr>
        <w:t>ranging between</w:t>
      </w:r>
      <w:r w:rsidR="00145A76">
        <w:rPr>
          <w:rFonts w:ascii="Times New Roman" w:hAnsi="Times New Roman"/>
          <w:sz w:val="24"/>
          <w:szCs w:val="24"/>
        </w:rPr>
        <w:t xml:space="preserve"> </w:t>
      </w:r>
      <w:r w:rsidR="00FD59AC">
        <w:rPr>
          <w:rFonts w:ascii="Times New Roman" w:hAnsi="Times New Roman"/>
          <w:sz w:val="24"/>
          <w:szCs w:val="24"/>
        </w:rPr>
        <w:t>254.32 ± 14</w:t>
      </w:r>
      <w:r w:rsidR="00FD59AC" w:rsidRPr="00A31206">
        <w:rPr>
          <w:rFonts w:ascii="Times New Roman" w:hAnsi="Times New Roman"/>
          <w:sz w:val="24"/>
          <w:szCs w:val="24"/>
        </w:rPr>
        <w:t>.</w:t>
      </w:r>
      <w:r w:rsidR="00FD59AC">
        <w:rPr>
          <w:rFonts w:ascii="Times New Roman" w:hAnsi="Times New Roman"/>
          <w:sz w:val="24"/>
          <w:szCs w:val="24"/>
        </w:rPr>
        <w:t xml:space="preserve">74 mg and 292.37 ± 17.97 mg </w:t>
      </w:r>
      <w:r w:rsidR="00FD59AC" w:rsidRPr="00A31206">
        <w:rPr>
          <w:rFonts w:ascii="Times New Roman" w:hAnsi="Times New Roman"/>
          <w:sz w:val="24"/>
          <w:szCs w:val="24"/>
        </w:rPr>
        <w:t>gallic acid equivalent</w:t>
      </w:r>
      <w:r w:rsidR="00FD59AC">
        <w:rPr>
          <w:rFonts w:ascii="Times New Roman" w:hAnsi="Times New Roman"/>
          <w:sz w:val="24"/>
          <w:szCs w:val="24"/>
        </w:rPr>
        <w:t>/ g</w:t>
      </w:r>
      <w:r>
        <w:rPr>
          <w:rFonts w:ascii="Times New Roman" w:hAnsi="Times New Roman"/>
          <w:sz w:val="24"/>
          <w:szCs w:val="24"/>
        </w:rPr>
        <w:t xml:space="preserve">. </w:t>
      </w:r>
      <w:r w:rsidRPr="00A31206">
        <w:rPr>
          <w:rFonts w:ascii="Times New Roman" w:hAnsi="Times New Roman"/>
          <w:sz w:val="24"/>
          <w:szCs w:val="24"/>
        </w:rPr>
        <w:t>The highest</w:t>
      </w:r>
      <w:r>
        <w:rPr>
          <w:rFonts w:ascii="Times New Roman" w:hAnsi="Times New Roman"/>
          <w:sz w:val="24"/>
          <w:szCs w:val="24"/>
        </w:rPr>
        <w:t xml:space="preserve"> level of total phenol</w:t>
      </w:r>
      <w:r w:rsidR="00E74EE7">
        <w:rPr>
          <w:rFonts w:ascii="Times New Roman" w:hAnsi="Times New Roman"/>
          <w:sz w:val="24"/>
          <w:szCs w:val="24"/>
        </w:rPr>
        <w:t>s</w:t>
      </w:r>
      <w:r w:rsidRPr="00A31206">
        <w:rPr>
          <w:rFonts w:ascii="Times New Roman" w:hAnsi="Times New Roman"/>
          <w:sz w:val="24"/>
          <w:szCs w:val="24"/>
        </w:rPr>
        <w:t xml:space="preserve"> was estimated in </w:t>
      </w:r>
      <w:r w:rsidRPr="00A31206">
        <w:rPr>
          <w:rFonts w:ascii="Times New Roman" w:hAnsi="Times New Roman"/>
          <w:i/>
          <w:sz w:val="24"/>
          <w:szCs w:val="24"/>
        </w:rPr>
        <w:t xml:space="preserve">S. </w:t>
      </w:r>
      <w:proofErr w:type="spellStart"/>
      <w:r w:rsidRPr="00A31206">
        <w:rPr>
          <w:rFonts w:ascii="Times New Roman" w:hAnsi="Times New Roman"/>
          <w:i/>
          <w:sz w:val="24"/>
          <w:szCs w:val="24"/>
        </w:rPr>
        <w:t>bijouxii</w:t>
      </w:r>
      <w:proofErr w:type="spellEnd"/>
      <w:r w:rsidRPr="00A31206">
        <w:rPr>
          <w:rFonts w:ascii="Times New Roman" w:hAnsi="Times New Roman"/>
          <w:i/>
          <w:sz w:val="24"/>
          <w:szCs w:val="24"/>
        </w:rPr>
        <w:t xml:space="preserve"> </w:t>
      </w:r>
      <w:r w:rsidRPr="00A31206">
        <w:rPr>
          <w:rFonts w:ascii="Times New Roman" w:hAnsi="Times New Roman"/>
          <w:sz w:val="24"/>
          <w:szCs w:val="24"/>
        </w:rPr>
        <w:t>(p &lt;0.05), (</w:t>
      </w:r>
      <w:r w:rsidRPr="00A31206">
        <w:rPr>
          <w:rFonts w:ascii="Times New Roman" w:hAnsi="Times New Roman"/>
          <w:b/>
          <w:sz w:val="24"/>
          <w:szCs w:val="24"/>
        </w:rPr>
        <w:t>Table 1</w:t>
      </w:r>
      <w:r w:rsidRPr="00A31206">
        <w:rPr>
          <w:rFonts w:ascii="Times New Roman" w:hAnsi="Times New Roman"/>
          <w:sz w:val="24"/>
          <w:szCs w:val="24"/>
        </w:rPr>
        <w:t>). Total flavonoid levels ranged between 2.46 ± 0.</w:t>
      </w:r>
      <w:r w:rsidR="00732EA6">
        <w:rPr>
          <w:rFonts w:ascii="Times New Roman" w:hAnsi="Times New Roman"/>
          <w:sz w:val="24"/>
          <w:szCs w:val="24"/>
        </w:rPr>
        <w:t>05 mg and 5.50 ± 0.12 mg QE/ g</w:t>
      </w:r>
      <w:r w:rsidRPr="00A31206">
        <w:rPr>
          <w:rFonts w:ascii="Times New Roman" w:hAnsi="Times New Roman"/>
          <w:sz w:val="24"/>
          <w:szCs w:val="24"/>
        </w:rPr>
        <w:t xml:space="preserve">, with </w:t>
      </w:r>
      <w:r w:rsidRPr="00A31206">
        <w:rPr>
          <w:rFonts w:ascii="Times New Roman" w:hAnsi="Times New Roman"/>
          <w:i/>
          <w:sz w:val="24"/>
          <w:szCs w:val="24"/>
        </w:rPr>
        <w:t xml:space="preserve">S. </w:t>
      </w:r>
      <w:proofErr w:type="spellStart"/>
      <w:r w:rsidRPr="00A31206">
        <w:rPr>
          <w:rFonts w:ascii="Times New Roman" w:hAnsi="Times New Roman"/>
          <w:i/>
          <w:sz w:val="24"/>
          <w:szCs w:val="24"/>
        </w:rPr>
        <w:t>pyneei</w:t>
      </w:r>
      <w:proofErr w:type="spellEnd"/>
      <w:r w:rsidRPr="00A31206">
        <w:rPr>
          <w:rFonts w:ascii="Times New Roman" w:hAnsi="Times New Roman"/>
          <w:i/>
          <w:sz w:val="24"/>
          <w:szCs w:val="24"/>
        </w:rPr>
        <w:t xml:space="preserve"> </w:t>
      </w:r>
      <w:r w:rsidRPr="00A31206">
        <w:rPr>
          <w:rFonts w:ascii="Times New Roman" w:hAnsi="Times New Roman"/>
          <w:sz w:val="24"/>
          <w:szCs w:val="24"/>
        </w:rPr>
        <w:t xml:space="preserve">being the richest followed by </w:t>
      </w:r>
      <w:r w:rsidRPr="00A31206">
        <w:rPr>
          <w:rFonts w:ascii="Times New Roman" w:hAnsi="Times New Roman"/>
          <w:i/>
          <w:sz w:val="24"/>
          <w:szCs w:val="24"/>
        </w:rPr>
        <w:t xml:space="preserve">S. </w:t>
      </w:r>
      <w:proofErr w:type="spellStart"/>
      <w:r w:rsidRPr="00A31206">
        <w:rPr>
          <w:rFonts w:ascii="Times New Roman" w:hAnsi="Times New Roman"/>
          <w:i/>
          <w:sz w:val="24"/>
          <w:szCs w:val="24"/>
        </w:rPr>
        <w:t>bijouxii</w:t>
      </w:r>
      <w:proofErr w:type="spellEnd"/>
      <w:r w:rsidRPr="00A31206">
        <w:rPr>
          <w:rFonts w:ascii="Times New Roman" w:hAnsi="Times New Roman"/>
          <w:i/>
          <w:sz w:val="24"/>
          <w:szCs w:val="24"/>
        </w:rPr>
        <w:t xml:space="preserve">. </w:t>
      </w:r>
      <w:r w:rsidRPr="00A31206">
        <w:rPr>
          <w:rFonts w:ascii="Times New Roman" w:hAnsi="Times New Roman"/>
          <w:sz w:val="24"/>
          <w:szCs w:val="24"/>
        </w:rPr>
        <w:t xml:space="preserve">The </w:t>
      </w:r>
      <w:proofErr w:type="spellStart"/>
      <w:r w:rsidRPr="00A31206">
        <w:rPr>
          <w:rFonts w:ascii="Times New Roman" w:hAnsi="Times New Roman"/>
          <w:sz w:val="24"/>
          <w:szCs w:val="24"/>
        </w:rPr>
        <w:t>proanthocyanidin</w:t>
      </w:r>
      <w:proofErr w:type="spellEnd"/>
      <w:r w:rsidRPr="00A31206">
        <w:rPr>
          <w:rFonts w:ascii="Times New Roman" w:hAnsi="Times New Roman"/>
          <w:sz w:val="24"/>
          <w:szCs w:val="24"/>
        </w:rPr>
        <w:t xml:space="preserve"> content in terms of cyanidin chloride </w:t>
      </w:r>
      <w:r w:rsidRPr="00A31206">
        <w:rPr>
          <w:rFonts w:ascii="Times New Roman" w:hAnsi="Times New Roman"/>
          <w:noProof/>
          <w:sz w:val="24"/>
          <w:szCs w:val="24"/>
        </w:rPr>
        <w:t>equivalent</w:t>
      </w:r>
      <w:r w:rsidRPr="00A31206">
        <w:rPr>
          <w:rFonts w:ascii="Times New Roman" w:hAnsi="Times New Roman"/>
          <w:sz w:val="24"/>
          <w:szCs w:val="24"/>
        </w:rPr>
        <w:t xml:space="preserve"> varied significantly between the analysed </w:t>
      </w:r>
      <w:proofErr w:type="spellStart"/>
      <w:r w:rsidRPr="00A31206">
        <w:rPr>
          <w:rFonts w:ascii="Times New Roman" w:hAnsi="Times New Roman"/>
          <w:i/>
          <w:sz w:val="24"/>
          <w:szCs w:val="24"/>
        </w:rPr>
        <w:t>Syzygium</w:t>
      </w:r>
      <w:proofErr w:type="spellEnd"/>
      <w:r w:rsidRPr="00A31206">
        <w:rPr>
          <w:rFonts w:ascii="Times New Roman" w:hAnsi="Times New Roman"/>
          <w:sz w:val="24"/>
          <w:szCs w:val="24"/>
        </w:rPr>
        <w:t xml:space="preserve"> leaf extracts with the </w:t>
      </w:r>
      <w:r w:rsidR="00E74EE7">
        <w:rPr>
          <w:rFonts w:ascii="Times New Roman" w:hAnsi="Times New Roman"/>
          <w:sz w:val="24"/>
          <w:szCs w:val="24"/>
        </w:rPr>
        <w:t>utmost</w:t>
      </w:r>
      <w:r w:rsidR="00E74EE7" w:rsidRPr="00A31206">
        <w:rPr>
          <w:rFonts w:ascii="Times New Roman" w:hAnsi="Times New Roman"/>
          <w:sz w:val="24"/>
          <w:szCs w:val="24"/>
        </w:rPr>
        <w:t xml:space="preserve"> </w:t>
      </w:r>
      <w:r w:rsidRPr="00A31206">
        <w:rPr>
          <w:rFonts w:ascii="Times New Roman" w:hAnsi="Times New Roman"/>
          <w:sz w:val="24"/>
          <w:szCs w:val="24"/>
        </w:rPr>
        <w:t xml:space="preserve">level estimated in </w:t>
      </w:r>
      <w:r w:rsidRPr="00A31206">
        <w:rPr>
          <w:rFonts w:ascii="Times New Roman" w:hAnsi="Times New Roman"/>
          <w:i/>
          <w:sz w:val="24"/>
          <w:szCs w:val="24"/>
        </w:rPr>
        <w:t xml:space="preserve">S. </w:t>
      </w:r>
      <w:proofErr w:type="spellStart"/>
      <w:r w:rsidRPr="00A31206">
        <w:rPr>
          <w:rFonts w:ascii="Times New Roman" w:hAnsi="Times New Roman"/>
          <w:i/>
          <w:sz w:val="24"/>
          <w:szCs w:val="24"/>
        </w:rPr>
        <w:t>bijouxii</w:t>
      </w:r>
      <w:proofErr w:type="spellEnd"/>
      <w:r w:rsidRPr="00A31206">
        <w:rPr>
          <w:rFonts w:ascii="Times New Roman" w:hAnsi="Times New Roman"/>
          <w:i/>
          <w:sz w:val="24"/>
          <w:szCs w:val="24"/>
        </w:rPr>
        <w:t xml:space="preserve">, </w:t>
      </w:r>
      <w:r w:rsidRPr="00A31206">
        <w:rPr>
          <w:rFonts w:ascii="Times New Roman" w:hAnsi="Times New Roman"/>
          <w:sz w:val="24"/>
          <w:szCs w:val="24"/>
        </w:rPr>
        <w:t xml:space="preserve">while negligible amount being detected in </w:t>
      </w:r>
      <w:r w:rsidRPr="00A31206">
        <w:rPr>
          <w:rFonts w:ascii="Times New Roman" w:hAnsi="Times New Roman"/>
          <w:i/>
          <w:sz w:val="24"/>
          <w:szCs w:val="24"/>
        </w:rPr>
        <w:t xml:space="preserve">S. </w:t>
      </w:r>
      <w:proofErr w:type="spellStart"/>
      <w:r w:rsidRPr="00A31206">
        <w:rPr>
          <w:rFonts w:ascii="Times New Roman" w:hAnsi="Times New Roman"/>
          <w:i/>
          <w:sz w:val="24"/>
          <w:szCs w:val="24"/>
        </w:rPr>
        <w:t>coriaceum</w:t>
      </w:r>
      <w:proofErr w:type="spellEnd"/>
      <w:r w:rsidRPr="00A31206">
        <w:rPr>
          <w:rFonts w:ascii="Times New Roman" w:hAnsi="Times New Roman"/>
          <w:sz w:val="24"/>
          <w:szCs w:val="24"/>
        </w:rPr>
        <w:t xml:space="preserve"> extract. </w:t>
      </w:r>
    </w:p>
    <w:p w14:paraId="70446872" w14:textId="77777777" w:rsidR="0001434F" w:rsidRDefault="0001434F" w:rsidP="00C15F5B">
      <w:pPr>
        <w:spacing w:line="276" w:lineRule="auto"/>
        <w:jc w:val="both"/>
        <w:rPr>
          <w:rFonts w:ascii="Times New Roman" w:hAnsi="Times New Roman"/>
          <w:sz w:val="24"/>
          <w:szCs w:val="24"/>
        </w:rPr>
      </w:pPr>
    </w:p>
    <w:p w14:paraId="174CF9E6" w14:textId="6240BFD4" w:rsidR="005F2B3F" w:rsidRPr="006242A9" w:rsidRDefault="00E31225" w:rsidP="006242A9">
      <w:pPr>
        <w:pStyle w:val="ListParagraph"/>
        <w:numPr>
          <w:ilvl w:val="1"/>
          <w:numId w:val="2"/>
        </w:numPr>
        <w:spacing w:line="276" w:lineRule="auto"/>
        <w:jc w:val="both"/>
        <w:rPr>
          <w:rFonts w:ascii="Times New Roman" w:hAnsi="Times New Roman"/>
          <w:b/>
          <w:sz w:val="24"/>
          <w:szCs w:val="24"/>
          <w:lang w:val="en-US"/>
        </w:rPr>
      </w:pPr>
      <w:r w:rsidRPr="006242A9">
        <w:rPr>
          <w:rFonts w:ascii="Times New Roman" w:hAnsi="Times New Roman"/>
          <w:b/>
          <w:i/>
          <w:sz w:val="24"/>
          <w:szCs w:val="24"/>
          <w:lang w:val="en-US"/>
        </w:rPr>
        <w:t xml:space="preserve"> </w:t>
      </w:r>
      <w:r w:rsidR="00620CBE">
        <w:rPr>
          <w:rFonts w:ascii="Times New Roman" w:hAnsi="Times New Roman"/>
          <w:b/>
          <w:i/>
          <w:sz w:val="24"/>
          <w:szCs w:val="24"/>
          <w:lang w:val="en-US"/>
        </w:rPr>
        <w:t>IN VITRO</w:t>
      </w:r>
      <w:r w:rsidRPr="006242A9">
        <w:rPr>
          <w:rFonts w:ascii="Times New Roman" w:hAnsi="Times New Roman"/>
          <w:b/>
          <w:sz w:val="24"/>
          <w:szCs w:val="24"/>
          <w:lang w:val="en-US"/>
        </w:rPr>
        <w:t xml:space="preserve"> ANTIOXIDANT ACTIVITIES OF </w:t>
      </w:r>
      <w:proofErr w:type="spellStart"/>
      <w:r w:rsidRPr="006242A9">
        <w:rPr>
          <w:rFonts w:ascii="Times New Roman" w:hAnsi="Times New Roman"/>
          <w:b/>
          <w:i/>
          <w:sz w:val="24"/>
          <w:szCs w:val="24"/>
          <w:lang w:val="en-US"/>
        </w:rPr>
        <w:t>Syzygium</w:t>
      </w:r>
      <w:proofErr w:type="spellEnd"/>
      <w:r w:rsidRPr="006242A9">
        <w:rPr>
          <w:rFonts w:ascii="Times New Roman" w:hAnsi="Times New Roman"/>
          <w:b/>
          <w:sz w:val="24"/>
          <w:szCs w:val="24"/>
          <w:lang w:val="en-US"/>
        </w:rPr>
        <w:t xml:space="preserve"> LEAF TOTAL EXTRACTS.</w:t>
      </w:r>
    </w:p>
    <w:p w14:paraId="7F1BB681" w14:textId="32AB3CF9" w:rsidR="005F2B3F" w:rsidRPr="00A31206" w:rsidRDefault="00015C7D" w:rsidP="00C15F5B">
      <w:pPr>
        <w:spacing w:line="276" w:lineRule="auto"/>
        <w:jc w:val="both"/>
        <w:rPr>
          <w:rFonts w:ascii="Times New Roman" w:hAnsi="Times New Roman"/>
          <w:sz w:val="24"/>
          <w:szCs w:val="24"/>
          <w:lang w:val="en-US"/>
        </w:rPr>
      </w:pPr>
      <w:r>
        <w:rPr>
          <w:rFonts w:ascii="Times New Roman" w:hAnsi="Times New Roman"/>
          <w:sz w:val="24"/>
          <w:szCs w:val="24"/>
          <w:lang w:val="en-US"/>
        </w:rPr>
        <w:t>S</w:t>
      </w:r>
      <w:r w:rsidR="005F2B3F" w:rsidRPr="00A31206">
        <w:rPr>
          <w:rFonts w:ascii="Times New Roman" w:hAnsi="Times New Roman"/>
          <w:sz w:val="24"/>
          <w:szCs w:val="24"/>
          <w:lang w:val="en-US"/>
        </w:rPr>
        <w:t xml:space="preserve">ix independent </w:t>
      </w:r>
      <w:r w:rsidR="00620CBE">
        <w:rPr>
          <w:rFonts w:ascii="Times New Roman" w:hAnsi="Times New Roman"/>
          <w:i/>
          <w:sz w:val="24"/>
          <w:szCs w:val="24"/>
          <w:lang w:val="en-US"/>
        </w:rPr>
        <w:t>in vitro</w:t>
      </w:r>
      <w:r w:rsidR="005F2B3F" w:rsidRPr="00A31206">
        <w:rPr>
          <w:rFonts w:ascii="Times New Roman" w:hAnsi="Times New Roman"/>
          <w:sz w:val="24"/>
          <w:szCs w:val="24"/>
          <w:lang w:val="en-US"/>
        </w:rPr>
        <w:t xml:space="preserve"> antioxidant assays w</w:t>
      </w:r>
      <w:r w:rsidR="00732EA6">
        <w:rPr>
          <w:rFonts w:ascii="Times New Roman" w:hAnsi="Times New Roman"/>
          <w:sz w:val="24"/>
          <w:szCs w:val="24"/>
          <w:lang w:val="en-US"/>
        </w:rPr>
        <w:t>ere</w:t>
      </w:r>
      <w:r w:rsidR="005F2B3F" w:rsidRPr="00A31206">
        <w:rPr>
          <w:rFonts w:ascii="Times New Roman" w:hAnsi="Times New Roman"/>
          <w:sz w:val="24"/>
          <w:szCs w:val="24"/>
          <w:lang w:val="en-US"/>
        </w:rPr>
        <w:t xml:space="preserve"> used to identify </w:t>
      </w:r>
      <w:r w:rsidR="00A745ED">
        <w:rPr>
          <w:rFonts w:ascii="Times New Roman" w:hAnsi="Times New Roman"/>
          <w:sz w:val="24"/>
          <w:szCs w:val="24"/>
          <w:lang w:val="en-US"/>
        </w:rPr>
        <w:t xml:space="preserve">the </w:t>
      </w:r>
      <w:r w:rsidR="00E7391B">
        <w:rPr>
          <w:rFonts w:ascii="Times New Roman" w:hAnsi="Times New Roman"/>
          <w:sz w:val="24"/>
          <w:szCs w:val="24"/>
          <w:lang w:val="en-US"/>
        </w:rPr>
        <w:t xml:space="preserve">extract having </w:t>
      </w:r>
      <w:r w:rsidR="00913EE4">
        <w:rPr>
          <w:rFonts w:ascii="Times New Roman" w:hAnsi="Times New Roman"/>
          <w:sz w:val="24"/>
          <w:szCs w:val="24"/>
          <w:lang w:val="en-US"/>
        </w:rPr>
        <w:t xml:space="preserve">the </w:t>
      </w:r>
      <w:r w:rsidR="00E7391B">
        <w:rPr>
          <w:rFonts w:ascii="Times New Roman" w:hAnsi="Times New Roman"/>
          <w:sz w:val="24"/>
          <w:szCs w:val="24"/>
          <w:lang w:val="en-US"/>
        </w:rPr>
        <w:t>most potent</w:t>
      </w:r>
      <w:r w:rsidR="005F2B3F" w:rsidRPr="00A31206">
        <w:rPr>
          <w:rFonts w:ascii="Times New Roman" w:hAnsi="Times New Roman"/>
          <w:sz w:val="24"/>
          <w:szCs w:val="24"/>
          <w:lang w:val="en-US"/>
        </w:rPr>
        <w:t xml:space="preserve"> antioxidant profile. The antioxidant propensity among the extracts differed significantly (p</w:t>
      </w:r>
      <w:r w:rsidR="003B1FB7">
        <w:rPr>
          <w:rFonts w:ascii="Times New Roman" w:hAnsi="Times New Roman"/>
          <w:sz w:val="24"/>
          <w:szCs w:val="24"/>
          <w:lang w:val="en-US"/>
        </w:rPr>
        <w:t xml:space="preserve"> </w:t>
      </w:r>
      <w:r w:rsidR="005F2B3F" w:rsidRPr="00A31206">
        <w:rPr>
          <w:rFonts w:ascii="Times New Roman" w:hAnsi="Times New Roman"/>
          <w:sz w:val="24"/>
          <w:szCs w:val="24"/>
          <w:lang w:val="en-US"/>
        </w:rPr>
        <w:t>&lt; 0.</w:t>
      </w:r>
      <w:r w:rsidR="00A745ED">
        <w:rPr>
          <w:rFonts w:ascii="Times New Roman" w:hAnsi="Times New Roman"/>
          <w:sz w:val="24"/>
          <w:szCs w:val="24"/>
          <w:lang w:val="en-US"/>
        </w:rPr>
        <w:t xml:space="preserve">05) in each </w:t>
      </w:r>
      <w:r w:rsidR="005F2B3F" w:rsidRPr="00A31206">
        <w:rPr>
          <w:rFonts w:ascii="Times New Roman" w:hAnsi="Times New Roman"/>
          <w:sz w:val="24"/>
          <w:szCs w:val="24"/>
          <w:lang w:val="en-US"/>
        </w:rPr>
        <w:t xml:space="preserve">assay </w:t>
      </w:r>
      <w:r w:rsidR="005F2B3F">
        <w:rPr>
          <w:rFonts w:ascii="Times New Roman" w:hAnsi="Times New Roman"/>
          <w:sz w:val="24"/>
          <w:szCs w:val="24"/>
          <w:lang w:val="en-US"/>
        </w:rPr>
        <w:t>model</w:t>
      </w:r>
      <w:r w:rsidR="005F2B3F" w:rsidRPr="00A31206">
        <w:rPr>
          <w:rFonts w:ascii="Times New Roman" w:hAnsi="Times New Roman"/>
          <w:sz w:val="24"/>
          <w:szCs w:val="24"/>
          <w:lang w:val="en-US"/>
        </w:rPr>
        <w:t xml:space="preserve"> (</w:t>
      </w:r>
      <w:r w:rsidR="005F2B3F" w:rsidRPr="00A31206">
        <w:rPr>
          <w:rFonts w:ascii="Times New Roman" w:hAnsi="Times New Roman"/>
          <w:b/>
          <w:sz w:val="24"/>
          <w:szCs w:val="24"/>
          <w:lang w:val="en-US"/>
        </w:rPr>
        <w:t>Table 1</w:t>
      </w:r>
      <w:r>
        <w:rPr>
          <w:rFonts w:ascii="Times New Roman" w:hAnsi="Times New Roman"/>
          <w:sz w:val="24"/>
          <w:szCs w:val="24"/>
          <w:lang w:val="en-US"/>
        </w:rPr>
        <w:t>). All extracts</w:t>
      </w:r>
      <w:r w:rsidR="005F2B3F" w:rsidRPr="00A31206">
        <w:rPr>
          <w:rFonts w:ascii="Times New Roman" w:hAnsi="Times New Roman"/>
          <w:sz w:val="24"/>
          <w:szCs w:val="24"/>
          <w:lang w:val="en-US"/>
        </w:rPr>
        <w:t xml:space="preserve"> showed a dose-dependent metal chelating and free radical scavenging activity; the </w:t>
      </w:r>
      <w:r w:rsidR="005F2B3F" w:rsidRPr="00A31206">
        <w:rPr>
          <w:rFonts w:ascii="Times New Roman" w:hAnsi="Times New Roman"/>
          <w:i/>
          <w:sz w:val="24"/>
          <w:szCs w:val="24"/>
          <w:lang w:val="en-US"/>
        </w:rPr>
        <w:t>IC</w:t>
      </w:r>
      <w:r w:rsidR="005F2B3F" w:rsidRPr="00A31206">
        <w:rPr>
          <w:rFonts w:ascii="Times New Roman" w:hAnsi="Times New Roman"/>
          <w:i/>
          <w:sz w:val="24"/>
          <w:szCs w:val="24"/>
          <w:vertAlign w:val="subscript"/>
          <w:lang w:val="en-US"/>
        </w:rPr>
        <w:t>50</w:t>
      </w:r>
      <w:r w:rsidR="005F2B3F" w:rsidRPr="00A31206">
        <w:rPr>
          <w:rFonts w:ascii="Times New Roman" w:hAnsi="Times New Roman"/>
          <w:sz w:val="24"/>
          <w:szCs w:val="24"/>
          <w:lang w:val="en-US"/>
        </w:rPr>
        <w:t xml:space="preserve"> values are shown in </w:t>
      </w:r>
      <w:r w:rsidR="005F2B3F" w:rsidRPr="00A31206">
        <w:rPr>
          <w:rFonts w:ascii="Times New Roman" w:hAnsi="Times New Roman"/>
          <w:b/>
          <w:sz w:val="24"/>
          <w:szCs w:val="24"/>
          <w:lang w:val="en-US"/>
        </w:rPr>
        <w:t>Table 1</w:t>
      </w:r>
      <w:r w:rsidR="005F2B3F" w:rsidRPr="00A31206">
        <w:rPr>
          <w:rFonts w:ascii="Times New Roman" w:hAnsi="Times New Roman"/>
          <w:sz w:val="24"/>
          <w:szCs w:val="24"/>
          <w:lang w:val="en-US"/>
        </w:rPr>
        <w:t>. The iron</w:t>
      </w:r>
      <w:r w:rsidR="00732EA6">
        <w:rPr>
          <w:rFonts w:ascii="Times New Roman" w:hAnsi="Times New Roman"/>
          <w:sz w:val="24"/>
          <w:szCs w:val="24"/>
          <w:lang w:val="en-US"/>
        </w:rPr>
        <w:t>-</w:t>
      </w:r>
      <w:r>
        <w:rPr>
          <w:rFonts w:ascii="Times New Roman" w:hAnsi="Times New Roman"/>
          <w:sz w:val="24"/>
          <w:szCs w:val="24"/>
          <w:lang w:val="en-US"/>
        </w:rPr>
        <w:t>chelating activity of the</w:t>
      </w:r>
      <w:r w:rsidR="005F2B3F" w:rsidRPr="00A31206">
        <w:rPr>
          <w:rFonts w:ascii="Times New Roman" w:hAnsi="Times New Roman"/>
          <w:sz w:val="24"/>
          <w:szCs w:val="24"/>
          <w:lang w:val="en-US"/>
        </w:rPr>
        <w:t xml:space="preserve"> extracts differed significantly </w:t>
      </w:r>
      <w:r w:rsidR="00FD59AC">
        <w:rPr>
          <w:rFonts w:ascii="Times New Roman" w:hAnsi="Times New Roman"/>
          <w:sz w:val="24"/>
          <w:szCs w:val="24"/>
        </w:rPr>
        <w:t>(p</w:t>
      </w:r>
      <w:r w:rsidR="005F2B3F" w:rsidRPr="00A31206">
        <w:rPr>
          <w:rFonts w:ascii="Times New Roman" w:hAnsi="Times New Roman"/>
          <w:sz w:val="24"/>
          <w:szCs w:val="24"/>
        </w:rPr>
        <w:t xml:space="preserve"> ≤ 0.0001) </w:t>
      </w:r>
      <w:r w:rsidR="005F2B3F" w:rsidRPr="00A31206">
        <w:rPr>
          <w:rFonts w:ascii="Times New Roman" w:hAnsi="Times New Roman"/>
          <w:sz w:val="24"/>
          <w:szCs w:val="24"/>
          <w:lang w:val="en-US"/>
        </w:rPr>
        <w:t xml:space="preserve">from the positive control EDTA, a known iron chelator, having an </w:t>
      </w:r>
      <w:r w:rsidR="005F2B3F" w:rsidRPr="00FD59AC">
        <w:rPr>
          <w:rFonts w:ascii="Times New Roman" w:hAnsi="Times New Roman"/>
          <w:i/>
          <w:sz w:val="24"/>
          <w:szCs w:val="24"/>
        </w:rPr>
        <w:t>IC</w:t>
      </w:r>
      <w:r w:rsidR="005F2B3F" w:rsidRPr="00FD59AC">
        <w:rPr>
          <w:rFonts w:ascii="Times New Roman" w:hAnsi="Times New Roman"/>
          <w:i/>
          <w:sz w:val="24"/>
          <w:szCs w:val="24"/>
          <w:vertAlign w:val="subscript"/>
        </w:rPr>
        <w:t>50</w:t>
      </w:r>
      <w:r w:rsidR="005F2B3F" w:rsidRPr="00A31206">
        <w:rPr>
          <w:rFonts w:ascii="Times New Roman" w:hAnsi="Times New Roman"/>
          <w:sz w:val="24"/>
          <w:szCs w:val="24"/>
          <w:vertAlign w:val="subscript"/>
        </w:rPr>
        <w:t xml:space="preserve"> </w:t>
      </w:r>
      <w:r w:rsidR="005F2B3F" w:rsidRPr="00A31206">
        <w:rPr>
          <w:rFonts w:ascii="Times New Roman" w:hAnsi="Times New Roman"/>
          <w:sz w:val="24"/>
          <w:szCs w:val="24"/>
        </w:rPr>
        <w:t xml:space="preserve">value of </w:t>
      </w:r>
      <w:r w:rsidR="005F2B3F" w:rsidRPr="00A31206">
        <w:rPr>
          <w:rFonts w:ascii="Times New Roman" w:eastAsia="Times New Roman" w:hAnsi="Times New Roman"/>
          <w:color w:val="000000"/>
          <w:sz w:val="24"/>
          <w:szCs w:val="24"/>
          <w:lang w:eastAsia="en-GB"/>
        </w:rPr>
        <w:t>0.01 ± 0.00 mg/ml (23.64 ± 0.22 µM)</w:t>
      </w:r>
      <w:r w:rsidR="005F2B3F" w:rsidRPr="00A31206">
        <w:rPr>
          <w:rFonts w:ascii="Times New Roman" w:hAnsi="Times New Roman"/>
          <w:sz w:val="24"/>
          <w:szCs w:val="24"/>
          <w:lang w:val="en-US"/>
        </w:rPr>
        <w:t xml:space="preserve">. </w:t>
      </w:r>
      <w:proofErr w:type="spellStart"/>
      <w:r w:rsidR="005F2B3F" w:rsidRPr="00A31206">
        <w:rPr>
          <w:rFonts w:ascii="Times New Roman" w:hAnsi="Times New Roman"/>
          <w:i/>
          <w:sz w:val="24"/>
          <w:szCs w:val="24"/>
          <w:lang w:val="en-US"/>
        </w:rPr>
        <w:t>Syzygium</w:t>
      </w:r>
      <w:proofErr w:type="spellEnd"/>
      <w:r w:rsidR="005F2B3F" w:rsidRPr="00A31206">
        <w:rPr>
          <w:rFonts w:ascii="Times New Roman" w:hAnsi="Times New Roman"/>
          <w:i/>
          <w:sz w:val="24"/>
          <w:szCs w:val="24"/>
          <w:lang w:val="en-US"/>
        </w:rPr>
        <w:t xml:space="preserve"> </w:t>
      </w:r>
      <w:proofErr w:type="spellStart"/>
      <w:r w:rsidR="005F2B3F" w:rsidRPr="00A31206">
        <w:rPr>
          <w:rFonts w:ascii="Times New Roman" w:hAnsi="Times New Roman"/>
          <w:i/>
          <w:sz w:val="24"/>
          <w:szCs w:val="24"/>
          <w:lang w:val="en-US"/>
        </w:rPr>
        <w:t>coriaceum</w:t>
      </w:r>
      <w:proofErr w:type="spellEnd"/>
      <w:r w:rsidR="005F2B3F" w:rsidRPr="00A31206">
        <w:rPr>
          <w:rFonts w:ascii="Times New Roman" w:hAnsi="Times New Roman"/>
          <w:i/>
          <w:sz w:val="24"/>
          <w:szCs w:val="24"/>
          <w:lang w:val="en-US"/>
        </w:rPr>
        <w:t xml:space="preserve"> </w:t>
      </w:r>
      <w:r w:rsidR="005F2B3F" w:rsidRPr="00A31206">
        <w:rPr>
          <w:rFonts w:ascii="Times New Roman" w:hAnsi="Times New Roman"/>
          <w:sz w:val="24"/>
          <w:szCs w:val="24"/>
          <w:lang w:val="en-US"/>
        </w:rPr>
        <w:t xml:space="preserve">leaf extract </w:t>
      </w:r>
      <w:r w:rsidR="006F65D8">
        <w:rPr>
          <w:rFonts w:ascii="Times New Roman" w:hAnsi="Times New Roman"/>
          <w:sz w:val="24"/>
          <w:szCs w:val="24"/>
          <w:lang w:val="en-US"/>
        </w:rPr>
        <w:t>exhibited</w:t>
      </w:r>
      <w:r w:rsidR="005F2B3F" w:rsidRPr="00A31206">
        <w:rPr>
          <w:rFonts w:ascii="Times New Roman" w:hAnsi="Times New Roman"/>
          <w:sz w:val="24"/>
          <w:szCs w:val="24"/>
          <w:lang w:val="en-US"/>
        </w:rPr>
        <w:t xml:space="preserve"> significantly (p</w:t>
      </w:r>
      <w:r w:rsidR="003B1FB7">
        <w:rPr>
          <w:rFonts w:ascii="Times New Roman" w:hAnsi="Times New Roman"/>
          <w:sz w:val="24"/>
          <w:szCs w:val="24"/>
          <w:lang w:val="en-US"/>
        </w:rPr>
        <w:t xml:space="preserve"> </w:t>
      </w:r>
      <w:r w:rsidR="005F2B3F" w:rsidRPr="00A31206">
        <w:rPr>
          <w:rFonts w:ascii="Times New Roman" w:hAnsi="Times New Roman"/>
          <w:sz w:val="24"/>
          <w:szCs w:val="24"/>
          <w:lang w:val="en-US"/>
        </w:rPr>
        <w:t>&lt; 0.05) higher antioxidant potential in all evaluated antioxidant assays</w:t>
      </w:r>
      <w:r w:rsidR="006F65D8">
        <w:rPr>
          <w:rFonts w:ascii="Times New Roman" w:hAnsi="Times New Roman"/>
          <w:sz w:val="24"/>
          <w:szCs w:val="24"/>
          <w:lang w:val="en-US"/>
        </w:rPr>
        <w:t xml:space="preserve">. </w:t>
      </w:r>
    </w:p>
    <w:p w14:paraId="65357DC7" w14:textId="77777777" w:rsidR="005F2B3F" w:rsidRDefault="005F2B3F" w:rsidP="00C15F5B">
      <w:pPr>
        <w:spacing w:line="276" w:lineRule="auto"/>
        <w:jc w:val="both"/>
        <w:rPr>
          <w:rFonts w:ascii="Times New Roman" w:hAnsi="Times New Roman"/>
          <w:sz w:val="24"/>
          <w:szCs w:val="24"/>
        </w:rPr>
      </w:pPr>
    </w:p>
    <w:p w14:paraId="5547061A" w14:textId="5082A623" w:rsidR="005F2B3F" w:rsidRPr="006242A9" w:rsidRDefault="00E31225" w:rsidP="006242A9">
      <w:pPr>
        <w:pStyle w:val="ListParagraph"/>
        <w:numPr>
          <w:ilvl w:val="1"/>
          <w:numId w:val="2"/>
        </w:numPr>
        <w:spacing w:line="276" w:lineRule="auto"/>
        <w:jc w:val="both"/>
        <w:rPr>
          <w:rFonts w:ascii="Times New Roman" w:hAnsi="Times New Roman"/>
          <w:b/>
          <w:sz w:val="24"/>
          <w:szCs w:val="24"/>
        </w:rPr>
      </w:pPr>
      <w:r w:rsidRPr="006242A9">
        <w:rPr>
          <w:rFonts w:ascii="Times New Roman" w:hAnsi="Times New Roman"/>
          <w:b/>
          <w:i/>
          <w:sz w:val="24"/>
          <w:szCs w:val="24"/>
        </w:rPr>
        <w:t xml:space="preserve"> </w:t>
      </w:r>
      <w:r w:rsidR="00620CBE">
        <w:rPr>
          <w:rFonts w:ascii="Times New Roman" w:hAnsi="Times New Roman"/>
          <w:b/>
          <w:i/>
          <w:sz w:val="24"/>
          <w:szCs w:val="24"/>
        </w:rPr>
        <w:t>IN VITRO</w:t>
      </w:r>
      <w:r w:rsidRPr="006242A9">
        <w:rPr>
          <w:rFonts w:ascii="Times New Roman" w:hAnsi="Times New Roman"/>
          <w:b/>
          <w:sz w:val="24"/>
          <w:szCs w:val="24"/>
        </w:rPr>
        <w:t xml:space="preserve"> CYTOTOXICITY OF </w:t>
      </w:r>
      <w:r w:rsidRPr="006242A9">
        <w:rPr>
          <w:rFonts w:ascii="Times New Roman" w:hAnsi="Times New Roman"/>
          <w:b/>
          <w:i/>
          <w:sz w:val="24"/>
          <w:szCs w:val="24"/>
        </w:rPr>
        <w:t xml:space="preserve">S. </w:t>
      </w:r>
      <w:proofErr w:type="spellStart"/>
      <w:r w:rsidRPr="006242A9">
        <w:rPr>
          <w:rFonts w:ascii="Times New Roman" w:hAnsi="Times New Roman"/>
          <w:b/>
          <w:i/>
          <w:sz w:val="24"/>
          <w:szCs w:val="24"/>
        </w:rPr>
        <w:t>coriaceum</w:t>
      </w:r>
      <w:proofErr w:type="spellEnd"/>
      <w:r w:rsidR="00707233">
        <w:rPr>
          <w:rFonts w:ascii="Times New Roman" w:hAnsi="Times New Roman"/>
          <w:b/>
          <w:sz w:val="24"/>
          <w:szCs w:val="24"/>
        </w:rPr>
        <w:t xml:space="preserve"> O</w:t>
      </w:r>
      <w:r w:rsidRPr="006242A9">
        <w:rPr>
          <w:rFonts w:ascii="Times New Roman" w:hAnsi="Times New Roman"/>
          <w:b/>
          <w:sz w:val="24"/>
          <w:szCs w:val="24"/>
        </w:rPr>
        <w:t>N HUMAN-DERIVED CELL LINES.</w:t>
      </w:r>
    </w:p>
    <w:p w14:paraId="4B42D4FC" w14:textId="3EA35235" w:rsidR="00A72D41" w:rsidRDefault="00BB688C" w:rsidP="00C15F5B">
      <w:pPr>
        <w:spacing w:line="276" w:lineRule="auto"/>
        <w:jc w:val="both"/>
        <w:rPr>
          <w:rFonts w:ascii="Times New Roman" w:hAnsi="Times New Roman"/>
          <w:sz w:val="24"/>
          <w:szCs w:val="24"/>
        </w:rPr>
      </w:pPr>
      <w:r>
        <w:rPr>
          <w:rFonts w:ascii="Times New Roman" w:hAnsi="Times New Roman"/>
          <w:sz w:val="24"/>
          <w:szCs w:val="24"/>
        </w:rPr>
        <w:t>Cancer cells treated</w:t>
      </w:r>
      <w:r w:rsidR="008025A1">
        <w:rPr>
          <w:rFonts w:ascii="Times New Roman" w:hAnsi="Times New Roman"/>
          <w:sz w:val="24"/>
          <w:szCs w:val="24"/>
        </w:rPr>
        <w:t xml:space="preserve"> </w:t>
      </w:r>
      <w:r>
        <w:rPr>
          <w:rFonts w:ascii="Times New Roman" w:hAnsi="Times New Roman"/>
          <w:sz w:val="24"/>
          <w:szCs w:val="24"/>
        </w:rPr>
        <w:t xml:space="preserve">with </w:t>
      </w:r>
      <w:r w:rsidR="00274691">
        <w:rPr>
          <w:rFonts w:ascii="Times New Roman" w:hAnsi="Times New Roman"/>
          <w:i/>
          <w:sz w:val="24"/>
          <w:szCs w:val="24"/>
        </w:rPr>
        <w:t xml:space="preserve">S. </w:t>
      </w:r>
      <w:proofErr w:type="spellStart"/>
      <w:r w:rsidR="005F2B3F" w:rsidRPr="00D64C75">
        <w:rPr>
          <w:rFonts w:ascii="Times New Roman" w:hAnsi="Times New Roman"/>
          <w:i/>
          <w:sz w:val="24"/>
          <w:szCs w:val="24"/>
        </w:rPr>
        <w:t>coriaceum</w:t>
      </w:r>
      <w:proofErr w:type="spellEnd"/>
      <w:r w:rsidR="005F2B3F">
        <w:rPr>
          <w:rFonts w:ascii="Times New Roman" w:hAnsi="Times New Roman"/>
          <w:sz w:val="24"/>
          <w:szCs w:val="24"/>
        </w:rPr>
        <w:t xml:space="preserve"> total leaf extract</w:t>
      </w:r>
      <w:r w:rsidR="00C030D5">
        <w:rPr>
          <w:rFonts w:ascii="Times New Roman" w:hAnsi="Times New Roman"/>
          <w:sz w:val="24"/>
          <w:szCs w:val="24"/>
        </w:rPr>
        <w:t xml:space="preserve">, selected for subsequent analysis based on the rich polyphenol content and high antioxidant </w:t>
      </w:r>
      <w:r w:rsidR="00EC518D">
        <w:rPr>
          <w:rFonts w:ascii="Times New Roman" w:hAnsi="Times New Roman"/>
          <w:sz w:val="24"/>
          <w:szCs w:val="24"/>
        </w:rPr>
        <w:t>power, displayed</w:t>
      </w:r>
      <w:r w:rsidR="00A21E89">
        <w:rPr>
          <w:rFonts w:ascii="Times New Roman" w:hAnsi="Times New Roman"/>
          <w:sz w:val="24"/>
          <w:szCs w:val="24"/>
        </w:rPr>
        <w:t xml:space="preserve"> </w:t>
      </w:r>
      <w:r w:rsidR="008025A1">
        <w:rPr>
          <w:rFonts w:ascii="Times New Roman" w:hAnsi="Times New Roman"/>
          <w:sz w:val="24"/>
          <w:szCs w:val="24"/>
        </w:rPr>
        <w:t>a dose</w:t>
      </w:r>
      <w:r w:rsidR="000B6A83">
        <w:rPr>
          <w:rFonts w:ascii="Times New Roman" w:hAnsi="Times New Roman"/>
          <w:sz w:val="24"/>
          <w:szCs w:val="24"/>
        </w:rPr>
        <w:t>-</w:t>
      </w:r>
      <w:r w:rsidR="008025A1">
        <w:rPr>
          <w:rFonts w:ascii="Times New Roman" w:hAnsi="Times New Roman"/>
          <w:sz w:val="24"/>
          <w:szCs w:val="24"/>
        </w:rPr>
        <w:t>dependent decrease in cell viability</w:t>
      </w:r>
      <w:r w:rsidR="007D6EEF">
        <w:rPr>
          <w:rFonts w:ascii="Times New Roman" w:hAnsi="Times New Roman"/>
          <w:sz w:val="24"/>
          <w:szCs w:val="24"/>
        </w:rPr>
        <w:t xml:space="preserve">. The </w:t>
      </w:r>
      <w:r w:rsidR="008025A1" w:rsidRPr="00FD59AC">
        <w:rPr>
          <w:rFonts w:ascii="Times New Roman" w:hAnsi="Times New Roman"/>
          <w:i/>
          <w:sz w:val="24"/>
          <w:szCs w:val="24"/>
          <w:lang w:val="en-US"/>
        </w:rPr>
        <w:t>IC</w:t>
      </w:r>
      <w:r w:rsidR="008025A1" w:rsidRPr="00FD59AC">
        <w:rPr>
          <w:rFonts w:ascii="Times New Roman" w:hAnsi="Times New Roman"/>
          <w:i/>
          <w:sz w:val="24"/>
          <w:szCs w:val="24"/>
          <w:vertAlign w:val="subscript"/>
          <w:lang w:val="en-US"/>
        </w:rPr>
        <w:t>50</w:t>
      </w:r>
      <w:r w:rsidR="008025A1">
        <w:rPr>
          <w:rFonts w:ascii="Times New Roman" w:hAnsi="Times New Roman"/>
          <w:sz w:val="24"/>
          <w:szCs w:val="24"/>
          <w:lang w:val="en-US"/>
        </w:rPr>
        <w:t xml:space="preserve"> values</w:t>
      </w:r>
      <w:r w:rsidR="002C1390" w:rsidRPr="002C1390">
        <w:rPr>
          <w:rFonts w:ascii="Times New Roman" w:hAnsi="Times New Roman"/>
          <w:sz w:val="24"/>
          <w:szCs w:val="24"/>
        </w:rPr>
        <w:t xml:space="preserve"> </w:t>
      </w:r>
      <w:r w:rsidR="002C1390" w:rsidRPr="00A31206">
        <w:rPr>
          <w:rFonts w:ascii="Times New Roman" w:hAnsi="Times New Roman"/>
          <w:sz w:val="24"/>
          <w:szCs w:val="24"/>
        </w:rPr>
        <w:t>differed significantly (p</w:t>
      </w:r>
      <w:r w:rsidR="00BF51E0">
        <w:rPr>
          <w:rFonts w:ascii="Times New Roman" w:hAnsi="Times New Roman"/>
          <w:sz w:val="24"/>
          <w:szCs w:val="24"/>
        </w:rPr>
        <w:t xml:space="preserve"> </w:t>
      </w:r>
      <w:r w:rsidR="002C1390" w:rsidRPr="00A31206">
        <w:rPr>
          <w:rFonts w:ascii="Times New Roman" w:hAnsi="Times New Roman"/>
          <w:sz w:val="24"/>
          <w:szCs w:val="24"/>
        </w:rPr>
        <w:t>&lt; 0.01) among the</w:t>
      </w:r>
      <w:r w:rsidR="002C1390">
        <w:rPr>
          <w:rFonts w:ascii="Times New Roman" w:hAnsi="Times New Roman"/>
          <w:sz w:val="24"/>
          <w:szCs w:val="24"/>
        </w:rPr>
        <w:t xml:space="preserve"> different</w:t>
      </w:r>
      <w:r w:rsidR="002C1390" w:rsidRPr="00A31206">
        <w:rPr>
          <w:rFonts w:ascii="Times New Roman" w:hAnsi="Times New Roman"/>
          <w:sz w:val="24"/>
          <w:szCs w:val="24"/>
        </w:rPr>
        <w:t xml:space="preserve"> cancer cell lines</w:t>
      </w:r>
      <w:r w:rsidR="002C1390">
        <w:rPr>
          <w:rFonts w:ascii="Times New Roman" w:hAnsi="Times New Roman"/>
          <w:sz w:val="24"/>
          <w:szCs w:val="24"/>
        </w:rPr>
        <w:t xml:space="preserve"> </w:t>
      </w:r>
      <w:r w:rsidR="002C1390">
        <w:rPr>
          <w:rFonts w:ascii="Times New Roman" w:hAnsi="Times New Roman"/>
          <w:sz w:val="24"/>
          <w:szCs w:val="24"/>
          <w:lang w:val="en-US"/>
        </w:rPr>
        <w:t>(Table 2).</w:t>
      </w:r>
      <w:r w:rsidR="009554E4">
        <w:rPr>
          <w:rFonts w:ascii="Times New Roman" w:hAnsi="Times New Roman"/>
          <w:sz w:val="24"/>
          <w:szCs w:val="24"/>
          <w:lang w:val="en-US"/>
        </w:rPr>
        <w:t xml:space="preserve"> </w:t>
      </w:r>
      <w:r w:rsidR="008025A1">
        <w:rPr>
          <w:rFonts w:ascii="Times New Roman" w:hAnsi="Times New Roman"/>
          <w:sz w:val="24"/>
          <w:szCs w:val="24"/>
          <w:lang w:val="en-US"/>
        </w:rPr>
        <w:t xml:space="preserve"> </w:t>
      </w:r>
      <w:r w:rsidR="005F2B3F">
        <w:rPr>
          <w:rFonts w:ascii="Times New Roman" w:hAnsi="Times New Roman"/>
          <w:sz w:val="24"/>
          <w:szCs w:val="24"/>
        </w:rPr>
        <w:t>In this study</w:t>
      </w:r>
      <w:r w:rsidR="007D6EEF">
        <w:rPr>
          <w:rFonts w:ascii="Times New Roman" w:hAnsi="Times New Roman"/>
          <w:sz w:val="24"/>
          <w:szCs w:val="24"/>
        </w:rPr>
        <w:t xml:space="preserve">, </w:t>
      </w:r>
      <w:r w:rsidR="005F2B3F">
        <w:rPr>
          <w:rFonts w:ascii="Times New Roman" w:hAnsi="Times New Roman"/>
          <w:sz w:val="24"/>
          <w:szCs w:val="24"/>
        </w:rPr>
        <w:t xml:space="preserve">the cytotoxicity of </w:t>
      </w:r>
      <w:r w:rsidR="005F2B3F" w:rsidRPr="009554E4">
        <w:rPr>
          <w:rFonts w:ascii="Times New Roman" w:hAnsi="Times New Roman"/>
          <w:i/>
          <w:sz w:val="24"/>
          <w:szCs w:val="24"/>
        </w:rPr>
        <w:t xml:space="preserve">S. </w:t>
      </w:r>
      <w:proofErr w:type="spellStart"/>
      <w:r w:rsidR="005F2B3F" w:rsidRPr="009554E4">
        <w:rPr>
          <w:rFonts w:ascii="Times New Roman" w:hAnsi="Times New Roman"/>
          <w:i/>
          <w:sz w:val="24"/>
          <w:szCs w:val="24"/>
        </w:rPr>
        <w:t>coriaceum</w:t>
      </w:r>
      <w:proofErr w:type="spellEnd"/>
      <w:r w:rsidR="005F2B3F">
        <w:rPr>
          <w:rFonts w:ascii="Times New Roman" w:hAnsi="Times New Roman"/>
          <w:sz w:val="24"/>
          <w:szCs w:val="24"/>
        </w:rPr>
        <w:t xml:space="preserve"> total extract</w:t>
      </w:r>
      <w:r w:rsidR="007D6EEF">
        <w:rPr>
          <w:rFonts w:ascii="Times New Roman" w:hAnsi="Times New Roman"/>
          <w:sz w:val="24"/>
          <w:szCs w:val="24"/>
        </w:rPr>
        <w:t xml:space="preserve"> was also evaluated</w:t>
      </w:r>
      <w:r w:rsidR="005F2B3F">
        <w:rPr>
          <w:rFonts w:ascii="Times New Roman" w:hAnsi="Times New Roman"/>
          <w:sz w:val="24"/>
          <w:szCs w:val="24"/>
        </w:rPr>
        <w:t xml:space="preserve"> against non-malignant </w:t>
      </w:r>
      <w:r w:rsidR="00274691">
        <w:rPr>
          <w:rFonts w:ascii="Times New Roman" w:hAnsi="Times New Roman"/>
          <w:sz w:val="24"/>
          <w:szCs w:val="24"/>
        </w:rPr>
        <w:t>HOE</w:t>
      </w:r>
      <w:r w:rsidR="005F2B3F">
        <w:rPr>
          <w:rFonts w:ascii="Times New Roman" w:hAnsi="Times New Roman"/>
          <w:sz w:val="24"/>
          <w:szCs w:val="24"/>
        </w:rPr>
        <w:t xml:space="preserve"> cells. </w:t>
      </w:r>
      <w:r w:rsidR="005F2B3F" w:rsidRPr="00A31206">
        <w:rPr>
          <w:rFonts w:ascii="Times New Roman" w:eastAsia="Times New Roman" w:hAnsi="Times New Roman"/>
          <w:color w:val="000000"/>
          <w:sz w:val="24"/>
          <w:szCs w:val="24"/>
          <w:lang w:eastAsia="en-GB"/>
        </w:rPr>
        <w:t>In contrast to canc</w:t>
      </w:r>
      <w:r w:rsidR="005F2B3F">
        <w:rPr>
          <w:rFonts w:ascii="Times New Roman" w:eastAsia="Times New Roman" w:hAnsi="Times New Roman"/>
          <w:color w:val="000000"/>
          <w:sz w:val="24"/>
          <w:szCs w:val="24"/>
          <w:lang w:eastAsia="en-GB"/>
        </w:rPr>
        <w:t xml:space="preserve">er cells, the total extract was </w:t>
      </w:r>
      <w:r w:rsidR="005F2B3F" w:rsidRPr="00A31206">
        <w:rPr>
          <w:rFonts w:ascii="Times New Roman" w:eastAsia="Times New Roman" w:hAnsi="Times New Roman"/>
          <w:color w:val="000000"/>
          <w:sz w:val="24"/>
          <w:szCs w:val="24"/>
          <w:lang w:eastAsia="en-GB"/>
        </w:rPr>
        <w:t>less cytotoxic toward</w:t>
      </w:r>
      <w:r w:rsidR="005F2B3F" w:rsidRPr="00A31206">
        <w:rPr>
          <w:rFonts w:ascii="Times New Roman" w:hAnsi="Times New Roman"/>
          <w:sz w:val="24"/>
          <w:szCs w:val="24"/>
        </w:rPr>
        <w:t xml:space="preserve">s </w:t>
      </w:r>
      <w:r w:rsidR="005F2B3F">
        <w:rPr>
          <w:rFonts w:ascii="Times New Roman" w:hAnsi="Times New Roman"/>
          <w:sz w:val="24"/>
          <w:szCs w:val="24"/>
        </w:rPr>
        <w:t xml:space="preserve">HOE cells </w:t>
      </w:r>
      <w:r w:rsidR="005F2B3F" w:rsidRPr="00A31206">
        <w:rPr>
          <w:rFonts w:ascii="Times New Roman" w:hAnsi="Times New Roman"/>
          <w:sz w:val="24"/>
          <w:szCs w:val="24"/>
        </w:rPr>
        <w:t>(</w:t>
      </w:r>
      <w:r w:rsidR="005F2B3F" w:rsidRPr="00FD59AC">
        <w:rPr>
          <w:rFonts w:ascii="Times New Roman" w:hAnsi="Times New Roman"/>
          <w:i/>
          <w:sz w:val="24"/>
          <w:szCs w:val="24"/>
        </w:rPr>
        <w:t>IC</w:t>
      </w:r>
      <w:r w:rsidR="005F2B3F" w:rsidRPr="00FD59AC">
        <w:rPr>
          <w:rFonts w:ascii="Times New Roman" w:hAnsi="Times New Roman"/>
          <w:i/>
          <w:sz w:val="24"/>
          <w:szCs w:val="24"/>
          <w:vertAlign w:val="subscript"/>
        </w:rPr>
        <w:t>50</w:t>
      </w:r>
      <w:r w:rsidR="005F2B3F" w:rsidRPr="00A31206">
        <w:rPr>
          <w:rFonts w:ascii="Times New Roman" w:hAnsi="Times New Roman"/>
          <w:sz w:val="24"/>
          <w:szCs w:val="24"/>
        </w:rPr>
        <w:t xml:space="preserve"> = </w:t>
      </w:r>
      <w:r w:rsidR="005F2B3F" w:rsidRPr="00A31206">
        <w:rPr>
          <w:rFonts w:ascii="Times New Roman" w:eastAsia="Times New Roman" w:hAnsi="Times New Roman"/>
          <w:color w:val="000000"/>
          <w:sz w:val="24"/>
          <w:szCs w:val="24"/>
          <w:lang w:eastAsia="en-GB"/>
        </w:rPr>
        <w:t xml:space="preserve">63.7 ± 3.3 </w:t>
      </w:r>
      <w:r w:rsidR="001D21D7">
        <w:rPr>
          <w:rFonts w:ascii="Times New Roman" w:hAnsi="Times New Roman"/>
          <w:sz w:val="24"/>
          <w:szCs w:val="24"/>
        </w:rPr>
        <w:t>µg</w:t>
      </w:r>
      <w:r w:rsidR="005F2B3F" w:rsidRPr="00A31206">
        <w:rPr>
          <w:rFonts w:ascii="Times New Roman" w:hAnsi="Times New Roman"/>
          <w:sz w:val="24"/>
          <w:szCs w:val="24"/>
        </w:rPr>
        <w:t>/ml</w:t>
      </w:r>
      <w:r w:rsidR="005F2B3F" w:rsidRPr="00A31206">
        <w:rPr>
          <w:rFonts w:ascii="Times New Roman" w:eastAsia="Times New Roman" w:hAnsi="Times New Roman"/>
          <w:color w:val="000000"/>
          <w:sz w:val="24"/>
          <w:szCs w:val="24"/>
          <w:lang w:eastAsia="en-GB"/>
        </w:rPr>
        <w:t>)</w:t>
      </w:r>
      <w:r w:rsidR="005F2B3F" w:rsidRPr="00A31206">
        <w:rPr>
          <w:rFonts w:ascii="Times New Roman" w:hAnsi="Times New Roman"/>
          <w:sz w:val="24"/>
          <w:szCs w:val="24"/>
        </w:rPr>
        <w:t>.</w:t>
      </w:r>
      <w:r w:rsidR="007348F0">
        <w:rPr>
          <w:rFonts w:ascii="Times New Roman" w:hAnsi="Times New Roman"/>
          <w:sz w:val="24"/>
          <w:szCs w:val="24"/>
        </w:rPr>
        <w:t xml:space="preserve"> Among cancer cell lines,</w:t>
      </w:r>
      <w:r w:rsidR="005F2B3F">
        <w:rPr>
          <w:rFonts w:ascii="Times New Roman" w:hAnsi="Times New Roman"/>
          <w:sz w:val="24"/>
          <w:szCs w:val="24"/>
          <w:lang w:val="en-US"/>
        </w:rPr>
        <w:t xml:space="preserve"> HepG2 was more sensitive to </w:t>
      </w:r>
      <w:r w:rsidR="005F2B3F" w:rsidRPr="003A032F">
        <w:rPr>
          <w:rFonts w:ascii="Times New Roman" w:hAnsi="Times New Roman"/>
          <w:i/>
          <w:sz w:val="24"/>
          <w:szCs w:val="24"/>
          <w:lang w:val="en-US"/>
        </w:rPr>
        <w:t xml:space="preserve">S. </w:t>
      </w:r>
      <w:proofErr w:type="spellStart"/>
      <w:r w:rsidR="005F2B3F" w:rsidRPr="003A032F">
        <w:rPr>
          <w:rFonts w:ascii="Times New Roman" w:hAnsi="Times New Roman"/>
          <w:i/>
          <w:sz w:val="24"/>
          <w:szCs w:val="24"/>
          <w:lang w:val="en-US"/>
        </w:rPr>
        <w:t>coriaceum</w:t>
      </w:r>
      <w:proofErr w:type="spellEnd"/>
      <w:r w:rsidR="00D20A0D">
        <w:rPr>
          <w:rFonts w:ascii="Times New Roman" w:hAnsi="Times New Roman"/>
          <w:sz w:val="24"/>
          <w:szCs w:val="24"/>
          <w:lang w:val="en-US"/>
        </w:rPr>
        <w:t xml:space="preserve"> treatment</w:t>
      </w:r>
      <w:r w:rsidR="005F2B3F">
        <w:rPr>
          <w:rFonts w:ascii="Times New Roman" w:hAnsi="Times New Roman"/>
          <w:sz w:val="24"/>
          <w:szCs w:val="24"/>
          <w:lang w:val="en-US"/>
        </w:rPr>
        <w:t xml:space="preserve"> and </w:t>
      </w:r>
      <w:r w:rsidR="00FD59AC">
        <w:rPr>
          <w:rFonts w:ascii="Times New Roman" w:hAnsi="Times New Roman"/>
          <w:sz w:val="24"/>
          <w:szCs w:val="24"/>
          <w:lang w:val="en-US"/>
        </w:rPr>
        <w:t xml:space="preserve">had a selectivity index of 2.6 with respect to HOE </w:t>
      </w:r>
      <w:r w:rsidR="00BF51E0">
        <w:rPr>
          <w:rFonts w:ascii="Times New Roman" w:hAnsi="Times New Roman"/>
          <w:sz w:val="24"/>
          <w:szCs w:val="24"/>
          <w:lang w:val="en-US"/>
        </w:rPr>
        <w:t>cells, hence</w:t>
      </w:r>
      <w:r w:rsidR="005F2B3F">
        <w:rPr>
          <w:rFonts w:ascii="Times New Roman" w:hAnsi="Times New Roman"/>
          <w:sz w:val="24"/>
          <w:szCs w:val="24"/>
          <w:lang w:val="en-US"/>
        </w:rPr>
        <w:t xml:space="preserve"> HepG2 cells w</w:t>
      </w:r>
      <w:r w:rsidR="000B6A83">
        <w:rPr>
          <w:rFonts w:ascii="Times New Roman" w:hAnsi="Times New Roman"/>
          <w:sz w:val="24"/>
          <w:szCs w:val="24"/>
          <w:lang w:val="en-US"/>
        </w:rPr>
        <w:t>ere</w:t>
      </w:r>
      <w:r w:rsidR="005F2B3F">
        <w:rPr>
          <w:rFonts w:ascii="Times New Roman" w:hAnsi="Times New Roman"/>
          <w:sz w:val="24"/>
          <w:szCs w:val="24"/>
          <w:lang w:val="en-US"/>
        </w:rPr>
        <w:t xml:space="preserve"> selected as </w:t>
      </w:r>
      <w:r w:rsidR="000B6A83">
        <w:rPr>
          <w:rFonts w:ascii="Times New Roman" w:hAnsi="Times New Roman"/>
          <w:sz w:val="24"/>
          <w:szCs w:val="24"/>
          <w:lang w:val="en-US"/>
        </w:rPr>
        <w:t xml:space="preserve">an </w:t>
      </w:r>
      <w:r w:rsidR="005F2B3F">
        <w:rPr>
          <w:rFonts w:ascii="Times New Roman" w:hAnsi="Times New Roman"/>
          <w:sz w:val="24"/>
          <w:szCs w:val="24"/>
          <w:lang w:val="en-US"/>
        </w:rPr>
        <w:t>opt</w:t>
      </w:r>
      <w:r w:rsidR="00686038">
        <w:rPr>
          <w:rFonts w:ascii="Times New Roman" w:hAnsi="Times New Roman"/>
          <w:sz w:val="24"/>
          <w:szCs w:val="24"/>
          <w:lang w:val="en-US"/>
        </w:rPr>
        <w:t>imal cell model for subsequent</w:t>
      </w:r>
      <w:r w:rsidR="005F2B3F">
        <w:rPr>
          <w:rFonts w:ascii="Times New Roman" w:hAnsi="Times New Roman"/>
          <w:sz w:val="24"/>
          <w:szCs w:val="24"/>
          <w:lang w:val="en-US"/>
        </w:rPr>
        <w:t xml:space="preserve"> </w:t>
      </w:r>
      <w:r w:rsidR="00466C16">
        <w:rPr>
          <w:rFonts w:ascii="Times New Roman" w:hAnsi="Times New Roman"/>
          <w:sz w:val="24"/>
          <w:szCs w:val="24"/>
          <w:lang w:val="en-US"/>
        </w:rPr>
        <w:t>assays</w:t>
      </w:r>
      <w:r w:rsidR="005F2B3F">
        <w:rPr>
          <w:rFonts w:ascii="Times New Roman" w:hAnsi="Times New Roman"/>
          <w:sz w:val="24"/>
          <w:szCs w:val="24"/>
          <w:lang w:val="en-US"/>
        </w:rPr>
        <w:t xml:space="preserve">. </w:t>
      </w:r>
    </w:p>
    <w:p w14:paraId="5DF19AF1" w14:textId="08E9C31C" w:rsidR="00A72D41" w:rsidRDefault="00A72D41" w:rsidP="00C15F5B">
      <w:pPr>
        <w:spacing w:line="276" w:lineRule="auto"/>
        <w:jc w:val="both"/>
        <w:rPr>
          <w:rFonts w:ascii="Times New Roman" w:hAnsi="Times New Roman"/>
          <w:sz w:val="24"/>
          <w:szCs w:val="24"/>
        </w:rPr>
      </w:pPr>
      <w:r>
        <w:rPr>
          <w:rFonts w:ascii="Times New Roman" w:hAnsi="Times New Roman"/>
          <w:sz w:val="24"/>
          <w:szCs w:val="24"/>
        </w:rPr>
        <w:t xml:space="preserve">For comparison to </w:t>
      </w:r>
      <w:r w:rsidR="000B6A83">
        <w:rPr>
          <w:rFonts w:ascii="Times New Roman" w:hAnsi="Times New Roman"/>
          <w:sz w:val="24"/>
          <w:szCs w:val="24"/>
        </w:rPr>
        <w:t xml:space="preserve">a </w:t>
      </w:r>
      <w:r>
        <w:rPr>
          <w:rFonts w:ascii="Times New Roman" w:hAnsi="Times New Roman"/>
          <w:sz w:val="24"/>
          <w:szCs w:val="24"/>
        </w:rPr>
        <w:t xml:space="preserve">clinically used drug, </w:t>
      </w:r>
      <w:r w:rsidR="003C6495">
        <w:rPr>
          <w:rFonts w:ascii="Times New Roman" w:hAnsi="Times New Roman"/>
          <w:sz w:val="24"/>
          <w:szCs w:val="24"/>
        </w:rPr>
        <w:t xml:space="preserve">cell viability of cancer cell lines treated with etoposide was </w:t>
      </w:r>
      <w:r w:rsidR="004B63D7">
        <w:rPr>
          <w:rFonts w:ascii="Times New Roman" w:hAnsi="Times New Roman"/>
          <w:sz w:val="24"/>
          <w:szCs w:val="24"/>
        </w:rPr>
        <w:t xml:space="preserve">evaluated and </w:t>
      </w:r>
      <w:r w:rsidR="004B63D7" w:rsidRPr="00FD59AC">
        <w:rPr>
          <w:rFonts w:ascii="Times New Roman" w:hAnsi="Times New Roman"/>
          <w:i/>
          <w:sz w:val="24"/>
          <w:szCs w:val="24"/>
        </w:rPr>
        <w:t>IC</w:t>
      </w:r>
      <w:r w:rsidR="004B63D7" w:rsidRPr="00FD59AC">
        <w:rPr>
          <w:rFonts w:ascii="Times New Roman" w:hAnsi="Times New Roman"/>
          <w:i/>
          <w:sz w:val="24"/>
          <w:szCs w:val="24"/>
          <w:vertAlign w:val="subscript"/>
        </w:rPr>
        <w:t>50</w:t>
      </w:r>
      <w:r w:rsidR="004B63D7">
        <w:rPr>
          <w:rFonts w:ascii="Times New Roman" w:hAnsi="Times New Roman"/>
          <w:sz w:val="24"/>
          <w:szCs w:val="24"/>
        </w:rPr>
        <w:t xml:space="preserve"> values determined (Table 2). The drug sensitivit</w:t>
      </w:r>
      <w:r w:rsidR="004748CE">
        <w:rPr>
          <w:rFonts w:ascii="Times New Roman" w:hAnsi="Times New Roman"/>
          <w:sz w:val="24"/>
          <w:szCs w:val="24"/>
        </w:rPr>
        <w:t>y of etoposide in HepG2 cells was</w:t>
      </w:r>
      <w:r w:rsidR="004B63D7">
        <w:rPr>
          <w:rFonts w:ascii="Times New Roman" w:hAnsi="Times New Roman"/>
          <w:sz w:val="24"/>
          <w:szCs w:val="24"/>
        </w:rPr>
        <w:t xml:space="preserve"> </w:t>
      </w:r>
      <w:r w:rsidR="004031F9">
        <w:rPr>
          <w:rFonts w:ascii="Times New Roman" w:hAnsi="Times New Roman"/>
          <w:sz w:val="24"/>
          <w:szCs w:val="24"/>
        </w:rPr>
        <w:t>10 fold higher than</w:t>
      </w:r>
      <w:r w:rsidR="004B63D7">
        <w:rPr>
          <w:rFonts w:ascii="Times New Roman" w:hAnsi="Times New Roman"/>
          <w:sz w:val="24"/>
          <w:szCs w:val="24"/>
        </w:rPr>
        <w:t xml:space="preserve"> that of </w:t>
      </w:r>
      <w:r w:rsidR="004B63D7" w:rsidRPr="00B12259">
        <w:rPr>
          <w:rFonts w:ascii="Times New Roman" w:hAnsi="Times New Roman"/>
          <w:i/>
          <w:sz w:val="24"/>
          <w:szCs w:val="24"/>
        </w:rPr>
        <w:t xml:space="preserve">S. </w:t>
      </w:r>
      <w:proofErr w:type="spellStart"/>
      <w:r w:rsidR="004B63D7" w:rsidRPr="00B12259">
        <w:rPr>
          <w:rFonts w:ascii="Times New Roman" w:hAnsi="Times New Roman"/>
          <w:i/>
          <w:sz w:val="24"/>
          <w:szCs w:val="24"/>
        </w:rPr>
        <w:t>coriaceum</w:t>
      </w:r>
      <w:proofErr w:type="spellEnd"/>
      <w:r w:rsidR="004B63D7">
        <w:rPr>
          <w:rFonts w:ascii="Times New Roman" w:hAnsi="Times New Roman"/>
          <w:sz w:val="24"/>
          <w:szCs w:val="24"/>
        </w:rPr>
        <w:t xml:space="preserve"> leaf extract </w:t>
      </w:r>
      <w:r w:rsidR="00B12259">
        <w:rPr>
          <w:rFonts w:ascii="Times New Roman" w:hAnsi="Times New Roman"/>
          <w:sz w:val="24"/>
          <w:szCs w:val="24"/>
        </w:rPr>
        <w:t>after 48</w:t>
      </w:r>
      <w:r w:rsidR="006115A4">
        <w:rPr>
          <w:rFonts w:ascii="Times New Roman" w:hAnsi="Times New Roman"/>
          <w:sz w:val="24"/>
          <w:szCs w:val="24"/>
        </w:rPr>
        <w:t>-</w:t>
      </w:r>
      <w:r w:rsidR="009F31B6">
        <w:rPr>
          <w:rFonts w:ascii="Times New Roman" w:hAnsi="Times New Roman"/>
          <w:sz w:val="24"/>
          <w:szCs w:val="24"/>
        </w:rPr>
        <w:t>hour</w:t>
      </w:r>
      <w:r w:rsidR="00B12259">
        <w:rPr>
          <w:rFonts w:ascii="Times New Roman" w:hAnsi="Times New Roman"/>
          <w:sz w:val="24"/>
          <w:szCs w:val="24"/>
        </w:rPr>
        <w:t xml:space="preserve"> exposure</w:t>
      </w:r>
      <w:r w:rsidR="00C030D5">
        <w:rPr>
          <w:rFonts w:ascii="Times New Roman" w:hAnsi="Times New Roman"/>
          <w:sz w:val="24"/>
          <w:szCs w:val="24"/>
        </w:rPr>
        <w:t>.</w:t>
      </w:r>
    </w:p>
    <w:p w14:paraId="26FA412B" w14:textId="13702238" w:rsidR="005F2B3F" w:rsidRPr="006242A9" w:rsidRDefault="00E31225" w:rsidP="006242A9">
      <w:pPr>
        <w:pStyle w:val="ListParagraph"/>
        <w:numPr>
          <w:ilvl w:val="1"/>
          <w:numId w:val="2"/>
        </w:numPr>
        <w:spacing w:line="276" w:lineRule="auto"/>
        <w:jc w:val="both"/>
        <w:rPr>
          <w:rFonts w:ascii="Times New Roman" w:hAnsi="Times New Roman"/>
          <w:b/>
          <w:sz w:val="24"/>
          <w:szCs w:val="24"/>
        </w:rPr>
      </w:pPr>
      <w:r w:rsidRPr="006242A9">
        <w:rPr>
          <w:rFonts w:ascii="Times New Roman" w:hAnsi="Times New Roman"/>
          <w:b/>
          <w:sz w:val="24"/>
          <w:szCs w:val="24"/>
        </w:rPr>
        <w:lastRenderedPageBreak/>
        <w:t>MODULATION OF INTRACELLULAR ROS LEVEL AND INTRINSIC ANTIOXIDANT ENZYME ACTIVITIES IN HepG2 CELLS.</w:t>
      </w:r>
    </w:p>
    <w:p w14:paraId="0B91F2EB" w14:textId="63C1D8C9" w:rsidR="006A2A14" w:rsidRDefault="00E00ED1" w:rsidP="003357BF">
      <w:pPr>
        <w:spacing w:line="276" w:lineRule="auto"/>
        <w:jc w:val="both"/>
        <w:rPr>
          <w:rFonts w:ascii="Times New Roman" w:hAnsi="Times New Roman"/>
          <w:sz w:val="24"/>
          <w:szCs w:val="24"/>
        </w:rPr>
      </w:pPr>
      <w:r>
        <w:rPr>
          <w:rFonts w:ascii="Times New Roman" w:hAnsi="Times New Roman"/>
          <w:sz w:val="24"/>
          <w:szCs w:val="24"/>
        </w:rPr>
        <w:t xml:space="preserve">The ability of </w:t>
      </w:r>
      <w:r w:rsidRPr="007B6F93">
        <w:rPr>
          <w:rFonts w:ascii="Times New Roman" w:hAnsi="Times New Roman"/>
          <w:i/>
          <w:sz w:val="24"/>
          <w:szCs w:val="24"/>
        </w:rPr>
        <w:t xml:space="preserve">S. </w:t>
      </w:r>
      <w:proofErr w:type="spellStart"/>
      <w:r w:rsidRPr="007B6F93">
        <w:rPr>
          <w:rFonts w:ascii="Times New Roman" w:hAnsi="Times New Roman"/>
          <w:i/>
          <w:sz w:val="24"/>
          <w:szCs w:val="24"/>
        </w:rPr>
        <w:t>coriaceum</w:t>
      </w:r>
      <w:proofErr w:type="spellEnd"/>
      <w:r>
        <w:rPr>
          <w:rFonts w:ascii="Times New Roman" w:hAnsi="Times New Roman"/>
          <w:sz w:val="24"/>
          <w:szCs w:val="24"/>
        </w:rPr>
        <w:t xml:space="preserve"> leaf ex</w:t>
      </w:r>
      <w:r w:rsidR="00BF51E0">
        <w:rPr>
          <w:rFonts w:ascii="Times New Roman" w:hAnsi="Times New Roman"/>
          <w:sz w:val="24"/>
          <w:szCs w:val="24"/>
        </w:rPr>
        <w:t xml:space="preserve">tract to modulate intracellular </w:t>
      </w:r>
      <w:r>
        <w:rPr>
          <w:rFonts w:ascii="Times New Roman" w:hAnsi="Times New Roman"/>
          <w:sz w:val="24"/>
          <w:szCs w:val="24"/>
        </w:rPr>
        <w:t xml:space="preserve">ROS </w:t>
      </w:r>
      <w:r w:rsidR="007B6F93">
        <w:rPr>
          <w:rFonts w:ascii="Times New Roman" w:hAnsi="Times New Roman"/>
          <w:sz w:val="24"/>
          <w:szCs w:val="24"/>
        </w:rPr>
        <w:t xml:space="preserve">generation was measured as a percentage of DCF-fluorescence. </w:t>
      </w:r>
      <w:r w:rsidR="005F2B3F" w:rsidRPr="009F429D">
        <w:rPr>
          <w:rFonts w:ascii="Times New Roman" w:hAnsi="Times New Roman"/>
          <w:i/>
          <w:sz w:val="24"/>
          <w:szCs w:val="24"/>
        </w:rPr>
        <w:t xml:space="preserve">S. </w:t>
      </w:r>
      <w:proofErr w:type="spellStart"/>
      <w:r w:rsidR="005F2B3F" w:rsidRPr="009F429D">
        <w:rPr>
          <w:rFonts w:ascii="Times New Roman" w:hAnsi="Times New Roman"/>
          <w:i/>
          <w:sz w:val="24"/>
          <w:szCs w:val="24"/>
        </w:rPr>
        <w:t>coriaceum</w:t>
      </w:r>
      <w:proofErr w:type="spellEnd"/>
      <w:r w:rsidR="005F2B3F">
        <w:rPr>
          <w:rFonts w:ascii="Times New Roman" w:hAnsi="Times New Roman"/>
          <w:sz w:val="24"/>
          <w:szCs w:val="24"/>
        </w:rPr>
        <w:t xml:space="preserve"> extract treatment evoked an upregulation </w:t>
      </w:r>
      <w:r w:rsidR="002813CA">
        <w:rPr>
          <w:rFonts w:ascii="Times New Roman" w:hAnsi="Times New Roman"/>
          <w:sz w:val="24"/>
          <w:szCs w:val="24"/>
        </w:rPr>
        <w:t xml:space="preserve">in </w:t>
      </w:r>
      <w:r w:rsidR="005F2B3F">
        <w:rPr>
          <w:rFonts w:ascii="Times New Roman" w:hAnsi="Times New Roman"/>
          <w:sz w:val="24"/>
          <w:szCs w:val="24"/>
        </w:rPr>
        <w:t xml:space="preserve">the production of cytosolic ROS in HepG2 cells, compared to untreated </w:t>
      </w:r>
      <w:r w:rsidR="00081C0A">
        <w:rPr>
          <w:rFonts w:ascii="Times New Roman" w:hAnsi="Times New Roman"/>
          <w:sz w:val="24"/>
          <w:szCs w:val="24"/>
        </w:rPr>
        <w:t>control cells</w:t>
      </w:r>
      <w:r w:rsidR="00C030D5">
        <w:rPr>
          <w:rFonts w:ascii="Times New Roman" w:hAnsi="Times New Roman"/>
          <w:sz w:val="24"/>
          <w:szCs w:val="24"/>
        </w:rPr>
        <w:t xml:space="preserve"> (</w:t>
      </w:r>
      <w:r w:rsidR="00C030D5" w:rsidRPr="00AE7D02">
        <w:rPr>
          <w:rFonts w:ascii="Times New Roman" w:hAnsi="Times New Roman"/>
          <w:b/>
          <w:sz w:val="24"/>
          <w:szCs w:val="24"/>
        </w:rPr>
        <w:t>Figure 2E</w:t>
      </w:r>
      <w:r w:rsidR="00C030D5">
        <w:rPr>
          <w:rFonts w:ascii="Times New Roman" w:hAnsi="Times New Roman"/>
          <w:sz w:val="24"/>
          <w:szCs w:val="24"/>
        </w:rPr>
        <w:t>)</w:t>
      </w:r>
      <w:r w:rsidR="00081C0A">
        <w:rPr>
          <w:rFonts w:ascii="Times New Roman" w:hAnsi="Times New Roman"/>
          <w:sz w:val="24"/>
          <w:szCs w:val="24"/>
        </w:rPr>
        <w:t>. Treatment for 48</w:t>
      </w:r>
      <w:r w:rsidR="009F31B6">
        <w:rPr>
          <w:rFonts w:ascii="Times New Roman" w:hAnsi="Times New Roman"/>
          <w:sz w:val="24"/>
          <w:szCs w:val="24"/>
        </w:rPr>
        <w:t>-hour</w:t>
      </w:r>
      <w:r w:rsidR="005F2B3F">
        <w:rPr>
          <w:rFonts w:ascii="Times New Roman" w:hAnsi="Times New Roman"/>
          <w:sz w:val="24"/>
          <w:szCs w:val="24"/>
        </w:rPr>
        <w:t xml:space="preserve"> resulted in a dose-dependent increase in relative fluorescence intensity </w:t>
      </w:r>
      <w:r w:rsidR="00B175B4">
        <w:rPr>
          <w:rFonts w:ascii="Times New Roman" w:hAnsi="Times New Roman"/>
          <w:sz w:val="24"/>
          <w:szCs w:val="24"/>
        </w:rPr>
        <w:t xml:space="preserve">thereby </w:t>
      </w:r>
      <w:r w:rsidR="005F2B3F">
        <w:rPr>
          <w:rFonts w:ascii="Times New Roman" w:hAnsi="Times New Roman"/>
          <w:sz w:val="24"/>
          <w:szCs w:val="24"/>
        </w:rPr>
        <w:t>indicating an increase in intra</w:t>
      </w:r>
      <w:r w:rsidR="00862E47">
        <w:rPr>
          <w:rFonts w:ascii="Times New Roman" w:hAnsi="Times New Roman"/>
          <w:sz w:val="24"/>
          <w:szCs w:val="24"/>
        </w:rPr>
        <w:t>cellular ROS level. No</w:t>
      </w:r>
      <w:r w:rsidR="005F2B3F">
        <w:rPr>
          <w:rFonts w:ascii="Times New Roman" w:hAnsi="Times New Roman"/>
          <w:sz w:val="24"/>
          <w:szCs w:val="24"/>
        </w:rPr>
        <w:t xml:space="preserve"> significant differences were observed between cultures treated with 10 </w:t>
      </w:r>
      <w:r w:rsidR="005F2B3F">
        <w:rPr>
          <w:rFonts w:cs="Calibri"/>
          <w:sz w:val="24"/>
          <w:szCs w:val="24"/>
        </w:rPr>
        <w:t>µ</w:t>
      </w:r>
      <w:r w:rsidR="005F2B3F">
        <w:rPr>
          <w:rFonts w:ascii="Times New Roman" w:hAnsi="Times New Roman"/>
          <w:sz w:val="24"/>
          <w:szCs w:val="24"/>
        </w:rPr>
        <w:t xml:space="preserve">g/ml extract compared to </w:t>
      </w:r>
      <w:r w:rsidR="000B6A83">
        <w:rPr>
          <w:rFonts w:ascii="Times New Roman" w:hAnsi="Times New Roman"/>
          <w:sz w:val="24"/>
          <w:szCs w:val="24"/>
        </w:rPr>
        <w:t xml:space="preserve">the </w:t>
      </w:r>
      <w:r w:rsidR="005F2B3F">
        <w:rPr>
          <w:rFonts w:ascii="Times New Roman" w:hAnsi="Times New Roman"/>
          <w:sz w:val="24"/>
          <w:szCs w:val="24"/>
        </w:rPr>
        <w:t>negative control. However, the intracellular ROS generation reached statistical significance (</w:t>
      </w:r>
      <w:bookmarkStart w:id="0" w:name="OLE_LINK1"/>
      <w:r w:rsidR="005F2B3F">
        <w:rPr>
          <w:rFonts w:ascii="Times New Roman" w:hAnsi="Times New Roman"/>
          <w:sz w:val="24"/>
          <w:szCs w:val="24"/>
        </w:rPr>
        <w:t xml:space="preserve">p </w:t>
      </w:r>
      <w:r w:rsidR="005F2B3F" w:rsidRPr="00DD1294">
        <w:rPr>
          <w:rFonts w:ascii="Times New Roman" w:hAnsi="Times New Roman"/>
          <w:sz w:val="24"/>
          <w:szCs w:val="24"/>
        </w:rPr>
        <w:t>≤</w:t>
      </w:r>
      <w:r w:rsidR="005F2B3F">
        <w:rPr>
          <w:rFonts w:ascii="Times New Roman" w:hAnsi="Times New Roman"/>
          <w:sz w:val="24"/>
          <w:szCs w:val="24"/>
        </w:rPr>
        <w:t xml:space="preserve"> 0.0001</w:t>
      </w:r>
      <w:bookmarkEnd w:id="0"/>
      <w:r w:rsidR="005F2B3F">
        <w:rPr>
          <w:rFonts w:ascii="Times New Roman" w:hAnsi="Times New Roman"/>
          <w:sz w:val="24"/>
          <w:szCs w:val="24"/>
        </w:rPr>
        <w:t xml:space="preserve">) at 20 </w:t>
      </w:r>
      <w:r w:rsidR="005F2B3F">
        <w:rPr>
          <w:rFonts w:cs="Calibri"/>
          <w:sz w:val="24"/>
          <w:szCs w:val="24"/>
        </w:rPr>
        <w:t>µ</w:t>
      </w:r>
      <w:r w:rsidR="005F2B3F">
        <w:rPr>
          <w:rFonts w:ascii="Times New Roman" w:hAnsi="Times New Roman"/>
          <w:sz w:val="24"/>
          <w:szCs w:val="24"/>
        </w:rPr>
        <w:t>g/ml and continued to rise in a dose</w:t>
      </w:r>
      <w:r w:rsidR="000B6A83">
        <w:rPr>
          <w:rFonts w:ascii="Times New Roman" w:hAnsi="Times New Roman"/>
          <w:sz w:val="24"/>
          <w:szCs w:val="24"/>
        </w:rPr>
        <w:t>-</w:t>
      </w:r>
      <w:r w:rsidR="005F2B3F">
        <w:rPr>
          <w:rFonts w:ascii="Times New Roman" w:hAnsi="Times New Roman"/>
          <w:sz w:val="24"/>
          <w:szCs w:val="24"/>
        </w:rPr>
        <w:t>depend</w:t>
      </w:r>
      <w:r w:rsidR="000B6A83">
        <w:rPr>
          <w:rFonts w:ascii="Times New Roman" w:hAnsi="Times New Roman"/>
          <w:sz w:val="24"/>
          <w:szCs w:val="24"/>
        </w:rPr>
        <w:t>e</w:t>
      </w:r>
      <w:r w:rsidR="005F2B3F">
        <w:rPr>
          <w:rFonts w:ascii="Times New Roman" w:hAnsi="Times New Roman"/>
          <w:sz w:val="24"/>
          <w:szCs w:val="24"/>
        </w:rPr>
        <w:t xml:space="preserve">nt manner at higher concentrations, highlighting the surge in oxidative insults at these experimental points. </w:t>
      </w:r>
      <w:r w:rsidR="004B7CDE">
        <w:rPr>
          <w:rFonts w:ascii="Times New Roman" w:hAnsi="Times New Roman"/>
          <w:sz w:val="24"/>
          <w:szCs w:val="24"/>
        </w:rPr>
        <w:t>Given the link between intracellular ROS level and intrinsic antioxidant enzymes activities, t</w:t>
      </w:r>
      <w:r w:rsidR="005F2B3F">
        <w:rPr>
          <w:rFonts w:ascii="Times New Roman" w:hAnsi="Times New Roman"/>
          <w:sz w:val="24"/>
          <w:szCs w:val="24"/>
        </w:rPr>
        <w:t>he</w:t>
      </w:r>
      <w:r w:rsidR="00A633EC">
        <w:rPr>
          <w:rFonts w:ascii="Times New Roman" w:hAnsi="Times New Roman"/>
          <w:sz w:val="24"/>
          <w:szCs w:val="24"/>
        </w:rPr>
        <w:t xml:space="preserve"> effect of</w:t>
      </w:r>
      <w:r w:rsidR="00963CEA">
        <w:rPr>
          <w:rFonts w:ascii="Times New Roman" w:hAnsi="Times New Roman"/>
          <w:sz w:val="24"/>
          <w:szCs w:val="24"/>
        </w:rPr>
        <w:t xml:space="preserve"> </w:t>
      </w:r>
      <w:r w:rsidR="00963CEA" w:rsidRPr="00963CEA">
        <w:rPr>
          <w:rFonts w:ascii="Times New Roman" w:hAnsi="Times New Roman"/>
          <w:i/>
          <w:sz w:val="24"/>
          <w:szCs w:val="24"/>
        </w:rPr>
        <w:t xml:space="preserve">S. </w:t>
      </w:r>
      <w:proofErr w:type="spellStart"/>
      <w:r w:rsidR="00963CEA" w:rsidRPr="00963CEA">
        <w:rPr>
          <w:rFonts w:ascii="Times New Roman" w:hAnsi="Times New Roman"/>
          <w:i/>
          <w:sz w:val="24"/>
          <w:szCs w:val="24"/>
        </w:rPr>
        <w:t>coriaceum</w:t>
      </w:r>
      <w:proofErr w:type="spellEnd"/>
      <w:r w:rsidR="00B83EBD">
        <w:rPr>
          <w:rFonts w:ascii="Times New Roman" w:hAnsi="Times New Roman"/>
          <w:sz w:val="24"/>
          <w:szCs w:val="24"/>
        </w:rPr>
        <w:t xml:space="preserve"> </w:t>
      </w:r>
      <w:r w:rsidR="00DA06A3">
        <w:rPr>
          <w:rFonts w:ascii="Times New Roman" w:hAnsi="Times New Roman"/>
          <w:sz w:val="24"/>
          <w:szCs w:val="24"/>
        </w:rPr>
        <w:t xml:space="preserve">on </w:t>
      </w:r>
      <w:r w:rsidR="000C3B06">
        <w:rPr>
          <w:rFonts w:ascii="Times New Roman" w:hAnsi="Times New Roman"/>
          <w:sz w:val="24"/>
          <w:szCs w:val="24"/>
        </w:rPr>
        <w:t xml:space="preserve">HepG2 </w:t>
      </w:r>
      <w:r w:rsidR="00E74E4E">
        <w:rPr>
          <w:rFonts w:ascii="Times New Roman" w:hAnsi="Times New Roman"/>
          <w:sz w:val="24"/>
          <w:szCs w:val="24"/>
        </w:rPr>
        <w:t>intra</w:t>
      </w:r>
      <w:r w:rsidR="000C3B06">
        <w:rPr>
          <w:rFonts w:ascii="Times New Roman" w:hAnsi="Times New Roman"/>
          <w:sz w:val="24"/>
          <w:szCs w:val="24"/>
        </w:rPr>
        <w:t>cellular</w:t>
      </w:r>
      <w:r w:rsidR="009165A6">
        <w:rPr>
          <w:rFonts w:ascii="Times New Roman" w:hAnsi="Times New Roman"/>
          <w:sz w:val="24"/>
          <w:szCs w:val="24"/>
        </w:rPr>
        <w:t xml:space="preserve"> </w:t>
      </w:r>
      <w:r w:rsidR="00822EA1">
        <w:rPr>
          <w:rFonts w:ascii="Times New Roman" w:hAnsi="Times New Roman"/>
          <w:sz w:val="24"/>
          <w:szCs w:val="24"/>
        </w:rPr>
        <w:t>SOD, CAT</w:t>
      </w:r>
      <w:r w:rsidR="009165A6">
        <w:rPr>
          <w:rFonts w:ascii="Times New Roman" w:hAnsi="Times New Roman"/>
          <w:sz w:val="24"/>
          <w:szCs w:val="24"/>
        </w:rPr>
        <w:t xml:space="preserve"> and </w:t>
      </w:r>
      <w:proofErr w:type="spellStart"/>
      <w:r w:rsidR="00822EA1">
        <w:rPr>
          <w:rFonts w:ascii="Times New Roman" w:hAnsi="Times New Roman"/>
          <w:sz w:val="24"/>
          <w:szCs w:val="24"/>
        </w:rPr>
        <w:t>GPx</w:t>
      </w:r>
      <w:proofErr w:type="spellEnd"/>
      <w:r w:rsidR="00822EA1">
        <w:rPr>
          <w:rFonts w:ascii="Times New Roman" w:hAnsi="Times New Roman"/>
          <w:sz w:val="24"/>
          <w:szCs w:val="24"/>
        </w:rPr>
        <w:t xml:space="preserve"> activities</w:t>
      </w:r>
      <w:r w:rsidR="000C3B06">
        <w:rPr>
          <w:rFonts w:ascii="Times New Roman" w:hAnsi="Times New Roman"/>
          <w:sz w:val="24"/>
          <w:szCs w:val="24"/>
        </w:rPr>
        <w:t>, following</w:t>
      </w:r>
      <w:r w:rsidR="00822EA1">
        <w:rPr>
          <w:rFonts w:ascii="Times New Roman" w:hAnsi="Times New Roman"/>
          <w:sz w:val="24"/>
          <w:szCs w:val="24"/>
        </w:rPr>
        <w:t xml:space="preserve"> 48-hour</w:t>
      </w:r>
      <w:r w:rsidR="006B50B0">
        <w:rPr>
          <w:rFonts w:ascii="Times New Roman" w:hAnsi="Times New Roman"/>
          <w:sz w:val="24"/>
          <w:szCs w:val="24"/>
        </w:rPr>
        <w:t xml:space="preserve"> </w:t>
      </w:r>
      <w:r w:rsidR="000C3B06">
        <w:rPr>
          <w:rFonts w:ascii="Times New Roman" w:hAnsi="Times New Roman"/>
          <w:sz w:val="24"/>
          <w:szCs w:val="24"/>
        </w:rPr>
        <w:t>treatment,</w:t>
      </w:r>
      <w:r w:rsidR="006B50B0">
        <w:rPr>
          <w:rFonts w:ascii="Times New Roman" w:hAnsi="Times New Roman"/>
          <w:sz w:val="24"/>
          <w:szCs w:val="24"/>
        </w:rPr>
        <w:t xml:space="preserve"> </w:t>
      </w:r>
      <w:r w:rsidR="005F2B3F">
        <w:rPr>
          <w:rFonts w:ascii="Times New Roman" w:hAnsi="Times New Roman"/>
          <w:sz w:val="24"/>
          <w:szCs w:val="24"/>
        </w:rPr>
        <w:t xml:space="preserve">were evaluated at three different concentrations corresponding to half </w:t>
      </w:r>
      <w:r w:rsidR="005F2B3F" w:rsidRPr="008172F9">
        <w:rPr>
          <w:rFonts w:ascii="Times New Roman" w:hAnsi="Times New Roman"/>
          <w:i/>
          <w:sz w:val="24"/>
          <w:szCs w:val="24"/>
        </w:rPr>
        <w:t>IC</w:t>
      </w:r>
      <w:r w:rsidR="005F2B3F" w:rsidRPr="008172F9">
        <w:rPr>
          <w:rFonts w:ascii="Times New Roman" w:hAnsi="Times New Roman"/>
          <w:i/>
          <w:sz w:val="24"/>
          <w:szCs w:val="24"/>
          <w:vertAlign w:val="subscript"/>
        </w:rPr>
        <w:t>50</w:t>
      </w:r>
      <w:r w:rsidR="005F2B3F" w:rsidRPr="008172F9">
        <w:rPr>
          <w:rFonts w:ascii="Times New Roman" w:hAnsi="Times New Roman"/>
          <w:i/>
          <w:sz w:val="24"/>
          <w:szCs w:val="24"/>
        </w:rPr>
        <w:t>,</w:t>
      </w:r>
      <w:r w:rsidR="005F2B3F">
        <w:rPr>
          <w:rFonts w:ascii="Times New Roman" w:hAnsi="Times New Roman"/>
          <w:sz w:val="24"/>
          <w:szCs w:val="24"/>
        </w:rPr>
        <w:t xml:space="preserve"> </w:t>
      </w:r>
      <w:r w:rsidR="005F2B3F" w:rsidRPr="008172F9">
        <w:rPr>
          <w:rFonts w:ascii="Times New Roman" w:hAnsi="Times New Roman"/>
          <w:i/>
          <w:sz w:val="24"/>
          <w:szCs w:val="24"/>
        </w:rPr>
        <w:t>IC</w:t>
      </w:r>
      <w:r w:rsidR="005F2B3F" w:rsidRPr="008172F9">
        <w:rPr>
          <w:rFonts w:ascii="Times New Roman" w:hAnsi="Times New Roman"/>
          <w:i/>
          <w:sz w:val="24"/>
          <w:szCs w:val="24"/>
          <w:vertAlign w:val="subscript"/>
        </w:rPr>
        <w:t>50</w:t>
      </w:r>
      <w:r w:rsidR="005F2B3F">
        <w:rPr>
          <w:rFonts w:ascii="Times New Roman" w:hAnsi="Times New Roman"/>
          <w:sz w:val="24"/>
          <w:szCs w:val="24"/>
        </w:rPr>
        <w:t xml:space="preserve"> and 2</w:t>
      </w:r>
      <w:r w:rsidR="006F7131">
        <w:rPr>
          <w:rFonts w:ascii="Times New Roman" w:hAnsi="Times New Roman"/>
          <w:sz w:val="24"/>
          <w:szCs w:val="24"/>
        </w:rPr>
        <w:t xml:space="preserve"> </w:t>
      </w:r>
      <w:r w:rsidR="005F2B3F">
        <w:rPr>
          <w:rFonts w:ascii="Times New Roman" w:hAnsi="Times New Roman"/>
          <w:sz w:val="24"/>
          <w:szCs w:val="24"/>
        </w:rPr>
        <w:t xml:space="preserve">X </w:t>
      </w:r>
      <w:r w:rsidR="005F2B3F" w:rsidRPr="008172F9">
        <w:rPr>
          <w:rFonts w:ascii="Times New Roman" w:hAnsi="Times New Roman"/>
          <w:i/>
          <w:sz w:val="24"/>
          <w:szCs w:val="24"/>
        </w:rPr>
        <w:t>IC</w:t>
      </w:r>
      <w:r w:rsidR="005F2B3F" w:rsidRPr="008172F9">
        <w:rPr>
          <w:rFonts w:ascii="Times New Roman" w:hAnsi="Times New Roman"/>
          <w:i/>
          <w:sz w:val="24"/>
          <w:szCs w:val="24"/>
          <w:vertAlign w:val="subscript"/>
        </w:rPr>
        <w:t>50</w:t>
      </w:r>
      <w:r w:rsidR="005F2B3F">
        <w:rPr>
          <w:rFonts w:ascii="Times New Roman" w:hAnsi="Times New Roman"/>
          <w:sz w:val="24"/>
          <w:szCs w:val="24"/>
        </w:rPr>
        <w:t xml:space="preserve"> values. </w:t>
      </w:r>
      <w:r w:rsidR="009E3F73">
        <w:rPr>
          <w:rFonts w:ascii="Times New Roman" w:hAnsi="Times New Roman"/>
          <w:sz w:val="24"/>
          <w:szCs w:val="24"/>
        </w:rPr>
        <w:t>Figure 3</w:t>
      </w:r>
      <w:r w:rsidR="006221BB">
        <w:rPr>
          <w:rFonts w:ascii="Times New Roman" w:hAnsi="Times New Roman"/>
          <w:sz w:val="24"/>
          <w:szCs w:val="24"/>
        </w:rPr>
        <w:t xml:space="preserve"> depicts the status of </w:t>
      </w:r>
      <w:r w:rsidR="00902591">
        <w:rPr>
          <w:rFonts w:ascii="Times New Roman" w:hAnsi="Times New Roman"/>
          <w:sz w:val="24"/>
          <w:szCs w:val="24"/>
        </w:rPr>
        <w:t xml:space="preserve">SOD, CAT and </w:t>
      </w:r>
      <w:proofErr w:type="spellStart"/>
      <w:r w:rsidR="00902591">
        <w:rPr>
          <w:rFonts w:ascii="Times New Roman" w:hAnsi="Times New Roman"/>
          <w:sz w:val="24"/>
          <w:szCs w:val="24"/>
        </w:rPr>
        <w:t>GPx</w:t>
      </w:r>
      <w:proofErr w:type="spellEnd"/>
      <w:r w:rsidR="00902591">
        <w:rPr>
          <w:rFonts w:ascii="Times New Roman" w:hAnsi="Times New Roman"/>
          <w:sz w:val="24"/>
          <w:szCs w:val="24"/>
        </w:rPr>
        <w:t xml:space="preserve"> </w:t>
      </w:r>
      <w:r w:rsidR="006B50B0">
        <w:rPr>
          <w:rFonts w:ascii="Times New Roman" w:hAnsi="Times New Roman"/>
          <w:sz w:val="24"/>
          <w:szCs w:val="24"/>
        </w:rPr>
        <w:t>enzymes</w:t>
      </w:r>
      <w:r w:rsidR="006221BB">
        <w:rPr>
          <w:rFonts w:ascii="Times New Roman" w:hAnsi="Times New Roman"/>
          <w:sz w:val="24"/>
          <w:szCs w:val="24"/>
        </w:rPr>
        <w:t xml:space="preserve"> activities. </w:t>
      </w:r>
    </w:p>
    <w:p w14:paraId="129D64A2" w14:textId="77777777" w:rsidR="00262673" w:rsidRPr="00262673" w:rsidRDefault="00262673" w:rsidP="00262673">
      <w:pPr>
        <w:spacing w:line="276" w:lineRule="auto"/>
        <w:jc w:val="both"/>
        <w:rPr>
          <w:rFonts w:ascii="Times New Roman" w:eastAsiaTheme="minorHAnsi" w:hAnsi="Times New Roman" w:cstheme="minorBidi"/>
          <w:color w:val="00B050"/>
          <w:sz w:val="24"/>
          <w:szCs w:val="24"/>
        </w:rPr>
      </w:pPr>
      <w:r w:rsidRPr="00262673">
        <w:rPr>
          <w:rFonts w:ascii="Times New Roman" w:eastAsiaTheme="minorHAnsi" w:hAnsi="Times New Roman" w:cstheme="minorBidi"/>
          <w:i/>
          <w:color w:val="00B050"/>
          <w:sz w:val="24"/>
          <w:szCs w:val="24"/>
        </w:rPr>
        <w:t xml:space="preserve">S. </w:t>
      </w:r>
      <w:proofErr w:type="spellStart"/>
      <w:r w:rsidRPr="00262673">
        <w:rPr>
          <w:rFonts w:ascii="Times New Roman" w:eastAsiaTheme="minorHAnsi" w:hAnsi="Times New Roman" w:cstheme="minorBidi"/>
          <w:i/>
          <w:color w:val="00B050"/>
          <w:sz w:val="24"/>
          <w:szCs w:val="24"/>
        </w:rPr>
        <w:t>coriaceum</w:t>
      </w:r>
      <w:proofErr w:type="spellEnd"/>
      <w:r w:rsidRPr="00262673">
        <w:rPr>
          <w:rFonts w:ascii="Times New Roman" w:eastAsiaTheme="minorHAnsi" w:hAnsi="Times New Roman" w:cstheme="minorBidi"/>
          <w:color w:val="00B050"/>
          <w:sz w:val="24"/>
          <w:szCs w:val="24"/>
        </w:rPr>
        <w:t xml:space="preserve"> leaf extract (10 µg/ml) </w:t>
      </w:r>
      <w:r w:rsidRPr="00262673">
        <w:rPr>
          <w:rFonts w:ascii="Times New Roman" w:eastAsiaTheme="minorHAnsi" w:hAnsi="Times New Roman" w:cstheme="minorBidi"/>
          <w:color w:val="00B050"/>
          <w:sz w:val="24"/>
          <w:szCs w:val="24"/>
          <w:lang w:val="en-US"/>
        </w:rPr>
        <w:t xml:space="preserve">treatment </w:t>
      </w:r>
      <w:r w:rsidRPr="00262673">
        <w:rPr>
          <w:rFonts w:ascii="Times New Roman" w:eastAsiaTheme="minorHAnsi" w:hAnsi="Times New Roman" w:cstheme="minorBidi"/>
          <w:color w:val="00B050"/>
          <w:sz w:val="24"/>
          <w:szCs w:val="24"/>
        </w:rPr>
        <w:t>resulted in a significant decrease in</w:t>
      </w:r>
      <w:r w:rsidRPr="00262673">
        <w:rPr>
          <w:rFonts w:ascii="Times New Roman" w:eastAsiaTheme="minorHAnsi" w:hAnsi="Times New Roman" w:cstheme="minorBidi"/>
          <w:color w:val="00B050"/>
          <w:sz w:val="24"/>
          <w:szCs w:val="24"/>
          <w:lang w:val="en-US"/>
        </w:rPr>
        <w:t xml:space="preserve"> HepG2 cells SOD activity </w:t>
      </w:r>
      <w:r w:rsidRPr="00262673">
        <w:rPr>
          <w:rFonts w:ascii="Times New Roman" w:eastAsiaTheme="minorHAnsi" w:hAnsi="Times New Roman" w:cstheme="minorBidi"/>
          <w:color w:val="00B050"/>
          <w:sz w:val="24"/>
          <w:szCs w:val="24"/>
        </w:rPr>
        <w:t>(p ≤ 0.01).</w:t>
      </w:r>
      <w:r w:rsidRPr="00262673">
        <w:rPr>
          <w:rFonts w:ascii="Times New Roman" w:eastAsiaTheme="minorHAnsi" w:hAnsi="Times New Roman" w:cstheme="minorBidi"/>
          <w:color w:val="00B050"/>
          <w:sz w:val="24"/>
          <w:szCs w:val="24"/>
          <w:lang w:val="en-US"/>
        </w:rPr>
        <w:t xml:space="preserve"> </w:t>
      </w:r>
      <w:r w:rsidRPr="00262673">
        <w:rPr>
          <w:rFonts w:ascii="Times New Roman" w:eastAsiaTheme="minorHAnsi" w:hAnsi="Times New Roman" w:cstheme="minorBidi"/>
          <w:color w:val="00B050"/>
          <w:sz w:val="24"/>
          <w:szCs w:val="24"/>
        </w:rPr>
        <w:t>However, a gradual increment in SOD activity was noted from 10 µg/ml to 20 µg/ml. The activity reached that of untreated control at 40 µg/ml extract concentration (Figure 3A).</w:t>
      </w:r>
    </w:p>
    <w:p w14:paraId="62844D3E" w14:textId="2F913C73" w:rsidR="00262673" w:rsidRPr="00707233" w:rsidRDefault="00262673" w:rsidP="00262673">
      <w:pPr>
        <w:spacing w:line="276" w:lineRule="auto"/>
        <w:jc w:val="both"/>
        <w:rPr>
          <w:rFonts w:ascii="Times New Roman" w:eastAsiaTheme="minorHAnsi" w:hAnsi="Times New Roman" w:cstheme="minorBidi"/>
          <w:color w:val="00B050"/>
          <w:sz w:val="24"/>
          <w:szCs w:val="24"/>
        </w:rPr>
      </w:pPr>
      <w:r w:rsidRPr="00262673">
        <w:rPr>
          <w:rFonts w:ascii="Times New Roman" w:eastAsiaTheme="minorHAnsi" w:hAnsi="Times New Roman" w:cstheme="minorBidi"/>
          <w:color w:val="00B050"/>
          <w:sz w:val="24"/>
          <w:szCs w:val="24"/>
        </w:rPr>
        <w:t xml:space="preserve">Contrary to SOD, </w:t>
      </w:r>
      <w:r w:rsidRPr="00262673">
        <w:rPr>
          <w:rFonts w:ascii="Times New Roman" w:eastAsiaTheme="minorHAnsi" w:hAnsi="Times New Roman" w:cstheme="minorBidi"/>
          <w:i/>
          <w:color w:val="00B050"/>
          <w:sz w:val="24"/>
          <w:szCs w:val="24"/>
        </w:rPr>
        <w:t xml:space="preserve">S. </w:t>
      </w:r>
      <w:proofErr w:type="spellStart"/>
      <w:r w:rsidRPr="00262673">
        <w:rPr>
          <w:rFonts w:ascii="Times New Roman" w:eastAsiaTheme="minorHAnsi" w:hAnsi="Times New Roman" w:cstheme="minorBidi"/>
          <w:i/>
          <w:color w:val="00B050"/>
          <w:sz w:val="24"/>
          <w:szCs w:val="24"/>
        </w:rPr>
        <w:t>coriaceum</w:t>
      </w:r>
      <w:proofErr w:type="spellEnd"/>
      <w:r w:rsidRPr="00262673">
        <w:rPr>
          <w:rFonts w:ascii="Times New Roman" w:eastAsiaTheme="minorHAnsi" w:hAnsi="Times New Roman" w:cstheme="minorBidi"/>
          <w:i/>
          <w:color w:val="00B050"/>
          <w:sz w:val="24"/>
          <w:szCs w:val="24"/>
        </w:rPr>
        <w:t xml:space="preserve"> </w:t>
      </w:r>
      <w:r w:rsidRPr="00262673">
        <w:rPr>
          <w:rFonts w:ascii="Times New Roman" w:eastAsiaTheme="minorHAnsi" w:hAnsi="Times New Roman" w:cstheme="minorBidi"/>
          <w:color w:val="00B050"/>
          <w:sz w:val="24"/>
          <w:szCs w:val="24"/>
        </w:rPr>
        <w:t xml:space="preserve">treatment induced a dose-dependent decrease (p ≤ 0.05) in CAT enzyme activities at </w:t>
      </w:r>
      <w:r w:rsidR="00707233">
        <w:rPr>
          <w:rFonts w:ascii="Times New Roman" w:eastAsiaTheme="minorHAnsi" w:hAnsi="Times New Roman" w:cstheme="minorBidi"/>
          <w:color w:val="00B050"/>
          <w:sz w:val="24"/>
          <w:szCs w:val="24"/>
        </w:rPr>
        <w:t xml:space="preserve">the </w:t>
      </w:r>
      <w:r w:rsidRPr="00262673">
        <w:rPr>
          <w:rFonts w:ascii="Times New Roman" w:eastAsiaTheme="minorHAnsi" w:hAnsi="Times New Roman" w:cstheme="minorBidi"/>
          <w:color w:val="00B050"/>
          <w:sz w:val="24"/>
          <w:szCs w:val="24"/>
        </w:rPr>
        <w:t>three concentrations tested (Figure 3D).</w:t>
      </w:r>
      <w:r w:rsidR="00707233">
        <w:rPr>
          <w:rFonts w:ascii="Times New Roman" w:eastAsiaTheme="minorHAnsi" w:hAnsi="Times New Roman" w:cstheme="minorBidi"/>
          <w:color w:val="00B050"/>
          <w:sz w:val="24"/>
          <w:szCs w:val="24"/>
        </w:rPr>
        <w:t xml:space="preserve">  </w:t>
      </w:r>
      <w:r w:rsidRPr="00262673">
        <w:rPr>
          <w:rFonts w:ascii="Times New Roman" w:eastAsiaTheme="minorHAnsi" w:hAnsi="Times New Roman" w:cstheme="minorBidi"/>
          <w:i/>
          <w:color w:val="00B050"/>
          <w:sz w:val="24"/>
          <w:szCs w:val="24"/>
        </w:rPr>
        <w:t xml:space="preserve">S. </w:t>
      </w:r>
      <w:proofErr w:type="spellStart"/>
      <w:r w:rsidRPr="00262673">
        <w:rPr>
          <w:rFonts w:ascii="Times New Roman" w:eastAsiaTheme="minorHAnsi" w:hAnsi="Times New Roman" w:cstheme="minorBidi"/>
          <w:i/>
          <w:color w:val="00B050"/>
          <w:sz w:val="24"/>
          <w:szCs w:val="24"/>
        </w:rPr>
        <w:t>coriaceum</w:t>
      </w:r>
      <w:proofErr w:type="spellEnd"/>
      <w:r w:rsidRPr="00262673">
        <w:rPr>
          <w:rFonts w:ascii="Times New Roman" w:eastAsiaTheme="minorHAnsi" w:hAnsi="Times New Roman" w:cstheme="minorBidi"/>
          <w:i/>
          <w:color w:val="00B050"/>
          <w:sz w:val="24"/>
          <w:szCs w:val="24"/>
        </w:rPr>
        <w:t xml:space="preserve"> </w:t>
      </w:r>
      <w:r w:rsidRPr="00262673">
        <w:rPr>
          <w:rFonts w:ascii="Times New Roman" w:eastAsiaTheme="minorHAnsi" w:hAnsi="Times New Roman" w:cstheme="minorBidi"/>
          <w:color w:val="00B050"/>
          <w:sz w:val="24"/>
          <w:szCs w:val="24"/>
        </w:rPr>
        <w:t xml:space="preserve">treatment </w:t>
      </w:r>
      <w:r w:rsidR="00707233">
        <w:rPr>
          <w:rFonts w:ascii="Times New Roman" w:eastAsiaTheme="minorHAnsi" w:hAnsi="Times New Roman" w:cstheme="minorBidi"/>
          <w:color w:val="00B050"/>
          <w:sz w:val="24"/>
          <w:szCs w:val="24"/>
        </w:rPr>
        <w:t xml:space="preserve">also </w:t>
      </w:r>
      <w:r w:rsidRPr="00262673">
        <w:rPr>
          <w:rFonts w:ascii="Times New Roman" w:eastAsiaTheme="minorHAnsi" w:hAnsi="Times New Roman" w:cstheme="minorBidi"/>
          <w:color w:val="00B050"/>
          <w:sz w:val="24"/>
          <w:szCs w:val="24"/>
        </w:rPr>
        <w:t xml:space="preserve">induced a dose-dependent decrease in </w:t>
      </w:r>
      <w:proofErr w:type="spellStart"/>
      <w:r w:rsidR="00707233">
        <w:rPr>
          <w:rFonts w:ascii="Times New Roman" w:eastAsiaTheme="minorHAnsi" w:hAnsi="Times New Roman" w:cstheme="minorBidi"/>
          <w:color w:val="00B050"/>
          <w:sz w:val="24"/>
          <w:szCs w:val="24"/>
        </w:rPr>
        <w:t>GPx</w:t>
      </w:r>
      <w:proofErr w:type="spellEnd"/>
      <w:r w:rsidR="00707233">
        <w:rPr>
          <w:rFonts w:ascii="Times New Roman" w:eastAsiaTheme="minorHAnsi" w:hAnsi="Times New Roman" w:cstheme="minorBidi"/>
          <w:color w:val="00B050"/>
          <w:sz w:val="24"/>
          <w:szCs w:val="24"/>
        </w:rPr>
        <w:t xml:space="preserve"> </w:t>
      </w:r>
      <w:r w:rsidRPr="00262673">
        <w:rPr>
          <w:rFonts w:ascii="Times New Roman" w:eastAsiaTheme="minorHAnsi" w:hAnsi="Times New Roman" w:cstheme="minorBidi"/>
          <w:color w:val="00B050"/>
          <w:sz w:val="24"/>
          <w:szCs w:val="24"/>
        </w:rPr>
        <w:t>enzyme activities, with the reduction reaching statistical significance (p ≤ 0.05) at concentrations equivalent to 20 µg/ml and 40 µg/ml (Figure 3G).</w:t>
      </w:r>
    </w:p>
    <w:p w14:paraId="3613CAA4" w14:textId="77777777" w:rsidR="00E40157" w:rsidRDefault="00E40157" w:rsidP="003357BF">
      <w:pPr>
        <w:spacing w:line="276" w:lineRule="auto"/>
        <w:jc w:val="both"/>
        <w:rPr>
          <w:rFonts w:ascii="Times New Roman" w:hAnsi="Times New Roman"/>
          <w:sz w:val="24"/>
          <w:szCs w:val="24"/>
        </w:rPr>
      </w:pPr>
    </w:p>
    <w:p w14:paraId="67BC1ADF" w14:textId="3EDF4DB4" w:rsidR="005F2B3F" w:rsidRDefault="00E31225" w:rsidP="006242A9">
      <w:pPr>
        <w:pStyle w:val="ListParagraph"/>
        <w:numPr>
          <w:ilvl w:val="1"/>
          <w:numId w:val="2"/>
        </w:numPr>
        <w:spacing w:line="276" w:lineRule="auto"/>
        <w:jc w:val="both"/>
        <w:rPr>
          <w:rFonts w:ascii="Times New Roman" w:hAnsi="Times New Roman"/>
          <w:b/>
          <w:sz w:val="24"/>
          <w:szCs w:val="24"/>
        </w:rPr>
      </w:pPr>
      <w:r>
        <w:rPr>
          <w:rFonts w:ascii="Times New Roman" w:hAnsi="Times New Roman"/>
          <w:b/>
          <w:sz w:val="24"/>
          <w:szCs w:val="24"/>
        </w:rPr>
        <w:t>CYTOTOXICITY-</w:t>
      </w:r>
      <w:r w:rsidRPr="00E31225">
        <w:rPr>
          <w:rFonts w:ascii="Times New Roman" w:hAnsi="Times New Roman"/>
          <w:b/>
          <w:sz w:val="24"/>
          <w:szCs w:val="24"/>
        </w:rPr>
        <w:t>DIRECTED PURIFICATION OF POTENT FRACTIONS AND CHARACTERISATION OF BIOACTIVE COMPOUNDS.</w:t>
      </w:r>
    </w:p>
    <w:p w14:paraId="365FDDAA" w14:textId="4B33EEBE" w:rsidR="005F2B3F" w:rsidRDefault="005F2B3F" w:rsidP="00C15F5B">
      <w:pPr>
        <w:spacing w:line="276" w:lineRule="auto"/>
        <w:jc w:val="both"/>
        <w:rPr>
          <w:rFonts w:ascii="Times New Roman" w:hAnsi="Times New Roman"/>
          <w:sz w:val="24"/>
          <w:szCs w:val="24"/>
          <w:lang w:val="en-US"/>
        </w:rPr>
      </w:pPr>
      <w:r w:rsidRPr="00A31206">
        <w:rPr>
          <w:rFonts w:ascii="Times New Roman" w:hAnsi="Times New Roman"/>
          <w:sz w:val="24"/>
          <w:szCs w:val="24"/>
        </w:rPr>
        <w:t>The bioassay-guided fraction</w:t>
      </w:r>
      <w:r w:rsidR="008352EB">
        <w:rPr>
          <w:rFonts w:ascii="Times New Roman" w:hAnsi="Times New Roman"/>
          <w:sz w:val="24"/>
          <w:szCs w:val="24"/>
        </w:rPr>
        <w:t>ation</w:t>
      </w:r>
      <w:r w:rsidRPr="00A31206">
        <w:rPr>
          <w:rFonts w:ascii="Times New Roman" w:hAnsi="Times New Roman"/>
          <w:sz w:val="24"/>
          <w:szCs w:val="24"/>
        </w:rPr>
        <w:t xml:space="preserve"> of </w:t>
      </w:r>
      <w:r w:rsidRPr="00A31206">
        <w:rPr>
          <w:rFonts w:ascii="Times New Roman" w:hAnsi="Times New Roman"/>
          <w:i/>
          <w:sz w:val="24"/>
          <w:szCs w:val="24"/>
        </w:rPr>
        <w:t xml:space="preserve">S. </w:t>
      </w:r>
      <w:proofErr w:type="spellStart"/>
      <w:r w:rsidRPr="00A31206">
        <w:rPr>
          <w:rFonts w:ascii="Times New Roman" w:hAnsi="Times New Roman"/>
          <w:i/>
          <w:sz w:val="24"/>
          <w:szCs w:val="24"/>
        </w:rPr>
        <w:t>coriaceum</w:t>
      </w:r>
      <w:proofErr w:type="spellEnd"/>
      <w:r w:rsidRPr="00A31206">
        <w:rPr>
          <w:rFonts w:ascii="Times New Roman" w:hAnsi="Times New Roman"/>
          <w:sz w:val="24"/>
          <w:szCs w:val="24"/>
        </w:rPr>
        <w:t xml:space="preserve"> total extract was carried out, </w:t>
      </w:r>
      <w:r w:rsidR="000B6A83">
        <w:rPr>
          <w:rFonts w:ascii="Times New Roman" w:hAnsi="Times New Roman"/>
          <w:sz w:val="24"/>
          <w:szCs w:val="24"/>
        </w:rPr>
        <w:t>to identify</w:t>
      </w:r>
      <w:r w:rsidRPr="00A31206">
        <w:rPr>
          <w:rFonts w:ascii="Times New Roman" w:hAnsi="Times New Roman"/>
          <w:sz w:val="24"/>
          <w:szCs w:val="24"/>
        </w:rPr>
        <w:t xml:space="preserve"> bioactive compounds </w:t>
      </w:r>
      <w:r w:rsidR="00DB3572" w:rsidRPr="00DB3572">
        <w:rPr>
          <w:rFonts w:ascii="Times New Roman" w:hAnsi="Times New Roman"/>
          <w:sz w:val="24"/>
          <w:szCs w:val="24"/>
          <w:lang w:val="en-US"/>
        </w:rPr>
        <w:t>responsible for the extracts potent cytotoxicity against HepG2 cells</w:t>
      </w:r>
      <w:r w:rsidRPr="00A31206">
        <w:rPr>
          <w:rFonts w:ascii="Times New Roman" w:hAnsi="Times New Roman"/>
          <w:sz w:val="24"/>
          <w:szCs w:val="24"/>
        </w:rPr>
        <w:t>. Solvent fractionation of total extract yielded ethyl acetate, n-butanol and water-soluble fractions. The ethyl acetate fraction was more cytotoxic to cancerous cells compared to the n-butanol and water-soluble fraction (</w:t>
      </w:r>
      <w:r w:rsidRPr="00AE7D02">
        <w:rPr>
          <w:rFonts w:ascii="Times New Roman" w:hAnsi="Times New Roman"/>
          <w:b/>
          <w:sz w:val="24"/>
          <w:szCs w:val="24"/>
        </w:rPr>
        <w:t>Table 2</w:t>
      </w:r>
      <w:r w:rsidRPr="00A31206">
        <w:rPr>
          <w:rFonts w:ascii="Times New Roman" w:hAnsi="Times New Roman"/>
          <w:sz w:val="24"/>
          <w:szCs w:val="24"/>
        </w:rPr>
        <w:t xml:space="preserve">). The most potent cytotoxicity of ethyl acetate fraction was observed against HepG2 cells. Human hepatocellular carcinoma was therefore used as a model for further cytotoxicity- directed fractionation of </w:t>
      </w:r>
      <w:r w:rsidRPr="00A31206">
        <w:rPr>
          <w:rFonts w:ascii="Times New Roman" w:hAnsi="Times New Roman"/>
          <w:i/>
          <w:sz w:val="24"/>
          <w:szCs w:val="24"/>
        </w:rPr>
        <w:t xml:space="preserve">S. </w:t>
      </w:r>
      <w:proofErr w:type="spellStart"/>
      <w:r w:rsidRPr="00A31206">
        <w:rPr>
          <w:rFonts w:ascii="Times New Roman" w:hAnsi="Times New Roman"/>
          <w:i/>
          <w:sz w:val="24"/>
          <w:szCs w:val="24"/>
        </w:rPr>
        <w:t>coriaceum</w:t>
      </w:r>
      <w:proofErr w:type="spellEnd"/>
      <w:r w:rsidRPr="00A31206">
        <w:rPr>
          <w:rFonts w:ascii="Times New Roman" w:hAnsi="Times New Roman"/>
          <w:sz w:val="24"/>
          <w:szCs w:val="24"/>
        </w:rPr>
        <w:t xml:space="preserve"> ethyl acetate fraction. Sephadex LH-20 </w:t>
      </w:r>
      <w:r w:rsidRPr="00A31206">
        <w:rPr>
          <w:rFonts w:ascii="Times New Roman" w:hAnsi="Times New Roman"/>
          <w:noProof/>
          <w:sz w:val="24"/>
          <w:szCs w:val="24"/>
        </w:rPr>
        <w:t>column</w:t>
      </w:r>
      <w:r w:rsidRPr="00A31206">
        <w:rPr>
          <w:rFonts w:ascii="Times New Roman" w:hAnsi="Times New Roman"/>
          <w:sz w:val="24"/>
          <w:szCs w:val="24"/>
        </w:rPr>
        <w:t xml:space="preserve"> </w:t>
      </w:r>
      <w:r w:rsidRPr="00A31206">
        <w:rPr>
          <w:rFonts w:ascii="Times New Roman" w:hAnsi="Times New Roman"/>
          <w:noProof/>
          <w:sz w:val="24"/>
          <w:szCs w:val="24"/>
        </w:rPr>
        <w:t xml:space="preserve">fractionation </w:t>
      </w:r>
      <w:r w:rsidRPr="00A31206">
        <w:rPr>
          <w:rFonts w:ascii="Times New Roman" w:hAnsi="Times New Roman"/>
          <w:sz w:val="24"/>
          <w:szCs w:val="24"/>
        </w:rPr>
        <w:t xml:space="preserve">of </w:t>
      </w:r>
      <w:r w:rsidRPr="00A31206">
        <w:rPr>
          <w:rFonts w:ascii="Times New Roman" w:hAnsi="Times New Roman"/>
          <w:i/>
          <w:sz w:val="24"/>
          <w:szCs w:val="24"/>
        </w:rPr>
        <w:t xml:space="preserve">S. </w:t>
      </w:r>
      <w:r w:rsidRPr="00A31206">
        <w:rPr>
          <w:rFonts w:ascii="Times New Roman" w:hAnsi="Times New Roman"/>
          <w:i/>
          <w:noProof/>
          <w:sz w:val="24"/>
          <w:szCs w:val="24"/>
        </w:rPr>
        <w:t xml:space="preserve">coriaceum </w:t>
      </w:r>
      <w:r w:rsidRPr="00A31206">
        <w:rPr>
          <w:rFonts w:ascii="Times New Roman" w:hAnsi="Times New Roman"/>
          <w:sz w:val="24"/>
          <w:szCs w:val="24"/>
        </w:rPr>
        <w:t xml:space="preserve">ethyl acetate fraction afforded 10 subfractions (F1 – F10). All the subfractions obtained, except F9 and F10, showed appreciable growth inhibitory </w:t>
      </w:r>
      <w:r w:rsidRPr="00A31206">
        <w:rPr>
          <w:rFonts w:ascii="Times New Roman" w:hAnsi="Times New Roman"/>
          <w:sz w:val="24"/>
          <w:szCs w:val="24"/>
        </w:rPr>
        <w:lastRenderedPageBreak/>
        <w:t xml:space="preserve">activity against HepG2 cells, in a dose-dependent manner with </w:t>
      </w:r>
      <w:r w:rsidRPr="00D935D7">
        <w:rPr>
          <w:rFonts w:ascii="Times New Roman" w:hAnsi="Times New Roman"/>
          <w:i/>
          <w:sz w:val="24"/>
          <w:szCs w:val="24"/>
        </w:rPr>
        <w:t>IC</w:t>
      </w:r>
      <w:r w:rsidRPr="00D935D7">
        <w:rPr>
          <w:rFonts w:ascii="Times New Roman" w:hAnsi="Times New Roman"/>
          <w:i/>
          <w:sz w:val="24"/>
          <w:szCs w:val="24"/>
          <w:vertAlign w:val="subscript"/>
        </w:rPr>
        <w:t>50</w:t>
      </w:r>
      <w:r w:rsidRPr="00A31206">
        <w:rPr>
          <w:rFonts w:ascii="Times New Roman" w:hAnsi="Times New Roman"/>
          <w:sz w:val="24"/>
          <w:szCs w:val="24"/>
        </w:rPr>
        <w:t xml:space="preserve"> values ranging from 12.7 ± 1.1</w:t>
      </w:r>
      <w:r w:rsidR="00433A42">
        <w:rPr>
          <w:rFonts w:ascii="Times New Roman" w:hAnsi="Times New Roman"/>
          <w:sz w:val="24"/>
          <w:szCs w:val="24"/>
        </w:rPr>
        <w:t xml:space="preserve"> </w:t>
      </w:r>
      <w:r w:rsidRPr="00A31206">
        <w:rPr>
          <w:rFonts w:ascii="Times New Roman" w:hAnsi="Times New Roman"/>
          <w:sz w:val="24"/>
          <w:szCs w:val="24"/>
        </w:rPr>
        <w:t xml:space="preserve">µg/ml to 52.6 ± 4.7 µg/ml (Figure </w:t>
      </w:r>
      <w:r w:rsidR="005452AB">
        <w:rPr>
          <w:rFonts w:ascii="Times New Roman" w:hAnsi="Times New Roman"/>
          <w:sz w:val="24"/>
          <w:szCs w:val="24"/>
        </w:rPr>
        <w:t>4</w:t>
      </w:r>
      <w:r w:rsidR="00CE153E">
        <w:rPr>
          <w:rFonts w:ascii="Times New Roman" w:hAnsi="Times New Roman"/>
          <w:sz w:val="24"/>
          <w:szCs w:val="24"/>
        </w:rPr>
        <w:t>)</w:t>
      </w:r>
      <w:r w:rsidRPr="00A31206">
        <w:rPr>
          <w:rFonts w:ascii="Times New Roman" w:hAnsi="Times New Roman"/>
          <w:sz w:val="24"/>
          <w:szCs w:val="24"/>
        </w:rPr>
        <w:t xml:space="preserve">. No significant difference was observed in </w:t>
      </w:r>
      <w:r w:rsidRPr="004E5C4F">
        <w:rPr>
          <w:rFonts w:ascii="Times New Roman" w:hAnsi="Times New Roman"/>
          <w:i/>
          <w:sz w:val="24"/>
          <w:szCs w:val="24"/>
        </w:rPr>
        <w:t>IC</w:t>
      </w:r>
      <w:r w:rsidRPr="004E5C4F">
        <w:rPr>
          <w:rFonts w:ascii="Times New Roman" w:hAnsi="Times New Roman"/>
          <w:i/>
          <w:sz w:val="24"/>
          <w:szCs w:val="24"/>
          <w:vertAlign w:val="subscript"/>
        </w:rPr>
        <w:t>50</w:t>
      </w:r>
      <w:r w:rsidRPr="00A31206">
        <w:rPr>
          <w:rFonts w:ascii="Times New Roman" w:hAnsi="Times New Roman"/>
          <w:sz w:val="24"/>
          <w:szCs w:val="24"/>
        </w:rPr>
        <w:t xml:space="preserve"> value (p &gt; 0.05) for the successive subfractions from F2 and F8. The complexity of the subfractions on HLPC chrom</w:t>
      </w:r>
      <w:r w:rsidR="00CE153E">
        <w:rPr>
          <w:rFonts w:ascii="Times New Roman" w:hAnsi="Times New Roman"/>
          <w:sz w:val="24"/>
          <w:szCs w:val="24"/>
        </w:rPr>
        <w:t>atogram increased from F1 to F9</w:t>
      </w:r>
      <w:r w:rsidRPr="00A31206">
        <w:rPr>
          <w:rFonts w:ascii="Times New Roman" w:hAnsi="Times New Roman"/>
          <w:sz w:val="24"/>
          <w:szCs w:val="24"/>
        </w:rPr>
        <w:t xml:space="preserve">, with </w:t>
      </w:r>
      <w:r w:rsidR="000B6A83">
        <w:rPr>
          <w:rFonts w:ascii="Times New Roman" w:hAnsi="Times New Roman"/>
          <w:sz w:val="24"/>
          <w:szCs w:val="24"/>
        </w:rPr>
        <w:t xml:space="preserve">the </w:t>
      </w:r>
      <w:r w:rsidRPr="00A31206">
        <w:rPr>
          <w:rFonts w:ascii="Times New Roman" w:hAnsi="Times New Roman"/>
          <w:sz w:val="24"/>
          <w:szCs w:val="24"/>
        </w:rPr>
        <w:t>increasing number of not well-re</w:t>
      </w:r>
      <w:r w:rsidR="00CE153E">
        <w:rPr>
          <w:rFonts w:ascii="Times New Roman" w:hAnsi="Times New Roman"/>
          <w:sz w:val="24"/>
          <w:szCs w:val="24"/>
        </w:rPr>
        <w:t>solved peaks (Su</w:t>
      </w:r>
      <w:r w:rsidR="00B55B15">
        <w:rPr>
          <w:rFonts w:ascii="Times New Roman" w:hAnsi="Times New Roman"/>
          <w:sz w:val="24"/>
          <w:szCs w:val="24"/>
        </w:rPr>
        <w:t>pporting i</w:t>
      </w:r>
      <w:r w:rsidR="00CE153E">
        <w:rPr>
          <w:rFonts w:ascii="Times New Roman" w:hAnsi="Times New Roman"/>
          <w:sz w:val="24"/>
          <w:szCs w:val="24"/>
        </w:rPr>
        <w:t>nformation</w:t>
      </w:r>
      <w:r w:rsidR="00EE6CCD">
        <w:rPr>
          <w:rFonts w:ascii="Times New Roman" w:hAnsi="Times New Roman"/>
          <w:sz w:val="24"/>
          <w:szCs w:val="24"/>
        </w:rPr>
        <w:t>, Figure S1</w:t>
      </w:r>
      <w:r w:rsidRPr="00A31206">
        <w:rPr>
          <w:rFonts w:ascii="Times New Roman" w:hAnsi="Times New Roman"/>
          <w:sz w:val="24"/>
          <w:szCs w:val="24"/>
        </w:rPr>
        <w:t>). Sub-fraction F4 showed three well-separated peaks on HPLC chromatogram and had the lowest IC</w:t>
      </w:r>
      <w:r w:rsidRPr="00A31206">
        <w:rPr>
          <w:rFonts w:ascii="Times New Roman" w:hAnsi="Times New Roman"/>
          <w:sz w:val="24"/>
          <w:szCs w:val="24"/>
          <w:vertAlign w:val="subscript"/>
        </w:rPr>
        <w:t>50</w:t>
      </w:r>
      <w:r w:rsidRPr="00A31206">
        <w:rPr>
          <w:rFonts w:ascii="Times New Roman" w:hAnsi="Times New Roman"/>
          <w:sz w:val="24"/>
          <w:szCs w:val="24"/>
        </w:rPr>
        <w:t xml:space="preserve"> value (12.7 ± 1.1 µg/ml). Hence, only sub-fraction F4 was subsequently purified through preparative HPLC into four fractions (F4.1 – F4.4). Only </w:t>
      </w:r>
      <w:r w:rsidR="00D662B7">
        <w:rPr>
          <w:rFonts w:ascii="Times New Roman" w:hAnsi="Times New Roman"/>
          <w:sz w:val="24"/>
          <w:szCs w:val="24"/>
          <w:lang w:val="en-US"/>
        </w:rPr>
        <w:t xml:space="preserve">preparative chromatographic fractions </w:t>
      </w:r>
      <w:r w:rsidRPr="00A31206">
        <w:rPr>
          <w:rFonts w:ascii="Times New Roman" w:hAnsi="Times New Roman"/>
          <w:sz w:val="24"/>
          <w:szCs w:val="24"/>
        </w:rPr>
        <w:t xml:space="preserve">F4.1 and F4.4 showed dose-dependent cytotoxicity with </w:t>
      </w:r>
      <w:r w:rsidRPr="00D935D7">
        <w:rPr>
          <w:rFonts w:ascii="Times New Roman" w:hAnsi="Times New Roman"/>
          <w:i/>
          <w:sz w:val="24"/>
          <w:szCs w:val="24"/>
        </w:rPr>
        <w:t>IC</w:t>
      </w:r>
      <w:r w:rsidRPr="00D935D7">
        <w:rPr>
          <w:rFonts w:ascii="Times New Roman" w:hAnsi="Times New Roman"/>
          <w:i/>
          <w:sz w:val="24"/>
          <w:szCs w:val="24"/>
          <w:vertAlign w:val="subscript"/>
        </w:rPr>
        <w:t>50</w:t>
      </w:r>
      <w:r w:rsidRPr="00A31206">
        <w:rPr>
          <w:rFonts w:ascii="Times New Roman" w:hAnsi="Times New Roman"/>
          <w:sz w:val="24"/>
          <w:szCs w:val="24"/>
        </w:rPr>
        <w:t xml:space="preserve"> values of </w:t>
      </w:r>
      <w:r w:rsidRPr="00A31206">
        <w:rPr>
          <w:rFonts w:ascii="Times New Roman" w:hAnsi="Times New Roman"/>
          <w:sz w:val="24"/>
          <w:szCs w:val="24"/>
          <w:lang w:val="en-US"/>
        </w:rPr>
        <w:t>98.4 ± 33.8 µg/ml and 10</w:t>
      </w:r>
      <w:r w:rsidR="00864F14">
        <w:rPr>
          <w:rFonts w:ascii="Times New Roman" w:hAnsi="Times New Roman"/>
          <w:sz w:val="24"/>
          <w:szCs w:val="24"/>
          <w:lang w:val="en-US"/>
        </w:rPr>
        <w:t xml:space="preserve">7.8 ± 28.8 µg/ml respectively. </w:t>
      </w:r>
    </w:p>
    <w:p w14:paraId="16C797E1" w14:textId="0A960F29" w:rsidR="00864F14" w:rsidRPr="003C0B22" w:rsidRDefault="000B6A83" w:rsidP="006A1281">
      <w:pPr>
        <w:spacing w:line="276" w:lineRule="auto"/>
        <w:jc w:val="both"/>
        <w:rPr>
          <w:rFonts w:ascii="Times New Roman" w:hAnsi="Times New Roman"/>
          <w:sz w:val="24"/>
          <w:szCs w:val="24"/>
          <w:lang w:val="en-US"/>
        </w:rPr>
      </w:pPr>
      <w:r>
        <w:rPr>
          <w:rFonts w:ascii="Times New Roman" w:hAnsi="Times New Roman"/>
          <w:sz w:val="24"/>
          <w:szCs w:val="24"/>
          <w:lang w:val="en-US"/>
        </w:rPr>
        <w:t>To identify</w:t>
      </w:r>
      <w:r w:rsidR="003C0B22" w:rsidRPr="003C0B22">
        <w:rPr>
          <w:rFonts w:ascii="Times New Roman" w:hAnsi="Times New Roman"/>
          <w:sz w:val="24"/>
          <w:szCs w:val="24"/>
          <w:lang w:val="en-US"/>
        </w:rPr>
        <w:t xml:space="preserve"> the potential bioactive components responsible for the cytotoxicity of </w:t>
      </w:r>
      <w:r w:rsidR="003C0B22" w:rsidRPr="00C92E00">
        <w:rPr>
          <w:rFonts w:ascii="Times New Roman" w:hAnsi="Times New Roman"/>
          <w:i/>
          <w:sz w:val="24"/>
          <w:szCs w:val="24"/>
          <w:lang w:val="en-US"/>
        </w:rPr>
        <w:t xml:space="preserve">S. </w:t>
      </w:r>
      <w:proofErr w:type="spellStart"/>
      <w:r w:rsidR="003C0B22" w:rsidRPr="00C92E00">
        <w:rPr>
          <w:rFonts w:ascii="Times New Roman" w:hAnsi="Times New Roman"/>
          <w:i/>
          <w:sz w:val="24"/>
          <w:szCs w:val="24"/>
          <w:lang w:val="en-US"/>
        </w:rPr>
        <w:t>coriaceum</w:t>
      </w:r>
      <w:proofErr w:type="spellEnd"/>
      <w:r w:rsidR="003C0B22" w:rsidRPr="003C0B22">
        <w:rPr>
          <w:rFonts w:ascii="Times New Roman" w:hAnsi="Times New Roman"/>
          <w:sz w:val="24"/>
          <w:szCs w:val="24"/>
          <w:lang w:val="en-US"/>
        </w:rPr>
        <w:t xml:space="preserve"> ethyl acetate fraction, </w:t>
      </w:r>
      <w:r w:rsidR="003C0B22" w:rsidRPr="00E97007">
        <w:rPr>
          <w:rFonts w:ascii="Times New Roman" w:hAnsi="Times New Roman"/>
          <w:sz w:val="24"/>
          <w:szCs w:val="24"/>
          <w:lang w:val="en-US"/>
        </w:rPr>
        <w:t xml:space="preserve">their </w:t>
      </w:r>
      <w:r w:rsidR="00E97007" w:rsidRPr="00E97007">
        <w:rPr>
          <w:rStyle w:val="Emphasis"/>
          <w:rFonts w:ascii="Times New Roman" w:hAnsi="Times New Roman"/>
          <w:bCs/>
          <w:i w:val="0"/>
          <w:iCs w:val="0"/>
          <w:sz w:val="24"/>
          <w:szCs w:val="24"/>
          <w:shd w:val="clear" w:color="auto" w:fill="FFFFFF"/>
        </w:rPr>
        <w:t>trimethylsilyl</w:t>
      </w:r>
      <w:r w:rsidR="003C0B22" w:rsidRPr="00E97007">
        <w:rPr>
          <w:rFonts w:ascii="Times New Roman" w:hAnsi="Times New Roman"/>
          <w:sz w:val="24"/>
          <w:szCs w:val="24"/>
          <w:lang w:val="en-US"/>
        </w:rPr>
        <w:t xml:space="preserve"> </w:t>
      </w:r>
      <w:r w:rsidR="003C0B22" w:rsidRPr="003C0B22">
        <w:rPr>
          <w:rFonts w:ascii="Times New Roman" w:hAnsi="Times New Roman"/>
          <w:sz w:val="24"/>
          <w:szCs w:val="24"/>
          <w:lang w:val="en-US"/>
        </w:rPr>
        <w:t xml:space="preserve">derivatives obtained following treatment with </w:t>
      </w:r>
      <w:r w:rsidR="00E97007" w:rsidRPr="00E97007">
        <w:rPr>
          <w:rFonts w:ascii="Times New Roman" w:hAnsi="Times New Roman"/>
          <w:sz w:val="24"/>
          <w:szCs w:val="24"/>
          <w:lang w:val="en-US"/>
        </w:rPr>
        <w:t>N,O-Bis(trimethylsilyl)trifluoroacetamide</w:t>
      </w:r>
      <w:r w:rsidR="003C0B22" w:rsidRPr="003C0B22">
        <w:rPr>
          <w:rFonts w:ascii="Times New Roman" w:hAnsi="Times New Roman"/>
          <w:sz w:val="24"/>
          <w:szCs w:val="24"/>
          <w:lang w:val="en-US"/>
        </w:rPr>
        <w:t xml:space="preserve"> and pyridine was subjected to GC</w:t>
      </w:r>
      <w:r w:rsidR="00724222">
        <w:rPr>
          <w:rFonts w:ascii="Times New Roman" w:hAnsi="Times New Roman"/>
          <w:sz w:val="24"/>
          <w:szCs w:val="24"/>
          <w:lang w:val="en-US"/>
        </w:rPr>
        <w:t>-</w:t>
      </w:r>
      <w:r w:rsidR="003C0B22" w:rsidRPr="003C0B22">
        <w:rPr>
          <w:rFonts w:ascii="Times New Roman" w:hAnsi="Times New Roman"/>
          <w:sz w:val="24"/>
          <w:szCs w:val="24"/>
          <w:lang w:val="en-US"/>
        </w:rPr>
        <w:t>MS analysis.</w:t>
      </w:r>
      <w:r w:rsidR="006A6BB2">
        <w:rPr>
          <w:rFonts w:ascii="Times New Roman" w:hAnsi="Times New Roman"/>
          <w:sz w:val="24"/>
          <w:szCs w:val="24"/>
          <w:lang w:val="en-US"/>
        </w:rPr>
        <w:t xml:space="preserve"> </w:t>
      </w:r>
      <w:r w:rsidR="003C0B22" w:rsidRPr="003C0B22">
        <w:rPr>
          <w:rFonts w:ascii="Times New Roman" w:hAnsi="Times New Roman"/>
          <w:sz w:val="24"/>
          <w:szCs w:val="24"/>
          <w:lang w:val="en-US"/>
        </w:rPr>
        <w:t xml:space="preserve">Compounds were identified by comparison of their mass spectra with those of </w:t>
      </w:r>
      <w:r w:rsidR="00F66BEB">
        <w:rPr>
          <w:rFonts w:ascii="Times New Roman" w:hAnsi="Times New Roman"/>
          <w:sz w:val="24"/>
          <w:szCs w:val="24"/>
          <w:lang w:val="en-US"/>
        </w:rPr>
        <w:t xml:space="preserve">standard compounds. </w:t>
      </w:r>
      <w:r w:rsidR="003C0B22" w:rsidRPr="003C0B22">
        <w:rPr>
          <w:rFonts w:ascii="Times New Roman" w:hAnsi="Times New Roman"/>
          <w:sz w:val="24"/>
          <w:szCs w:val="24"/>
          <w:lang w:val="en-US"/>
        </w:rPr>
        <w:t xml:space="preserve">The mass spectrum of methyl gallate </w:t>
      </w:r>
      <w:r w:rsidR="00F66BEB">
        <w:rPr>
          <w:rFonts w:ascii="Times New Roman" w:hAnsi="Times New Roman"/>
          <w:sz w:val="24"/>
          <w:szCs w:val="24"/>
          <w:lang w:val="en-US"/>
        </w:rPr>
        <w:t>(</w:t>
      </w:r>
      <w:r w:rsidR="00F66BEB" w:rsidRPr="00C92E00">
        <w:rPr>
          <w:rFonts w:ascii="Times New Roman" w:hAnsi="Times New Roman"/>
          <w:b/>
          <w:sz w:val="24"/>
          <w:szCs w:val="24"/>
          <w:lang w:val="en-US"/>
        </w:rPr>
        <w:t>1</w:t>
      </w:r>
      <w:r w:rsidR="00F66BEB">
        <w:rPr>
          <w:rFonts w:ascii="Times New Roman" w:hAnsi="Times New Roman"/>
          <w:sz w:val="24"/>
          <w:szCs w:val="24"/>
          <w:lang w:val="en-US"/>
        </w:rPr>
        <w:t xml:space="preserve">) </w:t>
      </w:r>
      <w:r w:rsidR="003C0B22" w:rsidRPr="003C0B22">
        <w:rPr>
          <w:rFonts w:ascii="Times New Roman" w:hAnsi="Times New Roman"/>
          <w:sz w:val="24"/>
          <w:szCs w:val="24"/>
          <w:lang w:val="en-US"/>
        </w:rPr>
        <w:t>and gallic acid</w:t>
      </w:r>
      <w:r w:rsidR="00F66BEB">
        <w:rPr>
          <w:rFonts w:ascii="Times New Roman" w:hAnsi="Times New Roman"/>
          <w:sz w:val="24"/>
          <w:szCs w:val="24"/>
          <w:lang w:val="en-US"/>
        </w:rPr>
        <w:t xml:space="preserve"> (</w:t>
      </w:r>
      <w:r w:rsidR="00F66BEB" w:rsidRPr="00C92E00">
        <w:rPr>
          <w:rFonts w:ascii="Times New Roman" w:hAnsi="Times New Roman"/>
          <w:b/>
          <w:sz w:val="24"/>
          <w:szCs w:val="24"/>
          <w:lang w:val="en-US"/>
        </w:rPr>
        <w:t>2</w:t>
      </w:r>
      <w:r w:rsidR="00F66BEB">
        <w:rPr>
          <w:rFonts w:ascii="Times New Roman" w:hAnsi="Times New Roman"/>
          <w:sz w:val="24"/>
          <w:szCs w:val="24"/>
          <w:lang w:val="en-US"/>
        </w:rPr>
        <w:t>)</w:t>
      </w:r>
      <w:r w:rsidR="003C0B22" w:rsidRPr="003C0B22">
        <w:rPr>
          <w:rFonts w:ascii="Times New Roman" w:hAnsi="Times New Roman"/>
          <w:sz w:val="24"/>
          <w:szCs w:val="24"/>
          <w:lang w:val="en-US"/>
        </w:rPr>
        <w:t xml:space="preserve"> </w:t>
      </w:r>
      <w:r w:rsidR="00087C28">
        <w:rPr>
          <w:rFonts w:ascii="Times New Roman" w:hAnsi="Times New Roman"/>
          <w:sz w:val="24"/>
          <w:szCs w:val="24"/>
          <w:lang w:val="en-US"/>
        </w:rPr>
        <w:t>(</w:t>
      </w:r>
      <w:r w:rsidR="00087C28" w:rsidRPr="00AE7D02">
        <w:rPr>
          <w:rFonts w:ascii="Times New Roman" w:hAnsi="Times New Roman"/>
          <w:b/>
          <w:sz w:val="24"/>
          <w:szCs w:val="24"/>
          <w:lang w:val="en-US"/>
        </w:rPr>
        <w:t>Figure 5</w:t>
      </w:r>
      <w:r w:rsidR="00F45ED7">
        <w:rPr>
          <w:rFonts w:ascii="Times New Roman" w:hAnsi="Times New Roman"/>
          <w:sz w:val="24"/>
          <w:szCs w:val="24"/>
          <w:lang w:val="en-US"/>
        </w:rPr>
        <w:t xml:space="preserve">) </w:t>
      </w:r>
      <w:r w:rsidR="003C0B22" w:rsidRPr="003C0B22">
        <w:rPr>
          <w:rFonts w:ascii="Times New Roman" w:hAnsi="Times New Roman"/>
          <w:sz w:val="24"/>
          <w:szCs w:val="24"/>
          <w:lang w:val="en-US"/>
        </w:rPr>
        <w:t xml:space="preserve">present in the ethyl acetate fraction analyses is presented in </w:t>
      </w:r>
      <w:r w:rsidR="0001434F">
        <w:rPr>
          <w:rFonts w:ascii="Times New Roman" w:hAnsi="Times New Roman"/>
          <w:sz w:val="24"/>
          <w:szCs w:val="24"/>
          <w:lang w:val="en-US"/>
        </w:rPr>
        <w:t>s</w:t>
      </w:r>
      <w:r w:rsidR="00087C28">
        <w:rPr>
          <w:rFonts w:ascii="Times New Roman" w:hAnsi="Times New Roman"/>
          <w:sz w:val="24"/>
          <w:szCs w:val="24"/>
          <w:lang w:val="en-US"/>
        </w:rPr>
        <w:t xml:space="preserve">upplementary </w:t>
      </w:r>
      <w:r w:rsidR="0001434F">
        <w:rPr>
          <w:rFonts w:ascii="Times New Roman" w:hAnsi="Times New Roman"/>
          <w:sz w:val="24"/>
          <w:szCs w:val="24"/>
          <w:lang w:val="en-US"/>
        </w:rPr>
        <w:t>f</w:t>
      </w:r>
      <w:r w:rsidR="00381B59">
        <w:rPr>
          <w:rFonts w:ascii="Times New Roman" w:hAnsi="Times New Roman"/>
          <w:sz w:val="24"/>
          <w:szCs w:val="24"/>
          <w:lang w:val="en-US"/>
        </w:rPr>
        <w:t>igure S4</w:t>
      </w:r>
      <w:r w:rsidR="00B0620F">
        <w:rPr>
          <w:rFonts w:ascii="Times New Roman" w:hAnsi="Times New Roman"/>
          <w:sz w:val="24"/>
          <w:szCs w:val="24"/>
          <w:lang w:val="en-US"/>
        </w:rPr>
        <w:t>.</w:t>
      </w:r>
      <w:r w:rsidR="003C0B22" w:rsidRPr="003C0B22">
        <w:rPr>
          <w:rFonts w:ascii="Times New Roman" w:hAnsi="Times New Roman"/>
          <w:sz w:val="24"/>
          <w:szCs w:val="24"/>
          <w:lang w:val="en-US"/>
        </w:rPr>
        <w:t xml:space="preserve"> The presence of gallic acid and methyl gallate</w:t>
      </w:r>
      <w:r w:rsidR="00F66BEB">
        <w:rPr>
          <w:rFonts w:ascii="Times New Roman" w:hAnsi="Times New Roman"/>
          <w:sz w:val="24"/>
          <w:szCs w:val="24"/>
          <w:lang w:val="en-US"/>
        </w:rPr>
        <w:t xml:space="preserve"> </w:t>
      </w:r>
      <w:r w:rsidR="003C0B22" w:rsidRPr="003C0B22">
        <w:rPr>
          <w:rFonts w:ascii="Times New Roman" w:hAnsi="Times New Roman"/>
          <w:sz w:val="24"/>
          <w:szCs w:val="24"/>
          <w:lang w:val="en-US"/>
        </w:rPr>
        <w:t xml:space="preserve">in </w:t>
      </w:r>
      <w:r w:rsidR="003C0B22" w:rsidRPr="00C92E00">
        <w:rPr>
          <w:rFonts w:ascii="Times New Roman" w:hAnsi="Times New Roman"/>
          <w:i/>
          <w:sz w:val="24"/>
          <w:szCs w:val="24"/>
          <w:lang w:val="en-US"/>
        </w:rPr>
        <w:t xml:space="preserve">S. </w:t>
      </w:r>
      <w:proofErr w:type="spellStart"/>
      <w:r w:rsidR="003C0B22" w:rsidRPr="00C92E00">
        <w:rPr>
          <w:rFonts w:ascii="Times New Roman" w:hAnsi="Times New Roman"/>
          <w:i/>
          <w:sz w:val="24"/>
          <w:szCs w:val="24"/>
          <w:lang w:val="en-US"/>
        </w:rPr>
        <w:t>coriaceum</w:t>
      </w:r>
      <w:proofErr w:type="spellEnd"/>
      <w:r w:rsidR="003C0B22" w:rsidRPr="003C0B22">
        <w:rPr>
          <w:rFonts w:ascii="Times New Roman" w:hAnsi="Times New Roman"/>
          <w:sz w:val="24"/>
          <w:szCs w:val="24"/>
          <w:lang w:val="en-US"/>
        </w:rPr>
        <w:t xml:space="preserve"> </w:t>
      </w:r>
      <w:r w:rsidR="0099713C">
        <w:rPr>
          <w:rFonts w:ascii="Times New Roman" w:hAnsi="Times New Roman"/>
          <w:sz w:val="24"/>
          <w:szCs w:val="24"/>
          <w:lang w:val="en-US"/>
        </w:rPr>
        <w:t xml:space="preserve">ethyl acetate </w:t>
      </w:r>
      <w:r w:rsidR="0099713C">
        <w:rPr>
          <w:rFonts w:ascii="Times New Roman" w:hAnsi="Times New Roman"/>
          <w:sz w:val="24"/>
          <w:szCs w:val="24"/>
        </w:rPr>
        <w:t>s</w:t>
      </w:r>
      <w:r w:rsidR="0099713C" w:rsidRPr="00A31206">
        <w:rPr>
          <w:rFonts w:ascii="Times New Roman" w:hAnsi="Times New Roman"/>
          <w:sz w:val="24"/>
          <w:szCs w:val="24"/>
        </w:rPr>
        <w:t>ub-fraction F4</w:t>
      </w:r>
      <w:r w:rsidR="003C0B22" w:rsidRPr="003C0B22">
        <w:rPr>
          <w:rFonts w:ascii="Times New Roman" w:hAnsi="Times New Roman"/>
          <w:sz w:val="24"/>
          <w:szCs w:val="24"/>
          <w:lang w:val="en-US"/>
        </w:rPr>
        <w:t xml:space="preserve"> </w:t>
      </w:r>
      <w:r w:rsidR="0099713C">
        <w:rPr>
          <w:rFonts w:ascii="Times New Roman" w:hAnsi="Times New Roman"/>
          <w:sz w:val="24"/>
          <w:szCs w:val="24"/>
          <w:lang w:val="en-US"/>
        </w:rPr>
        <w:t>w</w:t>
      </w:r>
      <w:r>
        <w:rPr>
          <w:rFonts w:ascii="Times New Roman" w:hAnsi="Times New Roman"/>
          <w:sz w:val="24"/>
          <w:szCs w:val="24"/>
          <w:lang w:val="en-US"/>
        </w:rPr>
        <w:t>as</w:t>
      </w:r>
      <w:r w:rsidR="0099713C">
        <w:rPr>
          <w:rFonts w:ascii="Times New Roman" w:hAnsi="Times New Roman"/>
          <w:sz w:val="24"/>
          <w:szCs w:val="24"/>
          <w:lang w:val="en-US"/>
        </w:rPr>
        <w:t xml:space="preserve"> </w:t>
      </w:r>
      <w:r w:rsidR="003C0B22" w:rsidRPr="003C0B22">
        <w:rPr>
          <w:rFonts w:ascii="Times New Roman" w:hAnsi="Times New Roman"/>
          <w:sz w:val="24"/>
          <w:szCs w:val="24"/>
          <w:lang w:val="en-US"/>
        </w:rPr>
        <w:t xml:space="preserve">further confirmed </w:t>
      </w:r>
      <w:r w:rsidR="006A1281">
        <w:rPr>
          <w:rFonts w:ascii="Times New Roman" w:hAnsi="Times New Roman"/>
          <w:sz w:val="24"/>
          <w:szCs w:val="24"/>
          <w:lang w:val="en-US"/>
        </w:rPr>
        <w:t xml:space="preserve">both </w:t>
      </w:r>
      <w:r w:rsidR="003C0B22" w:rsidRPr="003C0B22">
        <w:rPr>
          <w:rFonts w:ascii="Times New Roman" w:hAnsi="Times New Roman"/>
          <w:sz w:val="24"/>
          <w:szCs w:val="24"/>
          <w:lang w:val="en-US"/>
        </w:rPr>
        <w:t>by HPLC analysis based on their retention times</w:t>
      </w:r>
      <w:r w:rsidR="0099713C">
        <w:rPr>
          <w:rFonts w:ascii="Times New Roman" w:hAnsi="Times New Roman"/>
          <w:sz w:val="24"/>
          <w:szCs w:val="24"/>
          <w:lang w:val="en-US"/>
        </w:rPr>
        <w:t xml:space="preserve"> (</w:t>
      </w:r>
      <w:r w:rsidR="0099713C" w:rsidRPr="00AE7D02">
        <w:rPr>
          <w:rFonts w:ascii="Times New Roman" w:hAnsi="Times New Roman"/>
          <w:b/>
          <w:sz w:val="24"/>
          <w:szCs w:val="24"/>
          <w:lang w:val="en-US"/>
        </w:rPr>
        <w:t>Figure 4B</w:t>
      </w:r>
      <w:r w:rsidR="0099713C" w:rsidRPr="003C0B22">
        <w:rPr>
          <w:rFonts w:ascii="Times New Roman" w:hAnsi="Times New Roman"/>
          <w:sz w:val="24"/>
          <w:szCs w:val="24"/>
          <w:lang w:val="en-US"/>
        </w:rPr>
        <w:t>)</w:t>
      </w:r>
      <w:r w:rsidR="006A1281">
        <w:rPr>
          <w:rFonts w:ascii="Times New Roman" w:hAnsi="Times New Roman"/>
          <w:sz w:val="24"/>
          <w:szCs w:val="24"/>
          <w:lang w:val="en-US"/>
        </w:rPr>
        <w:t xml:space="preserve"> and LC-MS analysis</w:t>
      </w:r>
      <w:r w:rsidR="003C0B22" w:rsidRPr="003C0B22">
        <w:rPr>
          <w:rFonts w:ascii="Times New Roman" w:hAnsi="Times New Roman"/>
          <w:sz w:val="24"/>
          <w:szCs w:val="24"/>
          <w:lang w:val="en-US"/>
        </w:rPr>
        <w:t xml:space="preserve">. </w:t>
      </w:r>
    </w:p>
    <w:p w14:paraId="021A5368" w14:textId="00ED0785" w:rsidR="00EE1F4D" w:rsidRDefault="00A90014" w:rsidP="00EE1F4D">
      <w:pPr>
        <w:spacing w:line="276" w:lineRule="auto"/>
        <w:jc w:val="both"/>
        <w:rPr>
          <w:rFonts w:ascii="Times New Roman" w:hAnsi="Times New Roman"/>
          <w:sz w:val="24"/>
          <w:szCs w:val="24"/>
        </w:rPr>
      </w:pPr>
      <w:r>
        <w:rPr>
          <w:rFonts w:ascii="Times New Roman" w:hAnsi="Times New Roman"/>
          <w:sz w:val="24"/>
          <w:szCs w:val="24"/>
          <w:lang w:val="en-US"/>
        </w:rPr>
        <w:t xml:space="preserve">Further, LC-MS analysis </w:t>
      </w:r>
      <w:r w:rsidR="003629A4">
        <w:rPr>
          <w:rFonts w:ascii="Times New Roman" w:hAnsi="Times New Roman"/>
          <w:sz w:val="24"/>
          <w:szCs w:val="24"/>
          <w:lang w:val="en-US"/>
        </w:rPr>
        <w:t xml:space="preserve">of the preparative chromatographic fractions </w:t>
      </w:r>
      <w:r w:rsidR="00C27533">
        <w:rPr>
          <w:rFonts w:ascii="Times New Roman" w:hAnsi="Times New Roman"/>
          <w:sz w:val="24"/>
          <w:szCs w:val="24"/>
          <w:lang w:val="en-US"/>
        </w:rPr>
        <w:t>derived</w:t>
      </w:r>
      <w:r w:rsidR="003629A4">
        <w:rPr>
          <w:rFonts w:ascii="Times New Roman" w:hAnsi="Times New Roman"/>
          <w:sz w:val="24"/>
          <w:szCs w:val="24"/>
          <w:lang w:val="en-US"/>
        </w:rPr>
        <w:t xml:space="preserve"> from F4, identified</w:t>
      </w:r>
      <w:r w:rsidR="00C27533">
        <w:rPr>
          <w:rFonts w:ascii="Times New Roman" w:hAnsi="Times New Roman"/>
          <w:sz w:val="24"/>
          <w:szCs w:val="24"/>
          <w:lang w:val="en-US"/>
        </w:rPr>
        <w:t xml:space="preserve"> the peak at </w:t>
      </w:r>
      <w:r w:rsidR="00C27533" w:rsidRPr="003C0B22">
        <w:rPr>
          <w:rFonts w:ascii="Times New Roman" w:hAnsi="Times New Roman"/>
          <w:sz w:val="24"/>
          <w:szCs w:val="24"/>
          <w:lang w:val="en-US"/>
        </w:rPr>
        <w:t>relative retention time</w:t>
      </w:r>
      <w:r w:rsidR="00C27533">
        <w:rPr>
          <w:rFonts w:ascii="Times New Roman" w:hAnsi="Times New Roman"/>
          <w:sz w:val="24"/>
          <w:szCs w:val="24"/>
          <w:lang w:val="en-US"/>
        </w:rPr>
        <w:t xml:space="preserve"> 30.446 </w:t>
      </w:r>
      <w:r w:rsidR="00C27533" w:rsidRPr="003C0B22">
        <w:rPr>
          <w:rFonts w:ascii="Times New Roman" w:hAnsi="Times New Roman"/>
          <w:sz w:val="24"/>
          <w:szCs w:val="24"/>
          <w:lang w:val="en-US"/>
        </w:rPr>
        <w:t>minutes</w:t>
      </w:r>
      <w:r w:rsidR="00C27533">
        <w:rPr>
          <w:rFonts w:ascii="Times New Roman" w:hAnsi="Times New Roman"/>
          <w:sz w:val="24"/>
          <w:szCs w:val="24"/>
          <w:lang w:val="en-US"/>
        </w:rPr>
        <w:t xml:space="preserve"> </w:t>
      </w:r>
      <w:r w:rsidR="00CB7C40">
        <w:rPr>
          <w:rFonts w:ascii="Times New Roman" w:hAnsi="Times New Roman"/>
          <w:sz w:val="24"/>
          <w:szCs w:val="24"/>
          <w:lang w:val="en-US"/>
        </w:rPr>
        <w:t xml:space="preserve">in </w:t>
      </w:r>
      <w:r w:rsidR="00F66BEB">
        <w:rPr>
          <w:rFonts w:ascii="Times New Roman" w:hAnsi="Times New Roman"/>
          <w:sz w:val="24"/>
          <w:szCs w:val="24"/>
          <w:lang w:val="en-US"/>
        </w:rPr>
        <w:t xml:space="preserve">Figure </w:t>
      </w:r>
      <w:r w:rsidR="00DD5D06">
        <w:rPr>
          <w:rFonts w:ascii="Times New Roman" w:hAnsi="Times New Roman"/>
          <w:sz w:val="24"/>
          <w:szCs w:val="24"/>
          <w:lang w:val="en-US"/>
        </w:rPr>
        <w:t>4B</w:t>
      </w:r>
      <w:r w:rsidR="00CB7C40">
        <w:rPr>
          <w:rFonts w:ascii="Times New Roman" w:hAnsi="Times New Roman"/>
          <w:sz w:val="24"/>
          <w:szCs w:val="24"/>
          <w:lang w:val="en-US"/>
        </w:rPr>
        <w:t xml:space="preserve"> to comprise of a mixture of two quercetin glycosides</w:t>
      </w:r>
      <w:r w:rsidR="005E39EB">
        <w:rPr>
          <w:rFonts w:ascii="Times New Roman" w:hAnsi="Times New Roman"/>
          <w:sz w:val="24"/>
          <w:szCs w:val="24"/>
          <w:lang w:val="en-US"/>
        </w:rPr>
        <w:t>.</w:t>
      </w:r>
      <w:r w:rsidR="00CB7C40">
        <w:rPr>
          <w:rFonts w:ascii="Times New Roman" w:hAnsi="Times New Roman"/>
          <w:sz w:val="24"/>
          <w:szCs w:val="24"/>
          <w:lang w:val="en-US"/>
        </w:rPr>
        <w:t xml:space="preserve"> </w:t>
      </w:r>
      <w:r w:rsidR="00F04638">
        <w:rPr>
          <w:rFonts w:ascii="Times New Roman" w:hAnsi="Times New Roman"/>
          <w:sz w:val="24"/>
          <w:szCs w:val="24"/>
          <w:lang w:val="en-US"/>
        </w:rPr>
        <w:t xml:space="preserve">Their chemical </w:t>
      </w:r>
      <w:r w:rsidR="00D63475">
        <w:rPr>
          <w:rFonts w:ascii="Times New Roman" w:hAnsi="Times New Roman"/>
          <w:sz w:val="24"/>
          <w:szCs w:val="24"/>
          <w:lang w:val="en-US"/>
        </w:rPr>
        <w:t>structures were elucidated</w:t>
      </w:r>
      <w:r w:rsidR="00F04638">
        <w:rPr>
          <w:rFonts w:ascii="Times New Roman" w:hAnsi="Times New Roman"/>
          <w:sz w:val="24"/>
          <w:szCs w:val="24"/>
          <w:lang w:val="en-US"/>
        </w:rPr>
        <w:t xml:space="preserve"> by </w:t>
      </w:r>
      <w:r w:rsidR="00F66BEB" w:rsidRPr="00C92E00">
        <w:rPr>
          <w:rFonts w:ascii="Times New Roman" w:hAnsi="Times New Roman"/>
          <w:sz w:val="24"/>
          <w:szCs w:val="24"/>
          <w:vertAlign w:val="superscript"/>
          <w:lang w:val="en-US"/>
        </w:rPr>
        <w:t>1</w:t>
      </w:r>
      <w:r w:rsidR="00F66BEB">
        <w:rPr>
          <w:rFonts w:ascii="Times New Roman" w:hAnsi="Times New Roman"/>
          <w:sz w:val="24"/>
          <w:szCs w:val="24"/>
          <w:lang w:val="en-US"/>
        </w:rPr>
        <w:t xml:space="preserve">H NMR, </w:t>
      </w:r>
      <w:r w:rsidR="00F66BEB" w:rsidRPr="00C92E00">
        <w:rPr>
          <w:rFonts w:ascii="Times New Roman" w:hAnsi="Times New Roman"/>
          <w:sz w:val="24"/>
          <w:szCs w:val="24"/>
          <w:vertAlign w:val="superscript"/>
          <w:lang w:val="en-US"/>
        </w:rPr>
        <w:t>13</w:t>
      </w:r>
      <w:r w:rsidR="00F66BEB">
        <w:rPr>
          <w:rFonts w:ascii="Times New Roman" w:hAnsi="Times New Roman"/>
          <w:sz w:val="24"/>
          <w:szCs w:val="24"/>
          <w:lang w:val="en-US"/>
        </w:rPr>
        <w:t xml:space="preserve">C NMR, HSQC, and COSY </w:t>
      </w:r>
      <w:r w:rsidR="00F04638">
        <w:rPr>
          <w:rFonts w:ascii="Times New Roman" w:hAnsi="Times New Roman"/>
          <w:sz w:val="24"/>
          <w:szCs w:val="24"/>
          <w:lang w:val="en-US"/>
        </w:rPr>
        <w:t>analysis</w:t>
      </w:r>
      <w:r w:rsidR="00A36403">
        <w:rPr>
          <w:rFonts w:ascii="Times New Roman" w:hAnsi="Times New Roman"/>
          <w:sz w:val="24"/>
          <w:szCs w:val="24"/>
          <w:lang w:val="en-US"/>
        </w:rPr>
        <w:t>, and comparison with reported data</w:t>
      </w:r>
      <w:r w:rsidR="009C676E">
        <w:rPr>
          <w:rFonts w:ascii="Times New Roman" w:hAnsi="Times New Roman"/>
          <w:sz w:val="24"/>
          <w:szCs w:val="24"/>
          <w:lang w:val="en-US"/>
        </w:rPr>
        <w:t xml:space="preserve"> </w:t>
      </w:r>
      <w:r w:rsidR="009C676E">
        <w:rPr>
          <w:rFonts w:ascii="Times New Roman" w:hAnsi="Times New Roman"/>
          <w:sz w:val="24"/>
          <w:szCs w:val="24"/>
          <w:lang w:val="en-US"/>
        </w:rPr>
        <w:fldChar w:fldCharType="begin" w:fldLock="1"/>
      </w:r>
      <w:r w:rsidR="0027650C">
        <w:rPr>
          <w:rFonts w:ascii="Times New Roman" w:hAnsi="Times New Roman"/>
          <w:sz w:val="24"/>
          <w:szCs w:val="24"/>
          <w:lang w:val="en-US"/>
        </w:rPr>
        <w:instrText>ADDIN CSL_CITATION {"citationItems":[{"id":"ITEM-1","itemData":{"DOI":"10.1016/j.phymed.2014.09.008","ISBN":"1618-095X (Electronic)\\r0944-7113 (Linking)","ISSN":"09447113","PMID":"25636863","abstract":"Margaritaria discoidea (Baill.) G. L. Webster (Euphorbiaceae) is a well-known medicinal plant in Africa used for the treatment of various diseases. So far, no cytotoxic effects of plant extracts on cancer cell lines have been reported. Aim of the study To evaluate the cytotoxicity against human ovarian cancer cells of extracts of M. discoidea and characterize the major bioactive compounds. Methods Both organic and aqueous extracts of this plant were obtained by maceration. The sulforhodamine B cell proliferation assay was used for evaluation of their cytotoxic activities and the potential bioactive compounds were characterized by gas chromatography-mass spectrometry. Results The organic extract of M. discoidea showed stronger cytotoxicity than the aqueous extract with IC50values of 14.4 ± 3.0, 14.2 ± 1.2 and 34.7 ± 0.5 μg/ml on OVCAR-8, A2780 and cisplatin-resistant A2780cis ovarian cancer cells, respectively. The organic extract was further subjected to bioassay-guided fractionation by partitioning with n-hexane, ethyl acetate, and n-butanol in water. The ethyl acetate fraction was the most potent on the three ovarian cancer cell lines. A GC-MS analysis of trimethylsilyl derivatives of this fraction indicated the presence of phenolic compounds such as gallic acid and the alkaloid securinine. The IC50values of these two compounds were determined to be in the range of 3-16 μM, which indicated that they could contribute to the cytotoxic activity of the extract of M. discoidea. Conclusions This study has evaluated the cytotoxicity of stem bark extracts of M. discoidea against ovarian cancer cells and provided a basis of further development of this plant for the treatment of ovarian cancer.","author":[{"dropping-particle":"","family":"Johnson-ajinwo","given":"Okiemute Rosa","non-dropping-particle":"","parse-names":false,"suffix":""},{"dropping-particle":"","family":"Richardson","given":"Alan","non-dropping-particle":"","parse-names":false,"suffix":""},{"dropping-particle":"","family":"Li","given":"Wen-Wu","non-dropping-particle":"","parse-names":false,"suffix":""}],"container-title":"Phytomedicine","id":"ITEM-1","issue":"1","issued":{"date-parts":[["2015","1"]]},"page":"1-4","publisher":"Elsevier Ltd.","title":"Cytotoxic effects of stem bark extracts and pure compounds from Margaritaria discoidea on human ovarian cancer cell lines","type":"article-journal","volume":"22"},"uris":["http://www.mendeley.com/documents/?uuid=c35a96a0-2f66-429f-ae48-4a03f27b3b58"]},{"id":"ITEM-2","itemData":{"DOI":"10.1271/bbb.69.280","ISSN":"0916-8451","abstract":"Two anthocyanins, cyanidin-3-alpha-O-rhamnoside (C3R) and pelargonidin-3-alpha-O-rhamnoside (P3R), and quercitrin (quercetin-3-alpha-O-rhamnoside), were isolated from acerola (Malpighia emarginata DC.) fruit. These polyphenols were evaluated based on the functional properties associated with diabetes mellitus or its complications, that is, on the radical scavenging activity and the inhibitory effect on both alpha-glucosidase and advanced glycation end product (AGE) formation. C3R and quercitrin revealed strong radical scavenging activity. While the inhibitory profiles of isolated polyphenols except quercitrin towards alpha-glucosidase activity were low, all polyphenols strongly inhibited AGE formation.","author":[{"dropping-particle":"","family":"Hanamura","given":"Takayuki","non-dropping-particle":"","parse-names":false,"suffix":""},{"dropping-particle":"","family":"HAGIWARA","given":"Toshihiko","non-dropping-particle":"","parse-names":false,"suffix":""},{"dropping-particle":"","family":"KAWAGISHI","given":"Hirokazu","non-dropping-particle":"","parse-names":false,"suffix":""}],"container-title":"Bioscience, Biotechnology, and Biochemistry","id":"ITEM-2","issue":"2","issued":{"date-parts":[["2005","1","22"]]},"page":"280-286","title":"Structural and Functional Characterization of Polyphenols Isolated from Acerola ( Malpighia emarginata DC.) Fruit","type":"article-journal","volume":"69"},"uris":["http://www.mendeley.com/documents/?uuid=7be2a65e-8b97-4696-ad2b-80a88260c6e0"]},{"id":"ITEM-3","itemData":{"DOI":"10.1016/j.phytol.2019.02.004","ISSN":"18743900","abstract":"This work is aimed at establishing analytical and bioactivity markers for the quality control of polyphenol-rich extracts of Sorbus domestica leaves – an antioxidant and anti-inflammatory agent. The potential marker analytes, representative of the main groups of S. domestica polyphenols, were pre-selected by LC–MS/MS analysis of the methanol-water (7:3, v/v) leaf extract (MED). For structural identification, two of them (rare flavonoids) were isolated from MED by preparative HPLC and analysed by 1D and 2D NMR (COSY, HMBC, HMQC) spectroscopy. The in vitro tests revealed that all analytes increase the non-enzymatic antioxidant capacity of plasma, effectively protect human plasma components against oxidative/nitrative damage induced by peroxynitrite (reduce the levels of thiobarbituric acid-reactive substances and 3-nitrotyrosine), and inhibit lipoxygenase and hyaluronidase. Considering the activity parameters and concentration levels, the highest contribution (70–80%) to the activity of the total phenolic fraction of MED was attributed to flavanols represented by (–)-epicatechin, procyanidin B2 and procyanidin C1. However, taking into account the observed synergistic effects, flavonoid and phenolic acid fractions (represented by chlorogenic acid, quercitrin, rutin, quercetin and its 3-O-(2′’-O-β-D-glucopyranosyl)-α-L-rhamnopyranoside and 3-O-(2′’-O-β-D-xylopyranosyl)-α-L-rhamnopyranoside) had also a substantial impact. All nine markers were thus applied as calibration standards, and a simple, accurate, reproducible and fully validated RP-HPLC-PDA method for the standardisation of the target extracts was proposed.","author":[{"dropping-particle":"","family":"Rutkowska","given":"Magdalena","non-dropping-particle":"","parse-names":false,"suffix":""},{"dropping-particle":"","family":"Owczarek","given":"Aleksandra","non-dropping-particle":"","parse-names":false,"suffix":""},{"dropping-particle":"","family":"Kolodziejczyk-Czepas","given":"Joanna","non-dropping-particle":"","parse-names":false,"suffix":""},{"dropping-particle":"","family":"Michel","given":"Piotr","non-dropping-particle":"","parse-names":false,"suffix":""},{"dropping-particle":"","family":"Piotrowska","given":"Dorota Gabriela","non-dropping-particle":"","parse-names":false,"suffix":""},{"dropping-particle":"","family":"Kapusta","given":"Paulina","non-dropping-particle":"","parse-names":false,"suffix":""},{"dropping-particle":"","family":"Nowak","given":"Pawel","non-dropping-particle":"","parse-names":false,"suffix":""},{"dropping-particle":"","family":"Olszewska","given":"Monika Anna","non-dropping-particle":"","parse-names":false,"suffix":""}],"container-title":"Phytochemistry Letters","id":"ITEM-3","issue":"October 2018","issued":{"date-parts":[["2019","4"]]},"page":"278-287","publisher":"Elsevier","title":"Identification of bioactivity markers of Sorbus domestica leaves in chromatographic, spectroscopic and biological capacity tests: Application for the quality control","type":"article-journal","volume":"30"},"uris":["http://www.mendeley.com/documents/?uuid=1219fd0f-533b-4781-9956-52e56771b9ed"]},{"id":"ITEM-4","itemData":{"DOI":"10.1080/14786419.2017.1343324","ISSN":"14786427","abstract":"Phytochemicals serve as potential therapeutic agents for the prevention and treatment of diseases. In this study, we elucidate the renoprotective activity of compounds isolated from Eucalyptus globulus and Melaleuca styphelioides extracts in glucose- and oxalate-challenged NRK-49F cell model. The antioxidant potential of isolated compounds was evaluated based on their effect on antioxidant enzyme activities and lipid peroxidation levels. The results demonstrated that exposure of NRK-49F cells to glucose and oxalate stress augmented cell damage and attenuated antioxidant enzyme activities. The phytochemicals 2,2,8-trimethyl-6-formyl-chrom-3-ene-7-O-β-D-glucopyranoside, Cornusiin B and tellimagrandin I treatment restored antioxidant enzyme activity, significantly lowered lipid peroxidation levels and effectively protected cells from glucose and oxalate stress equivalent to the known antioxidant, N-acetyl cysteine. Pterocarinin A significantly reversed cellular damage owing to glucose stress. In conclusion, the compounds isolated from E. globulus and M. styphelioides showed potential cytoprotective and anti-oxidative property against glucose- and oxalate-induced oxidative stress in NRK-49F cells.","author":[{"dropping-particle":"","family":"Ganesan","given":"Divya","non-dropping-particle":"","parse-names":false,"suffix":""},{"dropping-particle":"","family":"Al-Sayed","given":"Eman","non-dropping-particle":"","parse-names":false,"suffix":""},{"dropping-particle":"","family":"Albert","given":"Abhishek","non-dropping-particle":"","parse-names":false,"suffix":""},{"dropping-particle":"","family":"Paul","given":"Eldho","non-dropping-particle":"","parse-names":false,"suffix":""},{"dropping-particle":"","family":"Singab","given":"Abdel Nasser B.","non-dropping-particle":"","parse-names":false,"suffix":""},{"dropping-particle":"","family":"Govindan Sadasivam","given":"Selvam","non-dropping-particle":"","parse-names":false,"suffix":""},{"dropping-particle":"","family":"Saso","given":"Luciano","non-dropping-particle":"","parse-names":false,"suffix":""}],"container-title":"Natural Product Research","id":"ITEM-4","issue":"11","issued":{"date-parts":[["2018"]]},"page":"1274-1280","publisher":"Taylor &amp; Francis","title":"Antioxidant activity of phenolic compounds from extracts of Eucalyptus globulus and Melaleuca styphelioides and their protective role on D-glucose-induced hyperglycemic stress and oxalate stress in NRK-49Fcells","type":"article-journal","volume":"32"},"uris":["http://www.mendeley.com/documents/?uuid=62ced3e2-7a34-4397-a0e9-008c1ad70608"]},{"id":"ITEM-5","itemData":{"DOI":"10.3390/molecules24010145","ISSN":"1420-3049","abstract":"This study was designed to explore the in vitro anticancer effects of the bioactive compounds isolated from Ricinodendron heudelotii on selected cancer cell lines. The leaves of the plant were extracted with ethanol and partitioned in sequence with petroleum ether, ethyl acetate, and n-butanol. The ethyl acetate fraction was phytochemically studied using thin layer chromatography (TLC) and column chromatography (CC). Structural elucidation of pure compounds obtained from the ethyl acetate fraction was done using mass spectra, 1H-NMR, and 13C-NMR analysis. The isolated compounds were subsequently screened using five different cancer cell lines: HL-60, SMMC-7721, A-549, MCF-7, SW-480, and normal lung epithelial cell line, BEAS-2B, to assess their cytotoxic effects. Nine compounds were isolated and structurally elucidated as gallic acid, gallic acid ethyl ester, corilagin, quercetin-3-O-rhamnoside, myricetin-3-O-rhamnoside, 1,4,6-tri-O-galloyl glucose, 3,4,6-tri-O-galloyl glucose, 1,2,6-tri-O-galloyl glucose, and 4,6-di-O-galloyl glucose. Corilagin exhibited the most cytotoxic activity with an IC50 value of 33.18 μg/mL against MCF-7 cells, which were comparable to cisplatin with an IC50 value of 27.43 µg/mL. The result suggests that corilagin isolated from R. heudelotii has the potential to be developed as an effective therapeutic agent against the growth of breast cancer cells.","author":[{"dropping-particle":"","family":"Yakubu","given":"Omolara F.","non-dropping-particle":"","parse-names":false,"suffix":""},{"dropping-particle":"","family":"Adebayo","given":"Abiodun H.","non-dropping-particle":"","parse-names":false,"suffix":""},{"dropping-particle":"","family":"Dokunmu","given":"Titilope M.","non-dropping-particle":"","parse-names":false,"suffix":""},{"dropping-particle":"","family":"Zhang","given":"Ying-Jun","non-dropping-particle":"","parse-names":false,"suffix":""},{"dropping-particle":"","family":"Iweala","given":"Emeka E.J.","non-dropping-particle":"","parse-names":false,"suffix":""}],"container-title":"Molecules","id":"ITEM-5","issue":"1","issued":{"date-parts":[["2019","1","2"]]},"page":"145","title":"Cytotoxic Effects of Compounds Isolated from Ricinodendron heudelotii","type":"article-journal","volume":"24"},"uris":["http://www.mendeley.com/documents/?uuid=f56b0789-b1c5-48dc-9f4e-1851e7984295"]}],"mendeley":{"formattedCitation":"(Ganesan et al., 2018; Hanamura et al., 2005; Johnson-ajinwo et al., 2015; Rutkowska et al., 2019; Yakubu et al., 2019)","plainTextFormattedCitation":"(Ganesan et al., 2018; Hanamura et al., 2005; Johnson-ajinwo et al., 2015; Rutkowska et al., 2019; Yakubu et al., 2019)","previouslyFormattedCitation":"[13–17]"},"properties":{"noteIndex":0},"schema":"https://github.com/citation-style-language/schema/raw/master/csl-citation.json"}</w:instrText>
      </w:r>
      <w:r w:rsidR="009C676E">
        <w:rPr>
          <w:rFonts w:ascii="Times New Roman" w:hAnsi="Times New Roman"/>
          <w:sz w:val="24"/>
          <w:szCs w:val="24"/>
          <w:lang w:val="en-US"/>
        </w:rPr>
        <w:fldChar w:fldCharType="separate"/>
      </w:r>
      <w:r w:rsidR="0027650C" w:rsidRPr="0027650C">
        <w:rPr>
          <w:rFonts w:ascii="Times New Roman" w:hAnsi="Times New Roman"/>
          <w:noProof/>
          <w:sz w:val="24"/>
          <w:szCs w:val="24"/>
          <w:lang w:val="en-US"/>
        </w:rPr>
        <w:t>(Ganesan et al., 2018; Hanamura et al., 2005; Johnson-ajinwo et al., 2015; Rutkowska et al., 2019; Yakubu et al., 2019)</w:t>
      </w:r>
      <w:r w:rsidR="009C676E">
        <w:rPr>
          <w:rFonts w:ascii="Times New Roman" w:hAnsi="Times New Roman"/>
          <w:sz w:val="24"/>
          <w:szCs w:val="24"/>
          <w:lang w:val="en-US"/>
        </w:rPr>
        <w:fldChar w:fldCharType="end"/>
      </w:r>
      <w:r w:rsidR="00A36403">
        <w:rPr>
          <w:rFonts w:ascii="Times New Roman" w:hAnsi="Times New Roman"/>
          <w:sz w:val="24"/>
          <w:szCs w:val="24"/>
          <w:lang w:val="en-US"/>
        </w:rPr>
        <w:t>,</w:t>
      </w:r>
      <w:r w:rsidR="00F04638">
        <w:rPr>
          <w:rFonts w:ascii="Times New Roman" w:hAnsi="Times New Roman"/>
          <w:sz w:val="24"/>
          <w:szCs w:val="24"/>
          <w:lang w:val="en-US"/>
        </w:rPr>
        <w:t xml:space="preserve"> as </w:t>
      </w:r>
      <w:r w:rsidR="0024616C" w:rsidRPr="007E1429">
        <w:rPr>
          <w:rFonts w:ascii="Times New Roman" w:hAnsi="Times New Roman"/>
          <w:sz w:val="24"/>
          <w:szCs w:val="24"/>
          <w:lang w:val="en-US"/>
        </w:rPr>
        <w:t xml:space="preserve">quercitrin </w:t>
      </w:r>
      <w:r w:rsidR="00F66BEB">
        <w:rPr>
          <w:rFonts w:ascii="Times New Roman" w:hAnsi="Times New Roman"/>
          <w:sz w:val="24"/>
          <w:szCs w:val="24"/>
          <w:lang w:val="en-US"/>
        </w:rPr>
        <w:t>(</w:t>
      </w:r>
      <w:r w:rsidR="00F66BEB">
        <w:rPr>
          <w:rFonts w:ascii="Times New Roman" w:hAnsi="Times New Roman"/>
          <w:b/>
          <w:sz w:val="24"/>
          <w:szCs w:val="24"/>
          <w:lang w:val="en-US"/>
        </w:rPr>
        <w:t>3</w:t>
      </w:r>
      <w:r w:rsidR="00F66BEB">
        <w:rPr>
          <w:rFonts w:ascii="Times New Roman" w:hAnsi="Times New Roman"/>
          <w:sz w:val="24"/>
          <w:szCs w:val="24"/>
          <w:lang w:val="en-US"/>
        </w:rPr>
        <w:t>)</w:t>
      </w:r>
      <w:r w:rsidR="00F66BEB" w:rsidRPr="003C0B22">
        <w:rPr>
          <w:rFonts w:ascii="Times New Roman" w:hAnsi="Times New Roman"/>
          <w:sz w:val="24"/>
          <w:szCs w:val="24"/>
          <w:lang w:val="en-US"/>
        </w:rPr>
        <w:t xml:space="preserve"> </w:t>
      </w:r>
      <w:r w:rsidR="0024616C">
        <w:rPr>
          <w:rFonts w:ascii="Times New Roman" w:hAnsi="Times New Roman"/>
          <w:sz w:val="24"/>
          <w:szCs w:val="24"/>
          <w:lang w:val="en-US"/>
        </w:rPr>
        <w:t>and</w:t>
      </w:r>
      <w:r w:rsidR="00F66BEB">
        <w:rPr>
          <w:rFonts w:ascii="Times New Roman" w:hAnsi="Times New Roman"/>
          <w:sz w:val="24"/>
          <w:szCs w:val="24"/>
          <w:lang w:val="en-US"/>
        </w:rPr>
        <w:t xml:space="preserve"> </w:t>
      </w:r>
      <w:r w:rsidR="00F66BEB" w:rsidRPr="00C92E00">
        <w:rPr>
          <w:rFonts w:ascii="Times New Roman" w:hAnsi="Times New Roman"/>
          <w:color w:val="000000"/>
          <w:sz w:val="24"/>
          <w:szCs w:val="24"/>
          <w:shd w:val="clear" w:color="auto" w:fill="FFFFFF"/>
        </w:rPr>
        <w:t>quercetin 3-O-β-D-</w:t>
      </w:r>
      <w:proofErr w:type="spellStart"/>
      <w:r w:rsidR="00F66BEB" w:rsidRPr="00C92E00">
        <w:rPr>
          <w:rFonts w:ascii="Times New Roman" w:hAnsi="Times New Roman"/>
          <w:color w:val="000000"/>
          <w:sz w:val="24"/>
          <w:szCs w:val="24"/>
          <w:shd w:val="clear" w:color="auto" w:fill="FFFFFF"/>
        </w:rPr>
        <w:t>xylopyranosyl</w:t>
      </w:r>
      <w:proofErr w:type="spellEnd"/>
      <w:r w:rsidR="00F66BEB" w:rsidRPr="00C92E00">
        <w:rPr>
          <w:rFonts w:ascii="Times New Roman" w:hAnsi="Times New Roman"/>
          <w:color w:val="000000"/>
          <w:sz w:val="24"/>
          <w:szCs w:val="24"/>
          <w:shd w:val="clear" w:color="auto" w:fill="FFFFFF"/>
        </w:rPr>
        <w:t>-(1→2)-α-L-</w:t>
      </w:r>
      <w:proofErr w:type="spellStart"/>
      <w:r w:rsidR="00F66BEB" w:rsidRPr="00C92E00">
        <w:rPr>
          <w:rFonts w:ascii="Times New Roman" w:hAnsi="Times New Roman"/>
          <w:color w:val="000000"/>
          <w:sz w:val="24"/>
          <w:szCs w:val="24"/>
          <w:shd w:val="clear" w:color="auto" w:fill="FFFFFF"/>
        </w:rPr>
        <w:t>rhamnopyranoside</w:t>
      </w:r>
      <w:proofErr w:type="spellEnd"/>
      <w:r w:rsidR="00F66BEB" w:rsidDel="00F66BEB">
        <w:rPr>
          <w:rFonts w:ascii="Times New Roman" w:hAnsi="Times New Roman"/>
          <w:sz w:val="24"/>
          <w:szCs w:val="24"/>
          <w:lang w:val="en-US"/>
        </w:rPr>
        <w:t xml:space="preserve"> </w:t>
      </w:r>
      <w:r w:rsidR="00F66BEB">
        <w:rPr>
          <w:rFonts w:ascii="Times New Roman" w:hAnsi="Times New Roman"/>
          <w:sz w:val="24"/>
          <w:szCs w:val="24"/>
          <w:lang w:val="en-US"/>
        </w:rPr>
        <w:t>(</w:t>
      </w:r>
      <w:r w:rsidR="00F66BEB">
        <w:rPr>
          <w:rFonts w:ascii="Times New Roman" w:hAnsi="Times New Roman"/>
          <w:b/>
          <w:sz w:val="24"/>
          <w:szCs w:val="24"/>
          <w:lang w:val="en-US"/>
        </w:rPr>
        <w:t>4</w:t>
      </w:r>
      <w:r w:rsidR="00F66BEB">
        <w:rPr>
          <w:rFonts w:ascii="Times New Roman" w:hAnsi="Times New Roman"/>
          <w:sz w:val="24"/>
          <w:szCs w:val="24"/>
          <w:lang w:val="en-US"/>
        </w:rPr>
        <w:t>)</w:t>
      </w:r>
      <w:r w:rsidR="00DD5D06">
        <w:rPr>
          <w:rFonts w:ascii="Times New Roman" w:hAnsi="Times New Roman"/>
          <w:sz w:val="24"/>
          <w:szCs w:val="24"/>
          <w:lang w:val="en-US"/>
        </w:rPr>
        <w:t xml:space="preserve"> (</w:t>
      </w:r>
      <w:r w:rsidR="00DD5D06" w:rsidRPr="00AE7D02">
        <w:rPr>
          <w:rFonts w:ascii="Times New Roman" w:hAnsi="Times New Roman"/>
          <w:b/>
          <w:sz w:val="24"/>
          <w:szCs w:val="24"/>
          <w:lang w:val="en-US"/>
        </w:rPr>
        <w:t>Figure 5</w:t>
      </w:r>
      <w:r w:rsidR="006C4F03">
        <w:rPr>
          <w:rFonts w:ascii="Times New Roman" w:hAnsi="Times New Roman"/>
          <w:sz w:val="24"/>
          <w:szCs w:val="24"/>
          <w:lang w:val="en-US"/>
        </w:rPr>
        <w:t xml:space="preserve"> and</w:t>
      </w:r>
      <w:r w:rsidR="006C4F03" w:rsidRPr="006C4F03">
        <w:rPr>
          <w:rFonts w:ascii="Times New Roman" w:hAnsi="Times New Roman"/>
          <w:sz w:val="24"/>
          <w:szCs w:val="24"/>
          <w:lang w:val="en-US"/>
        </w:rPr>
        <w:t xml:space="preserve"> </w:t>
      </w:r>
      <w:r w:rsidR="006C4F03">
        <w:rPr>
          <w:rFonts w:ascii="Times New Roman" w:hAnsi="Times New Roman"/>
          <w:sz w:val="24"/>
          <w:szCs w:val="24"/>
          <w:lang w:val="en-US"/>
        </w:rPr>
        <w:t>Supporting Information</w:t>
      </w:r>
      <w:r w:rsidR="00540F12">
        <w:rPr>
          <w:rFonts w:ascii="Times New Roman" w:hAnsi="Times New Roman"/>
          <w:sz w:val="24"/>
          <w:szCs w:val="24"/>
          <w:lang w:val="en-US"/>
        </w:rPr>
        <w:t>).</w:t>
      </w:r>
      <w:r w:rsidR="00F66BEB">
        <w:rPr>
          <w:rFonts w:ascii="Times New Roman" w:hAnsi="Times New Roman"/>
          <w:sz w:val="24"/>
          <w:szCs w:val="24"/>
        </w:rPr>
        <w:t xml:space="preserve">  </w:t>
      </w:r>
      <w:r w:rsidR="00EE1F4D">
        <w:rPr>
          <w:rFonts w:ascii="Times New Roman" w:hAnsi="Times New Roman"/>
          <w:sz w:val="24"/>
          <w:szCs w:val="24"/>
        </w:rPr>
        <w:t xml:space="preserve">Another potent fraction F6 was further fractionated by HPLC to yield two tannins, which were characterized using LC-MS/MS along with NMR spectroscopic analysis as </w:t>
      </w:r>
      <w:r w:rsidR="006C4F03" w:rsidRPr="00933949">
        <w:rPr>
          <w:rFonts w:ascii="Times New Roman" w:hAnsi="Times New Roman"/>
          <w:sz w:val="24"/>
          <w:szCs w:val="24"/>
        </w:rPr>
        <w:t>2,3-</w:t>
      </w:r>
      <w:r w:rsidR="006C4F03">
        <w:rPr>
          <w:rFonts w:ascii="Times New Roman" w:hAnsi="Times New Roman"/>
          <w:sz w:val="24"/>
          <w:szCs w:val="24"/>
        </w:rPr>
        <w:t>d</w:t>
      </w:r>
      <w:r w:rsidR="006C4F03" w:rsidRPr="00933949">
        <w:rPr>
          <w:rFonts w:ascii="Times New Roman" w:hAnsi="Times New Roman"/>
          <w:sz w:val="24"/>
          <w:szCs w:val="24"/>
        </w:rPr>
        <w:t>i-O-galloyl-4,6-O-</w:t>
      </w:r>
      <w:r w:rsidR="006C4F03">
        <w:rPr>
          <w:rFonts w:ascii="Times New Roman" w:hAnsi="Times New Roman"/>
          <w:sz w:val="24"/>
          <w:szCs w:val="24"/>
        </w:rPr>
        <w:t>hexahydroxydiphenoyl (</w:t>
      </w:r>
      <w:r w:rsidR="006C4F03" w:rsidRPr="00933949">
        <w:rPr>
          <w:rFonts w:ascii="Times New Roman" w:hAnsi="Times New Roman"/>
          <w:sz w:val="24"/>
          <w:szCs w:val="24"/>
        </w:rPr>
        <w:t>HHDP</w:t>
      </w:r>
      <w:r w:rsidR="006C4F03">
        <w:rPr>
          <w:rFonts w:ascii="Times New Roman" w:hAnsi="Times New Roman"/>
          <w:sz w:val="24"/>
          <w:szCs w:val="24"/>
        </w:rPr>
        <w:t>)</w:t>
      </w:r>
      <w:r w:rsidR="006C4F03" w:rsidRPr="00933949">
        <w:rPr>
          <w:rFonts w:ascii="Times New Roman" w:hAnsi="Times New Roman"/>
          <w:sz w:val="24"/>
          <w:szCs w:val="24"/>
        </w:rPr>
        <w:t>-</w:t>
      </w:r>
      <w:r w:rsidR="006C4F03" w:rsidRPr="00933949">
        <w:rPr>
          <w:rFonts w:ascii="Times New Roman" w:hAnsi="Times New Roman"/>
          <w:sz w:val="24"/>
          <w:szCs w:val="24"/>
          <w:lang w:val="el-GR"/>
        </w:rPr>
        <w:t>β-</w:t>
      </w:r>
      <w:r w:rsidR="006C4F03" w:rsidRPr="00933949">
        <w:rPr>
          <w:rFonts w:ascii="Times New Roman" w:hAnsi="Times New Roman"/>
          <w:sz w:val="24"/>
          <w:szCs w:val="24"/>
        </w:rPr>
        <w:t>D-glucopyranose (</w:t>
      </w:r>
      <w:r w:rsidR="006C4F03" w:rsidRPr="00E55994">
        <w:rPr>
          <w:rFonts w:ascii="Times New Roman" w:hAnsi="Times New Roman"/>
          <w:b/>
          <w:sz w:val="24"/>
          <w:szCs w:val="24"/>
        </w:rPr>
        <w:t>5</w:t>
      </w:r>
      <w:r w:rsidR="006C4F03">
        <w:rPr>
          <w:rFonts w:ascii="Times New Roman" w:hAnsi="Times New Roman"/>
          <w:sz w:val="24"/>
          <w:szCs w:val="24"/>
        </w:rPr>
        <w:t xml:space="preserve">, </w:t>
      </w:r>
      <w:proofErr w:type="spellStart"/>
      <w:r w:rsidR="006C4F03">
        <w:rPr>
          <w:rFonts w:ascii="Times New Roman" w:hAnsi="Times New Roman"/>
          <w:sz w:val="24"/>
          <w:szCs w:val="24"/>
        </w:rPr>
        <w:t>t</w:t>
      </w:r>
      <w:r w:rsidR="006C4F03" w:rsidRPr="00933949">
        <w:rPr>
          <w:rFonts w:ascii="Times New Roman" w:hAnsi="Times New Roman"/>
          <w:sz w:val="24"/>
          <w:szCs w:val="24"/>
        </w:rPr>
        <w:t>ellimagrandin</w:t>
      </w:r>
      <w:proofErr w:type="spellEnd"/>
      <w:r w:rsidR="006C4F03" w:rsidRPr="00933949">
        <w:rPr>
          <w:rFonts w:ascii="Times New Roman" w:hAnsi="Times New Roman"/>
          <w:sz w:val="24"/>
          <w:szCs w:val="24"/>
        </w:rPr>
        <w:t xml:space="preserve"> I</w:t>
      </w:r>
      <w:r w:rsidR="006C4F03">
        <w:rPr>
          <w:rFonts w:ascii="Times New Roman" w:hAnsi="Times New Roman"/>
          <w:sz w:val="24"/>
          <w:szCs w:val="24"/>
        </w:rPr>
        <w:t>),</w:t>
      </w:r>
      <w:r w:rsidR="006C4F03" w:rsidRPr="00933949">
        <w:rPr>
          <w:rFonts w:ascii="Times New Roman" w:hAnsi="Times New Roman"/>
          <w:sz w:val="24"/>
          <w:szCs w:val="24"/>
        </w:rPr>
        <w:t xml:space="preserve"> </w:t>
      </w:r>
      <w:r w:rsidR="00EE1F4D">
        <w:rPr>
          <w:rFonts w:ascii="Times New Roman" w:hAnsi="Times New Roman"/>
          <w:sz w:val="24"/>
          <w:szCs w:val="24"/>
        </w:rPr>
        <w:t xml:space="preserve">and </w:t>
      </w:r>
      <w:r w:rsidR="006C4F03" w:rsidRPr="002B7AEF">
        <w:rPr>
          <w:rFonts w:ascii="Times New Roman" w:hAnsi="Times New Roman"/>
          <w:sz w:val="24"/>
          <w:szCs w:val="24"/>
        </w:rPr>
        <w:t>3,4,6-</w:t>
      </w:r>
      <w:r w:rsidR="006C4F03">
        <w:rPr>
          <w:rFonts w:ascii="Times New Roman" w:hAnsi="Times New Roman"/>
          <w:sz w:val="24"/>
          <w:szCs w:val="24"/>
        </w:rPr>
        <w:t>t</w:t>
      </w:r>
      <w:r w:rsidR="006C4F03" w:rsidRPr="002B7AEF">
        <w:rPr>
          <w:rFonts w:ascii="Times New Roman" w:hAnsi="Times New Roman"/>
          <w:sz w:val="24"/>
          <w:szCs w:val="24"/>
        </w:rPr>
        <w:t>ri-O-galloyl-d-glucose (</w:t>
      </w:r>
      <w:r w:rsidR="006C4F03">
        <w:rPr>
          <w:rFonts w:ascii="Times New Roman" w:hAnsi="Times New Roman"/>
          <w:b/>
          <w:bCs/>
          <w:sz w:val="24"/>
          <w:szCs w:val="24"/>
        </w:rPr>
        <w:t>6</w:t>
      </w:r>
      <w:r w:rsidR="006C4F03" w:rsidRPr="002B7AEF">
        <w:rPr>
          <w:rFonts w:ascii="Times New Roman" w:hAnsi="Times New Roman"/>
          <w:sz w:val="24"/>
          <w:szCs w:val="24"/>
        </w:rPr>
        <w:t>)</w:t>
      </w:r>
      <w:r w:rsidR="00DD5D06">
        <w:rPr>
          <w:rFonts w:ascii="Times New Roman" w:hAnsi="Times New Roman"/>
          <w:sz w:val="24"/>
          <w:szCs w:val="24"/>
        </w:rPr>
        <w:t xml:space="preserve"> (</w:t>
      </w:r>
      <w:r w:rsidR="00DD5D06" w:rsidRPr="00AE7D02">
        <w:rPr>
          <w:rFonts w:ascii="Times New Roman" w:hAnsi="Times New Roman"/>
          <w:b/>
          <w:sz w:val="24"/>
          <w:szCs w:val="24"/>
        </w:rPr>
        <w:t>Figure 5</w:t>
      </w:r>
      <w:r w:rsidR="00433A42">
        <w:rPr>
          <w:rFonts w:ascii="Times New Roman" w:hAnsi="Times New Roman"/>
          <w:sz w:val="24"/>
          <w:szCs w:val="24"/>
        </w:rPr>
        <w:t>).</w:t>
      </w:r>
      <w:r w:rsidR="00EE1F4D">
        <w:rPr>
          <w:rFonts w:ascii="Times New Roman" w:hAnsi="Times New Roman"/>
          <w:sz w:val="24"/>
          <w:szCs w:val="24"/>
        </w:rPr>
        <w:t xml:space="preserve"> Their biological activities were not further investigated. </w:t>
      </w:r>
    </w:p>
    <w:p w14:paraId="17DDF326" w14:textId="77777777" w:rsidR="000E0E63" w:rsidRDefault="000E0E63" w:rsidP="00EE1F4D">
      <w:pPr>
        <w:jc w:val="both"/>
        <w:rPr>
          <w:rFonts w:ascii="Times New Roman" w:hAnsi="Times New Roman"/>
          <w:sz w:val="24"/>
          <w:szCs w:val="24"/>
        </w:rPr>
      </w:pPr>
    </w:p>
    <w:p w14:paraId="2E9F969F" w14:textId="77777777" w:rsidR="00F45ED7" w:rsidRDefault="00F45ED7" w:rsidP="00C15F5B">
      <w:pPr>
        <w:spacing w:line="276" w:lineRule="auto"/>
        <w:jc w:val="both"/>
        <w:rPr>
          <w:rFonts w:ascii="Times New Roman" w:hAnsi="Times New Roman"/>
          <w:sz w:val="24"/>
          <w:szCs w:val="24"/>
        </w:rPr>
      </w:pPr>
    </w:p>
    <w:p w14:paraId="3B62113A" w14:textId="422EC430" w:rsidR="00804F97" w:rsidRPr="00E31225" w:rsidRDefault="00E31225" w:rsidP="006242A9">
      <w:pPr>
        <w:pStyle w:val="ListParagraph"/>
        <w:numPr>
          <w:ilvl w:val="1"/>
          <w:numId w:val="2"/>
        </w:numPr>
        <w:spacing w:line="276" w:lineRule="auto"/>
        <w:jc w:val="both"/>
        <w:rPr>
          <w:rFonts w:ascii="Times New Roman" w:hAnsi="Times New Roman"/>
          <w:b/>
          <w:sz w:val="24"/>
          <w:szCs w:val="24"/>
        </w:rPr>
      </w:pPr>
      <w:r w:rsidRPr="00E31225">
        <w:rPr>
          <w:rFonts w:ascii="Times New Roman" w:hAnsi="Times New Roman"/>
          <w:b/>
          <w:sz w:val="24"/>
          <w:szCs w:val="24"/>
        </w:rPr>
        <w:t xml:space="preserve">QUANTITATIVE ANALYSIS OF GALLIC ACID AND METHYL GALLATE FROM </w:t>
      </w:r>
      <w:r w:rsidRPr="00E31225">
        <w:rPr>
          <w:rFonts w:ascii="Times New Roman" w:hAnsi="Times New Roman"/>
          <w:b/>
          <w:i/>
          <w:sz w:val="24"/>
          <w:szCs w:val="24"/>
        </w:rPr>
        <w:t xml:space="preserve">S. </w:t>
      </w:r>
      <w:proofErr w:type="spellStart"/>
      <w:r w:rsidRPr="00E31225">
        <w:rPr>
          <w:rFonts w:ascii="Times New Roman" w:hAnsi="Times New Roman"/>
          <w:b/>
          <w:i/>
          <w:sz w:val="24"/>
          <w:szCs w:val="24"/>
        </w:rPr>
        <w:t>coriaceum</w:t>
      </w:r>
      <w:proofErr w:type="spellEnd"/>
      <w:r w:rsidRPr="00E31225">
        <w:rPr>
          <w:rFonts w:ascii="Times New Roman" w:hAnsi="Times New Roman"/>
          <w:b/>
          <w:sz w:val="24"/>
          <w:szCs w:val="24"/>
        </w:rPr>
        <w:t xml:space="preserve"> CRUDE LEAF EXTRACT.</w:t>
      </w:r>
    </w:p>
    <w:p w14:paraId="3C3BB224" w14:textId="136BA5C2" w:rsidR="00804F97" w:rsidRDefault="00F95A85" w:rsidP="00BB7017">
      <w:pPr>
        <w:spacing w:line="276" w:lineRule="auto"/>
        <w:jc w:val="both"/>
        <w:rPr>
          <w:rFonts w:ascii="Times New Roman" w:hAnsi="Times New Roman"/>
          <w:sz w:val="24"/>
          <w:szCs w:val="24"/>
        </w:rPr>
      </w:pPr>
      <w:r w:rsidRPr="00F95A85">
        <w:rPr>
          <w:rFonts w:ascii="Times New Roman" w:hAnsi="Times New Roman"/>
          <w:sz w:val="24"/>
          <w:szCs w:val="24"/>
        </w:rPr>
        <w:t xml:space="preserve">The </w:t>
      </w:r>
      <w:r>
        <w:rPr>
          <w:rFonts w:ascii="Times New Roman" w:hAnsi="Times New Roman"/>
          <w:sz w:val="24"/>
          <w:szCs w:val="24"/>
        </w:rPr>
        <w:t xml:space="preserve">gallic acid and methyl gallate </w:t>
      </w:r>
      <w:r w:rsidR="0057324A">
        <w:rPr>
          <w:rFonts w:ascii="Times New Roman" w:hAnsi="Times New Roman"/>
          <w:sz w:val="24"/>
          <w:szCs w:val="24"/>
        </w:rPr>
        <w:t xml:space="preserve">contents </w:t>
      </w:r>
      <w:r w:rsidRPr="00F95A85">
        <w:rPr>
          <w:rFonts w:ascii="Times New Roman" w:hAnsi="Times New Roman"/>
          <w:sz w:val="24"/>
          <w:szCs w:val="24"/>
        </w:rPr>
        <w:t xml:space="preserve">of </w:t>
      </w:r>
      <w:r w:rsidR="003553C2" w:rsidRPr="003553C2">
        <w:rPr>
          <w:rFonts w:ascii="Times New Roman" w:hAnsi="Times New Roman"/>
          <w:i/>
          <w:sz w:val="24"/>
          <w:szCs w:val="24"/>
        </w:rPr>
        <w:t xml:space="preserve">S. </w:t>
      </w:r>
      <w:proofErr w:type="spellStart"/>
      <w:r w:rsidR="003553C2" w:rsidRPr="003553C2">
        <w:rPr>
          <w:rFonts w:ascii="Times New Roman" w:hAnsi="Times New Roman"/>
          <w:i/>
          <w:sz w:val="24"/>
          <w:szCs w:val="24"/>
        </w:rPr>
        <w:t>coriaceum</w:t>
      </w:r>
      <w:proofErr w:type="spellEnd"/>
      <w:r w:rsidR="003553C2">
        <w:rPr>
          <w:rFonts w:ascii="Times New Roman" w:hAnsi="Times New Roman"/>
          <w:sz w:val="24"/>
          <w:szCs w:val="24"/>
        </w:rPr>
        <w:t xml:space="preserve"> leaf crude extract </w:t>
      </w:r>
      <w:r w:rsidR="001C34D2">
        <w:rPr>
          <w:rFonts w:ascii="Times New Roman" w:hAnsi="Times New Roman"/>
          <w:sz w:val="24"/>
          <w:szCs w:val="24"/>
        </w:rPr>
        <w:t>are</w:t>
      </w:r>
      <w:r w:rsidRPr="00F95A85">
        <w:rPr>
          <w:rFonts w:ascii="Times New Roman" w:hAnsi="Times New Roman"/>
          <w:sz w:val="24"/>
          <w:szCs w:val="24"/>
        </w:rPr>
        <w:t xml:space="preserve"> presented in </w:t>
      </w:r>
      <w:r w:rsidRPr="00AE7D02">
        <w:rPr>
          <w:rFonts w:ascii="Times New Roman" w:hAnsi="Times New Roman"/>
          <w:b/>
          <w:sz w:val="24"/>
          <w:szCs w:val="24"/>
        </w:rPr>
        <w:t>Table 3</w:t>
      </w:r>
      <w:r w:rsidRPr="00F95A85">
        <w:rPr>
          <w:rFonts w:ascii="Times New Roman" w:hAnsi="Times New Roman"/>
          <w:sz w:val="24"/>
          <w:szCs w:val="24"/>
        </w:rPr>
        <w:t>.</w:t>
      </w:r>
      <w:r w:rsidR="003553C2">
        <w:rPr>
          <w:rFonts w:ascii="Times New Roman" w:hAnsi="Times New Roman"/>
          <w:sz w:val="24"/>
          <w:szCs w:val="24"/>
        </w:rPr>
        <w:t xml:space="preserve"> </w:t>
      </w:r>
      <w:r w:rsidRPr="00F95A85">
        <w:rPr>
          <w:rFonts w:ascii="Times New Roman" w:hAnsi="Times New Roman"/>
          <w:sz w:val="24"/>
          <w:szCs w:val="24"/>
        </w:rPr>
        <w:t xml:space="preserve">Quantification of </w:t>
      </w:r>
      <w:r w:rsidR="00BB7017">
        <w:rPr>
          <w:rFonts w:ascii="Times New Roman" w:hAnsi="Times New Roman"/>
          <w:sz w:val="24"/>
          <w:szCs w:val="24"/>
        </w:rPr>
        <w:t>both</w:t>
      </w:r>
      <w:r w:rsidRPr="00F95A85">
        <w:rPr>
          <w:rFonts w:ascii="Times New Roman" w:hAnsi="Times New Roman"/>
          <w:sz w:val="24"/>
          <w:szCs w:val="24"/>
        </w:rPr>
        <w:t xml:space="preserve"> compound</w:t>
      </w:r>
      <w:r w:rsidR="000B6A83">
        <w:rPr>
          <w:rFonts w:ascii="Times New Roman" w:hAnsi="Times New Roman"/>
          <w:sz w:val="24"/>
          <w:szCs w:val="24"/>
        </w:rPr>
        <w:t>s</w:t>
      </w:r>
      <w:r w:rsidRPr="00F95A85">
        <w:rPr>
          <w:rFonts w:ascii="Times New Roman" w:hAnsi="Times New Roman"/>
          <w:sz w:val="24"/>
          <w:szCs w:val="24"/>
        </w:rPr>
        <w:t xml:space="preserve"> </w:t>
      </w:r>
      <w:r w:rsidR="00022F80" w:rsidRPr="00F95A85">
        <w:rPr>
          <w:rFonts w:ascii="Times New Roman" w:hAnsi="Times New Roman"/>
          <w:sz w:val="24"/>
          <w:szCs w:val="24"/>
        </w:rPr>
        <w:t>w</w:t>
      </w:r>
      <w:r w:rsidR="00022F80">
        <w:rPr>
          <w:rFonts w:ascii="Times New Roman" w:hAnsi="Times New Roman"/>
          <w:sz w:val="24"/>
          <w:szCs w:val="24"/>
        </w:rPr>
        <w:t>as</w:t>
      </w:r>
      <w:r w:rsidRPr="00F95A85">
        <w:rPr>
          <w:rFonts w:ascii="Times New Roman" w:hAnsi="Times New Roman"/>
          <w:sz w:val="24"/>
          <w:szCs w:val="24"/>
        </w:rPr>
        <w:t xml:space="preserve"> done </w:t>
      </w:r>
      <w:r w:rsidR="00EB3E0F">
        <w:rPr>
          <w:rFonts w:ascii="Times New Roman" w:hAnsi="Times New Roman"/>
          <w:sz w:val="24"/>
          <w:szCs w:val="24"/>
        </w:rPr>
        <w:t xml:space="preserve">using </w:t>
      </w:r>
      <w:r w:rsidR="00BB7017">
        <w:rPr>
          <w:rFonts w:ascii="Times New Roman" w:hAnsi="Times New Roman"/>
          <w:sz w:val="24"/>
          <w:szCs w:val="24"/>
        </w:rPr>
        <w:t>analytical HPLC</w:t>
      </w:r>
      <w:r w:rsidRPr="00F95A85">
        <w:rPr>
          <w:rFonts w:ascii="Times New Roman" w:hAnsi="Times New Roman"/>
          <w:sz w:val="24"/>
          <w:szCs w:val="24"/>
        </w:rPr>
        <w:t xml:space="preserve"> by comparing</w:t>
      </w:r>
      <w:r w:rsidR="00BB7017">
        <w:rPr>
          <w:rFonts w:ascii="Times New Roman" w:hAnsi="Times New Roman"/>
          <w:sz w:val="24"/>
          <w:szCs w:val="24"/>
        </w:rPr>
        <w:t xml:space="preserve"> the retention time</w:t>
      </w:r>
      <w:r w:rsidRPr="00F95A85">
        <w:rPr>
          <w:rFonts w:ascii="Times New Roman" w:hAnsi="Times New Roman"/>
          <w:sz w:val="24"/>
          <w:szCs w:val="24"/>
        </w:rPr>
        <w:t xml:space="preserve"> and peak area between the samples and </w:t>
      </w:r>
      <w:r w:rsidR="00BB7017">
        <w:rPr>
          <w:rFonts w:ascii="Times New Roman" w:hAnsi="Times New Roman"/>
          <w:sz w:val="24"/>
          <w:szCs w:val="24"/>
        </w:rPr>
        <w:t xml:space="preserve">commercially available standards. </w:t>
      </w:r>
    </w:p>
    <w:p w14:paraId="592DE146" w14:textId="363E0072" w:rsidR="00350C6E" w:rsidRDefault="00350C6E" w:rsidP="00BB7017">
      <w:pPr>
        <w:spacing w:line="276" w:lineRule="auto"/>
        <w:jc w:val="both"/>
        <w:rPr>
          <w:rFonts w:ascii="Times New Roman" w:hAnsi="Times New Roman"/>
          <w:sz w:val="24"/>
          <w:szCs w:val="24"/>
        </w:rPr>
      </w:pPr>
    </w:p>
    <w:p w14:paraId="5BF7FD11" w14:textId="61E579D1" w:rsidR="00804F97" w:rsidRPr="00E31225" w:rsidRDefault="00E31225" w:rsidP="006242A9">
      <w:pPr>
        <w:pStyle w:val="ListParagraph"/>
        <w:numPr>
          <w:ilvl w:val="1"/>
          <w:numId w:val="2"/>
        </w:numPr>
        <w:spacing w:line="276" w:lineRule="auto"/>
        <w:jc w:val="both"/>
        <w:rPr>
          <w:rFonts w:ascii="Times New Roman" w:hAnsi="Times New Roman"/>
          <w:b/>
          <w:sz w:val="24"/>
          <w:szCs w:val="24"/>
        </w:rPr>
      </w:pPr>
      <w:r w:rsidRPr="00E31225">
        <w:rPr>
          <w:rFonts w:ascii="Times New Roman" w:hAnsi="Times New Roman"/>
          <w:b/>
          <w:sz w:val="24"/>
          <w:szCs w:val="24"/>
        </w:rPr>
        <w:lastRenderedPageBreak/>
        <w:t>EFFECT OF GALLIC, METHYL GALLATE AND QUERCITRIN TREATMENTS IN H</w:t>
      </w:r>
      <w:r>
        <w:rPr>
          <w:rFonts w:ascii="Times New Roman" w:hAnsi="Times New Roman"/>
          <w:b/>
          <w:sz w:val="24"/>
          <w:szCs w:val="24"/>
        </w:rPr>
        <w:t>ep</w:t>
      </w:r>
      <w:r w:rsidRPr="00E31225">
        <w:rPr>
          <w:rFonts w:ascii="Times New Roman" w:hAnsi="Times New Roman"/>
          <w:b/>
          <w:sz w:val="24"/>
          <w:szCs w:val="24"/>
        </w:rPr>
        <w:t>G2 CELLS GROWTH.</w:t>
      </w:r>
    </w:p>
    <w:p w14:paraId="53B46F75" w14:textId="77777777" w:rsidR="00042D93" w:rsidRDefault="00042D93" w:rsidP="00042D93">
      <w:pPr>
        <w:pStyle w:val="ListParagraph"/>
        <w:spacing w:line="276" w:lineRule="auto"/>
        <w:ind w:left="360"/>
        <w:jc w:val="both"/>
        <w:rPr>
          <w:rFonts w:ascii="Times New Roman" w:hAnsi="Times New Roman"/>
          <w:sz w:val="24"/>
          <w:szCs w:val="24"/>
        </w:rPr>
      </w:pPr>
    </w:p>
    <w:p w14:paraId="4C24C620" w14:textId="20B91EFC" w:rsidR="00042D93" w:rsidRPr="00711273" w:rsidRDefault="008E583F" w:rsidP="001A3AF5">
      <w:pPr>
        <w:spacing w:line="276" w:lineRule="auto"/>
        <w:jc w:val="both"/>
        <w:rPr>
          <w:rFonts w:ascii="Times New Roman" w:hAnsi="Times New Roman"/>
          <w:sz w:val="24"/>
          <w:szCs w:val="24"/>
        </w:rPr>
      </w:pPr>
      <w:r>
        <w:rPr>
          <w:rFonts w:ascii="Times New Roman" w:hAnsi="Times New Roman"/>
          <w:sz w:val="24"/>
          <w:szCs w:val="24"/>
        </w:rPr>
        <w:t xml:space="preserve">In view of </w:t>
      </w:r>
      <w:r w:rsidR="003F2B38">
        <w:rPr>
          <w:rFonts w:ascii="Times New Roman" w:hAnsi="Times New Roman"/>
          <w:sz w:val="24"/>
          <w:szCs w:val="24"/>
        </w:rPr>
        <w:t xml:space="preserve">delineating the contribution of individual phenolic </w:t>
      </w:r>
      <w:r w:rsidR="00350C6E">
        <w:rPr>
          <w:rFonts w:ascii="Times New Roman" w:hAnsi="Times New Roman"/>
          <w:sz w:val="24"/>
          <w:szCs w:val="24"/>
        </w:rPr>
        <w:t xml:space="preserve">identified </w:t>
      </w:r>
      <w:r w:rsidR="003F2B38">
        <w:rPr>
          <w:rFonts w:ascii="Times New Roman" w:hAnsi="Times New Roman"/>
          <w:sz w:val="24"/>
          <w:szCs w:val="24"/>
        </w:rPr>
        <w:t>compounds, the</w:t>
      </w:r>
      <w:r w:rsidR="00EF05B2">
        <w:rPr>
          <w:rFonts w:ascii="Times New Roman" w:hAnsi="Times New Roman"/>
          <w:sz w:val="24"/>
          <w:szCs w:val="24"/>
        </w:rPr>
        <w:t xml:space="preserve"> influence </w:t>
      </w:r>
      <w:r w:rsidR="00B04E1B">
        <w:rPr>
          <w:rFonts w:ascii="Times New Roman" w:hAnsi="Times New Roman"/>
          <w:sz w:val="24"/>
          <w:szCs w:val="24"/>
        </w:rPr>
        <w:t xml:space="preserve">of </w:t>
      </w:r>
      <w:r w:rsidR="000F6A02">
        <w:rPr>
          <w:rFonts w:ascii="Times New Roman" w:hAnsi="Times New Roman"/>
          <w:sz w:val="24"/>
          <w:szCs w:val="24"/>
        </w:rPr>
        <w:t>authentic</w:t>
      </w:r>
      <w:r w:rsidR="00B04E1B">
        <w:rPr>
          <w:rFonts w:ascii="Times New Roman" w:hAnsi="Times New Roman"/>
          <w:sz w:val="24"/>
          <w:szCs w:val="24"/>
        </w:rPr>
        <w:t xml:space="preserve"> </w:t>
      </w:r>
      <w:r w:rsidR="00350C6E">
        <w:rPr>
          <w:rFonts w:ascii="Times New Roman" w:hAnsi="Times New Roman"/>
          <w:sz w:val="24"/>
          <w:szCs w:val="24"/>
        </w:rPr>
        <w:t>standards</w:t>
      </w:r>
      <w:r w:rsidR="00C01DF5">
        <w:rPr>
          <w:rFonts w:ascii="Times New Roman" w:hAnsi="Times New Roman"/>
          <w:sz w:val="24"/>
          <w:szCs w:val="24"/>
        </w:rPr>
        <w:t xml:space="preserve"> on HepG2 </w:t>
      </w:r>
      <w:r w:rsidR="00436CC1">
        <w:rPr>
          <w:rFonts w:ascii="Times New Roman" w:hAnsi="Times New Roman"/>
          <w:sz w:val="24"/>
          <w:szCs w:val="24"/>
        </w:rPr>
        <w:t>viability</w:t>
      </w:r>
      <w:r w:rsidR="00C01DF5">
        <w:rPr>
          <w:rFonts w:ascii="Times New Roman" w:hAnsi="Times New Roman"/>
          <w:sz w:val="24"/>
          <w:szCs w:val="24"/>
        </w:rPr>
        <w:t xml:space="preserve"> </w:t>
      </w:r>
      <w:r w:rsidR="00436CC1">
        <w:rPr>
          <w:rFonts w:ascii="Times New Roman" w:hAnsi="Times New Roman"/>
          <w:sz w:val="24"/>
          <w:szCs w:val="24"/>
        </w:rPr>
        <w:t>wa</w:t>
      </w:r>
      <w:r w:rsidR="00761E37">
        <w:rPr>
          <w:rFonts w:ascii="Times New Roman" w:hAnsi="Times New Roman"/>
          <w:sz w:val="24"/>
          <w:szCs w:val="24"/>
        </w:rPr>
        <w:t xml:space="preserve">s investigated. </w:t>
      </w:r>
      <w:r w:rsidR="00AC72D6">
        <w:rPr>
          <w:rFonts w:ascii="Times New Roman" w:hAnsi="Times New Roman"/>
          <w:sz w:val="24"/>
          <w:szCs w:val="24"/>
        </w:rPr>
        <w:t xml:space="preserve">Both gallic </w:t>
      </w:r>
      <w:r w:rsidR="004956AF">
        <w:rPr>
          <w:rFonts w:ascii="Times New Roman" w:hAnsi="Times New Roman"/>
          <w:sz w:val="24"/>
          <w:szCs w:val="24"/>
        </w:rPr>
        <w:t>acid (</w:t>
      </w:r>
      <w:r w:rsidR="00443D56" w:rsidRPr="008668B9">
        <w:rPr>
          <w:rFonts w:ascii="Times New Roman" w:hAnsi="Times New Roman"/>
          <w:i/>
          <w:sz w:val="24"/>
          <w:szCs w:val="24"/>
        </w:rPr>
        <w:t>IC</w:t>
      </w:r>
      <w:r w:rsidR="00443D56" w:rsidRPr="008668B9">
        <w:rPr>
          <w:rFonts w:ascii="Times New Roman" w:hAnsi="Times New Roman"/>
          <w:i/>
          <w:sz w:val="24"/>
          <w:szCs w:val="24"/>
          <w:vertAlign w:val="subscript"/>
        </w:rPr>
        <w:t>50</w:t>
      </w:r>
      <w:r w:rsidR="00443D56" w:rsidRPr="00A31206">
        <w:rPr>
          <w:rFonts w:ascii="Times New Roman" w:hAnsi="Times New Roman"/>
          <w:sz w:val="24"/>
          <w:szCs w:val="24"/>
        </w:rPr>
        <w:t xml:space="preserve"> value</w:t>
      </w:r>
      <w:r w:rsidR="00443D56">
        <w:rPr>
          <w:rFonts w:ascii="Times New Roman" w:hAnsi="Times New Roman"/>
          <w:sz w:val="24"/>
          <w:szCs w:val="24"/>
        </w:rPr>
        <w:t xml:space="preserve"> = 26.3</w:t>
      </w:r>
      <w:r w:rsidR="00443D56" w:rsidRPr="00A31206">
        <w:rPr>
          <w:rFonts w:ascii="Times New Roman" w:hAnsi="Times New Roman"/>
          <w:sz w:val="24"/>
          <w:szCs w:val="24"/>
        </w:rPr>
        <w:t xml:space="preserve"> ± </w:t>
      </w:r>
      <w:r w:rsidR="004956AF">
        <w:rPr>
          <w:rFonts w:ascii="Times New Roman" w:hAnsi="Times New Roman"/>
          <w:sz w:val="24"/>
          <w:szCs w:val="24"/>
        </w:rPr>
        <w:t>6</w:t>
      </w:r>
      <w:r w:rsidR="00443D56" w:rsidRPr="00A31206">
        <w:rPr>
          <w:rFonts w:ascii="Times New Roman" w:hAnsi="Times New Roman"/>
          <w:sz w:val="24"/>
          <w:szCs w:val="24"/>
        </w:rPr>
        <w:t>.1 µg/ml)</w:t>
      </w:r>
      <w:r w:rsidR="00443D56">
        <w:rPr>
          <w:rFonts w:ascii="Times New Roman" w:hAnsi="Times New Roman"/>
          <w:sz w:val="24"/>
          <w:szCs w:val="24"/>
        </w:rPr>
        <w:t xml:space="preserve"> </w:t>
      </w:r>
      <w:r w:rsidR="00AC72D6">
        <w:rPr>
          <w:rFonts w:ascii="Times New Roman" w:hAnsi="Times New Roman"/>
          <w:sz w:val="24"/>
          <w:szCs w:val="24"/>
        </w:rPr>
        <w:t xml:space="preserve">and methyl gallate </w:t>
      </w:r>
      <w:r w:rsidR="00443D56" w:rsidRPr="00A31206">
        <w:rPr>
          <w:rFonts w:ascii="Times New Roman" w:hAnsi="Times New Roman"/>
          <w:sz w:val="24"/>
          <w:szCs w:val="24"/>
        </w:rPr>
        <w:t>(</w:t>
      </w:r>
      <w:r w:rsidR="00443D56" w:rsidRPr="008668B9">
        <w:rPr>
          <w:rFonts w:ascii="Times New Roman" w:hAnsi="Times New Roman"/>
          <w:i/>
          <w:sz w:val="24"/>
          <w:szCs w:val="24"/>
        </w:rPr>
        <w:t>IC</w:t>
      </w:r>
      <w:r w:rsidR="00443D56" w:rsidRPr="008668B9">
        <w:rPr>
          <w:rFonts w:ascii="Times New Roman" w:hAnsi="Times New Roman"/>
          <w:i/>
          <w:sz w:val="24"/>
          <w:szCs w:val="24"/>
          <w:vertAlign w:val="subscript"/>
        </w:rPr>
        <w:t>50</w:t>
      </w:r>
      <w:r w:rsidR="00443D56" w:rsidRPr="00A31206">
        <w:rPr>
          <w:rFonts w:ascii="Times New Roman" w:hAnsi="Times New Roman"/>
          <w:sz w:val="24"/>
          <w:szCs w:val="24"/>
        </w:rPr>
        <w:t xml:space="preserve"> value</w:t>
      </w:r>
      <w:r w:rsidR="004956AF">
        <w:rPr>
          <w:rFonts w:ascii="Times New Roman" w:hAnsi="Times New Roman"/>
          <w:sz w:val="24"/>
          <w:szCs w:val="24"/>
        </w:rPr>
        <w:t xml:space="preserve"> = 11</w:t>
      </w:r>
      <w:r w:rsidR="00443D56" w:rsidRPr="00A31206">
        <w:rPr>
          <w:rFonts w:ascii="Times New Roman" w:hAnsi="Times New Roman"/>
          <w:sz w:val="24"/>
          <w:szCs w:val="24"/>
        </w:rPr>
        <w:t>.7 ± 1.</w:t>
      </w:r>
      <w:r w:rsidR="004956AF">
        <w:rPr>
          <w:rFonts w:ascii="Times New Roman" w:hAnsi="Times New Roman"/>
          <w:sz w:val="24"/>
          <w:szCs w:val="24"/>
        </w:rPr>
        <w:t>3</w:t>
      </w:r>
      <w:r w:rsidR="00443D56" w:rsidRPr="00A31206">
        <w:rPr>
          <w:rFonts w:ascii="Times New Roman" w:hAnsi="Times New Roman"/>
          <w:sz w:val="24"/>
          <w:szCs w:val="24"/>
        </w:rPr>
        <w:t xml:space="preserve"> µg/ml)</w:t>
      </w:r>
      <w:r w:rsidR="004956AF">
        <w:rPr>
          <w:rFonts w:ascii="Times New Roman" w:hAnsi="Times New Roman"/>
          <w:sz w:val="24"/>
          <w:szCs w:val="24"/>
        </w:rPr>
        <w:t xml:space="preserve"> inhibited the growth of HepG2 cells in a dose</w:t>
      </w:r>
      <w:r w:rsidR="000B6A83">
        <w:rPr>
          <w:rFonts w:ascii="Times New Roman" w:hAnsi="Times New Roman"/>
          <w:sz w:val="24"/>
          <w:szCs w:val="24"/>
        </w:rPr>
        <w:t>-</w:t>
      </w:r>
      <w:r w:rsidR="004956AF">
        <w:rPr>
          <w:rFonts w:ascii="Times New Roman" w:hAnsi="Times New Roman"/>
          <w:sz w:val="24"/>
          <w:szCs w:val="24"/>
        </w:rPr>
        <w:t>dependent manner</w:t>
      </w:r>
      <w:r w:rsidR="00772F5E">
        <w:rPr>
          <w:rFonts w:ascii="Times New Roman" w:hAnsi="Times New Roman"/>
          <w:sz w:val="24"/>
          <w:szCs w:val="24"/>
        </w:rPr>
        <w:t>, with the latter being 2.25 fold more potent tha</w:t>
      </w:r>
      <w:r w:rsidR="000B6A83">
        <w:rPr>
          <w:rFonts w:ascii="Times New Roman" w:hAnsi="Times New Roman"/>
          <w:sz w:val="24"/>
          <w:szCs w:val="24"/>
        </w:rPr>
        <w:t>n</w:t>
      </w:r>
      <w:r w:rsidR="00772F5E">
        <w:rPr>
          <w:rFonts w:ascii="Times New Roman" w:hAnsi="Times New Roman"/>
          <w:sz w:val="24"/>
          <w:szCs w:val="24"/>
        </w:rPr>
        <w:t xml:space="preserve"> the former</w:t>
      </w:r>
      <w:r w:rsidR="00592217">
        <w:rPr>
          <w:rFonts w:ascii="Times New Roman" w:hAnsi="Times New Roman"/>
          <w:sz w:val="24"/>
          <w:szCs w:val="24"/>
        </w:rPr>
        <w:t xml:space="preserve"> </w:t>
      </w:r>
      <w:r w:rsidR="00BF3B06">
        <w:rPr>
          <w:rFonts w:ascii="Times New Roman" w:hAnsi="Times New Roman"/>
          <w:b/>
          <w:sz w:val="24"/>
          <w:szCs w:val="24"/>
        </w:rPr>
        <w:t>(Figure 2</w:t>
      </w:r>
      <w:r w:rsidR="00592217" w:rsidRPr="001A3AF5">
        <w:rPr>
          <w:rFonts w:ascii="Times New Roman" w:hAnsi="Times New Roman"/>
          <w:b/>
          <w:sz w:val="24"/>
          <w:szCs w:val="24"/>
        </w:rPr>
        <w:t xml:space="preserve"> B and C)</w:t>
      </w:r>
      <w:r w:rsidR="00772F5E">
        <w:rPr>
          <w:rFonts w:ascii="Times New Roman" w:hAnsi="Times New Roman"/>
          <w:sz w:val="24"/>
          <w:szCs w:val="24"/>
        </w:rPr>
        <w:t xml:space="preserve">. </w:t>
      </w:r>
      <w:r w:rsidR="00592217">
        <w:rPr>
          <w:rFonts w:ascii="Times New Roman" w:hAnsi="Times New Roman"/>
          <w:sz w:val="24"/>
          <w:szCs w:val="24"/>
        </w:rPr>
        <w:t>In contrast, quercitrin showed no dose</w:t>
      </w:r>
      <w:r w:rsidR="000B6A83">
        <w:rPr>
          <w:rFonts w:ascii="Times New Roman" w:hAnsi="Times New Roman"/>
          <w:sz w:val="24"/>
          <w:szCs w:val="24"/>
        </w:rPr>
        <w:t>-</w:t>
      </w:r>
      <w:r w:rsidR="00592217">
        <w:rPr>
          <w:rFonts w:ascii="Times New Roman" w:hAnsi="Times New Roman"/>
          <w:sz w:val="24"/>
          <w:szCs w:val="24"/>
        </w:rPr>
        <w:t xml:space="preserve">dependent </w:t>
      </w:r>
      <w:r w:rsidR="001A3AF5">
        <w:rPr>
          <w:rFonts w:ascii="Times New Roman" w:hAnsi="Times New Roman"/>
          <w:sz w:val="24"/>
          <w:szCs w:val="24"/>
        </w:rPr>
        <w:t xml:space="preserve">activity exhibiting 75 </w:t>
      </w:r>
      <w:r w:rsidR="00CF0CC2">
        <w:rPr>
          <w:rFonts w:ascii="Times New Roman" w:hAnsi="Times New Roman"/>
          <w:sz w:val="24"/>
          <w:szCs w:val="24"/>
        </w:rPr>
        <w:t xml:space="preserve">± 7.5 % cell viability at the 100 </w:t>
      </w:r>
      <w:r w:rsidR="00CF0CC2" w:rsidRPr="00A31206">
        <w:rPr>
          <w:rFonts w:ascii="Times New Roman" w:hAnsi="Times New Roman"/>
          <w:sz w:val="24"/>
          <w:szCs w:val="24"/>
        </w:rPr>
        <w:t>µg/ml</w:t>
      </w:r>
      <w:r w:rsidR="00CF0CC2">
        <w:rPr>
          <w:rFonts w:ascii="Times New Roman" w:hAnsi="Times New Roman"/>
          <w:sz w:val="24"/>
          <w:szCs w:val="24"/>
        </w:rPr>
        <w:t xml:space="preserve">, the highest concentration tested. </w:t>
      </w:r>
      <w:r w:rsidR="00954B44">
        <w:rPr>
          <w:rFonts w:ascii="Times New Roman" w:hAnsi="Times New Roman"/>
          <w:sz w:val="24"/>
          <w:szCs w:val="24"/>
        </w:rPr>
        <w:t xml:space="preserve">As depicted in </w:t>
      </w:r>
      <w:r w:rsidR="00AE7D02">
        <w:rPr>
          <w:rFonts w:ascii="Times New Roman" w:hAnsi="Times New Roman"/>
          <w:b/>
          <w:sz w:val="24"/>
          <w:szCs w:val="24"/>
        </w:rPr>
        <w:t>Figure 2</w:t>
      </w:r>
      <w:r w:rsidR="00954B44" w:rsidRPr="00AE7D02">
        <w:rPr>
          <w:rFonts w:ascii="Times New Roman" w:hAnsi="Times New Roman"/>
          <w:b/>
          <w:sz w:val="24"/>
          <w:szCs w:val="24"/>
        </w:rPr>
        <w:t>J</w:t>
      </w:r>
      <w:r w:rsidR="00954B44">
        <w:rPr>
          <w:rFonts w:ascii="Times New Roman" w:hAnsi="Times New Roman"/>
          <w:sz w:val="24"/>
          <w:szCs w:val="24"/>
        </w:rPr>
        <w:t xml:space="preserve"> and </w:t>
      </w:r>
      <w:r w:rsidR="00954B44" w:rsidRPr="00AE7D02">
        <w:rPr>
          <w:rFonts w:ascii="Times New Roman" w:hAnsi="Times New Roman"/>
          <w:b/>
          <w:sz w:val="24"/>
          <w:szCs w:val="24"/>
        </w:rPr>
        <w:t>K</w:t>
      </w:r>
      <w:r w:rsidR="00F43398">
        <w:rPr>
          <w:rFonts w:ascii="Times New Roman" w:hAnsi="Times New Roman"/>
          <w:sz w:val="24"/>
          <w:szCs w:val="24"/>
        </w:rPr>
        <w:t xml:space="preserve">, both gallic acid and methyl gallate </w:t>
      </w:r>
      <w:r w:rsidR="00731D7E">
        <w:rPr>
          <w:rFonts w:ascii="Times New Roman" w:hAnsi="Times New Roman"/>
          <w:sz w:val="24"/>
          <w:szCs w:val="24"/>
        </w:rPr>
        <w:t xml:space="preserve">increased </w:t>
      </w:r>
      <w:r w:rsidR="00DC1E9D">
        <w:rPr>
          <w:rFonts w:ascii="Times New Roman" w:hAnsi="Times New Roman"/>
          <w:sz w:val="24"/>
          <w:szCs w:val="24"/>
        </w:rPr>
        <w:t xml:space="preserve">intracellular ROS level in </w:t>
      </w:r>
      <w:r w:rsidR="000B6A83">
        <w:rPr>
          <w:rFonts w:ascii="Times New Roman" w:hAnsi="Times New Roman"/>
          <w:sz w:val="24"/>
          <w:szCs w:val="24"/>
        </w:rPr>
        <w:t xml:space="preserve">a </w:t>
      </w:r>
      <w:r w:rsidR="00DC1E9D">
        <w:rPr>
          <w:rFonts w:ascii="Times New Roman" w:hAnsi="Times New Roman"/>
          <w:sz w:val="24"/>
          <w:szCs w:val="24"/>
        </w:rPr>
        <w:t xml:space="preserve">similar manner as </w:t>
      </w:r>
      <w:r w:rsidR="00DC1E9D" w:rsidRPr="00BE04C1">
        <w:rPr>
          <w:rFonts w:ascii="Times New Roman" w:hAnsi="Times New Roman"/>
          <w:i/>
          <w:sz w:val="24"/>
          <w:szCs w:val="24"/>
        </w:rPr>
        <w:t xml:space="preserve">S. </w:t>
      </w:r>
      <w:proofErr w:type="spellStart"/>
      <w:r w:rsidR="00DC1E9D" w:rsidRPr="00BE04C1">
        <w:rPr>
          <w:rFonts w:ascii="Times New Roman" w:hAnsi="Times New Roman"/>
          <w:i/>
          <w:sz w:val="24"/>
          <w:szCs w:val="24"/>
        </w:rPr>
        <w:t>coriaceum</w:t>
      </w:r>
      <w:proofErr w:type="spellEnd"/>
      <w:r w:rsidR="00DC1E9D">
        <w:rPr>
          <w:rFonts w:ascii="Times New Roman" w:hAnsi="Times New Roman"/>
          <w:sz w:val="24"/>
          <w:szCs w:val="24"/>
        </w:rPr>
        <w:t xml:space="preserve"> crude leaf extract. However, </w:t>
      </w:r>
      <w:r w:rsidR="00F13C85">
        <w:rPr>
          <w:rFonts w:ascii="Times New Roman" w:hAnsi="Times New Roman"/>
          <w:sz w:val="24"/>
          <w:szCs w:val="24"/>
        </w:rPr>
        <w:t xml:space="preserve">only methyl gallate exhibited SOD </w:t>
      </w:r>
      <w:r w:rsidR="00CF7AC2">
        <w:rPr>
          <w:rFonts w:ascii="Times New Roman" w:hAnsi="Times New Roman"/>
          <w:sz w:val="24"/>
          <w:szCs w:val="24"/>
        </w:rPr>
        <w:t xml:space="preserve">enzyme activity </w:t>
      </w:r>
      <w:r w:rsidR="00EB3E0F">
        <w:rPr>
          <w:rFonts w:ascii="Times New Roman" w:hAnsi="Times New Roman"/>
          <w:sz w:val="24"/>
          <w:szCs w:val="24"/>
        </w:rPr>
        <w:t>similar to the</w:t>
      </w:r>
      <w:r w:rsidR="00CF7AC2">
        <w:rPr>
          <w:rFonts w:ascii="Times New Roman" w:hAnsi="Times New Roman"/>
          <w:sz w:val="24"/>
          <w:szCs w:val="24"/>
        </w:rPr>
        <w:t xml:space="preserve"> </w:t>
      </w:r>
      <w:r w:rsidR="00CF7AC2" w:rsidRPr="00BE04C1">
        <w:rPr>
          <w:rFonts w:ascii="Times New Roman" w:hAnsi="Times New Roman"/>
          <w:i/>
          <w:sz w:val="24"/>
          <w:szCs w:val="24"/>
        </w:rPr>
        <w:t xml:space="preserve">S. </w:t>
      </w:r>
      <w:proofErr w:type="spellStart"/>
      <w:r w:rsidR="00CF7AC2" w:rsidRPr="00BE04C1">
        <w:rPr>
          <w:rFonts w:ascii="Times New Roman" w:hAnsi="Times New Roman"/>
          <w:i/>
          <w:sz w:val="24"/>
          <w:szCs w:val="24"/>
        </w:rPr>
        <w:t>coriaceum</w:t>
      </w:r>
      <w:proofErr w:type="spellEnd"/>
      <w:r w:rsidR="00CF7AC2">
        <w:rPr>
          <w:rFonts w:ascii="Times New Roman" w:hAnsi="Times New Roman"/>
          <w:sz w:val="24"/>
          <w:szCs w:val="24"/>
        </w:rPr>
        <w:t xml:space="preserve"> crude extract</w:t>
      </w:r>
      <w:r w:rsidR="00BF3B06">
        <w:rPr>
          <w:rFonts w:ascii="Times New Roman" w:hAnsi="Times New Roman"/>
          <w:sz w:val="24"/>
          <w:szCs w:val="24"/>
        </w:rPr>
        <w:t xml:space="preserve"> (</w:t>
      </w:r>
      <w:r w:rsidR="00BF3B06" w:rsidRPr="00AE7D02">
        <w:rPr>
          <w:rFonts w:ascii="Times New Roman" w:hAnsi="Times New Roman"/>
          <w:b/>
          <w:sz w:val="24"/>
          <w:szCs w:val="24"/>
        </w:rPr>
        <w:t>Figure 3</w:t>
      </w:r>
      <w:r w:rsidR="00607ABD" w:rsidRPr="00AE7D02">
        <w:rPr>
          <w:rFonts w:ascii="Times New Roman" w:hAnsi="Times New Roman"/>
          <w:b/>
          <w:sz w:val="24"/>
          <w:szCs w:val="24"/>
        </w:rPr>
        <w:t>B</w:t>
      </w:r>
      <w:r w:rsidR="00607ABD">
        <w:rPr>
          <w:rFonts w:ascii="Times New Roman" w:hAnsi="Times New Roman"/>
          <w:sz w:val="24"/>
          <w:szCs w:val="24"/>
        </w:rPr>
        <w:t xml:space="preserve"> and </w:t>
      </w:r>
      <w:r w:rsidR="00607ABD" w:rsidRPr="00AE7D02">
        <w:rPr>
          <w:rFonts w:ascii="Times New Roman" w:hAnsi="Times New Roman"/>
          <w:b/>
          <w:sz w:val="24"/>
          <w:szCs w:val="24"/>
        </w:rPr>
        <w:t>C</w:t>
      </w:r>
      <w:r w:rsidR="00607ABD">
        <w:rPr>
          <w:rFonts w:ascii="Times New Roman" w:hAnsi="Times New Roman"/>
          <w:sz w:val="24"/>
          <w:szCs w:val="24"/>
        </w:rPr>
        <w:t>)</w:t>
      </w:r>
      <w:r w:rsidR="00CF7AC2">
        <w:rPr>
          <w:rFonts w:ascii="Times New Roman" w:hAnsi="Times New Roman"/>
          <w:sz w:val="24"/>
          <w:szCs w:val="24"/>
        </w:rPr>
        <w:t>.</w:t>
      </w:r>
    </w:p>
    <w:p w14:paraId="39D1A5AC" w14:textId="77777777" w:rsidR="00D93AC1" w:rsidRDefault="00D93AC1" w:rsidP="00C15F5B">
      <w:pPr>
        <w:spacing w:line="276" w:lineRule="auto"/>
        <w:jc w:val="both"/>
        <w:rPr>
          <w:rFonts w:ascii="Times New Roman" w:hAnsi="Times New Roman"/>
          <w:sz w:val="24"/>
          <w:szCs w:val="24"/>
        </w:rPr>
      </w:pPr>
    </w:p>
    <w:p w14:paraId="3ACD8E7A" w14:textId="1797BFEC" w:rsidR="00D93AC1" w:rsidRPr="00E31225" w:rsidRDefault="00E31225" w:rsidP="006242A9">
      <w:pPr>
        <w:pStyle w:val="ListParagraph"/>
        <w:numPr>
          <w:ilvl w:val="0"/>
          <w:numId w:val="2"/>
        </w:numPr>
        <w:spacing w:line="276" w:lineRule="auto"/>
        <w:jc w:val="both"/>
        <w:rPr>
          <w:rFonts w:ascii="Times New Roman" w:hAnsi="Times New Roman"/>
          <w:b/>
          <w:sz w:val="24"/>
          <w:szCs w:val="24"/>
        </w:rPr>
      </w:pPr>
      <w:r w:rsidRPr="00E31225">
        <w:rPr>
          <w:rFonts w:ascii="Times New Roman" w:hAnsi="Times New Roman"/>
          <w:b/>
          <w:sz w:val="24"/>
          <w:szCs w:val="24"/>
        </w:rPr>
        <w:t>DISCUSSION</w:t>
      </w:r>
    </w:p>
    <w:p w14:paraId="72FF3632" w14:textId="4D1F473E" w:rsidR="004F3300" w:rsidRDefault="004F3300" w:rsidP="004F3300">
      <w:pPr>
        <w:spacing w:line="276" w:lineRule="auto"/>
        <w:jc w:val="both"/>
        <w:rPr>
          <w:rFonts w:ascii="Times New Roman" w:hAnsi="Times New Roman"/>
          <w:sz w:val="24"/>
          <w:szCs w:val="24"/>
        </w:rPr>
      </w:pPr>
      <w:r w:rsidRPr="004F3300">
        <w:rPr>
          <w:rFonts w:ascii="Times New Roman" w:hAnsi="Times New Roman"/>
          <w:sz w:val="24"/>
          <w:szCs w:val="24"/>
        </w:rPr>
        <w:t>Undoubtedly, the perpetual crisis of drug resistance to the available onco-therapeutic armamentarium, failure to drug response</w:t>
      </w:r>
      <w:r w:rsidR="00E60AB4">
        <w:rPr>
          <w:rFonts w:ascii="Times New Roman" w:hAnsi="Times New Roman"/>
          <w:sz w:val="24"/>
          <w:szCs w:val="24"/>
        </w:rPr>
        <w:t xml:space="preserve"> </w:t>
      </w:r>
      <w:r w:rsidRPr="004F3300">
        <w:rPr>
          <w:rFonts w:ascii="Times New Roman" w:hAnsi="Times New Roman"/>
          <w:sz w:val="24"/>
          <w:szCs w:val="24"/>
        </w:rPr>
        <w:t>and life</w:t>
      </w:r>
      <w:r w:rsidR="000B6A83">
        <w:rPr>
          <w:rFonts w:ascii="Times New Roman" w:hAnsi="Times New Roman"/>
          <w:sz w:val="24"/>
          <w:szCs w:val="24"/>
        </w:rPr>
        <w:t>-</w:t>
      </w:r>
      <w:r w:rsidRPr="004F3300">
        <w:rPr>
          <w:rFonts w:ascii="Times New Roman" w:hAnsi="Times New Roman"/>
          <w:sz w:val="24"/>
          <w:szCs w:val="24"/>
        </w:rPr>
        <w:t>threatening toxicity, accede the need to search for novel and alternative onco-therapeutics agents</w:t>
      </w:r>
      <w:r w:rsidR="00E31225">
        <w:rPr>
          <w:rFonts w:ascii="Times New Roman" w:hAnsi="Times New Roman"/>
          <w:sz w:val="24"/>
          <w:szCs w:val="24"/>
        </w:rPr>
        <w:t xml:space="preserve"> </w:t>
      </w:r>
      <w:r w:rsidR="00E31225">
        <w:rPr>
          <w:rFonts w:ascii="Times New Roman" w:hAnsi="Times New Roman"/>
          <w:sz w:val="24"/>
          <w:szCs w:val="24"/>
        </w:rPr>
        <w:fldChar w:fldCharType="begin" w:fldLock="1"/>
      </w:r>
      <w:r w:rsidR="0027650C">
        <w:rPr>
          <w:rFonts w:ascii="Times New Roman" w:hAnsi="Times New Roman"/>
          <w:sz w:val="24"/>
          <w:szCs w:val="24"/>
        </w:rPr>
        <w:instrText>ADDIN CSL_CITATION {"citationItems":[{"id":"ITEM-1","itemData":{"DOI":"10.1136/bmj.l1934","ISSN":"0959-8138","author":[{"dropping-particle":"","family":"Coombes","given":"Rebecca","non-dropping-particle":"","parse-names":false,"suffix":""}],"container-title":"BMJ","id":"ITEM-1","issue":"April","issued":{"date-parts":[["2019","4","26"]]},"page":"l1934","title":"Cancer drug resistance needs urgent attention, says research chief","type":"article-journal","volume":"365"},"uris":["http://www.mendeley.com/documents/?uuid=764c8c32-8b41-4630-8b50-041d57bae132"]},{"id":"ITEM-2","itemData":{"DOI":"10.1186/s40169-018-0185-6","ISSN":"2001-1326","abstract":"For over six decades reductionist approaches to cancer chemotherapies including recent immunotherapy for solid tumors produced outcome failure-rates of 90% (±5) according to governmental agencies and industry. Despite tremendous public and private funding and initial enthusiasm about missile-therapy for site-specific cancers, molecular targeting drugs for specific enzymes such as kinases or inhibitors of growth factor receptors, the outcomes are very bleak and disappointing. Major scientific reasons for repeated failures of such therapeutic approaches are attributed to reductionist approaches to research and infinite numbers of genetic mutations in chaotic molecular environment of solid tumors that are bases of drug development. Safety and efficacy of candidate drugs tested in test tubes or experimental tumor models of rats or mice are usually evaluated and approved by FDA. Cost-benefit ratios of such ‘targeted’ therapies are also far from ideal as compared with antibiotics half a century ago. Such alarming records of failure of clinical outcomes, the increased publicity for specific vaccines (e.g., HPV or flu) targeting young and old populations, along with increasing rise of cancer incidence and death created huge and unsustainable cost to the public around the globe. This article discusses a closer scientific assessment of current cancer therapeutics and vaccines. We also present future logical approaches to cancer research and therapy and vaccines.","author":[{"dropping-particle":"","family":"Maeda","given":"Hiroshi","non-dropping-particle":"","parse-names":false,"suffix":""},{"dropping-particle":"","family":"Khatami","given":"Mahin","non-dropping-particle":"","parse-names":false,"suffix":""}],"container-title":"Clinical and Translational Medicine","id":"ITEM-2","issue":"1","issued":{"date-parts":[["2018","12","1"]]},"page":"11","publisher":"Springer Berlin Heidelberg","title":"Analyses of repeated failures in cancer therapy for solid tumors: poor tumor-selective drug delivery, low therapeutic efficacy and unsustainable costs","type":"article-journal","volume":"7"},"uris":["http://www.mendeley.com/documents/?uuid=98368155-668a-4ab8-a61b-c2d94958d73c"]},{"id":"ITEM-3","itemData":{"DOI":"10.1080/1120009X.2019.1572287","ISSN":"1120-009X","author":[{"dropping-particle":"","family":"Vázquez","given":"Carolina","non-dropping-particle":"","parse-names":false,"suffix":""},{"dropping-particle":"","family":"Orlova","given":"María","non-dropping-particle":"","parse-names":false,"suffix":""},{"dropping-particle":"","family":"Verzura","given":"María Alicia","non-dropping-particle":"","parse-names":false,"suffix":""},{"dropping-particle":"","family":"Minatta","given":"José Nicolás","non-dropping-particle":"","parse-names":false,"suffix":""},{"dropping-particle":"","family":"Scibona","given":"Paula","non-dropping-particle":"","parse-names":false,"suffix":""},{"dropping-particle":"","family":"Jáuregui","given":"Esteban Gabriel","non-dropping-particle":"","parse-names":false,"suffix":""},{"dropping-particle":"","family":"Díaz de Arce","given":"Heidy","non-dropping-particle":"","parse-names":false,"suffix":""},{"dropping-particle":"","family":"Pallotta","given":"María Guadalupe","non-dropping-particle":"","parse-names":false,"suffix":""},{"dropping-particle":"","family":"Belloso","given":"Waldo Horacio","non-dropping-particle":"","parse-names":false,"suffix":""}],"container-title":"Journal of Chemotherapy","id":"ITEM-3","issue":"2","issued":{"date-parts":[["2019","2","17"]]},"page":"95-104","publisher":"Taylor &amp; Francis","title":"Severe toxicity in adult patients with lung cancer under treatment with pemetrexed: a prospective cohort study","type":"article-journal","volume":"31"},"uris":["http://www.mendeley.com/documents/?uuid=ed3e6416-ba8c-4c28-a13b-6db5263ac3de"]}],"mendeley":{"formattedCitation":"(Coombes, 2019; Maeda and Khatami, 2018; Vázquez et al., 2019)","plainTextFormattedCitation":"(Coombes, 2019; Maeda and Khatami, 2018; Vázquez et al., 2019)","previouslyFormattedCitation":"[18–20]"},"properties":{"noteIndex":0},"schema":"https://github.com/citation-style-language/schema/raw/master/csl-citation.json"}</w:instrText>
      </w:r>
      <w:r w:rsidR="00E31225">
        <w:rPr>
          <w:rFonts w:ascii="Times New Roman" w:hAnsi="Times New Roman"/>
          <w:sz w:val="24"/>
          <w:szCs w:val="24"/>
        </w:rPr>
        <w:fldChar w:fldCharType="separate"/>
      </w:r>
      <w:r w:rsidR="0027650C" w:rsidRPr="0027650C">
        <w:rPr>
          <w:rFonts w:ascii="Times New Roman" w:hAnsi="Times New Roman"/>
          <w:noProof/>
          <w:sz w:val="24"/>
          <w:szCs w:val="24"/>
        </w:rPr>
        <w:t>(Coombes, 2019; Maeda and Khatami, 2018; Vázquez et al., 2019)</w:t>
      </w:r>
      <w:r w:rsidR="00E31225">
        <w:rPr>
          <w:rFonts w:ascii="Times New Roman" w:hAnsi="Times New Roman"/>
          <w:sz w:val="24"/>
          <w:szCs w:val="24"/>
        </w:rPr>
        <w:fldChar w:fldCharType="end"/>
      </w:r>
      <w:r w:rsidRPr="004F3300">
        <w:rPr>
          <w:rFonts w:ascii="Times New Roman" w:hAnsi="Times New Roman"/>
          <w:sz w:val="24"/>
          <w:szCs w:val="24"/>
        </w:rPr>
        <w:t>. Terrestrial plan</w:t>
      </w:r>
      <w:r w:rsidR="003B2660">
        <w:rPr>
          <w:rFonts w:ascii="Times New Roman" w:hAnsi="Times New Roman"/>
          <w:sz w:val="24"/>
          <w:szCs w:val="24"/>
        </w:rPr>
        <w:t xml:space="preserve">ts </w:t>
      </w:r>
      <w:r w:rsidR="003B2660" w:rsidRPr="00620CBE">
        <w:rPr>
          <w:rFonts w:ascii="Times New Roman" w:hAnsi="Times New Roman"/>
          <w:color w:val="00B050"/>
          <w:sz w:val="24"/>
          <w:szCs w:val="24"/>
        </w:rPr>
        <w:t>contributed</w:t>
      </w:r>
      <w:r w:rsidR="003B2660">
        <w:rPr>
          <w:rFonts w:ascii="Times New Roman" w:hAnsi="Times New Roman"/>
          <w:sz w:val="24"/>
          <w:szCs w:val="24"/>
        </w:rPr>
        <w:t xml:space="preserve"> massively </w:t>
      </w:r>
      <w:r w:rsidR="000B6A83">
        <w:rPr>
          <w:rFonts w:ascii="Times New Roman" w:hAnsi="Times New Roman"/>
          <w:sz w:val="24"/>
          <w:szCs w:val="24"/>
        </w:rPr>
        <w:t>to</w:t>
      </w:r>
      <w:r w:rsidR="003B2660">
        <w:rPr>
          <w:rFonts w:ascii="Times New Roman" w:hAnsi="Times New Roman"/>
          <w:sz w:val="24"/>
          <w:szCs w:val="24"/>
        </w:rPr>
        <w:t xml:space="preserve"> the development of </w:t>
      </w:r>
      <w:r w:rsidR="000B6A83">
        <w:rPr>
          <w:rFonts w:ascii="Times New Roman" w:hAnsi="Times New Roman"/>
          <w:sz w:val="24"/>
          <w:szCs w:val="24"/>
        </w:rPr>
        <w:t xml:space="preserve">the </w:t>
      </w:r>
      <w:r w:rsidR="003B2660">
        <w:rPr>
          <w:rFonts w:ascii="Times New Roman" w:hAnsi="Times New Roman"/>
          <w:sz w:val="24"/>
          <w:szCs w:val="24"/>
        </w:rPr>
        <w:t>contemporary</w:t>
      </w:r>
      <w:r w:rsidRPr="004F3300">
        <w:rPr>
          <w:rFonts w:ascii="Times New Roman" w:hAnsi="Times New Roman"/>
          <w:sz w:val="24"/>
          <w:szCs w:val="24"/>
        </w:rPr>
        <w:t xml:space="preserve"> pharmaceutical industry. One</w:t>
      </w:r>
      <w:r w:rsidR="000B6A83">
        <w:rPr>
          <w:rFonts w:ascii="Times New Roman" w:hAnsi="Times New Roman"/>
          <w:sz w:val="24"/>
          <w:szCs w:val="24"/>
        </w:rPr>
        <w:t>-</w:t>
      </w:r>
      <w:r w:rsidRPr="004F3300">
        <w:rPr>
          <w:rFonts w:ascii="Times New Roman" w:hAnsi="Times New Roman"/>
          <w:sz w:val="24"/>
          <w:szCs w:val="24"/>
        </w:rPr>
        <w:t xml:space="preserve">quarter of the FDA approved marketed drugs are derived exclusively from about 15 % of the </w:t>
      </w:r>
      <w:r w:rsidR="007239F8">
        <w:rPr>
          <w:rFonts w:ascii="Times New Roman" w:hAnsi="Times New Roman"/>
          <w:sz w:val="24"/>
          <w:szCs w:val="24"/>
        </w:rPr>
        <w:t xml:space="preserve">investigated </w:t>
      </w:r>
      <w:r w:rsidRPr="004F3300">
        <w:rPr>
          <w:rFonts w:ascii="Times New Roman" w:hAnsi="Times New Roman"/>
          <w:sz w:val="24"/>
          <w:szCs w:val="24"/>
        </w:rPr>
        <w:t xml:space="preserve">global plant </w:t>
      </w:r>
      <w:r w:rsidR="008C392D">
        <w:rPr>
          <w:rFonts w:ascii="Times New Roman" w:hAnsi="Times New Roman"/>
          <w:sz w:val="24"/>
          <w:szCs w:val="24"/>
        </w:rPr>
        <w:t>taxa</w:t>
      </w:r>
      <w:r w:rsidR="007239F8">
        <w:rPr>
          <w:rFonts w:ascii="Times New Roman" w:hAnsi="Times New Roman"/>
          <w:sz w:val="24"/>
          <w:szCs w:val="24"/>
        </w:rPr>
        <w:t xml:space="preserve"> </w:t>
      </w:r>
      <w:r w:rsidRPr="004F3300">
        <w:rPr>
          <w:rFonts w:ascii="Times New Roman" w:hAnsi="Times New Roman"/>
          <w:sz w:val="24"/>
          <w:szCs w:val="24"/>
        </w:rPr>
        <w:fldChar w:fldCharType="begin" w:fldLock="1"/>
      </w:r>
      <w:r w:rsidR="0027650C">
        <w:rPr>
          <w:rFonts w:ascii="Times New Roman" w:hAnsi="Times New Roman"/>
          <w:sz w:val="24"/>
          <w:szCs w:val="24"/>
        </w:rPr>
        <w:instrText>ADDIN CSL_CITATION {"citationItems":[{"id":"ITEM-1","itemData":{"DOI":"10.1016/j.drudis.2015.01.009","ISSN":"1359-6446","author":[{"dropping-particle":"","family":"Patridge","given":"Eric","non-dropping-particle":"","parse-names":false,"suffix":""},{"dropping-particle":"","family":"Gareiss","given":"Peter","non-dropping-particle":"","parse-names":false,"suffix":""},{"dropping-particle":"","family":"Kinch","given":"Michael S","non-dropping-particle":"","parse-names":false,"suffix":""},{"dropping-particle":"","family":"Hoyer","given":"Denton","non-dropping-particle":"","parse-names":false,"suffix":""}],"container-title":"Drug Discovery Today","id":"ITEM-1","issue":"2","issued":{"date-parts":[["2016"]]},"page":"204-207","publisher":"Elsevier Ltd","title":"Natural Products and Their Derivatives","type":"article-journal","volume":"21"},"uris":["http://www.mendeley.com/documents/?uuid=4ade6918-633b-4764-ae85-8ea87e3ed95a"]},{"id":"ITEM-2","itemData":{"DOI":"10.3390/molecules22122169","ISSN":"1420-3049","abstract":"© 2017 by the authors. Plant polyphenols have been highlighted not only as chemopreventive, but also as potential anticancer substances. Flavones are a subclass of natural flavonoids reported to have an antioxidant and anticancer activity. The aim of our study was to evaluate antioxidant and anticancer activity of seventeen trihydroxyflavone derivatives, including apigenin (API) and baicalein (BCL). Also, we wanted to find out if there is a correlation between those two effects. Cell growth inhibition testing was carried out using MTT assay in three different human cancer cell lines: lung (A549), breast (MCF-7) and brain epithelial (U87). Antioxidant activity was determined by the DPPH radical scavenging method. Thirteen trihydroxyflavones possessed anticancer activity against at least one tested cancer cell line. They were more active against the MCF-7 cell line, and the lowest activity was determined against the U87 cell line. The majority of compounds inhibited cancer cell growth at EC 50 values between 10–50 µM. The most active compound was 3’,4’,5-trihydroxyflavone 7, especially against A549 and MCF-7 cell lines. The correlation between anti-proliferative and antioxidant activity was only moderate, and it was determined for A549 and U87 cancer cell lines. The most important fragment for those two effects is the ortho-dihydroxy group in ring B. Conclusions. Trihydroxyflavones demonstrated anticancer activity. Further and more detailed studies should to be carried out to estimate the structure–activity relationship of these compounds.","author":[{"dropping-particle":"","family":"Grigalius","given":"Ignas","non-dropping-particle":"","parse-names":false,"suffix":""},{"dropping-particle":"","family":"Petrikaite","given":"Vilma","non-dropping-particle":"","parse-names":false,"suffix":""}],"container-title":"Molecules","id":"ITEM-2","issue":"12","issued":{"date-parts":[["2017","12","7"]]},"page":"2169","title":"Relationship between Antioxidant and Anticancer Activity of Trihydroxyflavones","type":"article-journal","volume":"22"},"uris":["http://www.mendeley.com/documents/?uuid=c71f5531-22ee-4023-8a57-ffe27b54c396"]}],"mendeley":{"formattedCitation":"(Grigalius and Petrikaite, 2017; Patridge et al., 2016)","plainTextFormattedCitation":"(Grigalius and Petrikaite, 2017; Patridge et al., 2016)","previouslyFormattedCitation":"[21,22]"},"properties":{"noteIndex":0},"schema":"https://github.com/citation-style-language/schema/raw/master/csl-citation.json"}</w:instrText>
      </w:r>
      <w:r w:rsidRPr="004F3300">
        <w:rPr>
          <w:rFonts w:ascii="Times New Roman" w:hAnsi="Times New Roman"/>
          <w:sz w:val="24"/>
          <w:szCs w:val="24"/>
        </w:rPr>
        <w:fldChar w:fldCharType="separate"/>
      </w:r>
      <w:r w:rsidR="0027650C" w:rsidRPr="0027650C">
        <w:rPr>
          <w:rFonts w:ascii="Times New Roman" w:hAnsi="Times New Roman"/>
          <w:noProof/>
          <w:sz w:val="24"/>
          <w:szCs w:val="24"/>
        </w:rPr>
        <w:t>(Grigalius and Petrikaite, 2017; Patridge et al., 2016)</w:t>
      </w:r>
      <w:r w:rsidRPr="004F3300">
        <w:rPr>
          <w:rFonts w:ascii="Times New Roman" w:hAnsi="Times New Roman"/>
          <w:sz w:val="24"/>
          <w:szCs w:val="24"/>
        </w:rPr>
        <w:fldChar w:fldCharType="end"/>
      </w:r>
      <w:r w:rsidRPr="004F3300">
        <w:rPr>
          <w:rFonts w:ascii="Times New Roman" w:hAnsi="Times New Roman"/>
          <w:sz w:val="24"/>
          <w:szCs w:val="24"/>
        </w:rPr>
        <w:t>. The remaining unexplored plant diversity provide</w:t>
      </w:r>
      <w:r w:rsidR="000B6A83">
        <w:rPr>
          <w:rFonts w:ascii="Times New Roman" w:hAnsi="Times New Roman"/>
          <w:sz w:val="24"/>
          <w:szCs w:val="24"/>
        </w:rPr>
        <w:t>s</w:t>
      </w:r>
      <w:r w:rsidRPr="004F3300">
        <w:rPr>
          <w:rFonts w:ascii="Times New Roman" w:hAnsi="Times New Roman"/>
          <w:sz w:val="24"/>
          <w:szCs w:val="24"/>
        </w:rPr>
        <w:t xml:space="preserve"> a fertile ground to probe for novel pharmaceutical lead compoun</w:t>
      </w:r>
      <w:r w:rsidR="00D07953">
        <w:rPr>
          <w:rFonts w:ascii="Times New Roman" w:hAnsi="Times New Roman"/>
          <w:sz w:val="24"/>
          <w:szCs w:val="24"/>
        </w:rPr>
        <w:t>ds, having innovative and</w:t>
      </w:r>
      <w:r w:rsidRPr="004F3300">
        <w:rPr>
          <w:rFonts w:ascii="Times New Roman" w:hAnsi="Times New Roman"/>
          <w:sz w:val="24"/>
          <w:szCs w:val="24"/>
        </w:rPr>
        <w:t xml:space="preserve"> alternative molecular targets.</w:t>
      </w:r>
    </w:p>
    <w:p w14:paraId="723C48F6" w14:textId="4F6AB298" w:rsidR="004661DC" w:rsidRDefault="004661DC" w:rsidP="004F3300">
      <w:pPr>
        <w:spacing w:line="276" w:lineRule="auto"/>
        <w:jc w:val="both"/>
        <w:rPr>
          <w:rFonts w:ascii="Times New Roman" w:hAnsi="Times New Roman"/>
          <w:sz w:val="24"/>
          <w:szCs w:val="24"/>
        </w:rPr>
      </w:pPr>
      <w:r>
        <w:rPr>
          <w:rFonts w:ascii="Times New Roman" w:hAnsi="Times New Roman"/>
          <w:sz w:val="24"/>
          <w:szCs w:val="24"/>
        </w:rPr>
        <w:t>The South</w:t>
      </w:r>
      <w:r w:rsidR="00830A01">
        <w:rPr>
          <w:rFonts w:ascii="Times New Roman" w:hAnsi="Times New Roman"/>
          <w:sz w:val="24"/>
          <w:szCs w:val="24"/>
        </w:rPr>
        <w:t>ern</w:t>
      </w:r>
      <w:r>
        <w:rPr>
          <w:rFonts w:ascii="Times New Roman" w:hAnsi="Times New Roman"/>
          <w:sz w:val="24"/>
          <w:szCs w:val="24"/>
        </w:rPr>
        <w:t xml:space="preserve"> African countries are home to an extraordinary concentration of terrestrial plant biodiversity, with above 50000 surveyed species representing up</w:t>
      </w:r>
      <w:r w:rsidR="000D7968">
        <w:rPr>
          <w:rFonts w:ascii="Times New Roman" w:hAnsi="Times New Roman"/>
          <w:sz w:val="24"/>
          <w:szCs w:val="24"/>
        </w:rPr>
        <w:t xml:space="preserve"> </w:t>
      </w:r>
      <w:r>
        <w:rPr>
          <w:rFonts w:ascii="Times New Roman" w:hAnsi="Times New Roman"/>
          <w:sz w:val="24"/>
          <w:szCs w:val="24"/>
        </w:rPr>
        <w:t xml:space="preserve">to 25 % of the world flowering plant taxa </w:t>
      </w:r>
      <w:r>
        <w:rPr>
          <w:rFonts w:ascii="Times New Roman" w:hAnsi="Times New Roman"/>
          <w:sz w:val="24"/>
          <w:szCs w:val="24"/>
        </w:rPr>
        <w:fldChar w:fldCharType="begin" w:fldLock="1"/>
      </w:r>
      <w:r w:rsidR="0027650C">
        <w:rPr>
          <w:rFonts w:ascii="Times New Roman" w:hAnsi="Times New Roman"/>
          <w:sz w:val="24"/>
          <w:szCs w:val="24"/>
        </w:rPr>
        <w:instrText>ADDIN CSL_CITATION {"citationItems":[{"id":"ITEM-1","itemData":{"DOI":"10.1016/j.sajb.2011.08.011","ISSN":"02546299","abstract":"Southern Africa is an important focal point of botanical and cultural diversity but only a few plant species have hitherto become fully commercialised as medicinal products. In recent years there has been an upsurge in research and development activity, resulting in several new products and new crops. In this review, more than 90 of the best-known and most promising indigenous South African plants are listed and subjectively evaluated in the context of their potential for commercialisation as medicinal products for a variety of applications. The history of product development relating to the following species is briefly discussed and the plants and some of their products are illustrated: Agathosma betulina (buchu), Aloe ferox (bitter aloe), Artemisia afra (African wormwood), Aspalathus linearis (rooibos tea), Bulbine frutescens (burn jelly plant); Cyclopia genistoides (honeybush tea), Harpagophytum procumbens (devil's claw), Hoodia gordonii (hoodia, ghaap), Hypoxis hemerocallidea (\"African potato\"), Lippia javanica (fever tea), Mesembryanthemum tortuosum (= Sceletium tortuosum) (kanna, kougoed), Pelargonium sidoides (\"Umckaloabo\"), Siphonochilus aethiopicus (African ginger), Sutherlandia frutescens (= Lessertia frutescens) (cancer bush), Warburgia salutaris (pepperbark tree) and Xysmalobium undulatum (\"Uzara\"). The main factors that are apparently responsible for failure or success will be highlighted, especially the importance of marketing strategy, proof of concept and barriers to market entry. © 2011 SAAB.","author":[{"dropping-particle":"","family":"Wyk","given":"B.-E.","non-dropping-particle":"Van","parse-names":false,"suffix":""}],"container-title":"South African Journal of Botany","id":"ITEM-1","issue":"4","issued":{"date-parts":[["2011","10"]]},"page":"812-829","publisher":"SAAB","title":"The potential of South African plants in the development of new medicinal products","type":"article-journal","volume":"77"},"uris":["http://www.mendeley.com/documents/?uuid=fa4a5580-cd97-44a1-a284-2bd3d50c1c82"]}],"mendeley":{"formattedCitation":"(Van Wyk, 2011)","plainTextFormattedCitation":"(Van Wyk, 2011)","previouslyFormattedCitation":"[23]"},"properties":{"noteIndex":0},"schema":"https://github.com/citation-style-language/schema/raw/master/csl-citation.json"}</w:instrText>
      </w:r>
      <w:r>
        <w:rPr>
          <w:rFonts w:ascii="Times New Roman" w:hAnsi="Times New Roman"/>
          <w:sz w:val="24"/>
          <w:szCs w:val="24"/>
        </w:rPr>
        <w:fldChar w:fldCharType="separate"/>
      </w:r>
      <w:r w:rsidR="0027650C" w:rsidRPr="0027650C">
        <w:rPr>
          <w:rFonts w:ascii="Times New Roman" w:hAnsi="Times New Roman"/>
          <w:noProof/>
          <w:sz w:val="24"/>
          <w:szCs w:val="24"/>
        </w:rPr>
        <w:t>(Van Wyk, 2011)</w:t>
      </w:r>
      <w:r>
        <w:rPr>
          <w:rFonts w:ascii="Times New Roman" w:hAnsi="Times New Roman"/>
          <w:sz w:val="24"/>
          <w:szCs w:val="24"/>
        </w:rPr>
        <w:fldChar w:fldCharType="end"/>
      </w:r>
      <w:r>
        <w:rPr>
          <w:rFonts w:ascii="Times New Roman" w:hAnsi="Times New Roman"/>
          <w:sz w:val="24"/>
          <w:szCs w:val="24"/>
        </w:rPr>
        <w:t xml:space="preserve">. Despite the widespread acceptance and use of plants in the ethnomedicinal system by more than 80 % of African populations, only a limited 10.8 % of the continents floral species are known for their medicinal properties </w:t>
      </w:r>
      <w:r>
        <w:rPr>
          <w:rFonts w:ascii="Times New Roman" w:hAnsi="Times New Roman"/>
          <w:sz w:val="24"/>
          <w:szCs w:val="24"/>
        </w:rPr>
        <w:fldChar w:fldCharType="begin" w:fldLock="1"/>
      </w:r>
      <w:r w:rsidR="0027650C">
        <w:rPr>
          <w:rFonts w:ascii="Times New Roman" w:hAnsi="Times New Roman"/>
          <w:sz w:val="24"/>
          <w:szCs w:val="24"/>
        </w:rPr>
        <w:instrText>ADDIN CSL_CITATION {"citationItems":[{"id":"ITEM-1","itemData":{"DOI":"10.1016/j.sajb.2011.08.011","ISSN":"02546299","abstract":"Southern Africa is an important focal point of botanical and cultural diversity but only a few plant species have hitherto become fully commercialised as medicinal products. In recent years there has been an upsurge in research and development activity, resulting in several new products and new crops. In this review, more than 90 of the best-known and most promising indigenous South African plants are listed and subjectively evaluated in the context of their potential for commercialisation as medicinal products for a variety of applications. The history of product development relating to the following species is briefly discussed and the plants and some of their products are illustrated: Agathosma betulina (buchu), Aloe ferox (bitter aloe), Artemisia afra (African wormwood), Aspalathus linearis (rooibos tea), Bulbine frutescens (burn jelly plant); Cyclopia genistoides (honeybush tea), Harpagophytum procumbens (devil's claw), Hoodia gordonii (hoodia, ghaap), Hypoxis hemerocallidea (\"African potato\"), Lippia javanica (fever tea), Mesembryanthemum tortuosum (= Sceletium tortuosum) (kanna, kougoed), Pelargonium sidoides (\"Umckaloabo\"), Siphonochilus aethiopicus (African ginger), Sutherlandia frutescens (= Lessertia frutescens) (cancer bush), Warburgia salutaris (pepperbark tree) and Xysmalobium undulatum (\"Uzara\"). The main factors that are apparently responsible for failure or success will be highlighted, especially the importance of marketing strategy, proof of concept and barriers to market entry. © 2011 SAAB.","author":[{"dropping-particle":"","family":"Wyk","given":"B.-E.","non-dropping-particle":"Van","parse-names":false,"suffix":""}],"container-title":"South African Journal of Botany","id":"ITEM-1","issue":"4","issued":{"date-parts":[["2011","10"]]},"page":"812-829","publisher":"SAAB","title":"The potential of South African plants in the development of new medicinal products","type":"article-journal","volume":"77"},"uris":["http://www.mendeley.com/documents/?uuid=fa4a5580-cd97-44a1-a284-2bd3d50c1c82"]},{"id":"ITEM-2","itemData":{"DOI":"10.1186/s12906-020-2852-6","ISSN":"2662-7671","author":[{"dropping-particle":"","family":"Shewamene","given":"Zewdneh","non-dropping-particle":"","parse-names":false,"suffix":""},{"dropping-particle":"","family":"Dune","given":"Tinashe","non-dropping-particle":"","parse-names":false,"suffix":""},{"dropping-particle":"","family":"Smith","given":"Caroline A","non-dropping-particle":"","parse-names":false,"suffix":""}],"container-title":"BMC Complementary Medicine and Therapies","id":"ITEM-2","issue":"1","issued":{"date-parts":[["2020","12","18"]]},"page":"60","publisher":"BMC Complementary Medicine and Therapies","title":"Use of traditional and complementary medicine for maternal health and wellbeing by African migrant women in Australia: a mixed method study","type":"article-journal","volume":"20"},"uris":["http://www.mendeley.com/documents/?uuid=159f489c-b521-46cb-ac19-1749358b61c9"]}],"mendeley":{"formattedCitation":"(Shewamene et al., 2020; Van Wyk, 2011)","plainTextFormattedCitation":"(Shewamene et al., 2020; Van Wyk, 2011)","previouslyFormattedCitation":"[23,24]"},"properties":{"noteIndex":0},"schema":"https://github.com/citation-style-language/schema/raw/master/csl-citation.json"}</w:instrText>
      </w:r>
      <w:r>
        <w:rPr>
          <w:rFonts w:ascii="Times New Roman" w:hAnsi="Times New Roman"/>
          <w:sz w:val="24"/>
          <w:szCs w:val="24"/>
        </w:rPr>
        <w:fldChar w:fldCharType="separate"/>
      </w:r>
      <w:r w:rsidR="0027650C" w:rsidRPr="0027650C">
        <w:rPr>
          <w:rFonts w:ascii="Times New Roman" w:hAnsi="Times New Roman"/>
          <w:noProof/>
          <w:sz w:val="24"/>
          <w:szCs w:val="24"/>
        </w:rPr>
        <w:t>(Shewamene et al., 2020; Van Wyk, 2011)</w:t>
      </w:r>
      <w:r>
        <w:rPr>
          <w:rFonts w:ascii="Times New Roman" w:hAnsi="Times New Roman"/>
          <w:sz w:val="24"/>
          <w:szCs w:val="24"/>
        </w:rPr>
        <w:fldChar w:fldCharType="end"/>
      </w:r>
      <w:r>
        <w:rPr>
          <w:rFonts w:ascii="Times New Roman" w:hAnsi="Times New Roman"/>
          <w:sz w:val="24"/>
          <w:szCs w:val="24"/>
        </w:rPr>
        <w:t>. Likewise, in Mauritius</w:t>
      </w:r>
      <w:r w:rsidR="000D7968">
        <w:rPr>
          <w:rFonts w:ascii="Times New Roman" w:hAnsi="Times New Roman"/>
          <w:sz w:val="24"/>
          <w:szCs w:val="24"/>
        </w:rPr>
        <w:t>,</w:t>
      </w:r>
      <w:r>
        <w:rPr>
          <w:rFonts w:ascii="Times New Roman" w:hAnsi="Times New Roman"/>
          <w:sz w:val="24"/>
          <w:szCs w:val="24"/>
        </w:rPr>
        <w:t xml:space="preserve"> the documented medicinal uses </w:t>
      </w:r>
      <w:r w:rsidR="000D7968">
        <w:rPr>
          <w:rFonts w:ascii="Times New Roman" w:hAnsi="Times New Roman"/>
          <w:sz w:val="24"/>
          <w:szCs w:val="24"/>
        </w:rPr>
        <w:t>are</w:t>
      </w:r>
      <w:r>
        <w:rPr>
          <w:rFonts w:ascii="Times New Roman" w:hAnsi="Times New Roman"/>
          <w:sz w:val="24"/>
          <w:szCs w:val="24"/>
        </w:rPr>
        <w:t xml:space="preserve"> restricted </w:t>
      </w:r>
      <w:r w:rsidR="002706F6">
        <w:rPr>
          <w:rFonts w:ascii="Times New Roman" w:hAnsi="Times New Roman"/>
          <w:sz w:val="24"/>
          <w:szCs w:val="24"/>
        </w:rPr>
        <w:t xml:space="preserve">to </w:t>
      </w:r>
      <w:r>
        <w:rPr>
          <w:rFonts w:ascii="Times New Roman" w:hAnsi="Times New Roman"/>
          <w:sz w:val="24"/>
          <w:szCs w:val="24"/>
        </w:rPr>
        <w:t xml:space="preserve">32 % of the island endemic plant taxa </w:t>
      </w:r>
      <w:r>
        <w:rPr>
          <w:rFonts w:ascii="Times New Roman" w:hAnsi="Times New Roman"/>
          <w:sz w:val="24"/>
          <w:szCs w:val="24"/>
        </w:rPr>
        <w:fldChar w:fldCharType="begin" w:fldLock="1"/>
      </w:r>
      <w:r w:rsidR="0027650C">
        <w:rPr>
          <w:rFonts w:ascii="Times New Roman" w:hAnsi="Times New Roman"/>
          <w:sz w:val="24"/>
          <w:szCs w:val="24"/>
        </w:rPr>
        <w:instrText>ADDIN CSL_CITATION {"citationItems":[{"id":"ITEM-1","itemData":{"DOI":"10.1016/j.jep.2017.10.006","ISSN":"03788741","abstract":"AbstractEthnopharmacological relevance The Mauritian endemic flora has been recorded to be used as medicinal for nearly 300 years. Despite acceptance of these endemic plants among the local population, proper documentation of their therapeutic uses is scarce. This review aims at summarizing documented traditional uses of Mauritian endemic plants with existing scientific data of their alleged bioactivities, showing there is a need for more stringent evidence-based validations for clinical efficacy. Material and Methods We made a comprehensive bibliographic search of Mauritian endemic plants on ethnobotanical textbooks, regional and local herbal pharmacopeia and dissertations and theses, concurrently with screening of peer-reviewed journals. Available data on the usage of Mauritian endemic plants in the folklore medicine and scientific investigation were correlated. Results and Discussion Analysis of the available literature shows that a small percentage of the Mauritian endemic plants are used for their medicinal value. Endemic plants are either used as part of complex herbal formulations or singly, and are prescribed by herbalists to mitigate a myriad of diseases from metabolic disorders, dermatological pathologies, arthritis to sexually transmissible diseases. However, these species have undergone a limited consistent evaluation to validate their purported ethnomedicinal claims. As the World Health Organization Traditional Medicine Strategy 2014–2023 emphasizes on moving traditional medicine into mainstream medicine on an equally trusted footage, the re-evaluation and modernization of Mauritius cultural heritage become necessary. Conclusions With a consumer-driven ‘return to nature’, scientific validation and valorization of the herbal remedies, including evidence-based efficacy and safety are, therefore, important. The use of optimized methodologies to investigate the claims of these traditional medicines is mandatory for effective treatments to emanate from unfounded superstitions.","author":[{"dropping-particle":"","family":"Rummun","given":"Nawraj","non-dropping-particle":"","parse-names":false,"suffix":""},{"dropping-particle":"","family":"Neergheen-Bhujun","given":"Vidushi S.","non-dropping-particle":"","parse-names":false,"suffix":""},{"dropping-particle":"","family":"Pynee","given":"Kersley B.","non-dropping-particle":"","parse-names":false,"suffix":""},{"dropping-particle":"","family":"Baider","given":"Cláudia","non-dropping-particle":"","parse-names":false,"suffix":""},{"dropping-particle":"","family":"Bahorun","given":"Theeshan","non-dropping-particle":"","parse-names":false,"suffix":""}],"container-title":"Journal of Ethnopharmacology","id":"ITEM-1","issue":"April 2017","issued":{"date-parts":[["2018","3"]]},"page":"111-117","publisher":"Elsevier Ireland Ltd","title":"The role of endemic plants in Mauritian traditional medicine – Potential therapeutic benefits or placebo effect?","type":"article-journal","volume":"213"},"uris":["http://www.mendeley.com/documents/?uuid=6a6d0137-0564-4033-a440-6e8e8e26aaa4"]}],"mendeley":{"formattedCitation":"(Rummun et al., 2018)","plainTextFormattedCitation":"(Rummun et al., 2018)","previouslyFormattedCitation":"[10]"},"properties":{"noteIndex":0},"schema":"https://github.com/citation-style-language/schema/raw/master/csl-citation.json"}</w:instrText>
      </w:r>
      <w:r>
        <w:rPr>
          <w:rFonts w:ascii="Times New Roman" w:hAnsi="Times New Roman"/>
          <w:sz w:val="24"/>
          <w:szCs w:val="24"/>
        </w:rPr>
        <w:fldChar w:fldCharType="separate"/>
      </w:r>
      <w:r w:rsidR="0027650C" w:rsidRPr="0027650C">
        <w:rPr>
          <w:rFonts w:ascii="Times New Roman" w:hAnsi="Times New Roman"/>
          <w:noProof/>
          <w:sz w:val="24"/>
          <w:szCs w:val="24"/>
        </w:rPr>
        <w:t>(Rummun et al., 2018)</w:t>
      </w:r>
      <w:r>
        <w:rPr>
          <w:rFonts w:ascii="Times New Roman" w:hAnsi="Times New Roman"/>
          <w:sz w:val="24"/>
          <w:szCs w:val="24"/>
        </w:rPr>
        <w:fldChar w:fldCharType="end"/>
      </w:r>
      <w:r>
        <w:rPr>
          <w:rFonts w:ascii="Times New Roman" w:hAnsi="Times New Roman"/>
          <w:sz w:val="24"/>
          <w:szCs w:val="24"/>
        </w:rPr>
        <w:t>. The vast majority of this unexplored floristic resource holds much prospect to probe for new herbal extracts and ther</w:t>
      </w:r>
      <w:r w:rsidR="000D7968">
        <w:rPr>
          <w:rFonts w:ascii="Times New Roman" w:hAnsi="Times New Roman"/>
          <w:sz w:val="24"/>
          <w:szCs w:val="24"/>
        </w:rPr>
        <w:t>e</w:t>
      </w:r>
      <w:r>
        <w:rPr>
          <w:rFonts w:ascii="Times New Roman" w:hAnsi="Times New Roman"/>
          <w:sz w:val="24"/>
          <w:szCs w:val="24"/>
        </w:rPr>
        <w:t xml:space="preserve">of derived natural product entities, providing alternative </w:t>
      </w:r>
      <w:proofErr w:type="spellStart"/>
      <w:r>
        <w:rPr>
          <w:rFonts w:ascii="Times New Roman" w:hAnsi="Times New Roman"/>
          <w:sz w:val="24"/>
          <w:szCs w:val="24"/>
        </w:rPr>
        <w:t>chemopreventive</w:t>
      </w:r>
      <w:proofErr w:type="spellEnd"/>
      <w:r>
        <w:rPr>
          <w:rFonts w:ascii="Times New Roman" w:hAnsi="Times New Roman"/>
          <w:sz w:val="24"/>
          <w:szCs w:val="24"/>
        </w:rPr>
        <w:t xml:space="preserve"> and/or chemotherapeutic modalities.</w:t>
      </w:r>
    </w:p>
    <w:p w14:paraId="43CF0297" w14:textId="05E5553F" w:rsidR="004F3300" w:rsidRPr="004F3300" w:rsidRDefault="004F3300" w:rsidP="004F3300">
      <w:pPr>
        <w:spacing w:line="276" w:lineRule="auto"/>
        <w:jc w:val="both"/>
        <w:rPr>
          <w:rFonts w:ascii="Times New Roman" w:hAnsi="Times New Roman"/>
          <w:b/>
          <w:bCs/>
          <w:sz w:val="24"/>
          <w:szCs w:val="24"/>
        </w:rPr>
      </w:pPr>
      <w:r w:rsidRPr="004F3300">
        <w:rPr>
          <w:rFonts w:ascii="Times New Roman" w:hAnsi="Times New Roman"/>
          <w:sz w:val="24"/>
          <w:szCs w:val="24"/>
        </w:rPr>
        <w:t xml:space="preserve">The pluri-pharmacological effect of plants is ascribed to the different classes </w:t>
      </w:r>
      <w:r w:rsidR="009F5CC5">
        <w:rPr>
          <w:rFonts w:ascii="Times New Roman" w:hAnsi="Times New Roman"/>
          <w:sz w:val="24"/>
          <w:szCs w:val="24"/>
        </w:rPr>
        <w:t>of secondary metabolites</w:t>
      </w:r>
      <w:r w:rsidRPr="004F3300">
        <w:rPr>
          <w:rFonts w:ascii="Times New Roman" w:hAnsi="Times New Roman"/>
          <w:sz w:val="24"/>
          <w:szCs w:val="24"/>
        </w:rPr>
        <w:t xml:space="preserve">, which can be broadly classified into polyphenolics, alkaloids and terpenoid derivatives. Among the diverse phytochemicals, phenolic compounds </w:t>
      </w:r>
      <w:r w:rsidRPr="00620CBE">
        <w:rPr>
          <w:rFonts w:ascii="Times New Roman" w:hAnsi="Times New Roman"/>
          <w:color w:val="00B050"/>
          <w:sz w:val="24"/>
          <w:szCs w:val="24"/>
        </w:rPr>
        <w:t>attracted</w:t>
      </w:r>
      <w:r w:rsidRPr="004F3300">
        <w:rPr>
          <w:rFonts w:ascii="Times New Roman" w:hAnsi="Times New Roman"/>
          <w:sz w:val="24"/>
          <w:szCs w:val="24"/>
        </w:rPr>
        <w:t xml:space="preserve"> considerable attention by virtue of their innate health</w:t>
      </w:r>
      <w:r w:rsidR="000D7968">
        <w:rPr>
          <w:rFonts w:ascii="Times New Roman" w:hAnsi="Times New Roman"/>
          <w:sz w:val="24"/>
          <w:szCs w:val="24"/>
        </w:rPr>
        <w:t>-</w:t>
      </w:r>
      <w:r w:rsidRPr="004F3300">
        <w:rPr>
          <w:rFonts w:ascii="Times New Roman" w:hAnsi="Times New Roman"/>
          <w:sz w:val="24"/>
          <w:szCs w:val="24"/>
        </w:rPr>
        <w:t xml:space="preserve">promoting abilities </w:t>
      </w:r>
      <w:r w:rsidRPr="004F3300">
        <w:rPr>
          <w:rFonts w:ascii="Times New Roman" w:hAnsi="Times New Roman"/>
          <w:sz w:val="24"/>
          <w:szCs w:val="24"/>
        </w:rPr>
        <w:fldChar w:fldCharType="begin" w:fldLock="1"/>
      </w:r>
      <w:r w:rsidR="0027650C">
        <w:rPr>
          <w:rFonts w:ascii="Times New Roman" w:hAnsi="Times New Roman"/>
          <w:sz w:val="24"/>
          <w:szCs w:val="24"/>
        </w:rPr>
        <w:instrText>ADDIN CSL_CITATION {"citationItems":[{"id":"ITEM-1","itemData":{"DOI":"10.3389/fnut.2018.00087","abstract":"This narrative mini- review summarizes current knowledge of the role of polyphenols in health outcomes-and non-communicable diseases specifically-and discusses the implications of this evidence for public health, and for future directions for public health practice, policy, and research. The publications cited originate mainly from animal models and feeding experiments, as well as human cohort and case-control studies. Hypothesized protective effects of polyphenols in acute and chronic diseases, including obesity, neurodegenerative diseases, type 2 diabetes, and cardiovascular diseases, are evaluated. Potential harmful effects of some polyphenols are also considered, counterbalanced with the limited evidence of harm in the research literature. Recent international governmental regulations are discussed, as the safety and health claims of only a few specific polyphenolic compounds have been officially sanctioned. The implications of food processing on the bioavailability of polyphenols are also assessed, in addition to the health claims and marketing of polyphenols as a functional food. Finally, this mini-review asserts the need for increased regulation and guidelines for polyphenol consumption and supplementation in order to ensure consumers remain safe and informed about polyphenols.","author":[{"dropping-particle":"","family":"Cory","given":"Hannah","non-dropping-particle":"","parse-names":false,"suffix":""},{"dropping-particle":"","family":"Passarelli","given":"Simone","non-dropping-particle":"","parse-names":false,"suffix":""},{"dropping-particle":"","family":"Szeto","given":"John","non-dropping-particle":"","parse-names":false,"suffix":""},{"dropping-particle":"","family":"Tamez","given":"Martha","non-dropping-particle":"","parse-names":false,"suffix":""},{"dropping-particle":"","family":"Mattei","given":"Josiemer","non-dropping-particle":"","parse-names":false,"suffix":""}],"container-title":"Frontiers in Nutrition","id":"ITEM-1","issue":"September","issued":{"date-parts":[["2018"]]},"page":"1-9","title":"The Role of Polyphenols in Human Health and Food Systems: A Mini-Review","type":"article-journal","volume":"5"},"uris":["http://www.mendeley.com/documents/?uuid=5ed5dde5-e7af-4863-ba89-ee83ad914348"]}],"mendeley":{"formattedCitation":"(Cory et al., 2018)","plainTextFormattedCitation":"(Cory et al., 2018)","previouslyFormattedCitation":"[25]"},"properties":{"noteIndex":0},"schema":"https://github.com/citation-style-language/schema/raw/master/csl-citation.json"}</w:instrText>
      </w:r>
      <w:r w:rsidRPr="004F3300">
        <w:rPr>
          <w:rFonts w:ascii="Times New Roman" w:hAnsi="Times New Roman"/>
          <w:sz w:val="24"/>
          <w:szCs w:val="24"/>
        </w:rPr>
        <w:fldChar w:fldCharType="separate"/>
      </w:r>
      <w:r w:rsidR="0027650C" w:rsidRPr="0027650C">
        <w:rPr>
          <w:rFonts w:ascii="Times New Roman" w:hAnsi="Times New Roman"/>
          <w:noProof/>
          <w:sz w:val="24"/>
          <w:szCs w:val="24"/>
        </w:rPr>
        <w:t>(Cory et al., 2018)</w:t>
      </w:r>
      <w:r w:rsidRPr="004F3300">
        <w:rPr>
          <w:rFonts w:ascii="Times New Roman" w:hAnsi="Times New Roman"/>
          <w:sz w:val="24"/>
          <w:szCs w:val="24"/>
        </w:rPr>
        <w:fldChar w:fldCharType="end"/>
      </w:r>
      <w:r w:rsidRPr="004F3300">
        <w:rPr>
          <w:rFonts w:ascii="Times New Roman" w:hAnsi="Times New Roman"/>
          <w:sz w:val="24"/>
          <w:szCs w:val="24"/>
        </w:rPr>
        <w:t xml:space="preserve">. </w:t>
      </w:r>
    </w:p>
    <w:p w14:paraId="2E0A1AE5" w14:textId="12C40FCF" w:rsidR="00275898" w:rsidRDefault="004F3300" w:rsidP="00A150A2">
      <w:pPr>
        <w:spacing w:line="276" w:lineRule="auto"/>
        <w:jc w:val="both"/>
        <w:rPr>
          <w:rFonts w:ascii="Times New Roman" w:hAnsi="Times New Roman"/>
          <w:sz w:val="24"/>
          <w:szCs w:val="24"/>
        </w:rPr>
      </w:pPr>
      <w:r w:rsidRPr="004F3300">
        <w:rPr>
          <w:rFonts w:ascii="Times New Roman" w:hAnsi="Times New Roman"/>
          <w:sz w:val="24"/>
          <w:szCs w:val="24"/>
        </w:rPr>
        <w:lastRenderedPageBreak/>
        <w:t>The present study revealed</w:t>
      </w:r>
      <w:r w:rsidR="004C16BD">
        <w:rPr>
          <w:rFonts w:ascii="Times New Roman" w:hAnsi="Times New Roman"/>
          <w:sz w:val="24"/>
          <w:szCs w:val="24"/>
        </w:rPr>
        <w:t xml:space="preserve"> the polyphenolic richness, in terms of phenolics, flavonoids and </w:t>
      </w:r>
      <w:proofErr w:type="spellStart"/>
      <w:r w:rsidR="004C16BD">
        <w:rPr>
          <w:rFonts w:ascii="Times New Roman" w:hAnsi="Times New Roman"/>
          <w:sz w:val="24"/>
          <w:szCs w:val="24"/>
        </w:rPr>
        <w:t>proanthocyanidins</w:t>
      </w:r>
      <w:proofErr w:type="spellEnd"/>
      <w:r w:rsidR="004C16BD">
        <w:rPr>
          <w:rFonts w:ascii="Times New Roman" w:hAnsi="Times New Roman"/>
          <w:sz w:val="24"/>
          <w:szCs w:val="24"/>
        </w:rPr>
        <w:t xml:space="preserve"> </w:t>
      </w:r>
      <w:r w:rsidRPr="004F3300">
        <w:rPr>
          <w:rFonts w:ascii="Times New Roman" w:hAnsi="Times New Roman"/>
          <w:sz w:val="24"/>
          <w:szCs w:val="24"/>
        </w:rPr>
        <w:t>subclasses</w:t>
      </w:r>
      <w:r w:rsidR="004C16BD">
        <w:rPr>
          <w:rFonts w:ascii="Times New Roman" w:hAnsi="Times New Roman"/>
          <w:sz w:val="24"/>
          <w:szCs w:val="24"/>
        </w:rPr>
        <w:t>, which</w:t>
      </w:r>
      <w:r w:rsidRPr="004F3300">
        <w:rPr>
          <w:rFonts w:ascii="Times New Roman" w:hAnsi="Times New Roman"/>
          <w:sz w:val="24"/>
          <w:szCs w:val="24"/>
        </w:rPr>
        <w:t xml:space="preserve"> varied significantly (p &lt; 0.05) among the three </w:t>
      </w:r>
      <w:proofErr w:type="spellStart"/>
      <w:r w:rsidRPr="004F3300">
        <w:rPr>
          <w:rFonts w:ascii="Times New Roman" w:hAnsi="Times New Roman"/>
          <w:i/>
          <w:sz w:val="24"/>
          <w:szCs w:val="24"/>
        </w:rPr>
        <w:t>Syzygium</w:t>
      </w:r>
      <w:proofErr w:type="spellEnd"/>
      <w:r w:rsidRPr="004F3300">
        <w:rPr>
          <w:rFonts w:ascii="Times New Roman" w:hAnsi="Times New Roman"/>
          <w:sz w:val="24"/>
          <w:szCs w:val="24"/>
        </w:rPr>
        <w:t xml:space="preserve"> species (Table 1). </w:t>
      </w:r>
      <w:r w:rsidR="004C16BD">
        <w:rPr>
          <w:rFonts w:ascii="Times New Roman" w:hAnsi="Times New Roman"/>
          <w:sz w:val="24"/>
          <w:szCs w:val="24"/>
        </w:rPr>
        <w:t>The occu</w:t>
      </w:r>
      <w:r w:rsidR="000D7968">
        <w:rPr>
          <w:rFonts w:ascii="Times New Roman" w:hAnsi="Times New Roman"/>
          <w:sz w:val="24"/>
          <w:szCs w:val="24"/>
        </w:rPr>
        <w:t>r</w:t>
      </w:r>
      <w:r w:rsidR="004C16BD">
        <w:rPr>
          <w:rFonts w:ascii="Times New Roman" w:hAnsi="Times New Roman"/>
          <w:sz w:val="24"/>
          <w:szCs w:val="24"/>
        </w:rPr>
        <w:t>rence of the phenolic compounds in these plants may be ascribed to the high incidence of ultraviolet radiation l</w:t>
      </w:r>
      <w:r w:rsidR="000D7968">
        <w:rPr>
          <w:rFonts w:ascii="Times New Roman" w:hAnsi="Times New Roman"/>
          <w:sz w:val="24"/>
          <w:szCs w:val="24"/>
        </w:rPr>
        <w:t>e</w:t>
      </w:r>
      <w:r w:rsidR="004C16BD">
        <w:rPr>
          <w:rFonts w:ascii="Times New Roman" w:hAnsi="Times New Roman"/>
          <w:sz w:val="24"/>
          <w:szCs w:val="24"/>
        </w:rPr>
        <w:t>vels throughout the year, characteristic to tropical islands like Maur</w:t>
      </w:r>
      <w:r w:rsidR="000D7968">
        <w:rPr>
          <w:rFonts w:ascii="Times New Roman" w:hAnsi="Times New Roman"/>
          <w:sz w:val="24"/>
          <w:szCs w:val="24"/>
        </w:rPr>
        <w:t>i</w:t>
      </w:r>
      <w:r w:rsidR="004C16BD">
        <w:rPr>
          <w:rFonts w:ascii="Times New Roman" w:hAnsi="Times New Roman"/>
          <w:sz w:val="24"/>
          <w:szCs w:val="24"/>
        </w:rPr>
        <w:t xml:space="preserve">tius </w:t>
      </w:r>
      <w:r w:rsidR="004C16BD">
        <w:rPr>
          <w:rFonts w:ascii="Times New Roman" w:hAnsi="Times New Roman"/>
          <w:sz w:val="24"/>
          <w:szCs w:val="24"/>
        </w:rPr>
        <w:fldChar w:fldCharType="begin" w:fldLock="1"/>
      </w:r>
      <w:r w:rsidR="0027650C">
        <w:rPr>
          <w:rFonts w:ascii="Times New Roman" w:hAnsi="Times New Roman"/>
          <w:sz w:val="24"/>
          <w:szCs w:val="24"/>
        </w:rPr>
        <w:instrText>ADDIN CSL_CITATION {"citationItems":[{"id":"ITEM-1","itemData":{"DOI":"10.1155/2013/602312","ISSN":"2314-5765","abstract":"Punica granatum L. has a long standing culinary and medicinal traditional use in Mauritius. This prompted a comparative study to determine the bioefficacy of the flower, peel, leaf, stem, and seed extracts of the Mauritian P. granatum . The flower and peel extracts resulting from organic solvent extraction exhibited strong antioxidant activities which correlated with the high levels of total phenolics, flavonoids, and proanthocyanidins. The peel extract had the most potent scavenging capacity reflected by high Trolox equivalent antioxidant capacity value ( μ mol/g air dry weight), very low IC 50 values for hypochlorous acid ( mg air dry weight/mL), and hydroxyl radicals scavenging ( mg air dry weight/mL). Peel extracts also significantly inhibited S. mutans (), S. mitis (), and L. acidophilus () growth compared to ciprofloxacin. The flower extract exhibited high ferric reducing, nitric oxide scavenging, and iron (II) ions chelation and significantly inhibited microsomal lipid peroxidation. Furthermore, it showed a dose-dependent inhibition of xanthine oxidase with an IC 50 value of mg air dry weight/mL. This study showed that nonedible parts of cultivated pomegranates, that are generally discarded, are bioactive in multiassay systems thereby suggesting their potential use as natural prophylactics and in food applications.","author":[{"dropping-particle":"","family":"Rummun","given":"Nawraj","non-dropping-particle":"","parse-names":false,"suffix":""},{"dropping-particle":"","family":"Somanah","given":"Jhoti","non-dropping-particle":"","parse-names":false,"suffix":""},{"dropping-particle":"","family":"Ramsaha","given":"Srishti","non-dropping-particle":"","parse-names":false,"suffix":""},{"dropping-particle":"","family":"Bahorun","given":"Theeshan","non-dropping-particle":"","parse-names":false,"suffix":""},{"dropping-particle":"","family":"Neergheen-Bhujun","given":"Vidushi S.","non-dropping-particle":"","parse-names":false,"suffix":""}],"container-title":"International Journal of Food Science","id":"ITEM-1","issued":{"date-parts":[["2013"]]},"page":"1-12","title":"Bioactivity of Nonedible Parts of Punica granatum L.: A Potential Source of Functional Ingredients","type":"article-journal","volume":"2013"},"uris":["http://www.mendeley.com/documents/?uuid=d7dfcce2-4e44-44ef-8e50-1fcdcd9459fd"]},{"id":"ITEM-2","itemData":{"DOI":"10.1109/ICSIMA.2015.7559020","ISBN":"9781467372558","abstract":"© 2015 IEEE.In its long-term energy strategy, the tropical island of Mauritius does not plan to fully exploit its abundant solar energy resources. Several barriers have been identified for curtailing the development of solar energy systems in the island. One of the major difficulties is that Mauritius is not equipped with a high quality radiometric network that would allow an accurate mapping of its solar resources. Moreover, the presence of microclimates all over the island implies that it is essential for the assessment to be performed at a small spatial resolution. This problem has been addressed in many countries by using satellite-based datasets as a feasible alternative to acquire site-specific solar irradiation time-series records. In this work, the monthly and annual average global solar irradiance maps for Mauritius have been devised using mean monthly data obtained from the EUMETSAT Satellite Application Facility on Climate Monitoring. The climatic data records not only span over a long period ranging from 1983 to 2005 but also have a small spatial resolution 0.03° × 0.03°. The maps reveal that average monthly solar irradiance of 300 W/m2 are obtained in the northern part of the country during peak summer. A south-north positive solar irradiance gradient is also observed along the island. In the absence of precise ground measurements, these maps provide a first insight into the solar potential of Mauritius and can support formulation of energy policy that will foster solar energy development.","author":[{"dropping-particle":"","family":"Bessafi","given":"Miloud","non-dropping-particle":"","parse-names":false,"suffix":""},{"dropping-particle":"","family":"Oree","given":"Vishwamitra","non-dropping-particle":"","parse-names":false,"suffix":""},{"dropping-particle":"","family":"Khoodaruth","given":"Abdel","non-dropping-particle":"","parse-names":false,"suffix":""},{"dropping-particle":"","family":"Chabriat","given":"Jean Pierre","non-dropping-particle":"","parse-names":false,"suffix":""}],"container-title":"2015 IEEE International Conference on Smart Instrumentation, Measurement and Applications, ICSIMA 2015","id":"ITEM-2","issued":{"date-parts":[["2016"]]},"page":"0-5","title":"Mapping the incoming solar irradiance over Mauritius using time-series records of Satellite Application Facility on Climate Monitoring","type":"article-journal"},"uris":["http://www.mendeley.com/documents/?uuid=f05e28cc-216b-46cb-90b3-5811fbbb0344"]}],"mendeley":{"formattedCitation":"(Bessafi et al., 2016; Rummun et al., 2013)","plainTextFormattedCitation":"(Bessafi et al., 2016; Rummun et al., 2013)","previouslyFormattedCitation":"[26,27]"},"properties":{"noteIndex":0},"schema":"https://github.com/citation-style-language/schema/raw/master/csl-citation.json"}</w:instrText>
      </w:r>
      <w:r w:rsidR="004C16BD">
        <w:rPr>
          <w:rFonts w:ascii="Times New Roman" w:hAnsi="Times New Roman"/>
          <w:sz w:val="24"/>
          <w:szCs w:val="24"/>
        </w:rPr>
        <w:fldChar w:fldCharType="separate"/>
      </w:r>
      <w:r w:rsidR="0027650C" w:rsidRPr="0027650C">
        <w:rPr>
          <w:rFonts w:ascii="Times New Roman" w:hAnsi="Times New Roman"/>
          <w:noProof/>
          <w:sz w:val="24"/>
          <w:szCs w:val="24"/>
        </w:rPr>
        <w:t>(Bessafi et al., 2016; Rummun et al., 2013)</w:t>
      </w:r>
      <w:r w:rsidR="004C16BD">
        <w:rPr>
          <w:rFonts w:ascii="Times New Roman" w:hAnsi="Times New Roman"/>
          <w:sz w:val="24"/>
          <w:szCs w:val="24"/>
        </w:rPr>
        <w:fldChar w:fldCharType="end"/>
      </w:r>
      <w:r w:rsidR="004C16BD">
        <w:rPr>
          <w:rFonts w:ascii="Times New Roman" w:hAnsi="Times New Roman"/>
          <w:sz w:val="24"/>
          <w:szCs w:val="24"/>
        </w:rPr>
        <w:t>. Ultraviolet ra</w:t>
      </w:r>
      <w:r w:rsidR="00E31225">
        <w:rPr>
          <w:rFonts w:ascii="Times New Roman" w:hAnsi="Times New Roman"/>
          <w:sz w:val="24"/>
          <w:szCs w:val="24"/>
        </w:rPr>
        <w:t xml:space="preserve">diation is known to promote the </w:t>
      </w:r>
      <w:r w:rsidR="004C16BD">
        <w:rPr>
          <w:rFonts w:ascii="Times New Roman" w:hAnsi="Times New Roman"/>
          <w:sz w:val="24"/>
          <w:szCs w:val="24"/>
        </w:rPr>
        <w:t xml:space="preserve">accumulation in </w:t>
      </w:r>
      <w:r w:rsidR="00E31225">
        <w:rPr>
          <w:rFonts w:ascii="Times New Roman" w:hAnsi="Times New Roman"/>
          <w:sz w:val="24"/>
          <w:szCs w:val="24"/>
        </w:rPr>
        <w:t xml:space="preserve">polyphenols in </w:t>
      </w:r>
      <w:r w:rsidR="004C16BD">
        <w:rPr>
          <w:rFonts w:ascii="Times New Roman" w:hAnsi="Times New Roman"/>
          <w:sz w:val="24"/>
          <w:szCs w:val="24"/>
        </w:rPr>
        <w:t xml:space="preserve">plants </w:t>
      </w:r>
      <w:r w:rsidR="004C16BD">
        <w:rPr>
          <w:rFonts w:ascii="Times New Roman" w:hAnsi="Times New Roman"/>
          <w:sz w:val="24"/>
          <w:szCs w:val="24"/>
        </w:rPr>
        <w:fldChar w:fldCharType="begin" w:fldLock="1"/>
      </w:r>
      <w:r w:rsidR="0027650C">
        <w:rPr>
          <w:rFonts w:ascii="Times New Roman" w:hAnsi="Times New Roman"/>
          <w:sz w:val="24"/>
          <w:szCs w:val="24"/>
        </w:rPr>
        <w:instrText>ADDIN CSL_CITATION {"citationItems":[{"id":"ITEM-1","itemData":{"DOI":"10.1016/j.plantsci.2012.07.014","ISBN":"0168-9452","ISSN":"01689452","PMID":"23017900","abstract":"Stress-responsive dihydroxy B-ring-substituted flavonoids have great potential to inhibit the generation of reactive oxygen species (ROS) and reduce the levels of ROS once they are formed, i.e., to perform antioxidant functions. These flavonoids are located within or in the proximity of centers of ROS generation in severely stressed plants. Efficient mechanisms have been recently identified for the transport of flavonoids from the endoplasmic reticulum, the site of their biosynthesis, to different cellular compartments. The mechanism underlying flavonoid-mediated ROS reduction in plants is still unclear. 'Antioxidant' flavonoids are found in the chloroplast, which suggests a role as scavengers of singlet oxygen and stabilizers of the chloroplast outer envelope membrane. Dihydroxy B-ring substituted flavonoids are present in the nucleus of mesophyll cells and may inhibit ROS-generation making complexes with Fe and Cu ions. The genes that govern the biosynthesis of antioxidant flavonoids are present in liverworts and mosses and are mostly up-regulated as a consequence of severe stress. This suggests that the antioxidant flavonoid metabolism is a robust trait of terrestrial plants. Vacuolar dihydroxy B-ring flavonoids have been reported to serve as co-substrates for vacuolar peroxidases to reduce H2O2 escape from the chloroplast, following the depletion of ascorbate peroxidase activity. Antioxidant flavonoids may effectively control key steps of cell growth and differentiation, thus acting regulating the development of the whole plant and individual organs. ?? 2012 Elsevier Ireland Ltd.","author":[{"dropping-particle":"","family":"Agati","given":"Giovanni","non-dropping-particle":"","parse-names":false,"suffix":""},{"dropping-particle":"","family":"Azzarello","given":"Elisa","non-dropping-particle":"","parse-names":false,"suffix":""},{"dropping-particle":"","family":"Pollastri","given":"Susanna","non-dropping-particle":"","parse-names":false,"suffix":""},{"dropping-particle":"","family":"Tattini","given":"Massimiliano","non-dropping-particle":"","parse-names":false,"suffix":""}],"container-title":"Plant Science","id":"ITEM-1","issued":{"date-parts":[["2012","11"]]},"page":"67-76","publisher":"Elsevier Ireland Ltd","title":"Flavonoids as antioxidants in plants: Location and functional significance","type":"article-journal","volume":"196"},"uris":["http://www.mendeley.com/documents/?uuid=a0619ee0-2879-423d-a361-2e09d2159310"]},{"id":"ITEM-2","itemData":{"DOI":"10.3389/fpls.2012.00222","ISBN":"1664-462X (Electronic)\\r1664-462X (Linking)","ISSN":"1664-462X","PMID":"23060891","abstract":"Flavonoids are widely distributed secondary metabolites with different metabolic functions in plants. The elucidation of the biosynthetic pathways, as well as their regulation by MYB, basic helix-loop-helix (bHLH), and WD40-type transcription factors, has allowed metabolic engineering of plants through the manipulation of the different final products with valuable applications. The present review describes the regulation of flavonoid biosynthesis, as well as the biological functions of flavonoids in plants, such as in defense against UV-B radiation and pathogen infection, nodulation, and pollen fertility. In addition, we discuss different strategies and achievements through the genetic engineering of flavonoid biosynthesis with implication in the industry and the combinatorial biosynthesis in microorganisms by the reconstruction of the pathway to obtain high amounts of specific compounds.","author":[{"dropping-particle":"","family":"Ferreyra","given":"Falcone María L.","non-dropping-particle":"","parse-names":false,"suffix":""},{"dropping-particle":"","family":"Rius","given":"Sebastián P.","non-dropping-particle":"","parse-names":false,"suffix":""},{"dropping-particle":"","family":"Casati","given":"Paula","non-dropping-particle":"","parse-names":false,"suffix":""}],"container-title":"Frontiers in Plant Science","id":"ITEM-2","issue":"September","issued":{"date-parts":[["2012"]]},"page":"1-15","title":"Flavonoids: biosynthesis, biological functions, and biotechnological applications","type":"article-journal","volume":"3"},"uris":["http://www.mendeley.com/documents/?uuid=99d49a0d-741d-4bc5-9bd2-c02e3a7025bd"]}],"mendeley":{"formattedCitation":"(Agati et al., 2012; Ferreyra et al., 2012)","plainTextFormattedCitation":"(Agati et al., 2012; Ferreyra et al., 2012)","previouslyFormattedCitation":"[28,29]"},"properties":{"noteIndex":0},"schema":"https://github.com/citation-style-language/schema/raw/master/csl-citation.json"}</w:instrText>
      </w:r>
      <w:r w:rsidR="004C16BD">
        <w:rPr>
          <w:rFonts w:ascii="Times New Roman" w:hAnsi="Times New Roman"/>
          <w:sz w:val="24"/>
          <w:szCs w:val="24"/>
        </w:rPr>
        <w:fldChar w:fldCharType="separate"/>
      </w:r>
      <w:r w:rsidR="0027650C" w:rsidRPr="0027650C">
        <w:rPr>
          <w:rFonts w:ascii="Times New Roman" w:hAnsi="Times New Roman"/>
          <w:noProof/>
          <w:sz w:val="24"/>
          <w:szCs w:val="24"/>
        </w:rPr>
        <w:t>(Agati et al., 2012; Ferreyra et al., 2012)</w:t>
      </w:r>
      <w:r w:rsidR="004C16BD">
        <w:rPr>
          <w:rFonts w:ascii="Times New Roman" w:hAnsi="Times New Roman"/>
          <w:sz w:val="24"/>
          <w:szCs w:val="24"/>
        </w:rPr>
        <w:fldChar w:fldCharType="end"/>
      </w:r>
      <w:r w:rsidR="004C16BD">
        <w:rPr>
          <w:rFonts w:ascii="Times New Roman" w:hAnsi="Times New Roman"/>
          <w:sz w:val="24"/>
          <w:szCs w:val="24"/>
        </w:rPr>
        <w:t xml:space="preserve">. The amount of estimated </w:t>
      </w:r>
      <w:r w:rsidR="00C60A45">
        <w:rPr>
          <w:rFonts w:ascii="Times New Roman" w:hAnsi="Times New Roman"/>
          <w:sz w:val="24"/>
          <w:szCs w:val="24"/>
        </w:rPr>
        <w:t>total phenolic content (</w:t>
      </w:r>
      <w:r w:rsidR="004C16BD">
        <w:rPr>
          <w:rFonts w:ascii="Times New Roman" w:hAnsi="Times New Roman"/>
          <w:sz w:val="24"/>
          <w:szCs w:val="24"/>
        </w:rPr>
        <w:t>TPC</w:t>
      </w:r>
      <w:r w:rsidR="00C60A45">
        <w:rPr>
          <w:rFonts w:ascii="Times New Roman" w:hAnsi="Times New Roman"/>
          <w:sz w:val="24"/>
          <w:szCs w:val="24"/>
        </w:rPr>
        <w:t>)</w:t>
      </w:r>
      <w:r w:rsidR="004C16BD">
        <w:rPr>
          <w:rFonts w:ascii="Times New Roman" w:hAnsi="Times New Roman"/>
          <w:sz w:val="24"/>
          <w:szCs w:val="24"/>
        </w:rPr>
        <w:t xml:space="preserve"> in </w:t>
      </w:r>
      <w:r w:rsidR="004C16BD" w:rsidRPr="006B10CD">
        <w:rPr>
          <w:rFonts w:ascii="Times New Roman" w:hAnsi="Times New Roman"/>
          <w:i/>
          <w:sz w:val="24"/>
          <w:szCs w:val="24"/>
        </w:rPr>
        <w:t xml:space="preserve">S. </w:t>
      </w:r>
      <w:proofErr w:type="spellStart"/>
      <w:r w:rsidR="004C16BD" w:rsidRPr="006B10CD">
        <w:rPr>
          <w:rFonts w:ascii="Times New Roman" w:hAnsi="Times New Roman"/>
          <w:i/>
          <w:sz w:val="24"/>
          <w:szCs w:val="24"/>
        </w:rPr>
        <w:t>bijouxii</w:t>
      </w:r>
      <w:proofErr w:type="spellEnd"/>
      <w:r w:rsidR="004C16BD">
        <w:rPr>
          <w:rFonts w:ascii="Times New Roman" w:hAnsi="Times New Roman"/>
          <w:sz w:val="24"/>
          <w:szCs w:val="24"/>
        </w:rPr>
        <w:t xml:space="preserve"> was comparable to that in the Mauritian endemic </w:t>
      </w:r>
      <w:proofErr w:type="spellStart"/>
      <w:r w:rsidR="004C16BD" w:rsidRPr="006B10CD">
        <w:rPr>
          <w:rFonts w:ascii="Times New Roman" w:hAnsi="Times New Roman"/>
          <w:i/>
          <w:sz w:val="24"/>
          <w:szCs w:val="24"/>
        </w:rPr>
        <w:t>Labourdonaisia</w:t>
      </w:r>
      <w:proofErr w:type="spellEnd"/>
      <w:r w:rsidR="004C16BD" w:rsidRPr="006B10CD">
        <w:rPr>
          <w:rFonts w:ascii="Times New Roman" w:hAnsi="Times New Roman"/>
          <w:i/>
          <w:sz w:val="24"/>
          <w:szCs w:val="24"/>
        </w:rPr>
        <w:t xml:space="preserve"> glauca</w:t>
      </w:r>
      <w:r w:rsidR="004C16BD">
        <w:rPr>
          <w:rFonts w:ascii="Times New Roman" w:hAnsi="Times New Roman"/>
          <w:sz w:val="24"/>
          <w:szCs w:val="24"/>
        </w:rPr>
        <w:t xml:space="preserve"> (</w:t>
      </w:r>
      <w:proofErr w:type="spellStart"/>
      <w:r w:rsidR="004C16BD">
        <w:rPr>
          <w:rFonts w:ascii="Times New Roman" w:hAnsi="Times New Roman"/>
          <w:sz w:val="24"/>
          <w:szCs w:val="24"/>
        </w:rPr>
        <w:t>Sapotaceae</w:t>
      </w:r>
      <w:proofErr w:type="spellEnd"/>
      <w:r w:rsidR="004C16BD">
        <w:rPr>
          <w:rFonts w:ascii="Times New Roman" w:hAnsi="Times New Roman"/>
          <w:sz w:val="24"/>
          <w:szCs w:val="24"/>
        </w:rPr>
        <w:t xml:space="preserve">) (298.9 ± 9.4 mg GAE/ g dry extract) </w:t>
      </w:r>
      <w:r w:rsidR="004C16BD">
        <w:rPr>
          <w:rFonts w:ascii="Times New Roman" w:hAnsi="Times New Roman"/>
          <w:sz w:val="24"/>
          <w:szCs w:val="24"/>
        </w:rPr>
        <w:fldChar w:fldCharType="begin" w:fldLock="1"/>
      </w:r>
      <w:r w:rsidR="0027650C">
        <w:rPr>
          <w:rFonts w:ascii="Times New Roman" w:hAnsi="Times New Roman"/>
          <w:sz w:val="24"/>
          <w:szCs w:val="24"/>
        </w:rPr>
        <w:instrText>ADDIN CSL_CITATION {"citationItems":[{"id":"ITEM-1","itemData":{"DOI":"10.32607/20758251-2019-11-1-81-90","ISSN":"20758251","abstract":"© 2019 National Research University Higher School of Economics. Terrestrial plants have contributed massively to the development of modern oncologic drugs. Despite the wide acceptance of Mauritian endemic flowering plants in traditional medicine, scientific evidence of their chemotherapeutic potential is lacking. This study aimed to evaluate the in vitro tumor cytotoxicity of leaf extracts from five Mauritian endemic medicinal plants, namely Acalypha integrifolia Willd (Euphorbiaceae), Labourdonnaisia glauca Bojer (Sapotaceae), Dombeya acutangula Cav. subsp. rosea Friedmann (Malvaceae), Gaertnera psychotrioides (DC.) Baker (Rubiaceae), and Eugenia tinifolia Lam (Myrtaceae). The cytotoxicities of the extracts were determined against six human cancer cell lines, including cervical adenocarcinoma, colorectal carcinoma, oesophageal adenocarcinoma, and oesophageal squamous cell carcinoma. The potent extracts were further investigated using cell cycle analysis and reverse phase protein array (RPPA) analysis. The antioxidant properties and polyphenolic profile of the potent extracts were also evaluated. Gas chromatography mass spectrometry (GC-MS) analyses revealed the presence of (+)-catechin and gallocatechin in E. tinifolia and L. glauca, while gallic acid was detected in A. integrifolia. L. glauca, A. integrifolia, and E. tinifolia were highly selective towards human oesophageal squamous cell carcinoma (KYSE-30) cells. L. glauca and E. tinifolia arrested KYSE- 30 cells in the G2/M phase, in a concentration-dependent manner. RPPA analysis indicated that the extracts may partly exert their tumor growth-inhibitory activity by upregulating the intracellular level of 5'AMP-activated kinase (AMPK). The findings highlight the potent antiproliferative activity of three Mauritian endemic leaf extracts against oesophageal squamous cell carcinoma and calls for further investigation into their chemotherapeutic application.","author":[{"dropping-particle":"","family":"Rummun","given":"N.","non-dropping-particle":"","parse-names":false,"suffix":""},{"dropping-particle":"","family":"Hughes","given":"R.E.","non-dropping-particle":"","parse-names":false,"suffix":""},{"dropping-particle":"","family":"Beesoo","given":"R.","non-dropping-particle":"","parse-names":false,"suffix":""},{"dropping-particle":"","family":"Li","given":"W.W.","non-dropping-particle":"","parse-names":false,"suffix":""},{"dropping-particle":"","family":"Aldulaimi","given":"O.","non-dropping-particle":"","parse-names":false,"suffix":""},{"dropping-particle":"","family":"Macleod","given":"K.G.","non-dropping-particle":"","parse-names":false,"suffix":""},{"dropping-particle":"","family":"Bahorun","given":"T.","non-dropping-particle":"","parse-names":false,"suffix":""},{"dropping-particle":"","family":"Carragher","given":"N.O.","non-dropping-particle":"","parse-names":false,"suffix":""},{"dropping-particle":"","family":"Kagansky","given":"A.","non-dropping-particle":"","parse-names":false,"suffix":""},{"dropping-particle":"","family":"Neergheen-Bhujun","given":"V.S.","non-dropping-particle":"","parse-names":false,"suffix":""}],"container-title":"Acta Naturae","id":"ITEM-1","issue":"1","issued":{"date-parts":[["2019","3","1"]]},"page":"81-90","publisher":"Acta Naturae","title":"Mauritian Endemic Medicinal Plant Extracts Induce G2/M Phase Cell Cycle Arrest and Growth Inhibition of Oesophageal Squamous Cell Carcinoma in Vitro","type":"article-journal","volume":"11"},"uris":["http://www.mendeley.com/documents/?uuid=61bec6f9-8c8d-49b3-8263-270dfda68688"]}],"mendeley":{"formattedCitation":"(Rummun et al., 2019)","plainTextFormattedCitation":"(Rummun et al., 2019)","previouslyFormattedCitation":"[30]"},"properties":{"noteIndex":0},"schema":"https://github.com/citation-style-language/schema/raw/master/csl-citation.json"}</w:instrText>
      </w:r>
      <w:r w:rsidR="004C16BD">
        <w:rPr>
          <w:rFonts w:ascii="Times New Roman" w:hAnsi="Times New Roman"/>
          <w:sz w:val="24"/>
          <w:szCs w:val="24"/>
        </w:rPr>
        <w:fldChar w:fldCharType="separate"/>
      </w:r>
      <w:r w:rsidR="0027650C" w:rsidRPr="0027650C">
        <w:rPr>
          <w:rFonts w:ascii="Times New Roman" w:hAnsi="Times New Roman"/>
          <w:noProof/>
          <w:sz w:val="24"/>
          <w:szCs w:val="24"/>
        </w:rPr>
        <w:t>(Rummun et al., 2019)</w:t>
      </w:r>
      <w:r w:rsidR="004C16BD">
        <w:rPr>
          <w:rFonts w:ascii="Times New Roman" w:hAnsi="Times New Roman"/>
          <w:sz w:val="24"/>
          <w:szCs w:val="24"/>
        </w:rPr>
        <w:fldChar w:fldCharType="end"/>
      </w:r>
      <w:r w:rsidR="004C16BD">
        <w:rPr>
          <w:rFonts w:ascii="Times New Roman" w:hAnsi="Times New Roman"/>
          <w:sz w:val="24"/>
          <w:szCs w:val="24"/>
        </w:rPr>
        <w:t xml:space="preserve">. </w:t>
      </w:r>
      <w:r w:rsidR="00E31225">
        <w:rPr>
          <w:rFonts w:ascii="Times New Roman" w:hAnsi="Times New Roman"/>
          <w:sz w:val="24"/>
          <w:szCs w:val="24"/>
        </w:rPr>
        <w:t>In contrast</w:t>
      </w:r>
      <w:r w:rsidR="004C16BD">
        <w:rPr>
          <w:rFonts w:ascii="Times New Roman" w:hAnsi="Times New Roman"/>
          <w:sz w:val="24"/>
          <w:szCs w:val="24"/>
        </w:rPr>
        <w:t xml:space="preserve">, </w:t>
      </w:r>
      <w:r w:rsidR="006B10CD">
        <w:rPr>
          <w:rFonts w:ascii="Times New Roman" w:hAnsi="Times New Roman"/>
          <w:sz w:val="24"/>
          <w:szCs w:val="24"/>
        </w:rPr>
        <w:t xml:space="preserve">literature finding reported a lower level of TPC in Mauritian </w:t>
      </w:r>
      <w:proofErr w:type="spellStart"/>
      <w:r w:rsidR="006B10CD" w:rsidRPr="00E31225">
        <w:rPr>
          <w:rFonts w:ascii="Times New Roman" w:hAnsi="Times New Roman"/>
          <w:i/>
          <w:sz w:val="24"/>
          <w:szCs w:val="24"/>
        </w:rPr>
        <w:t>Syzygium</w:t>
      </w:r>
      <w:proofErr w:type="spellEnd"/>
      <w:r w:rsidR="006B10CD">
        <w:rPr>
          <w:rFonts w:ascii="Times New Roman" w:hAnsi="Times New Roman"/>
          <w:sz w:val="24"/>
          <w:szCs w:val="24"/>
        </w:rPr>
        <w:t xml:space="preserve"> endemic species ranging between 30.9 mg GAE to 86.3 mg GAE / g dry leaves, with </w:t>
      </w:r>
      <w:r w:rsidR="000D7968">
        <w:rPr>
          <w:rFonts w:ascii="Times New Roman" w:hAnsi="Times New Roman"/>
          <w:i/>
          <w:sz w:val="24"/>
          <w:szCs w:val="24"/>
        </w:rPr>
        <w:t xml:space="preserve">S. </w:t>
      </w:r>
      <w:proofErr w:type="spellStart"/>
      <w:r w:rsidR="000D7968">
        <w:rPr>
          <w:rFonts w:ascii="Times New Roman" w:hAnsi="Times New Roman"/>
          <w:i/>
          <w:sz w:val="24"/>
          <w:szCs w:val="24"/>
        </w:rPr>
        <w:t>coriace</w:t>
      </w:r>
      <w:r w:rsidR="006B10CD" w:rsidRPr="00E31225">
        <w:rPr>
          <w:rFonts w:ascii="Times New Roman" w:hAnsi="Times New Roman"/>
          <w:i/>
          <w:sz w:val="24"/>
          <w:szCs w:val="24"/>
        </w:rPr>
        <w:t>um</w:t>
      </w:r>
      <w:proofErr w:type="spellEnd"/>
      <w:r w:rsidR="00E31225">
        <w:rPr>
          <w:rFonts w:ascii="Times New Roman" w:hAnsi="Times New Roman"/>
          <w:sz w:val="24"/>
          <w:szCs w:val="24"/>
        </w:rPr>
        <w:t xml:space="preserve"> having 51.</w:t>
      </w:r>
      <w:r w:rsidR="006B10CD">
        <w:rPr>
          <w:rFonts w:ascii="Times New Roman" w:hAnsi="Times New Roman"/>
          <w:sz w:val="24"/>
          <w:szCs w:val="24"/>
        </w:rPr>
        <w:t xml:space="preserve">2 mg GAE/ g dry leaves </w:t>
      </w:r>
      <w:r w:rsidR="006B10CD">
        <w:rPr>
          <w:rFonts w:ascii="Times New Roman" w:hAnsi="Times New Roman"/>
          <w:sz w:val="24"/>
          <w:szCs w:val="24"/>
        </w:rPr>
        <w:fldChar w:fldCharType="begin" w:fldLock="1"/>
      </w:r>
      <w:r w:rsidR="0027650C">
        <w:rPr>
          <w:rFonts w:ascii="Times New Roman" w:hAnsi="Times New Roman"/>
          <w:sz w:val="24"/>
          <w:szCs w:val="24"/>
        </w:rPr>
        <w:instrText>ADDIN CSL_CITATION {"citationItems":[{"id":"ITEM-1","itemData":{"DOI":"10.1080/10715760310001598150","ISBN":"1071-5762 (Print)","ISSN":"1071-5762","PMID":"14703734","abstract":"Oxidative stress has been associated with a variety of pathologic conditions in humans. Increasing the transcriptional activities of antioxidant enzymes might be a strategy to prevent oxidative stress-associated diseases such as atherosclerosis and cancer. In the present paper, we studied the effects of extracts from 12 Mauritian endemic plants on the promoter activities of antioxidant enzymes; Cu, Zn-superoxide dismutase (Cu,Zn-SOD), Mn-superoxide dismutase (Mn-SOD), catalase, and glutathione dismutase (GPx). The levels of total phenolic compounds, total flavonoids, and proanthocyanidins were measured. Four luciferase expression vectors (pGL3-Basic) with promoter region of each enzyme were constructed, transfected to COS7 cells followed by an exposure to each extract (25 microg/ml, 24h, non-toxic dose). Thereafter, luciferase activities were evaluated in comparison with a control luciferase vector with a herpes simplex virus thymidine kinase promoter. Mauritian endemic plants contained high amounts of total phenols, flavonoids and proanthocyanidins. Total phenols and flavonoids were proportionally associated with Cu,Zn-SOD promoter activity, whereas they were inversely correlated with catalase promoter activity. These results suggest that the chemopreventive potentials of the extracts might reside in their abilities to modulate the expression of the antioxidant enzyme genes.","author":[{"dropping-particle":"","family":"Toyokuni","given":"Shinya","non-dropping-particle":"","parse-names":false,"suffix":""},{"dropping-particle":"","family":"Tanaka","given":"Tomoyuki","non-dropping-particle":"","parse-names":false,"suffix":""},{"dropping-particle":"","family":"Kawaguchi","given":"Waka","non-dropping-particle":"","parse-names":false,"suffix":""},{"dropping-particle":"","family":"Lai Fang","given":"Neil Ryan","non-dropping-particle":"","parse-names":false,"suffix":""},{"dropping-particle":"","family":"Ozeki","given":"Munetaka","non-dropping-particle":"","parse-names":false,"suffix":""},{"dropping-particle":"","family":"Akatsuka","given":"Shinya","non-dropping-particle":"","parse-names":false,"suffix":""},{"dropping-particle":"","family":"Hiai","given":"Hiroshi","non-dropping-particle":"","parse-names":false,"suffix":""},{"dropping-particle":"","family":"Aruoma","given":"Okezie I","non-dropping-particle":"","parse-names":false,"suffix":""},{"dropping-particle":"","family":"Bahorun","given":"Theeshan","non-dropping-particle":"","parse-names":false,"suffix":""}],"container-title":"Free Radical Research","id":"ITEM-1","issue":"11","issued":{"date-parts":[["2003","1","7"]]},"page":"1215-1224","title":"Effects of the phenolic contents of Mauritian endemic plant extracts on promoter activities of antioxidant enzymes","type":"article-journal","volume":"37"},"uris":["http://www.mendeley.com/documents/?uuid=28fb3fcd-bb06-4a70-a901-afc038a97d40"]}],"mendeley":{"formattedCitation":"(Toyokuni et al., 2003)","plainTextFormattedCitation":"(Toyokuni et al., 2003)","previouslyFormattedCitation":"[31]"},"properties":{"noteIndex":0},"schema":"https://github.com/citation-style-language/schema/raw/master/csl-citation.json"}</w:instrText>
      </w:r>
      <w:r w:rsidR="006B10CD">
        <w:rPr>
          <w:rFonts w:ascii="Times New Roman" w:hAnsi="Times New Roman"/>
          <w:sz w:val="24"/>
          <w:szCs w:val="24"/>
        </w:rPr>
        <w:fldChar w:fldCharType="separate"/>
      </w:r>
      <w:r w:rsidR="0027650C" w:rsidRPr="0027650C">
        <w:rPr>
          <w:rFonts w:ascii="Times New Roman" w:hAnsi="Times New Roman"/>
          <w:noProof/>
          <w:sz w:val="24"/>
          <w:szCs w:val="24"/>
        </w:rPr>
        <w:t>(Toyokuni et al., 2003)</w:t>
      </w:r>
      <w:r w:rsidR="006B10CD">
        <w:rPr>
          <w:rFonts w:ascii="Times New Roman" w:hAnsi="Times New Roman"/>
          <w:sz w:val="24"/>
          <w:szCs w:val="24"/>
        </w:rPr>
        <w:fldChar w:fldCharType="end"/>
      </w:r>
      <w:r w:rsidR="006B10CD">
        <w:rPr>
          <w:rFonts w:ascii="Times New Roman" w:hAnsi="Times New Roman"/>
          <w:sz w:val="24"/>
          <w:szCs w:val="24"/>
        </w:rPr>
        <w:t xml:space="preserve">. Likewise, another study investigating the Mauritian endemic plants reported the TPC in </w:t>
      </w:r>
      <w:proofErr w:type="spellStart"/>
      <w:r w:rsidR="006B10CD" w:rsidRPr="00E31225">
        <w:rPr>
          <w:rFonts w:ascii="Times New Roman" w:hAnsi="Times New Roman"/>
          <w:i/>
          <w:sz w:val="24"/>
          <w:szCs w:val="24"/>
        </w:rPr>
        <w:t>Syzygium</w:t>
      </w:r>
      <w:proofErr w:type="spellEnd"/>
      <w:r w:rsidR="006B10CD">
        <w:rPr>
          <w:rFonts w:ascii="Times New Roman" w:hAnsi="Times New Roman"/>
          <w:sz w:val="24"/>
          <w:szCs w:val="24"/>
        </w:rPr>
        <w:t xml:space="preserve"> species to vary between 69 ± 0</w:t>
      </w:r>
      <w:r w:rsidR="00E31225">
        <w:rPr>
          <w:rFonts w:ascii="Times New Roman" w:hAnsi="Times New Roman"/>
          <w:sz w:val="24"/>
          <w:szCs w:val="24"/>
        </w:rPr>
        <w:t>.</w:t>
      </w:r>
      <w:r w:rsidR="006B10CD">
        <w:rPr>
          <w:rFonts w:ascii="Times New Roman" w:hAnsi="Times New Roman"/>
          <w:sz w:val="24"/>
          <w:szCs w:val="24"/>
        </w:rPr>
        <w:t xml:space="preserve">9 mg GAE and 103 ± 1.2 mg GAE / g fresh leaves </w:t>
      </w:r>
      <w:r w:rsidR="006B10CD">
        <w:rPr>
          <w:rFonts w:ascii="Times New Roman" w:hAnsi="Times New Roman"/>
          <w:sz w:val="24"/>
          <w:szCs w:val="24"/>
        </w:rPr>
        <w:fldChar w:fldCharType="begin" w:fldLock="1"/>
      </w:r>
      <w:r w:rsidR="0027650C">
        <w:rPr>
          <w:rFonts w:ascii="Times New Roman" w:hAnsi="Times New Roman"/>
          <w:sz w:val="24"/>
          <w:szCs w:val="24"/>
        </w:rPr>
        <w:instrText>ADDIN CSL_CITATION {"citationItems":[{"id":"ITEM-1","itemData":{"DOI":"10.1016/j.jplph.2005.09.009","ISBN":"0176-1617 (Print)\\r0176-1617 (Linking)","ISSN":"01761617","PMID":"16442185","abstract":"The phenolic constituents of Mauritian endemic plants from the Rubiaceae and Myrtaceae family were assessed and correlated with their potential antioxidant activities in vitro. The antioxidant activities of the plant extracts ranged from 0.27 to 1.49 mmol Trolox equivalent/g FW and from 0.20 to 1.39 mmol Fe(II) equivalent/g FW in the TEAC and FAP assays, respectively, with Syzygium commersonii showing the highest activity in these two systems. Eugenia orbiculata and all the Syzygium species were effective scavengers of hypochlorous acid while Monimiastrum acutisepalum was the most potent inhibitor of deoxyribose degradation. The plant extracts inhibited microsomal lipid peroxidation with low IC&lt;inf&gt;50&lt;/inf&gt; s ranging from 0.02 to 1.75 mg FW/mL when reaction was initiated with Fe&lt;sup&gt;3+&lt;/sup&gt;/ascorbate and from 0.093 to 1.55 mg FW/mL in the AAPH-dependent lipid peroxidation. The potential prooxidant nature of the plant extracts was compared with ascorbate (250 μM) using copper-phenanthroline assay. The plant extracts at concentrations up to 5 g FW/L were not prooxidant. However, Myonima nitens, Syzygium commersonii, Syzygium glomeratum and Syzygium mauritianum at concentrations of 10 g FW/L had potency approaching 50% of the prooxidant activity of ascorbic acid in vitro, suggesting relative safeties. The total phenolics influenced the antioxidant activities in the TEAC, FRAP and HOCl scavenging assays whereas a negative correlation was observed with the deoxyribose assay. The high levels of polyphenolic compounds and the significant antioxidant activities of these Rubiaceae and Myrtaceae plant family make them suitable candidates as prophylactic agent. © 2005 Elsevier GmbH. All rights reserved.","author":[{"dropping-particle":"","family":"Neergheen","given":"Vidushi S.","non-dropping-particle":"","parse-names":false,"suffix":""},{"dropping-particle":"","family":"Soobrattee","given":"Muhammad A.","non-dropping-particle":"","parse-names":false,"suffix":""},{"dropping-particle":"","family":"Bahorun","given":"Theeshan","non-dropping-particle":"","parse-names":false,"suffix":""},{"dropping-particle":"","family":"Aruoma","given":"Okezie I.","non-dropping-particle":"","parse-names":false,"suffix":""}],"container-title":"Journal of Plant Physiology","id":"ITEM-1","issue":"8","issued":{"date-parts":[["2006","7"]]},"page":"787-799","title":"Characterization of the phenolic constituents in Mauritian endemic plants as determinants of their antioxidant activities in vitro","type":"article-journal","volume":"163"},"uris":["http://www.mendeley.com/documents/?uuid=7705a4a7-af55-4d30-934d-4f4981d1df91"]}],"mendeley":{"formattedCitation":"(Neergheen et al., 2006)","plainTextFormattedCitation":"(Neergheen et al., 2006)","previouslyFormattedCitation":"[32]"},"properties":{"noteIndex":0},"schema":"https://github.com/citation-style-language/schema/raw/master/csl-citation.json"}</w:instrText>
      </w:r>
      <w:r w:rsidR="006B10CD">
        <w:rPr>
          <w:rFonts w:ascii="Times New Roman" w:hAnsi="Times New Roman"/>
          <w:sz w:val="24"/>
          <w:szCs w:val="24"/>
        </w:rPr>
        <w:fldChar w:fldCharType="separate"/>
      </w:r>
      <w:r w:rsidR="0027650C" w:rsidRPr="0027650C">
        <w:rPr>
          <w:rFonts w:ascii="Times New Roman" w:hAnsi="Times New Roman"/>
          <w:noProof/>
          <w:sz w:val="24"/>
          <w:szCs w:val="24"/>
        </w:rPr>
        <w:t>(Neergheen et al., 2006)</w:t>
      </w:r>
      <w:r w:rsidR="006B10CD">
        <w:rPr>
          <w:rFonts w:ascii="Times New Roman" w:hAnsi="Times New Roman"/>
          <w:sz w:val="24"/>
          <w:szCs w:val="24"/>
        </w:rPr>
        <w:fldChar w:fldCharType="end"/>
      </w:r>
      <w:r w:rsidR="006B10CD">
        <w:rPr>
          <w:rFonts w:ascii="Times New Roman" w:hAnsi="Times New Roman"/>
          <w:sz w:val="24"/>
          <w:szCs w:val="24"/>
        </w:rPr>
        <w:t>.</w:t>
      </w:r>
    </w:p>
    <w:p w14:paraId="24FBDBEE" w14:textId="3CA0D9F6" w:rsidR="00A150A2" w:rsidRPr="00A150A2" w:rsidRDefault="00A150A2" w:rsidP="00A150A2">
      <w:pPr>
        <w:spacing w:line="276" w:lineRule="auto"/>
        <w:jc w:val="both"/>
        <w:rPr>
          <w:rFonts w:ascii="Times New Roman" w:hAnsi="Times New Roman"/>
          <w:sz w:val="24"/>
          <w:szCs w:val="24"/>
        </w:rPr>
      </w:pPr>
      <w:r w:rsidRPr="00A150A2">
        <w:rPr>
          <w:rFonts w:ascii="Times New Roman" w:hAnsi="Times New Roman"/>
          <w:sz w:val="24"/>
          <w:szCs w:val="24"/>
        </w:rPr>
        <w:t>In this study, the level of methyl gallate was 2.</w:t>
      </w:r>
      <w:r w:rsidR="00E31225">
        <w:rPr>
          <w:rFonts w:ascii="Times New Roman" w:hAnsi="Times New Roman"/>
          <w:sz w:val="24"/>
          <w:szCs w:val="24"/>
        </w:rPr>
        <w:t>4 folds higher than gallic acid</w:t>
      </w:r>
      <w:r w:rsidRPr="00A150A2">
        <w:rPr>
          <w:rFonts w:ascii="Times New Roman" w:hAnsi="Times New Roman"/>
          <w:sz w:val="24"/>
          <w:szCs w:val="24"/>
        </w:rPr>
        <w:t xml:space="preserve"> in </w:t>
      </w:r>
      <w:r w:rsidRPr="00A150A2">
        <w:rPr>
          <w:rFonts w:ascii="Times New Roman" w:hAnsi="Times New Roman"/>
          <w:i/>
          <w:sz w:val="24"/>
          <w:szCs w:val="24"/>
        </w:rPr>
        <w:t xml:space="preserve">S. </w:t>
      </w:r>
      <w:proofErr w:type="spellStart"/>
      <w:r w:rsidRPr="00A150A2">
        <w:rPr>
          <w:rFonts w:ascii="Times New Roman" w:hAnsi="Times New Roman"/>
          <w:i/>
          <w:sz w:val="24"/>
          <w:szCs w:val="24"/>
        </w:rPr>
        <w:t>coriaceum</w:t>
      </w:r>
      <w:proofErr w:type="spellEnd"/>
      <w:r w:rsidRPr="00A150A2">
        <w:rPr>
          <w:rFonts w:ascii="Times New Roman" w:hAnsi="Times New Roman"/>
          <w:sz w:val="24"/>
          <w:szCs w:val="24"/>
        </w:rPr>
        <w:t xml:space="preserve"> leaf. However, </w:t>
      </w:r>
      <w:r>
        <w:rPr>
          <w:rFonts w:ascii="Times New Roman" w:hAnsi="Times New Roman"/>
          <w:sz w:val="24"/>
          <w:szCs w:val="24"/>
        </w:rPr>
        <w:fldChar w:fldCharType="begin" w:fldLock="1"/>
      </w:r>
      <w:r w:rsidR="0027650C">
        <w:rPr>
          <w:rFonts w:ascii="Times New Roman" w:hAnsi="Times New Roman"/>
          <w:sz w:val="24"/>
          <w:szCs w:val="24"/>
        </w:rPr>
        <w:instrText>ADDIN CSL_CITATION {"citationItems":[{"id":"ITEM-1","itemData":{"DOI":"10.1016/j.indcrop.2019.111948","ISSN":"09266690","author":[{"dropping-particle":"","family":"Mahomoodally","given":"Mohamad Fawzi","non-dropping-particle":"","parse-names":false,"suffix":""},{"dropping-particle":"","family":"Ugurlu","given":"Asli","non-dropping-particle":"","parse-names":false,"suffix":""},{"dropping-particle":"","family":"Llorent-Martínez","given":"Eulogio J.","non-dropping-particle":"","parse-names":false,"suffix":""},{"dropping-particle":"","family":"Nagamootoo","given":"Meenathee","non-dropping-particle":"","parse-names":false,"suffix":""},{"dropping-particle":"","family":"Picot-Allain","given":"Marie Carene Nancy","non-dropping-particle":"","parse-names":false,"suffix":""},{"dropping-particle":"","family":"Baloglu","given":"Mehmet Cengiz","non-dropping-particle":"","parse-names":false,"suffix":""},{"dropping-particle":"","family":"Altunoglu","given":"Yasemin Celik","non-dropping-particle":"","parse-names":false,"suffix":""},{"dropping-particle":"","family":"Hosenally","given":"Muzzammil","non-dropping-particle":"","parse-names":false,"suffix":""},{"dropping-particle":"","family":"Zengin","given":"Gokhan","non-dropping-particle":"","parse-names":false,"suffix":""}],"container-title":"Industrial Crops and Products","id":"ITEM-1","issue":"November","issued":{"date-parts":[["2019","11"]]},"page":"111948","publisher":"Elsevier","title":"Syzgium coriaceum Bosser &amp;amp; J. Guého—An endemic plant potentiates conventional antibiotics, inhibits clinical enzymes and induces apoptosis in breast cancer cells","type":"article-journal"},"uris":["http://www.mendeley.com/documents/?uuid=15c984c2-3b3c-47f1-9855-bdb9acef02b3"]}],"mendeley":{"formattedCitation":"(Mahomoodally et al., 2019)","manualFormatting":"Mahomoodally et al., (2019)","plainTextFormattedCitation":"(Mahomoodally et al., 2019)","previouslyFormattedCitation":"[33]"},"properties":{"noteIndex":0},"schema":"https://github.com/citation-style-language/schema/raw/master/csl-citation.json"}</w:instrText>
      </w:r>
      <w:r>
        <w:rPr>
          <w:rFonts w:ascii="Times New Roman" w:hAnsi="Times New Roman"/>
          <w:sz w:val="24"/>
          <w:szCs w:val="24"/>
        </w:rPr>
        <w:fldChar w:fldCharType="separate"/>
      </w:r>
      <w:r w:rsidRPr="00A150A2">
        <w:rPr>
          <w:rFonts w:ascii="Times New Roman" w:hAnsi="Times New Roman"/>
          <w:noProof/>
          <w:sz w:val="24"/>
          <w:szCs w:val="24"/>
        </w:rPr>
        <w:t xml:space="preserve">Mahomoodally et al., </w:t>
      </w:r>
      <w:r>
        <w:rPr>
          <w:rFonts w:ascii="Times New Roman" w:hAnsi="Times New Roman"/>
          <w:noProof/>
          <w:sz w:val="24"/>
          <w:szCs w:val="24"/>
        </w:rPr>
        <w:t>(</w:t>
      </w:r>
      <w:r w:rsidRPr="00A150A2">
        <w:rPr>
          <w:rFonts w:ascii="Times New Roman" w:hAnsi="Times New Roman"/>
          <w:noProof/>
          <w:sz w:val="24"/>
          <w:szCs w:val="24"/>
        </w:rPr>
        <w:t>2019)</w:t>
      </w:r>
      <w:r>
        <w:rPr>
          <w:rFonts w:ascii="Times New Roman" w:hAnsi="Times New Roman"/>
          <w:sz w:val="24"/>
          <w:szCs w:val="24"/>
        </w:rPr>
        <w:fldChar w:fldCharType="end"/>
      </w:r>
      <w:r>
        <w:rPr>
          <w:rFonts w:ascii="Times New Roman" w:hAnsi="Times New Roman"/>
          <w:sz w:val="24"/>
          <w:szCs w:val="24"/>
        </w:rPr>
        <w:t xml:space="preserve"> </w:t>
      </w:r>
      <w:r w:rsidRPr="00A150A2">
        <w:rPr>
          <w:rFonts w:ascii="Times New Roman" w:hAnsi="Times New Roman"/>
          <w:sz w:val="24"/>
          <w:szCs w:val="24"/>
        </w:rPr>
        <w:t xml:space="preserve">reported the level of gallic acid to be 1.3 folds higher than that of methyl gallate, in the </w:t>
      </w:r>
      <w:r w:rsidR="00830A01">
        <w:rPr>
          <w:rFonts w:ascii="Times New Roman" w:hAnsi="Times New Roman"/>
          <w:sz w:val="24"/>
          <w:szCs w:val="24"/>
        </w:rPr>
        <w:t xml:space="preserve">leaf extract of the same plant.  </w:t>
      </w:r>
      <w:r w:rsidRPr="00A150A2">
        <w:rPr>
          <w:rFonts w:ascii="Times New Roman" w:hAnsi="Times New Roman"/>
          <w:sz w:val="24"/>
          <w:szCs w:val="24"/>
        </w:rPr>
        <w:t xml:space="preserve">This variation in the ratio of gallic acid to methyl gallate may be explained by the fact that accumulation of secondary metabolites is dependent on multiple parameters including geographical differences and seasonal changes </w:t>
      </w:r>
      <w:r w:rsidRPr="00A150A2">
        <w:rPr>
          <w:rFonts w:ascii="Times New Roman" w:hAnsi="Times New Roman"/>
          <w:sz w:val="24"/>
          <w:szCs w:val="24"/>
        </w:rPr>
        <w:fldChar w:fldCharType="begin" w:fldLock="1"/>
      </w:r>
      <w:r w:rsidR="0027650C">
        <w:rPr>
          <w:rFonts w:ascii="Times New Roman" w:hAnsi="Times New Roman"/>
          <w:sz w:val="24"/>
          <w:szCs w:val="24"/>
        </w:rPr>
        <w:instrText>ADDIN CSL_CITATION {"citationItems":[{"id":"ITEM-1","itemData":{"DOI":"10.3390/molecules23040762","ISSN":"1420-3049","abstract":"Plant secondary metabolites (SMs) are not only a useful array of natural products but also an important part of plant defense system against pathogenic attacks and environmental stresses. With remarkable biological activities, plant SMs are increasingly used as medicine ingredients and food additives for therapeutic, aromatic and culinary purposes. Various genetic, ontogenic, morphogenetic and environmental factors can influence the biosynthesis and accumulation of SMs. According to the literature reports, for example, SMs accumulation is strongly dependent on a variety of environmental factors such as light, temperature, soil water, soil fertility and salinity, and for most plants, a change in an individual factor may alter the content of SMs even if other factors remain constant. Here, we review with emphasis how each of single factors to affect the accumulation of plant secondary metabolites, and conduct a comparative analysis of relevant natural products in the stressed and unstressed plants. Expectantly, this documentary review will outline a general picture of environmental factors responsible for fluctuation in plant SMs, provide a practical way to obtain consistent quality and high quantity of bioactive compounds in vegetation, and present some suggestions for future research and development.","author":[{"dropping-particle":"","family":"Yang","given":"Li","non-dropping-particle":"","parse-names":false,"suffix":""},{"dropping-particle":"","family":"Wen","given":"Kui Shan","non-dropping-particle":"","parse-names":false,"suffix":""},{"dropping-particle":"","family":"Ruan","given":"Xiao","non-dropping-particle":"","parse-names":false,"suffix":""},{"dropping-particle":"","family":"Zhao","given":"Ying Xian","non-dropping-particle":"","parse-names":false,"suffix":""},{"dropping-particle":"","family":"Wei","given":"Feng","non-dropping-particle":"","parse-names":false,"suffix":""},{"dropping-particle":"","family":"Wang","given":"Qiang","non-dropping-particle":"","parse-names":false,"suffix":""}],"container-title":"Molecules","id":"ITEM-1","issue":"4","issued":{"date-parts":[["2018","3","27"]]},"page":"762","title":"Response of Plant Secondary Metabolites to Environmental Factors","type":"article-journal","volume":"23"},"uris":["http://www.mendeley.com/documents/?uuid=e15f29aa-690e-4593-b04c-35317884ae53"]}],"mendeley":{"formattedCitation":"(Yang et al., 2018)","plainTextFormattedCitation":"(Yang et al., 2018)","previouslyFormattedCitation":"[34]"},"properties":{"noteIndex":0},"schema":"https://github.com/citation-style-language/schema/raw/master/csl-citation.json"}</w:instrText>
      </w:r>
      <w:r w:rsidRPr="00A150A2">
        <w:rPr>
          <w:rFonts w:ascii="Times New Roman" w:hAnsi="Times New Roman"/>
          <w:sz w:val="24"/>
          <w:szCs w:val="24"/>
        </w:rPr>
        <w:fldChar w:fldCharType="separate"/>
      </w:r>
      <w:r w:rsidR="0027650C" w:rsidRPr="0027650C">
        <w:rPr>
          <w:rFonts w:ascii="Times New Roman" w:hAnsi="Times New Roman"/>
          <w:noProof/>
          <w:sz w:val="24"/>
          <w:szCs w:val="24"/>
        </w:rPr>
        <w:t>(Yang et al., 2018)</w:t>
      </w:r>
      <w:r w:rsidRPr="00A150A2">
        <w:rPr>
          <w:rFonts w:ascii="Times New Roman" w:hAnsi="Times New Roman"/>
          <w:sz w:val="24"/>
          <w:szCs w:val="24"/>
        </w:rPr>
        <w:fldChar w:fldCharType="end"/>
      </w:r>
      <w:r w:rsidRPr="00A150A2">
        <w:rPr>
          <w:rFonts w:ascii="Times New Roman" w:hAnsi="Times New Roman"/>
          <w:sz w:val="24"/>
          <w:szCs w:val="24"/>
        </w:rPr>
        <w:t>. Furthermore, the yield of extracted phytochemicals is also influenced by factors including extraction techniques</w:t>
      </w:r>
      <w:r>
        <w:rPr>
          <w:rFonts w:ascii="Times New Roman" w:hAnsi="Times New Roman"/>
          <w:sz w:val="24"/>
          <w:szCs w:val="24"/>
        </w:rPr>
        <w:t xml:space="preserve"> </w:t>
      </w:r>
      <w:r w:rsidRPr="00A150A2">
        <w:rPr>
          <w:rFonts w:ascii="Times New Roman" w:hAnsi="Times New Roman"/>
          <w:sz w:val="24"/>
          <w:szCs w:val="24"/>
        </w:rPr>
        <w:t xml:space="preserve">amongst others </w:t>
      </w:r>
      <w:r w:rsidRPr="00A150A2">
        <w:rPr>
          <w:rFonts w:ascii="Times New Roman" w:hAnsi="Times New Roman"/>
          <w:sz w:val="24"/>
          <w:szCs w:val="24"/>
        </w:rPr>
        <w:fldChar w:fldCharType="begin" w:fldLock="1"/>
      </w:r>
      <w:r w:rsidR="0027650C">
        <w:rPr>
          <w:rFonts w:ascii="Times New Roman" w:hAnsi="Times New Roman"/>
          <w:sz w:val="24"/>
          <w:szCs w:val="24"/>
        </w:rPr>
        <w:instrText>ADDIN CSL_CITATION {"citationItems":[{"id":"ITEM-1","itemData":{"DOI":"10.5772/66889","abstract":"Abstract Long-haul travel does not constitute an obstacle for tourists to travel and is fast gaining the attention of tourists in new and unique experiences. This study was conducted to identify the long-haul travel motivation by international tourists to Penang. A total of 400 respondents participated in this survey, conducted around the tourist attractions in Penang, using cluster random sampling. However, only 370 questionnaires were only used for this research. Data were analysed using SPSS software 22 version. The findings, ‘knowledge and novelty seeking’ were the main push factors that drove long-haul travel by international tourists to Penang. Meanwhile, the main pull factor that attracts long- haul travel by international tourists to Penang was its ‘culture and history’. Additionally, there were partly direct and significant relationships between socio-demographic, trip characteristics and travel motivation (push factors and pull factors). Overall, this study identified the long-haul travel motivations by international tourists to Penang based on socio-demographic, trip characteristics and travel motivation and has indirectly helped in understanding the long-haul travel market particularly for Penang and Southeast Asia. This research also suggested for an effective marketing and promotion strategy in pro- viding useful information that is the key to attract international tourists to travel long distances. Keywords:","author":[{"dropping-particle":"","family":"Aires","given":"Alfredo","non-dropping-particle":"","parse-names":false,"suffix":""}],"container-title":"Phenolic Compounds - Natural Sources, Importance and Applications","id":"ITEM-1","issued":{"date-parts":[["2017"]]},"title":"Phenolics in Foods: Extraction, Analysis and Measurements","type":"article-journal"},"uris":["http://www.mendeley.com/documents/?uuid=910f7983-3e72-4c06-a661-8e0f8e4f204c"]}],"mendeley":{"formattedCitation":"(Aires, 2017)","plainTextFormattedCitation":"(Aires, 2017)","previouslyFormattedCitation":"[35]"},"properties":{"noteIndex":0},"schema":"https://github.com/citation-style-language/schema/raw/master/csl-citation.json"}</w:instrText>
      </w:r>
      <w:r w:rsidRPr="00A150A2">
        <w:rPr>
          <w:rFonts w:ascii="Times New Roman" w:hAnsi="Times New Roman"/>
          <w:sz w:val="24"/>
          <w:szCs w:val="24"/>
        </w:rPr>
        <w:fldChar w:fldCharType="separate"/>
      </w:r>
      <w:r w:rsidR="0027650C" w:rsidRPr="0027650C">
        <w:rPr>
          <w:rFonts w:ascii="Times New Roman" w:hAnsi="Times New Roman"/>
          <w:noProof/>
          <w:sz w:val="24"/>
          <w:szCs w:val="24"/>
        </w:rPr>
        <w:t>(Aires, 2017)</w:t>
      </w:r>
      <w:r w:rsidRPr="00A150A2">
        <w:rPr>
          <w:rFonts w:ascii="Times New Roman" w:hAnsi="Times New Roman"/>
          <w:sz w:val="24"/>
          <w:szCs w:val="24"/>
        </w:rPr>
        <w:fldChar w:fldCharType="end"/>
      </w:r>
      <w:r w:rsidRPr="00A150A2">
        <w:rPr>
          <w:rFonts w:ascii="Times New Roman" w:hAnsi="Times New Roman"/>
          <w:sz w:val="24"/>
          <w:szCs w:val="24"/>
        </w:rPr>
        <w:t xml:space="preserve">. </w:t>
      </w:r>
    </w:p>
    <w:p w14:paraId="4CE9CE29" w14:textId="6596C6F5" w:rsidR="004F3300" w:rsidRPr="004F3300" w:rsidRDefault="004F3300" w:rsidP="004F3300">
      <w:pPr>
        <w:spacing w:line="276" w:lineRule="auto"/>
        <w:jc w:val="both"/>
        <w:rPr>
          <w:rFonts w:ascii="Times New Roman" w:hAnsi="Times New Roman"/>
          <w:sz w:val="24"/>
          <w:szCs w:val="24"/>
        </w:rPr>
      </w:pPr>
      <w:r w:rsidRPr="004F3300">
        <w:rPr>
          <w:rFonts w:ascii="Times New Roman" w:hAnsi="Times New Roman"/>
          <w:sz w:val="24"/>
          <w:szCs w:val="24"/>
        </w:rPr>
        <w:t xml:space="preserve">The dual role of free reactive species and antioxidants in human health and disease in well-established </w:t>
      </w:r>
      <w:r w:rsidRPr="004F3300">
        <w:rPr>
          <w:rFonts w:ascii="Times New Roman" w:hAnsi="Times New Roman"/>
          <w:sz w:val="24"/>
          <w:szCs w:val="24"/>
        </w:rPr>
        <w:fldChar w:fldCharType="begin" w:fldLock="1"/>
      </w:r>
      <w:r w:rsidR="0027650C">
        <w:rPr>
          <w:rFonts w:ascii="Times New Roman" w:hAnsi="Times New Roman"/>
          <w:sz w:val="24"/>
          <w:szCs w:val="24"/>
        </w:rPr>
        <w:instrText>ADDIN CSL_CITATION {"citationItems":[{"id":"ITEM-1","itemData":{"DOI":"10.1155/2017/8416763","ISSN":"19420994","abstract":"Oxidative stress is a phenomenon caused by an imbalance between production and accumulation of oxygen reactive species (ROS) in cells and tissues and the ability of a biological system to detoxify these reactive products. ROS can play, and in fact they do it, several physiological roles (i.e., cell signaling), and they are normally generated as by-products of oxygen metabolism; despite this, environmental stressors (i.e., UV, ionizing radiations, pollutants, and heavy metals) and xenobiotics (i.e., antiblastic drugs) contribute to greatly increase ROS production, therefore causing the imbalance that leads to cell and tissue damage (oxidative stress). Several antioxidants have been exploited in recent years for their actual or supposed beneficial effect against oxidative stress, such as vitamin E, flavonoids, and polyphenols. While we tend to describe oxidative stress just as harmful for human body, it is true as well that it is exploited as a therapeutic approach to treat clinical conditions such as cancer, with a certain degree of clinical success. In this review, we will describe the most recent findings in the oxidative stress field, highlighting both its bad and good sides for human health.","author":[{"dropping-particle":"","family":"Pizzino","given":"Gabriele","non-dropping-particle":"","parse-names":false,"suffix":""},{"dropping-particle":"","family":"Irrera","given":"Natasha","non-dropping-particle":"","parse-names":false,"suffix":""},{"dropping-particle":"","family":"Cucinotta","given":"Mariapaola","non-dropping-particle":"","parse-names":false,"suffix":""},{"dropping-particle":"","family":"Pallio","given":"Giovanni","non-dropping-particle":"","parse-names":false,"suffix":""},{"dropping-particle":"","family":"Mannino","given":"Federica","non-dropping-particle":"","parse-names":false,"suffix":""},{"dropping-particle":"","family":"Arcoraci","given":"Vincenzo","non-dropping-particle":"","parse-names":false,"suffix":""},{"dropping-particle":"","family":"Squadrito","given":"Francesco","non-dropping-particle":"","parse-names":false,"suffix":""},{"dropping-particle":"","family":"Altavilla","given":"Domenica","non-dropping-particle":"","parse-names":false,"suffix":""},{"dropping-particle":"","family":"Bitto","given":"Alessandra","non-dropping-particle":"","parse-names":false,"suffix":""}],"container-title":"Oxidative Medicine and Cellular Longevity","id":"ITEM-1","issued":{"date-parts":[["2017"]]},"title":"Oxidative Stress: Harms and Benefits for Human Health","type":"article-journal","volume":"2017"},"uris":["http://www.mendeley.com/documents/?uuid=003bfc08-df41-4996-b3c8-cf28383a6b69"]},{"id":"ITEM-2","itemData":{"DOI":"10.20455/ros.2016.847","ISSN":"0017-257X","abstract":"Dolutegravir is a novel integrase strand-transfer inhibitor that displays potent in vitro activity and a remarkably different resistance profile. Its robust pharmacokinetic/pharmacodynamic properties – long plasma t1/2, high plasma inhibition quotient, and slow dissociation rate from the integrase complex – suggest it should present a high barrier to resistance development. This has been confirmed in pivotal phase III studies of initial therapy, with none out of 1,118 treated individuals selecting resistance-associated mutations at the integrase or reverse transcriptase. In integrase-naive subjects with virological failure, a rescue intervention with dolutegravir has shown significantly higher rates of virological suppression than raltegravir, as well as significantly lower rates of selection of resistance both at the integrase and against the optimized background. Unexpectedly, a mutation rarely selected in this scenario (R263K) induces a fitness cost that prevents HIV-1 from evading drug pressure, and accumulation of further secondary mutations does not occur and has not been able to compensate the replication capacity deficit in the aftermath of the appearance of a single drug resistance mutation. Therefore, both in vitro and in vivo, it leads the virus to a previously unnoticed evolutionary pathway with low chances to develop resistance to both dolutegravir and other families of antiretrovirals present in the background. This high genetic barrier to resistance development in early stages of antiretroviral treatment can help preserve future treatment options in patients who fail antiretroviral therapy. (AIDS Rev. 2015;17:56-64)","author":[{"dropping-particle":"","family":"Santo","given":"Arben","non-dropping-particle":"","parse-names":false,"suffix":""},{"dropping-particle":"","family":"Zhu","given":"Hong","non-dropping-particle":"","parse-names":false,"suffix":""},{"dropping-particle":"","family":"Li","given":"Y. Robert","non-dropping-particle":"","parse-names":false,"suffix":""}],"container-title":"Reactive Oxygen Species","id":"ITEM-2","issue":"1","issued":{"date-parts":[["2016","1","1"]]},"page":"107-118","title":"Free Radicals: From Health to Disease","type":"article-journal","volume":"5"},"uris":["http://www.mendeley.com/documents/?uuid=25e04866-bfee-4078-afc4-f2501b1fb02d"]}],"mendeley":{"formattedCitation":"(Pizzino et al., 2017; Santo et al., 2016)","plainTextFormattedCitation":"(Pizzino et al., 2017; Santo et al., 2016)","previouslyFormattedCitation":"[36,37]"},"properties":{"noteIndex":0},"schema":"https://github.com/citation-style-language/schema/raw/master/csl-citation.json"}</w:instrText>
      </w:r>
      <w:r w:rsidRPr="004F3300">
        <w:rPr>
          <w:rFonts w:ascii="Times New Roman" w:hAnsi="Times New Roman"/>
          <w:sz w:val="24"/>
          <w:szCs w:val="24"/>
        </w:rPr>
        <w:fldChar w:fldCharType="separate"/>
      </w:r>
      <w:r w:rsidR="0027650C" w:rsidRPr="0027650C">
        <w:rPr>
          <w:rFonts w:ascii="Times New Roman" w:hAnsi="Times New Roman"/>
          <w:noProof/>
          <w:sz w:val="24"/>
          <w:szCs w:val="24"/>
        </w:rPr>
        <w:t>(Pizzino et al., 2017; Santo et al., 2016)</w:t>
      </w:r>
      <w:r w:rsidRPr="004F3300">
        <w:rPr>
          <w:rFonts w:ascii="Times New Roman" w:hAnsi="Times New Roman"/>
          <w:sz w:val="24"/>
          <w:szCs w:val="24"/>
        </w:rPr>
        <w:fldChar w:fldCharType="end"/>
      </w:r>
      <w:r w:rsidRPr="004F3300">
        <w:rPr>
          <w:rFonts w:ascii="Times New Roman" w:hAnsi="Times New Roman"/>
          <w:sz w:val="24"/>
          <w:szCs w:val="24"/>
        </w:rPr>
        <w:t xml:space="preserve">. Owing to their structural diversities,  polyphenolics </w:t>
      </w:r>
      <w:r w:rsidR="000B6A83">
        <w:rPr>
          <w:rFonts w:ascii="Times New Roman" w:hAnsi="Times New Roman"/>
          <w:sz w:val="24"/>
          <w:szCs w:val="24"/>
        </w:rPr>
        <w:t>can</w:t>
      </w:r>
      <w:r w:rsidRPr="004F3300">
        <w:rPr>
          <w:rFonts w:ascii="Times New Roman" w:hAnsi="Times New Roman"/>
          <w:sz w:val="24"/>
          <w:szCs w:val="24"/>
        </w:rPr>
        <w:t xml:space="preserve"> act as potent antioxidants through an array of mechanisms </w:t>
      </w:r>
      <w:r w:rsidRPr="004F3300">
        <w:rPr>
          <w:rFonts w:ascii="Times New Roman" w:hAnsi="Times New Roman"/>
          <w:sz w:val="24"/>
          <w:szCs w:val="24"/>
        </w:rPr>
        <w:fldChar w:fldCharType="begin" w:fldLock="1"/>
      </w:r>
      <w:r w:rsidR="0027650C">
        <w:rPr>
          <w:rFonts w:ascii="Times New Roman" w:hAnsi="Times New Roman"/>
          <w:sz w:val="24"/>
          <w:szCs w:val="24"/>
        </w:rPr>
        <w:instrText>ADDIN CSL_CITATION {"citationItems":[{"id":"ITEM-1","itemData":{"DOI":"10.1021/jf030723c","ISBN":"0021-8561","ISSN":"0021-8561","PMID":"15769103","abstract":"This review summarizes the multifaceted aspects of antioxidants and the basic kinetic models of inhibited autoxidation and analyzes the chemical principles of antioxidant capacity assays. Depending upon the reactions involved, these assays can roughly be classified into two types: assays based on hydrogen atom transfer (HAT) reactions and assays based on electron transfer (ET). The majority of HAT-based assays apply a competitive reaction scheme, in which antioxidant and substrate compete for thermally generated peroxyl radicals through the decomposition of azo compounds. These assays include inhibition of induced low-density lipoprotein autoxidation, oxygen radical absorbance capacity (ORAC), total radical trapping antioxidant parameter (TRAP), and crocin bleaching assays. ET-based assays measure the capacity of an antioxidant in the reduction of an oxidant, which changes color when reduced. The degree of color change is correlated with the sample's antioxidant concentrations. ET-based assays include the total phenols assay by Folin-Ciocalteu reagent (FCR), Trolox equivalence antioxidant capacity (TEAC), ferric ion reducing antioxidant power (FRAP), \"total antioxidant potential\" assay using a Cu(II) complex as an oxidant, and DPPH. In addition, other assays intended to measure a sample's scavenging capacity of biologically relevant oxidants such as singlet oxygen, superoxide anion, peroxynitrite, and hydroxyl radical are also summarized. On the basis of this analysis, it is suggested that the total phenols assay by FCR be used to quantify an antioxidant's reducing capacity and the ORAC assay to quantify peroxyl radical scavenging capacity. To comprehensively study different aspects of antioxidants, validated and specific assays are needed in addition to these two commonly accepted assays.","author":[{"dropping-particle":"","family":"Huang","given":"Dejian","non-dropping-particle":"","parse-names":false,"suffix":""},{"dropping-particle":"","family":"Ou","given":"Boxin","non-dropping-particle":"","parse-names":false,"suffix":""},{"dropping-particle":"","family":"Prior","given":"Ronald L.","non-dropping-particle":"","parse-names":false,"suffix":""}],"container-title":"Journal of Agricultural and Food Chemistry","id":"ITEM-1","issue":"6","issued":{"date-parts":[["2005","3"]]},"page":"1841-1856","title":"The chemistry behind antioxidant capacity assays","type":"article-journal","volume":"53"},"uris":["http://www.mendeley.com/documents/?uuid=e5c77e6b-7ca9-466a-b147-963d3162bb5e"]}],"mendeley":{"formattedCitation":"(Huang et al., 2005)","plainTextFormattedCitation":"(Huang et al., 2005)","previouslyFormattedCitation":"[38]"},"properties":{"noteIndex":0},"schema":"https://github.com/citation-style-language/schema/raw/master/csl-citation.json"}</w:instrText>
      </w:r>
      <w:r w:rsidRPr="004F3300">
        <w:rPr>
          <w:rFonts w:ascii="Times New Roman" w:hAnsi="Times New Roman"/>
          <w:sz w:val="24"/>
          <w:szCs w:val="24"/>
        </w:rPr>
        <w:fldChar w:fldCharType="separate"/>
      </w:r>
      <w:r w:rsidR="0027650C" w:rsidRPr="0027650C">
        <w:rPr>
          <w:rFonts w:ascii="Times New Roman" w:hAnsi="Times New Roman"/>
          <w:noProof/>
          <w:sz w:val="24"/>
          <w:szCs w:val="24"/>
        </w:rPr>
        <w:t>(Huang et al., 2005)</w:t>
      </w:r>
      <w:r w:rsidRPr="004F3300">
        <w:rPr>
          <w:rFonts w:ascii="Times New Roman" w:hAnsi="Times New Roman"/>
          <w:sz w:val="24"/>
          <w:szCs w:val="24"/>
        </w:rPr>
        <w:fldChar w:fldCharType="end"/>
      </w:r>
      <w:r w:rsidRPr="004F3300">
        <w:rPr>
          <w:rFonts w:ascii="Times New Roman" w:hAnsi="Times New Roman"/>
          <w:sz w:val="24"/>
          <w:szCs w:val="24"/>
        </w:rPr>
        <w:t xml:space="preserve">. Thus, a multiplicity of </w:t>
      </w:r>
      <w:r w:rsidR="00620CBE">
        <w:rPr>
          <w:rFonts w:ascii="Times New Roman" w:hAnsi="Times New Roman"/>
          <w:i/>
          <w:sz w:val="24"/>
          <w:szCs w:val="24"/>
        </w:rPr>
        <w:t>in vitro</w:t>
      </w:r>
      <w:r w:rsidRPr="004F3300">
        <w:rPr>
          <w:rFonts w:ascii="Times New Roman" w:hAnsi="Times New Roman"/>
          <w:sz w:val="24"/>
          <w:szCs w:val="24"/>
        </w:rPr>
        <w:t xml:space="preserve"> antioxidant assays was used to comprehensively gauge the antioxidant capacities of the </w:t>
      </w:r>
      <w:r w:rsidR="00E31225">
        <w:rPr>
          <w:rFonts w:ascii="Times New Roman" w:hAnsi="Times New Roman"/>
          <w:sz w:val="24"/>
          <w:szCs w:val="24"/>
        </w:rPr>
        <w:t>extracts</w:t>
      </w:r>
      <w:r w:rsidRPr="004F3300">
        <w:rPr>
          <w:rFonts w:ascii="Times New Roman" w:hAnsi="Times New Roman"/>
          <w:sz w:val="24"/>
          <w:szCs w:val="24"/>
        </w:rPr>
        <w:t xml:space="preserve"> under investigation. The experimental data revealed that </w:t>
      </w:r>
      <w:proofErr w:type="spellStart"/>
      <w:r w:rsidRPr="004F3300">
        <w:rPr>
          <w:rFonts w:ascii="Times New Roman" w:hAnsi="Times New Roman"/>
          <w:i/>
          <w:sz w:val="24"/>
          <w:szCs w:val="24"/>
        </w:rPr>
        <w:t>Syzygium</w:t>
      </w:r>
      <w:proofErr w:type="spellEnd"/>
      <w:r w:rsidRPr="004F3300">
        <w:rPr>
          <w:rFonts w:ascii="Times New Roman" w:hAnsi="Times New Roman"/>
          <w:i/>
          <w:sz w:val="24"/>
          <w:szCs w:val="24"/>
        </w:rPr>
        <w:t xml:space="preserve"> </w:t>
      </w:r>
      <w:proofErr w:type="spellStart"/>
      <w:r w:rsidRPr="004F3300">
        <w:rPr>
          <w:rFonts w:ascii="Times New Roman" w:hAnsi="Times New Roman"/>
          <w:i/>
          <w:sz w:val="24"/>
          <w:szCs w:val="24"/>
        </w:rPr>
        <w:t>coriaceum</w:t>
      </w:r>
      <w:proofErr w:type="spellEnd"/>
      <w:r w:rsidRPr="004F3300">
        <w:rPr>
          <w:rFonts w:ascii="Times New Roman" w:hAnsi="Times New Roman"/>
          <w:sz w:val="24"/>
          <w:szCs w:val="24"/>
        </w:rPr>
        <w:t xml:space="preserve"> exhibited the most potent antioxidant potential in terms of FRAP, iron chelating and free radical scavenging activities (Table 1).</w:t>
      </w:r>
    </w:p>
    <w:p w14:paraId="4096DDBA" w14:textId="34397B16" w:rsidR="004F3300" w:rsidRDefault="004F3300" w:rsidP="004F3300">
      <w:pPr>
        <w:spacing w:line="276" w:lineRule="auto"/>
        <w:jc w:val="both"/>
        <w:rPr>
          <w:rFonts w:ascii="Times New Roman" w:hAnsi="Times New Roman"/>
          <w:sz w:val="24"/>
          <w:szCs w:val="24"/>
        </w:rPr>
      </w:pPr>
      <w:r w:rsidRPr="004F3300">
        <w:rPr>
          <w:rFonts w:ascii="Times New Roman" w:hAnsi="Times New Roman"/>
          <w:sz w:val="24"/>
          <w:szCs w:val="24"/>
        </w:rPr>
        <w:t xml:space="preserve">Given the involvement of oxidative stress in the multistage carcinogenic process </w:t>
      </w:r>
      <w:r w:rsidRPr="004F3300">
        <w:rPr>
          <w:rFonts w:ascii="Times New Roman" w:hAnsi="Times New Roman"/>
          <w:sz w:val="24"/>
          <w:szCs w:val="24"/>
        </w:rPr>
        <w:fldChar w:fldCharType="begin" w:fldLock="1"/>
      </w:r>
      <w:r w:rsidR="0027650C">
        <w:rPr>
          <w:rFonts w:ascii="Times New Roman" w:hAnsi="Times New Roman"/>
          <w:sz w:val="24"/>
          <w:szCs w:val="24"/>
        </w:rPr>
        <w:instrText>ADDIN CSL_CITATION {"citationItems":[{"id":"ITEM-1","itemData":{"DOI":"10.1002/iub.61","author":[{"dropping-particle":"","family":"Toyokuni","given":"Shinya","non-dropping-particle":"","parse-names":false,"suffix":""}],"container-title":"IUBMB Life","id":"ITEM-1","issue":"7","issued":{"date-parts":[["2008"]]},"page":"441-447","title":"Molecular mechanisms of oxidative stress-induced carcinogenesis : from epidemiology to oIUMB xygenomics","type":"article-journal","volume":"60"},"uris":["http://www.mendeley.com/documents/?uuid=c531e280-94c1-4592-9796-341572a86e31"]}],"mendeley":{"formattedCitation":"(Toyokuni, 2008)","plainTextFormattedCitation":"(Toyokuni, 2008)","previouslyFormattedCitation":"[39]"},"properties":{"noteIndex":0},"schema":"https://github.com/citation-style-language/schema/raw/master/csl-citation.json"}</w:instrText>
      </w:r>
      <w:r w:rsidRPr="004F3300">
        <w:rPr>
          <w:rFonts w:ascii="Times New Roman" w:hAnsi="Times New Roman"/>
          <w:sz w:val="24"/>
          <w:szCs w:val="24"/>
        </w:rPr>
        <w:fldChar w:fldCharType="separate"/>
      </w:r>
      <w:r w:rsidR="0027650C" w:rsidRPr="0027650C">
        <w:rPr>
          <w:rFonts w:ascii="Times New Roman" w:hAnsi="Times New Roman"/>
          <w:noProof/>
          <w:sz w:val="24"/>
          <w:szCs w:val="24"/>
        </w:rPr>
        <w:t>(Toyokuni, 2008)</w:t>
      </w:r>
      <w:r w:rsidRPr="004F3300">
        <w:rPr>
          <w:rFonts w:ascii="Times New Roman" w:hAnsi="Times New Roman"/>
          <w:sz w:val="24"/>
          <w:szCs w:val="24"/>
        </w:rPr>
        <w:fldChar w:fldCharType="end"/>
      </w:r>
      <w:r w:rsidRPr="004F3300">
        <w:rPr>
          <w:rFonts w:ascii="Times New Roman" w:hAnsi="Times New Roman"/>
          <w:sz w:val="24"/>
          <w:szCs w:val="24"/>
        </w:rPr>
        <w:t>, substances with potent antioxidant capacity are expected to prevent or halt the progression of cancer cells, as well as mitigating chemotherapy</w:t>
      </w:r>
      <w:r w:rsidR="000B6A83">
        <w:rPr>
          <w:rFonts w:ascii="Times New Roman" w:hAnsi="Times New Roman"/>
          <w:sz w:val="24"/>
          <w:szCs w:val="24"/>
        </w:rPr>
        <w:t>-</w:t>
      </w:r>
      <w:r w:rsidRPr="004F3300">
        <w:rPr>
          <w:rFonts w:ascii="Times New Roman" w:hAnsi="Times New Roman"/>
          <w:sz w:val="24"/>
          <w:szCs w:val="24"/>
        </w:rPr>
        <w:t xml:space="preserve">induced adverse effects </w:t>
      </w:r>
      <w:r w:rsidRPr="004F3300">
        <w:rPr>
          <w:rFonts w:ascii="Times New Roman" w:hAnsi="Times New Roman"/>
          <w:sz w:val="24"/>
          <w:szCs w:val="24"/>
        </w:rPr>
        <w:fldChar w:fldCharType="begin" w:fldLock="1"/>
      </w:r>
      <w:r w:rsidR="0027650C">
        <w:rPr>
          <w:rFonts w:ascii="Times New Roman" w:hAnsi="Times New Roman"/>
          <w:sz w:val="24"/>
          <w:szCs w:val="24"/>
        </w:rPr>
        <w:instrText>ADDIN CSL_CITATION {"citationItems":[{"id":"ITEM-1","itemData":{"DOI":"10.1016/j.jsps.2017.12.013","ISSN":"13190164","abstract":"Cancer is the leading cause of mortality worldwide, accounting for almost 13% of deaths in the world. Among the conventional cancer treatments, chemotherapy is most frequently carried out to treat malignant cancer rather than localised lesions which is amenable to surgery and radiotherapy. However, anticancer drugs are associated with a plethora of side effects. Each drug, within every class, has its own set of adverse reactions which may cause patient incompliance and deterioration of the quality of life. One of the major causes of adverse reactions, especially for drugs targeting DNA, is the excessive production of reactive oxygen species (ROS) and subsequent build up of oxidative stress. To curb these undesired side effects, several dietary supplements have been tested, amongst which antioxidants have gained increasing popularity as adjuvant in chemotherapy. However, many oncologists discourage the use of antioxidant rich food supplements because these may interfere with the modalities which kill cancer by generating free radicals. In the present review, all studies reporting concomitant use of several antioxidants with chemotherapy are indiscriminately included and discussed impartially. The effect of supplementation of thirteen different antioxidants and their analogues as a single agent or in combination with chemotherapy has been compiled in this article. The present review encompasses a total of 174 peer-reviewed original articles from 1967 till date comprising 93 clinical trials with a cumulative number of 18,208 patients, 56 animal studies and 35 in vitro studies. Our comprehensive data suggests that antioxidant has superior potential of ameliorating chemotherapeutic induced toxicity. Antioxidant supplementation during chemotherapy also promises higher therapeutic efficiency and increased survival times in patients.","author":[{"dropping-particle":"","family":"Singh","given":"Kanchanlata","non-dropping-particle":"","parse-names":false,"suffix":""},{"dropping-particle":"","family":"Bhori","given":"Mustansir","non-dropping-particle":"","parse-names":false,"suffix":""},{"dropping-particle":"","family":"Kasu","given":"Yasar Arfat","non-dropping-particle":"","parse-names":false,"suffix":""},{"dropping-particle":"","family":"Bhat","given":"Ganapathi","non-dropping-particle":"","parse-names":false,"suffix":""},{"dropping-particle":"","family":"Marar","given":"Thankamani","non-dropping-particle":"","parse-names":false,"suffix":""}],"container-title":"Saudi Pharmaceutical Journal","id":"ITEM-1","issue":"2","issued":{"date-parts":[["2018","2"]]},"page":"177-190","publisher":"King Saud University","title":"Antioxidants as precision weapons in war against cancer chemotherapy induced toxicity – Exploring the armoury of obscurity","type":"article-journal","volume":"26"},"uris":["http://www.mendeley.com/documents/?uuid=bc3cf76b-0771-4693-ad6f-92c53f585850"]}],"mendeley":{"formattedCitation":"(Singh et al., 2018)","plainTextFormattedCitation":"(Singh et al., 2018)","previouslyFormattedCitation":"[40]"},"properties":{"noteIndex":0},"schema":"https://github.com/citation-style-language/schema/raw/master/csl-citation.json"}</w:instrText>
      </w:r>
      <w:r w:rsidRPr="004F3300">
        <w:rPr>
          <w:rFonts w:ascii="Times New Roman" w:hAnsi="Times New Roman"/>
          <w:sz w:val="24"/>
          <w:szCs w:val="24"/>
        </w:rPr>
        <w:fldChar w:fldCharType="separate"/>
      </w:r>
      <w:r w:rsidR="0027650C" w:rsidRPr="0027650C">
        <w:rPr>
          <w:rFonts w:ascii="Times New Roman" w:hAnsi="Times New Roman"/>
          <w:noProof/>
          <w:sz w:val="24"/>
          <w:szCs w:val="24"/>
        </w:rPr>
        <w:t>(Singh et al., 2018)</w:t>
      </w:r>
      <w:r w:rsidRPr="004F3300">
        <w:rPr>
          <w:rFonts w:ascii="Times New Roman" w:hAnsi="Times New Roman"/>
          <w:sz w:val="24"/>
          <w:szCs w:val="24"/>
        </w:rPr>
        <w:fldChar w:fldCharType="end"/>
      </w:r>
      <w:r w:rsidRPr="004F3300">
        <w:rPr>
          <w:rFonts w:ascii="Times New Roman" w:hAnsi="Times New Roman"/>
          <w:sz w:val="24"/>
          <w:szCs w:val="24"/>
        </w:rPr>
        <w:t xml:space="preserve">. While the cancer cell cytotoxicity of the endemic </w:t>
      </w:r>
      <w:r w:rsidRPr="004F3300">
        <w:rPr>
          <w:rFonts w:ascii="Times New Roman" w:hAnsi="Times New Roman"/>
          <w:i/>
          <w:sz w:val="24"/>
          <w:szCs w:val="24"/>
        </w:rPr>
        <w:t xml:space="preserve">S. </w:t>
      </w:r>
      <w:proofErr w:type="spellStart"/>
      <w:r w:rsidRPr="004F3300">
        <w:rPr>
          <w:rFonts w:ascii="Times New Roman" w:hAnsi="Times New Roman"/>
          <w:i/>
          <w:sz w:val="24"/>
          <w:szCs w:val="24"/>
        </w:rPr>
        <w:t>coriaceum</w:t>
      </w:r>
      <w:proofErr w:type="spellEnd"/>
      <w:r w:rsidRPr="004F3300">
        <w:rPr>
          <w:rFonts w:ascii="Times New Roman" w:hAnsi="Times New Roman"/>
          <w:sz w:val="24"/>
          <w:szCs w:val="24"/>
        </w:rPr>
        <w:t xml:space="preserve"> is investigated for the first time, other species from the same genus </w:t>
      </w:r>
      <w:r w:rsidR="00620CBE" w:rsidRPr="00620CBE">
        <w:rPr>
          <w:rFonts w:ascii="Times New Roman" w:hAnsi="Times New Roman"/>
          <w:color w:val="00B050"/>
          <w:sz w:val="24"/>
          <w:szCs w:val="24"/>
        </w:rPr>
        <w:t>are</w:t>
      </w:r>
      <w:r w:rsidRPr="00620CBE">
        <w:rPr>
          <w:rFonts w:ascii="Times New Roman" w:hAnsi="Times New Roman"/>
          <w:color w:val="00B050"/>
          <w:sz w:val="24"/>
          <w:szCs w:val="24"/>
        </w:rPr>
        <w:t xml:space="preserve"> reported </w:t>
      </w:r>
      <w:r w:rsidRPr="004F3300">
        <w:rPr>
          <w:rFonts w:ascii="Times New Roman" w:hAnsi="Times New Roman"/>
          <w:sz w:val="24"/>
          <w:szCs w:val="24"/>
        </w:rPr>
        <w:t xml:space="preserve">to suppress the growth of cancer cells </w:t>
      </w:r>
      <w:r w:rsidRPr="004F3300">
        <w:rPr>
          <w:rFonts w:ascii="Times New Roman" w:hAnsi="Times New Roman"/>
          <w:sz w:val="24"/>
          <w:szCs w:val="24"/>
        </w:rPr>
        <w:fldChar w:fldCharType="begin" w:fldLock="1"/>
      </w:r>
      <w:r w:rsidR="0027650C">
        <w:rPr>
          <w:rFonts w:ascii="Times New Roman" w:hAnsi="Times New Roman"/>
          <w:sz w:val="24"/>
          <w:szCs w:val="24"/>
        </w:rPr>
        <w:instrText>ADDIN CSL_CITATION {"citationItems":[{"id":"ITEM-1","itemData":{"DOI":"10.1007/s11130-018-0704-z","ISSN":"0921-9668","abstract":"Cancer is a preventable and treatable disease, however, the incidence rates are on the rise. Classical treatment modalities for cancer include surgery, radiotherapy and chemotherapy. However, these are associated with detrimental side effects such as nausea and emesis. Therefore, researchers currently vest interest in complementary and alternative medicines for cancer treatment and prevention. Plants such as Syzygium sp. are a common basis of complementary medicines due to its abundance of bioactive phytochemicals. Numerous natural compounds derived from Syzygium sp., such as phenolics, oleanolic acids, and betulinic acids, and dimethyl cardamonins, were reported to have anticancer effects. Many possess the ability to inhibit cell proliferation and induce apoptosis. In this review, we discuss the vast potential Syzygium sp. harbours as a source of anticancer natural compounds due to its abundance, easy acceptability, affordability and safety for regular consumption.","author":[{"dropping-particle":"","family":"Chua","given":"Lee Kee","non-dropping-particle":"","parse-names":false,"suffix":""},{"dropping-particle":"","family":"Lim","given":"Chooi Ling","non-dropping-particle":"","parse-names":false,"suffix":""},{"dropping-particle":"","family":"Ling","given":"Anna Pick Kiong","non-dropping-particle":"","parse-names":false,"suffix":""},{"dropping-particle":"","family":"Chye","given":"Soi Moi","non-dropping-particle":"","parse-names":false,"suffix":""},{"dropping-particle":"","family":"Koh","given":"Rhun Yian","non-dropping-particle":"","parse-names":false,"suffix":""}],"container-title":"Plant Foods for Human Nutrition","id":"ITEM-1","issue":"1","issued":{"date-parts":[["2019","3","10"]]},"page":"18-27","publisher":"Plant Foods for Human Nutrition","title":"Anticancer Potential of Syzygium Species: a Review","type":"article-journal","volume":"74"},"uris":["http://www.mendeley.com/documents/?uuid=3732c021-ca3b-4388-aa7c-b272ec6f9793"]}],"mendeley":{"formattedCitation":"(Chua et al., 2019)","plainTextFormattedCitation":"(Chua et al., 2019)","previouslyFormattedCitation":"[7]"},"properties":{"noteIndex":0},"schema":"https://github.com/citation-style-language/schema/raw/master/csl-citation.json"}</w:instrText>
      </w:r>
      <w:r w:rsidRPr="004F3300">
        <w:rPr>
          <w:rFonts w:ascii="Times New Roman" w:hAnsi="Times New Roman"/>
          <w:sz w:val="24"/>
          <w:szCs w:val="24"/>
        </w:rPr>
        <w:fldChar w:fldCharType="separate"/>
      </w:r>
      <w:r w:rsidR="0027650C" w:rsidRPr="0027650C">
        <w:rPr>
          <w:rFonts w:ascii="Times New Roman" w:hAnsi="Times New Roman"/>
          <w:noProof/>
          <w:sz w:val="24"/>
          <w:szCs w:val="24"/>
        </w:rPr>
        <w:t>(Chua et al., 2019)</w:t>
      </w:r>
      <w:r w:rsidRPr="004F3300">
        <w:rPr>
          <w:rFonts w:ascii="Times New Roman" w:hAnsi="Times New Roman"/>
          <w:sz w:val="24"/>
          <w:szCs w:val="24"/>
        </w:rPr>
        <w:fldChar w:fldCharType="end"/>
      </w:r>
      <w:r w:rsidRPr="004F3300">
        <w:rPr>
          <w:rFonts w:ascii="Times New Roman" w:hAnsi="Times New Roman"/>
          <w:sz w:val="24"/>
          <w:szCs w:val="24"/>
        </w:rPr>
        <w:t xml:space="preserve">. In the present study, the viability of SW872, A549 and HepG2 cell lines was observed to decrease in a general dose-dependent manner following 48-hours treatment with </w:t>
      </w:r>
      <w:r w:rsidRPr="004F3300">
        <w:rPr>
          <w:rFonts w:ascii="Times New Roman" w:hAnsi="Times New Roman"/>
          <w:i/>
          <w:sz w:val="24"/>
          <w:szCs w:val="24"/>
        </w:rPr>
        <w:t xml:space="preserve">S. </w:t>
      </w:r>
      <w:proofErr w:type="spellStart"/>
      <w:r w:rsidRPr="004F3300">
        <w:rPr>
          <w:rFonts w:ascii="Times New Roman" w:hAnsi="Times New Roman"/>
          <w:i/>
          <w:sz w:val="24"/>
          <w:szCs w:val="24"/>
        </w:rPr>
        <w:t>coriaceum</w:t>
      </w:r>
      <w:proofErr w:type="spellEnd"/>
      <w:r w:rsidRPr="004F3300">
        <w:rPr>
          <w:rFonts w:ascii="Times New Roman" w:hAnsi="Times New Roman"/>
          <w:i/>
          <w:sz w:val="24"/>
          <w:szCs w:val="24"/>
        </w:rPr>
        <w:t xml:space="preserve"> </w:t>
      </w:r>
      <w:r w:rsidRPr="004F3300">
        <w:rPr>
          <w:rFonts w:ascii="Times New Roman" w:hAnsi="Times New Roman"/>
          <w:sz w:val="24"/>
          <w:szCs w:val="24"/>
        </w:rPr>
        <w:t>(Table 2). However, the cytotoxicity was more selective towards HepG2 cells (</w:t>
      </w:r>
      <w:r w:rsidRPr="006A3869">
        <w:rPr>
          <w:rFonts w:ascii="Times New Roman" w:hAnsi="Times New Roman"/>
          <w:i/>
          <w:sz w:val="24"/>
          <w:szCs w:val="24"/>
        </w:rPr>
        <w:t>I</w:t>
      </w:r>
      <w:r w:rsidR="00FD59AC" w:rsidRPr="006A3869">
        <w:rPr>
          <w:rFonts w:ascii="Times New Roman" w:hAnsi="Times New Roman"/>
          <w:i/>
          <w:sz w:val="24"/>
          <w:szCs w:val="24"/>
        </w:rPr>
        <w:t>C</w:t>
      </w:r>
      <w:r w:rsidR="00FD59AC" w:rsidRPr="006A3869">
        <w:rPr>
          <w:rFonts w:ascii="Times New Roman" w:hAnsi="Times New Roman"/>
          <w:i/>
          <w:sz w:val="24"/>
          <w:szCs w:val="24"/>
          <w:vertAlign w:val="subscript"/>
        </w:rPr>
        <w:t>50</w:t>
      </w:r>
      <w:r w:rsidR="00FD59AC">
        <w:rPr>
          <w:rFonts w:ascii="Times New Roman" w:hAnsi="Times New Roman"/>
          <w:sz w:val="24"/>
          <w:szCs w:val="24"/>
        </w:rPr>
        <w:t xml:space="preserve"> value of 24.2 ± 2.8</w:t>
      </w:r>
      <w:r w:rsidRPr="004F3300">
        <w:rPr>
          <w:rFonts w:ascii="Times New Roman" w:hAnsi="Times New Roman"/>
          <w:sz w:val="24"/>
          <w:szCs w:val="24"/>
        </w:rPr>
        <w:t xml:space="preserve"> µg/ml). This highlights the promising cytotoxic activity of the extract against HepG2 cells and call</w:t>
      </w:r>
      <w:r w:rsidR="000B6A83">
        <w:rPr>
          <w:rFonts w:ascii="Times New Roman" w:hAnsi="Times New Roman"/>
          <w:sz w:val="24"/>
          <w:szCs w:val="24"/>
        </w:rPr>
        <w:t>s</w:t>
      </w:r>
      <w:r w:rsidRPr="004F3300">
        <w:rPr>
          <w:rFonts w:ascii="Times New Roman" w:hAnsi="Times New Roman"/>
          <w:sz w:val="24"/>
          <w:szCs w:val="24"/>
        </w:rPr>
        <w:t xml:space="preserve"> for further </w:t>
      </w:r>
      <w:r w:rsidR="002D1A5A">
        <w:rPr>
          <w:rFonts w:ascii="Times New Roman" w:hAnsi="Times New Roman"/>
          <w:sz w:val="24"/>
          <w:szCs w:val="24"/>
        </w:rPr>
        <w:t xml:space="preserve">identifying </w:t>
      </w:r>
      <w:r w:rsidRPr="004F3300">
        <w:rPr>
          <w:rFonts w:ascii="Times New Roman" w:hAnsi="Times New Roman"/>
          <w:sz w:val="24"/>
          <w:szCs w:val="24"/>
        </w:rPr>
        <w:t xml:space="preserve">the active components for proper assessments of their chemotherapeutic properties. </w:t>
      </w:r>
      <w:r w:rsidR="002D1A5A">
        <w:rPr>
          <w:rFonts w:ascii="Times New Roman" w:hAnsi="Times New Roman"/>
          <w:sz w:val="24"/>
          <w:szCs w:val="24"/>
        </w:rPr>
        <w:t>Hence, the MTT-</w:t>
      </w:r>
      <w:r w:rsidRPr="004F3300">
        <w:rPr>
          <w:rFonts w:ascii="Times New Roman" w:hAnsi="Times New Roman"/>
          <w:sz w:val="24"/>
          <w:szCs w:val="24"/>
        </w:rPr>
        <w:t xml:space="preserve">guided fractionation of the total extract revealed </w:t>
      </w:r>
      <w:r w:rsidR="00A150A2">
        <w:rPr>
          <w:rFonts w:ascii="Times New Roman" w:hAnsi="Times New Roman"/>
          <w:sz w:val="24"/>
          <w:szCs w:val="24"/>
        </w:rPr>
        <w:lastRenderedPageBreak/>
        <w:t xml:space="preserve">gallic acid and </w:t>
      </w:r>
      <w:r w:rsidRPr="004F3300">
        <w:rPr>
          <w:rFonts w:ascii="Times New Roman" w:hAnsi="Times New Roman"/>
          <w:sz w:val="24"/>
          <w:szCs w:val="24"/>
        </w:rPr>
        <w:t xml:space="preserve">methyl gallate as prominent phenolic contributing to </w:t>
      </w:r>
      <w:r w:rsidRPr="004F3300">
        <w:rPr>
          <w:rFonts w:ascii="Times New Roman" w:hAnsi="Times New Roman"/>
          <w:i/>
          <w:sz w:val="24"/>
          <w:szCs w:val="24"/>
        </w:rPr>
        <w:t xml:space="preserve">S. </w:t>
      </w:r>
      <w:proofErr w:type="spellStart"/>
      <w:r w:rsidRPr="004F3300">
        <w:rPr>
          <w:rFonts w:ascii="Times New Roman" w:hAnsi="Times New Roman"/>
          <w:i/>
          <w:sz w:val="24"/>
          <w:szCs w:val="24"/>
        </w:rPr>
        <w:t>coriaceum</w:t>
      </w:r>
      <w:proofErr w:type="spellEnd"/>
      <w:r w:rsidRPr="004F3300">
        <w:rPr>
          <w:rFonts w:ascii="Times New Roman" w:hAnsi="Times New Roman"/>
          <w:sz w:val="24"/>
          <w:szCs w:val="24"/>
        </w:rPr>
        <w:t xml:space="preserve"> leaf extract induced cytotoxicity in HepG2 cells. </w:t>
      </w:r>
    </w:p>
    <w:p w14:paraId="76C4F272" w14:textId="68158722" w:rsidR="004F3300" w:rsidRDefault="006A3869" w:rsidP="00E339CC">
      <w:pPr>
        <w:spacing w:line="276" w:lineRule="auto"/>
        <w:jc w:val="both"/>
        <w:rPr>
          <w:rFonts w:ascii="Times New Roman" w:hAnsi="Times New Roman"/>
          <w:sz w:val="24"/>
          <w:szCs w:val="24"/>
        </w:rPr>
      </w:pPr>
      <w:r w:rsidRPr="006B10CD">
        <w:rPr>
          <w:rFonts w:ascii="Times New Roman" w:hAnsi="Times New Roman"/>
          <w:sz w:val="24"/>
          <w:szCs w:val="24"/>
        </w:rPr>
        <w:t>The cytotoxicity of both gallic acid and methyl gallate</w:t>
      </w:r>
      <w:r>
        <w:rPr>
          <w:rFonts w:ascii="Times New Roman" w:hAnsi="Times New Roman"/>
          <w:sz w:val="24"/>
          <w:szCs w:val="24"/>
        </w:rPr>
        <w:t xml:space="preserve"> </w:t>
      </w:r>
      <w:r w:rsidRPr="006B10CD">
        <w:rPr>
          <w:rFonts w:ascii="Times New Roman" w:hAnsi="Times New Roman"/>
          <w:sz w:val="24"/>
          <w:szCs w:val="24"/>
        </w:rPr>
        <w:t xml:space="preserve">against HepG2 </w:t>
      </w:r>
      <w:r w:rsidR="00620CBE" w:rsidRPr="00620CBE">
        <w:rPr>
          <w:rFonts w:ascii="Times New Roman" w:hAnsi="Times New Roman"/>
          <w:color w:val="00B050"/>
          <w:sz w:val="24"/>
          <w:szCs w:val="24"/>
        </w:rPr>
        <w:t>was</w:t>
      </w:r>
      <w:r w:rsidR="00620CBE">
        <w:rPr>
          <w:rFonts w:ascii="Times New Roman" w:hAnsi="Times New Roman"/>
          <w:sz w:val="24"/>
          <w:szCs w:val="24"/>
        </w:rPr>
        <w:t xml:space="preserve"> </w:t>
      </w:r>
      <w:r w:rsidRPr="006B10CD">
        <w:rPr>
          <w:rFonts w:ascii="Times New Roman" w:hAnsi="Times New Roman"/>
          <w:sz w:val="24"/>
          <w:szCs w:val="24"/>
        </w:rPr>
        <w:t>previously</w:t>
      </w:r>
      <w:r w:rsidRPr="00620CBE">
        <w:rPr>
          <w:rFonts w:ascii="Times New Roman" w:hAnsi="Times New Roman"/>
          <w:color w:val="00B050"/>
          <w:sz w:val="24"/>
          <w:szCs w:val="24"/>
        </w:rPr>
        <w:t xml:space="preserve"> reported.</w:t>
      </w:r>
      <w:r w:rsidRPr="006B10CD">
        <w:rPr>
          <w:rFonts w:ascii="Times New Roman" w:hAnsi="Times New Roman"/>
          <w:sz w:val="24"/>
          <w:szCs w:val="24"/>
        </w:rPr>
        <w:t xml:space="preserve"> Using similar experimental conditions, Sun et</w:t>
      </w:r>
      <w:r w:rsidRPr="006B10CD">
        <w:rPr>
          <w:rFonts w:ascii="Times New Roman" w:hAnsi="Times New Roman"/>
          <w:i/>
          <w:sz w:val="24"/>
          <w:szCs w:val="24"/>
        </w:rPr>
        <w:t xml:space="preserve"> al.</w:t>
      </w:r>
      <w:r w:rsidRPr="006B10CD">
        <w:rPr>
          <w:rFonts w:ascii="Times New Roman" w:hAnsi="Times New Roman"/>
          <w:sz w:val="24"/>
          <w:szCs w:val="24"/>
        </w:rPr>
        <w:t xml:space="preserve"> (2016) reported the </w:t>
      </w:r>
      <w:r w:rsidRPr="006B10CD">
        <w:rPr>
          <w:rFonts w:ascii="Times New Roman" w:hAnsi="Times New Roman"/>
          <w:i/>
          <w:sz w:val="24"/>
          <w:szCs w:val="24"/>
        </w:rPr>
        <w:t>IC</w:t>
      </w:r>
      <w:r w:rsidRPr="006B10CD">
        <w:rPr>
          <w:rFonts w:ascii="Times New Roman" w:hAnsi="Times New Roman"/>
          <w:i/>
          <w:sz w:val="24"/>
          <w:szCs w:val="24"/>
          <w:vertAlign w:val="subscript"/>
        </w:rPr>
        <w:t>50</w:t>
      </w:r>
      <w:r w:rsidRPr="006B10CD">
        <w:rPr>
          <w:rFonts w:ascii="Times New Roman" w:hAnsi="Times New Roman"/>
          <w:sz w:val="24"/>
          <w:szCs w:val="24"/>
        </w:rPr>
        <w:t xml:space="preserve"> value of gallic acid against HepG2 cells as 28.5 ± 1.6 µg/ml comparable to the </w:t>
      </w:r>
      <w:r w:rsidRPr="006B10CD">
        <w:rPr>
          <w:rFonts w:ascii="Times New Roman" w:hAnsi="Times New Roman"/>
          <w:i/>
          <w:sz w:val="24"/>
          <w:szCs w:val="24"/>
        </w:rPr>
        <w:t>IC</w:t>
      </w:r>
      <w:r w:rsidRPr="006B10CD">
        <w:rPr>
          <w:rFonts w:ascii="Times New Roman" w:hAnsi="Times New Roman"/>
          <w:i/>
          <w:sz w:val="24"/>
          <w:szCs w:val="24"/>
          <w:vertAlign w:val="subscript"/>
        </w:rPr>
        <w:t>50</w:t>
      </w:r>
      <w:r w:rsidRPr="006B10CD">
        <w:rPr>
          <w:rFonts w:ascii="Times New Roman" w:hAnsi="Times New Roman"/>
          <w:sz w:val="24"/>
          <w:szCs w:val="24"/>
        </w:rPr>
        <w:t xml:space="preserve"> value (26.3 ± 6.1 µg/ml) obtained in this study.  Gallic acid and methyl gallate isolated from the methanol extract of </w:t>
      </w:r>
      <w:r w:rsidRPr="006B10CD">
        <w:rPr>
          <w:rFonts w:ascii="Times New Roman" w:hAnsi="Times New Roman"/>
          <w:i/>
          <w:sz w:val="24"/>
          <w:szCs w:val="24"/>
        </w:rPr>
        <w:t xml:space="preserve">Abutilon </w:t>
      </w:r>
      <w:proofErr w:type="spellStart"/>
      <w:r w:rsidRPr="006B10CD">
        <w:rPr>
          <w:rFonts w:ascii="Times New Roman" w:hAnsi="Times New Roman"/>
          <w:i/>
          <w:sz w:val="24"/>
          <w:szCs w:val="24"/>
        </w:rPr>
        <w:t>hirtum</w:t>
      </w:r>
      <w:proofErr w:type="spellEnd"/>
      <w:r w:rsidRPr="006B10CD">
        <w:rPr>
          <w:rFonts w:ascii="Times New Roman" w:hAnsi="Times New Roman"/>
          <w:sz w:val="24"/>
          <w:szCs w:val="24"/>
        </w:rPr>
        <w:t xml:space="preserve"> (Lam.) showed dose-dependent growth inhibition of HepG2 cells </w:t>
      </w:r>
      <w:r w:rsidRPr="006B10CD">
        <w:rPr>
          <w:rFonts w:ascii="Times New Roman" w:hAnsi="Times New Roman"/>
          <w:sz w:val="24"/>
          <w:szCs w:val="24"/>
        </w:rPr>
        <w:fldChar w:fldCharType="begin" w:fldLock="1"/>
      </w:r>
      <w:r w:rsidR="0027650C">
        <w:rPr>
          <w:rFonts w:ascii="Times New Roman" w:hAnsi="Times New Roman"/>
          <w:sz w:val="24"/>
          <w:szCs w:val="24"/>
        </w:rPr>
        <w:instrText>ADDIN CSL_CITATION {"citationItems":[{"id":"ITEM-1","itemData":{"author":[{"dropping-particle":"","family":"Hamed","given":"Manal Mortady","non-dropping-particle":"","parse-names":false,"suffix":""},{"dropping-particle":"","family":"Refahy","given":"Laila Abdel-ghany","non-dropping-particle":"","parse-names":false,"suffix":""},{"dropping-particle":"","family":"Abdel-aziz","given":"Mohamed Sayed","non-dropping-particle":"","parse-names":false,"suffix":""}],"container-title":"Asian Journal of Pharmaceutical and Clinical Research","id":"ITEM-1","issue":"3","issued":{"date-parts":[["2017"]]},"title":"Assessing the bioactivity and antioxidative properties of some compounds isolated from Abutilon hirtum (lam.)","type":"article-journal","volume":"10"},"uris":["http://www.mendeley.com/documents/?uuid=b682bdc9-6a06-42c5-80ec-553da116c84c"]}],"mendeley":{"formattedCitation":"(Hamed et al., 2017)","manualFormatting":"(Hamed et al. 2017)","plainTextFormattedCitation":"(Hamed et al., 2017)","previouslyFormattedCitation":"[41]"},"properties":{"noteIndex":0},"schema":"https://github.com/citation-style-language/schema/raw/master/csl-citation.json"}</w:instrText>
      </w:r>
      <w:r w:rsidRPr="006B10CD">
        <w:rPr>
          <w:rFonts w:ascii="Times New Roman" w:hAnsi="Times New Roman"/>
          <w:sz w:val="24"/>
          <w:szCs w:val="24"/>
        </w:rPr>
        <w:fldChar w:fldCharType="separate"/>
      </w:r>
      <w:r w:rsidRPr="006B10CD">
        <w:rPr>
          <w:rFonts w:ascii="Times New Roman" w:hAnsi="Times New Roman"/>
          <w:noProof/>
          <w:sz w:val="24"/>
          <w:szCs w:val="24"/>
        </w:rPr>
        <w:t xml:space="preserve">(Hamed </w:t>
      </w:r>
      <w:r w:rsidRPr="006B10CD">
        <w:rPr>
          <w:rFonts w:ascii="Times New Roman" w:hAnsi="Times New Roman"/>
          <w:i/>
          <w:noProof/>
          <w:sz w:val="24"/>
          <w:szCs w:val="24"/>
        </w:rPr>
        <w:t>et al.</w:t>
      </w:r>
      <w:r w:rsidRPr="006B10CD">
        <w:rPr>
          <w:rFonts w:ascii="Times New Roman" w:hAnsi="Times New Roman"/>
          <w:noProof/>
          <w:sz w:val="24"/>
          <w:szCs w:val="24"/>
        </w:rPr>
        <w:t xml:space="preserve"> 2017)</w:t>
      </w:r>
      <w:r w:rsidRPr="006B10CD">
        <w:rPr>
          <w:rFonts w:ascii="Times New Roman" w:hAnsi="Times New Roman"/>
          <w:sz w:val="24"/>
          <w:szCs w:val="24"/>
        </w:rPr>
        <w:fldChar w:fldCharType="end"/>
      </w:r>
      <w:r w:rsidRPr="006B10CD">
        <w:rPr>
          <w:rFonts w:ascii="Times New Roman" w:hAnsi="Times New Roman"/>
          <w:sz w:val="24"/>
          <w:szCs w:val="24"/>
        </w:rPr>
        <w:t>.</w:t>
      </w:r>
    </w:p>
    <w:p w14:paraId="58FD8E1D" w14:textId="3A519AD7" w:rsidR="00AE7D02" w:rsidRDefault="006A3869" w:rsidP="00003EB1">
      <w:pPr>
        <w:spacing w:line="276" w:lineRule="auto"/>
        <w:jc w:val="both"/>
        <w:rPr>
          <w:rFonts w:ascii="Times New Roman" w:hAnsi="Times New Roman"/>
          <w:sz w:val="24"/>
          <w:szCs w:val="24"/>
        </w:rPr>
      </w:pPr>
      <w:r>
        <w:rPr>
          <w:rFonts w:ascii="Times New Roman" w:hAnsi="Times New Roman"/>
          <w:sz w:val="24"/>
          <w:szCs w:val="24"/>
        </w:rPr>
        <w:t>The modulation of intracellu</w:t>
      </w:r>
      <w:r w:rsidR="00E31225">
        <w:rPr>
          <w:rFonts w:ascii="Times New Roman" w:hAnsi="Times New Roman"/>
          <w:sz w:val="24"/>
          <w:szCs w:val="24"/>
        </w:rPr>
        <w:t>l</w:t>
      </w:r>
      <w:r>
        <w:rPr>
          <w:rFonts w:ascii="Times New Roman" w:hAnsi="Times New Roman"/>
          <w:sz w:val="24"/>
          <w:szCs w:val="24"/>
        </w:rPr>
        <w:t>a</w:t>
      </w:r>
      <w:r w:rsidR="00E31225">
        <w:rPr>
          <w:rFonts w:ascii="Times New Roman" w:hAnsi="Times New Roman"/>
          <w:sz w:val="24"/>
          <w:szCs w:val="24"/>
        </w:rPr>
        <w:t>r</w:t>
      </w:r>
      <w:r>
        <w:rPr>
          <w:rFonts w:ascii="Times New Roman" w:hAnsi="Times New Roman"/>
          <w:sz w:val="24"/>
          <w:szCs w:val="24"/>
        </w:rPr>
        <w:t xml:space="preserve"> antioxidant enzyme activities and ROS level, in response to S</w:t>
      </w:r>
      <w:r w:rsidRPr="00E31225">
        <w:rPr>
          <w:rFonts w:ascii="Times New Roman" w:hAnsi="Times New Roman"/>
          <w:i/>
          <w:sz w:val="24"/>
          <w:szCs w:val="24"/>
        </w:rPr>
        <w:t xml:space="preserve">, </w:t>
      </w:r>
      <w:proofErr w:type="spellStart"/>
      <w:r w:rsidRPr="00E31225">
        <w:rPr>
          <w:rFonts w:ascii="Times New Roman" w:hAnsi="Times New Roman"/>
          <w:i/>
          <w:sz w:val="24"/>
          <w:szCs w:val="24"/>
        </w:rPr>
        <w:t>coriaceum</w:t>
      </w:r>
      <w:proofErr w:type="spellEnd"/>
      <w:r>
        <w:rPr>
          <w:rFonts w:ascii="Times New Roman" w:hAnsi="Times New Roman"/>
          <w:sz w:val="24"/>
          <w:szCs w:val="24"/>
        </w:rPr>
        <w:t xml:space="preserve"> treatment was investigated, in an attemp</w:t>
      </w:r>
      <w:r w:rsidR="00E31225">
        <w:rPr>
          <w:rFonts w:ascii="Times New Roman" w:hAnsi="Times New Roman"/>
          <w:sz w:val="24"/>
          <w:szCs w:val="24"/>
        </w:rPr>
        <w:t>t to establish</w:t>
      </w:r>
      <w:r w:rsidR="00DA4F38">
        <w:rPr>
          <w:rFonts w:ascii="Times New Roman" w:hAnsi="Times New Roman"/>
          <w:sz w:val="24"/>
          <w:szCs w:val="24"/>
        </w:rPr>
        <w:t xml:space="preserve"> the involvement of RO</w:t>
      </w:r>
      <w:r w:rsidR="00E31225">
        <w:rPr>
          <w:rFonts w:ascii="Times New Roman" w:hAnsi="Times New Roman"/>
          <w:sz w:val="24"/>
          <w:szCs w:val="24"/>
        </w:rPr>
        <w:t>S mediated cell death</w:t>
      </w:r>
      <w:r w:rsidR="00DA4F38">
        <w:rPr>
          <w:rFonts w:ascii="Times New Roman" w:hAnsi="Times New Roman"/>
          <w:sz w:val="24"/>
          <w:szCs w:val="24"/>
        </w:rPr>
        <w:t xml:space="preserve">. </w:t>
      </w:r>
      <w:r w:rsidR="00917354">
        <w:rPr>
          <w:rFonts w:ascii="Times New Roman" w:hAnsi="Times New Roman"/>
          <w:sz w:val="24"/>
          <w:szCs w:val="24"/>
        </w:rPr>
        <w:t xml:space="preserve">The findings revealed that HepG2 cells co-cultured with varying concentration of </w:t>
      </w:r>
      <w:r w:rsidR="00917354" w:rsidRPr="004F3300">
        <w:rPr>
          <w:rFonts w:ascii="Times New Roman" w:hAnsi="Times New Roman"/>
          <w:sz w:val="24"/>
          <w:szCs w:val="24"/>
        </w:rPr>
        <w:t xml:space="preserve">endemic </w:t>
      </w:r>
      <w:r w:rsidR="00917354" w:rsidRPr="004F3300">
        <w:rPr>
          <w:rFonts w:ascii="Times New Roman" w:hAnsi="Times New Roman"/>
          <w:i/>
          <w:sz w:val="24"/>
          <w:szCs w:val="24"/>
        </w:rPr>
        <w:t xml:space="preserve">S. </w:t>
      </w:r>
      <w:proofErr w:type="spellStart"/>
      <w:r w:rsidR="00E90513" w:rsidRPr="004F3300">
        <w:rPr>
          <w:rFonts w:ascii="Times New Roman" w:hAnsi="Times New Roman"/>
          <w:i/>
          <w:sz w:val="24"/>
          <w:szCs w:val="24"/>
        </w:rPr>
        <w:t>coriaceum</w:t>
      </w:r>
      <w:proofErr w:type="spellEnd"/>
      <w:r w:rsidR="00E90513">
        <w:rPr>
          <w:rFonts w:ascii="Times New Roman" w:hAnsi="Times New Roman"/>
          <w:i/>
          <w:sz w:val="24"/>
          <w:szCs w:val="24"/>
        </w:rPr>
        <w:t xml:space="preserve"> </w:t>
      </w:r>
      <w:r w:rsidR="00E90513">
        <w:rPr>
          <w:rFonts w:ascii="Times New Roman" w:hAnsi="Times New Roman"/>
          <w:sz w:val="24"/>
          <w:szCs w:val="24"/>
        </w:rPr>
        <w:t>for</w:t>
      </w:r>
      <w:r w:rsidR="00917354">
        <w:rPr>
          <w:rFonts w:ascii="Times New Roman" w:hAnsi="Times New Roman"/>
          <w:sz w:val="24"/>
          <w:szCs w:val="24"/>
        </w:rPr>
        <w:t xml:space="preserve"> 48 hours </w:t>
      </w:r>
      <w:r w:rsidR="00E90513">
        <w:rPr>
          <w:rFonts w:ascii="Times New Roman" w:hAnsi="Times New Roman"/>
          <w:sz w:val="24"/>
          <w:szCs w:val="24"/>
        </w:rPr>
        <w:t>had a dose-dependent increase in intracellular ROS level</w:t>
      </w:r>
      <w:r w:rsidR="00510B85">
        <w:rPr>
          <w:rFonts w:ascii="Times New Roman" w:hAnsi="Times New Roman"/>
          <w:sz w:val="24"/>
          <w:szCs w:val="24"/>
        </w:rPr>
        <w:t xml:space="preserve"> (Figure 2)</w:t>
      </w:r>
      <w:r w:rsidR="00003EB1">
        <w:rPr>
          <w:rFonts w:ascii="Times New Roman" w:hAnsi="Times New Roman"/>
          <w:sz w:val="24"/>
          <w:szCs w:val="24"/>
        </w:rPr>
        <w:t>, compared to untreated control cells</w:t>
      </w:r>
      <w:r w:rsidR="00E90513">
        <w:rPr>
          <w:rFonts w:ascii="Times New Roman" w:hAnsi="Times New Roman"/>
          <w:sz w:val="24"/>
          <w:szCs w:val="24"/>
        </w:rPr>
        <w:t xml:space="preserve">. </w:t>
      </w:r>
      <w:r w:rsidR="00DA2498">
        <w:rPr>
          <w:rFonts w:ascii="Times New Roman" w:hAnsi="Times New Roman"/>
          <w:sz w:val="24"/>
          <w:szCs w:val="24"/>
        </w:rPr>
        <w:t xml:space="preserve"> This increase </w:t>
      </w:r>
      <w:r w:rsidR="00E31225">
        <w:rPr>
          <w:rFonts w:ascii="Times New Roman" w:hAnsi="Times New Roman"/>
          <w:sz w:val="24"/>
          <w:szCs w:val="24"/>
        </w:rPr>
        <w:t>was</w:t>
      </w:r>
      <w:r w:rsidR="00DA2498">
        <w:rPr>
          <w:rFonts w:ascii="Times New Roman" w:hAnsi="Times New Roman"/>
          <w:sz w:val="24"/>
          <w:szCs w:val="24"/>
        </w:rPr>
        <w:t xml:space="preserve"> </w:t>
      </w:r>
      <w:r w:rsidR="00E31225">
        <w:rPr>
          <w:rFonts w:ascii="Times New Roman" w:hAnsi="Times New Roman"/>
          <w:sz w:val="24"/>
          <w:szCs w:val="24"/>
        </w:rPr>
        <w:t>in conjunction</w:t>
      </w:r>
      <w:r w:rsidR="00DA2498">
        <w:rPr>
          <w:rFonts w:ascii="Times New Roman" w:hAnsi="Times New Roman"/>
          <w:sz w:val="24"/>
          <w:szCs w:val="24"/>
        </w:rPr>
        <w:t xml:space="preserve"> with a decrease in </w:t>
      </w:r>
      <w:r w:rsidR="00510B85">
        <w:rPr>
          <w:rFonts w:ascii="Times New Roman" w:hAnsi="Times New Roman"/>
          <w:sz w:val="24"/>
          <w:szCs w:val="24"/>
        </w:rPr>
        <w:t>intrinsic catalase and glutathione peroxidase activity (</w:t>
      </w:r>
      <w:r w:rsidR="00510B85" w:rsidRPr="00AE7D02">
        <w:rPr>
          <w:rFonts w:ascii="Times New Roman" w:hAnsi="Times New Roman"/>
          <w:sz w:val="24"/>
          <w:szCs w:val="24"/>
        </w:rPr>
        <w:t>Figure 3).</w:t>
      </w:r>
      <w:r w:rsidR="00510B85">
        <w:rPr>
          <w:rFonts w:ascii="Times New Roman" w:hAnsi="Times New Roman"/>
          <w:sz w:val="24"/>
          <w:szCs w:val="24"/>
        </w:rPr>
        <w:t xml:space="preserve"> </w:t>
      </w:r>
      <w:r w:rsidR="00DA2498">
        <w:rPr>
          <w:rFonts w:ascii="Times New Roman" w:hAnsi="Times New Roman"/>
          <w:sz w:val="24"/>
          <w:szCs w:val="24"/>
        </w:rPr>
        <w:t xml:space="preserve"> </w:t>
      </w:r>
      <w:r w:rsidR="00003EB1">
        <w:rPr>
          <w:rFonts w:ascii="Times New Roman" w:hAnsi="Times New Roman"/>
          <w:sz w:val="24"/>
          <w:szCs w:val="24"/>
        </w:rPr>
        <w:t xml:space="preserve">Contrary to the </w:t>
      </w:r>
      <w:r w:rsidR="00620CBE">
        <w:rPr>
          <w:rFonts w:ascii="Times New Roman" w:hAnsi="Times New Roman"/>
          <w:i/>
          <w:sz w:val="24"/>
          <w:szCs w:val="24"/>
        </w:rPr>
        <w:t>in vitro</w:t>
      </w:r>
      <w:r w:rsidR="00003EB1">
        <w:rPr>
          <w:rFonts w:ascii="Times New Roman" w:hAnsi="Times New Roman"/>
          <w:sz w:val="24"/>
          <w:szCs w:val="24"/>
        </w:rPr>
        <w:t xml:space="preserve"> antioxidant activities, </w:t>
      </w:r>
      <w:r w:rsidR="00003EB1" w:rsidRPr="004F3300">
        <w:rPr>
          <w:rFonts w:ascii="Times New Roman" w:hAnsi="Times New Roman"/>
          <w:i/>
          <w:sz w:val="24"/>
          <w:szCs w:val="24"/>
        </w:rPr>
        <w:t xml:space="preserve">S. </w:t>
      </w:r>
      <w:proofErr w:type="spellStart"/>
      <w:r w:rsidR="00003EB1" w:rsidRPr="004F3300">
        <w:rPr>
          <w:rFonts w:ascii="Times New Roman" w:hAnsi="Times New Roman"/>
          <w:i/>
          <w:sz w:val="24"/>
          <w:szCs w:val="24"/>
        </w:rPr>
        <w:t>coriaceum</w:t>
      </w:r>
      <w:proofErr w:type="spellEnd"/>
      <w:r w:rsidR="00003EB1">
        <w:rPr>
          <w:rFonts w:ascii="Times New Roman" w:hAnsi="Times New Roman"/>
          <w:sz w:val="24"/>
          <w:szCs w:val="24"/>
        </w:rPr>
        <w:t xml:space="preserve"> exhibited</w:t>
      </w:r>
      <w:r w:rsidR="00787D8B">
        <w:rPr>
          <w:rFonts w:ascii="Times New Roman" w:hAnsi="Times New Roman"/>
          <w:sz w:val="24"/>
          <w:szCs w:val="24"/>
        </w:rPr>
        <w:t xml:space="preserve"> </w:t>
      </w:r>
      <w:r w:rsidR="00B175B4">
        <w:rPr>
          <w:rFonts w:ascii="Times New Roman" w:hAnsi="Times New Roman"/>
          <w:i/>
          <w:sz w:val="24"/>
          <w:szCs w:val="24"/>
        </w:rPr>
        <w:t xml:space="preserve">in </w:t>
      </w:r>
      <w:r w:rsidR="00787D8B" w:rsidRPr="00787D8B">
        <w:rPr>
          <w:rFonts w:ascii="Times New Roman" w:hAnsi="Times New Roman"/>
          <w:i/>
          <w:sz w:val="24"/>
          <w:szCs w:val="24"/>
        </w:rPr>
        <w:t>vivo</w:t>
      </w:r>
      <w:r w:rsidR="00003EB1">
        <w:rPr>
          <w:rFonts w:ascii="Times New Roman" w:hAnsi="Times New Roman"/>
          <w:sz w:val="24"/>
          <w:szCs w:val="24"/>
        </w:rPr>
        <w:t xml:space="preserve"> pro</w:t>
      </w:r>
      <w:r w:rsidR="00510BFA">
        <w:rPr>
          <w:rFonts w:ascii="Times New Roman" w:hAnsi="Times New Roman"/>
          <w:sz w:val="24"/>
          <w:szCs w:val="24"/>
        </w:rPr>
        <w:t>-</w:t>
      </w:r>
      <w:r w:rsidR="00003EB1">
        <w:rPr>
          <w:rFonts w:ascii="Times New Roman" w:hAnsi="Times New Roman"/>
          <w:sz w:val="24"/>
          <w:szCs w:val="24"/>
        </w:rPr>
        <w:t xml:space="preserve">oxidative effect in HepG2 cell, further stimulating the </w:t>
      </w:r>
      <w:r w:rsidR="00510BFA">
        <w:rPr>
          <w:rFonts w:ascii="Times New Roman" w:hAnsi="Times New Roman"/>
          <w:sz w:val="24"/>
          <w:szCs w:val="24"/>
        </w:rPr>
        <w:t xml:space="preserve">generation of ROS. This </w:t>
      </w:r>
      <w:r w:rsidR="00FF1FDE">
        <w:rPr>
          <w:rFonts w:ascii="Times New Roman" w:hAnsi="Times New Roman"/>
          <w:sz w:val="24"/>
          <w:szCs w:val="24"/>
        </w:rPr>
        <w:t>dual role</w:t>
      </w:r>
      <w:r w:rsidR="00510BFA">
        <w:rPr>
          <w:rFonts w:ascii="Times New Roman" w:hAnsi="Times New Roman"/>
          <w:sz w:val="24"/>
          <w:szCs w:val="24"/>
        </w:rPr>
        <w:t xml:space="preserve"> of polyphenolic </w:t>
      </w:r>
      <w:r w:rsidR="00620CBE" w:rsidRPr="00620CBE">
        <w:rPr>
          <w:rFonts w:ascii="Times New Roman" w:hAnsi="Times New Roman"/>
          <w:color w:val="00B050"/>
          <w:sz w:val="24"/>
          <w:szCs w:val="24"/>
        </w:rPr>
        <w:t>was</w:t>
      </w:r>
      <w:r w:rsidR="00987DCC" w:rsidRPr="00620CBE">
        <w:rPr>
          <w:rFonts w:ascii="Times New Roman" w:hAnsi="Times New Roman"/>
          <w:color w:val="00B050"/>
          <w:sz w:val="24"/>
          <w:szCs w:val="24"/>
        </w:rPr>
        <w:t xml:space="preserve"> reported </w:t>
      </w:r>
      <w:r w:rsidR="00987DCC">
        <w:rPr>
          <w:rFonts w:ascii="Times New Roman" w:hAnsi="Times New Roman"/>
          <w:sz w:val="24"/>
          <w:szCs w:val="24"/>
        </w:rPr>
        <w:fldChar w:fldCharType="begin" w:fldLock="1"/>
      </w:r>
      <w:r w:rsidR="0027650C">
        <w:rPr>
          <w:rFonts w:ascii="Times New Roman" w:hAnsi="Times New Roman"/>
          <w:sz w:val="24"/>
          <w:szCs w:val="24"/>
        </w:rPr>
        <w:instrText>ADDIN CSL_CITATION {"citationItems":[{"id":"ITEM-1","itemData":{"DOI":"10.3390/molecules15107313","ISBN":"1420-3049 (Electronic)\\r1420-3049 (Linking)","ISSN":"14203049","PMID":"20966876","abstract":"Phenolics are broadly distributed in the plant kingdom and are the most abundant secondary metabolites of plants. Plant polyphenols have drawn increasing attention due to their potent antioxidant properties and their marked effects in the prevention of various oxidative stress associated diseases such as cancer. In the last few years, the identification and development of phenolic compounds or extracts from different plants has become a major area of health- and medical-related research. This review provides an updated and comprehensive overview on phenolic extraction, purification, analysis and quantification as well as their antioxidant properties. Furthermore, the anticancer effects of phenolics in-vitro and in-vivo animal models are viewed, including recent human intervention studies. Finally, possible mechanisms of action involving antioxidant and pro-oxidant activity as well as interference with cellular functions are discussed.","author":[{"dropping-particle":"","family":"Dai","given":"Jin","non-dropping-particle":"","parse-names":false,"suffix":""},{"dropping-particle":"","family":"Mumper","given":"Russell J.","non-dropping-particle":"","parse-names":false,"suffix":""}],"container-title":"Molecules","id":"ITEM-1","issue":"10","issued":{"date-parts":[["2010"]]},"page":"7313-7352","title":"Plant phenolics: Extraction, analysis and their antioxidant and anticancer properties","type":"article-journal","volume":"15"},"uris":["http://www.mendeley.com/documents/?uuid=313829ea-d200-4fef-a881-1fb60c41a7e1"]},{"id":"ITEM-2","itemData":{"DOI":"10.1515/biol-2016-0040","ISSN":"2391-5412","abstract":": We studied","author":[{"dropping-particle":"","family":"Bayliak","given":"Maria M.","non-dropping-particle":"","parse-names":false,"suffix":""},{"dropping-particle":"","family":"Burdyliuk","given":"Nadia I.","non-dropping-particle":"","parse-names":false,"suffix":""},{"dropping-particle":"","family":"Lushchak","given":"Volodymyr I.","non-dropping-particle":"","parse-names":false,"suffix":""}],"container-title":"Open Life Sciences","id":"ITEM-2","issue":"1","issued":{"date-parts":[["2016","1","1"]]},"page":"298-307","title":"Effects of pH on antioxidant and prooxidant properties of common medicinal herbs","type":"article-journal","volume":"11"},"uris":["http://www.mendeley.com/documents/?uuid=6a904141-523e-4a34-b1ec-1467dd59999e"]},{"id":"ITEM-3","itemData":{"DOI":"10.3892/or.2016.5335","ISSN":"17912431","abstract":"Gallic acid (GA; 3,4,5-triphydroxyl-benzoic acid) is widely dispersed in various plants, fruits and foods and it shows various biological properties including anticancer effects. This study investigated the effects of GA on HeLa cervical cancer cells in relation to cell death, reactive oxygen species (ROS) and glutathione (GSH). GA dose-dependently inhibited the growth of HeLa cells and human umbilical vein endothelial cells (HUVEC) at 24 or 72 h. The susceptibility of HeLa cells to GA was higher than that of HUVEC. GA induced apoptosis in HeLa cells, which was accompanied by the loss of mitochondrial membrane potential (MMP; ∆ψm). GA increased ROS levels including O2•- in HeLa cells at 24 h and it also induced GSH depletion. N-acetyl cysteine (NAC) increased the growth inhibition of GA-treated HeLa cells and enhanced the death of these cells. NAC differently influenced ROS levels in GA-treated HeLa cells and significantly increased GSH depletion in these cells. L-buthionine sulfoximine (BSO) increased MMP (∆ψm) loss, ROS levels and GSH depletion in GA-treated HeLa cells. In conclusion, GA significantly inhibited the growth of HeLa cells. GA-induced HeLa cell death was tightly related to GSH depletion rather than ROS level changes.","author":[{"dropping-particle":"","family":"Park","given":"Woo Hyun","non-dropping-particle":"","parse-names":false,"suffix":""}],"container-title":"Oncology Reports","id":"ITEM-3","issue":"2","issued":{"date-parts":[["2017"]]},"page":"1277-1283","title":"Gallic acid induces HeLa cell death via increasing GSH depletion rather than ROS levels","type":"article-journal","volume":"37"},"uris":["http://www.mendeley.com/documents/?uuid=0f7cd3b7-c061-4834-83b5-e84cac1a69e3"]}],"mendeley":{"formattedCitation":"(Bayliak et al., 2016; Dai and Mumper, 2010; Park, 2017)","plainTextFormattedCitation":"(Bayliak et al., 2016; Dai and Mumper, 2010; Park, 2017)","previouslyFormattedCitation":"[42–44]"},"properties":{"noteIndex":0},"schema":"https://github.com/citation-style-language/schema/raw/master/csl-citation.json"}</w:instrText>
      </w:r>
      <w:r w:rsidR="00987DCC">
        <w:rPr>
          <w:rFonts w:ascii="Times New Roman" w:hAnsi="Times New Roman"/>
          <w:sz w:val="24"/>
          <w:szCs w:val="24"/>
        </w:rPr>
        <w:fldChar w:fldCharType="separate"/>
      </w:r>
      <w:r w:rsidR="0027650C" w:rsidRPr="0027650C">
        <w:rPr>
          <w:rFonts w:ascii="Times New Roman" w:hAnsi="Times New Roman"/>
          <w:noProof/>
          <w:sz w:val="24"/>
          <w:szCs w:val="24"/>
        </w:rPr>
        <w:t>(Bayliak et al., 2016; Dai and Mumper, 2010; Park, 2017)</w:t>
      </w:r>
      <w:r w:rsidR="00987DCC">
        <w:rPr>
          <w:rFonts w:ascii="Times New Roman" w:hAnsi="Times New Roman"/>
          <w:sz w:val="24"/>
          <w:szCs w:val="24"/>
        </w:rPr>
        <w:fldChar w:fldCharType="end"/>
      </w:r>
      <w:r w:rsidR="00510BFA">
        <w:rPr>
          <w:rFonts w:ascii="Times New Roman" w:hAnsi="Times New Roman"/>
          <w:sz w:val="24"/>
          <w:szCs w:val="24"/>
        </w:rPr>
        <w:t xml:space="preserve">.  </w:t>
      </w:r>
    </w:p>
    <w:p w14:paraId="49E90D6F" w14:textId="4231E9CF" w:rsidR="00AE7D02" w:rsidRDefault="007E4FB8" w:rsidP="00003EB1">
      <w:pPr>
        <w:spacing w:line="276" w:lineRule="auto"/>
        <w:jc w:val="both"/>
        <w:rPr>
          <w:rFonts w:ascii="Times New Roman" w:hAnsi="Times New Roman"/>
          <w:sz w:val="24"/>
          <w:szCs w:val="24"/>
        </w:rPr>
      </w:pPr>
      <w:r>
        <w:rPr>
          <w:rFonts w:ascii="Times New Roman" w:hAnsi="Times New Roman"/>
          <w:sz w:val="24"/>
          <w:szCs w:val="24"/>
        </w:rPr>
        <w:t>Polyphenols</w:t>
      </w:r>
      <w:r w:rsidR="00462E36">
        <w:rPr>
          <w:rFonts w:ascii="Times New Roman" w:hAnsi="Times New Roman"/>
          <w:sz w:val="24"/>
          <w:szCs w:val="24"/>
        </w:rPr>
        <w:t xml:space="preserve"> </w:t>
      </w:r>
      <w:r w:rsidR="002706F6">
        <w:rPr>
          <w:rFonts w:ascii="Times New Roman" w:hAnsi="Times New Roman"/>
          <w:sz w:val="24"/>
          <w:szCs w:val="24"/>
        </w:rPr>
        <w:t xml:space="preserve">are </w:t>
      </w:r>
      <w:r w:rsidR="00462E36">
        <w:rPr>
          <w:rFonts w:ascii="Times New Roman" w:hAnsi="Times New Roman"/>
          <w:sz w:val="24"/>
          <w:szCs w:val="24"/>
        </w:rPr>
        <w:t>shown to behave as antioxidant</w:t>
      </w:r>
      <w:r w:rsidR="002706F6">
        <w:rPr>
          <w:rFonts w:ascii="Times New Roman" w:hAnsi="Times New Roman"/>
          <w:sz w:val="24"/>
          <w:szCs w:val="24"/>
        </w:rPr>
        <w:t>s</w:t>
      </w:r>
      <w:r w:rsidR="00462E36">
        <w:rPr>
          <w:rFonts w:ascii="Times New Roman" w:hAnsi="Times New Roman"/>
          <w:sz w:val="24"/>
          <w:szCs w:val="24"/>
        </w:rPr>
        <w:t xml:space="preserve"> or pro</w:t>
      </w:r>
      <w:r w:rsidR="00135092">
        <w:rPr>
          <w:rFonts w:ascii="Times New Roman" w:hAnsi="Times New Roman"/>
          <w:sz w:val="24"/>
          <w:szCs w:val="24"/>
        </w:rPr>
        <w:t>-</w:t>
      </w:r>
      <w:r w:rsidR="00462E36">
        <w:rPr>
          <w:rFonts w:ascii="Times New Roman" w:hAnsi="Times New Roman"/>
          <w:sz w:val="24"/>
          <w:szCs w:val="24"/>
        </w:rPr>
        <w:t>oxidant</w:t>
      </w:r>
      <w:r w:rsidR="002706F6">
        <w:rPr>
          <w:rFonts w:ascii="Times New Roman" w:hAnsi="Times New Roman"/>
          <w:sz w:val="24"/>
          <w:szCs w:val="24"/>
        </w:rPr>
        <w:t>s</w:t>
      </w:r>
      <w:r w:rsidR="00462E36">
        <w:rPr>
          <w:rFonts w:ascii="Times New Roman" w:hAnsi="Times New Roman"/>
          <w:sz w:val="24"/>
          <w:szCs w:val="24"/>
        </w:rPr>
        <w:t xml:space="preserve"> in d</w:t>
      </w:r>
      <w:r w:rsidR="00DA4F1B">
        <w:rPr>
          <w:rFonts w:ascii="Times New Roman" w:hAnsi="Times New Roman"/>
          <w:sz w:val="24"/>
          <w:szCs w:val="24"/>
        </w:rPr>
        <w:t>ifferential pH environment</w:t>
      </w:r>
      <w:r w:rsidR="006A7F60">
        <w:rPr>
          <w:rFonts w:ascii="Times New Roman" w:hAnsi="Times New Roman"/>
          <w:sz w:val="24"/>
          <w:szCs w:val="24"/>
        </w:rPr>
        <w:t xml:space="preserve"> </w:t>
      </w:r>
      <w:r w:rsidR="006A7F60">
        <w:rPr>
          <w:rFonts w:ascii="Times New Roman" w:hAnsi="Times New Roman"/>
          <w:sz w:val="24"/>
          <w:szCs w:val="24"/>
        </w:rPr>
        <w:fldChar w:fldCharType="begin" w:fldLock="1"/>
      </w:r>
      <w:r w:rsidR="0027650C">
        <w:rPr>
          <w:rFonts w:ascii="Times New Roman" w:hAnsi="Times New Roman"/>
          <w:sz w:val="24"/>
          <w:szCs w:val="24"/>
        </w:rPr>
        <w:instrText>ADDIN CSL_CITATION {"citationItems":[{"id":"ITEM-1","itemData":{"DOI":"10.1021/jf204939h","ISSN":"0021-8561","abstract":"The nonenzymatic oxidation of polyphenols bearing di- and trihydroxyphenol groups results in the generation of hydrogen peroxide (H 2 O 2 ), a reactive oxygen species that can potentially compromise the oxidative stability of foods and beverages. An investigation of the factors that promote the oxidation of a model polyphenol, (-)-epigallocatechin-3-gallate (EGCG), was undertaken in a model lipid-based food system. Factors affecting oxidative stability, such as exogenous iron chelators (ethylenediaminetetraacetic acid; EDTA and 2,2-bipyridine; BPY) and pH (3 and 7) were evaluated in hexadecane and flaxseed oil-in-water (o/w) emulsions. At neutral pH, H 2 O 2 levels were observed to rise rapidly in hexadecane emulsions except for EDTA-containing treatments. However, EDTA-containing samples showed the highest rate of EGCG oxidation, suggesting that H 2 O 2 was rapidly reduced to hydroxyl radicals (HO•). Conversely, at pH 3, H 2 O 2 concentrations were lower across all treatments. EDTA conferred the highest degree of EGCG stability, with no loss of the catechin over the course of the study. In order to assess whether or not the H 2 O 2 production seen in oxidatively stable hexadecane emulsions translated to pro-oxidant activity in an oxidatively labile food lipid system, the effect of EGCG on the stability of flaxseed o/w emulsions was studied. EGCG displayed antioxidant activity at pH 7 throughout the study; however at pH 3, pro-oxidant activity was seen in EGCG-containing emulsions, with and without BPY. This study attempts to provide a mechanistic understanding of the conditions wherein polyphenols simultaneously exert pro-oxidant and antioxidant behavior in lipid dispersions. © 2012 American Chemical Society.","author":[{"dropping-particle":"","family":"Zhou","given":"Lisa","non-dropping-particle":"","parse-names":false,"suffix":""},{"dropping-particle":"","family":"Elias","given":"Ryan J.","non-dropping-particle":"","parse-names":false,"suffix":""}],"container-title":"Journal of Agricultural and Food Chemistry","id":"ITEM-1","issue":"11","issued":{"date-parts":[["2012","3","21"]]},"page":"2906-2915","title":"Factors Influencing the Antioxidant and Pro-Oxidant Activity of Polyphenols in Oil-in-Water Emulsions","type":"article-journal","volume":"60"},"uris":["http://www.mendeley.com/documents/?uuid=39a50dd2-8c25-4139-9205-ac15c55daf36"]}],"mendeley":{"formattedCitation":"(Zhou and Elias, 2012)","plainTextFormattedCitation":"(Zhou and Elias, 2012)","previouslyFormattedCitation":"[45]"},"properties":{"noteIndex":0},"schema":"https://github.com/citation-style-language/schema/raw/master/csl-citation.json"}</w:instrText>
      </w:r>
      <w:r w:rsidR="006A7F60">
        <w:rPr>
          <w:rFonts w:ascii="Times New Roman" w:hAnsi="Times New Roman"/>
          <w:sz w:val="24"/>
          <w:szCs w:val="24"/>
        </w:rPr>
        <w:fldChar w:fldCharType="separate"/>
      </w:r>
      <w:r w:rsidR="0027650C" w:rsidRPr="0027650C">
        <w:rPr>
          <w:rFonts w:ascii="Times New Roman" w:hAnsi="Times New Roman"/>
          <w:noProof/>
          <w:sz w:val="24"/>
          <w:szCs w:val="24"/>
        </w:rPr>
        <w:t>(Zhou and Elias, 2012)</w:t>
      </w:r>
      <w:r w:rsidR="006A7F60">
        <w:rPr>
          <w:rFonts w:ascii="Times New Roman" w:hAnsi="Times New Roman"/>
          <w:sz w:val="24"/>
          <w:szCs w:val="24"/>
        </w:rPr>
        <w:fldChar w:fldCharType="end"/>
      </w:r>
      <w:r w:rsidR="006A7F60">
        <w:rPr>
          <w:rFonts w:ascii="Times New Roman" w:hAnsi="Times New Roman"/>
          <w:sz w:val="24"/>
          <w:szCs w:val="24"/>
        </w:rPr>
        <w:t xml:space="preserve">. </w:t>
      </w:r>
      <w:r w:rsidR="00401024">
        <w:rPr>
          <w:rFonts w:ascii="Times New Roman" w:hAnsi="Times New Roman"/>
          <w:sz w:val="24"/>
          <w:szCs w:val="24"/>
        </w:rPr>
        <w:t xml:space="preserve">The prooxidant effect of phenolic acids </w:t>
      </w:r>
      <w:r w:rsidR="000B6A83">
        <w:rPr>
          <w:rFonts w:ascii="Times New Roman" w:hAnsi="Times New Roman"/>
          <w:sz w:val="24"/>
          <w:szCs w:val="24"/>
        </w:rPr>
        <w:t>is</w:t>
      </w:r>
      <w:r w:rsidR="00401024">
        <w:rPr>
          <w:rFonts w:ascii="Times New Roman" w:hAnsi="Times New Roman"/>
          <w:sz w:val="24"/>
          <w:szCs w:val="24"/>
        </w:rPr>
        <w:t xml:space="preserve"> ascribed to their ability to undergo auto-oxidation at alkaline pH and thus generat</w:t>
      </w:r>
      <w:r w:rsidR="00DF572C">
        <w:rPr>
          <w:rFonts w:ascii="Times New Roman" w:hAnsi="Times New Roman"/>
          <w:sz w:val="24"/>
          <w:szCs w:val="24"/>
        </w:rPr>
        <w:t xml:space="preserve">ing phenoxy and superoxide free radicals </w:t>
      </w:r>
      <w:r w:rsidR="00DF572C">
        <w:rPr>
          <w:rFonts w:ascii="Times New Roman" w:hAnsi="Times New Roman"/>
          <w:sz w:val="24"/>
          <w:szCs w:val="24"/>
        </w:rPr>
        <w:fldChar w:fldCharType="begin" w:fldLock="1"/>
      </w:r>
      <w:r w:rsidR="0027650C">
        <w:rPr>
          <w:rFonts w:ascii="Times New Roman" w:hAnsi="Times New Roman"/>
          <w:sz w:val="24"/>
          <w:szCs w:val="24"/>
        </w:rPr>
        <w:instrText>ADDIN CSL_CITATION {"citationItems":[{"id":"ITEM-1","itemData":{"DOI":"10.3390/molecules15107313","ISBN":"1420-3049 (Electronic)\\r1420-3049 (Linking)","ISSN":"14203049","PMID":"20966876","abstract":"Phenolics are broadly distributed in the plant kingdom and are the most abundant secondary metabolites of plants. Plant polyphenols have drawn increasing attention due to their potent antioxidant properties and their marked effects in the prevention of various oxidative stress associated diseases such as cancer. In the last few years, the identification and development of phenolic compounds or extracts from different plants has become a major area of health- and medical-related research. This review provides an updated and comprehensive overview on phenolic extraction, purification, analysis and quantification as well as their antioxidant properties. Furthermore, the anticancer effects of phenolics in-vitro and in-vivo animal models are viewed, including recent human intervention studies. Finally, possible mechanisms of action involving antioxidant and pro-oxidant activity as well as interference with cellular functions are discussed.","author":[{"dropping-particle":"","family":"Dai","given":"Jin","non-dropping-particle":"","parse-names":false,"suffix":""},{"dropping-particle":"","family":"Mumper","given":"Russell J.","non-dropping-particle":"","parse-names":false,"suffix":""}],"container-title":"Molecules","id":"ITEM-1","issue":"10","issued":{"date-parts":[["2010"]]},"page":"7313-7352","title":"Plant phenolics: Extraction, analysis and their antioxidant and anticancer properties","type":"article-journal","volume":"15"},"uris":["http://www.mendeley.com/documents/?uuid=313829ea-d200-4fef-a881-1fb60c41a7e1"]},{"id":"ITEM-2","itemData":{"DOI":"10.1515/biol-2016-0040","ISSN":"2391-5412","abstract":": We studied","author":[{"dropping-particle":"","family":"Bayliak","given":"Maria M.","non-dropping-particle":"","parse-names":false,"suffix":""},{"dropping-particle":"","family":"Burdyliuk","given":"Nadia I.","non-dropping-particle":"","parse-names":false,"suffix":""},{"dropping-particle":"","family":"Lushchak","given":"Volodymyr I.","non-dropping-particle":"","parse-names":false,"suffix":""}],"container-title":"Open Life Sciences","id":"ITEM-2","issue":"1","issued":{"date-parts":[["2016","1","1"]]},"page":"298-307","title":"Effects of pH on antioxidant and prooxidant properties of common medicinal herbs","type":"article-journal","volume":"11"},"uris":["http://www.mendeley.com/documents/?uuid=6a904141-523e-4a34-b1ec-1467dd59999e"]}],"mendeley":{"formattedCitation":"(Bayliak et al., 2016; Dai and Mumper, 2010)","plainTextFormattedCitation":"(Bayliak et al., 2016; Dai and Mumper, 2010)","previouslyFormattedCitation":"[42,43]"},"properties":{"noteIndex":0},"schema":"https://github.com/citation-style-language/schema/raw/master/csl-citation.json"}</w:instrText>
      </w:r>
      <w:r w:rsidR="00DF572C">
        <w:rPr>
          <w:rFonts w:ascii="Times New Roman" w:hAnsi="Times New Roman"/>
          <w:sz w:val="24"/>
          <w:szCs w:val="24"/>
        </w:rPr>
        <w:fldChar w:fldCharType="separate"/>
      </w:r>
      <w:r w:rsidR="0027650C" w:rsidRPr="0027650C">
        <w:rPr>
          <w:rFonts w:ascii="Times New Roman" w:hAnsi="Times New Roman"/>
          <w:noProof/>
          <w:sz w:val="24"/>
          <w:szCs w:val="24"/>
        </w:rPr>
        <w:t>(Bayliak et al., 2016; Dai and Mumper, 2010)</w:t>
      </w:r>
      <w:r w:rsidR="00DF572C">
        <w:rPr>
          <w:rFonts w:ascii="Times New Roman" w:hAnsi="Times New Roman"/>
          <w:sz w:val="24"/>
          <w:szCs w:val="24"/>
        </w:rPr>
        <w:fldChar w:fldCharType="end"/>
      </w:r>
      <w:r w:rsidR="00DE52BF">
        <w:rPr>
          <w:rFonts w:ascii="Times New Roman" w:hAnsi="Times New Roman"/>
          <w:sz w:val="24"/>
          <w:szCs w:val="24"/>
        </w:rPr>
        <w:t xml:space="preserve">. </w:t>
      </w:r>
      <w:r w:rsidR="00462E36">
        <w:rPr>
          <w:rFonts w:ascii="Times New Roman" w:hAnsi="Times New Roman"/>
          <w:sz w:val="24"/>
          <w:szCs w:val="24"/>
        </w:rPr>
        <w:t xml:space="preserve"> Cancer cells in comp</w:t>
      </w:r>
      <w:r w:rsidR="00213778">
        <w:rPr>
          <w:rFonts w:ascii="Times New Roman" w:hAnsi="Times New Roman"/>
          <w:sz w:val="24"/>
          <w:szCs w:val="24"/>
        </w:rPr>
        <w:t xml:space="preserve">arison to non- </w:t>
      </w:r>
      <w:r w:rsidR="00135092">
        <w:rPr>
          <w:rFonts w:ascii="Times New Roman" w:hAnsi="Times New Roman"/>
          <w:sz w:val="24"/>
          <w:szCs w:val="24"/>
        </w:rPr>
        <w:t>malignant</w:t>
      </w:r>
      <w:r w:rsidR="00BF5275">
        <w:rPr>
          <w:rFonts w:ascii="Times New Roman" w:hAnsi="Times New Roman"/>
          <w:sz w:val="24"/>
          <w:szCs w:val="24"/>
        </w:rPr>
        <w:t xml:space="preserve"> cells, have a more alkaline intracellular</w:t>
      </w:r>
      <w:r w:rsidR="008E7724">
        <w:rPr>
          <w:rFonts w:ascii="Times New Roman" w:hAnsi="Times New Roman"/>
          <w:sz w:val="24"/>
          <w:szCs w:val="24"/>
        </w:rPr>
        <w:t xml:space="preserve"> pH environment </w:t>
      </w:r>
      <w:r w:rsidR="008E7724">
        <w:rPr>
          <w:rFonts w:ascii="Times New Roman" w:hAnsi="Times New Roman"/>
          <w:sz w:val="24"/>
          <w:szCs w:val="24"/>
        </w:rPr>
        <w:fldChar w:fldCharType="begin" w:fldLock="1"/>
      </w:r>
      <w:r w:rsidR="0027650C">
        <w:rPr>
          <w:rFonts w:ascii="Times New Roman" w:hAnsi="Times New Roman"/>
          <w:sz w:val="24"/>
          <w:szCs w:val="24"/>
        </w:rPr>
        <w:instrText>ADDIN CSL_CITATION {"citationItems":[{"id":"ITEM-1","itemData":{"DOI":"10.1038/s41467-018-05261-x","ISBN":"4146701805","ISSN":"20411723","abstract":"A reverse pH gradient is a hallmark of cancer metabolism, manifested by extracellular acidosis and intracellular alkalization. While consequences of extracellular acidosis are known, the roles of intracellular alkalization are incompletely understood. By reconstructing and integrating enzymatic pH-dependent activity profiles into cell-specific genome-scale metabolic models, we develop a computational methodology that explores how intracellular pH (pHi) can modulate metabolism. We show that in silico, alkaline pHi maximizes cancer cell proliferation coupled to increased glycolysis and adaptation to hypoxia (i.e., the Warburg effect), whereas acidic pHi disables these adaptations and compromises tumor cell growth. We then systematically identify metabolic targets (GAPDH and GPI) with predicted amplified anti-cancer effects at acidic pHi, forming a novel therapeutic strategy. Experimental testing of this strategy in breast cancer cells reveals that it is particularly effective against aggressive phenotypes. Hence, this study suggests essential roles of pHi in cancer metabolism and provides a conceptual and computational framework for exploring pHi roles in other biomedical domains.","author":[{"dropping-particle":"","family":"Persi","given":"Erez","non-dropping-particle":"","parse-names":false,"suffix":""},{"dropping-particle":"","family":"Duran-Frigola","given":"Miquel","non-dropping-particle":"","parse-names":false,"suffix":""},{"dropping-particle":"","family":"Damaghi","given":"Mehdi","non-dropping-particle":"","parse-names":false,"suffix":""},{"dropping-particle":"","family":"Roush","given":"William R.","non-dropping-particle":"","parse-names":false,"suffix":""},{"dropping-particle":"","family":"Aloy","given":"Patrick","non-dropping-particle":"","parse-names":false,"suffix":""},{"dropping-particle":"","family":"Cleveland","given":"John L.","non-dropping-particle":"","parse-names":false,"suffix":""},{"dropping-particle":"","family":"Gillies","given":"Robert J.","non-dropping-particle":"","parse-names":false,"suffix":""},{"dropping-particle":"","family":"Ruppin","given":"Eytan","non-dropping-particle":"","parse-names":false,"suffix":""}],"container-title":"Nature Communications","id":"ITEM-1","issue":"1","issued":{"date-parts":[["2018"]]},"publisher":"Springer US","title":"Systems analysis of intracellular pH vulnerabilities for cancer therapy","type":"article-journal","volume":"9"},"uris":["http://www.mendeley.com/documents/?uuid=ccb2b57f-cba2-462e-a23e-5233c563246f"]},{"id":"ITEM-2","itemData":{"DOI":"10.1242/jcs.195297","ISSN":"14779137","abstract":"&lt;h3&gt;ABSTRACT&lt;/h3&gt; &lt;p&gt;Dysregulated pH is a common characteristic of cancer cells, as they have an increased intracellular pH (pH&lt;sub&gt;i&lt;/sub&gt;) and a decreased extracellular pH (pH&lt;sub&gt;e&lt;/sub&gt;) compared with normal cells. Recent work has expanded our knowledge of how dysregulated pH dynamics influences cancer cell behaviors, including proliferation, metastasis, metabolic adaptation and tumorigenesis. Emerging data suggest that the dysregulated pH of cancers enables these specific cell behaviors by altering the structure and function of selective pH-sensitive proteins, termed pH sensors. Recent findings also show that, by blocking pH&lt;sub&gt;i&lt;/sub&gt; increases, cancer cell behaviors can be attenuated. This suggests ion transporter inhibition as an effective therapeutic approach, either singly or in combination with targeted therapies. In this Cell Science at a Glance article and accompanying poster, we highlight the interconnected roles of dysregulated pH dynamics in cancer initiation, progression and adaptation. &lt;/p&gt;","author":[{"dropping-particle":"","family":"White","given":"Katharine A.","non-dropping-particle":"","parse-names":false,"suffix":""},{"dropping-particle":"","family":"Grillo-Hill","given":"Bree K.","non-dropping-particle":"","parse-names":false,"suffix":""},{"dropping-particle":"","family":"Barber","given":"Diane L.","non-dropping-particle":"","parse-names":false,"suffix":""}],"container-title":"Journal of Cell Science","id":"ITEM-2","issue":"4","issued":{"date-parts":[["2017"]]},"page":"663-669","title":"Cancer cell behaviors mediated by dysregulated pH dynamics at a glance","type":"article-journal","volume":"130"},"uris":["http://www.mendeley.com/documents/?uuid=d057fbf7-75a3-4809-8ef2-75c560e81eb1"]}],"mendeley":{"formattedCitation":"(Persi et al., 2018; White et al., 2017)","plainTextFormattedCitation":"(Persi et al., 2018; White et al., 2017)","previouslyFormattedCitation":"[46,47]"},"properties":{"noteIndex":0},"schema":"https://github.com/citation-style-language/schema/raw/master/csl-citation.json"}</w:instrText>
      </w:r>
      <w:r w:rsidR="008E7724">
        <w:rPr>
          <w:rFonts w:ascii="Times New Roman" w:hAnsi="Times New Roman"/>
          <w:sz w:val="24"/>
          <w:szCs w:val="24"/>
        </w:rPr>
        <w:fldChar w:fldCharType="separate"/>
      </w:r>
      <w:r w:rsidR="0027650C" w:rsidRPr="0027650C">
        <w:rPr>
          <w:rFonts w:ascii="Times New Roman" w:hAnsi="Times New Roman"/>
          <w:noProof/>
          <w:sz w:val="24"/>
          <w:szCs w:val="24"/>
        </w:rPr>
        <w:t>(Persi et al., 2018; White et al., 2017)</w:t>
      </w:r>
      <w:r w:rsidR="008E7724">
        <w:rPr>
          <w:rFonts w:ascii="Times New Roman" w:hAnsi="Times New Roman"/>
          <w:sz w:val="24"/>
          <w:szCs w:val="24"/>
        </w:rPr>
        <w:fldChar w:fldCharType="end"/>
      </w:r>
      <w:r w:rsidR="00213778">
        <w:rPr>
          <w:rFonts w:ascii="Times New Roman" w:hAnsi="Times New Roman"/>
          <w:sz w:val="24"/>
          <w:szCs w:val="24"/>
        </w:rPr>
        <w:t xml:space="preserve">. </w:t>
      </w:r>
      <w:r w:rsidR="00787D8B">
        <w:rPr>
          <w:rFonts w:ascii="Times New Roman" w:hAnsi="Times New Roman"/>
          <w:sz w:val="24"/>
          <w:szCs w:val="24"/>
        </w:rPr>
        <w:t>This explains the pro</w:t>
      </w:r>
      <w:r w:rsidR="00135092">
        <w:rPr>
          <w:rFonts w:ascii="Times New Roman" w:hAnsi="Times New Roman"/>
          <w:sz w:val="24"/>
          <w:szCs w:val="24"/>
        </w:rPr>
        <w:t>-</w:t>
      </w:r>
      <w:r w:rsidR="00787D8B">
        <w:rPr>
          <w:rFonts w:ascii="Times New Roman" w:hAnsi="Times New Roman"/>
          <w:sz w:val="24"/>
          <w:szCs w:val="24"/>
        </w:rPr>
        <w:t xml:space="preserve">oxidative nature of phenolic rich </w:t>
      </w:r>
      <w:r w:rsidR="00787D8B" w:rsidRPr="00787D8B">
        <w:rPr>
          <w:rFonts w:ascii="Times New Roman" w:hAnsi="Times New Roman"/>
          <w:i/>
          <w:sz w:val="24"/>
          <w:szCs w:val="24"/>
        </w:rPr>
        <w:t>S.</w:t>
      </w:r>
      <w:r w:rsidR="00787D8B">
        <w:rPr>
          <w:rFonts w:ascii="Times New Roman" w:hAnsi="Times New Roman"/>
          <w:i/>
          <w:sz w:val="24"/>
          <w:szCs w:val="24"/>
        </w:rPr>
        <w:t xml:space="preserve"> </w:t>
      </w:r>
      <w:proofErr w:type="spellStart"/>
      <w:r w:rsidR="00787D8B" w:rsidRPr="00787D8B">
        <w:rPr>
          <w:rFonts w:ascii="Times New Roman" w:hAnsi="Times New Roman"/>
          <w:i/>
          <w:sz w:val="24"/>
          <w:szCs w:val="24"/>
        </w:rPr>
        <w:t>coriaceum</w:t>
      </w:r>
      <w:proofErr w:type="spellEnd"/>
      <w:r w:rsidR="00787D8B">
        <w:rPr>
          <w:rFonts w:ascii="Times New Roman" w:hAnsi="Times New Roman"/>
          <w:sz w:val="24"/>
          <w:szCs w:val="24"/>
        </w:rPr>
        <w:t xml:space="preserve"> extract in HepG2 cells. </w:t>
      </w:r>
      <w:r w:rsidR="00D417F5">
        <w:rPr>
          <w:rFonts w:ascii="Times New Roman" w:hAnsi="Times New Roman"/>
          <w:sz w:val="24"/>
          <w:szCs w:val="24"/>
        </w:rPr>
        <w:t xml:space="preserve"> Furthermore, both gallic and methyl gallate</w:t>
      </w:r>
      <w:r w:rsidR="00416430">
        <w:rPr>
          <w:rFonts w:ascii="Times New Roman" w:hAnsi="Times New Roman"/>
          <w:sz w:val="24"/>
          <w:szCs w:val="24"/>
        </w:rPr>
        <w:t xml:space="preserve"> stimulated</w:t>
      </w:r>
      <w:r w:rsidR="00D417F5">
        <w:rPr>
          <w:rFonts w:ascii="Times New Roman" w:hAnsi="Times New Roman"/>
          <w:sz w:val="24"/>
          <w:szCs w:val="24"/>
        </w:rPr>
        <w:t xml:space="preserve"> intracellular ROS generation </w:t>
      </w:r>
      <w:r w:rsidR="00B51AE2">
        <w:rPr>
          <w:rFonts w:ascii="Times New Roman" w:hAnsi="Times New Roman"/>
          <w:sz w:val="24"/>
          <w:szCs w:val="24"/>
        </w:rPr>
        <w:t>and decreased</w:t>
      </w:r>
      <w:r w:rsidR="00416430">
        <w:rPr>
          <w:rFonts w:ascii="Times New Roman" w:hAnsi="Times New Roman"/>
          <w:sz w:val="24"/>
          <w:szCs w:val="24"/>
        </w:rPr>
        <w:t xml:space="preserve"> </w:t>
      </w:r>
      <w:r w:rsidR="00D417F5">
        <w:rPr>
          <w:rFonts w:ascii="Times New Roman" w:hAnsi="Times New Roman"/>
          <w:sz w:val="24"/>
          <w:szCs w:val="24"/>
        </w:rPr>
        <w:t>antioxidant enzyme activ</w:t>
      </w:r>
      <w:r w:rsidR="00416430">
        <w:rPr>
          <w:rFonts w:ascii="Times New Roman" w:hAnsi="Times New Roman"/>
          <w:sz w:val="24"/>
          <w:szCs w:val="24"/>
        </w:rPr>
        <w:t>it</w:t>
      </w:r>
      <w:r w:rsidR="00B51AE2">
        <w:rPr>
          <w:rFonts w:ascii="Times New Roman" w:hAnsi="Times New Roman"/>
          <w:sz w:val="24"/>
          <w:szCs w:val="24"/>
        </w:rPr>
        <w:t>ies in HepG2 cells.</w:t>
      </w:r>
      <w:r w:rsidR="00D417F5">
        <w:rPr>
          <w:rFonts w:ascii="Times New Roman" w:hAnsi="Times New Roman"/>
          <w:sz w:val="24"/>
          <w:szCs w:val="24"/>
        </w:rPr>
        <w:t xml:space="preserve"> </w:t>
      </w:r>
      <w:r w:rsidR="009D749C">
        <w:rPr>
          <w:rFonts w:ascii="Times New Roman" w:hAnsi="Times New Roman"/>
          <w:sz w:val="24"/>
          <w:szCs w:val="24"/>
        </w:rPr>
        <w:t>G</w:t>
      </w:r>
      <w:r w:rsidR="00EF34FD">
        <w:rPr>
          <w:rFonts w:ascii="Times New Roman" w:hAnsi="Times New Roman"/>
          <w:sz w:val="24"/>
          <w:szCs w:val="24"/>
        </w:rPr>
        <w:t xml:space="preserve">allic acid is reported to induce cancer cell cytotoxicity by </w:t>
      </w:r>
      <w:r w:rsidR="0063305A">
        <w:rPr>
          <w:rFonts w:ascii="Times New Roman" w:hAnsi="Times New Roman"/>
          <w:sz w:val="24"/>
          <w:szCs w:val="24"/>
        </w:rPr>
        <w:t>elevating</w:t>
      </w:r>
      <w:r w:rsidR="00EF34FD">
        <w:rPr>
          <w:rFonts w:ascii="Times New Roman" w:hAnsi="Times New Roman"/>
          <w:sz w:val="24"/>
          <w:szCs w:val="24"/>
        </w:rPr>
        <w:t xml:space="preserve"> intracellular ROS level</w:t>
      </w:r>
      <w:r w:rsidR="009D749C">
        <w:rPr>
          <w:rFonts w:ascii="Times New Roman" w:hAnsi="Times New Roman"/>
          <w:sz w:val="24"/>
          <w:szCs w:val="24"/>
        </w:rPr>
        <w:t xml:space="preserve"> </w:t>
      </w:r>
      <w:r w:rsidR="009D749C">
        <w:rPr>
          <w:rFonts w:ascii="Times New Roman" w:hAnsi="Times New Roman"/>
          <w:sz w:val="24"/>
          <w:szCs w:val="24"/>
        </w:rPr>
        <w:fldChar w:fldCharType="begin" w:fldLock="1"/>
      </w:r>
      <w:r w:rsidR="0027650C">
        <w:rPr>
          <w:rFonts w:ascii="Times New Roman" w:hAnsi="Times New Roman"/>
          <w:sz w:val="24"/>
          <w:szCs w:val="24"/>
        </w:rPr>
        <w:instrText>ADDIN CSL_CITATION {"citationItems":[{"id":"ITEM-1","itemData":{"DOI":"10.1016/j.cbi.2016.04.010","ISBN":"0009-2797","ISSN":"18727786","PMID":"27060209","abstract":"Gallic acid, a polyhydroxylphenolic compound, is widely distributed in various plants, fruits and foods. It has been shown that gallic acid passes into blood brain barrier and reaches the brain tissue of middle cerebral artery occlusion rats. However, the effect of gallic acid on Ca2+ signaling in glia cells is unknown. This study explored whether gallic acid affected Ca2+ homeostasis and induced Ca2+-associated cytotoxicity in DBTRG-05MG human glioblastoma cells and CTX TNA2 rat astrocytes. Gallic acid (20-40 ??M) concentration-dependently induced cytotoxicity and intracellular Ca2+ level ([Ca2+]i) increases in DBTRG-05MG cells but not in CTX TNA2 cells. In DBTRG-05MG cells, the Ca2+ response was decreased by half by removal of extracellular Ca2+. In Ca2+-containing medium, gallic acid-induced Ca2+ entry was inhibited by store-operated Ca2+ channel inhibitors (2-APB, econazole and SKF96365). In Ca2+-free medium, pretreatment with the endoplasmic reticulum Ca2+ pump inhibitor thapsigargin abolished gallic acid-induced [Ca2+]i increases. Conversely, incubation with gallic acid also abolished thapsigargin-induced [Ca2+]i increases. Inhibition of phospholipase C with U73122 abolished gallic acid-induced [Ca2+]i increases. Gallic acid significantly caused cytotoxicity in DBTRG-05MG cells, which was partially prevented by prechelating cytosolic Ca2+ with BAPTA-AM. Moreover, gallic acid activated mitochondrial apoptotic pathways that involved ROS production. Together, in DBTRG-05MG cells but not in CTX TNA2 cells, gallic acid induced [Ca2+]i increases by causing Ca2+ entry via 2-APB, econazole and SKF96365-sensitive store-operated Ca2+ entry, and phospholipase C-dependent release from the endoplasmic reticulum. This Ca2+ signal subsequently evoked mitochondrial pathways of apoptosis that involved ROS production.","author":[{"dropping-particle":"","family":"Hsu","given":"Shu Shong","non-dropping-particle":"","parse-names":false,"suffix":""},{"dropping-particle":"","family":"Chou","given":"Chiang Ting","non-dropping-particle":"","parse-names":false,"suffix":""},{"dropping-particle":"","family":"Liao","given":"Wei Chuan","non-dropping-particle":"","parse-names":false,"suffix":""},{"dropping-particle":"","family":"Shieh","given":"Pochuen","non-dropping-particle":"","parse-names":false,"suffix":""},{"dropping-particle":"","family":"Kuo","given":"Daih Huang","non-dropping-particle":"","parse-names":false,"suffix":""},{"dropping-particle":"","family":"Kuo","given":"Chun Chi","non-dropping-particle":"","parse-names":false,"suffix":""},{"dropping-particle":"","family":"Jan","given":"Chung Ren","non-dropping-particle":"","parse-names":false,"suffix":""},{"dropping-particle":"","family":"Liang","given":"Wei Zhe","non-dropping-particle":"","parse-names":false,"suffix":""}],"container-title":"Chemico-Biological Interactions","id":"ITEM-1","issued":{"date-parts":[["2016"]]},"page":"61-73","publisher":"Elsevier Ltd","title":"The effect of gallic acid on cytotoxicity, Ca2+ homeostasis and ROS production in DBTRG-05MG human glioblastoma cells and CTX TNA2 rat astrocytes","type":"article-journal","volume":"252"},"uris":["http://www.mendeley.com/documents/?uuid=4286a46a-787d-41cb-8891-66b844bf7957"]},{"id":"ITEM-2","itemData":{"DOI":"10.3164/jcbn.11-004FR","ISBN":"0733779662","ISSN":"1880-5086","PMID":"22128216","author":[{"dropping-particle":"","family":"Maurya","given":"Dharmendra K.","non-dropping-particle":"","parse-names":false,"suffix":""},{"dropping-particle":"","family":"Nandakumar","given":"Nivedita","non-dropping-particle":"","parse-names":false,"suffix":""},{"dropping-particle":"","family":"Devasagayam","given":"Thomas Paul Asir","non-dropping-particle":"","parse-names":false,"suffix":""}],"container-title":"Journal of Clinical Biochemistry and Nutrition","id":"ITEM-2","issue":"1","issued":{"date-parts":[["2010"]]},"page":"85-90","title":"Anticancer property of gallic acid in A549, a human lung adenocarcinoma cell line, and possible mechanisms","type":"article-journal","volume":"48"},"uris":["http://www.mendeley.com/documents/?uuid=f5f6bcd7-0896-4c0e-b68e-32353af42713"]},{"id":"ITEM-3","itemData":{"DOI":"10.3892/or.2016.5335","ISSN":"17912431","abstract":"Gallic acid (GA; 3,4,5-triphydroxyl-benzoic acid) is widely dispersed in various plants, fruits and foods and it shows various biological properties including anticancer effects. This study investigated the effects of GA on HeLa cervical cancer cells in relation to cell death, reactive oxygen species (ROS) and glutathione (GSH). GA dose-dependently inhibited the growth of HeLa cells and human umbilical vein endothelial cells (HUVEC) at 24 or 72 h. The susceptibility of HeLa cells to GA was higher than that of HUVEC. GA induced apoptosis in HeLa cells, which was accompanied by the loss of mitochondrial membrane potential (MMP; ∆ψm). GA increased ROS levels including O2•- in HeLa cells at 24 h and it also induced GSH depletion. N-acetyl cysteine (NAC) increased the growth inhibition of GA-treated HeLa cells and enhanced the death of these cells. NAC differently influenced ROS levels in GA-treated HeLa cells and significantly increased GSH depletion in these cells. L-buthionine sulfoximine (BSO) increased MMP (∆ψm) loss, ROS levels and GSH depletion in GA-treated HeLa cells. In conclusion, GA significantly inhibited the growth of HeLa cells. GA-induced HeLa cell death was tightly related to GSH depletion rather than ROS level changes.","author":[{"dropping-particle":"","family":"Park","given":"Woo Hyun","non-dropping-particle":"","parse-names":false,"suffix":""}],"container-title":"Oncology Reports","id":"ITEM-3","issue":"2","issued":{"date-parts":[["2017"]]},"page":"1277-1283","title":"Gallic acid induces HeLa cell death via increasing GSH depletion rather than ROS levels","type":"article-journal","volume":"37"},"uris":["http://www.mendeley.com/documents/?uuid=0f7cd3b7-c061-4834-83b5-e84cac1a69e3"]}],"mendeley":{"formattedCitation":"(Hsu et al., 2016; Maurya et al., 2010; Park, 2017)","plainTextFormattedCitation":"(Hsu et al., 2016; Maurya et al., 2010; Park, 2017)","previouslyFormattedCitation":"[44,48,49]"},"properties":{"noteIndex":0},"schema":"https://github.com/citation-style-language/schema/raw/master/csl-citation.json"}</w:instrText>
      </w:r>
      <w:r w:rsidR="009D749C">
        <w:rPr>
          <w:rFonts w:ascii="Times New Roman" w:hAnsi="Times New Roman"/>
          <w:sz w:val="24"/>
          <w:szCs w:val="24"/>
        </w:rPr>
        <w:fldChar w:fldCharType="separate"/>
      </w:r>
      <w:r w:rsidR="0027650C" w:rsidRPr="0027650C">
        <w:rPr>
          <w:rFonts w:ascii="Times New Roman" w:hAnsi="Times New Roman"/>
          <w:noProof/>
          <w:sz w:val="24"/>
          <w:szCs w:val="24"/>
        </w:rPr>
        <w:t>(Hsu et al., 2016; Maurya et al., 2010; Park, 2017)</w:t>
      </w:r>
      <w:r w:rsidR="009D749C">
        <w:rPr>
          <w:rFonts w:ascii="Times New Roman" w:hAnsi="Times New Roman"/>
          <w:sz w:val="24"/>
          <w:szCs w:val="24"/>
        </w:rPr>
        <w:fldChar w:fldCharType="end"/>
      </w:r>
      <w:r w:rsidR="00EF34FD">
        <w:rPr>
          <w:rFonts w:ascii="Times New Roman" w:hAnsi="Times New Roman"/>
          <w:sz w:val="24"/>
          <w:szCs w:val="24"/>
        </w:rPr>
        <w:t>.</w:t>
      </w:r>
      <w:r w:rsidR="0027138C">
        <w:rPr>
          <w:rFonts w:ascii="Times New Roman" w:hAnsi="Times New Roman"/>
          <w:sz w:val="24"/>
          <w:szCs w:val="24"/>
        </w:rPr>
        <w:t xml:space="preserve"> </w:t>
      </w:r>
    </w:p>
    <w:p w14:paraId="5E9A6CBC" w14:textId="28045978" w:rsidR="00BA6A3E" w:rsidRDefault="0027138C" w:rsidP="00003EB1">
      <w:pPr>
        <w:spacing w:line="276" w:lineRule="auto"/>
        <w:jc w:val="both"/>
        <w:rPr>
          <w:rFonts w:ascii="Times New Roman" w:hAnsi="Times New Roman"/>
          <w:sz w:val="24"/>
          <w:szCs w:val="24"/>
        </w:rPr>
      </w:pPr>
      <w:r>
        <w:rPr>
          <w:rFonts w:ascii="Times New Roman" w:hAnsi="Times New Roman"/>
          <w:sz w:val="24"/>
          <w:szCs w:val="24"/>
        </w:rPr>
        <w:t>T</w:t>
      </w:r>
      <w:r w:rsidR="00B51AE2">
        <w:rPr>
          <w:rFonts w:ascii="Times New Roman" w:hAnsi="Times New Roman"/>
          <w:sz w:val="24"/>
          <w:szCs w:val="24"/>
        </w:rPr>
        <w:t>he trend of activities of methyl gall</w:t>
      </w:r>
      <w:r w:rsidR="00E31225">
        <w:rPr>
          <w:rFonts w:ascii="Times New Roman" w:hAnsi="Times New Roman"/>
          <w:sz w:val="24"/>
          <w:szCs w:val="24"/>
        </w:rPr>
        <w:t xml:space="preserve">ate parallels </w:t>
      </w:r>
      <w:r w:rsidR="00B51AE2">
        <w:rPr>
          <w:rFonts w:ascii="Times New Roman" w:hAnsi="Times New Roman"/>
          <w:sz w:val="24"/>
          <w:szCs w:val="24"/>
        </w:rPr>
        <w:t xml:space="preserve">that of </w:t>
      </w:r>
      <w:r w:rsidR="006D64A5" w:rsidRPr="006D64A5">
        <w:rPr>
          <w:rFonts w:ascii="Times New Roman" w:hAnsi="Times New Roman"/>
          <w:i/>
          <w:sz w:val="24"/>
          <w:szCs w:val="24"/>
        </w:rPr>
        <w:t xml:space="preserve">S. </w:t>
      </w:r>
      <w:proofErr w:type="spellStart"/>
      <w:r w:rsidR="006D64A5" w:rsidRPr="006D64A5">
        <w:rPr>
          <w:rFonts w:ascii="Times New Roman" w:hAnsi="Times New Roman"/>
          <w:i/>
          <w:sz w:val="24"/>
          <w:szCs w:val="24"/>
        </w:rPr>
        <w:t>coriaceum</w:t>
      </w:r>
      <w:proofErr w:type="spellEnd"/>
      <w:r w:rsidR="006D64A5">
        <w:rPr>
          <w:rFonts w:ascii="Times New Roman" w:hAnsi="Times New Roman"/>
          <w:sz w:val="24"/>
          <w:szCs w:val="24"/>
        </w:rPr>
        <w:t xml:space="preserve"> extract.  Thus, given the abundance of methyl gallate in the extract and the similarity in activi</w:t>
      </w:r>
      <w:r w:rsidR="00C84ACD">
        <w:rPr>
          <w:rFonts w:ascii="Times New Roman" w:hAnsi="Times New Roman"/>
          <w:sz w:val="24"/>
          <w:szCs w:val="24"/>
        </w:rPr>
        <w:t xml:space="preserve">ties, it may be postulated that methyl gallate is the principal bioactive component of </w:t>
      </w:r>
      <w:r w:rsidR="00C84ACD" w:rsidRPr="006B10CD">
        <w:rPr>
          <w:rFonts w:ascii="Times New Roman" w:hAnsi="Times New Roman"/>
          <w:i/>
          <w:sz w:val="24"/>
          <w:szCs w:val="24"/>
        </w:rPr>
        <w:t xml:space="preserve">S. </w:t>
      </w:r>
      <w:proofErr w:type="spellStart"/>
      <w:r w:rsidR="00C84ACD" w:rsidRPr="006B10CD">
        <w:rPr>
          <w:rFonts w:ascii="Times New Roman" w:hAnsi="Times New Roman"/>
          <w:i/>
          <w:sz w:val="24"/>
          <w:szCs w:val="24"/>
        </w:rPr>
        <w:t>coriaceum</w:t>
      </w:r>
      <w:proofErr w:type="spellEnd"/>
      <w:r w:rsidR="00C84ACD">
        <w:rPr>
          <w:rFonts w:ascii="Times New Roman" w:hAnsi="Times New Roman"/>
          <w:sz w:val="24"/>
          <w:szCs w:val="24"/>
        </w:rPr>
        <w:t xml:space="preserve"> leaf. However, the contribution of other </w:t>
      </w:r>
      <w:r w:rsidR="00A21E8F">
        <w:rPr>
          <w:rFonts w:ascii="Times New Roman" w:hAnsi="Times New Roman"/>
          <w:sz w:val="24"/>
          <w:szCs w:val="24"/>
        </w:rPr>
        <w:t>phytochemicals presents, acting in synergism with methyl gallate cannot be excluded and require</w:t>
      </w:r>
      <w:r w:rsidR="00531691">
        <w:rPr>
          <w:rFonts w:ascii="Times New Roman" w:hAnsi="Times New Roman"/>
          <w:sz w:val="24"/>
          <w:szCs w:val="24"/>
        </w:rPr>
        <w:t>s</w:t>
      </w:r>
      <w:r w:rsidR="00A21E8F">
        <w:rPr>
          <w:rFonts w:ascii="Times New Roman" w:hAnsi="Times New Roman"/>
          <w:sz w:val="24"/>
          <w:szCs w:val="24"/>
        </w:rPr>
        <w:t xml:space="preserve"> further investigation.</w:t>
      </w:r>
    </w:p>
    <w:p w14:paraId="4EFE5C83" w14:textId="24EDDA5A" w:rsidR="006242A9" w:rsidRDefault="006242A9" w:rsidP="00003EB1">
      <w:pPr>
        <w:spacing w:line="276" w:lineRule="auto"/>
        <w:jc w:val="both"/>
        <w:rPr>
          <w:rFonts w:ascii="Times New Roman" w:hAnsi="Times New Roman"/>
          <w:sz w:val="24"/>
          <w:szCs w:val="24"/>
        </w:rPr>
      </w:pPr>
    </w:p>
    <w:p w14:paraId="05DEF796" w14:textId="77777777" w:rsidR="00650575" w:rsidRPr="00E31225" w:rsidRDefault="00650575" w:rsidP="00650575">
      <w:pPr>
        <w:pStyle w:val="ListParagraph"/>
        <w:numPr>
          <w:ilvl w:val="0"/>
          <w:numId w:val="2"/>
        </w:numPr>
        <w:spacing w:line="276" w:lineRule="auto"/>
        <w:jc w:val="both"/>
        <w:rPr>
          <w:rFonts w:ascii="Times New Roman" w:hAnsi="Times New Roman"/>
          <w:b/>
          <w:sz w:val="24"/>
          <w:szCs w:val="24"/>
        </w:rPr>
      </w:pPr>
      <w:r w:rsidRPr="00E31225">
        <w:rPr>
          <w:rFonts w:ascii="Times New Roman" w:hAnsi="Times New Roman"/>
          <w:b/>
          <w:sz w:val="24"/>
          <w:szCs w:val="24"/>
        </w:rPr>
        <w:t>CONCLUSIONS</w:t>
      </w:r>
    </w:p>
    <w:p w14:paraId="55CCF328" w14:textId="35FE48A7" w:rsidR="00650575" w:rsidRDefault="00650575" w:rsidP="00650575">
      <w:pPr>
        <w:spacing w:line="276" w:lineRule="auto"/>
        <w:jc w:val="both"/>
        <w:rPr>
          <w:rFonts w:ascii="Times New Roman" w:hAnsi="Times New Roman"/>
          <w:sz w:val="24"/>
          <w:szCs w:val="24"/>
        </w:rPr>
      </w:pPr>
      <w:r w:rsidRPr="005F2B3F">
        <w:rPr>
          <w:rFonts w:ascii="Times New Roman" w:hAnsi="Times New Roman"/>
          <w:sz w:val="24"/>
          <w:szCs w:val="24"/>
        </w:rPr>
        <w:t xml:space="preserve">In this work, </w:t>
      </w:r>
      <w:r>
        <w:rPr>
          <w:rFonts w:ascii="Times New Roman" w:hAnsi="Times New Roman"/>
          <w:sz w:val="24"/>
          <w:szCs w:val="24"/>
        </w:rPr>
        <w:t xml:space="preserve">the antioxidant-rich </w:t>
      </w:r>
      <w:proofErr w:type="spellStart"/>
      <w:r w:rsidRPr="00C045F9">
        <w:rPr>
          <w:rFonts w:ascii="Times New Roman" w:hAnsi="Times New Roman"/>
          <w:i/>
          <w:sz w:val="24"/>
          <w:szCs w:val="24"/>
        </w:rPr>
        <w:t>S</w:t>
      </w:r>
      <w:r>
        <w:rPr>
          <w:rFonts w:ascii="Times New Roman" w:hAnsi="Times New Roman"/>
          <w:i/>
          <w:sz w:val="24"/>
          <w:szCs w:val="24"/>
        </w:rPr>
        <w:t>yzygium</w:t>
      </w:r>
      <w:proofErr w:type="spellEnd"/>
      <w:r w:rsidRPr="00C045F9">
        <w:rPr>
          <w:rFonts w:ascii="Times New Roman" w:hAnsi="Times New Roman"/>
          <w:i/>
          <w:sz w:val="24"/>
          <w:szCs w:val="24"/>
        </w:rPr>
        <w:t xml:space="preserve"> </w:t>
      </w:r>
      <w:proofErr w:type="spellStart"/>
      <w:r w:rsidRPr="00C045F9">
        <w:rPr>
          <w:rFonts w:ascii="Times New Roman" w:hAnsi="Times New Roman"/>
          <w:i/>
          <w:sz w:val="24"/>
          <w:szCs w:val="24"/>
        </w:rPr>
        <w:t>coriaceum</w:t>
      </w:r>
      <w:proofErr w:type="spellEnd"/>
      <w:r>
        <w:rPr>
          <w:rFonts w:ascii="Times New Roman" w:hAnsi="Times New Roman"/>
          <w:sz w:val="24"/>
          <w:szCs w:val="24"/>
        </w:rPr>
        <w:t xml:space="preserve"> was selectively cytotoxic to HepG2 cells possibly </w:t>
      </w:r>
      <w:r w:rsidR="000F4C91">
        <w:rPr>
          <w:rFonts w:ascii="Times New Roman" w:hAnsi="Times New Roman"/>
          <w:sz w:val="24"/>
          <w:szCs w:val="24"/>
        </w:rPr>
        <w:t xml:space="preserve">induced </w:t>
      </w:r>
      <w:r>
        <w:rPr>
          <w:rFonts w:ascii="Times New Roman" w:hAnsi="Times New Roman"/>
          <w:sz w:val="24"/>
          <w:szCs w:val="24"/>
        </w:rPr>
        <w:t>by oxidative stress-induced cell death. The</w:t>
      </w:r>
      <w:r w:rsidRPr="005F2B3F">
        <w:rPr>
          <w:rFonts w:ascii="Times New Roman" w:hAnsi="Times New Roman"/>
          <w:sz w:val="24"/>
          <w:szCs w:val="24"/>
        </w:rPr>
        <w:t xml:space="preserve"> bio</w:t>
      </w:r>
      <w:r>
        <w:rPr>
          <w:rFonts w:ascii="Times New Roman" w:hAnsi="Times New Roman"/>
          <w:sz w:val="24"/>
          <w:szCs w:val="24"/>
        </w:rPr>
        <w:t>assay-</w:t>
      </w:r>
      <w:r w:rsidRPr="005F2B3F">
        <w:rPr>
          <w:rFonts w:ascii="Times New Roman" w:hAnsi="Times New Roman"/>
          <w:sz w:val="24"/>
          <w:szCs w:val="24"/>
        </w:rPr>
        <w:t>guided fra</w:t>
      </w:r>
      <w:r>
        <w:rPr>
          <w:rFonts w:ascii="Times New Roman" w:hAnsi="Times New Roman"/>
          <w:sz w:val="24"/>
          <w:szCs w:val="24"/>
        </w:rPr>
        <w:t>ctionation of the plant extract</w:t>
      </w:r>
      <w:r w:rsidRPr="005F2B3F">
        <w:rPr>
          <w:rFonts w:ascii="Times New Roman" w:hAnsi="Times New Roman"/>
          <w:sz w:val="24"/>
          <w:szCs w:val="24"/>
        </w:rPr>
        <w:t xml:space="preserve"> using the HepG2 cell line allowed for the identification of gallic acid and methyl </w:t>
      </w:r>
      <w:r w:rsidRPr="005F2B3F">
        <w:rPr>
          <w:rFonts w:ascii="Times New Roman" w:hAnsi="Times New Roman"/>
          <w:sz w:val="24"/>
          <w:szCs w:val="24"/>
        </w:rPr>
        <w:lastRenderedPageBreak/>
        <w:t>gallate as major bioactive component</w:t>
      </w:r>
      <w:r>
        <w:rPr>
          <w:rFonts w:ascii="Times New Roman" w:hAnsi="Times New Roman"/>
          <w:sz w:val="24"/>
          <w:szCs w:val="24"/>
        </w:rPr>
        <w:t>s</w:t>
      </w:r>
      <w:r w:rsidRPr="005F2B3F">
        <w:rPr>
          <w:rFonts w:ascii="Times New Roman" w:hAnsi="Times New Roman"/>
          <w:sz w:val="24"/>
          <w:szCs w:val="24"/>
        </w:rPr>
        <w:t xml:space="preserve"> in the ethyl acetate fraction.  Additionally, two quercetin glycosides namely</w:t>
      </w:r>
      <w:r>
        <w:rPr>
          <w:rFonts w:ascii="Times New Roman" w:hAnsi="Times New Roman"/>
          <w:sz w:val="24"/>
          <w:szCs w:val="24"/>
        </w:rPr>
        <w:t xml:space="preserve"> </w:t>
      </w:r>
      <w:r>
        <w:rPr>
          <w:rFonts w:ascii="Times New Roman" w:hAnsi="Times New Roman"/>
          <w:sz w:val="24"/>
          <w:szCs w:val="24"/>
          <w:lang w:val="en-US"/>
        </w:rPr>
        <w:t>quercitrin</w:t>
      </w:r>
      <w:r w:rsidRPr="003C0B22">
        <w:rPr>
          <w:rFonts w:ascii="Times New Roman" w:hAnsi="Times New Roman"/>
          <w:sz w:val="24"/>
          <w:szCs w:val="24"/>
          <w:lang w:val="en-US"/>
        </w:rPr>
        <w:t xml:space="preserve"> </w:t>
      </w:r>
      <w:r>
        <w:rPr>
          <w:rFonts w:ascii="Times New Roman" w:hAnsi="Times New Roman"/>
          <w:sz w:val="24"/>
          <w:szCs w:val="24"/>
          <w:lang w:val="en-US"/>
        </w:rPr>
        <w:t xml:space="preserve">and </w:t>
      </w:r>
      <w:r w:rsidRPr="00E55994">
        <w:rPr>
          <w:rFonts w:ascii="Times New Roman" w:hAnsi="Times New Roman"/>
          <w:color w:val="000000"/>
          <w:sz w:val="24"/>
          <w:szCs w:val="24"/>
          <w:shd w:val="clear" w:color="auto" w:fill="FFFFFF"/>
        </w:rPr>
        <w:t>quercetin 3-O-β-D-</w:t>
      </w:r>
      <w:proofErr w:type="spellStart"/>
      <w:r w:rsidRPr="00E55994">
        <w:rPr>
          <w:rFonts w:ascii="Times New Roman" w:hAnsi="Times New Roman"/>
          <w:color w:val="000000"/>
          <w:sz w:val="24"/>
          <w:szCs w:val="24"/>
          <w:shd w:val="clear" w:color="auto" w:fill="FFFFFF"/>
        </w:rPr>
        <w:t>xylopyranosyl</w:t>
      </w:r>
      <w:proofErr w:type="spellEnd"/>
      <w:r w:rsidRPr="00E55994">
        <w:rPr>
          <w:rFonts w:ascii="Times New Roman" w:hAnsi="Times New Roman"/>
          <w:color w:val="000000"/>
          <w:sz w:val="24"/>
          <w:szCs w:val="24"/>
          <w:shd w:val="clear" w:color="auto" w:fill="FFFFFF"/>
        </w:rPr>
        <w:t>-(1→2)-α-L-</w:t>
      </w:r>
      <w:proofErr w:type="spellStart"/>
      <w:r w:rsidRPr="00E55994">
        <w:rPr>
          <w:rFonts w:ascii="Times New Roman" w:hAnsi="Times New Roman"/>
          <w:color w:val="000000"/>
          <w:sz w:val="24"/>
          <w:szCs w:val="24"/>
          <w:shd w:val="clear" w:color="auto" w:fill="FFFFFF"/>
        </w:rPr>
        <w:t>rhamnopyranoside</w:t>
      </w:r>
      <w:proofErr w:type="spellEnd"/>
      <w:r>
        <w:rPr>
          <w:rFonts w:ascii="Times New Roman" w:hAnsi="Times New Roman"/>
          <w:sz w:val="24"/>
          <w:szCs w:val="24"/>
          <w:lang w:val="en-US"/>
        </w:rPr>
        <w:t xml:space="preserve"> </w:t>
      </w:r>
      <w:r w:rsidRPr="00412B32">
        <w:rPr>
          <w:rFonts w:ascii="Times New Roman" w:hAnsi="Times New Roman"/>
          <w:sz w:val="24"/>
          <w:szCs w:val="24"/>
        </w:rPr>
        <w:t>were</w:t>
      </w:r>
      <w:r w:rsidRPr="005F2B3F">
        <w:rPr>
          <w:rFonts w:ascii="Times New Roman" w:hAnsi="Times New Roman"/>
          <w:sz w:val="24"/>
          <w:szCs w:val="24"/>
        </w:rPr>
        <w:t xml:space="preserve"> identified and reported for the first time from </w:t>
      </w:r>
      <w:r w:rsidRPr="00412B32">
        <w:rPr>
          <w:rFonts w:ascii="Times New Roman" w:hAnsi="Times New Roman"/>
          <w:i/>
          <w:sz w:val="24"/>
          <w:szCs w:val="24"/>
        </w:rPr>
        <w:t xml:space="preserve">S. </w:t>
      </w:r>
      <w:proofErr w:type="spellStart"/>
      <w:r w:rsidRPr="00412B32">
        <w:rPr>
          <w:rFonts w:ascii="Times New Roman" w:hAnsi="Times New Roman"/>
          <w:i/>
          <w:sz w:val="24"/>
          <w:szCs w:val="24"/>
        </w:rPr>
        <w:t>coriaceum</w:t>
      </w:r>
      <w:proofErr w:type="spellEnd"/>
      <w:r>
        <w:rPr>
          <w:rFonts w:ascii="Times New Roman" w:hAnsi="Times New Roman"/>
          <w:sz w:val="24"/>
          <w:szCs w:val="24"/>
        </w:rPr>
        <w:t xml:space="preserve"> leaf. </w:t>
      </w:r>
      <w:r w:rsidRPr="00606D52">
        <w:rPr>
          <w:rFonts w:ascii="Times New Roman" w:hAnsi="Times New Roman"/>
          <w:sz w:val="24"/>
          <w:szCs w:val="24"/>
          <w:lang w:val="en-US"/>
        </w:rPr>
        <w:t xml:space="preserve">Taken </w:t>
      </w:r>
      <w:r>
        <w:rPr>
          <w:rFonts w:ascii="Times New Roman" w:hAnsi="Times New Roman"/>
          <w:sz w:val="24"/>
          <w:szCs w:val="24"/>
          <w:lang w:val="en-US"/>
        </w:rPr>
        <w:t xml:space="preserve">all together, </w:t>
      </w:r>
      <w:r w:rsidRPr="00606D52">
        <w:rPr>
          <w:rFonts w:ascii="Times New Roman" w:hAnsi="Times New Roman"/>
          <w:sz w:val="24"/>
          <w:szCs w:val="24"/>
          <w:lang w:val="en-US"/>
        </w:rPr>
        <w:t xml:space="preserve">it may be strongly proposed that methyl gallate may individually or synergistically contribute to the growth inhibitory activity of </w:t>
      </w:r>
      <w:r w:rsidRPr="00606D52">
        <w:rPr>
          <w:rFonts w:ascii="Times New Roman" w:hAnsi="Times New Roman"/>
          <w:i/>
          <w:sz w:val="24"/>
          <w:szCs w:val="24"/>
          <w:lang w:val="en-US"/>
        </w:rPr>
        <w:t xml:space="preserve">S. </w:t>
      </w:r>
      <w:proofErr w:type="spellStart"/>
      <w:r w:rsidRPr="00606D52">
        <w:rPr>
          <w:rFonts w:ascii="Times New Roman" w:hAnsi="Times New Roman"/>
          <w:i/>
          <w:sz w:val="24"/>
          <w:szCs w:val="24"/>
          <w:lang w:val="en-US"/>
        </w:rPr>
        <w:t>coriaceum</w:t>
      </w:r>
      <w:proofErr w:type="spellEnd"/>
      <w:r w:rsidRPr="00606D52">
        <w:rPr>
          <w:rFonts w:ascii="Times New Roman" w:hAnsi="Times New Roman"/>
          <w:sz w:val="24"/>
          <w:szCs w:val="24"/>
          <w:lang w:val="en-US"/>
        </w:rPr>
        <w:t xml:space="preserve">. However, the contribution of other phytochemicals present cannot be excluded </w:t>
      </w:r>
      <w:r>
        <w:rPr>
          <w:rFonts w:ascii="Times New Roman" w:hAnsi="Times New Roman"/>
          <w:sz w:val="24"/>
          <w:szCs w:val="24"/>
          <w:lang w:val="en-US"/>
        </w:rPr>
        <w:t>thus requiring</w:t>
      </w:r>
      <w:r w:rsidRPr="00606D52">
        <w:rPr>
          <w:rFonts w:ascii="Times New Roman" w:hAnsi="Times New Roman"/>
          <w:sz w:val="24"/>
          <w:szCs w:val="24"/>
          <w:lang w:val="en-US"/>
        </w:rPr>
        <w:t xml:space="preserve"> more in-depth investigation.</w:t>
      </w:r>
      <w:r>
        <w:rPr>
          <w:rFonts w:ascii="Times New Roman" w:hAnsi="Times New Roman"/>
          <w:sz w:val="24"/>
          <w:szCs w:val="24"/>
          <w:lang w:val="en-US"/>
        </w:rPr>
        <w:t xml:space="preserve"> In line with the US national cancer institute criteria, the </w:t>
      </w:r>
      <w:r w:rsidRPr="00E31225">
        <w:rPr>
          <w:rFonts w:ascii="Times New Roman" w:hAnsi="Times New Roman"/>
          <w:i/>
          <w:sz w:val="24"/>
          <w:szCs w:val="24"/>
          <w:lang w:val="en-US"/>
        </w:rPr>
        <w:t>IC</w:t>
      </w:r>
      <w:r w:rsidRPr="00E31225">
        <w:rPr>
          <w:rFonts w:ascii="Times New Roman" w:hAnsi="Times New Roman"/>
          <w:i/>
          <w:sz w:val="24"/>
          <w:szCs w:val="24"/>
          <w:vertAlign w:val="subscript"/>
          <w:lang w:val="en-US"/>
        </w:rPr>
        <w:t>50</w:t>
      </w:r>
      <w:r>
        <w:rPr>
          <w:rFonts w:ascii="Times New Roman" w:hAnsi="Times New Roman"/>
          <w:sz w:val="24"/>
          <w:szCs w:val="24"/>
          <w:lang w:val="en-US"/>
        </w:rPr>
        <w:t xml:space="preserve"> value of </w:t>
      </w:r>
      <w:r w:rsidRPr="00E31225">
        <w:rPr>
          <w:rFonts w:ascii="Times New Roman" w:hAnsi="Times New Roman"/>
          <w:i/>
          <w:sz w:val="24"/>
          <w:szCs w:val="24"/>
          <w:lang w:val="en-US"/>
        </w:rPr>
        <w:t xml:space="preserve">S. </w:t>
      </w:r>
      <w:proofErr w:type="spellStart"/>
      <w:r w:rsidRPr="00E31225">
        <w:rPr>
          <w:rFonts w:ascii="Times New Roman" w:hAnsi="Times New Roman"/>
          <w:i/>
          <w:sz w:val="24"/>
          <w:szCs w:val="24"/>
          <w:lang w:val="en-US"/>
        </w:rPr>
        <w:t>coriaceum</w:t>
      </w:r>
      <w:proofErr w:type="spellEnd"/>
      <w:r>
        <w:rPr>
          <w:rFonts w:ascii="Times New Roman" w:hAnsi="Times New Roman"/>
          <w:sz w:val="24"/>
          <w:szCs w:val="24"/>
          <w:lang w:val="en-US"/>
        </w:rPr>
        <w:t xml:space="preserve"> obtained in this study, make the extract an interesting candidate with anticancer potential. Further mechanistic directed studies are warranted to establish the molecular cell death mechanisms in hepatocellular carcinoma as well as in other cancer cell types. </w:t>
      </w:r>
    </w:p>
    <w:p w14:paraId="53DE8191" w14:textId="77777777" w:rsidR="00650575" w:rsidRPr="00003EB1" w:rsidRDefault="00650575" w:rsidP="00003EB1">
      <w:pPr>
        <w:spacing w:line="276" w:lineRule="auto"/>
        <w:jc w:val="both"/>
        <w:rPr>
          <w:rFonts w:ascii="Times New Roman" w:hAnsi="Times New Roman"/>
          <w:sz w:val="24"/>
          <w:szCs w:val="24"/>
        </w:rPr>
      </w:pPr>
    </w:p>
    <w:p w14:paraId="7C96035C" w14:textId="60907195" w:rsidR="004F3300" w:rsidRDefault="004F3300" w:rsidP="00E339CC">
      <w:pPr>
        <w:spacing w:line="276" w:lineRule="auto"/>
        <w:jc w:val="both"/>
        <w:rPr>
          <w:rFonts w:ascii="Times New Roman" w:hAnsi="Times New Roman"/>
          <w:sz w:val="24"/>
          <w:szCs w:val="24"/>
        </w:rPr>
      </w:pPr>
    </w:p>
    <w:p w14:paraId="20623DF8" w14:textId="3428B721" w:rsidR="000375EF" w:rsidRDefault="000375EF" w:rsidP="00E339CC">
      <w:pPr>
        <w:spacing w:line="276" w:lineRule="auto"/>
        <w:jc w:val="both"/>
        <w:rPr>
          <w:rFonts w:ascii="Times New Roman" w:hAnsi="Times New Roman"/>
          <w:sz w:val="24"/>
          <w:szCs w:val="24"/>
        </w:rPr>
      </w:pPr>
    </w:p>
    <w:p w14:paraId="19063FC9" w14:textId="274F1690" w:rsidR="000375EF" w:rsidRDefault="000375EF" w:rsidP="00E339CC">
      <w:pPr>
        <w:spacing w:line="276" w:lineRule="auto"/>
        <w:jc w:val="both"/>
        <w:rPr>
          <w:rFonts w:ascii="Times New Roman" w:hAnsi="Times New Roman"/>
          <w:sz w:val="24"/>
          <w:szCs w:val="24"/>
        </w:rPr>
      </w:pPr>
    </w:p>
    <w:p w14:paraId="20214C9C" w14:textId="7E0063B3" w:rsidR="000375EF" w:rsidRDefault="000375EF" w:rsidP="00E339CC">
      <w:pPr>
        <w:spacing w:line="276" w:lineRule="auto"/>
        <w:jc w:val="both"/>
        <w:rPr>
          <w:rFonts w:ascii="Times New Roman" w:hAnsi="Times New Roman"/>
          <w:sz w:val="24"/>
          <w:szCs w:val="24"/>
        </w:rPr>
      </w:pPr>
    </w:p>
    <w:p w14:paraId="6FFDC894" w14:textId="610932EE" w:rsidR="000375EF" w:rsidRDefault="000375EF" w:rsidP="00E339CC">
      <w:pPr>
        <w:spacing w:line="276" w:lineRule="auto"/>
        <w:jc w:val="both"/>
        <w:rPr>
          <w:rFonts w:ascii="Times New Roman" w:hAnsi="Times New Roman"/>
          <w:sz w:val="24"/>
          <w:szCs w:val="24"/>
        </w:rPr>
      </w:pPr>
    </w:p>
    <w:p w14:paraId="116DA5B5" w14:textId="77777777" w:rsidR="000375EF" w:rsidRDefault="000375EF" w:rsidP="000375EF">
      <w:pPr>
        <w:spacing w:line="276" w:lineRule="auto"/>
        <w:jc w:val="both"/>
        <w:rPr>
          <w:rFonts w:ascii="Times New Roman" w:hAnsi="Times New Roman"/>
          <w:sz w:val="24"/>
          <w:szCs w:val="24"/>
        </w:rPr>
      </w:pPr>
      <w:r w:rsidRPr="00FC1A5A">
        <w:rPr>
          <w:noProof/>
          <w:lang w:val="en-US"/>
        </w:rPr>
        <w:drawing>
          <wp:inline distT="0" distB="0" distL="0" distR="0" wp14:anchorId="65881374" wp14:editId="305F473F">
            <wp:extent cx="5943600" cy="2095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095500"/>
                    </a:xfrm>
                    <a:prstGeom prst="rect">
                      <a:avLst/>
                    </a:prstGeom>
                    <a:noFill/>
                    <a:ln>
                      <a:noFill/>
                    </a:ln>
                  </pic:spPr>
                </pic:pic>
              </a:graphicData>
            </a:graphic>
          </wp:inline>
        </w:drawing>
      </w:r>
    </w:p>
    <w:p w14:paraId="367ACA86" w14:textId="77777777" w:rsidR="000375EF" w:rsidRPr="00FC1A5A" w:rsidRDefault="000375EF" w:rsidP="000375EF">
      <w:pPr>
        <w:spacing w:line="276" w:lineRule="auto"/>
        <w:jc w:val="both"/>
        <w:rPr>
          <w:rFonts w:ascii="Times New Roman" w:hAnsi="Times New Roman"/>
          <w:sz w:val="24"/>
          <w:szCs w:val="24"/>
        </w:rPr>
      </w:pPr>
      <w:r w:rsidRPr="00AE7D02">
        <w:rPr>
          <w:rFonts w:ascii="Times New Roman" w:hAnsi="Times New Roman"/>
          <w:b/>
          <w:sz w:val="24"/>
          <w:szCs w:val="24"/>
        </w:rPr>
        <w:t xml:space="preserve">Figure  </w:t>
      </w:r>
      <w:r w:rsidRPr="00AE7D02">
        <w:rPr>
          <w:rFonts w:ascii="Times New Roman" w:hAnsi="Times New Roman"/>
          <w:b/>
          <w:sz w:val="24"/>
          <w:szCs w:val="24"/>
        </w:rPr>
        <w:fldChar w:fldCharType="begin"/>
      </w:r>
      <w:r w:rsidRPr="00AE7D02">
        <w:rPr>
          <w:rFonts w:ascii="Times New Roman" w:hAnsi="Times New Roman"/>
          <w:b/>
          <w:sz w:val="24"/>
          <w:szCs w:val="24"/>
        </w:rPr>
        <w:instrText xml:space="preserve"> SEQ Figure_ \* ARABIC </w:instrText>
      </w:r>
      <w:r w:rsidRPr="00AE7D02">
        <w:rPr>
          <w:rFonts w:ascii="Times New Roman" w:hAnsi="Times New Roman"/>
          <w:b/>
          <w:sz w:val="24"/>
          <w:szCs w:val="24"/>
        </w:rPr>
        <w:fldChar w:fldCharType="separate"/>
      </w:r>
      <w:r w:rsidRPr="00AE7D02">
        <w:rPr>
          <w:rFonts w:ascii="Times New Roman" w:hAnsi="Times New Roman"/>
          <w:b/>
          <w:sz w:val="24"/>
          <w:szCs w:val="24"/>
        </w:rPr>
        <w:t>1</w:t>
      </w:r>
      <w:r w:rsidRPr="00AE7D02">
        <w:rPr>
          <w:rFonts w:ascii="Times New Roman" w:hAnsi="Times New Roman"/>
          <w:b/>
          <w:sz w:val="24"/>
          <w:szCs w:val="24"/>
        </w:rPr>
        <w:fldChar w:fldCharType="end"/>
      </w:r>
      <w:r w:rsidRPr="00FC1A5A">
        <w:rPr>
          <w:rFonts w:ascii="Times New Roman" w:hAnsi="Times New Roman"/>
          <w:sz w:val="24"/>
          <w:szCs w:val="24"/>
        </w:rPr>
        <w:t xml:space="preserve">: The Mauritian endemic </w:t>
      </w:r>
      <w:proofErr w:type="spellStart"/>
      <w:r w:rsidRPr="00FC1A5A">
        <w:rPr>
          <w:rFonts w:ascii="Times New Roman" w:hAnsi="Times New Roman"/>
          <w:i/>
          <w:sz w:val="24"/>
          <w:szCs w:val="24"/>
        </w:rPr>
        <w:t>Syzygium</w:t>
      </w:r>
      <w:proofErr w:type="spellEnd"/>
      <w:r w:rsidRPr="00FC1A5A">
        <w:rPr>
          <w:rFonts w:ascii="Times New Roman" w:hAnsi="Times New Roman"/>
          <w:sz w:val="24"/>
          <w:szCs w:val="24"/>
        </w:rPr>
        <w:t xml:space="preserve"> species under study. The Mauritius he</w:t>
      </w:r>
      <w:r>
        <w:rPr>
          <w:rFonts w:ascii="Times New Roman" w:hAnsi="Times New Roman"/>
          <w:sz w:val="24"/>
          <w:szCs w:val="24"/>
        </w:rPr>
        <w:t>rbarium voucher specimen</w:t>
      </w:r>
      <w:r w:rsidRPr="00FC1A5A">
        <w:rPr>
          <w:rFonts w:ascii="Times New Roman" w:hAnsi="Times New Roman"/>
          <w:sz w:val="24"/>
          <w:szCs w:val="24"/>
        </w:rPr>
        <w:t xml:space="preserve"> number is given in brackets (). A – </w:t>
      </w:r>
      <w:r w:rsidRPr="00FC1A5A">
        <w:rPr>
          <w:rFonts w:ascii="Times New Roman" w:hAnsi="Times New Roman"/>
          <w:i/>
          <w:sz w:val="24"/>
          <w:szCs w:val="24"/>
        </w:rPr>
        <w:t>S.</w:t>
      </w:r>
      <w:r w:rsidRPr="00FC1A5A">
        <w:rPr>
          <w:rFonts w:ascii="Times New Roman" w:hAnsi="Times New Roman"/>
          <w:i/>
          <w:iCs/>
          <w:sz w:val="24"/>
          <w:szCs w:val="24"/>
        </w:rPr>
        <w:t xml:space="preserve"> </w:t>
      </w:r>
      <w:proofErr w:type="spellStart"/>
      <w:r w:rsidRPr="00FC1A5A">
        <w:rPr>
          <w:rFonts w:ascii="Times New Roman" w:hAnsi="Times New Roman"/>
          <w:i/>
          <w:iCs/>
          <w:sz w:val="24"/>
          <w:szCs w:val="24"/>
        </w:rPr>
        <w:t>bijouxii</w:t>
      </w:r>
      <w:proofErr w:type="spellEnd"/>
      <w:r w:rsidRPr="00FC1A5A">
        <w:rPr>
          <w:rFonts w:ascii="Times New Roman" w:hAnsi="Times New Roman"/>
          <w:sz w:val="24"/>
          <w:szCs w:val="24"/>
        </w:rPr>
        <w:t xml:space="preserve"> </w:t>
      </w:r>
      <w:proofErr w:type="spellStart"/>
      <w:r w:rsidRPr="00CA5158">
        <w:rPr>
          <w:rFonts w:ascii="Times New Roman" w:eastAsia="Times New Roman" w:hAnsi="Times New Roman"/>
        </w:rPr>
        <w:t>Guého</w:t>
      </w:r>
      <w:proofErr w:type="spellEnd"/>
      <w:r w:rsidRPr="00CA5158">
        <w:rPr>
          <w:rFonts w:ascii="Times New Roman" w:eastAsia="Times New Roman" w:hAnsi="Times New Roman"/>
        </w:rPr>
        <w:t xml:space="preserve"> &amp;</w:t>
      </w:r>
      <w:r>
        <w:rPr>
          <w:rFonts w:ascii="Times New Roman" w:eastAsia="Times New Roman" w:hAnsi="Times New Roman"/>
        </w:rPr>
        <w:t xml:space="preserve"> </w:t>
      </w:r>
      <w:r w:rsidRPr="00CA5158">
        <w:rPr>
          <w:rFonts w:ascii="Times New Roman" w:eastAsia="Times New Roman" w:hAnsi="Times New Roman"/>
        </w:rPr>
        <w:t>A. J. Scott</w:t>
      </w:r>
      <w:r w:rsidRPr="00FC1A5A">
        <w:rPr>
          <w:rFonts w:ascii="Times New Roman" w:hAnsi="Times New Roman"/>
          <w:sz w:val="24"/>
          <w:szCs w:val="24"/>
        </w:rPr>
        <w:t xml:space="preserve"> (MAU 0013805); B – </w:t>
      </w:r>
      <w:r w:rsidRPr="00FC1A5A">
        <w:rPr>
          <w:rFonts w:ascii="Times New Roman" w:hAnsi="Times New Roman"/>
          <w:i/>
          <w:sz w:val="24"/>
          <w:szCs w:val="24"/>
        </w:rPr>
        <w:t xml:space="preserve">S. </w:t>
      </w:r>
      <w:proofErr w:type="spellStart"/>
      <w:r w:rsidRPr="00FC1A5A">
        <w:rPr>
          <w:rFonts w:ascii="Times New Roman" w:hAnsi="Times New Roman"/>
          <w:i/>
          <w:sz w:val="24"/>
          <w:szCs w:val="24"/>
        </w:rPr>
        <w:t>coriaceum</w:t>
      </w:r>
      <w:proofErr w:type="spellEnd"/>
      <w:r w:rsidRPr="00FC1A5A">
        <w:rPr>
          <w:rFonts w:ascii="Times New Roman" w:hAnsi="Times New Roman"/>
          <w:sz w:val="24"/>
          <w:szCs w:val="24"/>
        </w:rPr>
        <w:t xml:space="preserve"> </w:t>
      </w:r>
      <w:proofErr w:type="spellStart"/>
      <w:r w:rsidRPr="00CA5158">
        <w:rPr>
          <w:rFonts w:ascii="Times New Roman" w:eastAsia="Times New Roman" w:hAnsi="Times New Roman"/>
        </w:rPr>
        <w:t>Bosser</w:t>
      </w:r>
      <w:proofErr w:type="spellEnd"/>
      <w:r w:rsidRPr="00CA5158">
        <w:rPr>
          <w:rFonts w:ascii="Times New Roman" w:eastAsia="Times New Roman" w:hAnsi="Times New Roman"/>
        </w:rPr>
        <w:t xml:space="preserve"> &amp; </w:t>
      </w:r>
      <w:proofErr w:type="spellStart"/>
      <w:r w:rsidRPr="00CA5158">
        <w:rPr>
          <w:rFonts w:ascii="Times New Roman" w:eastAsia="Times New Roman" w:hAnsi="Times New Roman"/>
        </w:rPr>
        <w:t>Guého</w:t>
      </w:r>
      <w:proofErr w:type="spellEnd"/>
      <w:r w:rsidRPr="00FC1A5A">
        <w:rPr>
          <w:rFonts w:ascii="Times New Roman" w:hAnsi="Times New Roman"/>
          <w:sz w:val="24"/>
          <w:szCs w:val="24"/>
        </w:rPr>
        <w:t xml:space="preserve"> (MAU 0016404); C – </w:t>
      </w:r>
      <w:r w:rsidRPr="00FC1A5A">
        <w:rPr>
          <w:rFonts w:ascii="Times New Roman" w:hAnsi="Times New Roman"/>
          <w:i/>
          <w:sz w:val="24"/>
          <w:szCs w:val="24"/>
        </w:rPr>
        <w:t xml:space="preserve">S. </w:t>
      </w:r>
      <w:proofErr w:type="spellStart"/>
      <w:r w:rsidRPr="00FC1A5A">
        <w:rPr>
          <w:rFonts w:ascii="Times New Roman" w:hAnsi="Times New Roman"/>
          <w:i/>
          <w:sz w:val="24"/>
          <w:szCs w:val="24"/>
        </w:rPr>
        <w:t>pyneei</w:t>
      </w:r>
      <w:proofErr w:type="spellEnd"/>
      <w:r w:rsidRPr="00FC1A5A">
        <w:rPr>
          <w:rFonts w:ascii="Times New Roman" w:hAnsi="Times New Roman"/>
          <w:i/>
          <w:sz w:val="24"/>
          <w:szCs w:val="24"/>
        </w:rPr>
        <w:t xml:space="preserve"> </w:t>
      </w:r>
      <w:r w:rsidRPr="00CA5158">
        <w:rPr>
          <w:rFonts w:ascii="Times New Roman" w:eastAsia="Times New Roman" w:hAnsi="Times New Roman"/>
        </w:rPr>
        <w:t>Byng, V.</w:t>
      </w:r>
      <w:r>
        <w:rPr>
          <w:rFonts w:ascii="Times New Roman" w:eastAsia="Times New Roman" w:hAnsi="Times New Roman"/>
        </w:rPr>
        <w:t xml:space="preserve"> </w:t>
      </w:r>
      <w:proofErr w:type="spellStart"/>
      <w:r w:rsidRPr="00CA5158">
        <w:rPr>
          <w:rFonts w:ascii="Times New Roman" w:eastAsia="Times New Roman" w:hAnsi="Times New Roman"/>
        </w:rPr>
        <w:t>Florens</w:t>
      </w:r>
      <w:proofErr w:type="spellEnd"/>
      <w:r w:rsidRPr="00CA5158">
        <w:rPr>
          <w:rFonts w:ascii="Times New Roman" w:eastAsia="Times New Roman" w:hAnsi="Times New Roman"/>
        </w:rPr>
        <w:t xml:space="preserve"> &amp; </w:t>
      </w:r>
      <w:proofErr w:type="spellStart"/>
      <w:r w:rsidRPr="00CA5158">
        <w:rPr>
          <w:rFonts w:ascii="Times New Roman" w:eastAsia="Times New Roman" w:hAnsi="Times New Roman"/>
        </w:rPr>
        <w:t>Baider</w:t>
      </w:r>
      <w:proofErr w:type="spellEnd"/>
      <w:r w:rsidRPr="00FC1A5A">
        <w:rPr>
          <w:rFonts w:ascii="Times New Roman" w:hAnsi="Times New Roman"/>
          <w:sz w:val="24"/>
          <w:szCs w:val="24"/>
        </w:rPr>
        <w:t xml:space="preserve"> (MAU 0014026).</w:t>
      </w:r>
    </w:p>
    <w:p w14:paraId="658C79C8" w14:textId="77777777" w:rsidR="000375EF" w:rsidRPr="00A31206" w:rsidRDefault="000375EF" w:rsidP="000375EF">
      <w:pPr>
        <w:keepNext/>
        <w:spacing w:line="276" w:lineRule="auto"/>
        <w:jc w:val="both"/>
        <w:rPr>
          <w:rFonts w:ascii="Times New Roman" w:hAnsi="Times New Roman"/>
          <w:sz w:val="24"/>
          <w:szCs w:val="24"/>
        </w:rPr>
      </w:pPr>
      <w:r>
        <w:rPr>
          <w:rFonts w:ascii="Times New Roman" w:hAnsi="Times New Roman"/>
          <w:noProof/>
          <w:sz w:val="24"/>
          <w:szCs w:val="24"/>
          <w:lang w:val="en-US"/>
        </w:rPr>
        <w:lastRenderedPageBreak/>
        <w:drawing>
          <wp:inline distT="0" distB="0" distL="0" distR="0" wp14:anchorId="523D0A43" wp14:editId="0ABF8608">
            <wp:extent cx="5678401" cy="46776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2874" cy="4689545"/>
                    </a:xfrm>
                    <a:prstGeom prst="rect">
                      <a:avLst/>
                    </a:prstGeom>
                    <a:noFill/>
                  </pic:spPr>
                </pic:pic>
              </a:graphicData>
            </a:graphic>
          </wp:inline>
        </w:drawing>
      </w:r>
    </w:p>
    <w:p w14:paraId="5928EADC" w14:textId="77777777" w:rsidR="000375EF" w:rsidRPr="00E31225" w:rsidRDefault="000375EF" w:rsidP="000375EF">
      <w:pPr>
        <w:pStyle w:val="Caption"/>
        <w:spacing w:line="276" w:lineRule="auto"/>
        <w:jc w:val="both"/>
        <w:rPr>
          <w:rFonts w:ascii="Times New Roman" w:hAnsi="Times New Roman" w:cs="Times New Roman"/>
          <w:i w:val="0"/>
          <w:color w:val="auto"/>
          <w:sz w:val="24"/>
          <w:szCs w:val="24"/>
        </w:rPr>
      </w:pPr>
      <w:r w:rsidRPr="00AE7D02">
        <w:rPr>
          <w:rFonts w:ascii="Times New Roman" w:hAnsi="Times New Roman" w:cs="Times New Roman"/>
          <w:b/>
          <w:i w:val="0"/>
          <w:color w:val="auto"/>
          <w:sz w:val="24"/>
          <w:szCs w:val="24"/>
        </w:rPr>
        <w:t>Figure 2</w:t>
      </w:r>
      <w:r w:rsidRPr="00E31225">
        <w:rPr>
          <w:rFonts w:ascii="Times New Roman" w:hAnsi="Times New Roman" w:cs="Times New Roman"/>
          <w:i w:val="0"/>
          <w:color w:val="auto"/>
          <w:sz w:val="24"/>
          <w:szCs w:val="24"/>
        </w:rPr>
        <w:t xml:space="preserve">: Cell viability profile (A-D) and modulation of intracellular ROS (E-H) in HepG2 cells 48 -hour post-treatment with test extracts. Data are expressed as a percentage of control cells and plotted as mean ± SEM of three independent experiments done in three replicates for each treatment. </w:t>
      </w:r>
    </w:p>
    <w:p w14:paraId="11C6E7C5" w14:textId="77777777" w:rsidR="000375EF" w:rsidRDefault="000375EF" w:rsidP="000375EF"/>
    <w:p w14:paraId="16B62EFC" w14:textId="77777777" w:rsidR="000375EF" w:rsidRDefault="000375EF" w:rsidP="000375EF">
      <w:pPr>
        <w:spacing w:line="276" w:lineRule="auto"/>
        <w:jc w:val="both"/>
        <w:rPr>
          <w:rFonts w:ascii="Times New Roman" w:hAnsi="Times New Roman"/>
          <w:sz w:val="24"/>
          <w:szCs w:val="24"/>
        </w:rPr>
      </w:pPr>
      <w:r>
        <w:rPr>
          <w:rFonts w:ascii="Times New Roman" w:hAnsi="Times New Roman"/>
          <w:noProof/>
          <w:sz w:val="24"/>
          <w:szCs w:val="24"/>
          <w:lang w:val="en-US"/>
        </w:rPr>
        <w:lastRenderedPageBreak/>
        <w:drawing>
          <wp:inline distT="0" distB="0" distL="0" distR="0" wp14:anchorId="7085A4A4" wp14:editId="520A0935">
            <wp:extent cx="5936835" cy="3837552"/>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5342" cy="3862443"/>
                    </a:xfrm>
                    <a:prstGeom prst="rect">
                      <a:avLst/>
                    </a:prstGeom>
                    <a:noFill/>
                  </pic:spPr>
                </pic:pic>
              </a:graphicData>
            </a:graphic>
          </wp:inline>
        </w:drawing>
      </w:r>
    </w:p>
    <w:p w14:paraId="663538C9" w14:textId="77777777" w:rsidR="000375EF" w:rsidRDefault="000375EF" w:rsidP="000375EF">
      <w:pPr>
        <w:spacing w:after="200" w:line="276" w:lineRule="auto"/>
        <w:jc w:val="both"/>
        <w:rPr>
          <w:rFonts w:ascii="Times New Roman" w:hAnsi="Times New Roman"/>
          <w:sz w:val="24"/>
          <w:szCs w:val="24"/>
          <w:lang w:val="en-US"/>
        </w:rPr>
      </w:pPr>
      <w:r w:rsidRPr="0051622D">
        <w:rPr>
          <w:rFonts w:ascii="Times New Roman" w:hAnsi="Times New Roman"/>
          <w:b/>
          <w:sz w:val="24"/>
          <w:szCs w:val="24"/>
          <w:lang w:val="en-US"/>
        </w:rPr>
        <w:t xml:space="preserve">Figure </w:t>
      </w:r>
      <w:r>
        <w:rPr>
          <w:rFonts w:ascii="Times New Roman" w:hAnsi="Times New Roman"/>
          <w:b/>
          <w:sz w:val="24"/>
          <w:szCs w:val="24"/>
          <w:lang w:val="en-US"/>
        </w:rPr>
        <w:t>3</w:t>
      </w:r>
      <w:r w:rsidRPr="0051622D">
        <w:rPr>
          <w:rFonts w:ascii="Times New Roman" w:hAnsi="Times New Roman"/>
          <w:b/>
          <w:sz w:val="24"/>
          <w:szCs w:val="24"/>
          <w:lang w:val="en-US"/>
        </w:rPr>
        <w:t xml:space="preserve">: </w:t>
      </w:r>
      <w:r>
        <w:rPr>
          <w:rFonts w:ascii="Times New Roman" w:hAnsi="Times New Roman"/>
          <w:sz w:val="24"/>
          <w:szCs w:val="24"/>
          <w:lang w:val="en-US"/>
        </w:rPr>
        <w:t>C</w:t>
      </w:r>
      <w:r w:rsidRPr="0051622D">
        <w:rPr>
          <w:rFonts w:ascii="Times New Roman" w:hAnsi="Times New Roman"/>
          <w:sz w:val="24"/>
          <w:szCs w:val="24"/>
          <w:lang w:val="en-US"/>
        </w:rPr>
        <w:t>atalase</w:t>
      </w:r>
      <w:r>
        <w:rPr>
          <w:rFonts w:ascii="Times New Roman" w:hAnsi="Times New Roman"/>
          <w:sz w:val="24"/>
          <w:szCs w:val="24"/>
          <w:lang w:val="en-US"/>
        </w:rPr>
        <w:t xml:space="preserve"> (CAT)</w:t>
      </w:r>
      <w:r w:rsidRPr="0051622D">
        <w:rPr>
          <w:rFonts w:ascii="Times New Roman" w:hAnsi="Times New Roman"/>
          <w:sz w:val="24"/>
          <w:szCs w:val="24"/>
          <w:lang w:val="en-US"/>
        </w:rPr>
        <w:t xml:space="preserve">, superoxide dismutase </w:t>
      </w:r>
      <w:r>
        <w:rPr>
          <w:rFonts w:ascii="Times New Roman" w:hAnsi="Times New Roman"/>
          <w:sz w:val="24"/>
          <w:szCs w:val="24"/>
          <w:lang w:val="en-US"/>
        </w:rPr>
        <w:t xml:space="preserve">(SOD) </w:t>
      </w:r>
      <w:r w:rsidRPr="0051622D">
        <w:rPr>
          <w:rFonts w:ascii="Times New Roman" w:hAnsi="Times New Roman"/>
          <w:sz w:val="24"/>
          <w:szCs w:val="24"/>
          <w:lang w:val="en-US"/>
        </w:rPr>
        <w:t>and glutathione peroxidase</w:t>
      </w:r>
      <w:r>
        <w:rPr>
          <w:rFonts w:ascii="Times New Roman" w:hAnsi="Times New Roman"/>
          <w:sz w:val="24"/>
          <w:szCs w:val="24"/>
          <w:lang w:val="en-US"/>
        </w:rPr>
        <w:t xml:space="preserve"> (</w:t>
      </w:r>
      <w:proofErr w:type="spellStart"/>
      <w:r>
        <w:rPr>
          <w:rFonts w:ascii="Times New Roman" w:hAnsi="Times New Roman"/>
          <w:sz w:val="24"/>
          <w:szCs w:val="24"/>
          <w:lang w:val="en-US"/>
        </w:rPr>
        <w:t>GPx</w:t>
      </w:r>
      <w:proofErr w:type="spellEnd"/>
      <w:r>
        <w:rPr>
          <w:rFonts w:ascii="Times New Roman" w:hAnsi="Times New Roman"/>
          <w:sz w:val="24"/>
          <w:szCs w:val="24"/>
          <w:lang w:val="en-US"/>
        </w:rPr>
        <w:t>)</w:t>
      </w:r>
      <w:r w:rsidRPr="0051622D">
        <w:rPr>
          <w:rFonts w:ascii="Times New Roman" w:hAnsi="Times New Roman"/>
          <w:sz w:val="24"/>
          <w:szCs w:val="24"/>
          <w:lang w:val="en-US"/>
        </w:rPr>
        <w:t xml:space="preserve"> enzyme</w:t>
      </w:r>
      <w:r>
        <w:rPr>
          <w:rFonts w:ascii="Times New Roman" w:hAnsi="Times New Roman"/>
          <w:sz w:val="24"/>
          <w:szCs w:val="24"/>
          <w:lang w:val="en-US"/>
        </w:rPr>
        <w:t xml:space="preserve"> activities in HepG2 cells with and without treatment.</w:t>
      </w:r>
      <w:r w:rsidRPr="0051622D">
        <w:rPr>
          <w:rFonts w:ascii="Times New Roman" w:hAnsi="Times New Roman"/>
          <w:sz w:val="24"/>
          <w:szCs w:val="24"/>
          <w:lang w:val="en-US"/>
        </w:rPr>
        <w:t xml:space="preserve"> Data expressed as mean ± standard deviation of three independent experiments. Significance was assessed by </w:t>
      </w:r>
      <w:r>
        <w:rPr>
          <w:rFonts w:ascii="Times New Roman" w:hAnsi="Times New Roman"/>
          <w:sz w:val="24"/>
          <w:szCs w:val="24"/>
          <w:lang w:val="en-US"/>
        </w:rPr>
        <w:t>Student`s t-test analysis</w:t>
      </w:r>
      <w:r w:rsidRPr="0051622D">
        <w:rPr>
          <w:rFonts w:ascii="Times New Roman" w:hAnsi="Times New Roman"/>
          <w:sz w:val="24"/>
          <w:szCs w:val="24"/>
          <w:lang w:val="en-US"/>
        </w:rPr>
        <w:t xml:space="preserve">; *P&lt;0.05, **P&lt;0.01, ***P&lt;0.001 (vs. control). </w:t>
      </w:r>
    </w:p>
    <w:p w14:paraId="22D05C8D" w14:textId="77777777" w:rsidR="000375EF" w:rsidRDefault="000375EF" w:rsidP="000375EF"/>
    <w:p w14:paraId="2E7B456C" w14:textId="77777777" w:rsidR="000375EF" w:rsidRPr="00A31206" w:rsidRDefault="000375EF" w:rsidP="000375EF">
      <w:pPr>
        <w:spacing w:line="276" w:lineRule="auto"/>
        <w:jc w:val="both"/>
        <w:rPr>
          <w:rFonts w:ascii="Times New Roman" w:hAnsi="Times New Roman"/>
          <w:sz w:val="24"/>
          <w:szCs w:val="24"/>
        </w:rPr>
      </w:pPr>
      <w:r>
        <w:rPr>
          <w:rFonts w:ascii="Times New Roman" w:hAnsi="Times New Roman"/>
          <w:noProof/>
          <w:sz w:val="24"/>
          <w:szCs w:val="24"/>
          <w:lang w:val="en-US"/>
        </w:rPr>
        <w:lastRenderedPageBreak/>
        <w:drawing>
          <wp:inline distT="0" distB="0" distL="0" distR="0" wp14:anchorId="66102A2A" wp14:editId="152E8D63">
            <wp:extent cx="6043980" cy="569606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2871" cy="5704442"/>
                    </a:xfrm>
                    <a:prstGeom prst="rect">
                      <a:avLst/>
                    </a:prstGeom>
                    <a:noFill/>
                  </pic:spPr>
                </pic:pic>
              </a:graphicData>
            </a:graphic>
          </wp:inline>
        </w:drawing>
      </w:r>
    </w:p>
    <w:p w14:paraId="4A22FC8D" w14:textId="77777777" w:rsidR="000375EF" w:rsidRPr="000D7968" w:rsidRDefault="000375EF" w:rsidP="000375EF">
      <w:pPr>
        <w:pStyle w:val="Caption"/>
        <w:spacing w:line="276" w:lineRule="auto"/>
        <w:jc w:val="both"/>
        <w:rPr>
          <w:rFonts w:ascii="Times New Roman" w:hAnsi="Times New Roman" w:cs="Times New Roman"/>
          <w:i w:val="0"/>
          <w:color w:val="auto"/>
          <w:sz w:val="24"/>
          <w:szCs w:val="24"/>
        </w:rPr>
      </w:pPr>
      <w:r w:rsidRPr="00AE7D02">
        <w:rPr>
          <w:rFonts w:ascii="Times New Roman" w:hAnsi="Times New Roman" w:cs="Times New Roman"/>
          <w:b/>
          <w:i w:val="0"/>
          <w:color w:val="auto"/>
          <w:sz w:val="24"/>
          <w:szCs w:val="24"/>
        </w:rPr>
        <w:t>Figure 4</w:t>
      </w:r>
      <w:r w:rsidRPr="000D7968">
        <w:rPr>
          <w:rFonts w:ascii="Times New Roman" w:hAnsi="Times New Roman" w:cs="Times New Roman"/>
          <w:i w:val="0"/>
          <w:color w:val="auto"/>
          <w:sz w:val="24"/>
          <w:szCs w:val="24"/>
        </w:rPr>
        <w:t xml:space="preserve">: (A) Cytotoxicity guided fractionation of </w:t>
      </w:r>
      <w:r w:rsidRPr="000D7968">
        <w:rPr>
          <w:rFonts w:ascii="Times New Roman" w:hAnsi="Times New Roman" w:cs="Times New Roman"/>
          <w:color w:val="auto"/>
          <w:sz w:val="24"/>
          <w:szCs w:val="24"/>
        </w:rPr>
        <w:t xml:space="preserve">S. </w:t>
      </w:r>
      <w:proofErr w:type="spellStart"/>
      <w:r w:rsidRPr="000D7968">
        <w:rPr>
          <w:rFonts w:ascii="Times New Roman" w:hAnsi="Times New Roman" w:cs="Times New Roman"/>
          <w:color w:val="auto"/>
          <w:sz w:val="24"/>
          <w:szCs w:val="24"/>
        </w:rPr>
        <w:t>coriaceum</w:t>
      </w:r>
      <w:proofErr w:type="spellEnd"/>
      <w:r w:rsidRPr="000D7968">
        <w:rPr>
          <w:rFonts w:ascii="Times New Roman" w:hAnsi="Times New Roman" w:cs="Times New Roman"/>
          <w:i w:val="0"/>
          <w:color w:val="auto"/>
          <w:sz w:val="24"/>
          <w:szCs w:val="24"/>
        </w:rPr>
        <w:t xml:space="preserve"> total extract; (B) HPLC fingerprint of </w:t>
      </w:r>
      <w:r w:rsidRPr="000D7968">
        <w:rPr>
          <w:rFonts w:ascii="Times New Roman" w:hAnsi="Times New Roman" w:cs="Times New Roman"/>
          <w:color w:val="auto"/>
          <w:sz w:val="24"/>
          <w:szCs w:val="24"/>
        </w:rPr>
        <w:t xml:space="preserve">S. </w:t>
      </w:r>
      <w:proofErr w:type="spellStart"/>
      <w:r w:rsidRPr="000D7968">
        <w:rPr>
          <w:rFonts w:ascii="Times New Roman" w:hAnsi="Times New Roman" w:cs="Times New Roman"/>
          <w:color w:val="auto"/>
          <w:sz w:val="24"/>
          <w:szCs w:val="24"/>
        </w:rPr>
        <w:t>coriaceum</w:t>
      </w:r>
      <w:proofErr w:type="spellEnd"/>
      <w:r w:rsidRPr="000D7968">
        <w:rPr>
          <w:rFonts w:ascii="Times New Roman" w:hAnsi="Times New Roman" w:cs="Times New Roman"/>
          <w:i w:val="0"/>
          <w:color w:val="auto"/>
          <w:sz w:val="24"/>
          <w:szCs w:val="24"/>
        </w:rPr>
        <w:t xml:space="preserve"> leaf extract ethyl acetate subfraction F4.</w:t>
      </w:r>
    </w:p>
    <w:p w14:paraId="3B3F8F87" w14:textId="77777777" w:rsidR="000375EF" w:rsidRDefault="000375EF" w:rsidP="000375EF"/>
    <w:p w14:paraId="107213E0" w14:textId="77777777" w:rsidR="000375EF" w:rsidRDefault="000375EF" w:rsidP="000375EF"/>
    <w:p w14:paraId="03712616" w14:textId="77777777" w:rsidR="000375EF" w:rsidRDefault="00AC4D64" w:rsidP="000375EF">
      <w:pPr>
        <w:jc w:val="center"/>
        <w:rPr>
          <w:rFonts w:eastAsia="Times New Roman"/>
        </w:rPr>
      </w:pPr>
      <w:r>
        <w:rPr>
          <w:noProof/>
        </w:rPr>
        <w:object w:dxaOrig="9122" w:dyaOrig="8357" w14:anchorId="317C87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0.3pt;height:341.7pt;mso-width-percent:0;mso-height-percent:0;mso-width-percent:0;mso-height-percent:0" o:ole="">
            <v:imagedata r:id="rId14" o:title=""/>
          </v:shape>
          <o:OLEObject Type="Embed" ProgID="ChemDraw.Document.6.0" ShapeID="_x0000_i1025" DrawAspect="Content" ObjectID="_1666368826" r:id="rId15"/>
        </w:object>
      </w:r>
    </w:p>
    <w:p w14:paraId="26CEC5D4" w14:textId="77777777" w:rsidR="000375EF" w:rsidRPr="00C92E00" w:rsidRDefault="000375EF" w:rsidP="000375EF">
      <w:pPr>
        <w:jc w:val="center"/>
        <w:rPr>
          <w:rFonts w:ascii="Times New Roman" w:eastAsia="Times New Roman" w:hAnsi="Times New Roman"/>
          <w:color w:val="222222"/>
          <w:sz w:val="24"/>
          <w:szCs w:val="24"/>
          <w:shd w:val="clear" w:color="auto" w:fill="FFFFFF"/>
        </w:rPr>
      </w:pPr>
      <w:r w:rsidRPr="00AE7D02">
        <w:rPr>
          <w:rFonts w:ascii="Times New Roman" w:eastAsia="Times New Roman" w:hAnsi="Times New Roman"/>
          <w:b/>
          <w:color w:val="222222"/>
          <w:sz w:val="24"/>
          <w:szCs w:val="24"/>
          <w:shd w:val="clear" w:color="auto" w:fill="FFFFFF"/>
        </w:rPr>
        <w:t>Figure 5</w:t>
      </w:r>
      <w:r w:rsidRPr="00C92E00">
        <w:rPr>
          <w:rFonts w:ascii="Times New Roman" w:eastAsia="Times New Roman" w:hAnsi="Times New Roman"/>
          <w:color w:val="222222"/>
          <w:sz w:val="24"/>
          <w:szCs w:val="24"/>
          <w:shd w:val="clear" w:color="auto" w:fill="FFFFFF"/>
        </w:rPr>
        <w:t>: Chemical structures of compounds (</w:t>
      </w:r>
      <w:r w:rsidRPr="00C92E00">
        <w:rPr>
          <w:rFonts w:ascii="Times New Roman" w:eastAsia="Times New Roman" w:hAnsi="Times New Roman"/>
          <w:b/>
          <w:color w:val="222222"/>
          <w:sz w:val="24"/>
          <w:szCs w:val="24"/>
          <w:shd w:val="clear" w:color="auto" w:fill="FFFFFF"/>
        </w:rPr>
        <w:t>1-6</w:t>
      </w:r>
      <w:r w:rsidRPr="00C92E00">
        <w:rPr>
          <w:rFonts w:ascii="Times New Roman" w:eastAsia="Times New Roman" w:hAnsi="Times New Roman"/>
          <w:color w:val="222222"/>
          <w:sz w:val="24"/>
          <w:szCs w:val="24"/>
          <w:shd w:val="clear" w:color="auto" w:fill="FFFFFF"/>
        </w:rPr>
        <w:t xml:space="preserve">) identified from </w:t>
      </w:r>
      <w:r w:rsidRPr="00C92E00">
        <w:rPr>
          <w:rFonts w:ascii="Times New Roman" w:eastAsia="Times New Roman" w:hAnsi="Times New Roman"/>
          <w:i/>
          <w:color w:val="222222"/>
          <w:sz w:val="24"/>
          <w:szCs w:val="24"/>
          <w:shd w:val="clear" w:color="auto" w:fill="FFFFFF"/>
        </w:rPr>
        <w:t xml:space="preserve">S. </w:t>
      </w:r>
      <w:proofErr w:type="spellStart"/>
      <w:r w:rsidRPr="00C92E00">
        <w:rPr>
          <w:rFonts w:ascii="Times New Roman" w:eastAsia="Times New Roman" w:hAnsi="Times New Roman"/>
          <w:i/>
          <w:color w:val="222222"/>
          <w:sz w:val="24"/>
          <w:szCs w:val="24"/>
          <w:shd w:val="clear" w:color="auto" w:fill="FFFFFF"/>
        </w:rPr>
        <w:t>coriaceum</w:t>
      </w:r>
      <w:proofErr w:type="spellEnd"/>
      <w:r>
        <w:rPr>
          <w:rFonts w:ascii="Times New Roman" w:eastAsia="Times New Roman" w:hAnsi="Times New Roman"/>
          <w:i/>
          <w:color w:val="222222"/>
          <w:sz w:val="24"/>
          <w:szCs w:val="24"/>
          <w:shd w:val="clear" w:color="auto" w:fill="FFFFFF"/>
        </w:rPr>
        <w:t xml:space="preserve"> </w:t>
      </w:r>
      <w:r>
        <w:rPr>
          <w:rFonts w:ascii="Times New Roman" w:eastAsia="Times New Roman" w:hAnsi="Times New Roman"/>
          <w:color w:val="222222"/>
          <w:sz w:val="24"/>
          <w:szCs w:val="24"/>
          <w:shd w:val="clear" w:color="auto" w:fill="FFFFFF"/>
        </w:rPr>
        <w:t>leaf</w:t>
      </w:r>
      <w:r w:rsidRPr="00C92E00">
        <w:rPr>
          <w:rFonts w:ascii="Times New Roman" w:eastAsia="Times New Roman" w:hAnsi="Times New Roman"/>
          <w:color w:val="222222"/>
          <w:sz w:val="24"/>
          <w:szCs w:val="24"/>
          <w:shd w:val="clear" w:color="auto" w:fill="FFFFFF"/>
        </w:rPr>
        <w:t>.</w:t>
      </w:r>
    </w:p>
    <w:p w14:paraId="38F3B904" w14:textId="77777777" w:rsidR="000375EF" w:rsidRDefault="000375EF" w:rsidP="00E339CC">
      <w:pPr>
        <w:spacing w:line="276" w:lineRule="auto"/>
        <w:jc w:val="both"/>
        <w:rPr>
          <w:rFonts w:ascii="Times New Roman" w:hAnsi="Times New Roman"/>
          <w:sz w:val="24"/>
          <w:szCs w:val="24"/>
        </w:rPr>
      </w:pPr>
    </w:p>
    <w:p w14:paraId="6BD827A3" w14:textId="77777777" w:rsidR="0081642E" w:rsidRDefault="0081642E" w:rsidP="00C15F5B">
      <w:pPr>
        <w:spacing w:line="276" w:lineRule="auto"/>
        <w:jc w:val="both"/>
        <w:rPr>
          <w:rFonts w:ascii="Times New Roman" w:hAnsi="Times New Roman"/>
          <w:sz w:val="24"/>
          <w:szCs w:val="24"/>
        </w:rPr>
        <w:sectPr w:rsidR="0081642E" w:rsidSect="00AE58D3">
          <w:footerReference w:type="default" r:id="rId16"/>
          <w:pgSz w:w="12240" w:h="15840"/>
          <w:pgMar w:top="1440" w:right="1440" w:bottom="1440" w:left="1440" w:header="708" w:footer="708" w:gutter="0"/>
          <w:lnNumType w:countBy="1" w:restart="continuous"/>
          <w:cols w:space="708"/>
          <w:docGrid w:linePitch="360"/>
        </w:sectPr>
      </w:pPr>
    </w:p>
    <w:p w14:paraId="0B4F2311" w14:textId="77777777" w:rsidR="0081642E" w:rsidRPr="0081642E" w:rsidRDefault="0081642E" w:rsidP="0081642E">
      <w:pPr>
        <w:keepNext/>
        <w:spacing w:after="200" w:line="276" w:lineRule="auto"/>
        <w:jc w:val="both"/>
        <w:rPr>
          <w:rFonts w:ascii="Times New Roman" w:eastAsiaTheme="minorHAnsi" w:hAnsi="Times New Roman"/>
          <w:iCs/>
          <w:sz w:val="24"/>
          <w:szCs w:val="24"/>
        </w:rPr>
      </w:pPr>
      <w:r w:rsidRPr="0081642E">
        <w:rPr>
          <w:rFonts w:ascii="Times New Roman" w:eastAsiaTheme="minorHAnsi" w:hAnsi="Times New Roman"/>
          <w:iCs/>
          <w:sz w:val="24"/>
          <w:szCs w:val="24"/>
        </w:rPr>
        <w:lastRenderedPageBreak/>
        <w:t xml:space="preserve">Table </w:t>
      </w:r>
      <w:r w:rsidRPr="0081642E">
        <w:rPr>
          <w:rFonts w:ascii="Times New Roman" w:eastAsiaTheme="minorHAnsi" w:hAnsi="Times New Roman"/>
          <w:iCs/>
          <w:sz w:val="24"/>
          <w:szCs w:val="24"/>
        </w:rPr>
        <w:fldChar w:fldCharType="begin"/>
      </w:r>
      <w:r w:rsidRPr="0081642E">
        <w:rPr>
          <w:rFonts w:ascii="Times New Roman" w:eastAsiaTheme="minorHAnsi" w:hAnsi="Times New Roman"/>
          <w:iCs/>
          <w:sz w:val="24"/>
          <w:szCs w:val="24"/>
        </w:rPr>
        <w:instrText xml:space="preserve"> SEQ Table \* ARABIC </w:instrText>
      </w:r>
      <w:r w:rsidRPr="0081642E">
        <w:rPr>
          <w:rFonts w:ascii="Times New Roman" w:eastAsiaTheme="minorHAnsi" w:hAnsi="Times New Roman"/>
          <w:iCs/>
          <w:sz w:val="24"/>
          <w:szCs w:val="24"/>
        </w:rPr>
        <w:fldChar w:fldCharType="separate"/>
      </w:r>
      <w:r w:rsidRPr="0081642E">
        <w:rPr>
          <w:rFonts w:ascii="Times New Roman" w:eastAsiaTheme="minorHAnsi" w:hAnsi="Times New Roman"/>
          <w:iCs/>
          <w:noProof/>
          <w:sz w:val="24"/>
          <w:szCs w:val="24"/>
        </w:rPr>
        <w:t>1</w:t>
      </w:r>
      <w:r w:rsidRPr="0081642E">
        <w:rPr>
          <w:rFonts w:ascii="Times New Roman" w:eastAsiaTheme="minorHAnsi" w:hAnsi="Times New Roman"/>
          <w:iCs/>
          <w:sz w:val="24"/>
          <w:szCs w:val="24"/>
        </w:rPr>
        <w:fldChar w:fldCharType="end"/>
      </w:r>
      <w:r w:rsidRPr="0081642E">
        <w:rPr>
          <w:rFonts w:ascii="Times New Roman" w:eastAsiaTheme="minorHAnsi" w:hAnsi="Times New Roman"/>
          <w:iCs/>
          <w:sz w:val="24"/>
          <w:szCs w:val="24"/>
        </w:rPr>
        <w:t xml:space="preserve">: Phenolic content and antioxidant potential of investigated </w:t>
      </w:r>
      <w:proofErr w:type="spellStart"/>
      <w:r w:rsidRPr="0081642E">
        <w:rPr>
          <w:rFonts w:ascii="Times New Roman" w:eastAsiaTheme="minorHAnsi" w:hAnsi="Times New Roman"/>
          <w:i/>
          <w:iCs/>
          <w:sz w:val="24"/>
          <w:szCs w:val="24"/>
        </w:rPr>
        <w:t>Syzygium</w:t>
      </w:r>
      <w:proofErr w:type="spellEnd"/>
      <w:r w:rsidRPr="0081642E">
        <w:rPr>
          <w:rFonts w:ascii="Times New Roman" w:eastAsiaTheme="minorHAnsi" w:hAnsi="Times New Roman"/>
          <w:iCs/>
          <w:sz w:val="24"/>
          <w:szCs w:val="24"/>
        </w:rPr>
        <w:t xml:space="preserve"> leaf extracts.</w:t>
      </w:r>
    </w:p>
    <w:tbl>
      <w:tblPr>
        <w:tblStyle w:val="GridTable4-Accent11"/>
        <w:tblW w:w="14400" w:type="dxa"/>
        <w:tblLayout w:type="fixed"/>
        <w:tblLook w:val="04A0" w:firstRow="1" w:lastRow="0" w:firstColumn="1" w:lastColumn="0" w:noHBand="0" w:noVBand="1"/>
      </w:tblPr>
      <w:tblGrid>
        <w:gridCol w:w="1440"/>
        <w:gridCol w:w="1440"/>
        <w:gridCol w:w="1440"/>
        <w:gridCol w:w="1440"/>
        <w:gridCol w:w="1440"/>
        <w:gridCol w:w="1440"/>
        <w:gridCol w:w="1440"/>
        <w:gridCol w:w="1440"/>
        <w:gridCol w:w="1440"/>
        <w:gridCol w:w="1440"/>
      </w:tblGrid>
      <w:tr w:rsidR="0081642E" w:rsidRPr="0081642E" w14:paraId="1B99A93D" w14:textId="77777777" w:rsidTr="00013880">
        <w:trPr>
          <w:cnfStyle w:val="100000000000" w:firstRow="1" w:lastRow="0" w:firstColumn="0" w:lastColumn="0" w:oddVBand="0" w:evenVBand="0" w:oddHBand="0"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1440" w:type="dxa"/>
            <w:hideMark/>
          </w:tcPr>
          <w:p w14:paraId="7600EFC1" w14:textId="77777777" w:rsidR="0081642E" w:rsidRPr="0081642E" w:rsidRDefault="0081642E" w:rsidP="0081642E">
            <w:pPr>
              <w:spacing w:after="0" w:line="240" w:lineRule="auto"/>
              <w:jc w:val="center"/>
              <w:rPr>
                <w:rFonts w:ascii="Times New Roman" w:eastAsia="Times New Roman" w:hAnsi="Times New Roman"/>
                <w:sz w:val="20"/>
                <w:szCs w:val="20"/>
                <w:lang w:eastAsia="en-GB"/>
              </w:rPr>
            </w:pPr>
            <w:r w:rsidRPr="0081642E">
              <w:rPr>
                <w:rFonts w:ascii="Times New Roman" w:eastAsia="Times New Roman" w:hAnsi="Times New Roman"/>
                <w:sz w:val="20"/>
                <w:szCs w:val="20"/>
                <w:lang w:eastAsia="en-GB"/>
              </w:rPr>
              <w:t xml:space="preserve">Extract </w:t>
            </w:r>
          </w:p>
        </w:tc>
        <w:tc>
          <w:tcPr>
            <w:tcW w:w="1440" w:type="dxa"/>
            <w:hideMark/>
          </w:tcPr>
          <w:p w14:paraId="1CFAC23E" w14:textId="77777777" w:rsidR="0081642E" w:rsidRPr="0081642E" w:rsidRDefault="0081642E" w:rsidP="008164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n-GB"/>
              </w:rPr>
            </w:pPr>
            <w:r w:rsidRPr="0081642E">
              <w:rPr>
                <w:rFonts w:ascii="Times New Roman" w:eastAsia="Times New Roman" w:hAnsi="Times New Roman"/>
                <w:sz w:val="20"/>
                <w:szCs w:val="20"/>
                <w:lang w:eastAsia="en-GB"/>
              </w:rPr>
              <w:t>Total phenolics</w:t>
            </w:r>
            <w:r w:rsidRPr="0081642E">
              <w:rPr>
                <w:rFonts w:ascii="Times New Roman" w:eastAsia="Times New Roman" w:hAnsi="Times New Roman"/>
                <w:sz w:val="20"/>
                <w:szCs w:val="20"/>
                <w:vertAlign w:val="superscript"/>
                <w:lang w:eastAsia="en-GB"/>
              </w:rPr>
              <w:t>1</w:t>
            </w:r>
          </w:p>
        </w:tc>
        <w:tc>
          <w:tcPr>
            <w:tcW w:w="1440" w:type="dxa"/>
            <w:hideMark/>
          </w:tcPr>
          <w:p w14:paraId="5AFA7334" w14:textId="77777777" w:rsidR="0081642E" w:rsidRPr="0081642E" w:rsidRDefault="0081642E" w:rsidP="008164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n-GB"/>
              </w:rPr>
            </w:pPr>
            <w:r w:rsidRPr="0081642E">
              <w:rPr>
                <w:rFonts w:ascii="Times New Roman" w:eastAsia="Times New Roman" w:hAnsi="Times New Roman"/>
                <w:sz w:val="20"/>
                <w:szCs w:val="20"/>
                <w:lang w:eastAsia="en-GB"/>
              </w:rPr>
              <w:t>Total flavonoids</w:t>
            </w:r>
            <w:r w:rsidRPr="0081642E">
              <w:rPr>
                <w:rFonts w:ascii="Times New Roman" w:eastAsia="Times New Roman" w:hAnsi="Times New Roman"/>
                <w:sz w:val="20"/>
                <w:szCs w:val="20"/>
                <w:vertAlign w:val="superscript"/>
                <w:lang w:eastAsia="en-GB"/>
              </w:rPr>
              <w:t>2</w:t>
            </w:r>
          </w:p>
        </w:tc>
        <w:tc>
          <w:tcPr>
            <w:tcW w:w="1440" w:type="dxa"/>
            <w:hideMark/>
          </w:tcPr>
          <w:p w14:paraId="552271F3" w14:textId="77777777" w:rsidR="0081642E" w:rsidRPr="0081642E" w:rsidRDefault="0081642E" w:rsidP="008164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n-GB"/>
              </w:rPr>
            </w:pPr>
            <w:r w:rsidRPr="0081642E">
              <w:rPr>
                <w:rFonts w:ascii="Times New Roman" w:eastAsia="Times New Roman" w:hAnsi="Times New Roman"/>
                <w:sz w:val="20"/>
                <w:szCs w:val="20"/>
                <w:lang w:eastAsia="en-GB"/>
              </w:rPr>
              <w:t>Total proanthocyanidins</w:t>
            </w:r>
            <w:r w:rsidRPr="0081642E">
              <w:rPr>
                <w:rFonts w:ascii="Times New Roman" w:eastAsia="Times New Roman" w:hAnsi="Times New Roman"/>
                <w:sz w:val="20"/>
                <w:szCs w:val="20"/>
                <w:vertAlign w:val="superscript"/>
                <w:lang w:eastAsia="en-GB"/>
              </w:rPr>
              <w:t>3</w:t>
            </w:r>
          </w:p>
        </w:tc>
        <w:tc>
          <w:tcPr>
            <w:tcW w:w="1440" w:type="dxa"/>
            <w:hideMark/>
          </w:tcPr>
          <w:p w14:paraId="257A4BE0" w14:textId="77777777" w:rsidR="0081642E" w:rsidRPr="0081642E" w:rsidRDefault="0081642E" w:rsidP="008164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n-GB"/>
              </w:rPr>
            </w:pPr>
            <w:r w:rsidRPr="0081642E">
              <w:rPr>
                <w:rFonts w:ascii="Times New Roman" w:eastAsia="Times New Roman" w:hAnsi="Times New Roman"/>
                <w:sz w:val="20"/>
                <w:szCs w:val="20"/>
                <w:lang w:eastAsia="en-GB"/>
              </w:rPr>
              <w:t>FRAP</w:t>
            </w:r>
            <w:r w:rsidRPr="0081642E">
              <w:rPr>
                <w:rFonts w:ascii="Times New Roman" w:eastAsia="Times New Roman" w:hAnsi="Times New Roman"/>
                <w:sz w:val="20"/>
                <w:szCs w:val="20"/>
                <w:vertAlign w:val="superscript"/>
                <w:lang w:eastAsia="en-GB"/>
              </w:rPr>
              <w:t>4</w:t>
            </w:r>
          </w:p>
        </w:tc>
        <w:tc>
          <w:tcPr>
            <w:tcW w:w="1440" w:type="dxa"/>
            <w:hideMark/>
          </w:tcPr>
          <w:p w14:paraId="5FBD869F" w14:textId="77777777" w:rsidR="0081642E" w:rsidRPr="0081642E" w:rsidRDefault="0081642E" w:rsidP="008164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n-GB"/>
              </w:rPr>
            </w:pPr>
            <w:r w:rsidRPr="0081642E">
              <w:rPr>
                <w:rFonts w:ascii="Times New Roman" w:eastAsia="Times New Roman" w:hAnsi="Times New Roman"/>
                <w:sz w:val="20"/>
                <w:szCs w:val="20"/>
                <w:lang w:eastAsia="en-GB"/>
              </w:rPr>
              <w:t xml:space="preserve">Iron </w:t>
            </w:r>
            <w:r w:rsidRPr="0081642E">
              <w:rPr>
                <w:rFonts w:ascii="Times New Roman" w:eastAsia="Times New Roman" w:hAnsi="Times New Roman"/>
                <w:sz w:val="20"/>
                <w:szCs w:val="20"/>
                <w:lang w:eastAsia="en-GB"/>
              </w:rPr>
              <w:br/>
              <w:t xml:space="preserve">chelating </w:t>
            </w:r>
            <w:r w:rsidRPr="0081642E">
              <w:rPr>
                <w:rFonts w:ascii="Times New Roman" w:eastAsia="Times New Roman" w:hAnsi="Times New Roman"/>
                <w:sz w:val="20"/>
                <w:szCs w:val="20"/>
                <w:lang w:eastAsia="en-GB"/>
              </w:rPr>
              <w:br/>
              <w:t>activity</w:t>
            </w:r>
            <w:r w:rsidRPr="0081642E">
              <w:rPr>
                <w:rFonts w:ascii="Times New Roman" w:eastAsia="Times New Roman" w:hAnsi="Times New Roman"/>
                <w:sz w:val="20"/>
                <w:szCs w:val="20"/>
                <w:vertAlign w:val="superscript"/>
                <w:lang w:eastAsia="en-GB"/>
              </w:rPr>
              <w:t>5</w:t>
            </w:r>
          </w:p>
        </w:tc>
        <w:tc>
          <w:tcPr>
            <w:tcW w:w="1440" w:type="dxa"/>
            <w:hideMark/>
          </w:tcPr>
          <w:p w14:paraId="04E26F16" w14:textId="77777777" w:rsidR="0081642E" w:rsidRPr="0081642E" w:rsidRDefault="0081642E" w:rsidP="008164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n-GB"/>
              </w:rPr>
            </w:pPr>
            <w:r w:rsidRPr="0081642E">
              <w:rPr>
                <w:rFonts w:ascii="Times New Roman" w:eastAsia="Times New Roman" w:hAnsi="Times New Roman"/>
                <w:sz w:val="20"/>
                <w:szCs w:val="20"/>
                <w:lang w:eastAsia="en-GB"/>
              </w:rPr>
              <w:t xml:space="preserve">DPPH </w:t>
            </w:r>
            <w:r w:rsidRPr="0081642E">
              <w:rPr>
                <w:rFonts w:ascii="Times New Roman" w:eastAsia="Times New Roman" w:hAnsi="Times New Roman"/>
                <w:sz w:val="20"/>
                <w:szCs w:val="20"/>
                <w:lang w:eastAsia="en-GB"/>
              </w:rPr>
              <w:br/>
              <w:t xml:space="preserve">Scavenging </w:t>
            </w:r>
            <w:r w:rsidRPr="0081642E">
              <w:rPr>
                <w:rFonts w:ascii="Times New Roman" w:eastAsia="Times New Roman" w:hAnsi="Times New Roman"/>
                <w:sz w:val="20"/>
                <w:szCs w:val="20"/>
                <w:lang w:eastAsia="en-GB"/>
              </w:rPr>
              <w:br/>
              <w:t>activity</w:t>
            </w:r>
            <w:r w:rsidRPr="0081642E">
              <w:rPr>
                <w:rFonts w:ascii="Times New Roman" w:eastAsia="Times New Roman" w:hAnsi="Times New Roman"/>
                <w:sz w:val="20"/>
                <w:szCs w:val="20"/>
                <w:vertAlign w:val="superscript"/>
                <w:lang w:eastAsia="en-GB"/>
              </w:rPr>
              <w:t>6</w:t>
            </w:r>
          </w:p>
        </w:tc>
        <w:tc>
          <w:tcPr>
            <w:tcW w:w="1440" w:type="dxa"/>
            <w:hideMark/>
          </w:tcPr>
          <w:p w14:paraId="7DCC52FD" w14:textId="77777777" w:rsidR="0081642E" w:rsidRPr="0081642E" w:rsidRDefault="0081642E" w:rsidP="008164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n-GB"/>
              </w:rPr>
            </w:pPr>
            <w:r w:rsidRPr="0081642E">
              <w:rPr>
                <w:rFonts w:ascii="Times New Roman" w:eastAsia="Times New Roman" w:hAnsi="Times New Roman"/>
                <w:sz w:val="20"/>
                <w:szCs w:val="20"/>
                <w:lang w:eastAsia="en-GB"/>
              </w:rPr>
              <w:t xml:space="preserve">Superoxide </w:t>
            </w:r>
            <w:r w:rsidRPr="0081642E">
              <w:rPr>
                <w:rFonts w:ascii="Times New Roman" w:eastAsia="Times New Roman" w:hAnsi="Times New Roman"/>
                <w:sz w:val="20"/>
                <w:szCs w:val="20"/>
                <w:lang w:eastAsia="en-GB"/>
              </w:rPr>
              <w:br/>
              <w:t xml:space="preserve">scavenging </w:t>
            </w:r>
            <w:r w:rsidRPr="0081642E">
              <w:rPr>
                <w:rFonts w:ascii="Times New Roman" w:eastAsia="Times New Roman" w:hAnsi="Times New Roman"/>
                <w:sz w:val="20"/>
                <w:szCs w:val="20"/>
                <w:lang w:eastAsia="en-GB"/>
              </w:rPr>
              <w:br/>
              <w:t>activity</w:t>
            </w:r>
            <w:r w:rsidRPr="0081642E">
              <w:rPr>
                <w:rFonts w:ascii="Times New Roman" w:eastAsia="Times New Roman" w:hAnsi="Times New Roman"/>
                <w:sz w:val="20"/>
                <w:szCs w:val="20"/>
                <w:vertAlign w:val="superscript"/>
                <w:lang w:eastAsia="en-GB"/>
              </w:rPr>
              <w:t>6</w:t>
            </w:r>
          </w:p>
        </w:tc>
        <w:tc>
          <w:tcPr>
            <w:tcW w:w="1440" w:type="dxa"/>
            <w:hideMark/>
          </w:tcPr>
          <w:p w14:paraId="2298B65D" w14:textId="77777777" w:rsidR="0081642E" w:rsidRPr="0081642E" w:rsidRDefault="0081642E" w:rsidP="008164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n-GB"/>
              </w:rPr>
            </w:pPr>
            <w:r w:rsidRPr="0081642E">
              <w:rPr>
                <w:rFonts w:ascii="Times New Roman" w:eastAsia="Times New Roman" w:hAnsi="Times New Roman"/>
                <w:sz w:val="20"/>
                <w:szCs w:val="20"/>
                <w:lang w:eastAsia="en-GB"/>
              </w:rPr>
              <w:t xml:space="preserve">Nitric oxide </w:t>
            </w:r>
            <w:r w:rsidRPr="0081642E">
              <w:rPr>
                <w:rFonts w:ascii="Times New Roman" w:eastAsia="Times New Roman" w:hAnsi="Times New Roman"/>
                <w:sz w:val="20"/>
                <w:szCs w:val="20"/>
                <w:lang w:eastAsia="en-GB"/>
              </w:rPr>
              <w:br/>
              <w:t xml:space="preserve">scavenging </w:t>
            </w:r>
            <w:r w:rsidRPr="0081642E">
              <w:rPr>
                <w:rFonts w:ascii="Times New Roman" w:eastAsia="Times New Roman" w:hAnsi="Times New Roman"/>
                <w:sz w:val="20"/>
                <w:szCs w:val="20"/>
                <w:lang w:eastAsia="en-GB"/>
              </w:rPr>
              <w:br/>
              <w:t>activity</w:t>
            </w:r>
            <w:r w:rsidRPr="0081642E">
              <w:rPr>
                <w:rFonts w:ascii="Times New Roman" w:eastAsia="Times New Roman" w:hAnsi="Times New Roman"/>
                <w:sz w:val="20"/>
                <w:szCs w:val="20"/>
                <w:vertAlign w:val="superscript"/>
                <w:lang w:eastAsia="en-GB"/>
              </w:rPr>
              <w:t>6</w:t>
            </w:r>
          </w:p>
        </w:tc>
        <w:tc>
          <w:tcPr>
            <w:tcW w:w="1440" w:type="dxa"/>
            <w:hideMark/>
          </w:tcPr>
          <w:p w14:paraId="5798CA67" w14:textId="77777777" w:rsidR="0081642E" w:rsidRPr="0081642E" w:rsidRDefault="0081642E" w:rsidP="008164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n-GB"/>
              </w:rPr>
            </w:pPr>
            <w:r w:rsidRPr="0081642E">
              <w:rPr>
                <w:rFonts w:ascii="Times New Roman" w:eastAsia="Times New Roman" w:hAnsi="Times New Roman"/>
                <w:sz w:val="20"/>
                <w:szCs w:val="20"/>
                <w:lang w:eastAsia="en-GB"/>
              </w:rPr>
              <w:t>Inhibition of deoxyribose degradation</w:t>
            </w:r>
            <w:r w:rsidRPr="0081642E">
              <w:rPr>
                <w:rFonts w:ascii="Times New Roman" w:eastAsia="Times New Roman" w:hAnsi="Times New Roman"/>
                <w:sz w:val="20"/>
                <w:szCs w:val="20"/>
                <w:vertAlign w:val="superscript"/>
                <w:lang w:eastAsia="en-GB"/>
              </w:rPr>
              <w:t>5</w:t>
            </w:r>
          </w:p>
        </w:tc>
      </w:tr>
      <w:tr w:rsidR="0081642E" w:rsidRPr="0081642E" w14:paraId="01D41834" w14:textId="77777777" w:rsidTr="000138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0FE3823" w14:textId="77777777" w:rsidR="0081642E" w:rsidRPr="0081642E" w:rsidRDefault="0081642E" w:rsidP="0081642E">
            <w:pPr>
              <w:spacing w:after="0" w:line="240" w:lineRule="auto"/>
              <w:jc w:val="center"/>
              <w:rPr>
                <w:rFonts w:ascii="Times New Roman" w:eastAsia="Times New Roman" w:hAnsi="Times New Roman"/>
                <w:i/>
                <w:iCs/>
                <w:sz w:val="20"/>
                <w:szCs w:val="20"/>
                <w:lang w:eastAsia="en-GB"/>
              </w:rPr>
            </w:pPr>
            <w:r w:rsidRPr="0081642E">
              <w:rPr>
                <w:rFonts w:ascii="Times New Roman" w:eastAsia="Times New Roman" w:hAnsi="Times New Roman"/>
                <w:i/>
                <w:iCs/>
                <w:sz w:val="20"/>
                <w:szCs w:val="20"/>
                <w:lang w:eastAsia="en-GB"/>
              </w:rPr>
              <w:t xml:space="preserve">S. </w:t>
            </w:r>
            <w:proofErr w:type="spellStart"/>
            <w:r w:rsidRPr="0081642E">
              <w:rPr>
                <w:rFonts w:ascii="Times New Roman" w:eastAsia="Times New Roman" w:hAnsi="Times New Roman"/>
                <w:i/>
                <w:iCs/>
                <w:sz w:val="20"/>
                <w:szCs w:val="20"/>
                <w:lang w:eastAsia="en-GB"/>
              </w:rPr>
              <w:t>coriaceum</w:t>
            </w:r>
            <w:proofErr w:type="spellEnd"/>
          </w:p>
        </w:tc>
        <w:tc>
          <w:tcPr>
            <w:tcW w:w="1440" w:type="dxa"/>
            <w:noWrap/>
            <w:hideMark/>
          </w:tcPr>
          <w:p w14:paraId="63BC92A5" w14:textId="77777777" w:rsidR="0081642E" w:rsidRPr="0081642E" w:rsidRDefault="0081642E" w:rsidP="008164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lang w:eastAsia="en-GB"/>
              </w:rPr>
            </w:pPr>
            <w:r w:rsidRPr="0081642E">
              <w:rPr>
                <w:rFonts w:ascii="Times New Roman" w:eastAsia="Times New Roman" w:hAnsi="Times New Roman"/>
                <w:sz w:val="16"/>
                <w:szCs w:val="16"/>
                <w:lang w:eastAsia="en-GB"/>
              </w:rPr>
              <w:t>265.62 ± 6.04</w:t>
            </w:r>
            <w:r w:rsidRPr="0081642E">
              <w:rPr>
                <w:rFonts w:ascii="Times New Roman" w:eastAsia="Times New Roman" w:hAnsi="Times New Roman"/>
                <w:sz w:val="16"/>
                <w:szCs w:val="16"/>
                <w:vertAlign w:val="superscript"/>
                <w:lang w:eastAsia="en-GB"/>
              </w:rPr>
              <w:t>a,b</w:t>
            </w:r>
          </w:p>
        </w:tc>
        <w:tc>
          <w:tcPr>
            <w:tcW w:w="1440" w:type="dxa"/>
            <w:noWrap/>
            <w:hideMark/>
          </w:tcPr>
          <w:p w14:paraId="5452AE90" w14:textId="77777777" w:rsidR="0081642E" w:rsidRPr="0081642E" w:rsidRDefault="0081642E" w:rsidP="008164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lang w:eastAsia="en-GB"/>
              </w:rPr>
            </w:pPr>
            <w:r w:rsidRPr="0081642E">
              <w:rPr>
                <w:rFonts w:ascii="Times New Roman" w:eastAsia="Times New Roman" w:hAnsi="Times New Roman"/>
                <w:sz w:val="16"/>
                <w:szCs w:val="16"/>
                <w:lang w:eastAsia="en-GB"/>
              </w:rPr>
              <w:t>2.46 ± 0.05</w:t>
            </w:r>
            <w:r w:rsidRPr="0081642E">
              <w:rPr>
                <w:rFonts w:ascii="Times New Roman" w:eastAsia="Times New Roman" w:hAnsi="Times New Roman"/>
                <w:sz w:val="16"/>
                <w:szCs w:val="16"/>
                <w:vertAlign w:val="superscript"/>
                <w:lang w:eastAsia="en-GB"/>
              </w:rPr>
              <w:t>c</w:t>
            </w:r>
          </w:p>
        </w:tc>
        <w:tc>
          <w:tcPr>
            <w:tcW w:w="1440" w:type="dxa"/>
            <w:noWrap/>
            <w:hideMark/>
          </w:tcPr>
          <w:p w14:paraId="02FFB65D" w14:textId="77777777" w:rsidR="0081642E" w:rsidRPr="0081642E" w:rsidRDefault="0081642E" w:rsidP="008164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lang w:eastAsia="en-GB"/>
              </w:rPr>
            </w:pPr>
            <w:r w:rsidRPr="0081642E">
              <w:rPr>
                <w:rFonts w:ascii="Times New Roman" w:eastAsia="Times New Roman" w:hAnsi="Times New Roman"/>
                <w:sz w:val="16"/>
                <w:szCs w:val="16"/>
                <w:lang w:eastAsia="en-GB"/>
              </w:rPr>
              <w:t>0.77 ± 0.12</w:t>
            </w:r>
            <w:r w:rsidRPr="0081642E">
              <w:rPr>
                <w:rFonts w:ascii="Times New Roman" w:eastAsia="Times New Roman" w:hAnsi="Times New Roman"/>
                <w:sz w:val="16"/>
                <w:szCs w:val="16"/>
                <w:vertAlign w:val="superscript"/>
                <w:lang w:eastAsia="en-GB"/>
              </w:rPr>
              <w:t>c</w:t>
            </w:r>
          </w:p>
        </w:tc>
        <w:tc>
          <w:tcPr>
            <w:tcW w:w="1440" w:type="dxa"/>
            <w:noWrap/>
            <w:hideMark/>
          </w:tcPr>
          <w:p w14:paraId="2703BE6A" w14:textId="77777777" w:rsidR="0081642E" w:rsidRPr="0081642E" w:rsidRDefault="0081642E" w:rsidP="008164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en-GB"/>
              </w:rPr>
            </w:pPr>
            <w:r w:rsidRPr="0081642E">
              <w:rPr>
                <w:rFonts w:ascii="Times New Roman" w:eastAsia="Times New Roman" w:hAnsi="Times New Roman"/>
                <w:color w:val="000000"/>
                <w:sz w:val="16"/>
                <w:szCs w:val="16"/>
                <w:lang w:eastAsia="en-GB"/>
              </w:rPr>
              <w:t>18.37 ± 0.78</w:t>
            </w:r>
            <w:r w:rsidRPr="0081642E">
              <w:rPr>
                <w:rFonts w:ascii="Times New Roman" w:eastAsia="Times New Roman" w:hAnsi="Times New Roman"/>
                <w:color w:val="000000"/>
                <w:sz w:val="16"/>
                <w:szCs w:val="16"/>
                <w:vertAlign w:val="superscript"/>
                <w:lang w:eastAsia="en-GB"/>
              </w:rPr>
              <w:t>a,****</w:t>
            </w:r>
          </w:p>
        </w:tc>
        <w:tc>
          <w:tcPr>
            <w:tcW w:w="1440" w:type="dxa"/>
            <w:noWrap/>
            <w:hideMark/>
          </w:tcPr>
          <w:p w14:paraId="55ACBDED" w14:textId="77777777" w:rsidR="0081642E" w:rsidRPr="0081642E" w:rsidRDefault="0081642E" w:rsidP="008164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en-GB"/>
              </w:rPr>
            </w:pPr>
            <w:r w:rsidRPr="0081642E">
              <w:rPr>
                <w:rFonts w:ascii="Times New Roman" w:eastAsia="Times New Roman" w:hAnsi="Times New Roman"/>
                <w:color w:val="000000"/>
                <w:sz w:val="16"/>
                <w:szCs w:val="16"/>
                <w:lang w:eastAsia="en-GB"/>
              </w:rPr>
              <w:t>0.22 ± 0.01</w:t>
            </w:r>
            <w:r w:rsidRPr="0081642E">
              <w:rPr>
                <w:rFonts w:ascii="Times New Roman" w:eastAsia="Times New Roman" w:hAnsi="Times New Roman"/>
                <w:color w:val="000000"/>
                <w:sz w:val="16"/>
                <w:szCs w:val="16"/>
                <w:vertAlign w:val="superscript"/>
                <w:lang w:eastAsia="en-GB"/>
              </w:rPr>
              <w:t>a,****</w:t>
            </w:r>
          </w:p>
        </w:tc>
        <w:tc>
          <w:tcPr>
            <w:tcW w:w="1440" w:type="dxa"/>
            <w:noWrap/>
            <w:hideMark/>
          </w:tcPr>
          <w:p w14:paraId="5EFF20A3" w14:textId="77777777" w:rsidR="0081642E" w:rsidRPr="0081642E" w:rsidRDefault="0081642E" w:rsidP="008164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en-GB"/>
              </w:rPr>
            </w:pPr>
            <w:r w:rsidRPr="0081642E">
              <w:rPr>
                <w:rFonts w:ascii="Times New Roman" w:eastAsia="Times New Roman" w:hAnsi="Times New Roman"/>
                <w:color w:val="000000"/>
                <w:sz w:val="16"/>
                <w:szCs w:val="16"/>
                <w:lang w:eastAsia="en-GB"/>
              </w:rPr>
              <w:t>1.72 ± 0.06</w:t>
            </w:r>
            <w:r w:rsidRPr="0081642E">
              <w:rPr>
                <w:rFonts w:ascii="Times New Roman" w:eastAsia="Times New Roman" w:hAnsi="Times New Roman"/>
                <w:color w:val="000000"/>
                <w:sz w:val="16"/>
                <w:szCs w:val="16"/>
                <w:vertAlign w:val="superscript"/>
                <w:lang w:eastAsia="en-GB"/>
              </w:rPr>
              <w:t>a,****</w:t>
            </w:r>
          </w:p>
        </w:tc>
        <w:tc>
          <w:tcPr>
            <w:tcW w:w="1440" w:type="dxa"/>
            <w:noWrap/>
            <w:hideMark/>
          </w:tcPr>
          <w:p w14:paraId="7C93EA7F" w14:textId="77777777" w:rsidR="0081642E" w:rsidRPr="0081642E" w:rsidRDefault="0081642E" w:rsidP="008164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lang w:eastAsia="en-GB"/>
              </w:rPr>
            </w:pPr>
            <w:r w:rsidRPr="0081642E">
              <w:rPr>
                <w:rFonts w:ascii="Times New Roman" w:eastAsia="Times New Roman" w:hAnsi="Times New Roman"/>
                <w:sz w:val="16"/>
                <w:szCs w:val="16"/>
                <w:lang w:eastAsia="en-GB"/>
              </w:rPr>
              <w:t>7.48 ± 0.31</w:t>
            </w:r>
            <w:r w:rsidRPr="0081642E">
              <w:rPr>
                <w:rFonts w:ascii="Times New Roman" w:eastAsia="Times New Roman" w:hAnsi="Times New Roman"/>
                <w:sz w:val="16"/>
                <w:szCs w:val="16"/>
                <w:vertAlign w:val="superscript"/>
                <w:lang w:eastAsia="en-GB"/>
              </w:rPr>
              <w:t>a,b,****</w:t>
            </w:r>
          </w:p>
        </w:tc>
        <w:tc>
          <w:tcPr>
            <w:tcW w:w="1440" w:type="dxa"/>
            <w:noWrap/>
            <w:hideMark/>
          </w:tcPr>
          <w:p w14:paraId="51980FCF" w14:textId="77777777" w:rsidR="0081642E" w:rsidRPr="0081642E" w:rsidRDefault="0081642E" w:rsidP="008164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lang w:eastAsia="en-GB"/>
              </w:rPr>
            </w:pPr>
            <w:r w:rsidRPr="0081642E">
              <w:rPr>
                <w:rFonts w:ascii="Times New Roman" w:eastAsia="Times New Roman" w:hAnsi="Times New Roman"/>
                <w:sz w:val="16"/>
                <w:szCs w:val="16"/>
                <w:lang w:eastAsia="en-GB"/>
              </w:rPr>
              <w:t>12.32 ± 3.71</w:t>
            </w:r>
            <w:r w:rsidRPr="0081642E">
              <w:rPr>
                <w:rFonts w:ascii="Times New Roman" w:eastAsia="Times New Roman" w:hAnsi="Times New Roman"/>
                <w:sz w:val="16"/>
                <w:szCs w:val="16"/>
                <w:vertAlign w:val="superscript"/>
                <w:lang w:eastAsia="en-GB"/>
              </w:rPr>
              <w:t>a</w:t>
            </w:r>
          </w:p>
        </w:tc>
        <w:tc>
          <w:tcPr>
            <w:tcW w:w="1440" w:type="dxa"/>
            <w:noWrap/>
            <w:hideMark/>
          </w:tcPr>
          <w:p w14:paraId="51A353D6" w14:textId="77777777" w:rsidR="0081642E" w:rsidRPr="0081642E" w:rsidRDefault="0081642E" w:rsidP="008164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lang w:eastAsia="en-GB"/>
              </w:rPr>
            </w:pPr>
            <w:r w:rsidRPr="0081642E">
              <w:rPr>
                <w:rFonts w:ascii="Times New Roman" w:eastAsia="Times New Roman" w:hAnsi="Times New Roman"/>
                <w:sz w:val="16"/>
                <w:szCs w:val="16"/>
                <w:lang w:eastAsia="en-GB"/>
              </w:rPr>
              <w:t>0.14 ± 3.71</w:t>
            </w:r>
            <w:r w:rsidRPr="0081642E">
              <w:rPr>
                <w:rFonts w:ascii="Times New Roman" w:eastAsia="Times New Roman" w:hAnsi="Times New Roman"/>
                <w:sz w:val="16"/>
                <w:szCs w:val="16"/>
                <w:vertAlign w:val="superscript"/>
                <w:lang w:eastAsia="en-GB"/>
              </w:rPr>
              <w:t>****</w:t>
            </w:r>
          </w:p>
        </w:tc>
      </w:tr>
      <w:tr w:rsidR="0081642E" w:rsidRPr="0081642E" w14:paraId="22C8E8AE" w14:textId="77777777" w:rsidTr="00013880">
        <w:trPr>
          <w:trHeight w:val="315"/>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0B1461A" w14:textId="77777777" w:rsidR="0081642E" w:rsidRPr="0081642E" w:rsidRDefault="0081642E" w:rsidP="0081642E">
            <w:pPr>
              <w:spacing w:after="0" w:line="240" w:lineRule="auto"/>
              <w:jc w:val="center"/>
              <w:rPr>
                <w:rFonts w:ascii="Times New Roman" w:eastAsia="Times New Roman" w:hAnsi="Times New Roman"/>
                <w:i/>
                <w:iCs/>
                <w:sz w:val="20"/>
                <w:szCs w:val="20"/>
                <w:lang w:eastAsia="en-GB"/>
              </w:rPr>
            </w:pPr>
            <w:r w:rsidRPr="0081642E">
              <w:rPr>
                <w:rFonts w:ascii="Times New Roman" w:eastAsia="Times New Roman" w:hAnsi="Times New Roman"/>
                <w:i/>
                <w:iCs/>
                <w:sz w:val="20"/>
                <w:szCs w:val="20"/>
                <w:lang w:eastAsia="en-GB"/>
              </w:rPr>
              <w:t xml:space="preserve">S. </w:t>
            </w:r>
            <w:proofErr w:type="spellStart"/>
            <w:r w:rsidRPr="0081642E">
              <w:rPr>
                <w:rFonts w:ascii="Times New Roman" w:eastAsia="Times New Roman" w:hAnsi="Times New Roman"/>
                <w:i/>
                <w:iCs/>
                <w:sz w:val="20"/>
                <w:szCs w:val="20"/>
                <w:lang w:eastAsia="en-GB"/>
              </w:rPr>
              <w:t>pyneei</w:t>
            </w:r>
            <w:proofErr w:type="spellEnd"/>
          </w:p>
        </w:tc>
        <w:tc>
          <w:tcPr>
            <w:tcW w:w="1440" w:type="dxa"/>
            <w:noWrap/>
            <w:hideMark/>
          </w:tcPr>
          <w:p w14:paraId="6BDB2AA9" w14:textId="77777777" w:rsidR="0081642E" w:rsidRPr="0081642E" w:rsidRDefault="0081642E" w:rsidP="008164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lang w:eastAsia="en-GB"/>
              </w:rPr>
            </w:pPr>
            <w:r w:rsidRPr="0081642E">
              <w:rPr>
                <w:rFonts w:ascii="Times New Roman" w:eastAsia="Times New Roman" w:hAnsi="Times New Roman"/>
                <w:sz w:val="16"/>
                <w:szCs w:val="16"/>
                <w:lang w:eastAsia="en-GB"/>
              </w:rPr>
              <w:t>254.32 ± 14.74</w:t>
            </w:r>
            <w:r w:rsidRPr="0081642E">
              <w:rPr>
                <w:rFonts w:ascii="Times New Roman" w:eastAsia="Times New Roman" w:hAnsi="Times New Roman"/>
                <w:sz w:val="16"/>
                <w:szCs w:val="16"/>
                <w:vertAlign w:val="superscript"/>
                <w:lang w:eastAsia="en-GB"/>
              </w:rPr>
              <w:t>b</w:t>
            </w:r>
          </w:p>
        </w:tc>
        <w:tc>
          <w:tcPr>
            <w:tcW w:w="1440" w:type="dxa"/>
            <w:noWrap/>
            <w:hideMark/>
          </w:tcPr>
          <w:p w14:paraId="520096B8" w14:textId="77777777" w:rsidR="0081642E" w:rsidRPr="0081642E" w:rsidRDefault="0081642E" w:rsidP="008164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lang w:eastAsia="en-GB"/>
              </w:rPr>
            </w:pPr>
            <w:r w:rsidRPr="0081642E">
              <w:rPr>
                <w:rFonts w:ascii="Times New Roman" w:eastAsia="Times New Roman" w:hAnsi="Times New Roman"/>
                <w:sz w:val="16"/>
                <w:szCs w:val="16"/>
                <w:lang w:eastAsia="en-GB"/>
              </w:rPr>
              <w:t>5.50 ± 0.12</w:t>
            </w:r>
            <w:r w:rsidRPr="0081642E">
              <w:rPr>
                <w:rFonts w:ascii="Times New Roman" w:eastAsia="Times New Roman" w:hAnsi="Times New Roman"/>
                <w:sz w:val="16"/>
                <w:szCs w:val="16"/>
                <w:vertAlign w:val="superscript"/>
                <w:lang w:eastAsia="en-GB"/>
              </w:rPr>
              <w:t>a</w:t>
            </w:r>
          </w:p>
        </w:tc>
        <w:tc>
          <w:tcPr>
            <w:tcW w:w="1440" w:type="dxa"/>
            <w:noWrap/>
            <w:hideMark/>
          </w:tcPr>
          <w:p w14:paraId="7BA2FE76" w14:textId="77777777" w:rsidR="0081642E" w:rsidRPr="0081642E" w:rsidRDefault="0081642E" w:rsidP="008164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lang w:eastAsia="en-GB"/>
              </w:rPr>
            </w:pPr>
            <w:r w:rsidRPr="0081642E">
              <w:rPr>
                <w:rFonts w:ascii="Times New Roman" w:eastAsia="Times New Roman" w:hAnsi="Times New Roman"/>
                <w:sz w:val="16"/>
                <w:szCs w:val="16"/>
                <w:lang w:eastAsia="en-GB"/>
              </w:rPr>
              <w:t>51.38 ± 1.23</w:t>
            </w:r>
            <w:r w:rsidRPr="0081642E">
              <w:rPr>
                <w:rFonts w:ascii="Times New Roman" w:eastAsia="Times New Roman" w:hAnsi="Times New Roman"/>
                <w:sz w:val="16"/>
                <w:szCs w:val="16"/>
                <w:vertAlign w:val="superscript"/>
                <w:lang w:eastAsia="en-GB"/>
              </w:rPr>
              <w:t>b</w:t>
            </w:r>
          </w:p>
        </w:tc>
        <w:tc>
          <w:tcPr>
            <w:tcW w:w="1440" w:type="dxa"/>
            <w:noWrap/>
            <w:hideMark/>
          </w:tcPr>
          <w:p w14:paraId="3708EB1B" w14:textId="77777777" w:rsidR="0081642E" w:rsidRPr="0081642E" w:rsidRDefault="0081642E" w:rsidP="008164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lang w:eastAsia="en-GB"/>
              </w:rPr>
            </w:pPr>
            <w:r w:rsidRPr="0081642E">
              <w:rPr>
                <w:rFonts w:ascii="Times New Roman" w:eastAsia="Times New Roman" w:hAnsi="Times New Roman"/>
                <w:color w:val="000000"/>
                <w:sz w:val="16"/>
                <w:szCs w:val="16"/>
                <w:lang w:eastAsia="en-GB"/>
              </w:rPr>
              <w:t>12.27 ± 0.04</w:t>
            </w:r>
            <w:r w:rsidRPr="0081642E">
              <w:rPr>
                <w:rFonts w:ascii="Times New Roman" w:eastAsia="Times New Roman" w:hAnsi="Times New Roman"/>
                <w:color w:val="000000"/>
                <w:sz w:val="16"/>
                <w:szCs w:val="16"/>
                <w:vertAlign w:val="superscript"/>
                <w:lang w:eastAsia="en-GB"/>
              </w:rPr>
              <w:t>c,****</w:t>
            </w:r>
          </w:p>
        </w:tc>
        <w:tc>
          <w:tcPr>
            <w:tcW w:w="1440" w:type="dxa"/>
            <w:noWrap/>
            <w:hideMark/>
          </w:tcPr>
          <w:p w14:paraId="6C30368F" w14:textId="77777777" w:rsidR="0081642E" w:rsidRPr="0081642E" w:rsidRDefault="0081642E" w:rsidP="008164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lang w:eastAsia="en-GB"/>
              </w:rPr>
            </w:pPr>
            <w:r w:rsidRPr="0081642E">
              <w:rPr>
                <w:rFonts w:ascii="Times New Roman" w:eastAsia="Times New Roman" w:hAnsi="Times New Roman"/>
                <w:color w:val="000000"/>
                <w:sz w:val="16"/>
                <w:szCs w:val="16"/>
                <w:lang w:eastAsia="en-GB"/>
              </w:rPr>
              <w:t>0.71 ± 0.01</w:t>
            </w:r>
            <w:r w:rsidRPr="0081642E">
              <w:rPr>
                <w:rFonts w:ascii="Times New Roman" w:eastAsia="Times New Roman" w:hAnsi="Times New Roman"/>
                <w:color w:val="000000"/>
                <w:sz w:val="16"/>
                <w:szCs w:val="16"/>
                <w:vertAlign w:val="superscript"/>
                <w:lang w:eastAsia="en-GB"/>
              </w:rPr>
              <w:t>c,****</w:t>
            </w:r>
          </w:p>
        </w:tc>
        <w:tc>
          <w:tcPr>
            <w:tcW w:w="1440" w:type="dxa"/>
            <w:noWrap/>
            <w:hideMark/>
          </w:tcPr>
          <w:p w14:paraId="10A9FE4B" w14:textId="77777777" w:rsidR="0081642E" w:rsidRPr="0081642E" w:rsidRDefault="0081642E" w:rsidP="008164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lang w:eastAsia="en-GB"/>
              </w:rPr>
            </w:pPr>
            <w:r w:rsidRPr="0081642E">
              <w:rPr>
                <w:rFonts w:ascii="Times New Roman" w:eastAsia="Times New Roman" w:hAnsi="Times New Roman"/>
                <w:color w:val="000000"/>
                <w:sz w:val="16"/>
                <w:szCs w:val="16"/>
                <w:lang w:eastAsia="en-GB"/>
              </w:rPr>
              <w:t>2.73 ± 0.02</w:t>
            </w:r>
            <w:r w:rsidRPr="0081642E">
              <w:rPr>
                <w:rFonts w:ascii="Times New Roman" w:eastAsia="Times New Roman" w:hAnsi="Times New Roman"/>
                <w:color w:val="000000"/>
                <w:sz w:val="16"/>
                <w:szCs w:val="16"/>
                <w:vertAlign w:val="superscript"/>
                <w:lang w:eastAsia="en-GB"/>
              </w:rPr>
              <w:t>b,****</w:t>
            </w:r>
          </w:p>
        </w:tc>
        <w:tc>
          <w:tcPr>
            <w:tcW w:w="1440" w:type="dxa"/>
            <w:noWrap/>
            <w:hideMark/>
          </w:tcPr>
          <w:p w14:paraId="648D3DEA" w14:textId="77777777" w:rsidR="0081642E" w:rsidRPr="0081642E" w:rsidRDefault="0081642E" w:rsidP="008164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lang w:eastAsia="en-GB"/>
              </w:rPr>
            </w:pPr>
            <w:r w:rsidRPr="0081642E">
              <w:rPr>
                <w:rFonts w:ascii="Times New Roman" w:eastAsia="Times New Roman" w:hAnsi="Times New Roman"/>
                <w:sz w:val="16"/>
                <w:szCs w:val="16"/>
                <w:lang w:eastAsia="en-GB"/>
              </w:rPr>
              <w:t>8.52 ± 0.99</w:t>
            </w:r>
            <w:r w:rsidRPr="0081642E">
              <w:rPr>
                <w:rFonts w:ascii="Times New Roman" w:eastAsia="Times New Roman" w:hAnsi="Times New Roman"/>
                <w:sz w:val="16"/>
                <w:szCs w:val="16"/>
                <w:vertAlign w:val="superscript"/>
                <w:lang w:eastAsia="en-GB"/>
              </w:rPr>
              <w:t>b,****</w:t>
            </w:r>
          </w:p>
        </w:tc>
        <w:tc>
          <w:tcPr>
            <w:tcW w:w="1440" w:type="dxa"/>
            <w:noWrap/>
            <w:hideMark/>
          </w:tcPr>
          <w:p w14:paraId="198D1C77" w14:textId="77777777" w:rsidR="0081642E" w:rsidRPr="0081642E" w:rsidRDefault="0081642E" w:rsidP="008164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lang w:eastAsia="en-GB"/>
              </w:rPr>
            </w:pPr>
            <w:r w:rsidRPr="0081642E">
              <w:rPr>
                <w:rFonts w:ascii="Times New Roman" w:eastAsia="Times New Roman" w:hAnsi="Times New Roman"/>
                <w:sz w:val="16"/>
                <w:szCs w:val="16"/>
                <w:lang w:eastAsia="en-GB"/>
              </w:rPr>
              <w:t>15.24 ± 0.89</w:t>
            </w:r>
            <w:r w:rsidRPr="0081642E">
              <w:rPr>
                <w:rFonts w:ascii="Times New Roman" w:eastAsia="Times New Roman" w:hAnsi="Times New Roman"/>
                <w:sz w:val="16"/>
                <w:szCs w:val="16"/>
                <w:vertAlign w:val="superscript"/>
                <w:lang w:eastAsia="en-GB"/>
              </w:rPr>
              <w:t>a,b,**</w:t>
            </w:r>
          </w:p>
        </w:tc>
        <w:tc>
          <w:tcPr>
            <w:tcW w:w="1440" w:type="dxa"/>
            <w:noWrap/>
            <w:hideMark/>
          </w:tcPr>
          <w:p w14:paraId="5589CEA1" w14:textId="77777777" w:rsidR="0081642E" w:rsidRPr="0081642E" w:rsidRDefault="0081642E" w:rsidP="008164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lang w:eastAsia="en-GB"/>
              </w:rPr>
            </w:pPr>
            <w:r w:rsidRPr="0081642E">
              <w:rPr>
                <w:rFonts w:ascii="Times New Roman" w:eastAsia="Times New Roman" w:hAnsi="Times New Roman"/>
                <w:color w:val="000000"/>
                <w:sz w:val="16"/>
                <w:szCs w:val="16"/>
                <w:lang w:eastAsia="en-GB"/>
              </w:rPr>
              <w:t>ND</w:t>
            </w:r>
          </w:p>
        </w:tc>
      </w:tr>
      <w:tr w:rsidR="0081642E" w:rsidRPr="0081642E" w14:paraId="63B31486" w14:textId="77777777" w:rsidTr="000138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0932E29" w14:textId="77777777" w:rsidR="0081642E" w:rsidRPr="0081642E" w:rsidRDefault="0081642E" w:rsidP="0081642E">
            <w:pPr>
              <w:spacing w:after="0" w:line="240" w:lineRule="auto"/>
              <w:jc w:val="center"/>
              <w:rPr>
                <w:rFonts w:ascii="Times New Roman" w:eastAsia="Times New Roman" w:hAnsi="Times New Roman"/>
                <w:i/>
                <w:iCs/>
                <w:sz w:val="20"/>
                <w:szCs w:val="20"/>
                <w:lang w:eastAsia="en-GB"/>
              </w:rPr>
            </w:pPr>
            <w:r w:rsidRPr="0081642E">
              <w:rPr>
                <w:rFonts w:ascii="Times New Roman" w:eastAsia="Times New Roman" w:hAnsi="Times New Roman"/>
                <w:i/>
                <w:iCs/>
                <w:sz w:val="20"/>
                <w:szCs w:val="20"/>
                <w:lang w:eastAsia="en-GB"/>
              </w:rPr>
              <w:t xml:space="preserve">S. </w:t>
            </w:r>
            <w:proofErr w:type="spellStart"/>
            <w:r w:rsidRPr="0081642E">
              <w:rPr>
                <w:rFonts w:ascii="Times New Roman" w:eastAsia="Times New Roman" w:hAnsi="Times New Roman"/>
                <w:i/>
                <w:iCs/>
                <w:sz w:val="20"/>
                <w:szCs w:val="20"/>
                <w:lang w:eastAsia="en-GB"/>
              </w:rPr>
              <w:t>bijouxii</w:t>
            </w:r>
            <w:proofErr w:type="spellEnd"/>
          </w:p>
        </w:tc>
        <w:tc>
          <w:tcPr>
            <w:tcW w:w="1440" w:type="dxa"/>
            <w:noWrap/>
            <w:hideMark/>
          </w:tcPr>
          <w:p w14:paraId="795E914A" w14:textId="77777777" w:rsidR="0081642E" w:rsidRPr="0081642E" w:rsidRDefault="0081642E" w:rsidP="008164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lang w:eastAsia="en-GB"/>
              </w:rPr>
            </w:pPr>
            <w:r w:rsidRPr="0081642E">
              <w:rPr>
                <w:rFonts w:ascii="Times New Roman" w:eastAsia="Times New Roman" w:hAnsi="Times New Roman"/>
                <w:sz w:val="16"/>
                <w:szCs w:val="16"/>
                <w:lang w:eastAsia="en-GB"/>
              </w:rPr>
              <w:t>292.37 ± 17.97</w:t>
            </w:r>
            <w:r w:rsidRPr="0081642E">
              <w:rPr>
                <w:rFonts w:ascii="Times New Roman" w:eastAsia="Times New Roman" w:hAnsi="Times New Roman"/>
                <w:sz w:val="16"/>
                <w:szCs w:val="16"/>
                <w:vertAlign w:val="superscript"/>
                <w:lang w:eastAsia="en-GB"/>
              </w:rPr>
              <w:t>a</w:t>
            </w:r>
          </w:p>
        </w:tc>
        <w:tc>
          <w:tcPr>
            <w:tcW w:w="1440" w:type="dxa"/>
            <w:noWrap/>
            <w:hideMark/>
          </w:tcPr>
          <w:p w14:paraId="3BF8BF24" w14:textId="77777777" w:rsidR="0081642E" w:rsidRPr="0081642E" w:rsidRDefault="0081642E" w:rsidP="008164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lang w:eastAsia="en-GB"/>
              </w:rPr>
            </w:pPr>
            <w:r w:rsidRPr="0081642E">
              <w:rPr>
                <w:rFonts w:ascii="Times New Roman" w:eastAsia="Times New Roman" w:hAnsi="Times New Roman"/>
                <w:sz w:val="16"/>
                <w:szCs w:val="16"/>
                <w:lang w:eastAsia="en-GB"/>
              </w:rPr>
              <w:t>3.47 ± 0.08</w:t>
            </w:r>
            <w:r w:rsidRPr="0081642E">
              <w:rPr>
                <w:rFonts w:ascii="Times New Roman" w:eastAsia="Times New Roman" w:hAnsi="Times New Roman"/>
                <w:sz w:val="16"/>
                <w:szCs w:val="16"/>
                <w:vertAlign w:val="superscript"/>
                <w:lang w:eastAsia="en-GB"/>
              </w:rPr>
              <w:t>b</w:t>
            </w:r>
          </w:p>
        </w:tc>
        <w:tc>
          <w:tcPr>
            <w:tcW w:w="1440" w:type="dxa"/>
            <w:noWrap/>
            <w:hideMark/>
          </w:tcPr>
          <w:p w14:paraId="50C99A46" w14:textId="77777777" w:rsidR="0081642E" w:rsidRPr="0081642E" w:rsidRDefault="0081642E" w:rsidP="008164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lang w:eastAsia="en-GB"/>
              </w:rPr>
            </w:pPr>
            <w:r w:rsidRPr="0081642E">
              <w:rPr>
                <w:rFonts w:ascii="Times New Roman" w:eastAsia="Times New Roman" w:hAnsi="Times New Roman"/>
                <w:sz w:val="16"/>
                <w:szCs w:val="16"/>
                <w:lang w:eastAsia="en-GB"/>
              </w:rPr>
              <w:t>83.20 ± 5.84</w:t>
            </w:r>
            <w:r w:rsidRPr="0081642E">
              <w:rPr>
                <w:rFonts w:ascii="Times New Roman" w:eastAsia="Times New Roman" w:hAnsi="Times New Roman"/>
                <w:sz w:val="16"/>
                <w:szCs w:val="16"/>
                <w:vertAlign w:val="superscript"/>
                <w:lang w:eastAsia="en-GB"/>
              </w:rPr>
              <w:t>a</w:t>
            </w:r>
          </w:p>
        </w:tc>
        <w:tc>
          <w:tcPr>
            <w:tcW w:w="1440" w:type="dxa"/>
            <w:noWrap/>
            <w:hideMark/>
          </w:tcPr>
          <w:p w14:paraId="6130533C" w14:textId="77777777" w:rsidR="0081642E" w:rsidRPr="0081642E" w:rsidRDefault="0081642E" w:rsidP="008164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en-GB"/>
              </w:rPr>
            </w:pPr>
            <w:r w:rsidRPr="0081642E">
              <w:rPr>
                <w:rFonts w:ascii="Times New Roman" w:eastAsia="Times New Roman" w:hAnsi="Times New Roman"/>
                <w:color w:val="000000"/>
                <w:sz w:val="16"/>
                <w:szCs w:val="16"/>
                <w:lang w:eastAsia="en-GB"/>
              </w:rPr>
              <w:t>15.17 ± 0.64</w:t>
            </w:r>
            <w:r w:rsidRPr="0081642E">
              <w:rPr>
                <w:rFonts w:ascii="Times New Roman" w:eastAsia="Times New Roman" w:hAnsi="Times New Roman"/>
                <w:color w:val="000000"/>
                <w:sz w:val="16"/>
                <w:szCs w:val="16"/>
                <w:vertAlign w:val="superscript"/>
                <w:lang w:eastAsia="en-GB"/>
              </w:rPr>
              <w:t>b,****</w:t>
            </w:r>
          </w:p>
        </w:tc>
        <w:tc>
          <w:tcPr>
            <w:tcW w:w="1440" w:type="dxa"/>
            <w:noWrap/>
            <w:hideMark/>
          </w:tcPr>
          <w:p w14:paraId="15F5FC8A" w14:textId="77777777" w:rsidR="0081642E" w:rsidRPr="0081642E" w:rsidRDefault="0081642E" w:rsidP="008164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en-GB"/>
              </w:rPr>
            </w:pPr>
            <w:r w:rsidRPr="0081642E">
              <w:rPr>
                <w:rFonts w:ascii="Times New Roman" w:eastAsia="Times New Roman" w:hAnsi="Times New Roman"/>
                <w:color w:val="000000"/>
                <w:sz w:val="16"/>
                <w:szCs w:val="16"/>
                <w:lang w:eastAsia="en-GB"/>
              </w:rPr>
              <w:t>0.60 ± 0.02</w:t>
            </w:r>
            <w:r w:rsidRPr="0081642E">
              <w:rPr>
                <w:rFonts w:ascii="Times New Roman" w:eastAsia="Times New Roman" w:hAnsi="Times New Roman"/>
                <w:color w:val="000000"/>
                <w:sz w:val="16"/>
                <w:szCs w:val="16"/>
                <w:vertAlign w:val="superscript"/>
                <w:lang w:eastAsia="en-GB"/>
              </w:rPr>
              <w:t>b,****</w:t>
            </w:r>
          </w:p>
        </w:tc>
        <w:tc>
          <w:tcPr>
            <w:tcW w:w="1440" w:type="dxa"/>
            <w:noWrap/>
            <w:hideMark/>
          </w:tcPr>
          <w:p w14:paraId="18E60883" w14:textId="77777777" w:rsidR="0081642E" w:rsidRPr="0081642E" w:rsidRDefault="0081642E" w:rsidP="008164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en-GB"/>
              </w:rPr>
            </w:pPr>
            <w:r w:rsidRPr="0081642E">
              <w:rPr>
                <w:rFonts w:ascii="Times New Roman" w:eastAsia="Times New Roman" w:hAnsi="Times New Roman"/>
                <w:color w:val="000000"/>
                <w:sz w:val="16"/>
                <w:szCs w:val="16"/>
                <w:lang w:eastAsia="en-GB"/>
              </w:rPr>
              <w:t>2.83 ± 0.02</w:t>
            </w:r>
            <w:r w:rsidRPr="0081642E">
              <w:rPr>
                <w:rFonts w:ascii="Times New Roman" w:eastAsia="Times New Roman" w:hAnsi="Times New Roman"/>
                <w:color w:val="000000"/>
                <w:sz w:val="16"/>
                <w:szCs w:val="16"/>
                <w:vertAlign w:val="superscript"/>
                <w:lang w:eastAsia="en-GB"/>
              </w:rPr>
              <w:t>b,****</w:t>
            </w:r>
          </w:p>
        </w:tc>
        <w:tc>
          <w:tcPr>
            <w:tcW w:w="1440" w:type="dxa"/>
            <w:noWrap/>
            <w:hideMark/>
          </w:tcPr>
          <w:p w14:paraId="4BE13CEA" w14:textId="77777777" w:rsidR="0081642E" w:rsidRPr="0081642E" w:rsidRDefault="0081642E" w:rsidP="008164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lang w:eastAsia="en-GB"/>
              </w:rPr>
            </w:pPr>
            <w:r w:rsidRPr="0081642E">
              <w:rPr>
                <w:rFonts w:ascii="Times New Roman" w:eastAsia="Times New Roman" w:hAnsi="Times New Roman"/>
                <w:sz w:val="16"/>
                <w:szCs w:val="16"/>
                <w:lang w:eastAsia="en-GB"/>
              </w:rPr>
              <w:t>7.20 ± 0.41</w:t>
            </w:r>
            <w:r w:rsidRPr="0081642E">
              <w:rPr>
                <w:rFonts w:ascii="Times New Roman" w:eastAsia="Times New Roman" w:hAnsi="Times New Roman"/>
                <w:sz w:val="16"/>
                <w:szCs w:val="16"/>
                <w:vertAlign w:val="superscript"/>
                <w:lang w:eastAsia="en-GB"/>
              </w:rPr>
              <w:t>a,***</w:t>
            </w:r>
          </w:p>
        </w:tc>
        <w:tc>
          <w:tcPr>
            <w:tcW w:w="1440" w:type="dxa"/>
            <w:noWrap/>
            <w:hideMark/>
          </w:tcPr>
          <w:p w14:paraId="1AEAC71C" w14:textId="77777777" w:rsidR="0081642E" w:rsidRPr="0081642E" w:rsidRDefault="0081642E" w:rsidP="008164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lang w:eastAsia="en-GB"/>
              </w:rPr>
            </w:pPr>
            <w:r w:rsidRPr="0081642E">
              <w:rPr>
                <w:rFonts w:ascii="Times New Roman" w:eastAsia="Times New Roman" w:hAnsi="Times New Roman"/>
                <w:sz w:val="16"/>
                <w:szCs w:val="16"/>
                <w:lang w:eastAsia="en-GB"/>
              </w:rPr>
              <w:t>18.22 ± 2.69</w:t>
            </w:r>
            <w:r w:rsidRPr="0081642E">
              <w:rPr>
                <w:rFonts w:ascii="Times New Roman" w:eastAsia="Times New Roman" w:hAnsi="Times New Roman"/>
                <w:sz w:val="16"/>
                <w:szCs w:val="16"/>
                <w:vertAlign w:val="superscript"/>
                <w:lang w:eastAsia="en-GB"/>
              </w:rPr>
              <w:t>b,****</w:t>
            </w:r>
          </w:p>
        </w:tc>
        <w:tc>
          <w:tcPr>
            <w:tcW w:w="1440" w:type="dxa"/>
            <w:noWrap/>
            <w:hideMark/>
          </w:tcPr>
          <w:p w14:paraId="3BE53871" w14:textId="77777777" w:rsidR="0081642E" w:rsidRPr="0081642E" w:rsidRDefault="0081642E" w:rsidP="008164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en-GB"/>
              </w:rPr>
            </w:pPr>
            <w:r w:rsidRPr="0081642E">
              <w:rPr>
                <w:rFonts w:ascii="Times New Roman" w:eastAsia="Times New Roman" w:hAnsi="Times New Roman"/>
                <w:color w:val="000000"/>
                <w:sz w:val="16"/>
                <w:szCs w:val="16"/>
                <w:lang w:eastAsia="en-GB"/>
              </w:rPr>
              <w:t>ND</w:t>
            </w:r>
          </w:p>
        </w:tc>
      </w:tr>
      <w:tr w:rsidR="0081642E" w:rsidRPr="0081642E" w14:paraId="5D7A96F4" w14:textId="77777777" w:rsidTr="00013880">
        <w:trPr>
          <w:trHeight w:val="63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82751D6" w14:textId="77777777" w:rsidR="0081642E" w:rsidRPr="0081642E" w:rsidRDefault="0081642E" w:rsidP="0081642E">
            <w:pPr>
              <w:spacing w:after="0" w:line="240" w:lineRule="auto"/>
              <w:jc w:val="center"/>
              <w:rPr>
                <w:rFonts w:ascii="Times New Roman" w:eastAsia="Times New Roman" w:hAnsi="Times New Roman"/>
                <w:sz w:val="20"/>
                <w:szCs w:val="20"/>
                <w:lang w:eastAsia="en-GB"/>
              </w:rPr>
            </w:pPr>
            <w:r w:rsidRPr="0081642E">
              <w:rPr>
                <w:rFonts w:ascii="Times New Roman" w:eastAsia="Times New Roman" w:hAnsi="Times New Roman"/>
                <w:sz w:val="20"/>
                <w:szCs w:val="20"/>
                <w:lang w:eastAsia="en-GB"/>
              </w:rPr>
              <w:t>Gallic acid</w:t>
            </w:r>
          </w:p>
        </w:tc>
        <w:tc>
          <w:tcPr>
            <w:tcW w:w="1440" w:type="dxa"/>
            <w:noWrap/>
            <w:hideMark/>
          </w:tcPr>
          <w:p w14:paraId="477B73EE" w14:textId="77777777" w:rsidR="0081642E" w:rsidRPr="0081642E" w:rsidRDefault="0081642E" w:rsidP="008164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lang w:eastAsia="en-GB"/>
              </w:rPr>
            </w:pPr>
            <w:r w:rsidRPr="0081642E">
              <w:rPr>
                <w:rFonts w:ascii="Times New Roman" w:eastAsia="Times New Roman" w:hAnsi="Times New Roman"/>
                <w:color w:val="000000"/>
                <w:sz w:val="16"/>
                <w:szCs w:val="16"/>
                <w:lang w:eastAsia="en-GB"/>
              </w:rPr>
              <w:t>-</w:t>
            </w:r>
          </w:p>
        </w:tc>
        <w:tc>
          <w:tcPr>
            <w:tcW w:w="1440" w:type="dxa"/>
            <w:noWrap/>
            <w:hideMark/>
          </w:tcPr>
          <w:p w14:paraId="661B4E98" w14:textId="77777777" w:rsidR="0081642E" w:rsidRPr="0081642E" w:rsidRDefault="0081642E" w:rsidP="008164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lang w:eastAsia="en-GB"/>
              </w:rPr>
            </w:pPr>
            <w:r w:rsidRPr="0081642E">
              <w:rPr>
                <w:rFonts w:ascii="Times New Roman" w:eastAsia="Times New Roman" w:hAnsi="Times New Roman"/>
                <w:color w:val="000000"/>
                <w:sz w:val="16"/>
                <w:szCs w:val="16"/>
                <w:lang w:eastAsia="en-GB"/>
              </w:rPr>
              <w:t>-</w:t>
            </w:r>
          </w:p>
        </w:tc>
        <w:tc>
          <w:tcPr>
            <w:tcW w:w="1440" w:type="dxa"/>
            <w:noWrap/>
            <w:hideMark/>
          </w:tcPr>
          <w:p w14:paraId="40A314F4" w14:textId="77777777" w:rsidR="0081642E" w:rsidRPr="0081642E" w:rsidRDefault="0081642E" w:rsidP="008164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lang w:eastAsia="en-GB"/>
              </w:rPr>
            </w:pPr>
            <w:r w:rsidRPr="0081642E">
              <w:rPr>
                <w:rFonts w:ascii="Times New Roman" w:eastAsia="Times New Roman" w:hAnsi="Times New Roman"/>
                <w:color w:val="000000"/>
                <w:sz w:val="16"/>
                <w:szCs w:val="16"/>
                <w:lang w:eastAsia="en-GB"/>
              </w:rPr>
              <w:t>-</w:t>
            </w:r>
          </w:p>
        </w:tc>
        <w:tc>
          <w:tcPr>
            <w:tcW w:w="1440" w:type="dxa"/>
            <w:noWrap/>
            <w:hideMark/>
          </w:tcPr>
          <w:p w14:paraId="4B67B885" w14:textId="77777777" w:rsidR="0081642E" w:rsidRPr="0081642E" w:rsidRDefault="0081642E" w:rsidP="008164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lang w:eastAsia="en-GB"/>
              </w:rPr>
            </w:pPr>
            <w:r w:rsidRPr="0081642E">
              <w:rPr>
                <w:rFonts w:ascii="Times New Roman" w:eastAsia="Times New Roman" w:hAnsi="Times New Roman"/>
                <w:sz w:val="16"/>
                <w:szCs w:val="16"/>
                <w:lang w:eastAsia="en-GB"/>
              </w:rPr>
              <w:t>24.84 ± 0.22</w:t>
            </w:r>
          </w:p>
        </w:tc>
        <w:tc>
          <w:tcPr>
            <w:tcW w:w="1440" w:type="dxa"/>
            <w:hideMark/>
          </w:tcPr>
          <w:p w14:paraId="651EA506" w14:textId="77777777" w:rsidR="0081642E" w:rsidRPr="0081642E" w:rsidRDefault="0081642E" w:rsidP="008164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lang w:eastAsia="en-GB"/>
              </w:rPr>
            </w:pPr>
            <w:r w:rsidRPr="0081642E">
              <w:rPr>
                <w:rFonts w:ascii="Times New Roman" w:eastAsia="Times New Roman" w:hAnsi="Times New Roman"/>
                <w:sz w:val="16"/>
                <w:szCs w:val="16"/>
                <w:lang w:eastAsia="en-GB"/>
              </w:rPr>
              <w:t>8.00 ± 0.04                        (47.04 ± 0.23 mM)</w:t>
            </w:r>
          </w:p>
        </w:tc>
        <w:tc>
          <w:tcPr>
            <w:tcW w:w="1440" w:type="dxa"/>
            <w:hideMark/>
          </w:tcPr>
          <w:p w14:paraId="63ADC7CC" w14:textId="77777777" w:rsidR="0081642E" w:rsidRPr="0081642E" w:rsidRDefault="0081642E" w:rsidP="008164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lang w:eastAsia="en-GB"/>
              </w:rPr>
            </w:pPr>
            <w:r w:rsidRPr="0081642E">
              <w:rPr>
                <w:rFonts w:ascii="Times New Roman" w:eastAsia="Times New Roman" w:hAnsi="Times New Roman"/>
                <w:sz w:val="16"/>
                <w:szCs w:val="16"/>
                <w:lang w:eastAsia="en-GB"/>
              </w:rPr>
              <w:t>0.62 ± 0.05                           (4.18 ± 0.32 µM)</w:t>
            </w:r>
          </w:p>
        </w:tc>
        <w:tc>
          <w:tcPr>
            <w:tcW w:w="1440" w:type="dxa"/>
            <w:hideMark/>
          </w:tcPr>
          <w:p w14:paraId="1CD6B72D" w14:textId="77777777" w:rsidR="0081642E" w:rsidRPr="0081642E" w:rsidRDefault="0081642E" w:rsidP="008164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lang w:eastAsia="en-GB"/>
              </w:rPr>
            </w:pPr>
            <w:r w:rsidRPr="0081642E">
              <w:rPr>
                <w:rFonts w:ascii="Times New Roman" w:eastAsia="Times New Roman" w:hAnsi="Times New Roman"/>
                <w:color w:val="000000"/>
                <w:sz w:val="16"/>
                <w:szCs w:val="16"/>
                <w:lang w:eastAsia="en-GB"/>
              </w:rPr>
              <w:t>5.52 ± 0.11                          (31.43 ± 0.84 µM)</w:t>
            </w:r>
          </w:p>
        </w:tc>
        <w:tc>
          <w:tcPr>
            <w:tcW w:w="1440" w:type="dxa"/>
            <w:hideMark/>
          </w:tcPr>
          <w:p w14:paraId="743DF98F" w14:textId="77777777" w:rsidR="0081642E" w:rsidRPr="0081642E" w:rsidRDefault="0081642E" w:rsidP="008164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lang w:eastAsia="en-GB"/>
              </w:rPr>
            </w:pPr>
            <w:r w:rsidRPr="0081642E">
              <w:rPr>
                <w:rFonts w:ascii="Times New Roman" w:eastAsia="Times New Roman" w:hAnsi="Times New Roman"/>
                <w:color w:val="000000"/>
                <w:sz w:val="16"/>
                <w:szCs w:val="16"/>
                <w:lang w:eastAsia="en-GB"/>
              </w:rPr>
              <w:t>9.61 ± 1.75                           (68.01 ± 13.90 µM)</w:t>
            </w:r>
          </w:p>
        </w:tc>
        <w:tc>
          <w:tcPr>
            <w:tcW w:w="1440" w:type="dxa"/>
            <w:hideMark/>
          </w:tcPr>
          <w:p w14:paraId="089BD658" w14:textId="77777777" w:rsidR="0081642E" w:rsidRPr="0081642E" w:rsidRDefault="0081642E" w:rsidP="008164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lang w:eastAsia="en-GB"/>
              </w:rPr>
            </w:pPr>
            <w:r w:rsidRPr="0081642E">
              <w:rPr>
                <w:rFonts w:ascii="Times New Roman" w:eastAsia="Times New Roman" w:hAnsi="Times New Roman"/>
                <w:color w:val="000000"/>
                <w:sz w:val="16"/>
                <w:szCs w:val="16"/>
                <w:lang w:eastAsia="en-GB"/>
              </w:rPr>
              <w:t>1.65 ± 0.09                           (9.70 ± 0.51 µM)</w:t>
            </w:r>
          </w:p>
        </w:tc>
      </w:tr>
    </w:tbl>
    <w:p w14:paraId="42FDF631" w14:textId="432832EB" w:rsidR="0081642E" w:rsidRPr="0081642E" w:rsidRDefault="0081642E" w:rsidP="0081642E">
      <w:pPr>
        <w:spacing w:line="276" w:lineRule="auto"/>
        <w:jc w:val="both"/>
        <w:rPr>
          <w:rFonts w:ascii="Times New Roman" w:hAnsi="Times New Roman"/>
          <w:sz w:val="24"/>
          <w:szCs w:val="24"/>
        </w:rPr>
      </w:pPr>
      <w:r w:rsidRPr="0081642E">
        <w:rPr>
          <w:rFonts w:ascii="Times New Roman" w:hAnsi="Times New Roman"/>
          <w:sz w:val="24"/>
          <w:szCs w:val="24"/>
          <w:vertAlign w:val="superscript"/>
        </w:rPr>
        <w:t>1</w:t>
      </w:r>
      <w:r w:rsidRPr="0081642E">
        <w:rPr>
          <w:rFonts w:ascii="Times New Roman" w:hAnsi="Times New Roman"/>
          <w:sz w:val="24"/>
          <w:szCs w:val="24"/>
        </w:rPr>
        <w:t xml:space="preserve">Values are expressed as mg of gallic acid equivalent (GAE)/g, </w:t>
      </w:r>
      <w:r w:rsidRPr="0081642E">
        <w:rPr>
          <w:rFonts w:ascii="Times New Roman" w:hAnsi="Times New Roman"/>
          <w:sz w:val="24"/>
          <w:szCs w:val="24"/>
          <w:vertAlign w:val="superscript"/>
        </w:rPr>
        <w:t>2</w:t>
      </w:r>
      <w:r w:rsidRPr="0081642E">
        <w:rPr>
          <w:rFonts w:ascii="Times New Roman" w:hAnsi="Times New Roman"/>
          <w:sz w:val="24"/>
          <w:szCs w:val="24"/>
        </w:rPr>
        <w:t xml:space="preserve">values are expressed as mg of quercetin equivalent (QE)/g, and </w:t>
      </w:r>
      <w:r w:rsidRPr="0081642E">
        <w:rPr>
          <w:rFonts w:ascii="Times New Roman" w:hAnsi="Times New Roman"/>
          <w:sz w:val="24"/>
          <w:szCs w:val="24"/>
          <w:vertAlign w:val="superscript"/>
        </w:rPr>
        <w:t>3</w:t>
      </w:r>
      <w:r w:rsidRPr="0081642E">
        <w:rPr>
          <w:rFonts w:ascii="Times New Roman" w:hAnsi="Times New Roman"/>
          <w:sz w:val="24"/>
          <w:szCs w:val="24"/>
        </w:rPr>
        <w:t>values are expressed as mg of cyanidin chloride equivalent (CCE)/g LW;</w:t>
      </w:r>
      <w:r w:rsidRPr="0081642E">
        <w:rPr>
          <w:rFonts w:ascii="Times New Roman" w:hAnsi="Times New Roman"/>
          <w:sz w:val="24"/>
          <w:szCs w:val="24"/>
          <w:vertAlign w:val="superscript"/>
        </w:rPr>
        <w:t xml:space="preserve"> 4</w:t>
      </w:r>
      <w:r w:rsidRPr="0081642E">
        <w:rPr>
          <w:rFonts w:ascii="Times New Roman" w:hAnsi="Times New Roman"/>
          <w:sz w:val="24"/>
          <w:szCs w:val="24"/>
        </w:rPr>
        <w:t>Values are expressed in mmol Fe</w:t>
      </w:r>
      <w:r w:rsidRPr="0081642E">
        <w:rPr>
          <w:rFonts w:ascii="Times New Roman" w:hAnsi="Times New Roman"/>
          <w:sz w:val="24"/>
          <w:szCs w:val="24"/>
          <w:vertAlign w:val="superscript"/>
        </w:rPr>
        <w:t>2+</w:t>
      </w:r>
      <w:r w:rsidRPr="0081642E">
        <w:rPr>
          <w:rFonts w:ascii="Times New Roman" w:hAnsi="Times New Roman"/>
          <w:sz w:val="24"/>
          <w:szCs w:val="24"/>
        </w:rPr>
        <w:t xml:space="preserve">;  </w:t>
      </w:r>
      <w:r w:rsidRPr="0081642E">
        <w:rPr>
          <w:rFonts w:ascii="Times New Roman" w:hAnsi="Times New Roman"/>
          <w:sz w:val="24"/>
          <w:szCs w:val="24"/>
          <w:vertAlign w:val="superscript"/>
        </w:rPr>
        <w:t>5</w:t>
      </w:r>
      <w:r w:rsidRPr="0081642E">
        <w:rPr>
          <w:rFonts w:ascii="Times New Roman" w:hAnsi="Times New Roman"/>
          <w:i/>
          <w:sz w:val="24"/>
          <w:szCs w:val="24"/>
        </w:rPr>
        <w:t>IC</w:t>
      </w:r>
      <w:r w:rsidRPr="0081642E">
        <w:rPr>
          <w:rFonts w:ascii="Times New Roman" w:hAnsi="Times New Roman"/>
          <w:sz w:val="24"/>
          <w:szCs w:val="24"/>
          <w:vertAlign w:val="subscript"/>
        </w:rPr>
        <w:t xml:space="preserve">50 </w:t>
      </w:r>
      <w:r w:rsidRPr="0081642E">
        <w:rPr>
          <w:rFonts w:ascii="Times New Roman" w:hAnsi="Times New Roman"/>
          <w:sz w:val="24"/>
          <w:szCs w:val="24"/>
        </w:rPr>
        <w:t xml:space="preserve">values are expressed in mg LW/ml; </w:t>
      </w:r>
      <w:r w:rsidRPr="0081642E">
        <w:rPr>
          <w:rFonts w:ascii="Times New Roman" w:hAnsi="Times New Roman"/>
          <w:sz w:val="24"/>
          <w:szCs w:val="24"/>
          <w:vertAlign w:val="superscript"/>
        </w:rPr>
        <w:t>6</w:t>
      </w:r>
      <w:r w:rsidRPr="0081642E">
        <w:rPr>
          <w:rFonts w:ascii="Times New Roman" w:hAnsi="Times New Roman"/>
          <w:i/>
          <w:sz w:val="24"/>
          <w:szCs w:val="24"/>
        </w:rPr>
        <w:t>IC</w:t>
      </w:r>
      <w:r w:rsidRPr="0081642E">
        <w:rPr>
          <w:rFonts w:ascii="Times New Roman" w:hAnsi="Times New Roman"/>
          <w:sz w:val="24"/>
          <w:szCs w:val="24"/>
          <w:vertAlign w:val="subscript"/>
        </w:rPr>
        <w:t xml:space="preserve">50 </w:t>
      </w:r>
      <w:r w:rsidRPr="0081642E">
        <w:rPr>
          <w:rFonts w:ascii="Times New Roman" w:hAnsi="Times New Roman"/>
          <w:sz w:val="24"/>
          <w:szCs w:val="24"/>
        </w:rPr>
        <w:t xml:space="preserve">values are expressed in µg/ml; Data represent mean ± standard error of mean (n=3). ND = </w:t>
      </w:r>
      <w:r w:rsidRPr="0081642E">
        <w:rPr>
          <w:rFonts w:ascii="Times New Roman" w:hAnsi="Times New Roman"/>
          <w:i/>
          <w:sz w:val="24"/>
          <w:szCs w:val="24"/>
        </w:rPr>
        <w:t>IC</w:t>
      </w:r>
      <w:r w:rsidRPr="0081642E">
        <w:rPr>
          <w:rFonts w:ascii="Times New Roman" w:hAnsi="Times New Roman"/>
          <w:i/>
          <w:sz w:val="24"/>
          <w:szCs w:val="24"/>
          <w:vertAlign w:val="subscript"/>
        </w:rPr>
        <w:t>50</w:t>
      </w:r>
      <w:r w:rsidRPr="0081642E">
        <w:rPr>
          <w:rFonts w:ascii="Times New Roman" w:hAnsi="Times New Roman"/>
          <w:sz w:val="24"/>
          <w:szCs w:val="24"/>
        </w:rPr>
        <w:t xml:space="preserve"> value was not reached at the highest concentration tested (1 mg/ml). Different letters between rows in each column represent significant differences between extracts (p</w:t>
      </w:r>
      <w:r w:rsidR="00C60A45">
        <w:rPr>
          <w:rFonts w:ascii="Times New Roman" w:hAnsi="Times New Roman"/>
          <w:sz w:val="24"/>
          <w:szCs w:val="24"/>
        </w:rPr>
        <w:t xml:space="preserve"> </w:t>
      </w:r>
      <w:r w:rsidRPr="0081642E">
        <w:rPr>
          <w:rFonts w:ascii="Times New Roman" w:hAnsi="Times New Roman"/>
          <w:sz w:val="24"/>
          <w:szCs w:val="24"/>
        </w:rPr>
        <w:t>&lt;</w:t>
      </w:r>
      <w:r w:rsidR="00C60A45">
        <w:rPr>
          <w:rFonts w:ascii="Times New Roman" w:hAnsi="Times New Roman"/>
          <w:sz w:val="24"/>
          <w:szCs w:val="24"/>
        </w:rPr>
        <w:t xml:space="preserve"> </w:t>
      </w:r>
      <w:r w:rsidRPr="0081642E">
        <w:rPr>
          <w:rFonts w:ascii="Times New Roman" w:hAnsi="Times New Roman"/>
          <w:sz w:val="24"/>
          <w:szCs w:val="24"/>
        </w:rPr>
        <w:t xml:space="preserve">0.05). Asterisks represent significant differences between extracts and gallic acid (positive control), * p ≤ 0.05, ** p ≤ 0.01, *** p ≤ 0.001, **** p ≤ 0.0001. </w:t>
      </w:r>
    </w:p>
    <w:p w14:paraId="23DA90B1" w14:textId="77777777" w:rsidR="0081642E" w:rsidRPr="0081642E" w:rsidRDefault="0081642E" w:rsidP="0081642E"/>
    <w:p w14:paraId="12ED9671" w14:textId="77777777" w:rsidR="0081642E" w:rsidRPr="0081642E" w:rsidRDefault="0081642E" w:rsidP="0081642E"/>
    <w:p w14:paraId="3FB1331C" w14:textId="77777777" w:rsidR="0081642E" w:rsidRPr="0081642E" w:rsidRDefault="0081642E" w:rsidP="0081642E"/>
    <w:p w14:paraId="0C028CA5" w14:textId="77777777" w:rsidR="0081642E" w:rsidRPr="0081642E" w:rsidRDefault="0081642E" w:rsidP="0081642E"/>
    <w:p w14:paraId="58DA56C1" w14:textId="77777777" w:rsidR="0081642E" w:rsidRPr="0081642E" w:rsidRDefault="0081642E" w:rsidP="0081642E"/>
    <w:p w14:paraId="4B3F0886" w14:textId="77777777" w:rsidR="0081642E" w:rsidRPr="0081642E" w:rsidRDefault="0081642E" w:rsidP="0081642E"/>
    <w:p w14:paraId="4C36D16C" w14:textId="77777777" w:rsidR="0081642E" w:rsidRPr="0081642E" w:rsidRDefault="0081642E" w:rsidP="0081642E"/>
    <w:p w14:paraId="6E0D06C8" w14:textId="77777777" w:rsidR="0081642E" w:rsidRPr="0081642E" w:rsidRDefault="0081642E" w:rsidP="0081642E">
      <w:pPr>
        <w:keepNext/>
        <w:spacing w:after="200" w:line="276" w:lineRule="auto"/>
        <w:jc w:val="both"/>
        <w:rPr>
          <w:rFonts w:ascii="Times New Roman" w:eastAsiaTheme="minorHAnsi" w:hAnsi="Times New Roman"/>
          <w:i/>
          <w:iCs/>
          <w:sz w:val="24"/>
          <w:szCs w:val="24"/>
        </w:rPr>
      </w:pPr>
      <w:r w:rsidRPr="0081642E">
        <w:rPr>
          <w:rFonts w:ascii="Times New Roman" w:eastAsiaTheme="minorHAnsi" w:hAnsi="Times New Roman"/>
          <w:iCs/>
          <w:sz w:val="24"/>
          <w:szCs w:val="24"/>
        </w:rPr>
        <w:lastRenderedPageBreak/>
        <w:t xml:space="preserve">Table </w:t>
      </w:r>
      <w:r w:rsidRPr="0081642E">
        <w:rPr>
          <w:rFonts w:ascii="Times New Roman" w:eastAsiaTheme="minorHAnsi" w:hAnsi="Times New Roman"/>
          <w:iCs/>
          <w:sz w:val="24"/>
          <w:szCs w:val="24"/>
        </w:rPr>
        <w:fldChar w:fldCharType="begin"/>
      </w:r>
      <w:r w:rsidRPr="0081642E">
        <w:rPr>
          <w:rFonts w:ascii="Times New Roman" w:eastAsiaTheme="minorHAnsi" w:hAnsi="Times New Roman"/>
          <w:iCs/>
          <w:sz w:val="24"/>
          <w:szCs w:val="24"/>
        </w:rPr>
        <w:instrText xml:space="preserve"> SEQ Table \* ARABIC </w:instrText>
      </w:r>
      <w:r w:rsidRPr="0081642E">
        <w:rPr>
          <w:rFonts w:ascii="Times New Roman" w:eastAsiaTheme="minorHAnsi" w:hAnsi="Times New Roman"/>
          <w:iCs/>
          <w:sz w:val="24"/>
          <w:szCs w:val="24"/>
        </w:rPr>
        <w:fldChar w:fldCharType="separate"/>
      </w:r>
      <w:r w:rsidRPr="0081642E">
        <w:rPr>
          <w:rFonts w:ascii="Times New Roman" w:eastAsiaTheme="minorHAnsi" w:hAnsi="Times New Roman"/>
          <w:iCs/>
          <w:noProof/>
          <w:sz w:val="24"/>
          <w:szCs w:val="24"/>
        </w:rPr>
        <w:t>2</w:t>
      </w:r>
      <w:r w:rsidRPr="0081642E">
        <w:rPr>
          <w:rFonts w:ascii="Times New Roman" w:eastAsiaTheme="minorHAnsi" w:hAnsi="Times New Roman"/>
          <w:iCs/>
          <w:sz w:val="24"/>
          <w:szCs w:val="24"/>
        </w:rPr>
        <w:fldChar w:fldCharType="end"/>
      </w:r>
      <w:r w:rsidRPr="0081642E">
        <w:rPr>
          <w:rFonts w:ascii="Times New Roman" w:eastAsiaTheme="minorHAnsi" w:hAnsi="Times New Roman"/>
          <w:iCs/>
          <w:sz w:val="24"/>
          <w:szCs w:val="24"/>
        </w:rPr>
        <w:t>: Cytotoxicity (IC</w:t>
      </w:r>
      <w:r w:rsidRPr="0081642E">
        <w:rPr>
          <w:rFonts w:ascii="Times New Roman" w:eastAsiaTheme="minorHAnsi" w:hAnsi="Times New Roman"/>
          <w:iCs/>
          <w:sz w:val="24"/>
          <w:szCs w:val="24"/>
          <w:vertAlign w:val="subscript"/>
        </w:rPr>
        <w:t>50</w:t>
      </w:r>
      <w:r w:rsidRPr="0081642E">
        <w:rPr>
          <w:rFonts w:ascii="Times New Roman" w:eastAsiaTheme="minorHAnsi" w:hAnsi="Times New Roman"/>
          <w:iCs/>
          <w:sz w:val="24"/>
          <w:szCs w:val="24"/>
        </w:rPr>
        <w:t xml:space="preserve"> µg/ml) of endemic extracts against Human cancer cell lines</w:t>
      </w:r>
      <w:r w:rsidRPr="0081642E">
        <w:rPr>
          <w:rFonts w:ascii="Times New Roman" w:eastAsiaTheme="minorHAnsi" w:hAnsi="Times New Roman"/>
          <w:i/>
          <w:iCs/>
          <w:sz w:val="24"/>
          <w:szCs w:val="24"/>
        </w:rPr>
        <w:t>.</w:t>
      </w:r>
    </w:p>
    <w:tbl>
      <w:tblPr>
        <w:tblW w:w="9296" w:type="dxa"/>
        <w:tblInd w:w="-5" w:type="dxa"/>
        <w:tblLayout w:type="fixed"/>
        <w:tblLook w:val="04A0" w:firstRow="1" w:lastRow="0" w:firstColumn="1" w:lastColumn="0" w:noHBand="0" w:noVBand="1"/>
      </w:tblPr>
      <w:tblGrid>
        <w:gridCol w:w="2324"/>
        <w:gridCol w:w="2324"/>
        <w:gridCol w:w="2324"/>
        <w:gridCol w:w="2324"/>
      </w:tblGrid>
      <w:tr w:rsidR="0081642E" w:rsidRPr="0081642E" w14:paraId="6C5C50EE" w14:textId="77777777" w:rsidTr="00013880">
        <w:trPr>
          <w:trHeight w:val="567"/>
        </w:trPr>
        <w:tc>
          <w:tcPr>
            <w:tcW w:w="2324" w:type="dxa"/>
            <w:tcBorders>
              <w:top w:val="single" w:sz="4" w:space="0" w:color="9BC2E6"/>
              <w:left w:val="single" w:sz="4" w:space="0" w:color="9BC2E6"/>
              <w:bottom w:val="single" w:sz="4" w:space="0" w:color="9BC2E6"/>
              <w:right w:val="nil"/>
            </w:tcBorders>
            <w:shd w:val="clear" w:color="5B9BD5" w:fill="5B9BD5"/>
            <w:noWrap/>
            <w:hideMark/>
          </w:tcPr>
          <w:p w14:paraId="04CA0BBD" w14:textId="77777777" w:rsidR="0081642E" w:rsidRPr="0081642E" w:rsidRDefault="0081642E" w:rsidP="0081642E">
            <w:pPr>
              <w:spacing w:line="276" w:lineRule="auto"/>
              <w:rPr>
                <w:rFonts w:ascii="Times New Roman" w:hAnsi="Times New Roman"/>
                <w:sz w:val="24"/>
                <w:szCs w:val="24"/>
              </w:rPr>
            </w:pPr>
            <w:r w:rsidRPr="0081642E">
              <w:rPr>
                <w:rFonts w:ascii="Times New Roman" w:hAnsi="Times New Roman"/>
                <w:sz w:val="24"/>
                <w:szCs w:val="24"/>
              </w:rPr>
              <w:t>Extract/fractions</w:t>
            </w:r>
          </w:p>
        </w:tc>
        <w:tc>
          <w:tcPr>
            <w:tcW w:w="2324" w:type="dxa"/>
            <w:tcBorders>
              <w:top w:val="single" w:sz="4" w:space="0" w:color="9BC2E6"/>
              <w:left w:val="nil"/>
              <w:bottom w:val="single" w:sz="4" w:space="0" w:color="9BC2E6"/>
              <w:right w:val="nil"/>
            </w:tcBorders>
            <w:shd w:val="clear" w:color="5B9BD5" w:fill="5B9BD5"/>
            <w:noWrap/>
            <w:hideMark/>
          </w:tcPr>
          <w:p w14:paraId="5631067C" w14:textId="77777777" w:rsidR="0081642E" w:rsidRPr="0081642E" w:rsidRDefault="0081642E" w:rsidP="0081642E">
            <w:pPr>
              <w:spacing w:line="276" w:lineRule="auto"/>
              <w:rPr>
                <w:rFonts w:ascii="Times New Roman" w:hAnsi="Times New Roman"/>
                <w:sz w:val="24"/>
                <w:szCs w:val="24"/>
              </w:rPr>
            </w:pPr>
            <w:r w:rsidRPr="0081642E">
              <w:rPr>
                <w:rFonts w:ascii="Times New Roman" w:hAnsi="Times New Roman"/>
                <w:sz w:val="24"/>
                <w:szCs w:val="24"/>
              </w:rPr>
              <w:t>SW872</w:t>
            </w:r>
          </w:p>
        </w:tc>
        <w:tc>
          <w:tcPr>
            <w:tcW w:w="2324" w:type="dxa"/>
            <w:tcBorders>
              <w:top w:val="single" w:sz="4" w:space="0" w:color="9BC2E6"/>
              <w:left w:val="nil"/>
              <w:bottom w:val="single" w:sz="4" w:space="0" w:color="9BC2E6"/>
              <w:right w:val="nil"/>
            </w:tcBorders>
            <w:shd w:val="clear" w:color="5B9BD5" w:fill="5B9BD5"/>
            <w:noWrap/>
            <w:hideMark/>
          </w:tcPr>
          <w:p w14:paraId="31D29F0F" w14:textId="77777777" w:rsidR="0081642E" w:rsidRPr="0081642E" w:rsidRDefault="0081642E" w:rsidP="0081642E">
            <w:pPr>
              <w:spacing w:line="276" w:lineRule="auto"/>
              <w:rPr>
                <w:rFonts w:ascii="Times New Roman" w:hAnsi="Times New Roman"/>
                <w:sz w:val="24"/>
                <w:szCs w:val="24"/>
              </w:rPr>
            </w:pPr>
            <w:r w:rsidRPr="0081642E">
              <w:rPr>
                <w:rFonts w:ascii="Times New Roman" w:hAnsi="Times New Roman"/>
                <w:sz w:val="24"/>
                <w:szCs w:val="24"/>
              </w:rPr>
              <w:t>A549</w:t>
            </w:r>
          </w:p>
        </w:tc>
        <w:tc>
          <w:tcPr>
            <w:tcW w:w="2324" w:type="dxa"/>
            <w:tcBorders>
              <w:top w:val="single" w:sz="4" w:space="0" w:color="9BC2E6"/>
              <w:left w:val="nil"/>
              <w:bottom w:val="single" w:sz="4" w:space="0" w:color="9BC2E6"/>
              <w:right w:val="single" w:sz="4" w:space="0" w:color="9BC2E6"/>
            </w:tcBorders>
            <w:shd w:val="clear" w:color="5B9BD5" w:fill="5B9BD5"/>
            <w:noWrap/>
            <w:hideMark/>
          </w:tcPr>
          <w:p w14:paraId="782CDE62" w14:textId="77777777" w:rsidR="0081642E" w:rsidRPr="0081642E" w:rsidRDefault="0081642E" w:rsidP="0081642E">
            <w:pPr>
              <w:spacing w:line="276" w:lineRule="auto"/>
              <w:rPr>
                <w:rFonts w:ascii="Times New Roman" w:hAnsi="Times New Roman"/>
                <w:sz w:val="24"/>
                <w:szCs w:val="24"/>
              </w:rPr>
            </w:pPr>
            <w:r w:rsidRPr="0081642E">
              <w:rPr>
                <w:rFonts w:ascii="Times New Roman" w:hAnsi="Times New Roman"/>
                <w:sz w:val="24"/>
                <w:szCs w:val="24"/>
              </w:rPr>
              <w:t>HepG2</w:t>
            </w:r>
          </w:p>
        </w:tc>
      </w:tr>
      <w:tr w:rsidR="0081642E" w:rsidRPr="0081642E" w14:paraId="4C75AED0" w14:textId="77777777" w:rsidTr="00013880">
        <w:trPr>
          <w:trHeight w:val="567"/>
        </w:trPr>
        <w:tc>
          <w:tcPr>
            <w:tcW w:w="2324" w:type="dxa"/>
            <w:tcBorders>
              <w:top w:val="single" w:sz="4" w:space="0" w:color="9BC2E6"/>
              <w:left w:val="single" w:sz="4" w:space="0" w:color="9BC2E6"/>
              <w:bottom w:val="single" w:sz="4" w:space="0" w:color="9BC2E6"/>
              <w:right w:val="nil"/>
            </w:tcBorders>
            <w:shd w:val="clear" w:color="DDEBF7" w:fill="DDEBF7"/>
            <w:noWrap/>
            <w:hideMark/>
          </w:tcPr>
          <w:p w14:paraId="2C99BA11" w14:textId="77777777" w:rsidR="0081642E" w:rsidRPr="0081642E" w:rsidRDefault="0081642E" w:rsidP="0081642E">
            <w:pPr>
              <w:spacing w:line="276" w:lineRule="auto"/>
              <w:rPr>
                <w:rFonts w:ascii="Times New Roman" w:hAnsi="Times New Roman"/>
                <w:sz w:val="24"/>
                <w:szCs w:val="24"/>
              </w:rPr>
            </w:pPr>
            <w:r w:rsidRPr="0081642E">
              <w:rPr>
                <w:rFonts w:ascii="Times New Roman" w:hAnsi="Times New Roman"/>
                <w:sz w:val="24"/>
                <w:szCs w:val="24"/>
              </w:rPr>
              <w:t>Total extract</w:t>
            </w:r>
          </w:p>
        </w:tc>
        <w:tc>
          <w:tcPr>
            <w:tcW w:w="2324" w:type="dxa"/>
            <w:tcBorders>
              <w:top w:val="single" w:sz="4" w:space="0" w:color="9BC2E6"/>
              <w:left w:val="nil"/>
              <w:bottom w:val="single" w:sz="4" w:space="0" w:color="9BC2E6"/>
              <w:right w:val="nil"/>
            </w:tcBorders>
            <w:shd w:val="clear" w:color="DDEBF7" w:fill="DDEBF7"/>
            <w:noWrap/>
            <w:hideMark/>
          </w:tcPr>
          <w:p w14:paraId="2083DE8B" w14:textId="77777777" w:rsidR="0081642E" w:rsidRPr="0081642E" w:rsidRDefault="0081642E" w:rsidP="0081642E">
            <w:pPr>
              <w:spacing w:line="276" w:lineRule="auto"/>
              <w:rPr>
                <w:rFonts w:ascii="Times New Roman" w:hAnsi="Times New Roman"/>
                <w:sz w:val="24"/>
                <w:szCs w:val="24"/>
              </w:rPr>
            </w:pPr>
            <w:r w:rsidRPr="0081642E">
              <w:rPr>
                <w:rFonts w:ascii="Times New Roman" w:hAnsi="Times New Roman"/>
                <w:sz w:val="24"/>
                <w:szCs w:val="24"/>
              </w:rPr>
              <w:t>35.3 ± 1.2</w:t>
            </w:r>
          </w:p>
        </w:tc>
        <w:tc>
          <w:tcPr>
            <w:tcW w:w="2324" w:type="dxa"/>
            <w:tcBorders>
              <w:top w:val="single" w:sz="4" w:space="0" w:color="9BC2E6"/>
              <w:left w:val="nil"/>
              <w:bottom w:val="single" w:sz="4" w:space="0" w:color="9BC2E6"/>
              <w:right w:val="nil"/>
            </w:tcBorders>
            <w:shd w:val="clear" w:color="DDEBF7" w:fill="DDEBF7"/>
            <w:noWrap/>
            <w:hideMark/>
          </w:tcPr>
          <w:p w14:paraId="7DFD2F18" w14:textId="77777777" w:rsidR="0081642E" w:rsidRPr="0081642E" w:rsidRDefault="0081642E" w:rsidP="0081642E">
            <w:pPr>
              <w:spacing w:line="276" w:lineRule="auto"/>
              <w:rPr>
                <w:rFonts w:ascii="Times New Roman" w:hAnsi="Times New Roman"/>
                <w:sz w:val="24"/>
                <w:szCs w:val="24"/>
              </w:rPr>
            </w:pPr>
            <w:r w:rsidRPr="0081642E">
              <w:rPr>
                <w:rFonts w:ascii="Times New Roman" w:hAnsi="Times New Roman"/>
                <w:sz w:val="24"/>
                <w:szCs w:val="24"/>
              </w:rPr>
              <w:t xml:space="preserve">46.4 ± 2.1 </w:t>
            </w:r>
          </w:p>
        </w:tc>
        <w:tc>
          <w:tcPr>
            <w:tcW w:w="2324" w:type="dxa"/>
            <w:tcBorders>
              <w:top w:val="single" w:sz="4" w:space="0" w:color="9BC2E6"/>
              <w:left w:val="nil"/>
              <w:bottom w:val="single" w:sz="4" w:space="0" w:color="9BC2E6"/>
              <w:right w:val="single" w:sz="4" w:space="0" w:color="9BC2E6"/>
            </w:tcBorders>
            <w:shd w:val="clear" w:color="DDEBF7" w:fill="DDEBF7"/>
            <w:noWrap/>
            <w:hideMark/>
          </w:tcPr>
          <w:p w14:paraId="75049930" w14:textId="77777777" w:rsidR="0081642E" w:rsidRPr="0081642E" w:rsidRDefault="0081642E" w:rsidP="0081642E">
            <w:pPr>
              <w:spacing w:line="276" w:lineRule="auto"/>
              <w:rPr>
                <w:rFonts w:ascii="Times New Roman" w:hAnsi="Times New Roman"/>
                <w:sz w:val="24"/>
                <w:szCs w:val="24"/>
              </w:rPr>
            </w:pPr>
            <w:r w:rsidRPr="0081642E">
              <w:rPr>
                <w:rFonts w:ascii="Times New Roman" w:hAnsi="Times New Roman"/>
                <w:sz w:val="24"/>
                <w:szCs w:val="24"/>
              </w:rPr>
              <w:t>24.2 ± 2.8</w:t>
            </w:r>
          </w:p>
        </w:tc>
      </w:tr>
      <w:tr w:rsidR="0081642E" w:rsidRPr="0081642E" w14:paraId="635705F4" w14:textId="77777777" w:rsidTr="00013880">
        <w:trPr>
          <w:trHeight w:val="567"/>
        </w:trPr>
        <w:tc>
          <w:tcPr>
            <w:tcW w:w="2324" w:type="dxa"/>
            <w:tcBorders>
              <w:top w:val="single" w:sz="4" w:space="0" w:color="9BC2E6"/>
              <w:left w:val="single" w:sz="4" w:space="0" w:color="9BC2E6"/>
              <w:bottom w:val="single" w:sz="4" w:space="0" w:color="9BC2E6"/>
              <w:right w:val="nil"/>
            </w:tcBorders>
            <w:shd w:val="clear" w:color="auto" w:fill="auto"/>
            <w:noWrap/>
            <w:hideMark/>
          </w:tcPr>
          <w:p w14:paraId="59C03C73" w14:textId="77777777" w:rsidR="0081642E" w:rsidRPr="0081642E" w:rsidRDefault="0081642E" w:rsidP="0081642E">
            <w:pPr>
              <w:spacing w:line="276" w:lineRule="auto"/>
              <w:rPr>
                <w:rFonts w:ascii="Times New Roman" w:hAnsi="Times New Roman"/>
                <w:sz w:val="24"/>
                <w:szCs w:val="24"/>
              </w:rPr>
            </w:pPr>
            <w:r w:rsidRPr="0081642E">
              <w:rPr>
                <w:rFonts w:ascii="Times New Roman" w:hAnsi="Times New Roman"/>
                <w:sz w:val="24"/>
                <w:szCs w:val="24"/>
              </w:rPr>
              <w:t>Ethyl acetate fraction</w:t>
            </w:r>
          </w:p>
        </w:tc>
        <w:tc>
          <w:tcPr>
            <w:tcW w:w="2324" w:type="dxa"/>
            <w:tcBorders>
              <w:top w:val="single" w:sz="4" w:space="0" w:color="9BC2E6"/>
              <w:left w:val="nil"/>
              <w:bottom w:val="single" w:sz="4" w:space="0" w:color="9BC2E6"/>
              <w:right w:val="nil"/>
            </w:tcBorders>
            <w:shd w:val="clear" w:color="auto" w:fill="auto"/>
            <w:noWrap/>
            <w:hideMark/>
          </w:tcPr>
          <w:p w14:paraId="3EDBEE48" w14:textId="77777777" w:rsidR="0081642E" w:rsidRPr="0081642E" w:rsidRDefault="0081642E" w:rsidP="0081642E">
            <w:pPr>
              <w:spacing w:line="276" w:lineRule="auto"/>
              <w:rPr>
                <w:rFonts w:ascii="Times New Roman" w:hAnsi="Times New Roman"/>
                <w:sz w:val="24"/>
                <w:szCs w:val="24"/>
              </w:rPr>
            </w:pPr>
            <w:r w:rsidRPr="0081642E">
              <w:rPr>
                <w:rFonts w:ascii="Times New Roman" w:hAnsi="Times New Roman"/>
                <w:sz w:val="24"/>
                <w:szCs w:val="24"/>
              </w:rPr>
              <w:t>22.8 ± 1.8**</w:t>
            </w:r>
          </w:p>
        </w:tc>
        <w:tc>
          <w:tcPr>
            <w:tcW w:w="2324" w:type="dxa"/>
            <w:tcBorders>
              <w:top w:val="single" w:sz="4" w:space="0" w:color="9BC2E6"/>
              <w:left w:val="nil"/>
              <w:bottom w:val="single" w:sz="4" w:space="0" w:color="9BC2E6"/>
              <w:right w:val="nil"/>
            </w:tcBorders>
            <w:shd w:val="clear" w:color="auto" w:fill="auto"/>
            <w:noWrap/>
            <w:hideMark/>
          </w:tcPr>
          <w:p w14:paraId="16510638" w14:textId="77777777" w:rsidR="0081642E" w:rsidRPr="0081642E" w:rsidRDefault="0081642E" w:rsidP="0081642E">
            <w:pPr>
              <w:spacing w:line="276" w:lineRule="auto"/>
              <w:rPr>
                <w:rFonts w:ascii="Times New Roman" w:hAnsi="Times New Roman"/>
                <w:sz w:val="24"/>
                <w:szCs w:val="24"/>
              </w:rPr>
            </w:pPr>
            <w:r w:rsidRPr="0081642E">
              <w:rPr>
                <w:rFonts w:ascii="Times New Roman" w:hAnsi="Times New Roman"/>
                <w:sz w:val="24"/>
                <w:szCs w:val="24"/>
              </w:rPr>
              <w:t>36.9 ± 1.0</w:t>
            </w:r>
          </w:p>
        </w:tc>
        <w:tc>
          <w:tcPr>
            <w:tcW w:w="2324" w:type="dxa"/>
            <w:tcBorders>
              <w:top w:val="single" w:sz="4" w:space="0" w:color="9BC2E6"/>
              <w:left w:val="nil"/>
              <w:bottom w:val="single" w:sz="4" w:space="0" w:color="9BC2E6"/>
              <w:right w:val="single" w:sz="4" w:space="0" w:color="9BC2E6"/>
            </w:tcBorders>
            <w:shd w:val="clear" w:color="auto" w:fill="auto"/>
            <w:noWrap/>
            <w:hideMark/>
          </w:tcPr>
          <w:p w14:paraId="3D683F73" w14:textId="77777777" w:rsidR="0081642E" w:rsidRPr="0081642E" w:rsidRDefault="0081642E" w:rsidP="0081642E">
            <w:pPr>
              <w:spacing w:line="276" w:lineRule="auto"/>
              <w:rPr>
                <w:rFonts w:ascii="Times New Roman" w:hAnsi="Times New Roman"/>
                <w:sz w:val="24"/>
                <w:szCs w:val="24"/>
              </w:rPr>
            </w:pPr>
            <w:r w:rsidRPr="0081642E">
              <w:rPr>
                <w:rFonts w:ascii="Times New Roman" w:hAnsi="Times New Roman"/>
                <w:sz w:val="24"/>
                <w:szCs w:val="24"/>
              </w:rPr>
              <w:t>16.8 ± 0.6</w:t>
            </w:r>
          </w:p>
        </w:tc>
      </w:tr>
      <w:tr w:rsidR="0081642E" w:rsidRPr="0081642E" w14:paraId="23F2ACA0" w14:textId="77777777" w:rsidTr="00013880">
        <w:trPr>
          <w:trHeight w:val="567"/>
        </w:trPr>
        <w:tc>
          <w:tcPr>
            <w:tcW w:w="2324" w:type="dxa"/>
            <w:tcBorders>
              <w:top w:val="single" w:sz="4" w:space="0" w:color="9BC2E6"/>
              <w:left w:val="single" w:sz="4" w:space="0" w:color="9BC2E6"/>
              <w:bottom w:val="single" w:sz="4" w:space="0" w:color="9BC2E6"/>
              <w:right w:val="nil"/>
            </w:tcBorders>
            <w:shd w:val="clear" w:color="DDEBF7" w:fill="DDEBF7"/>
            <w:noWrap/>
            <w:hideMark/>
          </w:tcPr>
          <w:p w14:paraId="1C8C400E" w14:textId="77777777" w:rsidR="0081642E" w:rsidRPr="0081642E" w:rsidRDefault="0081642E" w:rsidP="0081642E">
            <w:pPr>
              <w:spacing w:line="276" w:lineRule="auto"/>
              <w:rPr>
                <w:rFonts w:ascii="Times New Roman" w:hAnsi="Times New Roman"/>
                <w:sz w:val="24"/>
                <w:szCs w:val="24"/>
              </w:rPr>
            </w:pPr>
            <w:r w:rsidRPr="0081642E">
              <w:rPr>
                <w:rFonts w:ascii="Times New Roman" w:hAnsi="Times New Roman"/>
                <w:sz w:val="24"/>
                <w:szCs w:val="24"/>
              </w:rPr>
              <w:t>Butanol fraction</w:t>
            </w:r>
          </w:p>
        </w:tc>
        <w:tc>
          <w:tcPr>
            <w:tcW w:w="2324" w:type="dxa"/>
            <w:tcBorders>
              <w:top w:val="single" w:sz="4" w:space="0" w:color="9BC2E6"/>
              <w:left w:val="nil"/>
              <w:bottom w:val="single" w:sz="4" w:space="0" w:color="9BC2E6"/>
              <w:right w:val="nil"/>
            </w:tcBorders>
            <w:shd w:val="clear" w:color="DDEBF7" w:fill="DDEBF7"/>
            <w:noWrap/>
            <w:hideMark/>
          </w:tcPr>
          <w:p w14:paraId="4B820777" w14:textId="77777777" w:rsidR="0081642E" w:rsidRPr="0081642E" w:rsidRDefault="0081642E" w:rsidP="0081642E">
            <w:pPr>
              <w:spacing w:line="276" w:lineRule="auto"/>
              <w:rPr>
                <w:rFonts w:ascii="Times New Roman" w:hAnsi="Times New Roman"/>
                <w:sz w:val="24"/>
                <w:szCs w:val="24"/>
              </w:rPr>
            </w:pPr>
            <w:r w:rsidRPr="0081642E">
              <w:rPr>
                <w:rFonts w:ascii="Times New Roman" w:hAnsi="Times New Roman"/>
                <w:sz w:val="24"/>
                <w:szCs w:val="24"/>
              </w:rPr>
              <w:t>30.8 ± 2.5</w:t>
            </w:r>
          </w:p>
        </w:tc>
        <w:tc>
          <w:tcPr>
            <w:tcW w:w="2324" w:type="dxa"/>
            <w:tcBorders>
              <w:top w:val="single" w:sz="4" w:space="0" w:color="9BC2E6"/>
              <w:left w:val="nil"/>
              <w:bottom w:val="single" w:sz="4" w:space="0" w:color="9BC2E6"/>
              <w:right w:val="nil"/>
            </w:tcBorders>
            <w:shd w:val="clear" w:color="DDEBF7" w:fill="DDEBF7"/>
            <w:noWrap/>
            <w:hideMark/>
          </w:tcPr>
          <w:p w14:paraId="56654AC7" w14:textId="77777777" w:rsidR="0081642E" w:rsidRPr="0081642E" w:rsidRDefault="0081642E" w:rsidP="0081642E">
            <w:pPr>
              <w:spacing w:line="276" w:lineRule="auto"/>
              <w:rPr>
                <w:rFonts w:ascii="Times New Roman" w:hAnsi="Times New Roman"/>
                <w:sz w:val="24"/>
                <w:szCs w:val="24"/>
              </w:rPr>
            </w:pPr>
            <w:r w:rsidRPr="0081642E">
              <w:rPr>
                <w:rFonts w:ascii="Times New Roman" w:hAnsi="Times New Roman"/>
                <w:sz w:val="24"/>
                <w:szCs w:val="24"/>
              </w:rPr>
              <w:t>54.1 ± 5.9</w:t>
            </w:r>
          </w:p>
        </w:tc>
        <w:tc>
          <w:tcPr>
            <w:tcW w:w="2324" w:type="dxa"/>
            <w:tcBorders>
              <w:top w:val="single" w:sz="4" w:space="0" w:color="9BC2E6"/>
              <w:left w:val="nil"/>
              <w:bottom w:val="single" w:sz="4" w:space="0" w:color="9BC2E6"/>
              <w:right w:val="single" w:sz="4" w:space="0" w:color="9BC2E6"/>
            </w:tcBorders>
            <w:shd w:val="clear" w:color="DDEBF7" w:fill="DDEBF7"/>
            <w:noWrap/>
            <w:hideMark/>
          </w:tcPr>
          <w:p w14:paraId="06F29960" w14:textId="77777777" w:rsidR="0081642E" w:rsidRPr="0081642E" w:rsidRDefault="0081642E" w:rsidP="0081642E">
            <w:pPr>
              <w:spacing w:line="276" w:lineRule="auto"/>
              <w:rPr>
                <w:rFonts w:ascii="Times New Roman" w:hAnsi="Times New Roman"/>
                <w:sz w:val="24"/>
                <w:szCs w:val="24"/>
              </w:rPr>
            </w:pPr>
            <w:r w:rsidRPr="0081642E">
              <w:rPr>
                <w:rFonts w:ascii="Times New Roman" w:hAnsi="Times New Roman"/>
                <w:sz w:val="24"/>
                <w:szCs w:val="24"/>
              </w:rPr>
              <w:t>34.0 ± 1.8</w:t>
            </w:r>
          </w:p>
        </w:tc>
      </w:tr>
      <w:tr w:rsidR="0081642E" w:rsidRPr="0081642E" w14:paraId="7AD120BB" w14:textId="77777777" w:rsidTr="00013880">
        <w:trPr>
          <w:trHeight w:val="567"/>
        </w:trPr>
        <w:tc>
          <w:tcPr>
            <w:tcW w:w="2324" w:type="dxa"/>
            <w:tcBorders>
              <w:top w:val="single" w:sz="8" w:space="0" w:color="FFFFFF"/>
              <w:left w:val="single" w:sz="8" w:space="0" w:color="FFFFFF"/>
              <w:bottom w:val="single" w:sz="8" w:space="0" w:color="FFFFFF"/>
              <w:right w:val="nil"/>
            </w:tcBorders>
            <w:shd w:val="clear" w:color="000000" w:fill="5B9BD5"/>
            <w:noWrap/>
            <w:hideMark/>
          </w:tcPr>
          <w:p w14:paraId="2FD54B2C" w14:textId="77777777" w:rsidR="0081642E" w:rsidRPr="0081642E" w:rsidRDefault="0081642E" w:rsidP="0081642E">
            <w:pPr>
              <w:spacing w:line="276" w:lineRule="auto"/>
              <w:rPr>
                <w:rFonts w:ascii="Times New Roman" w:hAnsi="Times New Roman"/>
                <w:sz w:val="24"/>
                <w:szCs w:val="24"/>
              </w:rPr>
            </w:pPr>
            <w:r w:rsidRPr="0081642E">
              <w:rPr>
                <w:rFonts w:ascii="Times New Roman" w:hAnsi="Times New Roman"/>
                <w:sz w:val="24"/>
                <w:szCs w:val="24"/>
              </w:rPr>
              <w:t>Water soluble fraction</w:t>
            </w:r>
          </w:p>
        </w:tc>
        <w:tc>
          <w:tcPr>
            <w:tcW w:w="2324" w:type="dxa"/>
            <w:tcBorders>
              <w:top w:val="single" w:sz="8" w:space="0" w:color="FFFFFF"/>
              <w:left w:val="nil"/>
              <w:bottom w:val="single" w:sz="8" w:space="0" w:color="FFFFFF"/>
              <w:right w:val="nil"/>
            </w:tcBorders>
            <w:shd w:val="clear" w:color="000000" w:fill="5B9BD5"/>
            <w:noWrap/>
            <w:hideMark/>
          </w:tcPr>
          <w:p w14:paraId="24B190AE" w14:textId="77777777" w:rsidR="0081642E" w:rsidRPr="0081642E" w:rsidRDefault="0081642E" w:rsidP="0081642E">
            <w:pPr>
              <w:spacing w:line="276" w:lineRule="auto"/>
              <w:rPr>
                <w:rFonts w:ascii="Times New Roman" w:hAnsi="Times New Roman"/>
                <w:sz w:val="24"/>
                <w:szCs w:val="24"/>
              </w:rPr>
            </w:pPr>
            <w:r w:rsidRPr="0081642E">
              <w:rPr>
                <w:rFonts w:ascii="Times New Roman" w:hAnsi="Times New Roman"/>
                <w:sz w:val="24"/>
                <w:szCs w:val="24"/>
              </w:rPr>
              <w:t>45.3 ± 4.6*</w:t>
            </w:r>
          </w:p>
        </w:tc>
        <w:tc>
          <w:tcPr>
            <w:tcW w:w="2324" w:type="dxa"/>
            <w:tcBorders>
              <w:top w:val="single" w:sz="8" w:space="0" w:color="FFFFFF"/>
              <w:left w:val="nil"/>
              <w:bottom w:val="single" w:sz="8" w:space="0" w:color="FFFFFF"/>
              <w:right w:val="nil"/>
            </w:tcBorders>
            <w:shd w:val="clear" w:color="000000" w:fill="5B9BD5"/>
            <w:noWrap/>
            <w:hideMark/>
          </w:tcPr>
          <w:p w14:paraId="4B0837CE" w14:textId="77777777" w:rsidR="0081642E" w:rsidRPr="0081642E" w:rsidRDefault="0081642E" w:rsidP="0081642E">
            <w:pPr>
              <w:spacing w:line="276" w:lineRule="auto"/>
              <w:rPr>
                <w:rFonts w:ascii="Times New Roman" w:hAnsi="Times New Roman"/>
                <w:sz w:val="24"/>
                <w:szCs w:val="24"/>
              </w:rPr>
            </w:pPr>
            <w:r w:rsidRPr="0081642E">
              <w:rPr>
                <w:rFonts w:ascii="Times New Roman" w:hAnsi="Times New Roman"/>
                <w:sz w:val="24"/>
                <w:szCs w:val="24"/>
              </w:rPr>
              <w:t>76.4 ± 6.9***</w:t>
            </w:r>
          </w:p>
        </w:tc>
        <w:tc>
          <w:tcPr>
            <w:tcW w:w="2324" w:type="dxa"/>
            <w:tcBorders>
              <w:top w:val="single" w:sz="8" w:space="0" w:color="FFFFFF"/>
              <w:left w:val="nil"/>
              <w:bottom w:val="single" w:sz="8" w:space="0" w:color="FFFFFF"/>
              <w:right w:val="single" w:sz="8" w:space="0" w:color="FFFFFF"/>
            </w:tcBorders>
            <w:shd w:val="clear" w:color="000000" w:fill="5B9BD5"/>
            <w:noWrap/>
            <w:hideMark/>
          </w:tcPr>
          <w:p w14:paraId="1551B673" w14:textId="77777777" w:rsidR="0081642E" w:rsidRPr="0081642E" w:rsidRDefault="0081642E" w:rsidP="0081642E">
            <w:pPr>
              <w:spacing w:line="276" w:lineRule="auto"/>
              <w:rPr>
                <w:rFonts w:ascii="Times New Roman" w:hAnsi="Times New Roman"/>
                <w:sz w:val="24"/>
                <w:szCs w:val="24"/>
              </w:rPr>
            </w:pPr>
            <w:r w:rsidRPr="0081642E">
              <w:rPr>
                <w:rFonts w:ascii="Times New Roman" w:hAnsi="Times New Roman"/>
                <w:sz w:val="24"/>
                <w:szCs w:val="24"/>
              </w:rPr>
              <w:t>50.1 ± 6.0****</w:t>
            </w:r>
          </w:p>
        </w:tc>
      </w:tr>
      <w:tr w:rsidR="0081642E" w:rsidRPr="0081642E" w14:paraId="28438A43" w14:textId="77777777" w:rsidTr="00013880">
        <w:trPr>
          <w:trHeight w:val="567"/>
        </w:trPr>
        <w:tc>
          <w:tcPr>
            <w:tcW w:w="2324" w:type="dxa"/>
            <w:tcBorders>
              <w:top w:val="single" w:sz="8" w:space="0" w:color="FFFFFF"/>
              <w:left w:val="single" w:sz="8" w:space="0" w:color="FFFFFF"/>
              <w:bottom w:val="single" w:sz="4" w:space="0" w:color="9BC2E6"/>
              <w:right w:val="nil"/>
            </w:tcBorders>
            <w:shd w:val="clear" w:color="000000" w:fill="5B9BD5"/>
            <w:noWrap/>
          </w:tcPr>
          <w:p w14:paraId="43E1A6A9" w14:textId="77777777" w:rsidR="0081642E" w:rsidRPr="0081642E" w:rsidRDefault="0081642E" w:rsidP="0081642E">
            <w:pPr>
              <w:spacing w:line="276" w:lineRule="auto"/>
              <w:rPr>
                <w:rFonts w:ascii="Times New Roman" w:hAnsi="Times New Roman"/>
                <w:sz w:val="24"/>
                <w:szCs w:val="24"/>
              </w:rPr>
            </w:pPr>
            <w:r w:rsidRPr="0081642E">
              <w:rPr>
                <w:rFonts w:ascii="Times New Roman" w:hAnsi="Times New Roman"/>
                <w:sz w:val="24"/>
                <w:szCs w:val="24"/>
              </w:rPr>
              <w:t>Etoposide (Positive control)</w:t>
            </w:r>
          </w:p>
        </w:tc>
        <w:tc>
          <w:tcPr>
            <w:tcW w:w="2324" w:type="dxa"/>
            <w:tcBorders>
              <w:top w:val="single" w:sz="8" w:space="0" w:color="FFFFFF"/>
              <w:left w:val="nil"/>
              <w:bottom w:val="single" w:sz="4" w:space="0" w:color="9BC2E6"/>
              <w:right w:val="nil"/>
            </w:tcBorders>
            <w:shd w:val="clear" w:color="000000" w:fill="5B9BD5"/>
            <w:noWrap/>
          </w:tcPr>
          <w:p w14:paraId="42C37DA2" w14:textId="77777777" w:rsidR="0081642E" w:rsidRPr="0081642E" w:rsidRDefault="0081642E" w:rsidP="0081642E">
            <w:pPr>
              <w:spacing w:line="276" w:lineRule="auto"/>
              <w:rPr>
                <w:rFonts w:ascii="Times New Roman" w:hAnsi="Times New Roman"/>
                <w:sz w:val="24"/>
                <w:szCs w:val="24"/>
              </w:rPr>
            </w:pPr>
            <w:r w:rsidRPr="0081642E">
              <w:rPr>
                <w:rFonts w:ascii="Times New Roman" w:hAnsi="Times New Roman"/>
                <w:sz w:val="24"/>
                <w:szCs w:val="24"/>
              </w:rPr>
              <w:t>2.5 ± 0.2</w:t>
            </w:r>
          </w:p>
        </w:tc>
        <w:tc>
          <w:tcPr>
            <w:tcW w:w="2324" w:type="dxa"/>
            <w:tcBorders>
              <w:top w:val="single" w:sz="8" w:space="0" w:color="FFFFFF"/>
              <w:left w:val="nil"/>
              <w:bottom w:val="single" w:sz="4" w:space="0" w:color="9BC2E6"/>
              <w:right w:val="nil"/>
            </w:tcBorders>
            <w:shd w:val="clear" w:color="000000" w:fill="5B9BD5"/>
            <w:noWrap/>
          </w:tcPr>
          <w:p w14:paraId="60B77A54" w14:textId="77777777" w:rsidR="0081642E" w:rsidRPr="0081642E" w:rsidRDefault="0081642E" w:rsidP="0081642E">
            <w:pPr>
              <w:spacing w:line="276" w:lineRule="auto"/>
              <w:rPr>
                <w:rFonts w:ascii="Times New Roman" w:hAnsi="Times New Roman"/>
                <w:sz w:val="24"/>
                <w:szCs w:val="24"/>
              </w:rPr>
            </w:pPr>
            <w:r w:rsidRPr="0081642E">
              <w:rPr>
                <w:rFonts w:ascii="Times New Roman" w:hAnsi="Times New Roman"/>
                <w:sz w:val="24"/>
                <w:szCs w:val="24"/>
              </w:rPr>
              <w:t>6.8 ± 0.7</w:t>
            </w:r>
          </w:p>
        </w:tc>
        <w:tc>
          <w:tcPr>
            <w:tcW w:w="2324" w:type="dxa"/>
            <w:tcBorders>
              <w:top w:val="single" w:sz="8" w:space="0" w:color="FFFFFF"/>
              <w:left w:val="nil"/>
              <w:bottom w:val="single" w:sz="4" w:space="0" w:color="9BC2E6"/>
              <w:right w:val="single" w:sz="8" w:space="0" w:color="FFFFFF"/>
            </w:tcBorders>
            <w:shd w:val="clear" w:color="000000" w:fill="5B9BD5"/>
            <w:noWrap/>
          </w:tcPr>
          <w:p w14:paraId="79DCD77B" w14:textId="77777777" w:rsidR="0081642E" w:rsidRPr="0081642E" w:rsidRDefault="0081642E" w:rsidP="0081642E">
            <w:pPr>
              <w:spacing w:line="276" w:lineRule="auto"/>
              <w:rPr>
                <w:rFonts w:ascii="Times New Roman" w:hAnsi="Times New Roman"/>
                <w:sz w:val="24"/>
                <w:szCs w:val="24"/>
              </w:rPr>
            </w:pPr>
            <w:r w:rsidRPr="0081642E">
              <w:rPr>
                <w:rFonts w:ascii="Times New Roman" w:hAnsi="Times New Roman"/>
                <w:sz w:val="24"/>
                <w:szCs w:val="24"/>
              </w:rPr>
              <w:t>2.4 ± 0.5</w:t>
            </w:r>
          </w:p>
        </w:tc>
      </w:tr>
    </w:tbl>
    <w:p w14:paraId="421BFA7E" w14:textId="77777777" w:rsidR="0081642E" w:rsidRPr="0081642E" w:rsidRDefault="0081642E" w:rsidP="0081642E">
      <w:pPr>
        <w:spacing w:line="276" w:lineRule="auto"/>
        <w:jc w:val="both"/>
        <w:rPr>
          <w:rFonts w:ascii="Times New Roman" w:hAnsi="Times New Roman"/>
          <w:sz w:val="24"/>
          <w:szCs w:val="24"/>
        </w:rPr>
      </w:pPr>
      <w:r w:rsidRPr="0081642E">
        <w:rPr>
          <w:rFonts w:ascii="Times New Roman" w:hAnsi="Times New Roman"/>
          <w:sz w:val="24"/>
          <w:szCs w:val="24"/>
        </w:rPr>
        <w:t xml:space="preserve">Data represent mean calculated </w:t>
      </w:r>
      <w:r w:rsidRPr="0081642E">
        <w:rPr>
          <w:rFonts w:ascii="Times New Roman" w:hAnsi="Times New Roman"/>
          <w:i/>
          <w:noProof/>
          <w:sz w:val="24"/>
          <w:szCs w:val="24"/>
        </w:rPr>
        <w:t>IC</w:t>
      </w:r>
      <w:r w:rsidRPr="0081642E">
        <w:rPr>
          <w:rFonts w:ascii="Times New Roman" w:hAnsi="Times New Roman"/>
          <w:i/>
          <w:noProof/>
          <w:sz w:val="24"/>
          <w:szCs w:val="24"/>
          <w:vertAlign w:val="subscript"/>
        </w:rPr>
        <w:t>50</w:t>
      </w:r>
      <w:r w:rsidRPr="0081642E">
        <w:rPr>
          <w:rFonts w:ascii="Times New Roman" w:hAnsi="Times New Roman"/>
          <w:sz w:val="24"/>
          <w:szCs w:val="24"/>
        </w:rPr>
        <w:t xml:space="preserve"> values with a </w:t>
      </w:r>
      <w:r w:rsidRPr="0081642E">
        <w:rPr>
          <w:rFonts w:ascii="Times New Roman" w:hAnsi="Times New Roman"/>
          <w:noProof/>
          <w:sz w:val="24"/>
          <w:szCs w:val="24"/>
        </w:rPr>
        <w:t>standard</w:t>
      </w:r>
      <w:r w:rsidRPr="0081642E">
        <w:rPr>
          <w:rFonts w:ascii="Times New Roman" w:hAnsi="Times New Roman"/>
          <w:sz w:val="24"/>
          <w:szCs w:val="24"/>
        </w:rPr>
        <w:t xml:space="preserve"> error of the </w:t>
      </w:r>
      <w:r w:rsidRPr="0081642E">
        <w:rPr>
          <w:rFonts w:ascii="Times New Roman" w:hAnsi="Times New Roman"/>
          <w:noProof/>
          <w:sz w:val="24"/>
          <w:szCs w:val="24"/>
        </w:rPr>
        <w:t>mean</w:t>
      </w:r>
      <w:r w:rsidRPr="0081642E">
        <w:rPr>
          <w:rFonts w:ascii="Times New Roman" w:hAnsi="Times New Roman"/>
          <w:sz w:val="24"/>
          <w:szCs w:val="24"/>
        </w:rPr>
        <w:t xml:space="preserve"> (n =3). The half-maximal inhibitory concentration (</w:t>
      </w:r>
      <w:r w:rsidRPr="0081642E">
        <w:rPr>
          <w:rFonts w:ascii="Times New Roman" w:hAnsi="Times New Roman"/>
          <w:i/>
          <w:noProof/>
          <w:sz w:val="24"/>
          <w:szCs w:val="24"/>
        </w:rPr>
        <w:t>IC</w:t>
      </w:r>
      <w:r w:rsidRPr="0081642E">
        <w:rPr>
          <w:rFonts w:ascii="Times New Roman" w:hAnsi="Times New Roman"/>
          <w:i/>
          <w:noProof/>
          <w:sz w:val="24"/>
          <w:szCs w:val="24"/>
          <w:vertAlign w:val="subscript"/>
        </w:rPr>
        <w:t>50</w:t>
      </w:r>
      <w:r w:rsidRPr="0081642E">
        <w:rPr>
          <w:rFonts w:ascii="Times New Roman" w:hAnsi="Times New Roman"/>
          <w:sz w:val="24"/>
          <w:szCs w:val="24"/>
        </w:rPr>
        <w:t xml:space="preserve"> value) </w:t>
      </w:r>
      <w:r w:rsidRPr="0081642E">
        <w:rPr>
          <w:rFonts w:ascii="Times New Roman" w:hAnsi="Times New Roman"/>
          <w:noProof/>
          <w:sz w:val="24"/>
          <w:szCs w:val="24"/>
        </w:rPr>
        <w:t>is defined</w:t>
      </w:r>
      <w:r w:rsidRPr="0081642E">
        <w:rPr>
          <w:rFonts w:ascii="Times New Roman" w:hAnsi="Times New Roman"/>
          <w:sz w:val="24"/>
          <w:szCs w:val="24"/>
        </w:rPr>
        <w:t xml:space="preserve"> as the concentration of test extract expressed in µg LW/ml required for 50 % cell growth inhibition relative to the DMSO control, following 48-hour treatment. Asterisks represent significant differences between fractions and total extract. *p ≤ 0.05, ** p ≤ 0.01, *** p ≤ 0.001, **** P ≤ 0.0001. All the organic fractions tested and the total extract was significantly (p ≤ 0.01) different from etoposide (positive control) for each cell lines.</w:t>
      </w:r>
    </w:p>
    <w:p w14:paraId="4665788F" w14:textId="77777777" w:rsidR="0081642E" w:rsidRPr="0081642E" w:rsidRDefault="0081642E" w:rsidP="0081642E"/>
    <w:p w14:paraId="3DCED60C" w14:textId="77777777" w:rsidR="0081642E" w:rsidRPr="0081642E" w:rsidRDefault="0081642E" w:rsidP="0081642E"/>
    <w:p w14:paraId="42F66ADE" w14:textId="77777777" w:rsidR="0081642E" w:rsidRPr="0081642E" w:rsidRDefault="0081642E" w:rsidP="0081642E">
      <w:pPr>
        <w:spacing w:line="276" w:lineRule="auto"/>
        <w:jc w:val="both"/>
        <w:rPr>
          <w:rFonts w:ascii="Times New Roman" w:hAnsi="Times New Roman"/>
          <w:sz w:val="24"/>
          <w:szCs w:val="24"/>
        </w:rPr>
      </w:pPr>
      <w:r w:rsidRPr="0081642E">
        <w:rPr>
          <w:rFonts w:ascii="Times New Roman" w:hAnsi="Times New Roman"/>
          <w:b/>
          <w:sz w:val="24"/>
          <w:szCs w:val="24"/>
        </w:rPr>
        <w:t>Table 3</w:t>
      </w:r>
      <w:r w:rsidRPr="0081642E">
        <w:rPr>
          <w:rFonts w:ascii="Times New Roman" w:hAnsi="Times New Roman"/>
          <w:sz w:val="24"/>
          <w:szCs w:val="24"/>
        </w:rPr>
        <w:t xml:space="preserve">: Quantity of gallic acid and methyl gallate in </w:t>
      </w:r>
      <w:r w:rsidRPr="0081642E">
        <w:rPr>
          <w:rFonts w:ascii="Times New Roman" w:hAnsi="Times New Roman"/>
          <w:i/>
          <w:sz w:val="24"/>
          <w:szCs w:val="24"/>
        </w:rPr>
        <w:t xml:space="preserve">S. </w:t>
      </w:r>
      <w:proofErr w:type="spellStart"/>
      <w:r w:rsidRPr="0081642E">
        <w:rPr>
          <w:rFonts w:ascii="Times New Roman" w:hAnsi="Times New Roman"/>
          <w:i/>
          <w:sz w:val="24"/>
          <w:szCs w:val="24"/>
        </w:rPr>
        <w:t>coriaceum</w:t>
      </w:r>
      <w:proofErr w:type="spellEnd"/>
      <w:r w:rsidRPr="0081642E">
        <w:rPr>
          <w:rFonts w:ascii="Times New Roman" w:hAnsi="Times New Roman"/>
          <w:sz w:val="24"/>
          <w:szCs w:val="24"/>
        </w:rPr>
        <w:t xml:space="preserve"> leaf crude extract.</w:t>
      </w:r>
    </w:p>
    <w:tbl>
      <w:tblPr>
        <w:tblStyle w:val="GridTable4-Accent11"/>
        <w:tblW w:w="9351" w:type="dxa"/>
        <w:tblLayout w:type="fixed"/>
        <w:tblLook w:val="04A0" w:firstRow="1" w:lastRow="0" w:firstColumn="1" w:lastColumn="0" w:noHBand="0" w:noVBand="1"/>
      </w:tblPr>
      <w:tblGrid>
        <w:gridCol w:w="3117"/>
        <w:gridCol w:w="3117"/>
        <w:gridCol w:w="3117"/>
      </w:tblGrid>
      <w:tr w:rsidR="0081642E" w:rsidRPr="0081642E" w14:paraId="2397982E" w14:textId="77777777" w:rsidTr="0001388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7" w:type="dxa"/>
            <w:noWrap/>
            <w:vAlign w:val="center"/>
            <w:hideMark/>
          </w:tcPr>
          <w:p w14:paraId="026E9EB1" w14:textId="77777777" w:rsidR="0081642E" w:rsidRPr="0081642E" w:rsidRDefault="0081642E" w:rsidP="0081642E">
            <w:pPr>
              <w:spacing w:after="0" w:line="276" w:lineRule="auto"/>
              <w:jc w:val="center"/>
              <w:rPr>
                <w:rFonts w:ascii="Times New Roman" w:hAnsi="Times New Roman"/>
                <w:sz w:val="24"/>
                <w:szCs w:val="24"/>
                <w:lang w:eastAsia="en-GB"/>
              </w:rPr>
            </w:pPr>
            <w:r w:rsidRPr="0081642E">
              <w:rPr>
                <w:rFonts w:ascii="Times New Roman" w:hAnsi="Times New Roman"/>
                <w:sz w:val="24"/>
                <w:szCs w:val="24"/>
                <w:lang w:eastAsia="en-GB"/>
              </w:rPr>
              <w:t>Retention time (min)</w:t>
            </w:r>
          </w:p>
        </w:tc>
        <w:tc>
          <w:tcPr>
            <w:tcW w:w="3117" w:type="dxa"/>
            <w:noWrap/>
            <w:vAlign w:val="center"/>
            <w:hideMark/>
          </w:tcPr>
          <w:p w14:paraId="68CAB02F" w14:textId="77777777" w:rsidR="0081642E" w:rsidRPr="0081642E" w:rsidRDefault="0081642E" w:rsidP="0081642E">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eastAsia="en-GB"/>
              </w:rPr>
            </w:pPr>
            <w:r w:rsidRPr="0081642E">
              <w:rPr>
                <w:rFonts w:ascii="Times New Roman" w:hAnsi="Times New Roman"/>
                <w:sz w:val="24"/>
                <w:szCs w:val="24"/>
                <w:lang w:eastAsia="en-GB"/>
              </w:rPr>
              <w:t>Compounds</w:t>
            </w:r>
          </w:p>
        </w:tc>
        <w:tc>
          <w:tcPr>
            <w:tcW w:w="3117" w:type="dxa"/>
            <w:noWrap/>
            <w:vAlign w:val="center"/>
            <w:hideMark/>
          </w:tcPr>
          <w:p w14:paraId="42D5EAA5" w14:textId="77777777" w:rsidR="0081642E" w:rsidRPr="0081642E" w:rsidRDefault="0081642E" w:rsidP="0081642E">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eastAsia="en-GB"/>
              </w:rPr>
            </w:pPr>
            <w:r w:rsidRPr="0081642E">
              <w:rPr>
                <w:rFonts w:ascii="Times New Roman" w:hAnsi="Times New Roman"/>
                <w:sz w:val="24"/>
                <w:szCs w:val="24"/>
                <w:lang w:eastAsia="en-GB"/>
              </w:rPr>
              <w:t xml:space="preserve">Concentration (µg/ </w:t>
            </w:r>
            <w:proofErr w:type="spellStart"/>
            <w:r w:rsidRPr="0081642E">
              <w:rPr>
                <w:rFonts w:ascii="Times New Roman" w:hAnsi="Times New Roman"/>
                <w:sz w:val="24"/>
                <w:szCs w:val="24"/>
                <w:lang w:eastAsia="en-GB"/>
              </w:rPr>
              <w:t>mgLW</w:t>
            </w:r>
            <w:proofErr w:type="spellEnd"/>
            <w:r w:rsidRPr="0081642E">
              <w:rPr>
                <w:rFonts w:ascii="Times New Roman" w:hAnsi="Times New Roman"/>
                <w:sz w:val="24"/>
                <w:szCs w:val="24"/>
                <w:lang w:eastAsia="en-GB"/>
              </w:rPr>
              <w:t>)</w:t>
            </w:r>
          </w:p>
        </w:tc>
      </w:tr>
      <w:tr w:rsidR="0081642E" w:rsidRPr="0081642E" w14:paraId="5D73FAC9" w14:textId="77777777" w:rsidTr="000138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7" w:type="dxa"/>
            <w:noWrap/>
            <w:vAlign w:val="center"/>
            <w:hideMark/>
          </w:tcPr>
          <w:p w14:paraId="09B5E731" w14:textId="77777777" w:rsidR="0081642E" w:rsidRPr="0081642E" w:rsidRDefault="0081642E" w:rsidP="0081642E">
            <w:pPr>
              <w:spacing w:after="0" w:line="276" w:lineRule="auto"/>
              <w:jc w:val="center"/>
              <w:rPr>
                <w:rFonts w:ascii="Times New Roman" w:hAnsi="Times New Roman"/>
                <w:sz w:val="24"/>
                <w:szCs w:val="24"/>
                <w:lang w:eastAsia="en-GB"/>
              </w:rPr>
            </w:pPr>
            <w:r w:rsidRPr="0081642E">
              <w:rPr>
                <w:rFonts w:ascii="Times New Roman" w:hAnsi="Times New Roman"/>
                <w:sz w:val="24"/>
                <w:szCs w:val="24"/>
                <w:lang w:eastAsia="en-GB"/>
              </w:rPr>
              <w:t>2.908</w:t>
            </w:r>
          </w:p>
        </w:tc>
        <w:tc>
          <w:tcPr>
            <w:tcW w:w="3117" w:type="dxa"/>
            <w:noWrap/>
            <w:vAlign w:val="center"/>
            <w:hideMark/>
          </w:tcPr>
          <w:p w14:paraId="22730B69" w14:textId="77777777" w:rsidR="0081642E" w:rsidRPr="0081642E" w:rsidRDefault="0081642E" w:rsidP="0081642E">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n-GB"/>
              </w:rPr>
            </w:pPr>
            <w:r w:rsidRPr="0081642E">
              <w:rPr>
                <w:rFonts w:ascii="Times New Roman" w:hAnsi="Times New Roman"/>
                <w:sz w:val="24"/>
                <w:szCs w:val="24"/>
                <w:lang w:eastAsia="en-GB"/>
              </w:rPr>
              <w:t>Gallic acid</w:t>
            </w:r>
          </w:p>
        </w:tc>
        <w:tc>
          <w:tcPr>
            <w:tcW w:w="3117" w:type="dxa"/>
            <w:noWrap/>
            <w:vAlign w:val="center"/>
            <w:hideMark/>
          </w:tcPr>
          <w:p w14:paraId="32896EFF" w14:textId="77777777" w:rsidR="0081642E" w:rsidRPr="0081642E" w:rsidRDefault="0081642E" w:rsidP="0081642E">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n-GB"/>
              </w:rPr>
            </w:pPr>
            <w:r w:rsidRPr="0081642E">
              <w:rPr>
                <w:rFonts w:ascii="Times New Roman" w:hAnsi="Times New Roman"/>
                <w:sz w:val="24"/>
                <w:szCs w:val="24"/>
                <w:lang w:eastAsia="en-GB"/>
              </w:rPr>
              <w:t>15.1 ± 3.6</w:t>
            </w:r>
          </w:p>
        </w:tc>
      </w:tr>
      <w:tr w:rsidR="0081642E" w:rsidRPr="0081642E" w14:paraId="0CE570BD" w14:textId="77777777" w:rsidTr="00013880">
        <w:trPr>
          <w:trHeight w:val="20"/>
        </w:trPr>
        <w:tc>
          <w:tcPr>
            <w:cnfStyle w:val="001000000000" w:firstRow="0" w:lastRow="0" w:firstColumn="1" w:lastColumn="0" w:oddVBand="0" w:evenVBand="0" w:oddHBand="0" w:evenHBand="0" w:firstRowFirstColumn="0" w:firstRowLastColumn="0" w:lastRowFirstColumn="0" w:lastRowLastColumn="0"/>
            <w:tcW w:w="3117" w:type="dxa"/>
            <w:noWrap/>
            <w:vAlign w:val="center"/>
            <w:hideMark/>
          </w:tcPr>
          <w:p w14:paraId="4568DC2B" w14:textId="77777777" w:rsidR="0081642E" w:rsidRPr="0081642E" w:rsidRDefault="0081642E" w:rsidP="0081642E">
            <w:pPr>
              <w:spacing w:after="0" w:line="276" w:lineRule="auto"/>
              <w:jc w:val="center"/>
              <w:rPr>
                <w:rFonts w:ascii="Times New Roman" w:hAnsi="Times New Roman"/>
                <w:sz w:val="24"/>
                <w:szCs w:val="24"/>
                <w:lang w:eastAsia="en-GB"/>
              </w:rPr>
            </w:pPr>
            <w:r w:rsidRPr="0081642E">
              <w:rPr>
                <w:rFonts w:ascii="Times New Roman" w:hAnsi="Times New Roman"/>
                <w:sz w:val="24"/>
                <w:szCs w:val="24"/>
                <w:lang w:eastAsia="en-GB"/>
              </w:rPr>
              <w:t>22.075</w:t>
            </w:r>
          </w:p>
        </w:tc>
        <w:tc>
          <w:tcPr>
            <w:tcW w:w="3117" w:type="dxa"/>
            <w:noWrap/>
            <w:vAlign w:val="center"/>
            <w:hideMark/>
          </w:tcPr>
          <w:p w14:paraId="62D32DB8" w14:textId="77777777" w:rsidR="0081642E" w:rsidRPr="0081642E" w:rsidRDefault="0081642E" w:rsidP="0081642E">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n-GB"/>
              </w:rPr>
            </w:pPr>
            <w:r w:rsidRPr="0081642E">
              <w:rPr>
                <w:rFonts w:ascii="Times New Roman" w:hAnsi="Times New Roman"/>
                <w:sz w:val="24"/>
                <w:szCs w:val="24"/>
                <w:lang w:eastAsia="en-GB"/>
              </w:rPr>
              <w:t>Methyl gallate</w:t>
            </w:r>
          </w:p>
        </w:tc>
        <w:tc>
          <w:tcPr>
            <w:tcW w:w="3117" w:type="dxa"/>
            <w:noWrap/>
            <w:vAlign w:val="center"/>
            <w:hideMark/>
          </w:tcPr>
          <w:p w14:paraId="5A8DCC5A" w14:textId="77777777" w:rsidR="0081642E" w:rsidRPr="0081642E" w:rsidRDefault="0081642E" w:rsidP="0081642E">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n-GB"/>
              </w:rPr>
            </w:pPr>
            <w:r w:rsidRPr="0081642E">
              <w:rPr>
                <w:rFonts w:ascii="Times New Roman" w:hAnsi="Times New Roman"/>
                <w:sz w:val="24"/>
                <w:szCs w:val="24"/>
                <w:lang w:eastAsia="en-GB"/>
              </w:rPr>
              <w:t>36.4 ± 8.1</w:t>
            </w:r>
          </w:p>
        </w:tc>
      </w:tr>
    </w:tbl>
    <w:p w14:paraId="5922C68B" w14:textId="77777777" w:rsidR="0081642E" w:rsidRPr="0081642E" w:rsidRDefault="0081642E" w:rsidP="0081642E">
      <w:pPr>
        <w:spacing w:line="276" w:lineRule="auto"/>
        <w:jc w:val="both"/>
        <w:rPr>
          <w:rFonts w:ascii="Times New Roman" w:hAnsi="Times New Roman"/>
          <w:sz w:val="24"/>
          <w:szCs w:val="24"/>
        </w:rPr>
      </w:pPr>
      <w:r w:rsidRPr="0081642E">
        <w:rPr>
          <w:rFonts w:ascii="Times New Roman" w:hAnsi="Times New Roman"/>
          <w:sz w:val="24"/>
          <w:szCs w:val="24"/>
        </w:rPr>
        <w:t xml:space="preserve">LW: Lyophilised weight; Values are </w:t>
      </w:r>
      <w:r w:rsidRPr="0081642E">
        <w:rPr>
          <w:rFonts w:ascii="Times New Roman" w:hAnsi="Times New Roman"/>
          <w:sz w:val="24"/>
          <w:szCs w:val="24"/>
          <w:lang w:val="en-US"/>
        </w:rPr>
        <w:t>mean ± standard deviation (n=3).</w:t>
      </w:r>
    </w:p>
    <w:p w14:paraId="4CCDB466" w14:textId="118CBBE4" w:rsidR="0081642E" w:rsidRDefault="0081642E" w:rsidP="00C15F5B">
      <w:pPr>
        <w:spacing w:line="276" w:lineRule="auto"/>
        <w:jc w:val="both"/>
        <w:rPr>
          <w:rFonts w:ascii="Times New Roman" w:hAnsi="Times New Roman"/>
          <w:sz w:val="24"/>
          <w:szCs w:val="24"/>
        </w:rPr>
      </w:pPr>
    </w:p>
    <w:p w14:paraId="57874BBE" w14:textId="77777777" w:rsidR="0081642E" w:rsidRDefault="0081642E" w:rsidP="00C15F5B">
      <w:pPr>
        <w:spacing w:line="276" w:lineRule="auto"/>
        <w:jc w:val="both"/>
        <w:rPr>
          <w:rFonts w:ascii="Times New Roman" w:hAnsi="Times New Roman"/>
          <w:sz w:val="24"/>
          <w:szCs w:val="24"/>
        </w:rPr>
        <w:sectPr w:rsidR="0081642E" w:rsidSect="0081642E">
          <w:pgSz w:w="15840" w:h="12240" w:orient="landscape"/>
          <w:pgMar w:top="1440" w:right="1440" w:bottom="1440" w:left="1440" w:header="708" w:footer="708" w:gutter="0"/>
          <w:cols w:space="708"/>
          <w:docGrid w:linePitch="360"/>
        </w:sectPr>
      </w:pPr>
    </w:p>
    <w:p w14:paraId="36107B57" w14:textId="781E5F52" w:rsidR="00E31225" w:rsidRPr="00E31225" w:rsidRDefault="00E31225" w:rsidP="006242A9">
      <w:pPr>
        <w:pStyle w:val="ListParagraph"/>
        <w:numPr>
          <w:ilvl w:val="0"/>
          <w:numId w:val="2"/>
        </w:numPr>
        <w:spacing w:line="276" w:lineRule="auto"/>
        <w:jc w:val="both"/>
        <w:rPr>
          <w:rFonts w:ascii="Times New Roman" w:hAnsi="Times New Roman"/>
          <w:b/>
          <w:sz w:val="24"/>
          <w:szCs w:val="24"/>
        </w:rPr>
      </w:pPr>
      <w:r w:rsidRPr="00E31225">
        <w:rPr>
          <w:rFonts w:ascii="Times New Roman" w:hAnsi="Times New Roman"/>
          <w:b/>
          <w:sz w:val="24"/>
          <w:szCs w:val="24"/>
        </w:rPr>
        <w:lastRenderedPageBreak/>
        <w:t>ACKNOWLEDGEMENT</w:t>
      </w:r>
    </w:p>
    <w:p w14:paraId="67912F32" w14:textId="2CD12719" w:rsidR="00606D52" w:rsidRDefault="00E31225" w:rsidP="00C15F5B">
      <w:pPr>
        <w:spacing w:line="276" w:lineRule="auto"/>
        <w:jc w:val="both"/>
        <w:rPr>
          <w:rFonts w:ascii="Times New Roman" w:hAnsi="Times New Roman"/>
          <w:sz w:val="24"/>
          <w:szCs w:val="24"/>
        </w:rPr>
      </w:pPr>
      <w:r w:rsidRPr="00E31225">
        <w:rPr>
          <w:rFonts w:ascii="Times New Roman" w:hAnsi="Times New Roman"/>
          <w:sz w:val="24"/>
          <w:szCs w:val="24"/>
        </w:rPr>
        <w:t xml:space="preserve">We thank the director and staff of </w:t>
      </w:r>
      <w:proofErr w:type="spellStart"/>
      <w:r w:rsidRPr="00E31225">
        <w:rPr>
          <w:rFonts w:ascii="Times New Roman" w:hAnsi="Times New Roman"/>
          <w:sz w:val="24"/>
          <w:szCs w:val="24"/>
        </w:rPr>
        <w:t>Alteo</w:t>
      </w:r>
      <w:proofErr w:type="spellEnd"/>
      <w:r w:rsidRPr="00E31225">
        <w:rPr>
          <w:rFonts w:ascii="Times New Roman" w:hAnsi="Times New Roman"/>
          <w:sz w:val="24"/>
          <w:szCs w:val="24"/>
        </w:rPr>
        <w:t xml:space="preserve"> Group, </w:t>
      </w:r>
      <w:proofErr w:type="spellStart"/>
      <w:r w:rsidRPr="00E31225">
        <w:rPr>
          <w:rFonts w:ascii="Times New Roman" w:hAnsi="Times New Roman"/>
          <w:sz w:val="24"/>
          <w:szCs w:val="24"/>
        </w:rPr>
        <w:t>Médine</w:t>
      </w:r>
      <w:proofErr w:type="spellEnd"/>
      <w:r w:rsidRPr="00E31225">
        <w:rPr>
          <w:rFonts w:ascii="Times New Roman" w:hAnsi="Times New Roman"/>
          <w:sz w:val="24"/>
          <w:szCs w:val="24"/>
        </w:rPr>
        <w:t xml:space="preserve"> Sugar Estate and Mauritius National Park Conservation Services for permission to collect endem</w:t>
      </w:r>
      <w:r>
        <w:rPr>
          <w:rFonts w:ascii="Times New Roman" w:hAnsi="Times New Roman"/>
          <w:sz w:val="24"/>
          <w:szCs w:val="24"/>
        </w:rPr>
        <w:t>i</w:t>
      </w:r>
      <w:r w:rsidRPr="00E31225">
        <w:rPr>
          <w:rFonts w:ascii="Times New Roman" w:hAnsi="Times New Roman"/>
          <w:sz w:val="24"/>
          <w:szCs w:val="24"/>
        </w:rPr>
        <w:t>c plant samples and the Mauritius Herbarium for plant identification. This study was supported by the Royal Society and Royal Society of Chemistry international exchange award, Mauritius Research Council under the National Research and Innovation Chair Program studentship</w:t>
      </w:r>
      <w:r>
        <w:rPr>
          <w:rFonts w:ascii="Times New Roman" w:hAnsi="Times New Roman"/>
          <w:sz w:val="24"/>
          <w:szCs w:val="24"/>
        </w:rPr>
        <w:t>.</w:t>
      </w:r>
    </w:p>
    <w:p w14:paraId="7A6AE2AA" w14:textId="77777777" w:rsidR="00E31225" w:rsidRDefault="00E31225" w:rsidP="00C15F5B">
      <w:pPr>
        <w:spacing w:line="276" w:lineRule="auto"/>
        <w:jc w:val="both"/>
        <w:rPr>
          <w:rFonts w:ascii="Times New Roman" w:hAnsi="Times New Roman"/>
          <w:sz w:val="24"/>
          <w:szCs w:val="24"/>
        </w:rPr>
      </w:pPr>
    </w:p>
    <w:p w14:paraId="002C78E8" w14:textId="3C943660" w:rsidR="00E31225" w:rsidRPr="00E31225" w:rsidRDefault="00E31225" w:rsidP="006242A9">
      <w:pPr>
        <w:pStyle w:val="ListParagraph"/>
        <w:numPr>
          <w:ilvl w:val="0"/>
          <w:numId w:val="2"/>
        </w:numPr>
        <w:spacing w:line="276" w:lineRule="auto"/>
        <w:jc w:val="both"/>
        <w:rPr>
          <w:rFonts w:ascii="Times New Roman" w:hAnsi="Times New Roman"/>
          <w:b/>
          <w:sz w:val="24"/>
          <w:szCs w:val="24"/>
        </w:rPr>
      </w:pPr>
      <w:r w:rsidRPr="00E31225">
        <w:rPr>
          <w:rFonts w:ascii="Times New Roman" w:hAnsi="Times New Roman"/>
          <w:b/>
          <w:sz w:val="24"/>
          <w:szCs w:val="24"/>
        </w:rPr>
        <w:t xml:space="preserve">CONFLICT OF INTEREST </w:t>
      </w:r>
    </w:p>
    <w:p w14:paraId="3E67EE54" w14:textId="57E26BF7" w:rsidR="00E31225" w:rsidRDefault="00E31225" w:rsidP="00C15F5B">
      <w:pPr>
        <w:spacing w:line="276" w:lineRule="auto"/>
        <w:jc w:val="both"/>
        <w:rPr>
          <w:rFonts w:ascii="Times New Roman" w:hAnsi="Times New Roman"/>
          <w:sz w:val="24"/>
          <w:szCs w:val="24"/>
        </w:rPr>
      </w:pPr>
      <w:r w:rsidRPr="00E31225">
        <w:rPr>
          <w:rFonts w:ascii="Times New Roman" w:hAnsi="Times New Roman"/>
          <w:sz w:val="24"/>
          <w:szCs w:val="24"/>
        </w:rPr>
        <w:t xml:space="preserve">The authors declare </w:t>
      </w:r>
      <w:r w:rsidR="005443B1">
        <w:rPr>
          <w:rFonts w:ascii="Times New Roman" w:hAnsi="Times New Roman"/>
          <w:sz w:val="24"/>
          <w:szCs w:val="24"/>
        </w:rPr>
        <w:t>no</w:t>
      </w:r>
      <w:r w:rsidRPr="00E31225">
        <w:rPr>
          <w:rFonts w:ascii="Times New Roman" w:hAnsi="Times New Roman"/>
          <w:sz w:val="24"/>
          <w:szCs w:val="24"/>
        </w:rPr>
        <w:t xml:space="preserve"> conflict of inter</w:t>
      </w:r>
      <w:r>
        <w:rPr>
          <w:rFonts w:ascii="Times New Roman" w:hAnsi="Times New Roman"/>
          <w:sz w:val="24"/>
          <w:szCs w:val="24"/>
        </w:rPr>
        <w:t>es</w:t>
      </w:r>
      <w:r w:rsidRPr="00E31225">
        <w:rPr>
          <w:rFonts w:ascii="Times New Roman" w:hAnsi="Times New Roman"/>
          <w:sz w:val="24"/>
          <w:szCs w:val="24"/>
        </w:rPr>
        <w:t>t.</w:t>
      </w:r>
    </w:p>
    <w:p w14:paraId="536E2525" w14:textId="77777777" w:rsidR="00E31225" w:rsidRDefault="00E31225" w:rsidP="00C15F5B">
      <w:pPr>
        <w:spacing w:line="276" w:lineRule="auto"/>
        <w:jc w:val="both"/>
        <w:rPr>
          <w:rFonts w:ascii="Times New Roman" w:hAnsi="Times New Roman"/>
          <w:b/>
          <w:sz w:val="24"/>
          <w:szCs w:val="24"/>
        </w:rPr>
      </w:pPr>
    </w:p>
    <w:p w14:paraId="00DA3A95" w14:textId="486C2F0F" w:rsidR="00D50B76" w:rsidRPr="00E31225" w:rsidRDefault="00D806C1" w:rsidP="006242A9">
      <w:pPr>
        <w:pStyle w:val="ListParagraph"/>
        <w:numPr>
          <w:ilvl w:val="0"/>
          <w:numId w:val="2"/>
        </w:numPr>
        <w:spacing w:line="276" w:lineRule="auto"/>
        <w:jc w:val="both"/>
        <w:rPr>
          <w:rFonts w:ascii="Times New Roman" w:hAnsi="Times New Roman"/>
          <w:b/>
          <w:sz w:val="24"/>
          <w:szCs w:val="24"/>
        </w:rPr>
      </w:pPr>
      <w:r w:rsidRPr="00E31225">
        <w:rPr>
          <w:rFonts w:ascii="Times New Roman" w:hAnsi="Times New Roman"/>
          <w:b/>
          <w:sz w:val="24"/>
          <w:szCs w:val="24"/>
        </w:rPr>
        <w:t>REFERENCES</w:t>
      </w:r>
    </w:p>
    <w:p w14:paraId="3DD6D99C" w14:textId="7F91CD8B" w:rsidR="0027650C" w:rsidRPr="0027650C" w:rsidRDefault="00D50B76" w:rsidP="0027650C">
      <w:pPr>
        <w:widowControl w:val="0"/>
        <w:autoSpaceDE w:val="0"/>
        <w:autoSpaceDN w:val="0"/>
        <w:adjustRightInd w:val="0"/>
        <w:spacing w:line="240" w:lineRule="auto"/>
        <w:ind w:left="480" w:hanging="480"/>
        <w:rPr>
          <w:rFonts w:ascii="Times New Roman" w:hAnsi="Times New Roman"/>
          <w:noProof/>
          <w:sz w:val="24"/>
          <w:szCs w:val="24"/>
        </w:rPr>
      </w:pPr>
      <w:r>
        <w:rPr>
          <w:rFonts w:ascii="Times New Roman" w:hAnsi="Times New Roman"/>
          <w:sz w:val="24"/>
          <w:szCs w:val="24"/>
        </w:rPr>
        <w:fldChar w:fldCharType="begin" w:fldLock="1"/>
      </w:r>
      <w:r>
        <w:rPr>
          <w:rFonts w:ascii="Times New Roman" w:hAnsi="Times New Roman"/>
          <w:sz w:val="24"/>
          <w:szCs w:val="24"/>
        </w:rPr>
        <w:instrText xml:space="preserve">ADDIN Mendeley Bibliography CSL_BIBLIOGRAPHY </w:instrText>
      </w:r>
      <w:r>
        <w:rPr>
          <w:rFonts w:ascii="Times New Roman" w:hAnsi="Times New Roman"/>
          <w:sz w:val="24"/>
          <w:szCs w:val="24"/>
        </w:rPr>
        <w:fldChar w:fldCharType="separate"/>
      </w:r>
      <w:r w:rsidR="0027650C" w:rsidRPr="0027650C">
        <w:rPr>
          <w:rFonts w:ascii="Times New Roman" w:hAnsi="Times New Roman"/>
          <w:noProof/>
          <w:sz w:val="24"/>
          <w:szCs w:val="24"/>
        </w:rPr>
        <w:t>Agati, G., Azzarello, E., Pollastri, S., Tattini, M., 2012. Flavonoids as antioxidants in plants: Location and functional significance. Plant Sci. 196, 67–76. https://doi.org/10.1016/j.plantsci.2012.07.014</w:t>
      </w:r>
    </w:p>
    <w:p w14:paraId="7666FFD9" w14:textId="77777777" w:rsidR="0027650C" w:rsidRPr="0027650C" w:rsidRDefault="0027650C" w:rsidP="0027650C">
      <w:pPr>
        <w:widowControl w:val="0"/>
        <w:autoSpaceDE w:val="0"/>
        <w:autoSpaceDN w:val="0"/>
        <w:adjustRightInd w:val="0"/>
        <w:spacing w:line="240" w:lineRule="auto"/>
        <w:ind w:left="480" w:hanging="480"/>
        <w:rPr>
          <w:rFonts w:ascii="Times New Roman" w:hAnsi="Times New Roman"/>
          <w:noProof/>
          <w:sz w:val="24"/>
          <w:szCs w:val="24"/>
        </w:rPr>
      </w:pPr>
      <w:r w:rsidRPr="0027650C">
        <w:rPr>
          <w:rFonts w:ascii="Times New Roman" w:hAnsi="Times New Roman"/>
          <w:noProof/>
          <w:sz w:val="24"/>
          <w:szCs w:val="24"/>
        </w:rPr>
        <w:t>Aires, A., 2017. Phenolics in Foods: Extraction, Analysis and Measurements. Phenolic Compd. - Nat. Sources, Importance Appl. https://doi.org/10.5772/66889</w:t>
      </w:r>
    </w:p>
    <w:p w14:paraId="6872214A" w14:textId="77777777" w:rsidR="0027650C" w:rsidRPr="0027650C" w:rsidRDefault="0027650C" w:rsidP="0027650C">
      <w:pPr>
        <w:widowControl w:val="0"/>
        <w:autoSpaceDE w:val="0"/>
        <w:autoSpaceDN w:val="0"/>
        <w:adjustRightInd w:val="0"/>
        <w:spacing w:line="240" w:lineRule="auto"/>
        <w:ind w:left="480" w:hanging="480"/>
        <w:rPr>
          <w:rFonts w:ascii="Times New Roman" w:hAnsi="Times New Roman"/>
          <w:noProof/>
          <w:sz w:val="24"/>
          <w:szCs w:val="24"/>
        </w:rPr>
      </w:pPr>
      <w:r w:rsidRPr="0027650C">
        <w:rPr>
          <w:rFonts w:ascii="Times New Roman" w:hAnsi="Times New Roman"/>
          <w:noProof/>
          <w:sz w:val="24"/>
          <w:szCs w:val="24"/>
        </w:rPr>
        <w:t>Baider, C., Florens, F.B.V., Baret, S., Beaver, K., Strasberg, D., Kueffer, C., 2010. Status of plant conservation in oceanic islands of the Western Indian Ocean. Proc. 4th Glob. Bot. Gard. Congr. 1–7.</w:t>
      </w:r>
    </w:p>
    <w:p w14:paraId="7D73FEA7" w14:textId="77777777" w:rsidR="0027650C" w:rsidRPr="0027650C" w:rsidRDefault="0027650C" w:rsidP="0027650C">
      <w:pPr>
        <w:widowControl w:val="0"/>
        <w:autoSpaceDE w:val="0"/>
        <w:autoSpaceDN w:val="0"/>
        <w:adjustRightInd w:val="0"/>
        <w:spacing w:line="240" w:lineRule="auto"/>
        <w:ind w:left="480" w:hanging="480"/>
        <w:rPr>
          <w:rFonts w:ascii="Times New Roman" w:hAnsi="Times New Roman"/>
          <w:noProof/>
          <w:sz w:val="24"/>
          <w:szCs w:val="24"/>
        </w:rPr>
      </w:pPr>
      <w:r w:rsidRPr="0027650C">
        <w:rPr>
          <w:rFonts w:ascii="Times New Roman" w:hAnsi="Times New Roman"/>
          <w:noProof/>
          <w:sz w:val="24"/>
          <w:szCs w:val="24"/>
        </w:rPr>
        <w:t>Bayliak, M.M., Burdyliuk, N.I., Lushchak, V.I., 2016. Effects of pH on antioxidant and prooxidant properties of common medicinal herbs. Open Life Sci. 11, 298–307. https://doi.org/10.1515/biol-2016-0040</w:t>
      </w:r>
    </w:p>
    <w:p w14:paraId="65FD46A6" w14:textId="77777777" w:rsidR="0027650C" w:rsidRPr="0027650C" w:rsidRDefault="0027650C" w:rsidP="0027650C">
      <w:pPr>
        <w:widowControl w:val="0"/>
        <w:autoSpaceDE w:val="0"/>
        <w:autoSpaceDN w:val="0"/>
        <w:adjustRightInd w:val="0"/>
        <w:spacing w:line="240" w:lineRule="auto"/>
        <w:ind w:left="480" w:hanging="480"/>
        <w:rPr>
          <w:rFonts w:ascii="Times New Roman" w:hAnsi="Times New Roman"/>
          <w:noProof/>
          <w:sz w:val="24"/>
          <w:szCs w:val="24"/>
        </w:rPr>
      </w:pPr>
      <w:r w:rsidRPr="0027650C">
        <w:rPr>
          <w:rFonts w:ascii="Times New Roman" w:hAnsi="Times New Roman"/>
          <w:noProof/>
          <w:sz w:val="24"/>
          <w:szCs w:val="24"/>
        </w:rPr>
        <w:t>Bessafi, M., Oree, V., Khoodaruth, A., Chabriat, J.P., 2016. Mapping the incoming solar irradiance over Mauritius using time-series records of Satellite Application Facility on Climate Monitoring. 2015 IEEE Int. Conf. Smart Instrumentation, Meas. Appl. ICSIMA 2015 0–5. https://doi.org/10.1109/ICSIMA.2015.7559020</w:t>
      </w:r>
    </w:p>
    <w:p w14:paraId="408C436B" w14:textId="77777777" w:rsidR="0027650C" w:rsidRPr="0027650C" w:rsidRDefault="0027650C" w:rsidP="0027650C">
      <w:pPr>
        <w:widowControl w:val="0"/>
        <w:autoSpaceDE w:val="0"/>
        <w:autoSpaceDN w:val="0"/>
        <w:adjustRightInd w:val="0"/>
        <w:spacing w:line="240" w:lineRule="auto"/>
        <w:ind w:left="480" w:hanging="480"/>
        <w:rPr>
          <w:rFonts w:ascii="Times New Roman" w:hAnsi="Times New Roman"/>
          <w:noProof/>
          <w:sz w:val="24"/>
          <w:szCs w:val="24"/>
        </w:rPr>
      </w:pPr>
      <w:r w:rsidRPr="0027650C">
        <w:rPr>
          <w:rFonts w:ascii="Times New Roman" w:hAnsi="Times New Roman"/>
          <w:noProof/>
          <w:sz w:val="24"/>
          <w:szCs w:val="24"/>
        </w:rPr>
        <w:t>Chua, L.K., Lim, C.L., Ling, A.P.K., Chye, S.M., Koh, R.Y., 2019. Anticancer Potential of Syzygium Species: a Review. Plant Foods Hum. Nutr. 74, 18–27. https://doi.org/10.1007/s11130-018-0704-z</w:t>
      </w:r>
    </w:p>
    <w:p w14:paraId="60033609" w14:textId="77777777" w:rsidR="0027650C" w:rsidRPr="0027650C" w:rsidRDefault="0027650C" w:rsidP="0027650C">
      <w:pPr>
        <w:widowControl w:val="0"/>
        <w:autoSpaceDE w:val="0"/>
        <w:autoSpaceDN w:val="0"/>
        <w:adjustRightInd w:val="0"/>
        <w:spacing w:line="240" w:lineRule="auto"/>
        <w:ind w:left="480" w:hanging="480"/>
        <w:rPr>
          <w:rFonts w:ascii="Times New Roman" w:hAnsi="Times New Roman"/>
          <w:noProof/>
          <w:sz w:val="24"/>
          <w:szCs w:val="24"/>
        </w:rPr>
      </w:pPr>
      <w:r w:rsidRPr="0027650C">
        <w:rPr>
          <w:rFonts w:ascii="Times New Roman" w:hAnsi="Times New Roman"/>
          <w:noProof/>
          <w:sz w:val="24"/>
          <w:szCs w:val="24"/>
        </w:rPr>
        <w:t>Cock, I.E., Cheesman, M., 2018. Plants of the genus Syzygium (Myrtaceae): a review on ethnobotany, medicinal properties and phytochemistry, in: Goyal, M., Ayeleso, A. (Eds.), Bioactive Compounds of Medicinal Plants: Properties and Potential for Human Health. Apple Academic Press, USA, pp. 35–84. https://doi.org/10.1201/b22426-20</w:t>
      </w:r>
    </w:p>
    <w:p w14:paraId="763CF31F" w14:textId="77777777" w:rsidR="0027650C" w:rsidRPr="0027650C" w:rsidRDefault="0027650C" w:rsidP="0027650C">
      <w:pPr>
        <w:widowControl w:val="0"/>
        <w:autoSpaceDE w:val="0"/>
        <w:autoSpaceDN w:val="0"/>
        <w:adjustRightInd w:val="0"/>
        <w:spacing w:line="240" w:lineRule="auto"/>
        <w:ind w:left="480" w:hanging="480"/>
        <w:rPr>
          <w:rFonts w:ascii="Times New Roman" w:hAnsi="Times New Roman"/>
          <w:noProof/>
          <w:sz w:val="24"/>
          <w:szCs w:val="24"/>
        </w:rPr>
      </w:pPr>
      <w:r w:rsidRPr="0027650C">
        <w:rPr>
          <w:rFonts w:ascii="Times New Roman" w:hAnsi="Times New Roman"/>
          <w:noProof/>
          <w:sz w:val="24"/>
          <w:szCs w:val="24"/>
        </w:rPr>
        <w:t>Coombes, R., 2019. Cancer drug resistance needs urgent attention, says research chief. BMJ 365, l1934. https://doi.org/10.1136/bmj.l1934</w:t>
      </w:r>
    </w:p>
    <w:p w14:paraId="1B47F622" w14:textId="77777777" w:rsidR="0027650C" w:rsidRPr="0027650C" w:rsidRDefault="0027650C" w:rsidP="0027650C">
      <w:pPr>
        <w:widowControl w:val="0"/>
        <w:autoSpaceDE w:val="0"/>
        <w:autoSpaceDN w:val="0"/>
        <w:adjustRightInd w:val="0"/>
        <w:spacing w:line="240" w:lineRule="auto"/>
        <w:ind w:left="480" w:hanging="480"/>
        <w:rPr>
          <w:rFonts w:ascii="Times New Roman" w:hAnsi="Times New Roman"/>
          <w:noProof/>
          <w:sz w:val="24"/>
          <w:szCs w:val="24"/>
        </w:rPr>
      </w:pPr>
      <w:r w:rsidRPr="0027650C">
        <w:rPr>
          <w:rFonts w:ascii="Times New Roman" w:hAnsi="Times New Roman"/>
          <w:noProof/>
          <w:sz w:val="24"/>
          <w:szCs w:val="24"/>
        </w:rPr>
        <w:t xml:space="preserve">Cory, H., Passarelli, S., Szeto, J., Tamez, M., Mattei, J., 2018. The Role of Polyphenols in </w:t>
      </w:r>
      <w:r w:rsidRPr="0027650C">
        <w:rPr>
          <w:rFonts w:ascii="Times New Roman" w:hAnsi="Times New Roman"/>
          <w:noProof/>
          <w:sz w:val="24"/>
          <w:szCs w:val="24"/>
        </w:rPr>
        <w:lastRenderedPageBreak/>
        <w:t>Human Health and Food Systems: A Mini-Review. Front. Nutr. 5, 1–9. https://doi.org/10.3389/fnut.2018.00087</w:t>
      </w:r>
    </w:p>
    <w:p w14:paraId="32BA3238" w14:textId="77777777" w:rsidR="0027650C" w:rsidRPr="0027650C" w:rsidRDefault="0027650C" w:rsidP="0027650C">
      <w:pPr>
        <w:widowControl w:val="0"/>
        <w:autoSpaceDE w:val="0"/>
        <w:autoSpaceDN w:val="0"/>
        <w:adjustRightInd w:val="0"/>
        <w:spacing w:line="240" w:lineRule="auto"/>
        <w:ind w:left="480" w:hanging="480"/>
        <w:rPr>
          <w:rFonts w:ascii="Times New Roman" w:hAnsi="Times New Roman"/>
          <w:noProof/>
          <w:sz w:val="24"/>
          <w:szCs w:val="24"/>
        </w:rPr>
      </w:pPr>
      <w:r w:rsidRPr="0027650C">
        <w:rPr>
          <w:rFonts w:ascii="Times New Roman" w:hAnsi="Times New Roman"/>
          <w:noProof/>
          <w:sz w:val="24"/>
          <w:szCs w:val="24"/>
        </w:rPr>
        <w:t>Dai, J., Mumper, R.J., 2010. Plant phenolics: Extraction, analysis and their antioxidant and anticancer properties. Molecules 15, 7313–7352. https://doi.org/10.3390/molecules15107313</w:t>
      </w:r>
    </w:p>
    <w:p w14:paraId="2C256D34" w14:textId="77777777" w:rsidR="0027650C" w:rsidRPr="0027650C" w:rsidRDefault="0027650C" w:rsidP="0027650C">
      <w:pPr>
        <w:widowControl w:val="0"/>
        <w:autoSpaceDE w:val="0"/>
        <w:autoSpaceDN w:val="0"/>
        <w:adjustRightInd w:val="0"/>
        <w:spacing w:line="240" w:lineRule="auto"/>
        <w:ind w:left="480" w:hanging="480"/>
        <w:rPr>
          <w:rFonts w:ascii="Times New Roman" w:hAnsi="Times New Roman"/>
          <w:noProof/>
          <w:sz w:val="24"/>
          <w:szCs w:val="24"/>
        </w:rPr>
      </w:pPr>
      <w:r w:rsidRPr="0027650C">
        <w:rPr>
          <w:rFonts w:ascii="Times New Roman" w:hAnsi="Times New Roman"/>
          <w:noProof/>
          <w:sz w:val="24"/>
          <w:szCs w:val="24"/>
        </w:rPr>
        <w:t>Ferreyra, F.M.L., Rius, S.P., Casati, P., 2012. Flavonoids: biosynthesis, biological functions, and biotechnological applications. Front. Plant Sci. 3, 1–15. https://doi.org/10.3389/fpls.2012.00222</w:t>
      </w:r>
    </w:p>
    <w:p w14:paraId="32DB3C15" w14:textId="77777777" w:rsidR="0027650C" w:rsidRPr="0027650C" w:rsidRDefault="0027650C" w:rsidP="0027650C">
      <w:pPr>
        <w:widowControl w:val="0"/>
        <w:autoSpaceDE w:val="0"/>
        <w:autoSpaceDN w:val="0"/>
        <w:adjustRightInd w:val="0"/>
        <w:spacing w:line="240" w:lineRule="auto"/>
        <w:ind w:left="480" w:hanging="480"/>
        <w:rPr>
          <w:rFonts w:ascii="Times New Roman" w:hAnsi="Times New Roman"/>
          <w:noProof/>
          <w:sz w:val="24"/>
          <w:szCs w:val="24"/>
        </w:rPr>
      </w:pPr>
      <w:r w:rsidRPr="0027650C">
        <w:rPr>
          <w:rFonts w:ascii="Times New Roman" w:hAnsi="Times New Roman"/>
          <w:noProof/>
          <w:sz w:val="24"/>
          <w:szCs w:val="24"/>
        </w:rPr>
        <w:t>Ganesan, D., Al-Sayed, E., Albert, A., Paul, E., Singab, A.N.B., Govindan Sadasivam, S., Saso, L., 2018. Antioxidant activity of phenolic compounds from extracts of Eucalyptus globulus and Melaleuca styphelioides and their protective role on D-glucose-induced hyperglycemic stress and oxalate stress in NRK-49Fcells. Nat. Prod. Res. 32, 1274–1280. https://doi.org/10.1080/14786419.2017.1343324</w:t>
      </w:r>
    </w:p>
    <w:p w14:paraId="1F9CC374" w14:textId="77777777" w:rsidR="0027650C" w:rsidRPr="0027650C" w:rsidRDefault="0027650C" w:rsidP="0027650C">
      <w:pPr>
        <w:widowControl w:val="0"/>
        <w:autoSpaceDE w:val="0"/>
        <w:autoSpaceDN w:val="0"/>
        <w:adjustRightInd w:val="0"/>
        <w:spacing w:line="240" w:lineRule="auto"/>
        <w:ind w:left="480" w:hanging="480"/>
        <w:rPr>
          <w:rFonts w:ascii="Times New Roman" w:hAnsi="Times New Roman"/>
          <w:noProof/>
          <w:sz w:val="24"/>
          <w:szCs w:val="24"/>
        </w:rPr>
      </w:pPr>
      <w:r w:rsidRPr="0027650C">
        <w:rPr>
          <w:rFonts w:ascii="Times New Roman" w:hAnsi="Times New Roman"/>
          <w:noProof/>
          <w:sz w:val="24"/>
          <w:szCs w:val="24"/>
        </w:rPr>
        <w:t>Graham, J.G., Quinn, M.L., Fabricant, D.S., Farnsworth, N.R., 2000. Plants used against cancer – an extension of the work of Jonathan Hartwell. J. Ethnopharmacol. 73, 347–377. https://doi.org/10.1016/S0378-8741(00)00341-X</w:t>
      </w:r>
    </w:p>
    <w:p w14:paraId="5C02FA1A" w14:textId="77777777" w:rsidR="0027650C" w:rsidRPr="0027650C" w:rsidRDefault="0027650C" w:rsidP="0027650C">
      <w:pPr>
        <w:widowControl w:val="0"/>
        <w:autoSpaceDE w:val="0"/>
        <w:autoSpaceDN w:val="0"/>
        <w:adjustRightInd w:val="0"/>
        <w:spacing w:line="240" w:lineRule="auto"/>
        <w:ind w:left="480" w:hanging="480"/>
        <w:rPr>
          <w:rFonts w:ascii="Times New Roman" w:hAnsi="Times New Roman"/>
          <w:noProof/>
          <w:sz w:val="24"/>
          <w:szCs w:val="24"/>
        </w:rPr>
      </w:pPr>
      <w:r w:rsidRPr="0027650C">
        <w:rPr>
          <w:rFonts w:ascii="Times New Roman" w:hAnsi="Times New Roman"/>
          <w:noProof/>
          <w:sz w:val="24"/>
          <w:szCs w:val="24"/>
        </w:rPr>
        <w:t>Grigalius, I., Petrikaite, V., 2017. Relationship between Antioxidant and Anticancer Activity of Trihydroxyflavones. Molecules 22, 2169. https://doi.org/10.3390/molecules22122169</w:t>
      </w:r>
    </w:p>
    <w:p w14:paraId="7941A3CA" w14:textId="77777777" w:rsidR="0027650C" w:rsidRPr="0027650C" w:rsidRDefault="0027650C" w:rsidP="0027650C">
      <w:pPr>
        <w:widowControl w:val="0"/>
        <w:autoSpaceDE w:val="0"/>
        <w:autoSpaceDN w:val="0"/>
        <w:adjustRightInd w:val="0"/>
        <w:spacing w:line="240" w:lineRule="auto"/>
        <w:ind w:left="480" w:hanging="480"/>
        <w:rPr>
          <w:rFonts w:ascii="Times New Roman" w:hAnsi="Times New Roman"/>
          <w:noProof/>
          <w:sz w:val="24"/>
          <w:szCs w:val="24"/>
        </w:rPr>
      </w:pPr>
      <w:r w:rsidRPr="0027650C">
        <w:rPr>
          <w:rFonts w:ascii="Times New Roman" w:hAnsi="Times New Roman"/>
          <w:noProof/>
          <w:sz w:val="24"/>
          <w:szCs w:val="24"/>
        </w:rPr>
        <w:t>Hamed, M.M., Refahy, L.A., Abdel-aziz, M.S., 2017. Assessing the bioactivity and antioxidative properties of some compounds isolated from Abutilon hirtum (lam.). Asian J. Pharm. Clin. Res. 10.</w:t>
      </w:r>
    </w:p>
    <w:p w14:paraId="66356F3F" w14:textId="77777777" w:rsidR="0027650C" w:rsidRPr="0027650C" w:rsidRDefault="0027650C" w:rsidP="0027650C">
      <w:pPr>
        <w:widowControl w:val="0"/>
        <w:autoSpaceDE w:val="0"/>
        <w:autoSpaceDN w:val="0"/>
        <w:adjustRightInd w:val="0"/>
        <w:spacing w:line="240" w:lineRule="auto"/>
        <w:ind w:left="480" w:hanging="480"/>
        <w:rPr>
          <w:rFonts w:ascii="Times New Roman" w:hAnsi="Times New Roman"/>
          <w:noProof/>
          <w:sz w:val="24"/>
          <w:szCs w:val="24"/>
        </w:rPr>
      </w:pPr>
      <w:r w:rsidRPr="0027650C">
        <w:rPr>
          <w:rFonts w:ascii="Times New Roman" w:hAnsi="Times New Roman"/>
          <w:noProof/>
          <w:sz w:val="24"/>
          <w:szCs w:val="24"/>
        </w:rPr>
        <w:t>Hanamura, T., HAGIWARA, T., KAWAGISHI, H., 2005. Structural and Functional Characterization of Polyphenols Isolated from Acerola ( Malpighia emarginata DC.) Fruit. Biosci. Biotechnol. Biochem. 69, 280–286. https://doi.org/10.1271/bbb.69.280</w:t>
      </w:r>
    </w:p>
    <w:p w14:paraId="2AF9AF43" w14:textId="77777777" w:rsidR="0027650C" w:rsidRPr="0027650C" w:rsidRDefault="0027650C" w:rsidP="0027650C">
      <w:pPr>
        <w:widowControl w:val="0"/>
        <w:autoSpaceDE w:val="0"/>
        <w:autoSpaceDN w:val="0"/>
        <w:adjustRightInd w:val="0"/>
        <w:spacing w:line="240" w:lineRule="auto"/>
        <w:ind w:left="480" w:hanging="480"/>
        <w:rPr>
          <w:rFonts w:ascii="Times New Roman" w:hAnsi="Times New Roman"/>
          <w:noProof/>
          <w:sz w:val="24"/>
          <w:szCs w:val="24"/>
        </w:rPr>
      </w:pPr>
      <w:r w:rsidRPr="0027650C">
        <w:rPr>
          <w:rFonts w:ascii="Times New Roman" w:hAnsi="Times New Roman"/>
          <w:noProof/>
          <w:sz w:val="24"/>
          <w:szCs w:val="24"/>
        </w:rPr>
        <w:t>Hsu, S.S., Chou, C.T., Liao, W.C., Shieh, P., Kuo, D.H., Kuo, C.C., Jan, C.R., Liang, W.Z., 2016. The effect of gallic acid on cytotoxicity, Ca2+ homeostasis and ROS production in DBTRG-05MG human glioblastoma cells and CTX TNA2 rat astrocytes. Chem. Biol. Interact. 252, 61–73. https://doi.org/10.1016/j.cbi.2016.04.010</w:t>
      </w:r>
    </w:p>
    <w:p w14:paraId="47C55BFB" w14:textId="77777777" w:rsidR="0027650C" w:rsidRPr="0027650C" w:rsidRDefault="0027650C" w:rsidP="0027650C">
      <w:pPr>
        <w:widowControl w:val="0"/>
        <w:autoSpaceDE w:val="0"/>
        <w:autoSpaceDN w:val="0"/>
        <w:adjustRightInd w:val="0"/>
        <w:spacing w:line="240" w:lineRule="auto"/>
        <w:ind w:left="480" w:hanging="480"/>
        <w:rPr>
          <w:rFonts w:ascii="Times New Roman" w:hAnsi="Times New Roman"/>
          <w:noProof/>
          <w:sz w:val="24"/>
          <w:szCs w:val="24"/>
        </w:rPr>
      </w:pPr>
      <w:r w:rsidRPr="0027650C">
        <w:rPr>
          <w:rFonts w:ascii="Times New Roman" w:hAnsi="Times New Roman"/>
          <w:noProof/>
          <w:sz w:val="24"/>
          <w:szCs w:val="24"/>
        </w:rPr>
        <w:t>Huang, D., Ou, B., Prior, R.L., 2005. The chemistry behind antioxidant capacity assays. J. Agric. Food Chem. 53, 1841–1856. https://doi.org/10.1021/jf030723c</w:t>
      </w:r>
    </w:p>
    <w:p w14:paraId="79668053" w14:textId="77777777" w:rsidR="0027650C" w:rsidRPr="0027650C" w:rsidRDefault="0027650C" w:rsidP="0027650C">
      <w:pPr>
        <w:widowControl w:val="0"/>
        <w:autoSpaceDE w:val="0"/>
        <w:autoSpaceDN w:val="0"/>
        <w:adjustRightInd w:val="0"/>
        <w:spacing w:line="240" w:lineRule="auto"/>
        <w:ind w:left="480" w:hanging="480"/>
        <w:rPr>
          <w:rFonts w:ascii="Times New Roman" w:hAnsi="Times New Roman"/>
          <w:noProof/>
          <w:sz w:val="24"/>
          <w:szCs w:val="24"/>
        </w:rPr>
      </w:pPr>
      <w:r w:rsidRPr="0027650C">
        <w:rPr>
          <w:rFonts w:ascii="Times New Roman" w:hAnsi="Times New Roman"/>
          <w:noProof/>
          <w:sz w:val="24"/>
          <w:szCs w:val="24"/>
        </w:rPr>
        <w:t>Humphreys, A.M., Govaerts, R., Ficinski, S.Z., Nic Lughadha, E., Vorontsova, M.S., 2019. Global dataset shows geography and life form predict modern plant extinction and rediscovery. Nat. Ecol. Evol. 3, 1043–1047. https://doi.org/10.1038/s41559-019-0906-2</w:t>
      </w:r>
    </w:p>
    <w:p w14:paraId="6C55EFAE" w14:textId="77777777" w:rsidR="0027650C" w:rsidRPr="0027650C" w:rsidRDefault="0027650C" w:rsidP="0027650C">
      <w:pPr>
        <w:widowControl w:val="0"/>
        <w:autoSpaceDE w:val="0"/>
        <w:autoSpaceDN w:val="0"/>
        <w:adjustRightInd w:val="0"/>
        <w:spacing w:line="240" w:lineRule="auto"/>
        <w:ind w:left="480" w:hanging="480"/>
        <w:rPr>
          <w:rFonts w:ascii="Times New Roman" w:hAnsi="Times New Roman"/>
          <w:noProof/>
          <w:sz w:val="24"/>
          <w:szCs w:val="24"/>
        </w:rPr>
      </w:pPr>
      <w:r w:rsidRPr="0027650C">
        <w:rPr>
          <w:rFonts w:ascii="Times New Roman" w:hAnsi="Times New Roman"/>
          <w:noProof/>
          <w:sz w:val="24"/>
          <w:szCs w:val="24"/>
        </w:rPr>
        <w:t>Johnson-ajinwo, O.R., Richardson, A., Li, W.-W., 2015. Cytotoxic effects of stem bark extracts and pure compounds from Margaritaria discoidea on human ovarian cancer cell lines. Phytomedicine 22, 1–4. https://doi.org/10.1016/j.phymed.2014.09.008</w:t>
      </w:r>
    </w:p>
    <w:p w14:paraId="37D8C60C" w14:textId="77777777" w:rsidR="0027650C" w:rsidRPr="0027650C" w:rsidRDefault="0027650C" w:rsidP="0027650C">
      <w:pPr>
        <w:widowControl w:val="0"/>
        <w:autoSpaceDE w:val="0"/>
        <w:autoSpaceDN w:val="0"/>
        <w:adjustRightInd w:val="0"/>
        <w:spacing w:line="240" w:lineRule="auto"/>
        <w:ind w:left="480" w:hanging="480"/>
        <w:rPr>
          <w:rFonts w:ascii="Times New Roman" w:hAnsi="Times New Roman"/>
          <w:noProof/>
          <w:sz w:val="24"/>
          <w:szCs w:val="24"/>
        </w:rPr>
      </w:pPr>
      <w:r w:rsidRPr="0027650C">
        <w:rPr>
          <w:rFonts w:ascii="Times New Roman" w:hAnsi="Times New Roman"/>
          <w:noProof/>
          <w:sz w:val="24"/>
          <w:szCs w:val="24"/>
        </w:rPr>
        <w:t>Maeda, H., Khatami, M., 2018. Analyses of repeated failures in cancer therapy for solid tumors: poor tumor-selective drug delivery, low therapeutic efficacy and unsustainable costs. Clin. Transl. Med. 7, 11. https://doi.org/10.1186/s40169-018-0185-6</w:t>
      </w:r>
    </w:p>
    <w:p w14:paraId="12327A20" w14:textId="77777777" w:rsidR="0027650C" w:rsidRPr="0027650C" w:rsidRDefault="0027650C" w:rsidP="0027650C">
      <w:pPr>
        <w:widowControl w:val="0"/>
        <w:autoSpaceDE w:val="0"/>
        <w:autoSpaceDN w:val="0"/>
        <w:adjustRightInd w:val="0"/>
        <w:spacing w:line="240" w:lineRule="auto"/>
        <w:ind w:left="480" w:hanging="480"/>
        <w:rPr>
          <w:rFonts w:ascii="Times New Roman" w:hAnsi="Times New Roman"/>
          <w:noProof/>
          <w:sz w:val="24"/>
          <w:szCs w:val="24"/>
        </w:rPr>
      </w:pPr>
      <w:r w:rsidRPr="0027650C">
        <w:rPr>
          <w:rFonts w:ascii="Times New Roman" w:hAnsi="Times New Roman"/>
          <w:noProof/>
          <w:sz w:val="24"/>
          <w:szCs w:val="24"/>
        </w:rPr>
        <w:lastRenderedPageBreak/>
        <w:t>Mahomoodally, M.F., Ugurlu, A., Llorent-Martínez, E.J., Nagamootoo, M., Picot-Allain, M.C.N., Baloglu, M.C., Altunoglu, Y.C., Hosenally, M., Zengin, G., 2019. Syzgium coriaceum Bosser &amp;amp; J. Guého—An endemic plant potentiates conventional antibiotics, inhibits clinical enzymes and induces apoptosis in breast cancer cells. Ind. Crops Prod. 111948. https://doi.org/10.1016/j.indcrop.2019.111948</w:t>
      </w:r>
    </w:p>
    <w:p w14:paraId="3583E735" w14:textId="77777777" w:rsidR="0027650C" w:rsidRPr="0027650C" w:rsidRDefault="0027650C" w:rsidP="0027650C">
      <w:pPr>
        <w:widowControl w:val="0"/>
        <w:autoSpaceDE w:val="0"/>
        <w:autoSpaceDN w:val="0"/>
        <w:adjustRightInd w:val="0"/>
        <w:spacing w:line="240" w:lineRule="auto"/>
        <w:ind w:left="480" w:hanging="480"/>
        <w:rPr>
          <w:rFonts w:ascii="Times New Roman" w:hAnsi="Times New Roman"/>
          <w:noProof/>
          <w:sz w:val="24"/>
          <w:szCs w:val="24"/>
        </w:rPr>
      </w:pPr>
      <w:r w:rsidRPr="0027650C">
        <w:rPr>
          <w:rFonts w:ascii="Times New Roman" w:hAnsi="Times New Roman"/>
          <w:noProof/>
          <w:sz w:val="24"/>
          <w:szCs w:val="24"/>
        </w:rPr>
        <w:t>Maurya, D.K., Nandakumar, N., Devasagayam, T.P.A., 2010. Anticancer property of gallic acid in A549, a human lung adenocarcinoma cell line, and possible mechanisms. J. Clin. Biochem. Nutr. 48, 85–90. https://doi.org/10.3164/jcbn.11-004FR</w:t>
      </w:r>
    </w:p>
    <w:p w14:paraId="20499DF8" w14:textId="77777777" w:rsidR="0027650C" w:rsidRPr="0027650C" w:rsidRDefault="0027650C" w:rsidP="0027650C">
      <w:pPr>
        <w:widowControl w:val="0"/>
        <w:autoSpaceDE w:val="0"/>
        <w:autoSpaceDN w:val="0"/>
        <w:adjustRightInd w:val="0"/>
        <w:spacing w:line="240" w:lineRule="auto"/>
        <w:ind w:left="480" w:hanging="480"/>
        <w:rPr>
          <w:rFonts w:ascii="Times New Roman" w:hAnsi="Times New Roman"/>
          <w:noProof/>
          <w:sz w:val="24"/>
          <w:szCs w:val="24"/>
        </w:rPr>
      </w:pPr>
      <w:r w:rsidRPr="0027650C">
        <w:rPr>
          <w:rFonts w:ascii="Times New Roman" w:hAnsi="Times New Roman"/>
          <w:noProof/>
          <w:sz w:val="24"/>
          <w:szCs w:val="24"/>
        </w:rPr>
        <w:t>Myers, N., Mittermeier, R.A., Mittermeier, C.G., da Fonseca, G.A.B., Kent, J., 2000. Biodiversity hotspots for conservation priorities. Nature 403, 853–858. https://doi.org/10.1038/35002501</w:t>
      </w:r>
    </w:p>
    <w:p w14:paraId="433DF209" w14:textId="77777777" w:rsidR="0027650C" w:rsidRPr="0027650C" w:rsidRDefault="0027650C" w:rsidP="0027650C">
      <w:pPr>
        <w:widowControl w:val="0"/>
        <w:autoSpaceDE w:val="0"/>
        <w:autoSpaceDN w:val="0"/>
        <w:adjustRightInd w:val="0"/>
        <w:spacing w:line="240" w:lineRule="auto"/>
        <w:ind w:left="480" w:hanging="480"/>
        <w:rPr>
          <w:rFonts w:ascii="Times New Roman" w:hAnsi="Times New Roman"/>
          <w:noProof/>
          <w:sz w:val="24"/>
          <w:szCs w:val="24"/>
        </w:rPr>
      </w:pPr>
      <w:r w:rsidRPr="0027650C">
        <w:rPr>
          <w:rFonts w:ascii="Times New Roman" w:hAnsi="Times New Roman"/>
          <w:noProof/>
          <w:sz w:val="24"/>
          <w:szCs w:val="24"/>
        </w:rPr>
        <w:t xml:space="preserve">Neergheen, V.S., Soobrattee, M.A., Bahorun, T., Aruoma, O.I., 2006. Characterization of the phenolic constituents in Mauritian endemic plants as determinants of their antioxidant activities </w:t>
      </w:r>
      <w:r w:rsidRPr="00B175B4">
        <w:rPr>
          <w:rFonts w:ascii="Times New Roman" w:hAnsi="Times New Roman"/>
          <w:i/>
          <w:noProof/>
          <w:sz w:val="24"/>
          <w:szCs w:val="24"/>
        </w:rPr>
        <w:t>in vitro</w:t>
      </w:r>
      <w:r w:rsidRPr="0027650C">
        <w:rPr>
          <w:rFonts w:ascii="Times New Roman" w:hAnsi="Times New Roman"/>
          <w:noProof/>
          <w:sz w:val="24"/>
          <w:szCs w:val="24"/>
        </w:rPr>
        <w:t>. J. Plant Physiol. 163, 787–799. https://doi.org/10.1016/j.jplph.2005.09.009</w:t>
      </w:r>
    </w:p>
    <w:p w14:paraId="3A7B0CED" w14:textId="77777777" w:rsidR="0027650C" w:rsidRPr="0027650C" w:rsidRDefault="0027650C" w:rsidP="0027650C">
      <w:pPr>
        <w:widowControl w:val="0"/>
        <w:autoSpaceDE w:val="0"/>
        <w:autoSpaceDN w:val="0"/>
        <w:adjustRightInd w:val="0"/>
        <w:spacing w:line="240" w:lineRule="auto"/>
        <w:ind w:left="480" w:hanging="480"/>
        <w:rPr>
          <w:rFonts w:ascii="Times New Roman" w:hAnsi="Times New Roman"/>
          <w:noProof/>
          <w:sz w:val="24"/>
          <w:szCs w:val="24"/>
        </w:rPr>
      </w:pPr>
      <w:r w:rsidRPr="0027650C">
        <w:rPr>
          <w:rFonts w:ascii="Times New Roman" w:hAnsi="Times New Roman"/>
          <w:noProof/>
          <w:sz w:val="24"/>
          <w:szCs w:val="24"/>
        </w:rPr>
        <w:t>Nurgali, K., Jagoe, R.T., Abalo, R., 2018. Editorial: Adverse Effects of Cancer Chemotherapy: Anything New to Improve Tolerance and Reduce Sequelae? Front. Pharmacol. 9, 1–3. https://doi.org/10.3389/fphar.2018.00245</w:t>
      </w:r>
    </w:p>
    <w:p w14:paraId="1DABA8C8" w14:textId="77777777" w:rsidR="0027650C" w:rsidRPr="0027650C" w:rsidRDefault="0027650C" w:rsidP="0027650C">
      <w:pPr>
        <w:widowControl w:val="0"/>
        <w:autoSpaceDE w:val="0"/>
        <w:autoSpaceDN w:val="0"/>
        <w:adjustRightInd w:val="0"/>
        <w:spacing w:line="240" w:lineRule="auto"/>
        <w:ind w:left="480" w:hanging="480"/>
        <w:rPr>
          <w:rFonts w:ascii="Times New Roman" w:hAnsi="Times New Roman"/>
          <w:noProof/>
          <w:sz w:val="24"/>
          <w:szCs w:val="24"/>
        </w:rPr>
      </w:pPr>
      <w:r w:rsidRPr="0027650C">
        <w:rPr>
          <w:rFonts w:ascii="Times New Roman" w:hAnsi="Times New Roman"/>
          <w:noProof/>
          <w:sz w:val="24"/>
          <w:szCs w:val="24"/>
        </w:rPr>
        <w:t>Park, W.H., 2017. Gallic acid induces HeLa cell death via increasing GSH depletion rather than ROS levels. Oncol. Rep. 37, 1277–1283. https://doi.org/10.3892/or.2016.5335</w:t>
      </w:r>
    </w:p>
    <w:p w14:paraId="5D76BB79" w14:textId="77777777" w:rsidR="0027650C" w:rsidRPr="0027650C" w:rsidRDefault="0027650C" w:rsidP="0027650C">
      <w:pPr>
        <w:widowControl w:val="0"/>
        <w:autoSpaceDE w:val="0"/>
        <w:autoSpaceDN w:val="0"/>
        <w:adjustRightInd w:val="0"/>
        <w:spacing w:line="240" w:lineRule="auto"/>
        <w:ind w:left="480" w:hanging="480"/>
        <w:rPr>
          <w:rFonts w:ascii="Times New Roman" w:hAnsi="Times New Roman"/>
          <w:noProof/>
          <w:sz w:val="24"/>
          <w:szCs w:val="24"/>
        </w:rPr>
      </w:pPr>
      <w:r w:rsidRPr="0027650C">
        <w:rPr>
          <w:rFonts w:ascii="Times New Roman" w:hAnsi="Times New Roman"/>
          <w:noProof/>
          <w:sz w:val="24"/>
          <w:szCs w:val="24"/>
        </w:rPr>
        <w:t>Patridge, E., Gareiss, P., Kinch, M.S., Hoyer, D., 2016. Natural Products and Their Derivatives. Drug Discov. Today 21, 204–207. https://doi.org/10.1016/j.drudis.2015.01.009</w:t>
      </w:r>
    </w:p>
    <w:p w14:paraId="2F03015A" w14:textId="77777777" w:rsidR="0027650C" w:rsidRPr="0027650C" w:rsidRDefault="0027650C" w:rsidP="0027650C">
      <w:pPr>
        <w:widowControl w:val="0"/>
        <w:autoSpaceDE w:val="0"/>
        <w:autoSpaceDN w:val="0"/>
        <w:adjustRightInd w:val="0"/>
        <w:spacing w:line="240" w:lineRule="auto"/>
        <w:ind w:left="480" w:hanging="480"/>
        <w:rPr>
          <w:rFonts w:ascii="Times New Roman" w:hAnsi="Times New Roman"/>
          <w:noProof/>
          <w:sz w:val="24"/>
          <w:szCs w:val="24"/>
        </w:rPr>
      </w:pPr>
      <w:r w:rsidRPr="0027650C">
        <w:rPr>
          <w:rFonts w:ascii="Times New Roman" w:hAnsi="Times New Roman"/>
          <w:noProof/>
          <w:sz w:val="24"/>
          <w:szCs w:val="24"/>
        </w:rPr>
        <w:t>Persi, E., Duran-Frigola, M., Damaghi, M., Roush, W.R., Aloy, P., Cleveland, J.L., Gillies, R.J., Ruppin, E., 2018. Systems analysis of intracellular pH vulnerabilities for cancer therapy. Nat. Commun. 9. https://doi.org/10.1038/s41467-018-05261-x</w:t>
      </w:r>
    </w:p>
    <w:p w14:paraId="21579EDB" w14:textId="77777777" w:rsidR="0027650C" w:rsidRPr="0027650C" w:rsidRDefault="0027650C" w:rsidP="0027650C">
      <w:pPr>
        <w:widowControl w:val="0"/>
        <w:autoSpaceDE w:val="0"/>
        <w:autoSpaceDN w:val="0"/>
        <w:adjustRightInd w:val="0"/>
        <w:spacing w:line="240" w:lineRule="auto"/>
        <w:ind w:left="480" w:hanging="480"/>
        <w:rPr>
          <w:rFonts w:ascii="Times New Roman" w:hAnsi="Times New Roman"/>
          <w:noProof/>
          <w:sz w:val="24"/>
          <w:szCs w:val="24"/>
        </w:rPr>
      </w:pPr>
      <w:r w:rsidRPr="0027650C">
        <w:rPr>
          <w:rFonts w:ascii="Times New Roman" w:hAnsi="Times New Roman"/>
          <w:noProof/>
          <w:sz w:val="24"/>
          <w:szCs w:val="24"/>
        </w:rPr>
        <w:t>Pizzino, G., Irrera, N., Cucinotta, M., Pallio, G., Mannino, F., Arcoraci, V., Squadrito, F., Altavilla, D., Bitto, A., 2017. Oxidative Stress: Harms and Benefits for Human Health. Oxid. Med. Cell. Longev. 2017. https://doi.org/10.1155/2017/8416763</w:t>
      </w:r>
    </w:p>
    <w:p w14:paraId="39760423" w14:textId="77777777" w:rsidR="0027650C" w:rsidRPr="0027650C" w:rsidRDefault="0027650C" w:rsidP="0027650C">
      <w:pPr>
        <w:widowControl w:val="0"/>
        <w:autoSpaceDE w:val="0"/>
        <w:autoSpaceDN w:val="0"/>
        <w:adjustRightInd w:val="0"/>
        <w:spacing w:line="240" w:lineRule="auto"/>
        <w:ind w:left="480" w:hanging="480"/>
        <w:rPr>
          <w:rFonts w:ascii="Times New Roman" w:hAnsi="Times New Roman"/>
          <w:noProof/>
          <w:sz w:val="24"/>
          <w:szCs w:val="24"/>
        </w:rPr>
      </w:pPr>
      <w:r w:rsidRPr="0027650C">
        <w:rPr>
          <w:rFonts w:ascii="Times New Roman" w:hAnsi="Times New Roman"/>
          <w:noProof/>
          <w:sz w:val="24"/>
          <w:szCs w:val="24"/>
        </w:rPr>
        <w:t>Rajpert-De Meyts, E., Skotheim, R.I., 2018. Complex Polygenic Nature of Testicular Germ Cell Cancer Suggests Multifactorial Aetiology. Eur. Urol. 73, 832–833. https://doi.org/10.1016/j.eururo.2018.02.023</w:t>
      </w:r>
    </w:p>
    <w:p w14:paraId="7F897E9D" w14:textId="77777777" w:rsidR="0027650C" w:rsidRPr="0027650C" w:rsidRDefault="0027650C" w:rsidP="0027650C">
      <w:pPr>
        <w:widowControl w:val="0"/>
        <w:autoSpaceDE w:val="0"/>
        <w:autoSpaceDN w:val="0"/>
        <w:adjustRightInd w:val="0"/>
        <w:spacing w:line="240" w:lineRule="auto"/>
        <w:ind w:left="480" w:hanging="480"/>
        <w:rPr>
          <w:rFonts w:ascii="Times New Roman" w:hAnsi="Times New Roman"/>
          <w:noProof/>
          <w:sz w:val="24"/>
          <w:szCs w:val="24"/>
        </w:rPr>
      </w:pPr>
      <w:r w:rsidRPr="0027650C">
        <w:rPr>
          <w:rFonts w:ascii="Times New Roman" w:hAnsi="Times New Roman"/>
          <w:noProof/>
          <w:sz w:val="24"/>
          <w:szCs w:val="24"/>
        </w:rPr>
        <w:t>Ramful, D., Tarnus, E., Rondeau, P., Robert Da Silva, C., Bahorun, T., Bourdon, E., 2010. Citrus fruit extracts reduce advanced glycation end products (AGEs)- and H2O2 -induced oxidative stress in human adipocytes. J. Agric. Food Chem. 58, 11119–11129. https://doi.org/10.1021/jf102762s</w:t>
      </w:r>
    </w:p>
    <w:p w14:paraId="58CB4D50" w14:textId="77777777" w:rsidR="0027650C" w:rsidRPr="0027650C" w:rsidRDefault="0027650C" w:rsidP="0027650C">
      <w:pPr>
        <w:widowControl w:val="0"/>
        <w:autoSpaceDE w:val="0"/>
        <w:autoSpaceDN w:val="0"/>
        <w:adjustRightInd w:val="0"/>
        <w:spacing w:line="240" w:lineRule="auto"/>
        <w:ind w:left="480" w:hanging="480"/>
        <w:rPr>
          <w:rFonts w:ascii="Times New Roman" w:hAnsi="Times New Roman"/>
          <w:noProof/>
          <w:sz w:val="24"/>
          <w:szCs w:val="24"/>
        </w:rPr>
      </w:pPr>
      <w:r w:rsidRPr="0027650C">
        <w:rPr>
          <w:rFonts w:ascii="Times New Roman" w:hAnsi="Times New Roman"/>
          <w:noProof/>
          <w:sz w:val="24"/>
          <w:szCs w:val="24"/>
        </w:rPr>
        <w:t>Ramlagan, P., Rondeau, P., Planesse, C., Neergheen-Bhujun, V.S., Bourdon, E., Bahorun, T., 2017. Comparative suppressing effects of black and green teas on the formation of advanced glycation end products (AGEs) and AGE-induced oxidative stress. Food Funct. https://doi.org/10.1039/c7fo01038a</w:t>
      </w:r>
    </w:p>
    <w:p w14:paraId="0A61CEB5" w14:textId="77777777" w:rsidR="0027650C" w:rsidRPr="0027650C" w:rsidRDefault="0027650C" w:rsidP="0027650C">
      <w:pPr>
        <w:widowControl w:val="0"/>
        <w:autoSpaceDE w:val="0"/>
        <w:autoSpaceDN w:val="0"/>
        <w:adjustRightInd w:val="0"/>
        <w:spacing w:line="240" w:lineRule="auto"/>
        <w:ind w:left="480" w:hanging="480"/>
        <w:rPr>
          <w:rFonts w:ascii="Times New Roman" w:hAnsi="Times New Roman"/>
          <w:noProof/>
          <w:sz w:val="24"/>
          <w:szCs w:val="24"/>
        </w:rPr>
      </w:pPr>
      <w:r w:rsidRPr="0027650C">
        <w:rPr>
          <w:rFonts w:ascii="Times New Roman" w:hAnsi="Times New Roman"/>
          <w:noProof/>
          <w:sz w:val="24"/>
          <w:szCs w:val="24"/>
        </w:rPr>
        <w:t xml:space="preserve">Rebbeck, T.R., 2020. Cancer in sub-Saharan Africa. Science (80-. ). 367, 27–28. </w:t>
      </w:r>
      <w:r w:rsidRPr="0027650C">
        <w:rPr>
          <w:rFonts w:ascii="Times New Roman" w:hAnsi="Times New Roman"/>
          <w:noProof/>
          <w:sz w:val="24"/>
          <w:szCs w:val="24"/>
        </w:rPr>
        <w:lastRenderedPageBreak/>
        <w:t>https://doi.org/10.1126/science.aay4743</w:t>
      </w:r>
    </w:p>
    <w:p w14:paraId="6543A4A8" w14:textId="52BFCD07" w:rsidR="0027650C" w:rsidRPr="0027650C" w:rsidRDefault="0027650C" w:rsidP="0027650C">
      <w:pPr>
        <w:widowControl w:val="0"/>
        <w:autoSpaceDE w:val="0"/>
        <w:autoSpaceDN w:val="0"/>
        <w:adjustRightInd w:val="0"/>
        <w:spacing w:line="240" w:lineRule="auto"/>
        <w:ind w:left="480" w:hanging="480"/>
        <w:rPr>
          <w:rFonts w:ascii="Times New Roman" w:hAnsi="Times New Roman"/>
          <w:noProof/>
          <w:sz w:val="24"/>
          <w:szCs w:val="24"/>
        </w:rPr>
      </w:pPr>
      <w:r w:rsidRPr="0027650C">
        <w:rPr>
          <w:rFonts w:ascii="Times New Roman" w:hAnsi="Times New Roman"/>
          <w:noProof/>
          <w:sz w:val="24"/>
          <w:szCs w:val="24"/>
        </w:rPr>
        <w:t>Rummun, N., Hughes, R.E., Beesoo, R., Li, W.W., Aldulaimi, O., Macleod, K.G., Bahorun, T., Carragher, N.O., Kagansky, A., Neergheen-Bhujun, V.S., 2019. Mauritian Endemic Medicinal Plant Extracts Induce G2/M Phase Cell Cycle Arrest and Growth Inhibition of Oesophag</w:t>
      </w:r>
      <w:r w:rsidR="00B175B4">
        <w:rPr>
          <w:rFonts w:ascii="Times New Roman" w:hAnsi="Times New Roman"/>
          <w:noProof/>
          <w:sz w:val="24"/>
          <w:szCs w:val="24"/>
        </w:rPr>
        <w:t xml:space="preserve">eal Squamous Cell Carcinoma </w:t>
      </w:r>
      <w:r w:rsidR="00B175B4" w:rsidRPr="00B175B4">
        <w:rPr>
          <w:rFonts w:ascii="Times New Roman" w:hAnsi="Times New Roman"/>
          <w:i/>
          <w:noProof/>
          <w:sz w:val="24"/>
          <w:szCs w:val="24"/>
        </w:rPr>
        <w:t>in v</w:t>
      </w:r>
      <w:r w:rsidRPr="00B175B4">
        <w:rPr>
          <w:rFonts w:ascii="Times New Roman" w:hAnsi="Times New Roman"/>
          <w:i/>
          <w:noProof/>
          <w:sz w:val="24"/>
          <w:szCs w:val="24"/>
        </w:rPr>
        <w:t>itro</w:t>
      </w:r>
      <w:r w:rsidRPr="0027650C">
        <w:rPr>
          <w:rFonts w:ascii="Times New Roman" w:hAnsi="Times New Roman"/>
          <w:noProof/>
          <w:sz w:val="24"/>
          <w:szCs w:val="24"/>
        </w:rPr>
        <w:t>. Acta Naturae 11, 81–90. https://doi.org/10.32607/20758251-2019-11-1-81-90</w:t>
      </w:r>
    </w:p>
    <w:p w14:paraId="6F10B5FE" w14:textId="77777777" w:rsidR="0027650C" w:rsidRPr="0027650C" w:rsidRDefault="0027650C" w:rsidP="0027650C">
      <w:pPr>
        <w:widowControl w:val="0"/>
        <w:autoSpaceDE w:val="0"/>
        <w:autoSpaceDN w:val="0"/>
        <w:adjustRightInd w:val="0"/>
        <w:spacing w:line="240" w:lineRule="auto"/>
        <w:ind w:left="480" w:hanging="480"/>
        <w:rPr>
          <w:rFonts w:ascii="Times New Roman" w:hAnsi="Times New Roman"/>
          <w:noProof/>
          <w:sz w:val="24"/>
          <w:szCs w:val="24"/>
        </w:rPr>
      </w:pPr>
      <w:r w:rsidRPr="0027650C">
        <w:rPr>
          <w:rFonts w:ascii="Times New Roman" w:hAnsi="Times New Roman"/>
          <w:noProof/>
          <w:sz w:val="24"/>
          <w:szCs w:val="24"/>
        </w:rPr>
        <w:t>Rummun, N., Neergheen-Bhujun, V.S., Pynee, K.B., Baider, C., Bahorun, T., 2018. The role of endemic plants in Mauritian traditional medicine – Potential therapeutic benefits or placebo effect? J. Ethnopharmacol. 213, 111–117. https://doi.org/10.1016/j.jep.2017.10.006</w:t>
      </w:r>
    </w:p>
    <w:p w14:paraId="6F22BFDD" w14:textId="77777777" w:rsidR="0027650C" w:rsidRPr="0027650C" w:rsidRDefault="0027650C" w:rsidP="0027650C">
      <w:pPr>
        <w:widowControl w:val="0"/>
        <w:autoSpaceDE w:val="0"/>
        <w:autoSpaceDN w:val="0"/>
        <w:adjustRightInd w:val="0"/>
        <w:spacing w:line="240" w:lineRule="auto"/>
        <w:ind w:left="480" w:hanging="480"/>
        <w:rPr>
          <w:rFonts w:ascii="Times New Roman" w:hAnsi="Times New Roman"/>
          <w:noProof/>
          <w:sz w:val="24"/>
          <w:szCs w:val="24"/>
        </w:rPr>
      </w:pPr>
      <w:r w:rsidRPr="0027650C">
        <w:rPr>
          <w:rFonts w:ascii="Times New Roman" w:hAnsi="Times New Roman"/>
          <w:noProof/>
          <w:sz w:val="24"/>
          <w:szCs w:val="24"/>
        </w:rPr>
        <w:t>Rummun, N., Somanah, J., Ramsaha, S., Bahorun, T., Neergheen-Bhujun, V.S., 2013. Bioactivity of Nonedible Parts of Punica granatum L.: A Potential Source of Functional Ingredients. Int. J. Food Sci. 2013, 1–12. https://doi.org/10.1155/2013/602312</w:t>
      </w:r>
    </w:p>
    <w:p w14:paraId="23278563" w14:textId="77777777" w:rsidR="0027650C" w:rsidRPr="0027650C" w:rsidRDefault="0027650C" w:rsidP="0027650C">
      <w:pPr>
        <w:widowControl w:val="0"/>
        <w:autoSpaceDE w:val="0"/>
        <w:autoSpaceDN w:val="0"/>
        <w:adjustRightInd w:val="0"/>
        <w:spacing w:line="240" w:lineRule="auto"/>
        <w:ind w:left="480" w:hanging="480"/>
        <w:rPr>
          <w:rFonts w:ascii="Times New Roman" w:hAnsi="Times New Roman"/>
          <w:noProof/>
          <w:sz w:val="24"/>
          <w:szCs w:val="24"/>
        </w:rPr>
      </w:pPr>
      <w:r w:rsidRPr="0027650C">
        <w:rPr>
          <w:rFonts w:ascii="Times New Roman" w:hAnsi="Times New Roman"/>
          <w:noProof/>
          <w:sz w:val="24"/>
          <w:szCs w:val="24"/>
        </w:rPr>
        <w:t>Rutkowska, M., Owczarek, A., Kolodziejczyk-Czepas, J., Michel, P., Piotrowska, D.G., Kapusta, P., Nowak, P., Olszewska, M.A., 2019. Identification of bioactivity markers of Sorbus domestica leaves in chromatographic, spectroscopic and biological capacity tests: Application for the quality control. Phytochem. Lett. 30, 278–287. https://doi.org/10.1016/j.phytol.2019.02.004</w:t>
      </w:r>
    </w:p>
    <w:p w14:paraId="3E34E36F" w14:textId="77777777" w:rsidR="0027650C" w:rsidRPr="0027650C" w:rsidRDefault="0027650C" w:rsidP="0027650C">
      <w:pPr>
        <w:widowControl w:val="0"/>
        <w:autoSpaceDE w:val="0"/>
        <w:autoSpaceDN w:val="0"/>
        <w:adjustRightInd w:val="0"/>
        <w:spacing w:line="240" w:lineRule="auto"/>
        <w:ind w:left="480" w:hanging="480"/>
        <w:rPr>
          <w:rFonts w:ascii="Times New Roman" w:hAnsi="Times New Roman"/>
          <w:noProof/>
          <w:sz w:val="24"/>
          <w:szCs w:val="24"/>
        </w:rPr>
      </w:pPr>
      <w:r w:rsidRPr="0027650C">
        <w:rPr>
          <w:rFonts w:ascii="Times New Roman" w:hAnsi="Times New Roman"/>
          <w:noProof/>
          <w:sz w:val="24"/>
          <w:szCs w:val="24"/>
        </w:rPr>
        <w:t>Santo, A., Zhu, H., Li, Y.R., 2016. Free Radicals: From Health to Disease. React. Oxyg. Species 5, 107–118. https://doi.org/10.20455/ros.2016.847</w:t>
      </w:r>
    </w:p>
    <w:p w14:paraId="0E05E335" w14:textId="77777777" w:rsidR="0027650C" w:rsidRPr="0027650C" w:rsidRDefault="0027650C" w:rsidP="0027650C">
      <w:pPr>
        <w:widowControl w:val="0"/>
        <w:autoSpaceDE w:val="0"/>
        <w:autoSpaceDN w:val="0"/>
        <w:adjustRightInd w:val="0"/>
        <w:spacing w:line="240" w:lineRule="auto"/>
        <w:ind w:left="480" w:hanging="480"/>
        <w:rPr>
          <w:rFonts w:ascii="Times New Roman" w:hAnsi="Times New Roman"/>
          <w:noProof/>
          <w:sz w:val="24"/>
          <w:szCs w:val="24"/>
        </w:rPr>
      </w:pPr>
      <w:r w:rsidRPr="0027650C">
        <w:rPr>
          <w:rFonts w:ascii="Times New Roman" w:hAnsi="Times New Roman"/>
          <w:noProof/>
          <w:sz w:val="24"/>
          <w:szCs w:val="24"/>
        </w:rPr>
        <w:t>Shewamene, Z., Dune, T., Smith, C.A., 2020. Use of traditional and complementary medicine for maternal health and wellbeing by African migrant women in Australia: a mixed method study. BMC Complement. Med. Ther. 20, 60. https://doi.org/10.1186/s12906-020-2852-6</w:t>
      </w:r>
    </w:p>
    <w:p w14:paraId="12EA1F7B" w14:textId="77777777" w:rsidR="0027650C" w:rsidRPr="0027650C" w:rsidRDefault="0027650C" w:rsidP="0027650C">
      <w:pPr>
        <w:widowControl w:val="0"/>
        <w:autoSpaceDE w:val="0"/>
        <w:autoSpaceDN w:val="0"/>
        <w:adjustRightInd w:val="0"/>
        <w:spacing w:line="240" w:lineRule="auto"/>
        <w:ind w:left="480" w:hanging="480"/>
        <w:rPr>
          <w:rFonts w:ascii="Times New Roman" w:hAnsi="Times New Roman"/>
          <w:noProof/>
          <w:sz w:val="24"/>
          <w:szCs w:val="24"/>
        </w:rPr>
      </w:pPr>
      <w:r w:rsidRPr="0027650C">
        <w:rPr>
          <w:rFonts w:ascii="Times New Roman" w:hAnsi="Times New Roman"/>
          <w:noProof/>
          <w:sz w:val="24"/>
          <w:szCs w:val="24"/>
        </w:rPr>
        <w:t>Singh, K., Bhori, M., Kasu, Y.A., Bhat, G., Marar, T., 2018. Antioxidants as precision weapons in war against cancer chemotherapy induced toxicity – Exploring the armoury of obscurity. Saudi Pharm. J. 26, 177–190. https://doi.org/10.1016/j.jsps.2017.12.013</w:t>
      </w:r>
    </w:p>
    <w:p w14:paraId="3AC66024" w14:textId="77777777" w:rsidR="0027650C" w:rsidRPr="0027650C" w:rsidRDefault="0027650C" w:rsidP="0027650C">
      <w:pPr>
        <w:widowControl w:val="0"/>
        <w:autoSpaceDE w:val="0"/>
        <w:autoSpaceDN w:val="0"/>
        <w:adjustRightInd w:val="0"/>
        <w:spacing w:line="240" w:lineRule="auto"/>
        <w:ind w:left="480" w:hanging="480"/>
        <w:rPr>
          <w:rFonts w:ascii="Times New Roman" w:hAnsi="Times New Roman"/>
          <w:noProof/>
          <w:sz w:val="24"/>
          <w:szCs w:val="24"/>
        </w:rPr>
      </w:pPr>
      <w:r w:rsidRPr="0027650C">
        <w:rPr>
          <w:rFonts w:ascii="Times New Roman" w:hAnsi="Times New Roman"/>
          <w:noProof/>
          <w:sz w:val="24"/>
          <w:szCs w:val="24"/>
        </w:rPr>
        <w:t>Toyokuni, S., 2008. Molecular mechanisms of oxidative stress-induced carcinogenesis : from epidemiology to oIUMB xygenomics. IUBMB Life 60, 441–447. https://doi.org/10.1002/iub.61</w:t>
      </w:r>
    </w:p>
    <w:p w14:paraId="6763103B" w14:textId="77777777" w:rsidR="0027650C" w:rsidRPr="0027650C" w:rsidRDefault="0027650C" w:rsidP="0027650C">
      <w:pPr>
        <w:widowControl w:val="0"/>
        <w:autoSpaceDE w:val="0"/>
        <w:autoSpaceDN w:val="0"/>
        <w:adjustRightInd w:val="0"/>
        <w:spacing w:line="240" w:lineRule="auto"/>
        <w:ind w:left="480" w:hanging="480"/>
        <w:rPr>
          <w:rFonts w:ascii="Times New Roman" w:hAnsi="Times New Roman"/>
          <w:noProof/>
          <w:sz w:val="24"/>
          <w:szCs w:val="24"/>
        </w:rPr>
      </w:pPr>
      <w:r w:rsidRPr="0027650C">
        <w:rPr>
          <w:rFonts w:ascii="Times New Roman" w:hAnsi="Times New Roman"/>
          <w:noProof/>
          <w:sz w:val="24"/>
          <w:szCs w:val="24"/>
        </w:rPr>
        <w:t>Toyokuni, S., Tanaka, T., Kawaguchi, W., Lai Fang, N.R., Ozeki, M., Akatsuka, S., Hiai, H., Aruoma, O.I., Bahorun, T., 2003. Effects of the phenolic contents of Mauritian endemic plant extracts on promoter activities of antioxidant enzymes. Free Radic. Res. 37, 1215–1224. https://doi.org/10.1080/10715760310001598150</w:t>
      </w:r>
    </w:p>
    <w:p w14:paraId="5E728864" w14:textId="77777777" w:rsidR="0027650C" w:rsidRPr="0027650C" w:rsidRDefault="0027650C" w:rsidP="0027650C">
      <w:pPr>
        <w:widowControl w:val="0"/>
        <w:autoSpaceDE w:val="0"/>
        <w:autoSpaceDN w:val="0"/>
        <w:adjustRightInd w:val="0"/>
        <w:spacing w:line="240" w:lineRule="auto"/>
        <w:ind w:left="480" w:hanging="480"/>
        <w:rPr>
          <w:rFonts w:ascii="Times New Roman" w:hAnsi="Times New Roman"/>
          <w:noProof/>
          <w:sz w:val="24"/>
          <w:szCs w:val="24"/>
        </w:rPr>
      </w:pPr>
      <w:r w:rsidRPr="0027650C">
        <w:rPr>
          <w:rFonts w:ascii="Times New Roman" w:hAnsi="Times New Roman"/>
          <w:noProof/>
          <w:sz w:val="24"/>
          <w:szCs w:val="24"/>
        </w:rPr>
        <w:t>Van Wyk, B.-E., 2011. The potential of South African plants in the development of new medicinal products. South African J. Bot. 77, 812–829. https://doi.org/10.1016/j.sajb.2011.08.011</w:t>
      </w:r>
    </w:p>
    <w:p w14:paraId="6AE73FD0" w14:textId="77777777" w:rsidR="0027650C" w:rsidRPr="0027650C" w:rsidRDefault="0027650C" w:rsidP="0027650C">
      <w:pPr>
        <w:widowControl w:val="0"/>
        <w:autoSpaceDE w:val="0"/>
        <w:autoSpaceDN w:val="0"/>
        <w:adjustRightInd w:val="0"/>
        <w:spacing w:line="240" w:lineRule="auto"/>
        <w:ind w:left="480" w:hanging="480"/>
        <w:rPr>
          <w:rFonts w:ascii="Times New Roman" w:hAnsi="Times New Roman"/>
          <w:noProof/>
          <w:sz w:val="24"/>
          <w:szCs w:val="24"/>
        </w:rPr>
      </w:pPr>
      <w:r w:rsidRPr="0027650C">
        <w:rPr>
          <w:rFonts w:ascii="Times New Roman" w:hAnsi="Times New Roman"/>
          <w:noProof/>
          <w:sz w:val="24"/>
          <w:szCs w:val="24"/>
        </w:rPr>
        <w:t>Vázquez, C., Orlova, M., Verzura, M.A., Minatta, J.N., Scibona, P., Jáuregui, E.G., Díaz de Arce, H., Pallotta, M.G., Belloso, W.H., 2019. Severe toxicity in adult patients with lung cancer under treatment with pemetrexed: a prospective cohort study. J. Chemother. 31, 95–104. https://doi.org/10.1080/1120009X.2019.1572287</w:t>
      </w:r>
    </w:p>
    <w:p w14:paraId="44880673" w14:textId="77777777" w:rsidR="0027650C" w:rsidRPr="0027650C" w:rsidRDefault="0027650C" w:rsidP="0027650C">
      <w:pPr>
        <w:widowControl w:val="0"/>
        <w:autoSpaceDE w:val="0"/>
        <w:autoSpaceDN w:val="0"/>
        <w:adjustRightInd w:val="0"/>
        <w:spacing w:line="240" w:lineRule="auto"/>
        <w:ind w:left="480" w:hanging="480"/>
        <w:rPr>
          <w:rFonts w:ascii="Times New Roman" w:hAnsi="Times New Roman"/>
          <w:noProof/>
          <w:sz w:val="24"/>
          <w:szCs w:val="24"/>
        </w:rPr>
      </w:pPr>
      <w:r w:rsidRPr="0027650C">
        <w:rPr>
          <w:rFonts w:ascii="Times New Roman" w:hAnsi="Times New Roman"/>
          <w:noProof/>
          <w:sz w:val="24"/>
          <w:szCs w:val="24"/>
        </w:rPr>
        <w:t xml:space="preserve">White, K.A., Grillo-Hill, B.K., Barber, D.L., 2017. Cancer cell behaviors mediated by </w:t>
      </w:r>
      <w:r w:rsidRPr="0027650C">
        <w:rPr>
          <w:rFonts w:ascii="Times New Roman" w:hAnsi="Times New Roman"/>
          <w:noProof/>
          <w:sz w:val="24"/>
          <w:szCs w:val="24"/>
        </w:rPr>
        <w:lastRenderedPageBreak/>
        <w:t>dysregulated pH dynamics at a glance. J. Cell Sci. 130, 663–669. https://doi.org/10.1242/jcs.195297</w:t>
      </w:r>
    </w:p>
    <w:p w14:paraId="316C353B" w14:textId="77777777" w:rsidR="0027650C" w:rsidRPr="0027650C" w:rsidRDefault="0027650C" w:rsidP="0027650C">
      <w:pPr>
        <w:widowControl w:val="0"/>
        <w:autoSpaceDE w:val="0"/>
        <w:autoSpaceDN w:val="0"/>
        <w:adjustRightInd w:val="0"/>
        <w:spacing w:line="240" w:lineRule="auto"/>
        <w:ind w:left="480" w:hanging="480"/>
        <w:rPr>
          <w:rFonts w:ascii="Times New Roman" w:hAnsi="Times New Roman"/>
          <w:noProof/>
          <w:sz w:val="24"/>
          <w:szCs w:val="24"/>
        </w:rPr>
      </w:pPr>
      <w:r w:rsidRPr="0027650C">
        <w:rPr>
          <w:rFonts w:ascii="Times New Roman" w:hAnsi="Times New Roman"/>
          <w:noProof/>
          <w:sz w:val="24"/>
          <w:szCs w:val="24"/>
        </w:rPr>
        <w:t>Willis, K.J., 2017. State of the World’s Plants 2017. Report. Royal Botanic Gardens, Kew.</w:t>
      </w:r>
    </w:p>
    <w:p w14:paraId="1F42EEE7" w14:textId="77777777" w:rsidR="0027650C" w:rsidRPr="0027650C" w:rsidRDefault="0027650C" w:rsidP="0027650C">
      <w:pPr>
        <w:widowControl w:val="0"/>
        <w:autoSpaceDE w:val="0"/>
        <w:autoSpaceDN w:val="0"/>
        <w:adjustRightInd w:val="0"/>
        <w:spacing w:line="240" w:lineRule="auto"/>
        <w:ind w:left="480" w:hanging="480"/>
        <w:rPr>
          <w:rFonts w:ascii="Times New Roman" w:hAnsi="Times New Roman"/>
          <w:noProof/>
          <w:sz w:val="24"/>
          <w:szCs w:val="24"/>
        </w:rPr>
      </w:pPr>
      <w:r w:rsidRPr="0027650C">
        <w:rPr>
          <w:rFonts w:ascii="Times New Roman" w:hAnsi="Times New Roman"/>
          <w:noProof/>
          <w:sz w:val="24"/>
          <w:szCs w:val="24"/>
        </w:rPr>
        <w:t>World Health Organisation, 2018. Global cancer data, International Agency for Research on cancer.</w:t>
      </w:r>
    </w:p>
    <w:p w14:paraId="65D3DEEB" w14:textId="77777777" w:rsidR="0027650C" w:rsidRPr="0027650C" w:rsidRDefault="0027650C" w:rsidP="0027650C">
      <w:pPr>
        <w:widowControl w:val="0"/>
        <w:autoSpaceDE w:val="0"/>
        <w:autoSpaceDN w:val="0"/>
        <w:adjustRightInd w:val="0"/>
        <w:spacing w:line="240" w:lineRule="auto"/>
        <w:ind w:left="480" w:hanging="480"/>
        <w:rPr>
          <w:rFonts w:ascii="Times New Roman" w:hAnsi="Times New Roman"/>
          <w:noProof/>
          <w:sz w:val="24"/>
          <w:szCs w:val="24"/>
        </w:rPr>
      </w:pPr>
      <w:r w:rsidRPr="0027650C">
        <w:rPr>
          <w:rFonts w:ascii="Times New Roman" w:hAnsi="Times New Roman"/>
          <w:noProof/>
          <w:sz w:val="24"/>
          <w:szCs w:val="24"/>
        </w:rPr>
        <w:t>Yakubu, O.F., Adebayo, A.H., Dokunmu, T.M., Zhang, Y.-J., Iweala, E.E.J., 2019. Cytotoxic Effects of Compounds Isolated from Ricinodendron heudelotii. Molecules 24, 145. https://doi.org/10.3390/molecules24010145</w:t>
      </w:r>
    </w:p>
    <w:p w14:paraId="0C1BD6C2" w14:textId="77777777" w:rsidR="0027650C" w:rsidRPr="0027650C" w:rsidRDefault="0027650C" w:rsidP="0027650C">
      <w:pPr>
        <w:widowControl w:val="0"/>
        <w:autoSpaceDE w:val="0"/>
        <w:autoSpaceDN w:val="0"/>
        <w:adjustRightInd w:val="0"/>
        <w:spacing w:line="240" w:lineRule="auto"/>
        <w:ind w:left="480" w:hanging="480"/>
        <w:rPr>
          <w:rFonts w:ascii="Times New Roman" w:hAnsi="Times New Roman"/>
          <w:noProof/>
          <w:sz w:val="24"/>
          <w:szCs w:val="24"/>
        </w:rPr>
      </w:pPr>
      <w:r w:rsidRPr="0027650C">
        <w:rPr>
          <w:rFonts w:ascii="Times New Roman" w:hAnsi="Times New Roman"/>
          <w:noProof/>
          <w:sz w:val="24"/>
          <w:szCs w:val="24"/>
        </w:rPr>
        <w:t>Yang, L., Wen, K.S., Ruan, X., Zhao, Y.X., Wei, F., Wang, Q., 2018. Response of Plant Secondary Metabolites to Environmental Factors. Molecules 23, 762. https://doi.org/10.3390/molecules23040762</w:t>
      </w:r>
    </w:p>
    <w:p w14:paraId="230A8DD8" w14:textId="77777777" w:rsidR="0027650C" w:rsidRPr="0027650C" w:rsidRDefault="0027650C" w:rsidP="0027650C">
      <w:pPr>
        <w:widowControl w:val="0"/>
        <w:autoSpaceDE w:val="0"/>
        <w:autoSpaceDN w:val="0"/>
        <w:adjustRightInd w:val="0"/>
        <w:spacing w:line="240" w:lineRule="auto"/>
        <w:ind w:left="480" w:hanging="480"/>
        <w:rPr>
          <w:rFonts w:ascii="Times New Roman" w:hAnsi="Times New Roman"/>
          <w:noProof/>
          <w:sz w:val="24"/>
        </w:rPr>
      </w:pPr>
      <w:r w:rsidRPr="0027650C">
        <w:rPr>
          <w:rFonts w:ascii="Times New Roman" w:hAnsi="Times New Roman"/>
          <w:noProof/>
          <w:sz w:val="24"/>
          <w:szCs w:val="24"/>
        </w:rPr>
        <w:t>Zhou, L., Elias, R.J., 2012. Factors Influencing the Antioxidant and Pro-Oxidant Activity of Polyphenols in Oil-in-Water Emulsions. J. Agric. Food Chem. 60, 2906–2915. https://doi.org/10.1021/jf204939h</w:t>
      </w:r>
    </w:p>
    <w:p w14:paraId="309193DB" w14:textId="77777777" w:rsidR="00D50B76" w:rsidRDefault="00D50B76" w:rsidP="00C15F5B">
      <w:pPr>
        <w:spacing w:line="276" w:lineRule="auto"/>
        <w:jc w:val="both"/>
        <w:rPr>
          <w:rFonts w:ascii="Times New Roman" w:hAnsi="Times New Roman"/>
          <w:sz w:val="24"/>
          <w:szCs w:val="24"/>
        </w:rPr>
      </w:pPr>
      <w:r>
        <w:rPr>
          <w:rFonts w:ascii="Times New Roman" w:hAnsi="Times New Roman"/>
          <w:sz w:val="24"/>
          <w:szCs w:val="24"/>
        </w:rPr>
        <w:fldChar w:fldCharType="end"/>
      </w:r>
    </w:p>
    <w:sectPr w:rsidR="00D50B7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371A50" w14:textId="77777777" w:rsidR="00AC4D64" w:rsidRDefault="00AC4D64" w:rsidP="004D33EE">
      <w:pPr>
        <w:spacing w:after="0" w:line="240" w:lineRule="auto"/>
      </w:pPr>
      <w:r>
        <w:separator/>
      </w:r>
    </w:p>
  </w:endnote>
  <w:endnote w:type="continuationSeparator" w:id="0">
    <w:p w14:paraId="6AD97555" w14:textId="77777777" w:rsidR="00AC4D64" w:rsidRDefault="00AC4D64" w:rsidP="004D3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Lucida Grande">
    <w:altName w:val="Lucida Grande"/>
    <w:panose1 w:val="020B0600040502020204"/>
    <w:charset w:val="00"/>
    <w:family w:val="auto"/>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roman"/>
    <w:notTrueType/>
    <w:pitch w:val="default"/>
  </w:font>
  <w:font w:name="Yu Mincho">
    <w:panose1 w:val="020204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3740437"/>
      <w:docPartObj>
        <w:docPartGallery w:val="Page Numbers (Bottom of Page)"/>
        <w:docPartUnique/>
      </w:docPartObj>
    </w:sdtPr>
    <w:sdtEndPr>
      <w:rPr>
        <w:noProof/>
      </w:rPr>
    </w:sdtEndPr>
    <w:sdtContent>
      <w:p w14:paraId="02CBCF6A" w14:textId="538D9801" w:rsidR="00707233" w:rsidRDefault="00707233">
        <w:pPr>
          <w:pStyle w:val="Footer"/>
          <w:jc w:val="right"/>
        </w:pPr>
        <w:r>
          <w:fldChar w:fldCharType="begin"/>
        </w:r>
        <w:r>
          <w:instrText xml:space="preserve"> PAGE   \* MERGEFORMAT </w:instrText>
        </w:r>
        <w:r>
          <w:fldChar w:fldCharType="separate"/>
        </w:r>
        <w:r w:rsidR="00A558B7">
          <w:rPr>
            <w:noProof/>
          </w:rPr>
          <w:t>1</w:t>
        </w:r>
        <w:r>
          <w:rPr>
            <w:noProof/>
          </w:rPr>
          <w:fldChar w:fldCharType="end"/>
        </w:r>
      </w:p>
    </w:sdtContent>
  </w:sdt>
  <w:p w14:paraId="5FE0D7F8" w14:textId="77777777" w:rsidR="00707233" w:rsidRDefault="007072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15DB6A" w14:textId="77777777" w:rsidR="00AC4D64" w:rsidRDefault="00AC4D64" w:rsidP="004D33EE">
      <w:pPr>
        <w:spacing w:after="0" w:line="240" w:lineRule="auto"/>
      </w:pPr>
      <w:r>
        <w:separator/>
      </w:r>
    </w:p>
  </w:footnote>
  <w:footnote w:type="continuationSeparator" w:id="0">
    <w:p w14:paraId="462DA84C" w14:textId="77777777" w:rsidR="00AC4D64" w:rsidRDefault="00AC4D64" w:rsidP="004D33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C02374"/>
    <w:multiLevelType w:val="hybridMultilevel"/>
    <w:tmpl w:val="7F8A71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A28045C"/>
    <w:multiLevelType w:val="multilevel"/>
    <w:tmpl w:val="FDE28A8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F7D05DD"/>
    <w:multiLevelType w:val="hybridMultilevel"/>
    <w:tmpl w:val="2D848E0E"/>
    <w:lvl w:ilvl="0" w:tplc="420C2DB4">
      <w:start w:val="1"/>
      <w:numFmt w:val="bullet"/>
      <w:lvlText w:val="•"/>
      <w:lvlJc w:val="left"/>
      <w:pPr>
        <w:tabs>
          <w:tab w:val="num" w:pos="720"/>
        </w:tabs>
        <w:ind w:left="720" w:hanging="360"/>
      </w:pPr>
      <w:rPr>
        <w:rFonts w:ascii="Arial" w:hAnsi="Arial" w:hint="default"/>
      </w:rPr>
    </w:lvl>
    <w:lvl w:ilvl="1" w:tplc="B4943E96" w:tentative="1">
      <w:start w:val="1"/>
      <w:numFmt w:val="bullet"/>
      <w:lvlText w:val="•"/>
      <w:lvlJc w:val="left"/>
      <w:pPr>
        <w:tabs>
          <w:tab w:val="num" w:pos="1440"/>
        </w:tabs>
        <w:ind w:left="1440" w:hanging="360"/>
      </w:pPr>
      <w:rPr>
        <w:rFonts w:ascii="Arial" w:hAnsi="Arial" w:hint="default"/>
      </w:rPr>
    </w:lvl>
    <w:lvl w:ilvl="2" w:tplc="8EDC12D8" w:tentative="1">
      <w:start w:val="1"/>
      <w:numFmt w:val="bullet"/>
      <w:lvlText w:val="•"/>
      <w:lvlJc w:val="left"/>
      <w:pPr>
        <w:tabs>
          <w:tab w:val="num" w:pos="2160"/>
        </w:tabs>
        <w:ind w:left="2160" w:hanging="360"/>
      </w:pPr>
      <w:rPr>
        <w:rFonts w:ascii="Arial" w:hAnsi="Arial" w:hint="default"/>
      </w:rPr>
    </w:lvl>
    <w:lvl w:ilvl="3" w:tplc="352C5518" w:tentative="1">
      <w:start w:val="1"/>
      <w:numFmt w:val="bullet"/>
      <w:lvlText w:val="•"/>
      <w:lvlJc w:val="left"/>
      <w:pPr>
        <w:tabs>
          <w:tab w:val="num" w:pos="2880"/>
        </w:tabs>
        <w:ind w:left="2880" w:hanging="360"/>
      </w:pPr>
      <w:rPr>
        <w:rFonts w:ascii="Arial" w:hAnsi="Arial" w:hint="default"/>
      </w:rPr>
    </w:lvl>
    <w:lvl w:ilvl="4" w:tplc="0E72AB8E" w:tentative="1">
      <w:start w:val="1"/>
      <w:numFmt w:val="bullet"/>
      <w:lvlText w:val="•"/>
      <w:lvlJc w:val="left"/>
      <w:pPr>
        <w:tabs>
          <w:tab w:val="num" w:pos="3600"/>
        </w:tabs>
        <w:ind w:left="3600" w:hanging="360"/>
      </w:pPr>
      <w:rPr>
        <w:rFonts w:ascii="Arial" w:hAnsi="Arial" w:hint="default"/>
      </w:rPr>
    </w:lvl>
    <w:lvl w:ilvl="5" w:tplc="E4F2C91E" w:tentative="1">
      <w:start w:val="1"/>
      <w:numFmt w:val="bullet"/>
      <w:lvlText w:val="•"/>
      <w:lvlJc w:val="left"/>
      <w:pPr>
        <w:tabs>
          <w:tab w:val="num" w:pos="4320"/>
        </w:tabs>
        <w:ind w:left="4320" w:hanging="360"/>
      </w:pPr>
      <w:rPr>
        <w:rFonts w:ascii="Arial" w:hAnsi="Arial" w:hint="default"/>
      </w:rPr>
    </w:lvl>
    <w:lvl w:ilvl="6" w:tplc="0F604A0C" w:tentative="1">
      <w:start w:val="1"/>
      <w:numFmt w:val="bullet"/>
      <w:lvlText w:val="•"/>
      <w:lvlJc w:val="left"/>
      <w:pPr>
        <w:tabs>
          <w:tab w:val="num" w:pos="5040"/>
        </w:tabs>
        <w:ind w:left="5040" w:hanging="360"/>
      </w:pPr>
      <w:rPr>
        <w:rFonts w:ascii="Arial" w:hAnsi="Arial" w:hint="default"/>
      </w:rPr>
    </w:lvl>
    <w:lvl w:ilvl="7" w:tplc="FAAE8AF2" w:tentative="1">
      <w:start w:val="1"/>
      <w:numFmt w:val="bullet"/>
      <w:lvlText w:val="•"/>
      <w:lvlJc w:val="left"/>
      <w:pPr>
        <w:tabs>
          <w:tab w:val="num" w:pos="5760"/>
        </w:tabs>
        <w:ind w:left="5760" w:hanging="360"/>
      </w:pPr>
      <w:rPr>
        <w:rFonts w:ascii="Arial" w:hAnsi="Arial" w:hint="default"/>
      </w:rPr>
    </w:lvl>
    <w:lvl w:ilvl="8" w:tplc="DED2C68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3A75C91"/>
    <w:multiLevelType w:val="multilevel"/>
    <w:tmpl w:val="04B278E0"/>
    <w:lvl w:ilvl="0">
      <w:start w:val="3"/>
      <w:numFmt w:val="decimal"/>
      <w:lvlText w:val="%1."/>
      <w:lvlJc w:val="left"/>
      <w:pPr>
        <w:ind w:left="360" w:hanging="360"/>
      </w:pPr>
      <w:rPr>
        <w:rFonts w:cstheme="minorBidi" w:hint="default"/>
        <w:i/>
        <w:color w:val="00B050"/>
      </w:rPr>
    </w:lvl>
    <w:lvl w:ilvl="1">
      <w:start w:val="4"/>
      <w:numFmt w:val="decimal"/>
      <w:lvlText w:val="%1.%2."/>
      <w:lvlJc w:val="left"/>
      <w:pPr>
        <w:ind w:left="360" w:hanging="360"/>
      </w:pPr>
      <w:rPr>
        <w:rFonts w:cstheme="minorBidi" w:hint="default"/>
        <w:i/>
        <w:color w:val="00B050"/>
      </w:rPr>
    </w:lvl>
    <w:lvl w:ilvl="2">
      <w:start w:val="1"/>
      <w:numFmt w:val="decimal"/>
      <w:lvlText w:val="%1.%2.%3."/>
      <w:lvlJc w:val="left"/>
      <w:pPr>
        <w:ind w:left="720" w:hanging="720"/>
      </w:pPr>
      <w:rPr>
        <w:rFonts w:cstheme="minorBidi" w:hint="default"/>
        <w:i/>
        <w:color w:val="00B050"/>
      </w:rPr>
    </w:lvl>
    <w:lvl w:ilvl="3">
      <w:start w:val="1"/>
      <w:numFmt w:val="decimal"/>
      <w:lvlText w:val="%1.%2.%3.%4."/>
      <w:lvlJc w:val="left"/>
      <w:pPr>
        <w:ind w:left="720" w:hanging="720"/>
      </w:pPr>
      <w:rPr>
        <w:rFonts w:cstheme="minorBidi" w:hint="default"/>
        <w:i/>
        <w:color w:val="00B050"/>
      </w:rPr>
    </w:lvl>
    <w:lvl w:ilvl="4">
      <w:start w:val="1"/>
      <w:numFmt w:val="decimal"/>
      <w:lvlText w:val="%1.%2.%3.%4.%5."/>
      <w:lvlJc w:val="left"/>
      <w:pPr>
        <w:ind w:left="1080" w:hanging="1080"/>
      </w:pPr>
      <w:rPr>
        <w:rFonts w:cstheme="minorBidi" w:hint="default"/>
        <w:i/>
        <w:color w:val="00B050"/>
      </w:rPr>
    </w:lvl>
    <w:lvl w:ilvl="5">
      <w:start w:val="1"/>
      <w:numFmt w:val="decimal"/>
      <w:lvlText w:val="%1.%2.%3.%4.%5.%6."/>
      <w:lvlJc w:val="left"/>
      <w:pPr>
        <w:ind w:left="1080" w:hanging="1080"/>
      </w:pPr>
      <w:rPr>
        <w:rFonts w:cstheme="minorBidi" w:hint="default"/>
        <w:i/>
        <w:color w:val="00B050"/>
      </w:rPr>
    </w:lvl>
    <w:lvl w:ilvl="6">
      <w:start w:val="1"/>
      <w:numFmt w:val="decimal"/>
      <w:lvlText w:val="%1.%2.%3.%4.%5.%6.%7."/>
      <w:lvlJc w:val="left"/>
      <w:pPr>
        <w:ind w:left="1440" w:hanging="1440"/>
      </w:pPr>
      <w:rPr>
        <w:rFonts w:cstheme="minorBidi" w:hint="default"/>
        <w:i/>
        <w:color w:val="00B050"/>
      </w:rPr>
    </w:lvl>
    <w:lvl w:ilvl="7">
      <w:start w:val="1"/>
      <w:numFmt w:val="decimal"/>
      <w:lvlText w:val="%1.%2.%3.%4.%5.%6.%7.%8."/>
      <w:lvlJc w:val="left"/>
      <w:pPr>
        <w:ind w:left="1440" w:hanging="1440"/>
      </w:pPr>
      <w:rPr>
        <w:rFonts w:cstheme="minorBidi" w:hint="default"/>
        <w:i/>
        <w:color w:val="00B050"/>
      </w:rPr>
    </w:lvl>
    <w:lvl w:ilvl="8">
      <w:start w:val="1"/>
      <w:numFmt w:val="decimal"/>
      <w:lvlText w:val="%1.%2.%3.%4.%5.%6.%7.%8.%9."/>
      <w:lvlJc w:val="left"/>
      <w:pPr>
        <w:ind w:left="1800" w:hanging="1800"/>
      </w:pPr>
      <w:rPr>
        <w:rFonts w:cstheme="minorBidi" w:hint="default"/>
        <w:i/>
        <w:color w:val="00B050"/>
      </w:rPr>
    </w:lvl>
  </w:abstractNum>
  <w:abstractNum w:abstractNumId="4" w15:restartNumberingAfterBreak="0">
    <w:nsid w:val="33CF44A1"/>
    <w:multiLevelType w:val="hybridMultilevel"/>
    <w:tmpl w:val="2BA489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9122B02"/>
    <w:multiLevelType w:val="hybridMultilevel"/>
    <w:tmpl w:val="1F36D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8B740B"/>
    <w:multiLevelType w:val="hybridMultilevel"/>
    <w:tmpl w:val="1A467512"/>
    <w:lvl w:ilvl="0" w:tplc="CE066512">
      <w:start w:val="1"/>
      <w:numFmt w:val="bullet"/>
      <w:lvlText w:val="•"/>
      <w:lvlJc w:val="left"/>
      <w:pPr>
        <w:tabs>
          <w:tab w:val="num" w:pos="720"/>
        </w:tabs>
        <w:ind w:left="720" w:hanging="360"/>
      </w:pPr>
      <w:rPr>
        <w:rFonts w:ascii="Arial" w:hAnsi="Arial" w:hint="default"/>
      </w:rPr>
    </w:lvl>
    <w:lvl w:ilvl="1" w:tplc="DA36E820" w:tentative="1">
      <w:start w:val="1"/>
      <w:numFmt w:val="bullet"/>
      <w:lvlText w:val="•"/>
      <w:lvlJc w:val="left"/>
      <w:pPr>
        <w:tabs>
          <w:tab w:val="num" w:pos="1440"/>
        </w:tabs>
        <w:ind w:left="1440" w:hanging="360"/>
      </w:pPr>
      <w:rPr>
        <w:rFonts w:ascii="Arial" w:hAnsi="Arial" w:hint="default"/>
      </w:rPr>
    </w:lvl>
    <w:lvl w:ilvl="2" w:tplc="D2E0773C" w:tentative="1">
      <w:start w:val="1"/>
      <w:numFmt w:val="bullet"/>
      <w:lvlText w:val="•"/>
      <w:lvlJc w:val="left"/>
      <w:pPr>
        <w:tabs>
          <w:tab w:val="num" w:pos="2160"/>
        </w:tabs>
        <w:ind w:left="2160" w:hanging="360"/>
      </w:pPr>
      <w:rPr>
        <w:rFonts w:ascii="Arial" w:hAnsi="Arial" w:hint="default"/>
      </w:rPr>
    </w:lvl>
    <w:lvl w:ilvl="3" w:tplc="B9CAF0DA" w:tentative="1">
      <w:start w:val="1"/>
      <w:numFmt w:val="bullet"/>
      <w:lvlText w:val="•"/>
      <w:lvlJc w:val="left"/>
      <w:pPr>
        <w:tabs>
          <w:tab w:val="num" w:pos="2880"/>
        </w:tabs>
        <w:ind w:left="2880" w:hanging="360"/>
      </w:pPr>
      <w:rPr>
        <w:rFonts w:ascii="Arial" w:hAnsi="Arial" w:hint="default"/>
      </w:rPr>
    </w:lvl>
    <w:lvl w:ilvl="4" w:tplc="7C987A60" w:tentative="1">
      <w:start w:val="1"/>
      <w:numFmt w:val="bullet"/>
      <w:lvlText w:val="•"/>
      <w:lvlJc w:val="left"/>
      <w:pPr>
        <w:tabs>
          <w:tab w:val="num" w:pos="3600"/>
        </w:tabs>
        <w:ind w:left="3600" w:hanging="360"/>
      </w:pPr>
      <w:rPr>
        <w:rFonts w:ascii="Arial" w:hAnsi="Arial" w:hint="default"/>
      </w:rPr>
    </w:lvl>
    <w:lvl w:ilvl="5" w:tplc="1AEC11CE" w:tentative="1">
      <w:start w:val="1"/>
      <w:numFmt w:val="bullet"/>
      <w:lvlText w:val="•"/>
      <w:lvlJc w:val="left"/>
      <w:pPr>
        <w:tabs>
          <w:tab w:val="num" w:pos="4320"/>
        </w:tabs>
        <w:ind w:left="4320" w:hanging="360"/>
      </w:pPr>
      <w:rPr>
        <w:rFonts w:ascii="Arial" w:hAnsi="Arial" w:hint="default"/>
      </w:rPr>
    </w:lvl>
    <w:lvl w:ilvl="6" w:tplc="915CEDD4" w:tentative="1">
      <w:start w:val="1"/>
      <w:numFmt w:val="bullet"/>
      <w:lvlText w:val="•"/>
      <w:lvlJc w:val="left"/>
      <w:pPr>
        <w:tabs>
          <w:tab w:val="num" w:pos="5040"/>
        </w:tabs>
        <w:ind w:left="5040" w:hanging="360"/>
      </w:pPr>
      <w:rPr>
        <w:rFonts w:ascii="Arial" w:hAnsi="Arial" w:hint="default"/>
      </w:rPr>
    </w:lvl>
    <w:lvl w:ilvl="7" w:tplc="8B0CE874" w:tentative="1">
      <w:start w:val="1"/>
      <w:numFmt w:val="bullet"/>
      <w:lvlText w:val="•"/>
      <w:lvlJc w:val="left"/>
      <w:pPr>
        <w:tabs>
          <w:tab w:val="num" w:pos="5760"/>
        </w:tabs>
        <w:ind w:left="5760" w:hanging="360"/>
      </w:pPr>
      <w:rPr>
        <w:rFonts w:ascii="Arial" w:hAnsi="Arial" w:hint="default"/>
      </w:rPr>
    </w:lvl>
    <w:lvl w:ilvl="8" w:tplc="34307F9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EBD540A"/>
    <w:multiLevelType w:val="multilevel"/>
    <w:tmpl w:val="82C2B17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8" w15:restartNumberingAfterBreak="0">
    <w:nsid w:val="789B244B"/>
    <w:multiLevelType w:val="multilevel"/>
    <w:tmpl w:val="1818D47E"/>
    <w:lvl w:ilvl="0">
      <w:start w:val="2"/>
      <w:numFmt w:val="decimal"/>
      <w:lvlText w:val="%1."/>
      <w:lvlJc w:val="left"/>
      <w:pPr>
        <w:ind w:left="360" w:hanging="360"/>
      </w:pPr>
      <w:rPr>
        <w:rFonts w:eastAsiaTheme="minorHAnsi" w:hint="default"/>
      </w:rPr>
    </w:lvl>
    <w:lvl w:ilvl="1">
      <w:start w:val="6"/>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num w:numId="1">
    <w:abstractNumId w:val="5"/>
  </w:num>
  <w:num w:numId="2">
    <w:abstractNumId w:val="7"/>
  </w:num>
  <w:num w:numId="3">
    <w:abstractNumId w:val="8"/>
  </w:num>
  <w:num w:numId="4">
    <w:abstractNumId w:val="0"/>
  </w:num>
  <w:num w:numId="5">
    <w:abstractNumId w:val="4"/>
  </w:num>
  <w:num w:numId="6">
    <w:abstractNumId w:val="3"/>
  </w:num>
  <w:num w:numId="7">
    <w:abstractNumId w:val="2"/>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7"/>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Q3tjA3NbIwtzAwMDJQ0lEKTi0uzszPAykwMaoFAJt/Kz4tAAAA"/>
  </w:docVars>
  <w:rsids>
    <w:rsidRoot w:val="00B50B90"/>
    <w:rsid w:val="00003560"/>
    <w:rsid w:val="00003EB1"/>
    <w:rsid w:val="00006BDE"/>
    <w:rsid w:val="00007B50"/>
    <w:rsid w:val="00013880"/>
    <w:rsid w:val="00013CD8"/>
    <w:rsid w:val="0001434F"/>
    <w:rsid w:val="00015C7D"/>
    <w:rsid w:val="0002207C"/>
    <w:rsid w:val="00022F80"/>
    <w:rsid w:val="00023CDF"/>
    <w:rsid w:val="00026D2A"/>
    <w:rsid w:val="00032787"/>
    <w:rsid w:val="000333AA"/>
    <w:rsid w:val="00033492"/>
    <w:rsid w:val="0003655C"/>
    <w:rsid w:val="000375EF"/>
    <w:rsid w:val="000379B2"/>
    <w:rsid w:val="00042D93"/>
    <w:rsid w:val="00045505"/>
    <w:rsid w:val="00047A60"/>
    <w:rsid w:val="00051D70"/>
    <w:rsid w:val="00052C70"/>
    <w:rsid w:val="00053AE5"/>
    <w:rsid w:val="000541AC"/>
    <w:rsid w:val="000541ED"/>
    <w:rsid w:val="00054779"/>
    <w:rsid w:val="0005478B"/>
    <w:rsid w:val="00060DDB"/>
    <w:rsid w:val="00063680"/>
    <w:rsid w:val="00066835"/>
    <w:rsid w:val="00066EFB"/>
    <w:rsid w:val="0006731E"/>
    <w:rsid w:val="000728F8"/>
    <w:rsid w:val="00080424"/>
    <w:rsid w:val="00081C0A"/>
    <w:rsid w:val="00085683"/>
    <w:rsid w:val="00087C28"/>
    <w:rsid w:val="00090CBF"/>
    <w:rsid w:val="00091904"/>
    <w:rsid w:val="000926FB"/>
    <w:rsid w:val="00092B1B"/>
    <w:rsid w:val="0009387E"/>
    <w:rsid w:val="000A684F"/>
    <w:rsid w:val="000B1521"/>
    <w:rsid w:val="000B6979"/>
    <w:rsid w:val="000B6A83"/>
    <w:rsid w:val="000B7012"/>
    <w:rsid w:val="000C3B06"/>
    <w:rsid w:val="000C69A1"/>
    <w:rsid w:val="000C7F53"/>
    <w:rsid w:val="000D33C7"/>
    <w:rsid w:val="000D6D8C"/>
    <w:rsid w:val="000D7968"/>
    <w:rsid w:val="000E0E63"/>
    <w:rsid w:val="000E1FE6"/>
    <w:rsid w:val="000E3434"/>
    <w:rsid w:val="000E46D4"/>
    <w:rsid w:val="000E6741"/>
    <w:rsid w:val="000E695B"/>
    <w:rsid w:val="000F1560"/>
    <w:rsid w:val="000F4149"/>
    <w:rsid w:val="000F496B"/>
    <w:rsid w:val="000F4C91"/>
    <w:rsid w:val="000F4D78"/>
    <w:rsid w:val="000F6849"/>
    <w:rsid w:val="000F6A02"/>
    <w:rsid w:val="0010221F"/>
    <w:rsid w:val="00102691"/>
    <w:rsid w:val="00103E44"/>
    <w:rsid w:val="00103EAC"/>
    <w:rsid w:val="00107632"/>
    <w:rsid w:val="00115D2D"/>
    <w:rsid w:val="001174B5"/>
    <w:rsid w:val="00117859"/>
    <w:rsid w:val="00122999"/>
    <w:rsid w:val="00123853"/>
    <w:rsid w:val="00124AD6"/>
    <w:rsid w:val="0012684D"/>
    <w:rsid w:val="00127661"/>
    <w:rsid w:val="00132AFA"/>
    <w:rsid w:val="001336FD"/>
    <w:rsid w:val="00134DB6"/>
    <w:rsid w:val="00135092"/>
    <w:rsid w:val="00135770"/>
    <w:rsid w:val="00135CCB"/>
    <w:rsid w:val="00137994"/>
    <w:rsid w:val="00137D79"/>
    <w:rsid w:val="00140884"/>
    <w:rsid w:val="00141D96"/>
    <w:rsid w:val="00144DD5"/>
    <w:rsid w:val="00145A76"/>
    <w:rsid w:val="00151377"/>
    <w:rsid w:val="00151379"/>
    <w:rsid w:val="0015706E"/>
    <w:rsid w:val="00157B1F"/>
    <w:rsid w:val="00164121"/>
    <w:rsid w:val="001715EB"/>
    <w:rsid w:val="00173EF8"/>
    <w:rsid w:val="001758F6"/>
    <w:rsid w:val="00185E4E"/>
    <w:rsid w:val="001862A7"/>
    <w:rsid w:val="00187381"/>
    <w:rsid w:val="0019090A"/>
    <w:rsid w:val="00192F71"/>
    <w:rsid w:val="001960FC"/>
    <w:rsid w:val="00196CBA"/>
    <w:rsid w:val="00196FE7"/>
    <w:rsid w:val="001A3AF5"/>
    <w:rsid w:val="001A4AD6"/>
    <w:rsid w:val="001A4E52"/>
    <w:rsid w:val="001B1B62"/>
    <w:rsid w:val="001B3D89"/>
    <w:rsid w:val="001B44C5"/>
    <w:rsid w:val="001B5184"/>
    <w:rsid w:val="001C34D2"/>
    <w:rsid w:val="001C3964"/>
    <w:rsid w:val="001C7350"/>
    <w:rsid w:val="001D21D7"/>
    <w:rsid w:val="001D7955"/>
    <w:rsid w:val="001E0BD0"/>
    <w:rsid w:val="001E28E2"/>
    <w:rsid w:val="001E3615"/>
    <w:rsid w:val="001E38CB"/>
    <w:rsid w:val="001E608E"/>
    <w:rsid w:val="001E6E85"/>
    <w:rsid w:val="001E744F"/>
    <w:rsid w:val="001E7C17"/>
    <w:rsid w:val="001F0284"/>
    <w:rsid w:val="001F23B5"/>
    <w:rsid w:val="001F4789"/>
    <w:rsid w:val="001F78B5"/>
    <w:rsid w:val="002013FF"/>
    <w:rsid w:val="00210F90"/>
    <w:rsid w:val="00211E83"/>
    <w:rsid w:val="00213267"/>
    <w:rsid w:val="00213778"/>
    <w:rsid w:val="00214023"/>
    <w:rsid w:val="002142D5"/>
    <w:rsid w:val="00214614"/>
    <w:rsid w:val="00216144"/>
    <w:rsid w:val="002163EC"/>
    <w:rsid w:val="00224C46"/>
    <w:rsid w:val="00231D9D"/>
    <w:rsid w:val="002346C2"/>
    <w:rsid w:val="00237B69"/>
    <w:rsid w:val="002402B4"/>
    <w:rsid w:val="002408FC"/>
    <w:rsid w:val="0024155D"/>
    <w:rsid w:val="00242E36"/>
    <w:rsid w:val="00244DBF"/>
    <w:rsid w:val="0024616C"/>
    <w:rsid w:val="00246236"/>
    <w:rsid w:val="00252570"/>
    <w:rsid w:val="002526DA"/>
    <w:rsid w:val="002528F9"/>
    <w:rsid w:val="00257B0D"/>
    <w:rsid w:val="002608A1"/>
    <w:rsid w:val="00261C36"/>
    <w:rsid w:val="00262493"/>
    <w:rsid w:val="00262673"/>
    <w:rsid w:val="002706F6"/>
    <w:rsid w:val="00270A95"/>
    <w:rsid w:val="0027138C"/>
    <w:rsid w:val="00271E49"/>
    <w:rsid w:val="00273FDD"/>
    <w:rsid w:val="00274691"/>
    <w:rsid w:val="00275898"/>
    <w:rsid w:val="0027650C"/>
    <w:rsid w:val="00281275"/>
    <w:rsid w:val="002813CA"/>
    <w:rsid w:val="0028145E"/>
    <w:rsid w:val="00282EF9"/>
    <w:rsid w:val="00284256"/>
    <w:rsid w:val="00285AAB"/>
    <w:rsid w:val="00286124"/>
    <w:rsid w:val="0028799F"/>
    <w:rsid w:val="002925D6"/>
    <w:rsid w:val="00295D92"/>
    <w:rsid w:val="00296870"/>
    <w:rsid w:val="002A1CA4"/>
    <w:rsid w:val="002A6F28"/>
    <w:rsid w:val="002B2937"/>
    <w:rsid w:val="002B2FE0"/>
    <w:rsid w:val="002B7AEF"/>
    <w:rsid w:val="002C1390"/>
    <w:rsid w:val="002C2B71"/>
    <w:rsid w:val="002C3430"/>
    <w:rsid w:val="002D0A5C"/>
    <w:rsid w:val="002D1A5A"/>
    <w:rsid w:val="002E07BE"/>
    <w:rsid w:val="002E1F7F"/>
    <w:rsid w:val="002E3F97"/>
    <w:rsid w:val="002E55F2"/>
    <w:rsid w:val="002E60B5"/>
    <w:rsid w:val="002E6421"/>
    <w:rsid w:val="002E6A6C"/>
    <w:rsid w:val="002F499F"/>
    <w:rsid w:val="002F4DAD"/>
    <w:rsid w:val="002F6B80"/>
    <w:rsid w:val="003005E5"/>
    <w:rsid w:val="00300D24"/>
    <w:rsid w:val="00300E25"/>
    <w:rsid w:val="00303753"/>
    <w:rsid w:val="003045C2"/>
    <w:rsid w:val="003103AE"/>
    <w:rsid w:val="00310E76"/>
    <w:rsid w:val="00315C6B"/>
    <w:rsid w:val="00315D64"/>
    <w:rsid w:val="003210DE"/>
    <w:rsid w:val="00321C82"/>
    <w:rsid w:val="00322019"/>
    <w:rsid w:val="00331A79"/>
    <w:rsid w:val="003357BF"/>
    <w:rsid w:val="00340F5A"/>
    <w:rsid w:val="00341C70"/>
    <w:rsid w:val="00343EA5"/>
    <w:rsid w:val="00350C6E"/>
    <w:rsid w:val="00354B66"/>
    <w:rsid w:val="003553C2"/>
    <w:rsid w:val="00355FE0"/>
    <w:rsid w:val="00357CAA"/>
    <w:rsid w:val="00361FEB"/>
    <w:rsid w:val="00362357"/>
    <w:rsid w:val="003629A4"/>
    <w:rsid w:val="00366EB8"/>
    <w:rsid w:val="00370D2E"/>
    <w:rsid w:val="003722C0"/>
    <w:rsid w:val="00381B59"/>
    <w:rsid w:val="00382921"/>
    <w:rsid w:val="00383558"/>
    <w:rsid w:val="00394A6F"/>
    <w:rsid w:val="00395815"/>
    <w:rsid w:val="00396441"/>
    <w:rsid w:val="00396D3C"/>
    <w:rsid w:val="003A1587"/>
    <w:rsid w:val="003A3B6B"/>
    <w:rsid w:val="003A46E5"/>
    <w:rsid w:val="003A5F4D"/>
    <w:rsid w:val="003B0208"/>
    <w:rsid w:val="003B0A1C"/>
    <w:rsid w:val="003B1FB7"/>
    <w:rsid w:val="003B2660"/>
    <w:rsid w:val="003B3D39"/>
    <w:rsid w:val="003C0B22"/>
    <w:rsid w:val="003C4A9E"/>
    <w:rsid w:val="003C51D0"/>
    <w:rsid w:val="003C6495"/>
    <w:rsid w:val="003C742D"/>
    <w:rsid w:val="003D20B9"/>
    <w:rsid w:val="003D28EF"/>
    <w:rsid w:val="003D2958"/>
    <w:rsid w:val="003D4376"/>
    <w:rsid w:val="003D518A"/>
    <w:rsid w:val="003E23AA"/>
    <w:rsid w:val="003E7B8A"/>
    <w:rsid w:val="003F2321"/>
    <w:rsid w:val="003F2930"/>
    <w:rsid w:val="003F2B38"/>
    <w:rsid w:val="003F3AC9"/>
    <w:rsid w:val="003F54B7"/>
    <w:rsid w:val="003F7385"/>
    <w:rsid w:val="00401024"/>
    <w:rsid w:val="00401E1B"/>
    <w:rsid w:val="004031F9"/>
    <w:rsid w:val="00405015"/>
    <w:rsid w:val="00411C59"/>
    <w:rsid w:val="00412B32"/>
    <w:rsid w:val="004144E1"/>
    <w:rsid w:val="00414BE2"/>
    <w:rsid w:val="00416430"/>
    <w:rsid w:val="004167BB"/>
    <w:rsid w:val="004200E7"/>
    <w:rsid w:val="00422A35"/>
    <w:rsid w:val="0042349D"/>
    <w:rsid w:val="0043383C"/>
    <w:rsid w:val="00433A42"/>
    <w:rsid w:val="0043414E"/>
    <w:rsid w:val="00436CC1"/>
    <w:rsid w:val="00437D5E"/>
    <w:rsid w:val="00443D56"/>
    <w:rsid w:val="004478B4"/>
    <w:rsid w:val="00454F38"/>
    <w:rsid w:val="0046217E"/>
    <w:rsid w:val="00462E36"/>
    <w:rsid w:val="004652D4"/>
    <w:rsid w:val="004661DC"/>
    <w:rsid w:val="00466C16"/>
    <w:rsid w:val="00467235"/>
    <w:rsid w:val="00470AB8"/>
    <w:rsid w:val="00473F59"/>
    <w:rsid w:val="004748CE"/>
    <w:rsid w:val="00474F24"/>
    <w:rsid w:val="00475DA5"/>
    <w:rsid w:val="0047650C"/>
    <w:rsid w:val="0048004D"/>
    <w:rsid w:val="00484954"/>
    <w:rsid w:val="004931B2"/>
    <w:rsid w:val="004956AF"/>
    <w:rsid w:val="00496D3D"/>
    <w:rsid w:val="00497F3D"/>
    <w:rsid w:val="004A06D8"/>
    <w:rsid w:val="004A30FF"/>
    <w:rsid w:val="004A6C25"/>
    <w:rsid w:val="004A7DEB"/>
    <w:rsid w:val="004B30E6"/>
    <w:rsid w:val="004B63D7"/>
    <w:rsid w:val="004B65D8"/>
    <w:rsid w:val="004B7CDE"/>
    <w:rsid w:val="004C04E5"/>
    <w:rsid w:val="004C16BD"/>
    <w:rsid w:val="004C3E1A"/>
    <w:rsid w:val="004C4242"/>
    <w:rsid w:val="004C430A"/>
    <w:rsid w:val="004C6C07"/>
    <w:rsid w:val="004D057E"/>
    <w:rsid w:val="004D1D49"/>
    <w:rsid w:val="004D2100"/>
    <w:rsid w:val="004D2AF1"/>
    <w:rsid w:val="004D2C81"/>
    <w:rsid w:val="004D33EE"/>
    <w:rsid w:val="004D5EB6"/>
    <w:rsid w:val="004E02BF"/>
    <w:rsid w:val="004E320C"/>
    <w:rsid w:val="004E5C4F"/>
    <w:rsid w:val="004F3300"/>
    <w:rsid w:val="004F4CED"/>
    <w:rsid w:val="0050101A"/>
    <w:rsid w:val="00506C1E"/>
    <w:rsid w:val="00510B85"/>
    <w:rsid w:val="00510BFA"/>
    <w:rsid w:val="00513808"/>
    <w:rsid w:val="00515AEC"/>
    <w:rsid w:val="00517164"/>
    <w:rsid w:val="00520D27"/>
    <w:rsid w:val="00521708"/>
    <w:rsid w:val="005249CE"/>
    <w:rsid w:val="00526103"/>
    <w:rsid w:val="00527BBD"/>
    <w:rsid w:val="00530E26"/>
    <w:rsid w:val="00531691"/>
    <w:rsid w:val="00534823"/>
    <w:rsid w:val="00534BB8"/>
    <w:rsid w:val="00540F12"/>
    <w:rsid w:val="005436B9"/>
    <w:rsid w:val="005443B1"/>
    <w:rsid w:val="0054441A"/>
    <w:rsid w:val="005444FC"/>
    <w:rsid w:val="005452AB"/>
    <w:rsid w:val="00547B93"/>
    <w:rsid w:val="00557302"/>
    <w:rsid w:val="0056046F"/>
    <w:rsid w:val="00565A49"/>
    <w:rsid w:val="0057136E"/>
    <w:rsid w:val="0057161B"/>
    <w:rsid w:val="0057324A"/>
    <w:rsid w:val="0057534B"/>
    <w:rsid w:val="00575395"/>
    <w:rsid w:val="00577201"/>
    <w:rsid w:val="00582C35"/>
    <w:rsid w:val="00583012"/>
    <w:rsid w:val="005838AB"/>
    <w:rsid w:val="00590435"/>
    <w:rsid w:val="00592217"/>
    <w:rsid w:val="00597528"/>
    <w:rsid w:val="005A0183"/>
    <w:rsid w:val="005A1C62"/>
    <w:rsid w:val="005A2BE2"/>
    <w:rsid w:val="005A31C7"/>
    <w:rsid w:val="005A35A5"/>
    <w:rsid w:val="005B3EDE"/>
    <w:rsid w:val="005B51EE"/>
    <w:rsid w:val="005B5BF2"/>
    <w:rsid w:val="005C1B38"/>
    <w:rsid w:val="005C34D6"/>
    <w:rsid w:val="005C6705"/>
    <w:rsid w:val="005D0810"/>
    <w:rsid w:val="005D27E2"/>
    <w:rsid w:val="005D49A2"/>
    <w:rsid w:val="005D5E95"/>
    <w:rsid w:val="005D6CBD"/>
    <w:rsid w:val="005E0FDD"/>
    <w:rsid w:val="005E14C1"/>
    <w:rsid w:val="005E39EB"/>
    <w:rsid w:val="005E4634"/>
    <w:rsid w:val="005E745C"/>
    <w:rsid w:val="005F20BB"/>
    <w:rsid w:val="005F2B3F"/>
    <w:rsid w:val="005F410E"/>
    <w:rsid w:val="006017E8"/>
    <w:rsid w:val="006019EC"/>
    <w:rsid w:val="00606D52"/>
    <w:rsid w:val="00607ABD"/>
    <w:rsid w:val="0061147C"/>
    <w:rsid w:val="006115A4"/>
    <w:rsid w:val="00611BC4"/>
    <w:rsid w:val="0062085E"/>
    <w:rsid w:val="00620CBE"/>
    <w:rsid w:val="006221BB"/>
    <w:rsid w:val="006242A9"/>
    <w:rsid w:val="00632308"/>
    <w:rsid w:val="0063305A"/>
    <w:rsid w:val="00634563"/>
    <w:rsid w:val="00637779"/>
    <w:rsid w:val="00640A1D"/>
    <w:rsid w:val="00643C15"/>
    <w:rsid w:val="00643DE3"/>
    <w:rsid w:val="00650575"/>
    <w:rsid w:val="006572DB"/>
    <w:rsid w:val="0066424B"/>
    <w:rsid w:val="00666EEF"/>
    <w:rsid w:val="0067009A"/>
    <w:rsid w:val="006733FF"/>
    <w:rsid w:val="0067497D"/>
    <w:rsid w:val="0068449D"/>
    <w:rsid w:val="0068602B"/>
    <w:rsid w:val="00686038"/>
    <w:rsid w:val="006A094A"/>
    <w:rsid w:val="006A0BE5"/>
    <w:rsid w:val="006A1281"/>
    <w:rsid w:val="006A1963"/>
    <w:rsid w:val="006A2A14"/>
    <w:rsid w:val="006A3869"/>
    <w:rsid w:val="006A3A4F"/>
    <w:rsid w:val="006A43FD"/>
    <w:rsid w:val="006A6BB2"/>
    <w:rsid w:val="006A7F60"/>
    <w:rsid w:val="006B018A"/>
    <w:rsid w:val="006B10CD"/>
    <w:rsid w:val="006B2E84"/>
    <w:rsid w:val="006B3067"/>
    <w:rsid w:val="006B50B0"/>
    <w:rsid w:val="006B7CB7"/>
    <w:rsid w:val="006C0FBD"/>
    <w:rsid w:val="006C1BA2"/>
    <w:rsid w:val="006C4F03"/>
    <w:rsid w:val="006D0B6C"/>
    <w:rsid w:val="006D4186"/>
    <w:rsid w:val="006D64A5"/>
    <w:rsid w:val="006D6B42"/>
    <w:rsid w:val="006E759F"/>
    <w:rsid w:val="006F3145"/>
    <w:rsid w:val="006F4C19"/>
    <w:rsid w:val="006F65D8"/>
    <w:rsid w:val="006F7131"/>
    <w:rsid w:val="00702A37"/>
    <w:rsid w:val="00702A3F"/>
    <w:rsid w:val="007037C7"/>
    <w:rsid w:val="00703A4A"/>
    <w:rsid w:val="0070489E"/>
    <w:rsid w:val="00707233"/>
    <w:rsid w:val="00707E6E"/>
    <w:rsid w:val="00711273"/>
    <w:rsid w:val="007128EB"/>
    <w:rsid w:val="007143C0"/>
    <w:rsid w:val="007239F8"/>
    <w:rsid w:val="00724222"/>
    <w:rsid w:val="00725C8B"/>
    <w:rsid w:val="00731D7E"/>
    <w:rsid w:val="00732EA6"/>
    <w:rsid w:val="007348F0"/>
    <w:rsid w:val="00734B90"/>
    <w:rsid w:val="0074206C"/>
    <w:rsid w:val="00745917"/>
    <w:rsid w:val="00753036"/>
    <w:rsid w:val="0075665E"/>
    <w:rsid w:val="00761E37"/>
    <w:rsid w:val="007662E3"/>
    <w:rsid w:val="00770B67"/>
    <w:rsid w:val="00770C61"/>
    <w:rsid w:val="007726AB"/>
    <w:rsid w:val="00772F5E"/>
    <w:rsid w:val="0077416D"/>
    <w:rsid w:val="007756C7"/>
    <w:rsid w:val="00777818"/>
    <w:rsid w:val="00780BB1"/>
    <w:rsid w:val="00787D8B"/>
    <w:rsid w:val="00791CAF"/>
    <w:rsid w:val="00792968"/>
    <w:rsid w:val="00796F95"/>
    <w:rsid w:val="007A0257"/>
    <w:rsid w:val="007A4A2B"/>
    <w:rsid w:val="007A53E6"/>
    <w:rsid w:val="007A749C"/>
    <w:rsid w:val="007A7716"/>
    <w:rsid w:val="007B6F93"/>
    <w:rsid w:val="007C290E"/>
    <w:rsid w:val="007C4501"/>
    <w:rsid w:val="007C4671"/>
    <w:rsid w:val="007C5D86"/>
    <w:rsid w:val="007C6300"/>
    <w:rsid w:val="007D00C0"/>
    <w:rsid w:val="007D095B"/>
    <w:rsid w:val="007D47D9"/>
    <w:rsid w:val="007D57D3"/>
    <w:rsid w:val="007D6926"/>
    <w:rsid w:val="007D6EEF"/>
    <w:rsid w:val="007E13F0"/>
    <w:rsid w:val="007E1429"/>
    <w:rsid w:val="007E3F76"/>
    <w:rsid w:val="007E4FB8"/>
    <w:rsid w:val="007E5A57"/>
    <w:rsid w:val="007E6F05"/>
    <w:rsid w:val="007E6F7B"/>
    <w:rsid w:val="007F0119"/>
    <w:rsid w:val="007F0CC7"/>
    <w:rsid w:val="007F249E"/>
    <w:rsid w:val="007F2A68"/>
    <w:rsid w:val="007F3894"/>
    <w:rsid w:val="008025A1"/>
    <w:rsid w:val="00802ABD"/>
    <w:rsid w:val="00803466"/>
    <w:rsid w:val="00804F97"/>
    <w:rsid w:val="00806502"/>
    <w:rsid w:val="0081642E"/>
    <w:rsid w:val="0081643C"/>
    <w:rsid w:val="008172F9"/>
    <w:rsid w:val="0082028B"/>
    <w:rsid w:val="008208C2"/>
    <w:rsid w:val="00820BF8"/>
    <w:rsid w:val="00822EA1"/>
    <w:rsid w:val="00826FE5"/>
    <w:rsid w:val="00830898"/>
    <w:rsid w:val="00830A01"/>
    <w:rsid w:val="008352EB"/>
    <w:rsid w:val="00847E94"/>
    <w:rsid w:val="00850799"/>
    <w:rsid w:val="00851D20"/>
    <w:rsid w:val="00852B71"/>
    <w:rsid w:val="008540EA"/>
    <w:rsid w:val="0085564E"/>
    <w:rsid w:val="008577B6"/>
    <w:rsid w:val="00857C19"/>
    <w:rsid w:val="00862E47"/>
    <w:rsid w:val="008637C5"/>
    <w:rsid w:val="00864F14"/>
    <w:rsid w:val="00865DA2"/>
    <w:rsid w:val="00865FF5"/>
    <w:rsid w:val="008660E1"/>
    <w:rsid w:val="008661E1"/>
    <w:rsid w:val="008668B9"/>
    <w:rsid w:val="0087142C"/>
    <w:rsid w:val="008861AD"/>
    <w:rsid w:val="00886614"/>
    <w:rsid w:val="00891B96"/>
    <w:rsid w:val="00892635"/>
    <w:rsid w:val="008A0ABA"/>
    <w:rsid w:val="008A5E4A"/>
    <w:rsid w:val="008A6E04"/>
    <w:rsid w:val="008B6975"/>
    <w:rsid w:val="008B7543"/>
    <w:rsid w:val="008B78C1"/>
    <w:rsid w:val="008B7BAE"/>
    <w:rsid w:val="008B7D09"/>
    <w:rsid w:val="008C1C3F"/>
    <w:rsid w:val="008C392D"/>
    <w:rsid w:val="008C74EE"/>
    <w:rsid w:val="008D1BEF"/>
    <w:rsid w:val="008D1DCC"/>
    <w:rsid w:val="008D4432"/>
    <w:rsid w:val="008E0BAF"/>
    <w:rsid w:val="008E10E3"/>
    <w:rsid w:val="008E2864"/>
    <w:rsid w:val="008E2DB8"/>
    <w:rsid w:val="008E3486"/>
    <w:rsid w:val="008E5418"/>
    <w:rsid w:val="008E583F"/>
    <w:rsid w:val="008E7724"/>
    <w:rsid w:val="008F49D8"/>
    <w:rsid w:val="008F4A32"/>
    <w:rsid w:val="00900900"/>
    <w:rsid w:val="00902591"/>
    <w:rsid w:val="0090741B"/>
    <w:rsid w:val="009106CD"/>
    <w:rsid w:val="00910F79"/>
    <w:rsid w:val="00913658"/>
    <w:rsid w:val="00913EE4"/>
    <w:rsid w:val="009144FA"/>
    <w:rsid w:val="009165A6"/>
    <w:rsid w:val="00917354"/>
    <w:rsid w:val="00921FAF"/>
    <w:rsid w:val="009222AE"/>
    <w:rsid w:val="009265FB"/>
    <w:rsid w:val="00927894"/>
    <w:rsid w:val="00927CE7"/>
    <w:rsid w:val="00933949"/>
    <w:rsid w:val="00933E66"/>
    <w:rsid w:val="00935A4C"/>
    <w:rsid w:val="00940C4F"/>
    <w:rsid w:val="00941F40"/>
    <w:rsid w:val="009470AF"/>
    <w:rsid w:val="00954B44"/>
    <w:rsid w:val="009554E4"/>
    <w:rsid w:val="00957E0D"/>
    <w:rsid w:val="009607A4"/>
    <w:rsid w:val="0096268B"/>
    <w:rsid w:val="009627B8"/>
    <w:rsid w:val="00963CEA"/>
    <w:rsid w:val="009647C3"/>
    <w:rsid w:val="00964D9D"/>
    <w:rsid w:val="0096779E"/>
    <w:rsid w:val="00967C96"/>
    <w:rsid w:val="00972B26"/>
    <w:rsid w:val="00975D7D"/>
    <w:rsid w:val="0097754A"/>
    <w:rsid w:val="009777F3"/>
    <w:rsid w:val="00981FE1"/>
    <w:rsid w:val="00983085"/>
    <w:rsid w:val="009863A1"/>
    <w:rsid w:val="00987DCC"/>
    <w:rsid w:val="00991839"/>
    <w:rsid w:val="0099713C"/>
    <w:rsid w:val="009A0439"/>
    <w:rsid w:val="009A21F4"/>
    <w:rsid w:val="009A6617"/>
    <w:rsid w:val="009B2289"/>
    <w:rsid w:val="009C071F"/>
    <w:rsid w:val="009C1995"/>
    <w:rsid w:val="009C5AB5"/>
    <w:rsid w:val="009C676E"/>
    <w:rsid w:val="009D28B5"/>
    <w:rsid w:val="009D749C"/>
    <w:rsid w:val="009E00E7"/>
    <w:rsid w:val="009E0CFF"/>
    <w:rsid w:val="009E1253"/>
    <w:rsid w:val="009E1473"/>
    <w:rsid w:val="009E3F73"/>
    <w:rsid w:val="009E464B"/>
    <w:rsid w:val="009E79BC"/>
    <w:rsid w:val="009F1922"/>
    <w:rsid w:val="009F2847"/>
    <w:rsid w:val="009F31B6"/>
    <w:rsid w:val="009F3DEE"/>
    <w:rsid w:val="009F5CC5"/>
    <w:rsid w:val="009F7E5D"/>
    <w:rsid w:val="00A0609F"/>
    <w:rsid w:val="00A07351"/>
    <w:rsid w:val="00A133CC"/>
    <w:rsid w:val="00A150A2"/>
    <w:rsid w:val="00A2092E"/>
    <w:rsid w:val="00A21E89"/>
    <w:rsid w:val="00A21E8F"/>
    <w:rsid w:val="00A220F4"/>
    <w:rsid w:val="00A24BDA"/>
    <w:rsid w:val="00A26433"/>
    <w:rsid w:val="00A27010"/>
    <w:rsid w:val="00A276BE"/>
    <w:rsid w:val="00A30913"/>
    <w:rsid w:val="00A30DBD"/>
    <w:rsid w:val="00A36403"/>
    <w:rsid w:val="00A504D4"/>
    <w:rsid w:val="00A5298D"/>
    <w:rsid w:val="00A54A80"/>
    <w:rsid w:val="00A558B7"/>
    <w:rsid w:val="00A633EC"/>
    <w:rsid w:val="00A66464"/>
    <w:rsid w:val="00A714EC"/>
    <w:rsid w:val="00A71D63"/>
    <w:rsid w:val="00A72D41"/>
    <w:rsid w:val="00A745ED"/>
    <w:rsid w:val="00A8016E"/>
    <w:rsid w:val="00A81580"/>
    <w:rsid w:val="00A848A5"/>
    <w:rsid w:val="00A8535D"/>
    <w:rsid w:val="00A8679C"/>
    <w:rsid w:val="00A90014"/>
    <w:rsid w:val="00A91EA1"/>
    <w:rsid w:val="00A92678"/>
    <w:rsid w:val="00A93073"/>
    <w:rsid w:val="00A94499"/>
    <w:rsid w:val="00A96C39"/>
    <w:rsid w:val="00AA1C73"/>
    <w:rsid w:val="00AA3476"/>
    <w:rsid w:val="00AA4766"/>
    <w:rsid w:val="00AA4FF6"/>
    <w:rsid w:val="00AA69E5"/>
    <w:rsid w:val="00AB13CC"/>
    <w:rsid w:val="00AB2936"/>
    <w:rsid w:val="00AB41FF"/>
    <w:rsid w:val="00AB79AD"/>
    <w:rsid w:val="00AB7F43"/>
    <w:rsid w:val="00AC4D64"/>
    <w:rsid w:val="00AC4EA3"/>
    <w:rsid w:val="00AC52E8"/>
    <w:rsid w:val="00AC72D6"/>
    <w:rsid w:val="00AD0A92"/>
    <w:rsid w:val="00AD1FA4"/>
    <w:rsid w:val="00AD2586"/>
    <w:rsid w:val="00AD26ED"/>
    <w:rsid w:val="00AD3F6D"/>
    <w:rsid w:val="00AD4AE1"/>
    <w:rsid w:val="00AD5DA5"/>
    <w:rsid w:val="00AD7A6D"/>
    <w:rsid w:val="00AE0C94"/>
    <w:rsid w:val="00AE2200"/>
    <w:rsid w:val="00AE3156"/>
    <w:rsid w:val="00AE58D3"/>
    <w:rsid w:val="00AE5C0D"/>
    <w:rsid w:val="00AE7D02"/>
    <w:rsid w:val="00AF157A"/>
    <w:rsid w:val="00AF5217"/>
    <w:rsid w:val="00AF719A"/>
    <w:rsid w:val="00AF79B5"/>
    <w:rsid w:val="00B04192"/>
    <w:rsid w:val="00B04E1B"/>
    <w:rsid w:val="00B05F38"/>
    <w:rsid w:val="00B0620F"/>
    <w:rsid w:val="00B108C9"/>
    <w:rsid w:val="00B12259"/>
    <w:rsid w:val="00B140BD"/>
    <w:rsid w:val="00B175B4"/>
    <w:rsid w:val="00B2071A"/>
    <w:rsid w:val="00B218AD"/>
    <w:rsid w:val="00B240C5"/>
    <w:rsid w:val="00B24705"/>
    <w:rsid w:val="00B24E45"/>
    <w:rsid w:val="00B259A8"/>
    <w:rsid w:val="00B2795E"/>
    <w:rsid w:val="00B34449"/>
    <w:rsid w:val="00B34CA3"/>
    <w:rsid w:val="00B3529E"/>
    <w:rsid w:val="00B362B4"/>
    <w:rsid w:val="00B4070F"/>
    <w:rsid w:val="00B4225F"/>
    <w:rsid w:val="00B4489F"/>
    <w:rsid w:val="00B46EC4"/>
    <w:rsid w:val="00B50B90"/>
    <w:rsid w:val="00B51AE2"/>
    <w:rsid w:val="00B55B15"/>
    <w:rsid w:val="00B57DA8"/>
    <w:rsid w:val="00B61BD1"/>
    <w:rsid w:val="00B657C2"/>
    <w:rsid w:val="00B65892"/>
    <w:rsid w:val="00B67F1A"/>
    <w:rsid w:val="00B71CCF"/>
    <w:rsid w:val="00B71E8E"/>
    <w:rsid w:val="00B725E2"/>
    <w:rsid w:val="00B749B0"/>
    <w:rsid w:val="00B8068F"/>
    <w:rsid w:val="00B82A9F"/>
    <w:rsid w:val="00B83EBD"/>
    <w:rsid w:val="00B84A2C"/>
    <w:rsid w:val="00B90C3C"/>
    <w:rsid w:val="00B91052"/>
    <w:rsid w:val="00B9381C"/>
    <w:rsid w:val="00B950D7"/>
    <w:rsid w:val="00B9561E"/>
    <w:rsid w:val="00B9745E"/>
    <w:rsid w:val="00BA0A88"/>
    <w:rsid w:val="00BA13FE"/>
    <w:rsid w:val="00BA16AF"/>
    <w:rsid w:val="00BA3106"/>
    <w:rsid w:val="00BA3CDD"/>
    <w:rsid w:val="00BA4EEF"/>
    <w:rsid w:val="00BA59ED"/>
    <w:rsid w:val="00BA5CB5"/>
    <w:rsid w:val="00BA6A3E"/>
    <w:rsid w:val="00BB3227"/>
    <w:rsid w:val="00BB688C"/>
    <w:rsid w:val="00BB7017"/>
    <w:rsid w:val="00BC6746"/>
    <w:rsid w:val="00BD0038"/>
    <w:rsid w:val="00BD1A47"/>
    <w:rsid w:val="00BD3309"/>
    <w:rsid w:val="00BD464D"/>
    <w:rsid w:val="00BE04C1"/>
    <w:rsid w:val="00BE0542"/>
    <w:rsid w:val="00BE3CE9"/>
    <w:rsid w:val="00BE7910"/>
    <w:rsid w:val="00BE7DEF"/>
    <w:rsid w:val="00BF042A"/>
    <w:rsid w:val="00BF3B06"/>
    <w:rsid w:val="00BF51E0"/>
    <w:rsid w:val="00BF5275"/>
    <w:rsid w:val="00BF7FE3"/>
    <w:rsid w:val="00C01DF5"/>
    <w:rsid w:val="00C02566"/>
    <w:rsid w:val="00C0284E"/>
    <w:rsid w:val="00C030D5"/>
    <w:rsid w:val="00C037E1"/>
    <w:rsid w:val="00C045F9"/>
    <w:rsid w:val="00C0698A"/>
    <w:rsid w:val="00C12D56"/>
    <w:rsid w:val="00C140C8"/>
    <w:rsid w:val="00C14104"/>
    <w:rsid w:val="00C1443B"/>
    <w:rsid w:val="00C15F5B"/>
    <w:rsid w:val="00C22AEB"/>
    <w:rsid w:val="00C2569C"/>
    <w:rsid w:val="00C2682F"/>
    <w:rsid w:val="00C27533"/>
    <w:rsid w:val="00C34281"/>
    <w:rsid w:val="00C37174"/>
    <w:rsid w:val="00C41345"/>
    <w:rsid w:val="00C526ED"/>
    <w:rsid w:val="00C5716C"/>
    <w:rsid w:val="00C60A45"/>
    <w:rsid w:val="00C66E71"/>
    <w:rsid w:val="00C70395"/>
    <w:rsid w:val="00C70830"/>
    <w:rsid w:val="00C70843"/>
    <w:rsid w:val="00C72C4A"/>
    <w:rsid w:val="00C778C9"/>
    <w:rsid w:val="00C80CD7"/>
    <w:rsid w:val="00C8185B"/>
    <w:rsid w:val="00C84ACD"/>
    <w:rsid w:val="00C85D1A"/>
    <w:rsid w:val="00C92E00"/>
    <w:rsid w:val="00C9798C"/>
    <w:rsid w:val="00CA2CB3"/>
    <w:rsid w:val="00CA4C00"/>
    <w:rsid w:val="00CA500F"/>
    <w:rsid w:val="00CA5BA2"/>
    <w:rsid w:val="00CB2E4D"/>
    <w:rsid w:val="00CB2E5B"/>
    <w:rsid w:val="00CB52E2"/>
    <w:rsid w:val="00CB60D5"/>
    <w:rsid w:val="00CB705B"/>
    <w:rsid w:val="00CB7C40"/>
    <w:rsid w:val="00CC033B"/>
    <w:rsid w:val="00CC2575"/>
    <w:rsid w:val="00CC2E8B"/>
    <w:rsid w:val="00CC5966"/>
    <w:rsid w:val="00CD07CE"/>
    <w:rsid w:val="00CD3A92"/>
    <w:rsid w:val="00CD7295"/>
    <w:rsid w:val="00CE01EE"/>
    <w:rsid w:val="00CE153E"/>
    <w:rsid w:val="00CE23D4"/>
    <w:rsid w:val="00CE76CF"/>
    <w:rsid w:val="00CF06B3"/>
    <w:rsid w:val="00CF0CC2"/>
    <w:rsid w:val="00CF5C96"/>
    <w:rsid w:val="00CF684B"/>
    <w:rsid w:val="00CF7AC2"/>
    <w:rsid w:val="00D010EC"/>
    <w:rsid w:val="00D0141E"/>
    <w:rsid w:val="00D01B12"/>
    <w:rsid w:val="00D061F2"/>
    <w:rsid w:val="00D06ACA"/>
    <w:rsid w:val="00D07953"/>
    <w:rsid w:val="00D1048B"/>
    <w:rsid w:val="00D1181D"/>
    <w:rsid w:val="00D11BFB"/>
    <w:rsid w:val="00D1667B"/>
    <w:rsid w:val="00D20A0D"/>
    <w:rsid w:val="00D247AA"/>
    <w:rsid w:val="00D36932"/>
    <w:rsid w:val="00D36DE4"/>
    <w:rsid w:val="00D417F5"/>
    <w:rsid w:val="00D43F64"/>
    <w:rsid w:val="00D45508"/>
    <w:rsid w:val="00D50B76"/>
    <w:rsid w:val="00D51C11"/>
    <w:rsid w:val="00D52F4A"/>
    <w:rsid w:val="00D57476"/>
    <w:rsid w:val="00D63475"/>
    <w:rsid w:val="00D6600E"/>
    <w:rsid w:val="00D662B7"/>
    <w:rsid w:val="00D66D6E"/>
    <w:rsid w:val="00D709E8"/>
    <w:rsid w:val="00D745EC"/>
    <w:rsid w:val="00D76059"/>
    <w:rsid w:val="00D760C6"/>
    <w:rsid w:val="00D806C1"/>
    <w:rsid w:val="00D821F3"/>
    <w:rsid w:val="00D82B97"/>
    <w:rsid w:val="00D838D2"/>
    <w:rsid w:val="00D85768"/>
    <w:rsid w:val="00D86AE3"/>
    <w:rsid w:val="00D9114B"/>
    <w:rsid w:val="00D91B39"/>
    <w:rsid w:val="00D934AF"/>
    <w:rsid w:val="00D935D7"/>
    <w:rsid w:val="00D93AC1"/>
    <w:rsid w:val="00D9488C"/>
    <w:rsid w:val="00DA06A3"/>
    <w:rsid w:val="00DA1B5B"/>
    <w:rsid w:val="00DA2498"/>
    <w:rsid w:val="00DA3C63"/>
    <w:rsid w:val="00DA4F1B"/>
    <w:rsid w:val="00DA4F38"/>
    <w:rsid w:val="00DA621B"/>
    <w:rsid w:val="00DA7B41"/>
    <w:rsid w:val="00DB1476"/>
    <w:rsid w:val="00DB1967"/>
    <w:rsid w:val="00DB283F"/>
    <w:rsid w:val="00DB3572"/>
    <w:rsid w:val="00DB5639"/>
    <w:rsid w:val="00DB745B"/>
    <w:rsid w:val="00DB7FB2"/>
    <w:rsid w:val="00DC1E9D"/>
    <w:rsid w:val="00DC728D"/>
    <w:rsid w:val="00DC768E"/>
    <w:rsid w:val="00DC7A2E"/>
    <w:rsid w:val="00DD0AC5"/>
    <w:rsid w:val="00DD0B4E"/>
    <w:rsid w:val="00DD3285"/>
    <w:rsid w:val="00DD3989"/>
    <w:rsid w:val="00DD5D06"/>
    <w:rsid w:val="00DE05D2"/>
    <w:rsid w:val="00DE0B83"/>
    <w:rsid w:val="00DE494C"/>
    <w:rsid w:val="00DE52BF"/>
    <w:rsid w:val="00DE6C81"/>
    <w:rsid w:val="00DE7706"/>
    <w:rsid w:val="00DE7F0B"/>
    <w:rsid w:val="00DF069A"/>
    <w:rsid w:val="00DF1505"/>
    <w:rsid w:val="00DF572C"/>
    <w:rsid w:val="00DF762A"/>
    <w:rsid w:val="00E004F6"/>
    <w:rsid w:val="00E00ED1"/>
    <w:rsid w:val="00E0217F"/>
    <w:rsid w:val="00E174CC"/>
    <w:rsid w:val="00E22BD2"/>
    <w:rsid w:val="00E23B58"/>
    <w:rsid w:val="00E31225"/>
    <w:rsid w:val="00E325F2"/>
    <w:rsid w:val="00E339CC"/>
    <w:rsid w:val="00E34A89"/>
    <w:rsid w:val="00E40157"/>
    <w:rsid w:val="00E45E9D"/>
    <w:rsid w:val="00E47632"/>
    <w:rsid w:val="00E546CB"/>
    <w:rsid w:val="00E55D21"/>
    <w:rsid w:val="00E60AB4"/>
    <w:rsid w:val="00E61E66"/>
    <w:rsid w:val="00E62462"/>
    <w:rsid w:val="00E6247C"/>
    <w:rsid w:val="00E66585"/>
    <w:rsid w:val="00E7391B"/>
    <w:rsid w:val="00E74E4E"/>
    <w:rsid w:val="00E74EE7"/>
    <w:rsid w:val="00E765CE"/>
    <w:rsid w:val="00E77494"/>
    <w:rsid w:val="00E778F8"/>
    <w:rsid w:val="00E83DF7"/>
    <w:rsid w:val="00E90513"/>
    <w:rsid w:val="00E92660"/>
    <w:rsid w:val="00E9439F"/>
    <w:rsid w:val="00E948D7"/>
    <w:rsid w:val="00E94E7C"/>
    <w:rsid w:val="00E97007"/>
    <w:rsid w:val="00EA5BCF"/>
    <w:rsid w:val="00EB3E0F"/>
    <w:rsid w:val="00EB6E47"/>
    <w:rsid w:val="00EB7C58"/>
    <w:rsid w:val="00EC4C89"/>
    <w:rsid w:val="00EC518D"/>
    <w:rsid w:val="00EC7407"/>
    <w:rsid w:val="00EC772D"/>
    <w:rsid w:val="00EC78C7"/>
    <w:rsid w:val="00ED2270"/>
    <w:rsid w:val="00ED615B"/>
    <w:rsid w:val="00ED63EF"/>
    <w:rsid w:val="00EE0E59"/>
    <w:rsid w:val="00EE1C45"/>
    <w:rsid w:val="00EE1F4D"/>
    <w:rsid w:val="00EE2024"/>
    <w:rsid w:val="00EE47C1"/>
    <w:rsid w:val="00EE51C1"/>
    <w:rsid w:val="00EE6CCD"/>
    <w:rsid w:val="00EF05B2"/>
    <w:rsid w:val="00EF34FD"/>
    <w:rsid w:val="00F00333"/>
    <w:rsid w:val="00F04638"/>
    <w:rsid w:val="00F0536B"/>
    <w:rsid w:val="00F063F0"/>
    <w:rsid w:val="00F075A1"/>
    <w:rsid w:val="00F100BF"/>
    <w:rsid w:val="00F10978"/>
    <w:rsid w:val="00F12202"/>
    <w:rsid w:val="00F13C85"/>
    <w:rsid w:val="00F23AC1"/>
    <w:rsid w:val="00F24FE0"/>
    <w:rsid w:val="00F3430D"/>
    <w:rsid w:val="00F34973"/>
    <w:rsid w:val="00F3541D"/>
    <w:rsid w:val="00F42687"/>
    <w:rsid w:val="00F43398"/>
    <w:rsid w:val="00F456D0"/>
    <w:rsid w:val="00F45ED7"/>
    <w:rsid w:val="00F4729B"/>
    <w:rsid w:val="00F50629"/>
    <w:rsid w:val="00F5079E"/>
    <w:rsid w:val="00F53F61"/>
    <w:rsid w:val="00F547FB"/>
    <w:rsid w:val="00F552AE"/>
    <w:rsid w:val="00F5639B"/>
    <w:rsid w:val="00F60DB6"/>
    <w:rsid w:val="00F66391"/>
    <w:rsid w:val="00F66BEB"/>
    <w:rsid w:val="00F67D46"/>
    <w:rsid w:val="00F80C8E"/>
    <w:rsid w:val="00F81F3A"/>
    <w:rsid w:val="00F82217"/>
    <w:rsid w:val="00F847B6"/>
    <w:rsid w:val="00F84F26"/>
    <w:rsid w:val="00F95A85"/>
    <w:rsid w:val="00F965E5"/>
    <w:rsid w:val="00F9745C"/>
    <w:rsid w:val="00FB0766"/>
    <w:rsid w:val="00FB43DA"/>
    <w:rsid w:val="00FB4BBC"/>
    <w:rsid w:val="00FC1A5A"/>
    <w:rsid w:val="00FC1B8B"/>
    <w:rsid w:val="00FC37C5"/>
    <w:rsid w:val="00FC6877"/>
    <w:rsid w:val="00FC7753"/>
    <w:rsid w:val="00FC7985"/>
    <w:rsid w:val="00FD2F95"/>
    <w:rsid w:val="00FD59AC"/>
    <w:rsid w:val="00FE249D"/>
    <w:rsid w:val="00FE2DCB"/>
    <w:rsid w:val="00FE2F79"/>
    <w:rsid w:val="00FE440C"/>
    <w:rsid w:val="00FE4934"/>
    <w:rsid w:val="00FE498C"/>
    <w:rsid w:val="00FE7B05"/>
    <w:rsid w:val="00FF1FDE"/>
    <w:rsid w:val="00FF587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DEA072"/>
  <w15:docId w15:val="{A885FEFD-1988-4B46-A3E9-CF9A14192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5AB5"/>
    <w:rPr>
      <w:color w:val="0563C1" w:themeColor="hyperlink"/>
      <w:u w:val="single"/>
    </w:rPr>
  </w:style>
  <w:style w:type="paragraph" w:styleId="ListParagraph">
    <w:name w:val="List Paragraph"/>
    <w:basedOn w:val="Normal"/>
    <w:uiPriority w:val="34"/>
    <w:qFormat/>
    <w:rsid w:val="0010221F"/>
    <w:pPr>
      <w:ind w:left="720"/>
      <w:contextualSpacing/>
    </w:pPr>
  </w:style>
  <w:style w:type="paragraph" w:styleId="Header">
    <w:name w:val="header"/>
    <w:basedOn w:val="Normal"/>
    <w:link w:val="HeaderChar"/>
    <w:uiPriority w:val="99"/>
    <w:unhideWhenUsed/>
    <w:rsid w:val="004D33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33EE"/>
    <w:rPr>
      <w:sz w:val="22"/>
      <w:szCs w:val="22"/>
      <w:lang w:eastAsia="en-US"/>
    </w:rPr>
  </w:style>
  <w:style w:type="paragraph" w:styleId="Footer">
    <w:name w:val="footer"/>
    <w:basedOn w:val="Normal"/>
    <w:link w:val="FooterChar"/>
    <w:uiPriority w:val="99"/>
    <w:unhideWhenUsed/>
    <w:rsid w:val="004D33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33EE"/>
    <w:rPr>
      <w:sz w:val="22"/>
      <w:szCs w:val="22"/>
      <w:lang w:eastAsia="en-US"/>
    </w:rPr>
  </w:style>
  <w:style w:type="paragraph" w:styleId="Caption">
    <w:name w:val="caption"/>
    <w:basedOn w:val="Normal"/>
    <w:next w:val="Normal"/>
    <w:uiPriority w:val="35"/>
    <w:unhideWhenUsed/>
    <w:qFormat/>
    <w:rsid w:val="005F2B3F"/>
    <w:pPr>
      <w:spacing w:after="200" w:line="240" w:lineRule="auto"/>
    </w:pPr>
    <w:rPr>
      <w:rFonts w:asciiTheme="minorHAnsi" w:eastAsiaTheme="minorHAnsi" w:hAnsiTheme="minorHAnsi" w:cstheme="minorBidi"/>
      <w:i/>
      <w:iCs/>
      <w:color w:val="44546A" w:themeColor="text2"/>
      <w:sz w:val="18"/>
      <w:szCs w:val="18"/>
    </w:rPr>
  </w:style>
  <w:style w:type="table" w:styleId="TableGrid">
    <w:name w:val="Table Grid"/>
    <w:basedOn w:val="TableNormal"/>
    <w:uiPriority w:val="39"/>
    <w:rsid w:val="00022F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022F8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alloonText">
    <w:name w:val="Balloon Text"/>
    <w:basedOn w:val="Normal"/>
    <w:link w:val="BalloonTextChar"/>
    <w:uiPriority w:val="99"/>
    <w:semiHidden/>
    <w:unhideWhenUsed/>
    <w:rsid w:val="008D1DC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1DCC"/>
    <w:rPr>
      <w:rFonts w:ascii="Lucida Grande" w:hAnsi="Lucida Grande" w:cs="Lucida Grande"/>
      <w:sz w:val="18"/>
      <w:szCs w:val="18"/>
      <w:lang w:eastAsia="en-US"/>
    </w:rPr>
  </w:style>
  <w:style w:type="paragraph" w:styleId="NormalWeb">
    <w:name w:val="Normal (Web)"/>
    <w:basedOn w:val="Normal"/>
    <w:uiPriority w:val="99"/>
    <w:semiHidden/>
    <w:unhideWhenUsed/>
    <w:rsid w:val="003005E5"/>
    <w:pPr>
      <w:spacing w:before="100" w:beforeAutospacing="1" w:after="100" w:afterAutospacing="1" w:line="240" w:lineRule="auto"/>
    </w:pPr>
    <w:rPr>
      <w:rFonts w:ascii="Times New Roman" w:eastAsia="Times New Roman" w:hAnsi="Times New Roman"/>
      <w:sz w:val="24"/>
      <w:szCs w:val="24"/>
      <w:lang w:val="en-US"/>
    </w:rPr>
  </w:style>
  <w:style w:type="character" w:styleId="CommentReference">
    <w:name w:val="annotation reference"/>
    <w:basedOn w:val="DefaultParagraphFont"/>
    <w:uiPriority w:val="99"/>
    <w:semiHidden/>
    <w:unhideWhenUsed/>
    <w:rsid w:val="00315C6B"/>
    <w:rPr>
      <w:sz w:val="16"/>
      <w:szCs w:val="16"/>
    </w:rPr>
  </w:style>
  <w:style w:type="paragraph" w:styleId="CommentText">
    <w:name w:val="annotation text"/>
    <w:basedOn w:val="Normal"/>
    <w:link w:val="CommentTextChar"/>
    <w:uiPriority w:val="99"/>
    <w:semiHidden/>
    <w:unhideWhenUsed/>
    <w:rsid w:val="00315C6B"/>
    <w:pPr>
      <w:spacing w:line="240" w:lineRule="auto"/>
    </w:pPr>
    <w:rPr>
      <w:sz w:val="20"/>
      <w:szCs w:val="20"/>
    </w:rPr>
  </w:style>
  <w:style w:type="character" w:customStyle="1" w:styleId="CommentTextChar">
    <w:name w:val="Comment Text Char"/>
    <w:basedOn w:val="DefaultParagraphFont"/>
    <w:link w:val="CommentText"/>
    <w:uiPriority w:val="99"/>
    <w:semiHidden/>
    <w:rsid w:val="00315C6B"/>
    <w:rPr>
      <w:lang w:eastAsia="en-US"/>
    </w:rPr>
  </w:style>
  <w:style w:type="paragraph" w:styleId="CommentSubject">
    <w:name w:val="annotation subject"/>
    <w:basedOn w:val="CommentText"/>
    <w:next w:val="CommentText"/>
    <w:link w:val="CommentSubjectChar"/>
    <w:uiPriority w:val="99"/>
    <w:semiHidden/>
    <w:unhideWhenUsed/>
    <w:rsid w:val="00315C6B"/>
    <w:rPr>
      <w:b/>
      <w:bCs/>
    </w:rPr>
  </w:style>
  <w:style w:type="character" w:customStyle="1" w:styleId="CommentSubjectChar">
    <w:name w:val="Comment Subject Char"/>
    <w:basedOn w:val="CommentTextChar"/>
    <w:link w:val="CommentSubject"/>
    <w:uiPriority w:val="99"/>
    <w:semiHidden/>
    <w:rsid w:val="00315C6B"/>
    <w:rPr>
      <w:b/>
      <w:bCs/>
      <w:lang w:eastAsia="en-US"/>
    </w:rPr>
  </w:style>
  <w:style w:type="paragraph" w:styleId="Title">
    <w:name w:val="Title"/>
    <w:basedOn w:val="Normal"/>
    <w:next w:val="Normal"/>
    <w:link w:val="TitleChar"/>
    <w:uiPriority w:val="10"/>
    <w:qFormat/>
    <w:rsid w:val="006F314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3145"/>
    <w:rPr>
      <w:rFonts w:asciiTheme="majorHAnsi" w:eastAsiaTheme="majorEastAsia" w:hAnsiTheme="majorHAnsi" w:cstheme="majorBidi"/>
      <w:spacing w:val="-10"/>
      <w:kern w:val="28"/>
      <w:sz w:val="56"/>
      <w:szCs w:val="56"/>
      <w:lang w:eastAsia="en-US"/>
    </w:rPr>
  </w:style>
  <w:style w:type="character" w:styleId="Emphasis">
    <w:name w:val="Emphasis"/>
    <w:basedOn w:val="DefaultParagraphFont"/>
    <w:uiPriority w:val="20"/>
    <w:qFormat/>
    <w:rsid w:val="00E97007"/>
    <w:rPr>
      <w:i/>
      <w:iCs/>
    </w:rPr>
  </w:style>
  <w:style w:type="character" w:styleId="LineNumber">
    <w:name w:val="line number"/>
    <w:basedOn w:val="DefaultParagraphFont"/>
    <w:uiPriority w:val="99"/>
    <w:semiHidden/>
    <w:unhideWhenUsed/>
    <w:rsid w:val="00AE58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2085340">
      <w:bodyDiv w:val="1"/>
      <w:marLeft w:val="0"/>
      <w:marRight w:val="0"/>
      <w:marTop w:val="0"/>
      <w:marBottom w:val="0"/>
      <w:divBdr>
        <w:top w:val="none" w:sz="0" w:space="0" w:color="auto"/>
        <w:left w:val="none" w:sz="0" w:space="0" w:color="auto"/>
        <w:bottom w:val="none" w:sz="0" w:space="0" w:color="auto"/>
        <w:right w:val="none" w:sz="0" w:space="0" w:color="auto"/>
      </w:divBdr>
    </w:div>
    <w:div w:id="233862199">
      <w:bodyDiv w:val="1"/>
      <w:marLeft w:val="0"/>
      <w:marRight w:val="0"/>
      <w:marTop w:val="0"/>
      <w:marBottom w:val="0"/>
      <w:divBdr>
        <w:top w:val="none" w:sz="0" w:space="0" w:color="auto"/>
        <w:left w:val="none" w:sz="0" w:space="0" w:color="auto"/>
        <w:bottom w:val="none" w:sz="0" w:space="0" w:color="auto"/>
        <w:right w:val="none" w:sz="0" w:space="0" w:color="auto"/>
      </w:divBdr>
      <w:divsChild>
        <w:div w:id="133571917">
          <w:marLeft w:val="547"/>
          <w:marRight w:val="0"/>
          <w:marTop w:val="62"/>
          <w:marBottom w:val="0"/>
          <w:divBdr>
            <w:top w:val="none" w:sz="0" w:space="0" w:color="auto"/>
            <w:left w:val="none" w:sz="0" w:space="0" w:color="auto"/>
            <w:bottom w:val="none" w:sz="0" w:space="0" w:color="auto"/>
            <w:right w:val="none" w:sz="0" w:space="0" w:color="auto"/>
          </w:divBdr>
        </w:div>
        <w:div w:id="373507163">
          <w:marLeft w:val="547"/>
          <w:marRight w:val="0"/>
          <w:marTop w:val="62"/>
          <w:marBottom w:val="0"/>
          <w:divBdr>
            <w:top w:val="none" w:sz="0" w:space="0" w:color="auto"/>
            <w:left w:val="none" w:sz="0" w:space="0" w:color="auto"/>
            <w:bottom w:val="none" w:sz="0" w:space="0" w:color="auto"/>
            <w:right w:val="none" w:sz="0" w:space="0" w:color="auto"/>
          </w:divBdr>
        </w:div>
        <w:div w:id="486895050">
          <w:marLeft w:val="547"/>
          <w:marRight w:val="0"/>
          <w:marTop w:val="62"/>
          <w:marBottom w:val="0"/>
          <w:divBdr>
            <w:top w:val="none" w:sz="0" w:space="0" w:color="auto"/>
            <w:left w:val="none" w:sz="0" w:space="0" w:color="auto"/>
            <w:bottom w:val="none" w:sz="0" w:space="0" w:color="auto"/>
            <w:right w:val="none" w:sz="0" w:space="0" w:color="auto"/>
          </w:divBdr>
        </w:div>
        <w:div w:id="491408895">
          <w:marLeft w:val="547"/>
          <w:marRight w:val="0"/>
          <w:marTop w:val="62"/>
          <w:marBottom w:val="0"/>
          <w:divBdr>
            <w:top w:val="none" w:sz="0" w:space="0" w:color="auto"/>
            <w:left w:val="none" w:sz="0" w:space="0" w:color="auto"/>
            <w:bottom w:val="none" w:sz="0" w:space="0" w:color="auto"/>
            <w:right w:val="none" w:sz="0" w:space="0" w:color="auto"/>
          </w:divBdr>
        </w:div>
        <w:div w:id="601182163">
          <w:marLeft w:val="547"/>
          <w:marRight w:val="0"/>
          <w:marTop w:val="62"/>
          <w:marBottom w:val="0"/>
          <w:divBdr>
            <w:top w:val="none" w:sz="0" w:space="0" w:color="auto"/>
            <w:left w:val="none" w:sz="0" w:space="0" w:color="auto"/>
            <w:bottom w:val="none" w:sz="0" w:space="0" w:color="auto"/>
            <w:right w:val="none" w:sz="0" w:space="0" w:color="auto"/>
          </w:divBdr>
        </w:div>
        <w:div w:id="634067873">
          <w:marLeft w:val="547"/>
          <w:marRight w:val="0"/>
          <w:marTop w:val="62"/>
          <w:marBottom w:val="0"/>
          <w:divBdr>
            <w:top w:val="none" w:sz="0" w:space="0" w:color="auto"/>
            <w:left w:val="none" w:sz="0" w:space="0" w:color="auto"/>
            <w:bottom w:val="none" w:sz="0" w:space="0" w:color="auto"/>
            <w:right w:val="none" w:sz="0" w:space="0" w:color="auto"/>
          </w:divBdr>
        </w:div>
        <w:div w:id="638463106">
          <w:marLeft w:val="547"/>
          <w:marRight w:val="0"/>
          <w:marTop w:val="62"/>
          <w:marBottom w:val="0"/>
          <w:divBdr>
            <w:top w:val="none" w:sz="0" w:space="0" w:color="auto"/>
            <w:left w:val="none" w:sz="0" w:space="0" w:color="auto"/>
            <w:bottom w:val="none" w:sz="0" w:space="0" w:color="auto"/>
            <w:right w:val="none" w:sz="0" w:space="0" w:color="auto"/>
          </w:divBdr>
        </w:div>
        <w:div w:id="1368218129">
          <w:marLeft w:val="547"/>
          <w:marRight w:val="0"/>
          <w:marTop w:val="62"/>
          <w:marBottom w:val="0"/>
          <w:divBdr>
            <w:top w:val="none" w:sz="0" w:space="0" w:color="auto"/>
            <w:left w:val="none" w:sz="0" w:space="0" w:color="auto"/>
            <w:bottom w:val="none" w:sz="0" w:space="0" w:color="auto"/>
            <w:right w:val="none" w:sz="0" w:space="0" w:color="auto"/>
          </w:divBdr>
        </w:div>
        <w:div w:id="1368868590">
          <w:marLeft w:val="547"/>
          <w:marRight w:val="0"/>
          <w:marTop w:val="62"/>
          <w:marBottom w:val="0"/>
          <w:divBdr>
            <w:top w:val="none" w:sz="0" w:space="0" w:color="auto"/>
            <w:left w:val="none" w:sz="0" w:space="0" w:color="auto"/>
            <w:bottom w:val="none" w:sz="0" w:space="0" w:color="auto"/>
            <w:right w:val="none" w:sz="0" w:space="0" w:color="auto"/>
          </w:divBdr>
        </w:div>
        <w:div w:id="1464617813">
          <w:marLeft w:val="547"/>
          <w:marRight w:val="0"/>
          <w:marTop w:val="62"/>
          <w:marBottom w:val="0"/>
          <w:divBdr>
            <w:top w:val="none" w:sz="0" w:space="0" w:color="auto"/>
            <w:left w:val="none" w:sz="0" w:space="0" w:color="auto"/>
            <w:bottom w:val="none" w:sz="0" w:space="0" w:color="auto"/>
            <w:right w:val="none" w:sz="0" w:space="0" w:color="auto"/>
          </w:divBdr>
        </w:div>
        <w:div w:id="1745444890">
          <w:marLeft w:val="547"/>
          <w:marRight w:val="0"/>
          <w:marTop w:val="62"/>
          <w:marBottom w:val="0"/>
          <w:divBdr>
            <w:top w:val="none" w:sz="0" w:space="0" w:color="auto"/>
            <w:left w:val="none" w:sz="0" w:space="0" w:color="auto"/>
            <w:bottom w:val="none" w:sz="0" w:space="0" w:color="auto"/>
            <w:right w:val="none" w:sz="0" w:space="0" w:color="auto"/>
          </w:divBdr>
        </w:div>
        <w:div w:id="1784492563">
          <w:marLeft w:val="547"/>
          <w:marRight w:val="0"/>
          <w:marTop w:val="62"/>
          <w:marBottom w:val="0"/>
          <w:divBdr>
            <w:top w:val="none" w:sz="0" w:space="0" w:color="auto"/>
            <w:left w:val="none" w:sz="0" w:space="0" w:color="auto"/>
            <w:bottom w:val="none" w:sz="0" w:space="0" w:color="auto"/>
            <w:right w:val="none" w:sz="0" w:space="0" w:color="auto"/>
          </w:divBdr>
        </w:div>
        <w:div w:id="1813979165">
          <w:marLeft w:val="547"/>
          <w:marRight w:val="0"/>
          <w:marTop w:val="62"/>
          <w:marBottom w:val="0"/>
          <w:divBdr>
            <w:top w:val="none" w:sz="0" w:space="0" w:color="auto"/>
            <w:left w:val="none" w:sz="0" w:space="0" w:color="auto"/>
            <w:bottom w:val="none" w:sz="0" w:space="0" w:color="auto"/>
            <w:right w:val="none" w:sz="0" w:space="0" w:color="auto"/>
          </w:divBdr>
        </w:div>
        <w:div w:id="1889680679">
          <w:marLeft w:val="547"/>
          <w:marRight w:val="0"/>
          <w:marTop w:val="62"/>
          <w:marBottom w:val="0"/>
          <w:divBdr>
            <w:top w:val="none" w:sz="0" w:space="0" w:color="auto"/>
            <w:left w:val="none" w:sz="0" w:space="0" w:color="auto"/>
            <w:bottom w:val="none" w:sz="0" w:space="0" w:color="auto"/>
            <w:right w:val="none" w:sz="0" w:space="0" w:color="auto"/>
          </w:divBdr>
        </w:div>
        <w:div w:id="1951938488">
          <w:marLeft w:val="547"/>
          <w:marRight w:val="0"/>
          <w:marTop w:val="62"/>
          <w:marBottom w:val="0"/>
          <w:divBdr>
            <w:top w:val="none" w:sz="0" w:space="0" w:color="auto"/>
            <w:left w:val="none" w:sz="0" w:space="0" w:color="auto"/>
            <w:bottom w:val="none" w:sz="0" w:space="0" w:color="auto"/>
            <w:right w:val="none" w:sz="0" w:space="0" w:color="auto"/>
          </w:divBdr>
        </w:div>
        <w:div w:id="1982690960">
          <w:marLeft w:val="547"/>
          <w:marRight w:val="0"/>
          <w:marTop w:val="62"/>
          <w:marBottom w:val="0"/>
          <w:divBdr>
            <w:top w:val="none" w:sz="0" w:space="0" w:color="auto"/>
            <w:left w:val="none" w:sz="0" w:space="0" w:color="auto"/>
            <w:bottom w:val="none" w:sz="0" w:space="0" w:color="auto"/>
            <w:right w:val="none" w:sz="0" w:space="0" w:color="auto"/>
          </w:divBdr>
        </w:div>
        <w:div w:id="2140603688">
          <w:marLeft w:val="547"/>
          <w:marRight w:val="0"/>
          <w:marTop w:val="62"/>
          <w:marBottom w:val="0"/>
          <w:divBdr>
            <w:top w:val="none" w:sz="0" w:space="0" w:color="auto"/>
            <w:left w:val="none" w:sz="0" w:space="0" w:color="auto"/>
            <w:bottom w:val="none" w:sz="0" w:space="0" w:color="auto"/>
            <w:right w:val="none" w:sz="0" w:space="0" w:color="auto"/>
          </w:divBdr>
        </w:div>
      </w:divsChild>
    </w:div>
    <w:div w:id="456217547">
      <w:bodyDiv w:val="1"/>
      <w:marLeft w:val="0"/>
      <w:marRight w:val="0"/>
      <w:marTop w:val="0"/>
      <w:marBottom w:val="0"/>
      <w:divBdr>
        <w:top w:val="none" w:sz="0" w:space="0" w:color="auto"/>
        <w:left w:val="none" w:sz="0" w:space="0" w:color="auto"/>
        <w:bottom w:val="none" w:sz="0" w:space="0" w:color="auto"/>
        <w:right w:val="none" w:sz="0" w:space="0" w:color="auto"/>
      </w:divBdr>
    </w:div>
    <w:div w:id="483397217">
      <w:bodyDiv w:val="1"/>
      <w:marLeft w:val="0"/>
      <w:marRight w:val="0"/>
      <w:marTop w:val="0"/>
      <w:marBottom w:val="0"/>
      <w:divBdr>
        <w:top w:val="none" w:sz="0" w:space="0" w:color="auto"/>
        <w:left w:val="none" w:sz="0" w:space="0" w:color="auto"/>
        <w:bottom w:val="none" w:sz="0" w:space="0" w:color="auto"/>
        <w:right w:val="none" w:sz="0" w:space="0" w:color="auto"/>
      </w:divBdr>
    </w:div>
    <w:div w:id="916673342">
      <w:bodyDiv w:val="1"/>
      <w:marLeft w:val="0"/>
      <w:marRight w:val="0"/>
      <w:marTop w:val="0"/>
      <w:marBottom w:val="0"/>
      <w:divBdr>
        <w:top w:val="none" w:sz="0" w:space="0" w:color="auto"/>
        <w:left w:val="none" w:sz="0" w:space="0" w:color="auto"/>
        <w:bottom w:val="none" w:sz="0" w:space="0" w:color="auto"/>
        <w:right w:val="none" w:sz="0" w:space="0" w:color="auto"/>
      </w:divBdr>
    </w:div>
    <w:div w:id="1067848411">
      <w:bodyDiv w:val="1"/>
      <w:marLeft w:val="0"/>
      <w:marRight w:val="0"/>
      <w:marTop w:val="0"/>
      <w:marBottom w:val="0"/>
      <w:divBdr>
        <w:top w:val="none" w:sz="0" w:space="0" w:color="auto"/>
        <w:left w:val="none" w:sz="0" w:space="0" w:color="auto"/>
        <w:bottom w:val="none" w:sz="0" w:space="0" w:color="auto"/>
        <w:right w:val="none" w:sz="0" w:space="0" w:color="auto"/>
      </w:divBdr>
    </w:div>
    <w:div w:id="1447505983">
      <w:bodyDiv w:val="1"/>
      <w:marLeft w:val="0"/>
      <w:marRight w:val="0"/>
      <w:marTop w:val="0"/>
      <w:marBottom w:val="0"/>
      <w:divBdr>
        <w:top w:val="none" w:sz="0" w:space="0" w:color="auto"/>
        <w:left w:val="none" w:sz="0" w:space="0" w:color="auto"/>
        <w:bottom w:val="none" w:sz="0" w:space="0" w:color="auto"/>
        <w:right w:val="none" w:sz="0" w:space="0" w:color="auto"/>
      </w:divBdr>
    </w:div>
    <w:div w:id="1504541485">
      <w:bodyDiv w:val="1"/>
      <w:marLeft w:val="0"/>
      <w:marRight w:val="0"/>
      <w:marTop w:val="0"/>
      <w:marBottom w:val="0"/>
      <w:divBdr>
        <w:top w:val="none" w:sz="0" w:space="0" w:color="auto"/>
        <w:left w:val="none" w:sz="0" w:space="0" w:color="auto"/>
        <w:bottom w:val="none" w:sz="0" w:space="0" w:color="auto"/>
        <w:right w:val="none" w:sz="0" w:space="0" w:color="auto"/>
      </w:divBdr>
      <w:divsChild>
        <w:div w:id="1866365155">
          <w:marLeft w:val="547"/>
          <w:marRight w:val="0"/>
          <w:marTop w:val="144"/>
          <w:marBottom w:val="0"/>
          <w:divBdr>
            <w:top w:val="none" w:sz="0" w:space="0" w:color="auto"/>
            <w:left w:val="none" w:sz="0" w:space="0" w:color="auto"/>
            <w:bottom w:val="none" w:sz="0" w:space="0" w:color="auto"/>
            <w:right w:val="none" w:sz="0" w:space="0" w:color="auto"/>
          </w:divBdr>
        </w:div>
      </w:divsChild>
    </w:div>
    <w:div w:id="1702776812">
      <w:bodyDiv w:val="1"/>
      <w:marLeft w:val="0"/>
      <w:marRight w:val="0"/>
      <w:marTop w:val="0"/>
      <w:marBottom w:val="0"/>
      <w:divBdr>
        <w:top w:val="none" w:sz="0" w:space="0" w:color="auto"/>
        <w:left w:val="none" w:sz="0" w:space="0" w:color="auto"/>
        <w:bottom w:val="none" w:sz="0" w:space="0" w:color="auto"/>
        <w:right w:val="none" w:sz="0" w:space="0" w:color="auto"/>
      </w:divBdr>
    </w:div>
    <w:div w:id="2130930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neergheen@uom.ac.mu"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w.li@keele.ac.uk"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D4AB2B-3C6D-334B-B190-0187D50E9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29141</Words>
  <Characters>166108</Characters>
  <Application>Microsoft Office Word</Application>
  <DocSecurity>0</DocSecurity>
  <Lines>1384</Lines>
  <Paragraphs>389</Paragraphs>
  <ScaleCrop>false</ScaleCrop>
  <HeadingPairs>
    <vt:vector size="2" baseType="variant">
      <vt:variant>
        <vt:lpstr>Title</vt:lpstr>
      </vt:variant>
      <vt:variant>
        <vt:i4>1</vt:i4>
      </vt:variant>
    </vt:vector>
  </HeadingPairs>
  <TitlesOfParts>
    <vt:vector size="1" baseType="lpstr">
      <vt:lpstr/>
    </vt:vector>
  </TitlesOfParts>
  <Company>rg-adguard</Company>
  <LinksUpToDate>false</LinksUpToDate>
  <CharactersWithSpaces>194860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Nawraj Rummun</dc:creator>
  <cp:lastModifiedBy>Wenwu Li</cp:lastModifiedBy>
  <cp:revision>2</cp:revision>
  <dcterms:created xsi:type="dcterms:W3CDTF">2020-11-08T19:26:00Z</dcterms:created>
  <dcterms:modified xsi:type="dcterms:W3CDTF">2020-11-08T19:26:00Z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http://www.zotero.org/styles/annales-de-paleontologie</vt:lpwstr>
  </property>
  <property fmtid="{D5CDD505-2E9C-101B-9397-08002B2CF9AE}" pid="3" name="Mendeley Recent Style Name 0_1">
    <vt:lpwstr>Annales de Paléontologie</vt:lpwstr>
  </property>
  <property fmtid="{D5CDD505-2E9C-101B-9397-08002B2CF9AE}" pid="4" name="Mendeley Recent Style Id 1_1">
    <vt:lpwstr>http://www.zotero.org/styles/cancer-letters</vt:lpwstr>
  </property>
  <property fmtid="{D5CDD505-2E9C-101B-9397-08002B2CF9AE}" pid="5" name="Mendeley Recent Style Name 1_1">
    <vt:lpwstr>Cancer Letters</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http://www.zotero.org/styles/fitoterapia</vt:lpwstr>
  </property>
  <property fmtid="{D5CDD505-2E9C-101B-9397-08002B2CF9AE}" pid="9" name="Mendeley Recent Style Name 3_1">
    <vt:lpwstr>Fitoterapia</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http://www.zotero.org/styles/industrial-crops-and-products</vt:lpwstr>
  </property>
  <property fmtid="{D5CDD505-2E9C-101B-9397-08002B2CF9AE}" pid="13" name="Mendeley Recent Style Name 5_1">
    <vt:lpwstr>Industrial Crops &amp; Products</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http://www.zotero.org/styles/oncotarget</vt:lpwstr>
  </property>
  <property fmtid="{D5CDD505-2E9C-101B-9397-08002B2CF9AE}" pid="17" name="Mendeley Recent Style Name 7_1">
    <vt:lpwstr>Oncotarget</vt:lpwstr>
  </property>
  <property fmtid="{D5CDD505-2E9C-101B-9397-08002B2CF9AE}" pid="18" name="Mendeley Recent Style Id 8_1">
    <vt:lpwstr>http://www.zotero.org/styles/phytochemistry</vt:lpwstr>
  </property>
  <property fmtid="{D5CDD505-2E9C-101B-9397-08002B2CF9AE}" pid="19" name="Mendeley Recent Style Name 8_1">
    <vt:lpwstr>Phytochemistry</vt:lpwstr>
  </property>
  <property fmtid="{D5CDD505-2E9C-101B-9397-08002B2CF9AE}" pid="20" name="Mendeley Recent Style Id 9_1">
    <vt:lpwstr>http://www.zotero.org/styles/south-african-journal-of-botany</vt:lpwstr>
  </property>
  <property fmtid="{D5CDD505-2E9C-101B-9397-08002B2CF9AE}" pid="21" name="Mendeley Recent Style Name 9_1">
    <vt:lpwstr>South African Journal of Botany</vt:lpwstr>
  </property>
  <property fmtid="{D5CDD505-2E9C-101B-9397-08002B2CF9AE}" pid="22" name="Mendeley Document_1">
    <vt:lpwstr>True</vt:lpwstr>
  </property>
  <property fmtid="{D5CDD505-2E9C-101B-9397-08002B2CF9AE}" pid="23" name="Mendeley Citation Style_1">
    <vt:lpwstr>http://www.zotero.org/styles/south-african-journal-of-botany</vt:lpwstr>
  </property>
  <property fmtid="{D5CDD505-2E9C-101B-9397-08002B2CF9AE}" pid="24" name="Mendeley Unique User Id_1">
    <vt:lpwstr>3709af9d-fe52-39e5-ab2a-559b1733e2c5</vt:lpwstr>
  </property>
</Properties>
</file>