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0D5F4" w14:textId="77777777" w:rsidR="009E7BA9" w:rsidRPr="00765483" w:rsidRDefault="009E7BA9" w:rsidP="009E7BA9">
      <w:pPr>
        <w:spacing w:after="0" w:line="360" w:lineRule="auto"/>
        <w:rPr>
          <w:rFonts w:ascii="Arial" w:eastAsia="Times New Roman" w:hAnsi="Arial" w:cs="Arial"/>
          <w:b/>
          <w:lang w:val="en-GB" w:eastAsia="en-GB"/>
        </w:rPr>
      </w:pPr>
      <w:r w:rsidRPr="00765483">
        <w:rPr>
          <w:rFonts w:ascii="Arial" w:eastAsia="Times New Roman" w:hAnsi="Arial" w:cs="Arial"/>
          <w:b/>
          <w:lang w:val="en-GB" w:eastAsia="en-GB"/>
        </w:rPr>
        <w:t xml:space="preserve">Perspective: Emerging topics in life sciences </w:t>
      </w:r>
    </w:p>
    <w:p w14:paraId="368CC077" w14:textId="77777777" w:rsidR="009E7BA9" w:rsidRPr="00765483" w:rsidRDefault="009E7BA9" w:rsidP="009E7BA9">
      <w:pPr>
        <w:spacing w:after="0" w:line="360" w:lineRule="auto"/>
        <w:rPr>
          <w:rFonts w:ascii="Arial" w:eastAsia="Times New Roman" w:hAnsi="Arial" w:cs="Arial"/>
          <w:bCs/>
          <w:lang w:val="en-GB" w:eastAsia="en-GB"/>
        </w:rPr>
      </w:pPr>
    </w:p>
    <w:p w14:paraId="50C0725E" w14:textId="77777777" w:rsidR="009E7BA9" w:rsidRPr="00765483" w:rsidRDefault="009E7BA9" w:rsidP="009E7BA9">
      <w:pPr>
        <w:spacing w:after="0" w:line="360" w:lineRule="auto"/>
        <w:rPr>
          <w:rFonts w:ascii="Arial" w:eastAsia="Times New Roman" w:hAnsi="Arial" w:cs="Arial"/>
          <w:b/>
          <w:lang w:val="en-GB" w:eastAsia="en-GB"/>
        </w:rPr>
      </w:pPr>
      <w:r w:rsidRPr="00765483">
        <w:rPr>
          <w:rFonts w:ascii="Arial" w:eastAsia="Times New Roman" w:hAnsi="Arial" w:cs="Arial"/>
          <w:b/>
          <w:lang w:val="en-GB" w:eastAsia="en-GB"/>
        </w:rPr>
        <w:t>Stem Cell Sprays for Neurological Injuries: A Perspective.</w:t>
      </w:r>
    </w:p>
    <w:p w14:paraId="01F05186" w14:textId="77777777" w:rsidR="009E7BA9" w:rsidRPr="00765483" w:rsidRDefault="009E7BA9" w:rsidP="009E7BA9">
      <w:pPr>
        <w:spacing w:after="0" w:line="360" w:lineRule="auto"/>
        <w:rPr>
          <w:rFonts w:ascii="Arial" w:eastAsia="Times New Roman" w:hAnsi="Arial" w:cs="Arial"/>
          <w:bCs/>
          <w:lang w:val="en-GB" w:eastAsia="en-GB"/>
        </w:rPr>
      </w:pPr>
    </w:p>
    <w:p w14:paraId="7B743F31" w14:textId="77777777" w:rsidR="009E7BA9" w:rsidRPr="00765483" w:rsidRDefault="009E7BA9" w:rsidP="009E7BA9">
      <w:pPr>
        <w:spacing w:after="0" w:line="360" w:lineRule="auto"/>
        <w:rPr>
          <w:rFonts w:ascii="Arial" w:eastAsia="Times New Roman" w:hAnsi="Arial" w:cs="Arial"/>
          <w:bCs/>
          <w:lang w:val="en-GB" w:eastAsia="en-GB"/>
        </w:rPr>
      </w:pPr>
    </w:p>
    <w:p w14:paraId="35A93FE0" w14:textId="77777777" w:rsidR="009E7BA9" w:rsidRPr="00765483" w:rsidRDefault="009E7BA9" w:rsidP="009E7BA9">
      <w:pPr>
        <w:spacing w:after="0" w:line="360" w:lineRule="auto"/>
        <w:rPr>
          <w:rFonts w:ascii="Arial" w:eastAsia="Times New Roman" w:hAnsi="Arial" w:cs="Arial"/>
          <w:bCs/>
          <w:lang w:val="en-GB" w:eastAsia="en-GB"/>
        </w:rPr>
      </w:pPr>
      <w:r w:rsidRPr="00765483">
        <w:rPr>
          <w:rFonts w:ascii="Arial" w:eastAsia="Times New Roman" w:hAnsi="Arial" w:cs="Arial"/>
          <w:bCs/>
          <w:lang w:val="en-GB" w:eastAsia="en-GB"/>
        </w:rPr>
        <w:t>William Woods</w:t>
      </w:r>
      <w:r w:rsidRPr="00765483">
        <w:rPr>
          <w:rFonts w:ascii="Arial" w:eastAsia="Times New Roman" w:hAnsi="Arial" w:cs="Arial"/>
          <w:bCs/>
          <w:vertAlign w:val="superscript"/>
          <w:lang w:val="en-GB" w:eastAsia="en-GB"/>
        </w:rPr>
        <w:t>1</w:t>
      </w:r>
      <w:r w:rsidRPr="00765483">
        <w:rPr>
          <w:rFonts w:ascii="Arial" w:eastAsia="Times New Roman" w:hAnsi="Arial" w:cs="Arial"/>
          <w:bCs/>
          <w:lang w:val="en-GB" w:eastAsia="en-GB"/>
        </w:rPr>
        <w:t>, Daisy Evans</w:t>
      </w:r>
      <w:r w:rsidRPr="00765483">
        <w:rPr>
          <w:rFonts w:ascii="Arial" w:eastAsia="Times New Roman" w:hAnsi="Arial" w:cs="Arial"/>
          <w:bCs/>
          <w:vertAlign w:val="superscript"/>
          <w:lang w:val="en-GB" w:eastAsia="en-GB"/>
        </w:rPr>
        <w:t>1</w:t>
      </w:r>
      <w:r w:rsidRPr="00765483">
        <w:rPr>
          <w:rFonts w:ascii="Arial" w:eastAsia="Times New Roman" w:hAnsi="Arial" w:cs="Arial"/>
          <w:bCs/>
          <w:lang w:val="en-GB" w:eastAsia="en-GB"/>
        </w:rPr>
        <w:t>, Aina Mogas Barcons</w:t>
      </w:r>
      <w:r w:rsidRPr="00765483">
        <w:rPr>
          <w:rFonts w:ascii="Arial" w:eastAsia="Times New Roman" w:hAnsi="Arial" w:cs="Arial"/>
          <w:bCs/>
          <w:vertAlign w:val="superscript"/>
          <w:lang w:val="en-GB" w:eastAsia="en-GB"/>
        </w:rPr>
        <w:t>1</w:t>
      </w:r>
      <w:r w:rsidRPr="00765483">
        <w:rPr>
          <w:rFonts w:ascii="Arial" w:eastAsia="Times New Roman" w:hAnsi="Arial" w:cs="Arial"/>
          <w:bCs/>
          <w:lang w:val="en-GB" w:eastAsia="en-GB"/>
        </w:rPr>
        <w:t>,</w:t>
      </w:r>
      <w:r w:rsidRPr="00765483">
        <w:rPr>
          <w:rFonts w:ascii="Arial" w:eastAsia="Times New Roman" w:hAnsi="Arial" w:cs="Arial"/>
          <w:bCs/>
          <w:vertAlign w:val="superscript"/>
          <w:lang w:val="en-GB" w:eastAsia="en-GB"/>
        </w:rPr>
        <w:t xml:space="preserve"> </w:t>
      </w:r>
      <w:r w:rsidRPr="00765483">
        <w:rPr>
          <w:rFonts w:ascii="Arial" w:eastAsia="Times New Roman" w:hAnsi="Arial" w:cs="Arial"/>
          <w:bCs/>
          <w:lang w:val="en-GB" w:eastAsia="en-GB"/>
        </w:rPr>
        <w:t>Nikolas Tzerakis</w:t>
      </w:r>
      <w:r w:rsidRPr="00765483">
        <w:rPr>
          <w:rFonts w:ascii="Arial" w:eastAsia="Times New Roman" w:hAnsi="Arial" w:cs="Arial"/>
          <w:bCs/>
          <w:vertAlign w:val="superscript"/>
          <w:lang w:val="en-GB" w:eastAsia="en-GB"/>
        </w:rPr>
        <w:t>2</w:t>
      </w:r>
      <w:r w:rsidRPr="00765483">
        <w:rPr>
          <w:rFonts w:ascii="Arial" w:eastAsia="Times New Roman" w:hAnsi="Arial" w:cs="Arial"/>
          <w:bCs/>
          <w:lang w:val="en-GB" w:eastAsia="en-GB"/>
        </w:rPr>
        <w:t>, Christopher Adams</w:t>
      </w:r>
      <w:r w:rsidRPr="00765483">
        <w:rPr>
          <w:rFonts w:ascii="Arial" w:eastAsia="Times New Roman" w:hAnsi="Arial" w:cs="Arial"/>
          <w:bCs/>
          <w:vertAlign w:val="superscript"/>
          <w:lang w:val="en-GB" w:eastAsia="en-GB"/>
        </w:rPr>
        <w:t>3</w:t>
      </w:r>
      <w:r w:rsidRPr="00765483">
        <w:rPr>
          <w:rFonts w:ascii="Arial" w:eastAsia="Times New Roman" w:hAnsi="Arial" w:cs="Arial"/>
          <w:bCs/>
          <w:lang w:val="en-GB" w:eastAsia="en-GB"/>
        </w:rPr>
        <w:t>, Divya Maitreyi Chari</w:t>
      </w:r>
      <w:r w:rsidRPr="00765483">
        <w:rPr>
          <w:rFonts w:ascii="Arial" w:eastAsia="Times New Roman" w:hAnsi="Arial" w:cs="Arial"/>
          <w:bCs/>
          <w:vertAlign w:val="superscript"/>
          <w:lang w:val="en-GB" w:eastAsia="en-GB"/>
        </w:rPr>
        <w:t>1</w:t>
      </w:r>
      <w:r w:rsidRPr="00765483">
        <w:rPr>
          <w:rFonts w:ascii="Arial" w:eastAsia="Times New Roman" w:hAnsi="Arial" w:cs="Arial"/>
          <w:bCs/>
          <w:lang w:val="en-GB" w:eastAsia="en-GB"/>
        </w:rPr>
        <w:t>*</w:t>
      </w:r>
    </w:p>
    <w:p w14:paraId="390455B5" w14:textId="77777777" w:rsidR="009E7BA9" w:rsidRPr="00765483" w:rsidRDefault="009E7BA9" w:rsidP="009E7BA9">
      <w:pPr>
        <w:spacing w:after="0" w:line="360" w:lineRule="auto"/>
        <w:rPr>
          <w:rFonts w:ascii="Arial" w:eastAsia="Times New Roman" w:hAnsi="Arial" w:cs="Arial"/>
          <w:bCs/>
          <w:lang w:val="en-GB" w:eastAsia="en-GB"/>
        </w:rPr>
      </w:pPr>
    </w:p>
    <w:p w14:paraId="7658D8B7" w14:textId="77777777" w:rsidR="009E7BA9" w:rsidRPr="00765483" w:rsidRDefault="00CC36FC" w:rsidP="009E7BA9">
      <w:pPr>
        <w:spacing w:after="0" w:line="360" w:lineRule="auto"/>
        <w:rPr>
          <w:rFonts w:ascii="Arial" w:eastAsia="Times New Roman" w:hAnsi="Arial" w:cs="Arial"/>
          <w:bCs/>
          <w:lang w:val="en-GB" w:eastAsia="en-GB"/>
        </w:rPr>
      </w:pPr>
      <w:r w:rsidRPr="00765483">
        <w:rPr>
          <w:rFonts w:ascii="Arial" w:eastAsia="Times New Roman" w:hAnsi="Arial" w:cs="Arial"/>
          <w:bCs/>
          <w:lang w:val="en-GB" w:eastAsia="en-GB"/>
        </w:rPr>
        <w:t xml:space="preserve">*Corresponding author, </w:t>
      </w:r>
      <w:r w:rsidR="009E7BA9" w:rsidRPr="00765483">
        <w:rPr>
          <w:rFonts w:ascii="Arial" w:eastAsia="Times New Roman" w:hAnsi="Arial" w:cs="Arial"/>
          <w:bCs/>
          <w:lang w:val="en-GB" w:eastAsia="en-GB"/>
        </w:rPr>
        <w:t>d.chari@keele.ac.uk</w:t>
      </w:r>
    </w:p>
    <w:p w14:paraId="497EEE20" w14:textId="77777777" w:rsidR="009E7BA9" w:rsidRPr="00765483" w:rsidRDefault="009E7BA9" w:rsidP="009E7BA9">
      <w:pPr>
        <w:spacing w:after="0" w:line="360" w:lineRule="auto"/>
        <w:rPr>
          <w:rFonts w:ascii="Arial" w:eastAsia="Times New Roman" w:hAnsi="Arial" w:cs="Arial"/>
          <w:bCs/>
          <w:lang w:val="en-GB" w:eastAsia="en-GB"/>
        </w:rPr>
      </w:pPr>
    </w:p>
    <w:p w14:paraId="25820F07" w14:textId="77777777" w:rsidR="009E7BA9" w:rsidRPr="00765483" w:rsidRDefault="009E7BA9" w:rsidP="009E7BA9">
      <w:pPr>
        <w:spacing w:after="0" w:line="360" w:lineRule="auto"/>
        <w:rPr>
          <w:rFonts w:ascii="Arial" w:eastAsia="Times New Roman" w:hAnsi="Arial" w:cs="Arial"/>
          <w:bCs/>
          <w:lang w:val="en-GB" w:eastAsia="en-GB"/>
        </w:rPr>
      </w:pPr>
    </w:p>
    <w:p w14:paraId="09874B60" w14:textId="77777777" w:rsidR="009E7BA9" w:rsidRPr="00765483" w:rsidRDefault="009E7BA9" w:rsidP="009E7BA9">
      <w:pPr>
        <w:spacing w:after="0" w:line="360" w:lineRule="auto"/>
        <w:rPr>
          <w:rFonts w:ascii="Arial" w:eastAsia="Times New Roman" w:hAnsi="Arial" w:cs="Arial"/>
          <w:bCs/>
          <w:lang w:val="en-GB" w:eastAsia="en-GB"/>
        </w:rPr>
      </w:pPr>
      <w:r w:rsidRPr="00765483">
        <w:rPr>
          <w:rFonts w:ascii="Arial" w:eastAsia="Times New Roman" w:hAnsi="Arial" w:cs="Arial"/>
          <w:bCs/>
          <w:vertAlign w:val="superscript"/>
          <w:lang w:val="en-GB" w:eastAsia="en-GB"/>
        </w:rPr>
        <w:t>1</w:t>
      </w:r>
      <w:r w:rsidRPr="00765483">
        <w:rPr>
          <w:rFonts w:ascii="Arial" w:eastAsia="Times New Roman" w:hAnsi="Arial" w:cs="Arial"/>
          <w:bCs/>
          <w:lang w:val="en-GB" w:eastAsia="en-GB"/>
        </w:rPr>
        <w:t>School of Medicine (Neural Tissue Engineering Keele group), Faculty of Medicine and Health Sciences, David Weatherall Building, Keele University, Newcastle –Under-Lyme, Staffordshire ST55BG.</w:t>
      </w:r>
    </w:p>
    <w:p w14:paraId="26634E76" w14:textId="77777777" w:rsidR="009E7BA9" w:rsidRPr="00765483" w:rsidRDefault="009E7BA9" w:rsidP="009E7BA9">
      <w:pPr>
        <w:spacing w:after="0" w:line="360" w:lineRule="auto"/>
        <w:rPr>
          <w:rFonts w:ascii="Arial" w:eastAsia="Times New Roman" w:hAnsi="Arial" w:cs="Arial"/>
          <w:bCs/>
          <w:lang w:val="en-GB" w:eastAsia="en-GB"/>
        </w:rPr>
      </w:pPr>
    </w:p>
    <w:p w14:paraId="4AC5BB44" w14:textId="77777777" w:rsidR="009E7BA9" w:rsidRPr="00765483" w:rsidRDefault="009E7BA9" w:rsidP="009E7BA9">
      <w:pPr>
        <w:spacing w:after="0" w:line="360" w:lineRule="auto"/>
        <w:rPr>
          <w:rFonts w:ascii="Arial" w:eastAsia="Times New Roman" w:hAnsi="Arial" w:cs="Arial"/>
          <w:bCs/>
          <w:lang w:val="en-GB" w:eastAsia="en-GB"/>
        </w:rPr>
      </w:pPr>
      <w:r w:rsidRPr="00765483">
        <w:rPr>
          <w:rFonts w:ascii="Arial" w:eastAsia="Times New Roman" w:hAnsi="Arial" w:cs="Arial"/>
          <w:bCs/>
          <w:vertAlign w:val="superscript"/>
          <w:lang w:val="en-GB" w:eastAsia="en-GB"/>
        </w:rPr>
        <w:t>2</w:t>
      </w:r>
      <w:r w:rsidRPr="00765483">
        <w:rPr>
          <w:rFonts w:ascii="Arial" w:eastAsia="Calibri" w:hAnsi="Arial" w:cs="Arial"/>
        </w:rPr>
        <w:t xml:space="preserve"> </w:t>
      </w:r>
      <w:r w:rsidRPr="00765483">
        <w:rPr>
          <w:rFonts w:ascii="Arial" w:eastAsia="Times New Roman" w:hAnsi="Arial" w:cs="Arial"/>
          <w:bCs/>
          <w:lang w:eastAsia="en-GB"/>
        </w:rPr>
        <w:t>Department of Neurosurgery, Royal Stoke University Hospital, Newcastle Road, Stoke-on-Trent ST4 6QG, United Kingdom.</w:t>
      </w:r>
    </w:p>
    <w:p w14:paraId="1EADF499" w14:textId="77777777" w:rsidR="009E7BA9" w:rsidRPr="00765483" w:rsidRDefault="009E7BA9" w:rsidP="009E7BA9">
      <w:pPr>
        <w:spacing w:after="0" w:line="360" w:lineRule="auto"/>
        <w:rPr>
          <w:rFonts w:ascii="Arial" w:eastAsia="Times New Roman" w:hAnsi="Arial" w:cs="Arial"/>
          <w:bCs/>
          <w:lang w:val="en-GB" w:eastAsia="en-GB"/>
        </w:rPr>
      </w:pPr>
    </w:p>
    <w:p w14:paraId="128D63B5" w14:textId="77777777" w:rsidR="009E7BA9" w:rsidRPr="00765483" w:rsidRDefault="009E7BA9" w:rsidP="009E7BA9">
      <w:pPr>
        <w:spacing w:after="0" w:line="360" w:lineRule="auto"/>
        <w:rPr>
          <w:rFonts w:ascii="Arial" w:eastAsia="Times New Roman" w:hAnsi="Arial" w:cs="Arial"/>
          <w:bCs/>
          <w:lang w:val="en-GB" w:eastAsia="en-GB"/>
        </w:rPr>
      </w:pPr>
      <w:r w:rsidRPr="00765483">
        <w:rPr>
          <w:rFonts w:ascii="Arial" w:eastAsia="Times New Roman" w:hAnsi="Arial" w:cs="Arial"/>
          <w:bCs/>
          <w:vertAlign w:val="superscript"/>
          <w:lang w:val="en-GB" w:eastAsia="en-GB"/>
        </w:rPr>
        <w:t>3</w:t>
      </w:r>
      <w:r w:rsidRPr="00765483">
        <w:rPr>
          <w:rFonts w:ascii="Arial" w:eastAsia="Times New Roman" w:hAnsi="Arial" w:cs="Arial"/>
          <w:bCs/>
          <w:lang w:val="en-GB" w:eastAsia="en-GB"/>
        </w:rPr>
        <w:t>School of Life Sciences (Neural Tissue Engineering Keele group), Huxley Building, Keele University, Newcastle-Under-Lyme, Staffordshire ST55BG.</w:t>
      </w:r>
    </w:p>
    <w:p w14:paraId="5536CD3A" w14:textId="77777777" w:rsidR="009E7BA9" w:rsidRPr="00765483" w:rsidRDefault="009E7BA9" w:rsidP="009E7BA9">
      <w:pPr>
        <w:spacing w:after="0" w:line="360" w:lineRule="auto"/>
        <w:rPr>
          <w:rFonts w:ascii="Arial" w:eastAsia="Times New Roman" w:hAnsi="Arial" w:cs="Arial"/>
          <w:bCs/>
          <w:lang w:val="en-GB" w:eastAsia="en-GB"/>
        </w:rPr>
      </w:pPr>
    </w:p>
    <w:p w14:paraId="326C05EF" w14:textId="77777777" w:rsidR="009E7BA9" w:rsidRPr="00765483" w:rsidRDefault="009E7BA9" w:rsidP="009E7BA9">
      <w:pPr>
        <w:spacing w:after="0" w:line="360" w:lineRule="auto"/>
        <w:rPr>
          <w:rFonts w:ascii="Arial" w:eastAsia="Times New Roman" w:hAnsi="Arial" w:cs="Arial"/>
          <w:bCs/>
          <w:lang w:val="en-GB" w:eastAsia="en-GB"/>
        </w:rPr>
      </w:pPr>
    </w:p>
    <w:p w14:paraId="752C6FD2" w14:textId="77777777" w:rsidR="009E7BA9" w:rsidRPr="00765483" w:rsidRDefault="009E7BA9" w:rsidP="009E7BA9">
      <w:pPr>
        <w:spacing w:after="0" w:line="360" w:lineRule="auto"/>
        <w:rPr>
          <w:rFonts w:ascii="Arial" w:eastAsia="Times New Roman" w:hAnsi="Arial" w:cs="Arial"/>
          <w:bCs/>
          <w:lang w:val="en-GB" w:eastAsia="en-GB"/>
        </w:rPr>
      </w:pPr>
    </w:p>
    <w:p w14:paraId="44CACEDD" w14:textId="77777777" w:rsidR="009E7BA9" w:rsidRPr="00765483" w:rsidRDefault="009E7BA9" w:rsidP="009E7BA9">
      <w:pPr>
        <w:spacing w:after="0" w:line="360" w:lineRule="auto"/>
        <w:rPr>
          <w:rFonts w:ascii="Arial" w:eastAsia="Times New Roman" w:hAnsi="Arial" w:cs="Arial"/>
          <w:bCs/>
          <w:lang w:val="en-GB" w:eastAsia="en-GB"/>
        </w:rPr>
      </w:pPr>
    </w:p>
    <w:p w14:paraId="336ECCA0" w14:textId="77777777" w:rsidR="009E7BA9" w:rsidRPr="00765483" w:rsidRDefault="009E7BA9" w:rsidP="009E7BA9">
      <w:pPr>
        <w:spacing w:after="0" w:line="360" w:lineRule="auto"/>
        <w:rPr>
          <w:rFonts w:ascii="Arial" w:eastAsia="Times New Roman" w:hAnsi="Arial" w:cs="Arial"/>
          <w:bCs/>
          <w:lang w:val="en-GB" w:eastAsia="en-GB"/>
        </w:rPr>
      </w:pPr>
    </w:p>
    <w:p w14:paraId="3CACF5E2" w14:textId="77777777" w:rsidR="009E7BA9" w:rsidRPr="00765483" w:rsidRDefault="009E7BA9" w:rsidP="009E7BA9">
      <w:pPr>
        <w:spacing w:after="0" w:line="360" w:lineRule="auto"/>
        <w:rPr>
          <w:rFonts w:ascii="Arial" w:eastAsia="Times New Roman" w:hAnsi="Arial" w:cs="Arial"/>
          <w:bCs/>
          <w:lang w:val="en-GB" w:eastAsia="en-GB"/>
        </w:rPr>
      </w:pPr>
    </w:p>
    <w:p w14:paraId="5261BE2F" w14:textId="77777777" w:rsidR="009E7BA9" w:rsidRPr="00765483" w:rsidRDefault="009E7BA9" w:rsidP="009E7BA9">
      <w:pPr>
        <w:spacing w:after="0" w:line="360" w:lineRule="auto"/>
        <w:rPr>
          <w:rFonts w:ascii="Arial" w:eastAsia="Times New Roman" w:hAnsi="Arial" w:cs="Arial"/>
          <w:bCs/>
          <w:lang w:val="en-GB" w:eastAsia="en-GB"/>
        </w:rPr>
      </w:pPr>
    </w:p>
    <w:p w14:paraId="0AC9FE2C" w14:textId="77777777" w:rsidR="009E7BA9" w:rsidRPr="00765483" w:rsidRDefault="009E7BA9" w:rsidP="009E7BA9">
      <w:pPr>
        <w:spacing w:after="0" w:line="360" w:lineRule="auto"/>
        <w:rPr>
          <w:rFonts w:ascii="Arial" w:eastAsia="Times New Roman" w:hAnsi="Arial" w:cs="Arial"/>
          <w:bCs/>
          <w:lang w:val="en-GB" w:eastAsia="en-GB"/>
        </w:rPr>
      </w:pPr>
    </w:p>
    <w:p w14:paraId="0228A372" w14:textId="77777777" w:rsidR="009E7BA9" w:rsidRPr="00765483" w:rsidRDefault="009E7BA9" w:rsidP="009E7BA9">
      <w:pPr>
        <w:spacing w:after="0" w:line="360" w:lineRule="auto"/>
        <w:rPr>
          <w:rFonts w:ascii="Arial" w:eastAsia="Times New Roman" w:hAnsi="Arial" w:cs="Arial"/>
          <w:bCs/>
          <w:lang w:val="en-GB" w:eastAsia="en-GB"/>
        </w:rPr>
      </w:pPr>
    </w:p>
    <w:p w14:paraId="6C130E80" w14:textId="77777777" w:rsidR="009E7BA9" w:rsidRPr="00765483" w:rsidRDefault="009E7BA9" w:rsidP="009E7BA9">
      <w:pPr>
        <w:spacing w:after="0" w:line="360" w:lineRule="auto"/>
        <w:rPr>
          <w:rFonts w:ascii="Arial" w:eastAsia="Times New Roman" w:hAnsi="Arial" w:cs="Arial"/>
          <w:bCs/>
          <w:lang w:val="en-GB" w:eastAsia="en-GB"/>
        </w:rPr>
      </w:pPr>
    </w:p>
    <w:p w14:paraId="32202649" w14:textId="77777777" w:rsidR="009E7BA9" w:rsidRPr="00765483" w:rsidRDefault="009E7BA9" w:rsidP="009E7BA9">
      <w:pPr>
        <w:spacing w:after="0" w:line="360" w:lineRule="auto"/>
        <w:rPr>
          <w:rFonts w:ascii="Arial" w:eastAsia="Times New Roman" w:hAnsi="Arial" w:cs="Arial"/>
          <w:bCs/>
          <w:lang w:val="en-GB" w:eastAsia="en-GB"/>
        </w:rPr>
      </w:pPr>
    </w:p>
    <w:p w14:paraId="16698A93" w14:textId="77777777" w:rsidR="009E7BA9" w:rsidRPr="00765483" w:rsidRDefault="009E7BA9" w:rsidP="009E7BA9">
      <w:pPr>
        <w:spacing w:after="0" w:line="360" w:lineRule="auto"/>
        <w:rPr>
          <w:rFonts w:ascii="Arial" w:eastAsia="Times New Roman" w:hAnsi="Arial" w:cs="Arial"/>
          <w:bCs/>
          <w:lang w:val="en-GB" w:eastAsia="en-GB"/>
        </w:rPr>
      </w:pPr>
    </w:p>
    <w:p w14:paraId="69F5EAE3" w14:textId="77777777" w:rsidR="009E7BA9" w:rsidRPr="00765483" w:rsidRDefault="009E7BA9" w:rsidP="009E7BA9">
      <w:pPr>
        <w:spacing w:after="0" w:line="360" w:lineRule="auto"/>
        <w:rPr>
          <w:rFonts w:ascii="Arial" w:eastAsia="Times New Roman" w:hAnsi="Arial" w:cs="Arial"/>
          <w:bCs/>
          <w:lang w:val="en-GB" w:eastAsia="en-GB"/>
        </w:rPr>
      </w:pPr>
    </w:p>
    <w:p w14:paraId="1A40FD3B" w14:textId="77777777" w:rsidR="009E7BA9" w:rsidRPr="00765483" w:rsidRDefault="009E7BA9" w:rsidP="009E7BA9">
      <w:pPr>
        <w:spacing w:after="0" w:line="360" w:lineRule="auto"/>
        <w:rPr>
          <w:rFonts w:ascii="Arial" w:eastAsia="Times New Roman" w:hAnsi="Arial" w:cs="Arial"/>
          <w:bCs/>
          <w:lang w:val="en-GB" w:eastAsia="en-GB"/>
        </w:rPr>
      </w:pPr>
    </w:p>
    <w:p w14:paraId="4A3F7016" w14:textId="77777777" w:rsidR="009E7BA9" w:rsidRPr="00765483" w:rsidRDefault="009E7BA9" w:rsidP="009E7BA9">
      <w:pPr>
        <w:spacing w:after="0" w:line="360" w:lineRule="auto"/>
        <w:rPr>
          <w:rFonts w:ascii="Arial" w:eastAsia="Times New Roman" w:hAnsi="Arial" w:cs="Arial"/>
          <w:b/>
          <w:bCs/>
          <w:lang w:val="en-GB" w:eastAsia="en-GB"/>
        </w:rPr>
      </w:pPr>
      <w:r w:rsidRPr="00765483">
        <w:rPr>
          <w:rFonts w:ascii="Arial" w:eastAsia="Times New Roman" w:hAnsi="Arial" w:cs="Arial"/>
          <w:b/>
          <w:bCs/>
          <w:lang w:val="en-GB" w:eastAsia="en-GB"/>
        </w:rPr>
        <w:lastRenderedPageBreak/>
        <w:t>Abstract</w:t>
      </w:r>
    </w:p>
    <w:p w14:paraId="7EBBE9E9" w14:textId="77777777" w:rsidR="009E7BA9" w:rsidRPr="00765483" w:rsidRDefault="009E7BA9" w:rsidP="009E7BA9">
      <w:pPr>
        <w:spacing w:after="0" w:line="360" w:lineRule="auto"/>
        <w:rPr>
          <w:rFonts w:ascii="Arial" w:eastAsia="Times New Roman" w:hAnsi="Arial" w:cs="Arial"/>
          <w:bCs/>
          <w:lang w:val="en-GB" w:eastAsia="en-GB"/>
        </w:rPr>
      </w:pPr>
    </w:p>
    <w:p w14:paraId="0A097B65" w14:textId="77777777" w:rsidR="009E7BA9" w:rsidRPr="00765483" w:rsidRDefault="009E7BA9" w:rsidP="009E7BA9">
      <w:pPr>
        <w:spacing w:after="0" w:line="360" w:lineRule="auto"/>
        <w:rPr>
          <w:rFonts w:ascii="Arial" w:eastAsia="Times New Roman" w:hAnsi="Arial" w:cs="Arial"/>
          <w:bCs/>
          <w:lang w:val="en-GB" w:eastAsia="en-GB"/>
        </w:rPr>
      </w:pPr>
      <w:r w:rsidRPr="00765483">
        <w:rPr>
          <w:rFonts w:ascii="Arial" w:eastAsia="Times New Roman" w:hAnsi="Arial" w:cs="Arial"/>
          <w:bCs/>
          <w:lang w:val="en-CA" w:eastAsia="en-GB"/>
        </w:rPr>
        <w:t>Injuries to the brain and spinal cord have major clinical consequences with high costs for healthcare systems. Neural cell transplantation therapies have significant translational potential to promote regeneration post-injury with clinical trials commencing for various pathologies. However, there are challenges associated with current clinical approaches used for systemic or direct delivery of transplant cells to neural tissue in regenerative applications. These include risks associated with surgical microinjection into neural tissue (</w:t>
      </w:r>
      <w:proofErr w:type="gramStart"/>
      <w:r w:rsidRPr="00765483">
        <w:rPr>
          <w:rFonts w:ascii="Arial" w:eastAsia="Times New Roman" w:hAnsi="Arial" w:cs="Arial"/>
          <w:bCs/>
          <w:lang w:val="en-CA" w:eastAsia="en-GB"/>
        </w:rPr>
        <w:t>e.g.</w:t>
      </w:r>
      <w:proofErr w:type="gramEnd"/>
      <w:r w:rsidRPr="00765483">
        <w:rPr>
          <w:rFonts w:ascii="Arial" w:eastAsia="Times New Roman" w:hAnsi="Arial" w:cs="Arial"/>
          <w:bCs/>
          <w:lang w:val="en-CA" w:eastAsia="en-GB"/>
        </w:rPr>
        <w:t xml:space="preserve"> haemorrhage, cell clumping) and high cell loss due to systemic clearance or with cell passage through fine gauge needles into densely packed neural tissue. This article presents lines of evidence supporting the concept that cell spray delivery technology can offer significant translational benefits for neural transplantation therapy, versus current cell delivery methods. Potential benefits include rapid/homogenous cell delivery, release over large surface areas, minimal invasiveness, compatibility with neurosurgical procedures in acute injury, no predictable clinical </w:t>
      </w:r>
      <w:proofErr w:type="gramStart"/>
      <w:r w:rsidRPr="00765483">
        <w:rPr>
          <w:rFonts w:ascii="Arial" w:eastAsia="Times New Roman" w:hAnsi="Arial" w:cs="Arial"/>
          <w:bCs/>
          <w:lang w:val="en-CA" w:eastAsia="en-GB"/>
        </w:rPr>
        <w:t>complications</w:t>
      </w:r>
      <w:proofErr w:type="gramEnd"/>
      <w:r w:rsidRPr="00765483">
        <w:rPr>
          <w:rFonts w:ascii="Arial" w:eastAsia="Times New Roman" w:hAnsi="Arial" w:cs="Arial"/>
          <w:bCs/>
          <w:lang w:val="en-CA" w:eastAsia="en-GB"/>
        </w:rPr>
        <w:t xml:space="preserve"> and the capacity to combine cell therapies with drug/biomolecule delivery. Accordingly, we consider that development of cell spray delivery technology represents a key goal to develop advanced cell therapies for regenerative neurology. </w:t>
      </w:r>
    </w:p>
    <w:p w14:paraId="28CF8CF6" w14:textId="77777777" w:rsidR="009E7BA9" w:rsidRPr="00765483" w:rsidRDefault="009E7BA9" w:rsidP="009E7BA9">
      <w:pPr>
        <w:spacing w:after="0" w:line="360" w:lineRule="auto"/>
        <w:rPr>
          <w:rFonts w:ascii="Arial" w:eastAsia="Times New Roman" w:hAnsi="Arial" w:cs="Arial"/>
          <w:bCs/>
          <w:lang w:val="en-GB" w:eastAsia="en-GB"/>
        </w:rPr>
      </w:pPr>
    </w:p>
    <w:p w14:paraId="3D5F86D8" w14:textId="77777777" w:rsidR="009E7BA9" w:rsidRPr="00765483" w:rsidRDefault="009E7BA9" w:rsidP="009E7BA9">
      <w:pPr>
        <w:spacing w:after="0" w:line="360" w:lineRule="auto"/>
        <w:rPr>
          <w:rFonts w:ascii="Arial" w:eastAsia="Times New Roman" w:hAnsi="Arial" w:cs="Arial"/>
          <w:bCs/>
          <w:lang w:val="en-GB" w:eastAsia="en-GB"/>
        </w:rPr>
      </w:pPr>
    </w:p>
    <w:p w14:paraId="14C4DF44" w14:textId="77777777" w:rsidR="009E7BA9" w:rsidRPr="00765483" w:rsidRDefault="009E7BA9" w:rsidP="009E7BA9">
      <w:pPr>
        <w:spacing w:after="0" w:line="360" w:lineRule="auto"/>
        <w:rPr>
          <w:rFonts w:ascii="Arial" w:eastAsia="Times New Roman" w:hAnsi="Arial" w:cs="Arial"/>
          <w:bCs/>
          <w:lang w:val="en-GB" w:eastAsia="en-GB"/>
        </w:rPr>
      </w:pPr>
    </w:p>
    <w:p w14:paraId="5FB60287" w14:textId="77777777" w:rsidR="009E7BA9" w:rsidRPr="00765483" w:rsidRDefault="009E7BA9" w:rsidP="009E7BA9">
      <w:pPr>
        <w:spacing w:after="0" w:line="360" w:lineRule="auto"/>
        <w:rPr>
          <w:rFonts w:ascii="Arial" w:eastAsia="Times New Roman" w:hAnsi="Arial" w:cs="Arial"/>
          <w:bCs/>
          <w:lang w:val="en-GB" w:eastAsia="en-GB"/>
        </w:rPr>
      </w:pPr>
    </w:p>
    <w:p w14:paraId="648BD22D" w14:textId="77777777" w:rsidR="009E7BA9" w:rsidRPr="00765483" w:rsidRDefault="009E7BA9" w:rsidP="009E7BA9">
      <w:pPr>
        <w:spacing w:after="0" w:line="360" w:lineRule="auto"/>
        <w:rPr>
          <w:rFonts w:ascii="Arial" w:eastAsia="Times New Roman" w:hAnsi="Arial" w:cs="Arial"/>
          <w:bCs/>
          <w:lang w:val="en-GB" w:eastAsia="en-GB"/>
        </w:rPr>
      </w:pPr>
    </w:p>
    <w:p w14:paraId="630B0015" w14:textId="77777777" w:rsidR="009E7BA9" w:rsidRPr="00765483" w:rsidRDefault="009E7BA9" w:rsidP="009E7BA9">
      <w:pPr>
        <w:spacing w:after="0" w:line="360" w:lineRule="auto"/>
        <w:rPr>
          <w:rFonts w:ascii="Arial" w:eastAsia="Times New Roman" w:hAnsi="Arial" w:cs="Arial"/>
          <w:bCs/>
          <w:lang w:val="en-GB" w:eastAsia="en-GB"/>
        </w:rPr>
      </w:pPr>
    </w:p>
    <w:p w14:paraId="380F0982" w14:textId="77777777" w:rsidR="009E7BA9" w:rsidRPr="00765483" w:rsidRDefault="009E7BA9" w:rsidP="009E7BA9">
      <w:pPr>
        <w:spacing w:after="0" w:line="360" w:lineRule="auto"/>
        <w:rPr>
          <w:rFonts w:ascii="Arial" w:eastAsia="Times New Roman" w:hAnsi="Arial" w:cs="Arial"/>
          <w:bCs/>
          <w:lang w:val="en-GB" w:eastAsia="en-GB"/>
        </w:rPr>
      </w:pPr>
    </w:p>
    <w:p w14:paraId="33EC9EF0" w14:textId="77777777" w:rsidR="009E7BA9" w:rsidRPr="00765483" w:rsidRDefault="009E7BA9" w:rsidP="009E7BA9">
      <w:pPr>
        <w:spacing w:after="0" w:line="360" w:lineRule="auto"/>
        <w:rPr>
          <w:rFonts w:ascii="Arial" w:eastAsia="Times New Roman" w:hAnsi="Arial" w:cs="Arial"/>
          <w:bCs/>
          <w:lang w:val="en-GB" w:eastAsia="en-GB"/>
        </w:rPr>
      </w:pPr>
    </w:p>
    <w:p w14:paraId="179A2772" w14:textId="77777777" w:rsidR="009E7BA9" w:rsidRPr="00765483" w:rsidRDefault="009E7BA9" w:rsidP="009E7BA9">
      <w:pPr>
        <w:spacing w:after="0" w:line="360" w:lineRule="auto"/>
        <w:rPr>
          <w:rFonts w:ascii="Arial" w:eastAsia="Times New Roman" w:hAnsi="Arial" w:cs="Arial"/>
          <w:bCs/>
          <w:lang w:val="en-GB" w:eastAsia="en-GB"/>
        </w:rPr>
      </w:pPr>
    </w:p>
    <w:p w14:paraId="0FE7F41E" w14:textId="77777777" w:rsidR="009E7BA9" w:rsidRPr="00765483" w:rsidRDefault="009E7BA9" w:rsidP="009E7BA9">
      <w:pPr>
        <w:spacing w:after="0" w:line="360" w:lineRule="auto"/>
        <w:rPr>
          <w:rFonts w:ascii="Arial" w:eastAsia="Times New Roman" w:hAnsi="Arial" w:cs="Arial"/>
          <w:bCs/>
          <w:lang w:val="en-GB" w:eastAsia="en-GB"/>
        </w:rPr>
      </w:pPr>
    </w:p>
    <w:p w14:paraId="508CE31C" w14:textId="77777777" w:rsidR="009E7BA9" w:rsidRPr="00765483" w:rsidRDefault="009E7BA9" w:rsidP="009E7BA9">
      <w:pPr>
        <w:spacing w:after="0" w:line="360" w:lineRule="auto"/>
        <w:rPr>
          <w:rFonts w:ascii="Arial" w:eastAsia="Times New Roman" w:hAnsi="Arial" w:cs="Arial"/>
          <w:bCs/>
          <w:lang w:val="en-GB" w:eastAsia="en-GB"/>
        </w:rPr>
      </w:pPr>
    </w:p>
    <w:p w14:paraId="47F19C90" w14:textId="77777777" w:rsidR="009E7BA9" w:rsidRPr="00765483" w:rsidRDefault="009E7BA9" w:rsidP="009E7BA9">
      <w:pPr>
        <w:spacing w:after="0" w:line="360" w:lineRule="auto"/>
        <w:rPr>
          <w:rFonts w:ascii="Arial" w:eastAsia="Times New Roman" w:hAnsi="Arial" w:cs="Arial"/>
          <w:bCs/>
          <w:lang w:val="en-GB" w:eastAsia="en-GB"/>
        </w:rPr>
      </w:pPr>
    </w:p>
    <w:p w14:paraId="1B100FAA" w14:textId="77777777" w:rsidR="009E7BA9" w:rsidRPr="00765483" w:rsidRDefault="009E7BA9" w:rsidP="009E7BA9">
      <w:pPr>
        <w:spacing w:after="0" w:line="360" w:lineRule="auto"/>
        <w:rPr>
          <w:rFonts w:ascii="Arial" w:eastAsia="Times New Roman" w:hAnsi="Arial" w:cs="Arial"/>
          <w:bCs/>
          <w:lang w:val="en-GB" w:eastAsia="en-GB"/>
        </w:rPr>
      </w:pPr>
    </w:p>
    <w:p w14:paraId="5235ADF2" w14:textId="77777777" w:rsidR="009E7BA9" w:rsidRPr="00765483" w:rsidRDefault="009E7BA9" w:rsidP="009E7BA9">
      <w:pPr>
        <w:spacing w:after="0" w:line="360" w:lineRule="auto"/>
        <w:rPr>
          <w:rFonts w:ascii="Arial" w:eastAsia="Times New Roman" w:hAnsi="Arial" w:cs="Arial"/>
          <w:bCs/>
          <w:lang w:val="en-GB" w:eastAsia="en-GB"/>
        </w:rPr>
      </w:pPr>
    </w:p>
    <w:p w14:paraId="705EF7CD" w14:textId="77777777" w:rsidR="009E7BA9" w:rsidRPr="00765483" w:rsidRDefault="009E7BA9" w:rsidP="009E7BA9">
      <w:pPr>
        <w:spacing w:after="0" w:line="360" w:lineRule="auto"/>
        <w:rPr>
          <w:rFonts w:ascii="Arial" w:eastAsia="Times New Roman" w:hAnsi="Arial" w:cs="Arial"/>
          <w:bCs/>
          <w:lang w:val="en-GB" w:eastAsia="en-GB"/>
        </w:rPr>
      </w:pPr>
    </w:p>
    <w:p w14:paraId="065559FA" w14:textId="77777777" w:rsidR="009E7BA9" w:rsidRPr="00765483" w:rsidRDefault="009E7BA9" w:rsidP="009E7BA9">
      <w:pPr>
        <w:spacing w:after="0" w:line="360" w:lineRule="auto"/>
        <w:rPr>
          <w:rFonts w:ascii="Arial" w:eastAsia="Times New Roman" w:hAnsi="Arial" w:cs="Arial"/>
          <w:bCs/>
          <w:lang w:val="en-GB" w:eastAsia="en-GB"/>
        </w:rPr>
      </w:pPr>
    </w:p>
    <w:p w14:paraId="136991E2" w14:textId="77777777" w:rsidR="009E7BA9" w:rsidRPr="00765483" w:rsidRDefault="009E7BA9" w:rsidP="009E7BA9">
      <w:pPr>
        <w:spacing w:after="0" w:line="360" w:lineRule="auto"/>
        <w:rPr>
          <w:rFonts w:ascii="Arial" w:eastAsia="Times New Roman" w:hAnsi="Arial" w:cs="Arial"/>
          <w:bCs/>
          <w:lang w:val="en-GB" w:eastAsia="en-GB"/>
        </w:rPr>
      </w:pPr>
    </w:p>
    <w:p w14:paraId="540E3835" w14:textId="77777777" w:rsidR="009E7BA9" w:rsidRPr="00765483" w:rsidRDefault="009E7BA9" w:rsidP="009E7BA9">
      <w:pPr>
        <w:spacing w:after="0" w:line="360" w:lineRule="auto"/>
        <w:rPr>
          <w:rFonts w:ascii="Arial" w:eastAsia="Times New Roman" w:hAnsi="Arial" w:cs="Arial"/>
          <w:bCs/>
          <w:lang w:val="en-GB" w:eastAsia="en-GB"/>
        </w:rPr>
      </w:pPr>
      <w:r w:rsidRPr="00765483">
        <w:rPr>
          <w:rFonts w:ascii="Arial" w:eastAsia="Times New Roman" w:hAnsi="Arial" w:cs="Arial"/>
          <w:bCs/>
          <w:lang w:val="en-GB" w:eastAsia="en-GB"/>
        </w:rPr>
        <w:lastRenderedPageBreak/>
        <w:t xml:space="preserve">Injury to the central nervous system (CNS) results in cell loss/damage, glial scarring, </w:t>
      </w:r>
    </w:p>
    <w:p w14:paraId="408F306E" w14:textId="4E92CEDC" w:rsidR="009E7BA9" w:rsidRPr="00765483" w:rsidRDefault="009E7BA9" w:rsidP="009E7BA9">
      <w:pPr>
        <w:spacing w:after="0" w:line="360" w:lineRule="auto"/>
        <w:rPr>
          <w:rFonts w:ascii="Arial" w:eastAsia="Calibri" w:hAnsi="Arial" w:cs="Arial"/>
          <w:lang w:val="en-GB" w:eastAsia="en-GB"/>
        </w:rPr>
      </w:pPr>
      <w:r w:rsidRPr="00765483">
        <w:rPr>
          <w:rFonts w:ascii="Arial" w:eastAsia="Times New Roman" w:hAnsi="Arial" w:cs="Arial"/>
          <w:bCs/>
          <w:lang w:val="en-GB" w:eastAsia="en-GB"/>
        </w:rPr>
        <w:t xml:space="preserve">and induction of inflammatory mechanisms which contribute to an environment inhibitory to repair </w:t>
      </w:r>
      <w:r w:rsidRPr="00765483">
        <w:rPr>
          <w:rFonts w:ascii="Arial" w:eastAsia="Times New Roman" w:hAnsi="Arial" w:cs="Arial"/>
          <w:bCs/>
          <w:lang w:val="en-GB" w:eastAsia="en-GB"/>
        </w:rPr>
        <w:fldChar w:fldCharType="begin" w:fldLock="1"/>
      </w:r>
      <w:r w:rsidR="00764676" w:rsidRPr="00765483">
        <w:rPr>
          <w:rFonts w:ascii="Arial" w:eastAsia="Times New Roman" w:hAnsi="Arial" w:cs="Arial"/>
          <w:bCs/>
          <w:lang w:val="en-GB" w:eastAsia="en-GB"/>
        </w:rPr>
        <w:instrText>ADDIN CSL_CITATION {"citationItems":[{"id":"ITEM-1","itemData":{"DOI":"10.1177/2041731411418392","ISSN":"2041-7314","abstract":"After central nervous system (CNS) injury axons fail to regenerate often leading to persistent neurologic deficit although injured peripheral nervous system (PNS) axons mount a robust regenerative response that may lead to functional recovery. Some of the failures of CNS regeneration arise from the many glial-based inhibitory molecules found in the injured CNS, whereas the intrinsic regenerative potential of some CNS neurons is actively curtailed during CNS maturation and limited after injury. In this review, the molecular basis for extrinsic and intrinsic modulation of axon regeneration within the nervous system is evaluated. A more complete understanding of the factors limiting axonal regeneration will provide a rational basis, which is used to develop improved treatments for nervous system injury. © The Author(s) 2011.","author":[{"dropping-particle":"","family":"Ferguson","given":"Toby A.","non-dropping-particle":"","parse-names":false,"suffix":""},{"dropping-particle":"","family":"Son","given":"Young-Jin","non-dropping-particle":"","parse-names":false,"suffix":""}],"container-title":"Journal of Tissue Engineering","id":"ITEM-1","issue":"1","issued":{"date-parts":[["2011","1","13"]]},"page":"204173141141839","publisher":"SAGE Publications Ltd","title":"Extrinsic and intrinsic determinants of nerve regeneration","type":"article-journal","volume":"2"},"uris":["http://www.mendeley.com/documents/?uuid=f50be4cd-f050-3afb-9cfb-5149574fe709"]},{"id":"ITEM-2","itemData":{"DOI":"10.1101/cshperspect.a020602","ISSN":"19430264","PMID":"25475091","abstract":"Animal studies are now showing the exciting potential to achieve significant functional recovery following central nervous system (CNS) injury by manipulating both the inefficient intracellular growth machinery in neurons, as well as the extracellular barriers, which further limit their regenerative potential. In this review, we have focused on the three major glial cell types: oligodendrocytes, astrocytes, and microglia/macrophages, in addition to some of their precursors, which form major extrinsic barriers to regrowth in the injured CNS. Although axotomized neurons in the CNS have, at best, a limited capacity to regenerate or sprout, there is accumulating evidence that even in the adult and, especially after boosting their growth motor, neurons possess the capacity for considerable circuit reorganization and even lengthy regeneration when these glial obstacles to neuronal regrowth are modified, eliminated, or overcome.","author":[{"dropping-particle":"","family":"Silver","given":"Jerry","non-dropping-particle":"","parse-names":false,"suffix":""},{"dropping-particle":"","family":"Schwab","given":"Martin E.","non-dropping-particle":"","parse-names":false,"suffix":""},{"dropping-particle":"","family":"Popovich","given":"Phillip G.","non-dropping-particle":"","parse-names":false,"suffix":""}],"container-title":"Cold Spring Harbor Perspectives in Biology","id":"ITEM-2","issue":"3","issued":{"date-parts":[["2015"]]},"publisher":"Cold Spring Harbor Laboratory Press","title":"Central nervous system regenerative failure: Role of oligodendrocytes, astrocytes, and microglia","type":"article-journal","volume":"7"},"uris":["http://www.mendeley.com/documents/?uuid=f9524b5f-73f7-3dc4-89d9-e795634eeadd"]}],"mendeley":{"formattedCitation":"(1,2)","plainTextFormattedCitation":"(1,2)","previouslyFormattedCitation":"(1,2)"},"properties":{"noteIndex":0},"schema":"https://github.com/citation-style-language/schema/raw/master/csl-citation.json"}</w:instrText>
      </w:r>
      <w:r w:rsidRPr="00765483">
        <w:rPr>
          <w:rFonts w:ascii="Arial" w:eastAsia="Times New Roman" w:hAnsi="Arial" w:cs="Arial"/>
          <w:bCs/>
          <w:lang w:val="en-GB" w:eastAsia="en-GB"/>
        </w:rPr>
        <w:fldChar w:fldCharType="separate"/>
      </w:r>
      <w:r w:rsidR="00C153CE" w:rsidRPr="00765483">
        <w:rPr>
          <w:rFonts w:ascii="Arial" w:eastAsia="Times New Roman" w:hAnsi="Arial" w:cs="Arial"/>
          <w:bCs/>
          <w:noProof/>
          <w:lang w:val="en-GB" w:eastAsia="en-GB"/>
        </w:rPr>
        <w:t>(1,2)</w:t>
      </w:r>
      <w:r w:rsidRPr="00765483">
        <w:rPr>
          <w:rFonts w:ascii="Arial" w:eastAsia="Times New Roman" w:hAnsi="Arial" w:cs="Arial"/>
          <w:bCs/>
          <w:lang w:val="en-GB" w:eastAsia="en-GB"/>
        </w:rPr>
        <w:fldChar w:fldCharType="end"/>
      </w:r>
      <w:r w:rsidRPr="00765483">
        <w:rPr>
          <w:rFonts w:ascii="Arial" w:eastAsia="Times New Roman" w:hAnsi="Arial" w:cs="Arial"/>
          <w:bCs/>
          <w:lang w:val="en-GB" w:eastAsia="en-GB"/>
        </w:rPr>
        <w:t xml:space="preserve">. The limited regeneration post-injury leads to devastating long-term neurological sequelae for patients such as memory loss, paresis, paralysis or epilepsy </w:t>
      </w:r>
      <w:r w:rsidRPr="00765483">
        <w:rPr>
          <w:rFonts w:ascii="Arial" w:eastAsia="Times New Roman" w:hAnsi="Arial" w:cs="Arial"/>
          <w:bCs/>
          <w:lang w:val="en-GB" w:eastAsia="en-GB"/>
        </w:rPr>
        <w:fldChar w:fldCharType="begin" w:fldLock="1"/>
      </w:r>
      <w:r w:rsidR="00764676" w:rsidRPr="00765483">
        <w:rPr>
          <w:rFonts w:ascii="Arial" w:eastAsia="Times New Roman" w:hAnsi="Arial" w:cs="Arial"/>
          <w:bCs/>
          <w:lang w:val="en-GB" w:eastAsia="en-GB"/>
        </w:rPr>
        <w:instrText>ADDIN CSL_CITATION {"citationItems":[{"id":"ITEM-1","itemData":{"DOI":"10.1080/13803390490919245","ISSN":"13803395","PMID":"16207622","abstract":"Deficient learning and memory are frequently reported as a consequence of traumatic brain injury (TBI). Because of the diffuse nature of the injury, patients with TBI are not the ideal group for studying brain-behavior relations. Nevertheless, characterization of the memory breakdown following TBI could contribute to the assessment and rehabilitation of this patient population. It is well documented that memory is not a unitary system. Accordingly, in this article I review studies that have investigated the long-term effect of moderate to severe TBI on different memory aspects, including explicit and implicit tests of memory. This review demonstrates that TBI affects a large range of memory aspects. One of the conclusions is that the memory impairment observed in TBI patients could be viewed, at least to some degree, as a consequence of a more general cognitive deficit. Thus, unlike patients suffering from global amnesia, memory in patients with TBI is not selectively impaired. Nevertheless, it is possible to detect a subgroup of patients that do meet the criteria of amnesia. However, the most common vulnerable memory processes following TBI very much resemble the memory deficits reported in patients following frontal lobe damage, e.g., difficulties in applying active or effortful strategy in the learning or retrieval process. The suggested similarity between patients with TBI and those suffering from frontal lobe injury should be viewed cautiously; considering the nature of TBI, patients suffering from such injuries are not a homogeneous group. In view of this limitation, the future challenge in this field will be to identify subgroups of patients, either a priori according to a range of factors such as severity of injury, or a posteriori based on their specific memory deficit characteristics. Such a research approach has the potential of explaining much of the variability in findings reported in the literature on the effect of TBI on memory. Copyright © Taylor &amp; Francis Ltd.","author":[{"dropping-particle":"","family":"Vakil","given":"Eli","non-dropping-particle":"","parse-names":false,"suffix":""}],"container-title":"Journal of Clinical and Experimental Neuropsychology","id":"ITEM-1","issue":"8","issued":{"date-parts":[["2005","11"]]},"page":"977-1021","publisher":"J Clin Exp Neuropsychol","title":"The effect of moderate to severe traumatic brain injury (TBI) on different aspects of memory: A selective review","type":"article","volume":"27"},"uris":["http://www.mendeley.com/documents/?uuid=ae9d1d49-f2dd-3d43-a24a-d28dd1735bf7"]},{"id":"ITEM-2","itemData":{"DOI":"10.1089/neu.2014.3352","ISSN":"15579042","PMID":"25158206","abstract":"Traumatic brain injury (TBI) is a significant clinical problem with few therapeutic interventions successfully translated to the clinic. Increased importance on the progressive, long-term consequences of TBI have been emphasized, both in the experimental and clinical literature. Thus, there is a need for a better understanding of the chronic consequences of TBI, with the ultimate goal of developing novel therapeutic interventions to treat the devastating consequences of brain injury. In models of mild, moderate, and severe TBI, histopathological and behavioral studies have emphasized the progressive nature of the initial traumatic insult and the involvement of multiple pathophysiological mechanisms, including sustained injury cascades leading to prolonged motor and cognitive deficits. Recently, the increased incidence in age-dependent neurodegenerative diseases in this patient population has also been emphasized. Pathomechanisms felt to be active in the acute and long-term consequences of TBI include excitotoxicity, apoptosis, inflammatory events, seizures, demyelination, white matter pathology, as well as decreased neurogenesis. The current article will review many of these pathophysiological mechanisms that may be important targets for limiting the chronic consequences of TBI.","author":[{"dropping-particle":"","family":"Bramlett","given":"Helen M.","non-dropping-particle":"","parse-names":false,"suffix":""},{"dropping-particle":"","family":"Dietrich","given":"W. Dalton","non-dropping-particle":"","parse-names":false,"suffix":""}],"container-title":"Journal of Neurotrauma","id":"ITEM-2","issue":"23","issued":{"date-parts":[["2015","12","1"]]},"page":"1834-1848","publisher":"Mary Ann Liebert Inc.","title":"Long-Term Consequences of Traumatic Brain Injury: Current Status of Potential Mechanisms of Injury and Neurological Outcomes","type":"article-journal","volume":"32"},"uris":["http://www.mendeley.com/documents/?uuid=6bf0b464-f560-3d99-853b-5417be4ecfb7"]},{"id":"ITEM-3","itemData":{"DOI":"10.1682/JRRD.2006.12.0158","ISSN":"07487711","PMID":"18075954","abstract":"Neuromotor impairment is a common sequela of severe traumatic brain injury (TBI) but has been understudied relative to neurocognitive outcomes. This multicenter cohort study describes the longitudinal course of neurological examination-based motor abnormalities after severe TBI. Subjects were enrolled from the four lead Department of Veterans Affairs and Defense and Veterans Brain Injury Center sites. The study cohort consisted of 102 consecutive patients (active duty, veteran, or military dependent) with severe TBI who consented during acute rehabilitation for data collection and completed all follow-up evaluations. Paresis, ataxia, and postural instability measures showed a pattern of improvement over time, with the greatest improvement occurring between the inpatient (baseline) and 6-month follow-up assessments. Involuntary movement disorders were rare at all time points. Two years following acute rehabilitation, more than one-third of subjects continued to display a neuromotor abnormality on basic neurological examination. Persistence of tandem gait abnormality was particularly common.","author":[{"dropping-particle":"","family":"Walker","given":"William C.","non-dropping-particle":"","parse-names":false,"suffix":""},{"dropping-particle":"","family":"Pickett","given":"Treven C.","non-dropping-particle":"","parse-names":false,"suffix":""}],"container-title":"Journal of Rehabilitation Research and Development","id":"ITEM-3","issue":"7","issued":{"date-parts":[["2007"]]},"page":"975-982","publisher":"J Rehabil Res Dev","title":"Motor impairment after severe traumatic brain injury: A longitudinal multicenter study","type":"article-journal","volume":"44"},"uris":["http://www.mendeley.com/documents/?uuid=49bb7cd4-af41-3601-93f5-5f6f546f3cfd"]}],"mendeley":{"formattedCitation":"(3–5)","plainTextFormattedCitation":"(3–5)","previouslyFormattedCitation":"(3–5)"},"properties":{"noteIndex":0},"schema":"https://github.com/citation-style-language/schema/raw/master/csl-citation.json"}</w:instrText>
      </w:r>
      <w:r w:rsidRPr="00765483">
        <w:rPr>
          <w:rFonts w:ascii="Arial" w:eastAsia="Times New Roman" w:hAnsi="Arial" w:cs="Arial"/>
          <w:bCs/>
          <w:lang w:val="en-GB" w:eastAsia="en-GB"/>
        </w:rPr>
        <w:fldChar w:fldCharType="separate"/>
      </w:r>
      <w:r w:rsidR="00C153CE" w:rsidRPr="00765483">
        <w:rPr>
          <w:rFonts w:ascii="Arial" w:eastAsia="Times New Roman" w:hAnsi="Arial" w:cs="Arial"/>
          <w:bCs/>
          <w:noProof/>
          <w:lang w:val="en-GB" w:eastAsia="en-GB"/>
        </w:rPr>
        <w:t>(3–5)</w:t>
      </w:r>
      <w:r w:rsidRPr="00765483">
        <w:rPr>
          <w:rFonts w:ascii="Arial" w:eastAsia="Times New Roman" w:hAnsi="Arial" w:cs="Arial"/>
          <w:bCs/>
          <w:lang w:val="en-GB" w:eastAsia="en-GB"/>
        </w:rPr>
        <w:fldChar w:fldCharType="end"/>
      </w:r>
      <w:r w:rsidRPr="00765483">
        <w:rPr>
          <w:rFonts w:ascii="Arial" w:eastAsia="Times New Roman" w:hAnsi="Arial" w:cs="Arial"/>
          <w:bCs/>
          <w:lang w:val="en-GB" w:eastAsia="en-GB"/>
        </w:rPr>
        <w:t xml:space="preserve">. Novel therapies are urgently required to improve patient outcomes and reduce financial burdens on healthcare systems. Stem </w:t>
      </w:r>
      <w:r w:rsidRPr="00765483">
        <w:rPr>
          <w:rFonts w:ascii="Arial" w:eastAsia="Times New Roman" w:hAnsi="Arial" w:cs="Arial"/>
          <w:color w:val="000000"/>
          <w:shd w:val="clear" w:color="auto" w:fill="FFFFFF"/>
          <w:lang w:val="en-GB" w:eastAsia="en-GB"/>
        </w:rPr>
        <w:t xml:space="preserve">cell transplantation as a regenerative therapy (for cell/trophic factor replacement) has been tested for several neurological conditions with proven functional benefit </w:t>
      </w:r>
      <w:r w:rsidRPr="00765483">
        <w:rPr>
          <w:rFonts w:ascii="Arial" w:eastAsia="Calibri" w:hAnsi="Arial" w:cs="Arial"/>
          <w:lang w:val="en-GB" w:eastAsia="en-GB"/>
        </w:rPr>
        <w:fldChar w:fldCharType="begin" w:fldLock="1"/>
      </w:r>
      <w:r w:rsidR="00764676" w:rsidRPr="00765483">
        <w:rPr>
          <w:rFonts w:ascii="Arial" w:eastAsia="Calibri" w:hAnsi="Arial" w:cs="Arial"/>
          <w:lang w:val="en-GB" w:eastAsia="en-GB"/>
        </w:rPr>
        <w:instrText>ADDIN CSL_CITATION {"citationItems":[{"id":"ITEM-1","itemData":{"DOI":"10.3171/2018.12.FOCUS18602","ISSN":"10920684","PMID":"30835679","abstract":"Recent advances in stem cell biology present significant opportunities to advance clinical applications of stem cell-based therapies for spinal cord injury (SCI). In this review, the authors critically analyze the basic science and translational evidence that supports the use of various stem cell sources, including induced pluripotent stem cells, oligodendrocyte precursor cells, and mesenchymal stem cells. They subsequently explore recent advances in stem cell biology and discuss ongoing clinical translation efforts, including combinatorial strategies utilizing scaffolds, biogels, and growth factors to augment stem cell survival, function, and engraftment. Finally, the authors discuss the evolution of stem cell therapies for SCI by providing an overview of completed (n = 18) and ongoing (n = 9) clinical trials.","author":[{"dropping-particle":"","family":"Jin","given":"Michael C.","non-dropping-particle":"","parse-names":false,"suffix":""},{"dropping-particle":"","family":"Medress","given":"Zachary A.","non-dropping-particle":"","parse-names":false,"suffix":""},{"dropping-particle":"","family":"Azad","given":"Tej D.","non-dropping-particle":"","parse-names":false,"suffix":""},{"dropping-particle":"","family":"Doulames","given":"Vanessa M.","non-dropping-particle":"","parse-names":false,"suffix":""},{"dropping-particle":"","family":"Veeravagu","given":"Anand","non-dropping-particle":"","parse-names":false,"suffix":""}],"container-title":"Neurosurgical Focus","id":"ITEM-1","issue":"3","issued":{"date-parts":[["2019","3","1"]]},"page":"E10","publisher":"American Association of Neurological Surgeons","title":"Stem cell therapies for acute spinal cord injury in humans: A review","type":"article-journal","volume":"46"},"uris":["http://www.mendeley.com/documents/?uuid=e4dc38d4-718b-3a74-8a46-37cb5f6a7296"]},{"id":"ITEM-2","itemData":{"DOI":"10.1016/S0140-6736(16)30513-X","ISSN":"1474-547X","PMID":"27497862","abstract":"BACKGROUND CTX0E03 is an immortalised human neural stem-cell line from which a drug product (CTX-DP) was developed for allogeneic therapy. Dose-dependent improvement in sensorimotor function in rats implanted with CTX-DP 4 weeks after middle cerebral artery occlusion stroke prompted investigation of the safety and tolerability of this treatment in stroke patients. METHODS We did an open-label, single-site, dose-escalation study. Men aged 60 years or older with stable disability (National Institutes of Health Stroke Scale [NIHSS] score ≥6 and modified Rankin Scale score 2-4) 6-60 months after ischaemic stroke were implanted with single doses of 2 million, 5 million, 10 million, or 20 million cells by stereotactic ipsilateral putamen injection. Clinical and brain imaging data were collected over 2 years. The primary endpoint was safety (adverse events and neurological change). This trial is registered with ClinicalTrials.gov, number NCT01151124. FINDINGS 13 men were recruited between September, 2010, and January, 2013, of whom 11 (mean age 69 years, range 60-82) received CTX-DP. Median NIHSS score before implantation was 7 (IQR 6-8) and the mean time from stroke was 29 (SD 14) months. Three men had subcortical infarcts only and seven had right-hemisphere infarcts. No immunological or cell-related adverse events were seen. Other adverse events were related to the procedure or comorbidities. Hyperintensity around the injection tracts on T2-weighted fluid-attenuation inversion recovery MRI was seen in five patients. At 2 years, improvement in NIHSS score ranged from 0 to 5 (median 2) points. INTERPRETATION Single intracerebral doses of CTX-DP up to 20 million cells induced no adverse events and were associated with improved neurological function. Our observations support further investigation of CTX-DP in stroke patients. FUNDING ReNeuron Limited.","author":[{"dropping-particle":"","family":"Kalladka","given":"Dheeraj","non-dropping-particle":"","parse-names":false,"suffix":""},{"dropping-particle":"","family":"Sinden","given":"John","non-dropping-particle":"","parse-names":false,"suffix":""},{"dropping-particle":"","family":"Pollock","given":"Kenneth","non-dropping-particle":"","parse-names":false,"suffix":""},{"dropping-particle":"","family":"Haig","given":"Caroline","non-dropping-particle":"","parse-names":false,"suffix":""},{"dropping-particle":"","family":"McLean","given":"John","non-dropping-particle":"","parse-names":false,"suffix":""},{"dropping-particle":"","family":"Smith","given":"Wilma","non-dropping-particle":"","parse-names":false,"suffix":""},{"dropping-particle":"","family":"McConnachie","given":"Alex","non-dropping-particle":"","parse-names":false,"suffix":""},{"dropping-particle":"","family":"Santosh","given":"Celestine","non-dropping-particle":"","parse-names":false,"suffix":""},{"dropping-particle":"","family":"Bath","given":"Philip M","non-dropping-particle":"","parse-names":false,"suffix":""},{"dropping-particle":"","family":"Dunn","given":"Laurence","non-dropping-particle":"","parse-names":false,"suffix":""},{"dropping-particle":"","family":"Muir","given":"Keith W","non-dropping-particle":"","parse-names":false,"suffix":""}],"container-title":"Lancet (London, England)","id":"ITEM-2","issue":"10046","issued":{"date-parts":[["2016","8","20"]]},"page":"787-96","publisher":"Lancet","title":"Human neural stem cells in patients with chronic ischaemic stroke (PISCES): a phase 1, first-in-man study.","type":"article-journal","volume":"388"},"uris":["http://www.mendeley.com/documents/?uuid=12bf7826-d3fb-38e6-8de7-3b6f2cf714e3"]},{"id":"ITEM-3","itemData":{"DOI":"10.1161/STROKEAHA.116.012995","ISSN":"15244628","PMID":"27256670","abstract":"Background and Purpose - Preclinical data suggest that cell-based therapies have the potential to improve stroke outcomes. Methods - Eighteen patients with stable, chronic stroke were enrolled in a 2-year, open-label, single-arm study to evaluate the safety and clinical outcomes of surgical transplantation of modified bone marrow-derived mesenchymal stem cells (SB623). Results - All patients in the safety population (N=18) experienced at least 1 treatment-emergent adverse event. Six patients experienced 6 serious treatment-emergent adverse events; 2 were probably or definitely related to surgical procedure; none were related to cell treatment. All serious treatment-emergent adverse events resolved without sequelae. There were no dose-limiting toxicities or deaths. Sixteen patients completed 12 months of follow-up at the time of this analysis. Significant improvement from baseline (mean) was reported for: (1) European Stroke Scale: mean increase 6.88 (95% confidence interval, 3.5-10.3; P&lt;0.001), (2) National Institutes of Health Stroke Scale: mean decrease 2.00 (95% confidence interval, -2.7 to -1.3; P&lt;0.001), (3) Fugl-Meyer total score: mean increase 19.20 (95% confidence interval, 11.4-27.0; P&lt;0.001), and (4) Fugl-Meyer motor function total score: mean increase 11.40 (95% confidence interval, 4.6-18.2; P&lt;0.001). No changes were observed in modified Rankin Scale. The area of magnetic resonance T2 fluid-attenuated inversion recovery signal change in the ipsilateral cortex 1 week after implantation significantly correlated with clinical improvement at 12 months (P&lt;0.001 for European Stroke Scale). Conclusions - In this interim report, SB623 cells were safe and associated with improvement in clinical outcome end points at 12 months.","author":[{"dropping-particle":"","family":"Steinberg","given":"Gary K.","non-dropping-particle":"","parse-names":false,"suffix":""},{"dropping-particle":"","family":"Kondziolka","given":"Douglas","non-dropping-particle":"","parse-names":false,"suffix":""},{"dropping-particle":"","family":"Wechsler","given":"Lawrence R.","non-dropping-particle":"","parse-names":false,"suffix":""},{"dropping-particle":"","family":"Lunsford","given":"L. Dade","non-dropping-particle":"","parse-names":false,"suffix":""},{"dropping-particle":"","family":"Coburn","given":"Maria L.","non-dropping-particle":"","parse-names":false,"suffix":""},{"dropping-particle":"","family":"Billigen","given":"Julia B.","non-dropping-particle":"","parse-names":false,"suffix":""},{"dropping-particle":"","family":"Kim","given":"Anthony S.","non-dropping-particle":"","parse-names":false,"suffix":""},{"dropping-particle":"","family":"Johnson","given":"Jeremiah N.","non-dropping-particle":"","parse-names":false,"suffix":""},{"dropping-particle":"","family":"Bates","given":"Damien","non-dropping-particle":"","parse-names":false,"suffix":""},{"dropping-particle":"","family":"King","given":"Bill","non-dropping-particle":"","parse-names":false,"suffix":""},{"dropping-particle":"","family":"Case","given":"Casey","non-dropping-particle":"","parse-names":false,"suffix":""},{"dropping-particle":"","family":"McGrogan","given":"Michael","non-dropping-particle":"","parse-names":false,"suffix":""},{"dropping-particle":"","family":"Yankee","given":"Ernest W.","non-dropping-particle":"","parse-names":false,"suffix":""},{"dropping-particle":"","family":"Schwartz","given":"Neil E.","non-dropping-particle":"","parse-names":false,"suffix":""}],"container-title":"Stroke","id":"ITEM-3","issue":"7","issued":{"date-parts":[["2016","7","1"]]},"page":"1817-1824","publisher":"Lippincott Williams and Wilkins","title":"Clinical outcomes of transplanted modified bone marrow-derived mesenchymal stem cells in stroke: A phase 1/2a study","type":"article-journal","volume":"47"},"uris":["http://www.mendeley.com/documents/?uuid=a9166345-9fae-3593-966d-a906849aff51"]},{"id":"ITEM-4","itemData":{"DOI":"10.1186/s12883-017-0955-6","ISSN":"14712377","abstract":"Background: Stroke is a leading cause of death and disability, and despite intensive research, few treatment options exist. However, a recent breakthrough in cell therapy is expected to reverse the neurological sequelae of stroke. Although some pioneer studies on the use of cell therapy for treating stroke have been reported, certain problems remain unsolved. Recent studies have demonstrated that bone marrow stromal cells (BMSCs) have therapeutic potential against stroke. We investigated the use of autologous BMSC transplantation as a next-generation cell therapy for treating stroke. In this article, we introduce the protocol of a new clinical trial, the Research on Advanced Intervention using Novel Bone marrOW stem cell (RAINBOW). Methods/design: RAINBOW is a phase 1, open-label, uncontrolled, dose-response study, with the primary aim to determine the safety of the autologous BMSC product HUNS001-01 when administered to patients with acute ischemic stroke. Estimated enrollment is 6-10 patients suffering from moderate to severe neurological deficits. Approximately 50 mL of the bone marrow is extracted from the iliac bone of each patient 15 days or later from the onset. BMSCs are cultured with allogeneic human platelet lysate (PL) as a substitute for fetal calf serum and are labeled with superparamagnetic iron oxide for cell tracking using magnetic resonance imaging (MRI). HUNS001-01 is stereotactically administered around the area of infarction in the subacute phase. Each patient will be administered a dose of 20 or 50 million cells. Neurological scoring, MRI for cell tracking, 18F-fuorodeoxyglucose positron emission tomography, and 123I-Iomazenil single­photon emission computed tomography will be performed for 1 year after the administration. Discussion: This is a first-in-human trial for HUNS001-01 to the patients with acute ischemic stroke. We expect that intraparenchymal injection can be a more favorable method for cell delivery to the lesion and improvement of the motor function than intravenous infusion. Moreover, it is expected that the bio-imaging techniques can clarify the therapeutic mechanisms. Trial registration: The trial was registered at The University Hospital Medical Information Network on February 22, 2017 (UNIN ID: UMIN000026130 ). The findings of this trial will be disseminated to patients and through peer-reviewed publications and international presentations.","author":[{"dropping-particle":"","family":"Shichinohe","given":"Hideo","non-dropping-particle":"","parse-names":false,"suffix":""},{"dropping-particle":"","family":"Kawabori","given":"Masahito","non-dropping-particle":"","parse-names":false,"suffix":""},{"dropping-particle":"","family":"Iijima","given":"Hiroaki","non-dropping-particle":"","parse-names":false,"suffix":""},{"dropping-particle":"","family":"Teramoto","given":"Tuyoshi","non-dropping-particle":"","parse-names":false,"suffix":""},{"dropping-particle":"","family":"Abumiya","given":"Takeo","non-dropping-particle":"","parse-names":false,"suffix":""},{"dropping-particle":"","family":"Nakayama","given":"Naoki","non-dropping-particle":"","parse-names":false,"suffix":""},{"dropping-particle":"","family":"Kazumata","given":"Ken","non-dropping-particle":"","parse-names":false,"suffix":""},{"dropping-particle":"","family":"Terasaka","given":"Shunsuke","non-dropping-particle":"","parse-names":false,"suffix":""},{"dropping-particle":"","family":"Arato","given":"Teruyo","non-dropping-particle":"","parse-names":false,"suffix":""},{"dropping-particle":"","family":"Houkin","given":"Kiyohiro","non-dropping-particle":"","parse-names":false,"suffix":""}],"container-title":"BMC Neurology","id":"ITEM-4","issue":"1","issued":{"date-parts":[["2017","9","8"]]},"publisher":"BioMed Central Ltd.","title":"Research on advanced intervention using novel bone marrOW stem cell (RAINBOW): A study protocol for a phase I, open-label, uncontrolled, dose-response trial of autologous bone marrow stromal cell transplantation in patients with acute ischemic stroke","type":"article-journal","volume":"17"},"uris":["http://www.mendeley.com/documents/?uuid=98c11e40-d614-3d2d-8be4-7dd79a61aa0c"]},{"id":"ITEM-5","itemData":{"DOI":"10.3727/096368916X693716","ISSN":"1555-3892","PMID":"27938483","abstract":"Amyotrophic lateral sclerosis (ALS) is a progressive untreatable neurodegenerative disorder, leading to the death of the cortical and spinal motoneurons (MNs). Bone marrow-derived mesenchymal stem/stromal cells (BM-MSCs) may represent a new approach to slowing down the progression of ALS by providing neurotrophic support to host MNs and by having an anti-inflammatory effect. We have designed a prospective, nonrandomized, open-label clinical trial (phase I/IIa, EudraCT No. 2011-000362-35) to assess the safety and efficacy of autologous multipotent BM-MSCs in ALS treatment. Autologous BM-MSCs were isolated and expanded under GMP conditions. Patients received 15 ± 4.5 × 106 of BM-MSCs via lumbar puncture into the cerebrospinal fluid. Patients were monitored for 6 months before treatment and then for an 18-month follow-up period. Potential adverse reactions were assessed, and the clinical outcome was evaluated by the ALS functional rating scale (ALSFRS), forced vital capacity (FVC), and weakness scales (WSs) to assess muscle strength on the lower and upper extremities. In total, 26 patients were enrolled in the study and were assessed for safety; 23 patients were suitable for efficacy evaluation. After intrathecal BM-MSC application, about 30% of the patients experienced a mild to moderate headache, resembling the headaches after a standard lumbar puncture. No suspected serious adverse reactions (SUSAR) were observed. We found a reduction in ALSFRS decline at 3 months after application (p &lt; 0.02) that, in some cases, persisted for 6 months ( p &lt; 0.05). In about 80% of the patients, FVC values remained stable or above 70% for a time period of 9 months. Values of WS were stable in 75% of patients at 3 months after application. Our results demonstrate that the intrathecal application of BM-MSCs in ALS patients is a safe procedure and that it can slow down progression of the disease.","author":[{"dropping-particle":"","family":"Syková","given":"Eva","non-dropping-particle":"","parse-names":false,"suffix":""},{"dropping-particle":"","family":"Rychmach","given":"Petr","non-dropping-particle":"","parse-names":false,"suffix":""},{"dropping-particle":"","family":"Drahorádová","given":"Ivana","non-dropping-particle":"","parse-names":false,"suffix":""},{"dropping-particle":"","family":"Konrádová","given":"Šimona","non-dropping-particle":"","parse-names":false,"suffix":""},{"dropping-particle":"","family":"Růžičková","given":"Kateřina","non-dropping-particle":"","parse-names":false,"suffix":""},{"dropping-particle":"","family":"Voříšek","given":"Ivan","non-dropping-particle":"","parse-names":false,"suffix":""},{"dropping-particle":"","family":"Forostyak","given":"Serhiy","non-dropping-particle":"","parse-names":false,"suffix":""},{"dropping-particle":"","family":"Homola","given":"Aleš","non-dropping-particle":"","parse-names":false,"suffix":""},{"dropping-particle":"","family":"Bojar","given":"Martin","non-dropping-particle":"","parse-names":false,"suffix":""}],"container-title":"Cell transplantation","id":"ITEM-5","issue":"4","issued":{"date-parts":[["2017","4","13"]]},"page":"647-658","publisher":"Cell Transplant","title":"Transplantation of Mesenchymal Stromal Cells in Patients With Amyotrophic Lateral Sclerosis: Results of Phase I/IIa Clinical Trial.","type":"article-journal","volume":"26"},"uris":["http://www.mendeley.com/documents/?uuid=087f1bfa-289f-32ef-9025-f6098d2f0f61"]},{"id":"ITEM-6","itemData":{"DOI":"10.1093/BJA/AEV229","ISSN":"0007-0912","abstract":"Traumatic brain injury is a major economic burden to hospitals in terms of emergency department visits, hospitalizations, and utilization of intensive care units. Current guidelines for the management of severe traumatic brain injuries are primarily supportive, with an emphasis on surveillance (i.e. intracranial pressure) and preventive measures to reduce morbidity and mortality. There are no direct effective therapies available. Over the last fifteen years, pre-clinical studies in regenerative medicine utilizing cell-based therapy have generated enthusiasm as a possible treatment option for traumatic brain injury. In these studies, stem cells and progenitor cells were shown to migrate into the injured brain and proliferate, exerting protective effects through possible cell replacement, gene and protein transfer, and release of anti-inflammatory and growth factors. In this work, we reviewed the pathophysiological mechanisms of traumatic brain injury, the biological rationale for using stem cells and progenitor cells, and the results of clinical trials using cell-based therapy for traumatic brain injury. Although the benefits of cell-based therapy have been clearly demonstrated in pre-clinical studies, some questions remain regarding the biological mechanisms of repair and safety, dose, route and timing of cell delivery, which ultimately will determine its optimal clinical use.","author":[{"dropping-particle":"","family":"Gennai","given":"S.","non-dropping-particle":"","parse-names":false,"suffix":""},{"dropping-particle":"","family":"Monsel","given":"A.","non-dropping-particle":"","parse-names":false,"suffix":""},{"dropping-particle":"","family":"Hao","given":"Q.","non-dropping-particle":"","parse-names":false,"suffix":""},{"dropping-particle":"","family":"Liu","given":"J.","non-dropping-particle":"","parse-names":false,"suffix":""},{"dropping-particle":"","family":"Gudapati","given":"V.","non-dropping-particle":"","parse-names":false,"suffix":""},{"dropping-particle":"","family":"Barbier","given":"E.L.","non-dropping-particle":"","parse-names":false,"suffix":""},{"dropping-particle":"","family":"Lee","given":"J.W.","non-dropping-particle":"","parse-names":false,"suffix":""}],"container-title":"British Journal of Anaesthesia","id":"ITEM-6","issue":"2","issued":{"date-parts":[["2015","8","1"]]},"page":"203-212","publisher":"Elsevier","title":"Cell-Based therapy for traumatic brain injury","type":"article-journal","volume":"115"},"uris":["http://www.mendeley.com/documents/?uuid=b4817fa1-89e3-3443-9c81-3160b8081b63"]}],"mendeley":{"formattedCitation":"(6–11)","plainTextFormattedCitation":"(6–11)","previouslyFormattedCitation":"(6–11)"},"properties":{"noteIndex":0},"schema":"https://github.com/citation-style-language/schema/raw/master/csl-citation.json"}</w:instrText>
      </w:r>
      <w:r w:rsidRPr="00765483">
        <w:rPr>
          <w:rFonts w:ascii="Arial" w:eastAsia="Calibri" w:hAnsi="Arial" w:cs="Arial"/>
          <w:lang w:val="en-GB" w:eastAsia="en-GB"/>
        </w:rPr>
        <w:fldChar w:fldCharType="separate"/>
      </w:r>
      <w:r w:rsidR="00C153CE" w:rsidRPr="00765483">
        <w:rPr>
          <w:rFonts w:ascii="Arial" w:eastAsia="Calibri" w:hAnsi="Arial" w:cs="Arial"/>
          <w:noProof/>
          <w:lang w:val="en-GB" w:eastAsia="en-GB"/>
        </w:rPr>
        <w:t>(6–11)</w:t>
      </w:r>
      <w:r w:rsidRPr="00765483">
        <w:rPr>
          <w:rFonts w:ascii="Arial" w:eastAsia="Calibri" w:hAnsi="Arial" w:cs="Arial"/>
          <w:lang w:val="en-GB" w:eastAsia="en-GB"/>
        </w:rPr>
        <w:fldChar w:fldCharType="end"/>
      </w:r>
      <w:r w:rsidRPr="00765483">
        <w:rPr>
          <w:rFonts w:ascii="Arial" w:eastAsia="Calibri" w:hAnsi="Arial" w:cs="Arial"/>
          <w:lang w:val="en-GB" w:eastAsia="en-GB"/>
        </w:rPr>
        <w:t xml:space="preserve">. </w:t>
      </w:r>
    </w:p>
    <w:p w14:paraId="5041CA5F" w14:textId="77777777" w:rsidR="009E7BA9" w:rsidRPr="00765483" w:rsidRDefault="009E7BA9" w:rsidP="009E7BA9">
      <w:pPr>
        <w:spacing w:after="0" w:line="360" w:lineRule="auto"/>
        <w:rPr>
          <w:rFonts w:ascii="Arial" w:eastAsia="Calibri" w:hAnsi="Arial" w:cs="Arial"/>
          <w:lang w:val="en-GB" w:eastAsia="en-GB"/>
        </w:rPr>
      </w:pPr>
    </w:p>
    <w:p w14:paraId="19F7C5A9" w14:textId="6354AFF4" w:rsidR="00C95D85" w:rsidRPr="00765483" w:rsidRDefault="009E7BA9" w:rsidP="009E7BA9">
      <w:pPr>
        <w:spacing w:after="0" w:line="360" w:lineRule="auto"/>
        <w:rPr>
          <w:rFonts w:ascii="Arial" w:hAnsi="Arial" w:cs="Arial"/>
        </w:rPr>
      </w:pPr>
      <w:r w:rsidRPr="00765483">
        <w:rPr>
          <w:rFonts w:ascii="Arial" w:eastAsia="Calibri" w:hAnsi="Arial" w:cs="Arial"/>
          <w:lang w:val="en-GB" w:eastAsia="en-GB"/>
        </w:rPr>
        <w:t xml:space="preserve">However, key problems associated with current modes of cell delivery represent a barrier to clinical translation. Venous or arterial delivery results in cell loss during passage through the lungs, liver or spleen with the remaining cells having a limited ability to cross the blood-brain barrier </w:t>
      </w:r>
      <w:r w:rsidRPr="00765483">
        <w:rPr>
          <w:rFonts w:ascii="Arial" w:eastAsia="Calibri" w:hAnsi="Arial" w:cs="Arial"/>
          <w:lang w:val="en-GB" w:eastAsia="en-GB"/>
        </w:rPr>
        <w:fldChar w:fldCharType="begin" w:fldLock="1"/>
      </w:r>
      <w:r w:rsidR="00764676" w:rsidRPr="00765483">
        <w:rPr>
          <w:rFonts w:ascii="Arial" w:eastAsia="Calibri" w:hAnsi="Arial" w:cs="Arial"/>
          <w:lang w:val="en-GB" w:eastAsia="en-GB"/>
        </w:rPr>
        <w:instrText>ADDIN CSL_CITATION {"citationItems":[{"id":"ITEM-1","itemData":{"DOI":"10.1089/scd.2008.0253","ISSN":"1557-8534","PMID":"19099374","abstract":"Intravenous (IV) stem cell delivery for regenerative tissue therapy has been increasingly used in both experimental and clinical trials. However, recent data suggest that the majority of administered stem cells are initially trapped in the lungs. We sought to investigate variables that may affect this pulmonary first-pass effect. In anesthetized Sprague-Dawley rats, silicone tubing catheters were placed in the left internal jugular vein and common carotid artery. We investigated four different cell types: mesenchymal stromal cells (MSC), multipotent adult progenitor cells (MAPCs), bone marrow-derived mononuclear cells (BMMC), and neural stem cells (NSC). Cells were co-labeled with Qtracker 655 (for flow cytometry) and Qtracker 800 (for infrared imaging) and infused intravenously with continual arterial sample collection. Samples were analyzed via flow cytometry to detect labeled cells reaching the arterial circulation. Following sampling and exsanguination, heart, lungs, spleen, kidney, and liver were harvested and placed on an infrared imaging system to identify the presence of labeled cells. The majority of MSCs were trapped inside the lungs following intravenous infusion. NSC and MAPC pulmonary passage was 2-fold and BMMC passage was 30-fold increased as compared to MSCs. Inhibition of MSC CD49d significantly increased MSC pulmonary passage. Infusion via two boluses increased pulmonary MSC passage as compared to single bolus administration. Infrared imaging revealed stem cells evenly distributed over all lung fields. Larger stem and progenitor cells are initially trapped inside the lungs following intravenous administration with a therapeutically questionable number of cells reaching the arterial system acutely.","author":[{"dropping-particle":"","family":"Fischer","given":"Uwe M","non-dropping-particle":"","parse-names":false,"suffix":""},{"dropping-particle":"","family":"Harting","given":"Matthew T","non-dropping-particle":"","parse-names":false,"suffix":""},{"dropping-particle":"","family":"Jimenez","given":"Fernando","non-dropping-particle":"","parse-names":false,"suffix":""},{"dropping-particle":"","family":"Monzon-Posadas","given":"Werner O","non-dropping-particle":"","parse-names":false,"suffix":""},{"dropping-particle":"","family":"Xue","given":"Hasen","non-dropping-particle":"","parse-names":false,"suffix":""},{"dropping-particle":"","family":"Savitz","given":"Sean I","non-dropping-particle":"","parse-names":false,"suffix":""},{"dropping-particle":"","family":"Laine","given":"Glen A","non-dropping-particle":"","parse-names":false,"suffix":""},{"dropping-particle":"","family":"Cox","given":"Charles S","non-dropping-particle":"","parse-names":false,"suffix":""},{"dropping-particle":"","family":"Jr.","given":"","non-dropping-particle":"","parse-names":false,"suffix":""}],"container-title":"Stem cells and development","id":"ITEM-1","issue":"5","issued":{"date-parts":[["2009","6"]]},"page":"683-92","publisher":"Mary Ann Liebert, Inc.","title":"Pulmonary passage is a major obstacle for intravenous stem cell delivery: the pulmonary first-pass effect.","type":"article-journal","volume":"18"},"uris":["http://www.mendeley.com/documents/?uuid=cc83c4a5-f38a-3b26-af1a-5de2e188bc61"]},{"id":"ITEM-2","itemData":{"DOI":"10.1155/2013/435093","ISSN":"16879678","abstract":"Systemically infused mesenchymal stem cells (MSCs) are emerging therapeutics for treating stroke, acute injuries, and inflammatory diseases of the central nervous system (CNS), as well as brain tumors due to their regenerative capacity and ability to secrete trophic, immune modulatory, or other engineered therapeutic factors. It is hypothesized that transplanted MSCs home to and engraft at ischemic and injured sites in the brain in order to exert their therapeutic effects. However, whether MSCs possess the ability to migrate across the blood-brain barrier (BBB) that separates the blood from the brain remains unresolved. This review analyzes recent advances in this area in an attempt to elucidate whether systemically infused MSCs are able to actively transmigrate across the CNS endothelium, particularly under conditions of injury or stroke. Understanding the fate of transplanted MSCs and their CNS trafficking mechanisms will facilitate the development of more effective stem-cell-based therapeutics and drug delivery systems to treat neurological diseases and brain tumors. © 2013 Linan Liu et al.","author":[{"dropping-particle":"","family":"Liu","given":"Linan","non-dropping-particle":"","parse-names":false,"suffix":""},{"dropping-particle":"","family":"Eckert","given":"Mark A.","non-dropping-particle":"","parse-names":false,"suffix":""},{"dropping-particle":"","family":"Riazifar","given":"Hamidreza","non-dropping-particle":"","parse-names":false,"suffix":""},{"dropping-particle":"","family":"Kang","given":"Dong Ku","non-dropping-particle":"","parse-names":false,"suffix":""},{"dropping-particle":"","family":"Agalliu","given":"Dritan","non-dropping-particle":"","parse-names":false,"suffix":""},{"dropping-particle":"","family":"Zhao","given":"Weian","non-dropping-particle":"","parse-names":false,"suffix":""}],"container-title":"Stem Cells International","id":"ITEM-2","issued":{"date-parts":[["2013"]]},"title":"From blood to the brain: Can systemically transplanted mesenchymal stem cells cross the blood-brain barrier?","type":"article"},"uris":["http://www.mendeley.com/documents/?uuid=17e1a962-108b-325e-935e-96a6e1c8ae64"]}],"mendeley":{"formattedCitation":"(12,13)","plainTextFormattedCitation":"(12,13)","previouslyFormattedCitation":"(12,13)"},"properties":{"noteIndex":0},"schema":"https://github.com/citation-style-language/schema/raw/master/csl-citation.json"}</w:instrText>
      </w:r>
      <w:r w:rsidRPr="00765483">
        <w:rPr>
          <w:rFonts w:ascii="Arial" w:eastAsia="Calibri" w:hAnsi="Arial" w:cs="Arial"/>
          <w:lang w:val="en-GB" w:eastAsia="en-GB"/>
        </w:rPr>
        <w:fldChar w:fldCharType="separate"/>
      </w:r>
      <w:r w:rsidR="00C153CE" w:rsidRPr="00765483">
        <w:rPr>
          <w:rFonts w:ascii="Arial" w:eastAsia="Calibri" w:hAnsi="Arial" w:cs="Arial"/>
          <w:noProof/>
          <w:lang w:val="en-GB" w:eastAsia="en-GB"/>
        </w:rPr>
        <w:t>(12,13)</w:t>
      </w:r>
      <w:r w:rsidRPr="00765483">
        <w:rPr>
          <w:rFonts w:ascii="Arial" w:eastAsia="Calibri" w:hAnsi="Arial" w:cs="Arial"/>
          <w:lang w:val="en-GB" w:eastAsia="en-GB"/>
        </w:rPr>
        <w:fldChar w:fldCharType="end"/>
      </w:r>
      <w:r w:rsidRPr="00765483">
        <w:rPr>
          <w:rFonts w:ascii="Arial" w:eastAsia="Calibri" w:hAnsi="Arial" w:cs="Arial"/>
          <w:lang w:val="en-GB" w:eastAsia="en-GB"/>
        </w:rPr>
        <w:t xml:space="preserve">. </w:t>
      </w:r>
      <w:r w:rsidR="00C95D85" w:rsidRPr="00765483">
        <w:rPr>
          <w:rFonts w:ascii="Arial" w:hAnsi="Arial" w:cs="Arial"/>
        </w:rPr>
        <w:t xml:space="preserve">Bypass of the blood-brain-barrier has been achieved with intranasal stem cell delivery. </w:t>
      </w:r>
      <w:r w:rsidR="00337F9B" w:rsidRPr="00765483">
        <w:rPr>
          <w:rFonts w:ascii="Arial" w:hAnsi="Arial" w:cs="Arial"/>
        </w:rPr>
        <w:t>Transplanted cells reach distant brain parenchyma by migrating along the olfactory neural pathway from the nasal mucosa through the cribriform plate into the brain and the cerebrospinal fluid where cortical surfaces are reached (14).</w:t>
      </w:r>
      <w:r w:rsidR="00F02E1F" w:rsidRPr="00765483">
        <w:rPr>
          <w:rFonts w:ascii="Arial" w:hAnsi="Arial" w:cs="Arial"/>
        </w:rPr>
        <w:t xml:space="preserve"> </w:t>
      </w:r>
      <w:r w:rsidR="00C95D85" w:rsidRPr="00765483">
        <w:rPr>
          <w:rFonts w:ascii="Arial" w:hAnsi="Arial" w:cs="Arial"/>
        </w:rPr>
        <w:t xml:space="preserve">Its use has shown </w:t>
      </w:r>
      <w:r w:rsidR="00C95D85" w:rsidRPr="00765483">
        <w:rPr>
          <w:rFonts w:ascii="Arial" w:hAnsi="Arial" w:cs="Arial"/>
          <w:i/>
          <w:iCs/>
        </w:rPr>
        <w:t xml:space="preserve">in vivo </w:t>
      </w:r>
      <w:r w:rsidR="00C95D85" w:rsidRPr="00765483">
        <w:rPr>
          <w:rFonts w:ascii="Arial" w:hAnsi="Arial" w:cs="Arial"/>
        </w:rPr>
        <w:t xml:space="preserve">benefits in several </w:t>
      </w:r>
      <w:r w:rsidR="00C153CE" w:rsidRPr="00765483">
        <w:rPr>
          <w:rFonts w:ascii="Arial" w:hAnsi="Arial" w:cs="Arial"/>
        </w:rPr>
        <w:t xml:space="preserve">rodent models of </w:t>
      </w:r>
      <w:r w:rsidR="00C95D85" w:rsidRPr="00765483">
        <w:rPr>
          <w:rFonts w:ascii="Arial" w:hAnsi="Arial" w:cs="Arial"/>
        </w:rPr>
        <w:t xml:space="preserve">neurological </w:t>
      </w:r>
      <w:r w:rsidR="003A2ABB" w:rsidRPr="00765483">
        <w:rPr>
          <w:rFonts w:ascii="Arial" w:hAnsi="Arial" w:cs="Arial"/>
        </w:rPr>
        <w:t>pathology</w:t>
      </w:r>
      <w:r w:rsidR="00C95D85" w:rsidRPr="00765483">
        <w:rPr>
          <w:rFonts w:ascii="Arial" w:hAnsi="Arial" w:cs="Arial"/>
        </w:rPr>
        <w:t xml:space="preserve">. For example, </w:t>
      </w:r>
      <w:r w:rsidR="00764676" w:rsidRPr="00765483">
        <w:rPr>
          <w:rFonts w:ascii="Arial" w:hAnsi="Arial" w:cs="Arial"/>
        </w:rPr>
        <w:t xml:space="preserve">intranasal </w:t>
      </w:r>
      <w:r w:rsidR="00C95D85" w:rsidRPr="00765483">
        <w:rPr>
          <w:rFonts w:ascii="Arial" w:hAnsi="Arial" w:cs="Arial"/>
        </w:rPr>
        <w:t>inhalation of mesenchymal stem cells significantly reduced grey and white matter loss and increased peri-</w:t>
      </w:r>
      <w:proofErr w:type="spellStart"/>
      <w:r w:rsidR="00C95D85" w:rsidRPr="00765483">
        <w:rPr>
          <w:rFonts w:ascii="Arial" w:hAnsi="Arial" w:cs="Arial"/>
        </w:rPr>
        <w:t>lesional</w:t>
      </w:r>
      <w:proofErr w:type="spellEnd"/>
      <w:r w:rsidR="00C95D85" w:rsidRPr="00765483">
        <w:rPr>
          <w:rFonts w:ascii="Arial" w:hAnsi="Arial" w:cs="Arial"/>
        </w:rPr>
        <w:t xml:space="preserve"> neurons </w:t>
      </w:r>
      <w:r w:rsidR="00C153CE" w:rsidRPr="00765483">
        <w:rPr>
          <w:rFonts w:ascii="Arial" w:hAnsi="Arial" w:cs="Arial"/>
        </w:rPr>
        <w:t>resulting in</w:t>
      </w:r>
      <w:r w:rsidR="00C95D85" w:rsidRPr="00765483">
        <w:rPr>
          <w:rFonts w:ascii="Arial" w:hAnsi="Arial" w:cs="Arial"/>
        </w:rPr>
        <w:t xml:space="preserve"> improved sensorimotor functioning in a rat model of subarachnoid </w:t>
      </w:r>
      <w:r w:rsidR="00C153CE" w:rsidRPr="00765483">
        <w:rPr>
          <w:rFonts w:ascii="Arial" w:hAnsi="Arial" w:cs="Arial"/>
        </w:rPr>
        <w:t>hemorrhage</w:t>
      </w:r>
      <w:r w:rsidR="00C95D85" w:rsidRPr="00765483">
        <w:rPr>
          <w:rFonts w:ascii="Arial" w:hAnsi="Arial" w:cs="Arial"/>
        </w:rPr>
        <w:t xml:space="preserve"> </w:t>
      </w:r>
      <w:r w:rsidR="00764676" w:rsidRPr="00765483">
        <w:rPr>
          <w:rFonts w:ascii="Arial" w:hAnsi="Arial" w:cs="Arial"/>
        </w:rPr>
        <w:fldChar w:fldCharType="begin" w:fldLock="1"/>
      </w:r>
      <w:r w:rsidR="007D695A" w:rsidRPr="00765483">
        <w:rPr>
          <w:rFonts w:ascii="Arial" w:hAnsi="Arial" w:cs="Arial"/>
        </w:rPr>
        <w:instrText>ADDIN CSL_CITATION {"citationItems":[{"id":"ITEM-1","itemData":{"DOI":"10.1089/scd.2017.0148","ISSN":"1547-3287","abstract":"Subarachnoid hemorrhage (SAH) represents a major health problem in Western society due to high mortality and morbidity, and the relative young age of patients. Currently, efficacious therapeutic options are very limited. Mesenchymal stem cell (MSC) administration has been shown to improve functional outcome and lesion size in experimental models of stroke and neonatal hypoxic-ischemic brain injury. Here, we studied the therapeutic potential of intranasally administered bone marrow-derived MSCs relatively late postinsult using a rat endovascular puncture model for SAH. Six days after induction of SAH, rats were treated with MSCs or vehicle through nasal administration. Intranasal MSC treatment significantly improved sensorimotor and mechanosensory function at 21 days after SAH. Gray and white matter loss was significantly reduced by MSC treatment and the number of NeuN+ neurons around the lesion increased due to MSC treatment. Moreover, intranasal MSC administration led to a sharp decrease in SAH-induced activation of astrocytes and microglia/macrophages in the lesioned hemisphere, especially of M2-like (CD206+) microglia/macrophages. Interestingly, MSC administration also decreased SAH-induced depression-like behavior in association with a restoration of tyrosine hydroxylase expression in the substantia nigra and striatum. We show here for the first time that intranasal MSC administration reverses the devastating consequences of SAH, including regeneration of the cerebral lesion, functional recovery, and treatment of comorbid depression-like behavior.","author":[{"dropping-particle":"","family":"Nijboer","given":"Cora H.","non-dropping-particle":"","parse-names":false,"suffix":""},{"dropping-particle":"","family":"Kooijman","given":"Elke","non-dropping-particle":"","parse-names":false,"suffix":""},{"dropping-particle":"","family":"Velthoven","given":"Cindy T.","non-dropping-particle":"van","parse-names":false,"suffix":""},{"dropping-particle":"","family":"Tilborg","given":"Erik","non-dropping-particle":"van","parse-names":false,"suffix":""},{"dropping-particle":"","family":"Tiebosch","given":"Ivo A.","non-dropping-particle":"","parse-names":false,"suffix":""},{"dropping-particle":"","family":"Eijkelkamp","given":"Niels","non-dropping-particle":"","parse-names":false,"suffix":""},{"dropping-particle":"","family":"Dijkhuizen","given":"Rick M.","non-dropping-particle":"","parse-names":false,"suffix":""},{"dropping-particle":"","family":"Kesecioglu","given":"Jozef","non-dropping-particle":"","parse-names":false,"suffix":""},{"dropping-particle":"","family":"Heijnen","given":"Cobi J.","non-dropping-particle":"","parse-names":false,"suffix":""}],"container-title":"Stem Cells and Development","id":"ITEM-1","issue":"5","issued":{"date-parts":[["2018","3","1"]]},"page":"313-325","publisher":"Mary Ann Liebert Inc.","title":"Intranasal Stem Cell Treatment as a Novel Therapy for Subarachnoid Hemorrhage","type":"article-journal","volume":"27"},"uris":["http://www.mendeley.com/documents/?uuid=ff79eb9a-c7db-3c9c-be78-67fa4ab51b1d"]}],"mendeley":{"formattedCitation":"(15)","plainTextFormattedCitation":"(15)","previouslyFormattedCitation":"(15)"},"properties":{"noteIndex":0},"schema":"https://github.com/citation-style-language/schema/raw/master/csl-citation.json"}</w:instrText>
      </w:r>
      <w:r w:rsidR="00764676" w:rsidRPr="00765483">
        <w:rPr>
          <w:rFonts w:ascii="Arial" w:hAnsi="Arial" w:cs="Arial"/>
        </w:rPr>
        <w:fldChar w:fldCharType="separate"/>
      </w:r>
      <w:r w:rsidR="00764676" w:rsidRPr="00765483">
        <w:rPr>
          <w:rFonts w:ascii="Arial" w:hAnsi="Arial" w:cs="Arial"/>
          <w:noProof/>
        </w:rPr>
        <w:t>(15)</w:t>
      </w:r>
      <w:r w:rsidR="00764676" w:rsidRPr="00765483">
        <w:rPr>
          <w:rFonts w:ascii="Arial" w:hAnsi="Arial" w:cs="Arial"/>
        </w:rPr>
        <w:fldChar w:fldCharType="end"/>
      </w:r>
      <w:r w:rsidR="00C95D85" w:rsidRPr="00765483">
        <w:rPr>
          <w:rFonts w:ascii="Arial" w:hAnsi="Arial" w:cs="Arial"/>
        </w:rPr>
        <w:t xml:space="preserve">. </w:t>
      </w:r>
      <w:r w:rsidR="00764676" w:rsidRPr="00765483">
        <w:rPr>
          <w:rFonts w:ascii="Arial" w:hAnsi="Arial" w:cs="Arial"/>
        </w:rPr>
        <w:t xml:space="preserve">This route of delivery has not yet been </w:t>
      </w:r>
      <w:proofErr w:type="spellStart"/>
      <w:r w:rsidR="003A2ABB" w:rsidRPr="00765483">
        <w:rPr>
          <w:rFonts w:ascii="Arial" w:hAnsi="Arial" w:cs="Arial"/>
        </w:rPr>
        <w:t>trial</w:t>
      </w:r>
      <w:r w:rsidR="0068506C" w:rsidRPr="00765483">
        <w:rPr>
          <w:rFonts w:ascii="Arial" w:hAnsi="Arial" w:cs="Arial"/>
        </w:rPr>
        <w:t>l</w:t>
      </w:r>
      <w:r w:rsidR="003A2ABB" w:rsidRPr="00765483">
        <w:rPr>
          <w:rFonts w:ascii="Arial" w:hAnsi="Arial" w:cs="Arial"/>
        </w:rPr>
        <w:t>ed</w:t>
      </w:r>
      <w:proofErr w:type="spellEnd"/>
      <w:r w:rsidR="00764676" w:rsidRPr="00765483">
        <w:rPr>
          <w:rFonts w:ascii="Arial" w:hAnsi="Arial" w:cs="Arial"/>
        </w:rPr>
        <w:t xml:space="preserve"> in human pathologies</w:t>
      </w:r>
      <w:r w:rsidR="003A2ABB" w:rsidRPr="00765483">
        <w:rPr>
          <w:rFonts w:ascii="Arial" w:hAnsi="Arial" w:cs="Arial"/>
        </w:rPr>
        <w:t>, to our knowledge</w:t>
      </w:r>
      <w:r w:rsidR="00CC3FB1" w:rsidRPr="00765483">
        <w:rPr>
          <w:rFonts w:ascii="Arial" w:hAnsi="Arial" w:cs="Arial"/>
        </w:rPr>
        <w:t>.</w:t>
      </w:r>
      <w:r w:rsidR="00764676" w:rsidRPr="00765483">
        <w:rPr>
          <w:rFonts w:ascii="Arial" w:hAnsi="Arial" w:cs="Arial"/>
        </w:rPr>
        <w:t xml:space="preserve"> </w:t>
      </w:r>
      <w:r w:rsidR="00CC3FB1" w:rsidRPr="00765483">
        <w:rPr>
          <w:rFonts w:ascii="Arial" w:hAnsi="Arial" w:cs="Arial"/>
        </w:rPr>
        <w:t xml:space="preserve">Advantages of such an approach include </w:t>
      </w:r>
      <w:r w:rsidR="00764676" w:rsidRPr="00765483">
        <w:rPr>
          <w:rFonts w:ascii="Arial" w:hAnsi="Arial" w:cs="Arial"/>
        </w:rPr>
        <w:t>non-invasive</w:t>
      </w:r>
      <w:r w:rsidR="00C95D85" w:rsidRPr="00765483">
        <w:rPr>
          <w:rFonts w:ascii="Arial" w:hAnsi="Arial" w:cs="Arial"/>
        </w:rPr>
        <w:t xml:space="preserve"> </w:t>
      </w:r>
      <w:r w:rsidR="00CC3FB1" w:rsidRPr="00765483">
        <w:rPr>
          <w:rFonts w:ascii="Arial" w:hAnsi="Arial" w:cs="Arial"/>
        </w:rPr>
        <w:t>delivery of transplants without the need for surgery.</w:t>
      </w:r>
      <w:r w:rsidR="00337F9B" w:rsidRPr="00765483">
        <w:t xml:space="preserve"> </w:t>
      </w:r>
      <w:r w:rsidR="00337F9B" w:rsidRPr="00765483">
        <w:rPr>
          <w:rFonts w:ascii="Arial" w:hAnsi="Arial" w:cs="Arial"/>
        </w:rPr>
        <w:t>However, we speculate that in pathologies with widespread damage, the extent of tissue loss may exceed the '</w:t>
      </w:r>
      <w:proofErr w:type="spellStart"/>
      <w:r w:rsidR="00337F9B" w:rsidRPr="00765483">
        <w:rPr>
          <w:rFonts w:ascii="Arial" w:hAnsi="Arial" w:cs="Arial"/>
        </w:rPr>
        <w:t>pathotropic</w:t>
      </w:r>
      <w:proofErr w:type="spellEnd"/>
      <w:r w:rsidR="00337F9B" w:rsidRPr="00765483">
        <w:rPr>
          <w:rFonts w:ascii="Arial" w:hAnsi="Arial" w:cs="Arial"/>
        </w:rPr>
        <w:t>' (migration towards pathology sites) capacity of intranasally delivered stem cells, with cell attrition.</w:t>
      </w:r>
      <w:r w:rsidR="00CC3FB1" w:rsidRPr="00765483">
        <w:rPr>
          <w:rFonts w:ascii="Arial" w:hAnsi="Arial" w:cs="Arial"/>
        </w:rPr>
        <w:t xml:space="preserve"> </w:t>
      </w:r>
    </w:p>
    <w:p w14:paraId="6AA037DE" w14:textId="77777777" w:rsidR="00C95D85" w:rsidRPr="00765483" w:rsidRDefault="00C95D85" w:rsidP="009E7BA9">
      <w:pPr>
        <w:spacing w:after="0" w:line="360" w:lineRule="auto"/>
        <w:rPr>
          <w:rFonts w:ascii="Arial" w:eastAsia="Calibri" w:hAnsi="Arial" w:cs="Arial"/>
          <w:lang w:val="en-GB" w:eastAsia="en-GB"/>
        </w:rPr>
      </w:pPr>
    </w:p>
    <w:p w14:paraId="64D181EB" w14:textId="77777777" w:rsidR="003A2ABB" w:rsidRPr="00765483" w:rsidRDefault="009E7BA9" w:rsidP="009E7BA9">
      <w:pPr>
        <w:spacing w:after="0" w:line="360" w:lineRule="auto"/>
        <w:rPr>
          <w:rFonts w:ascii="Arial" w:eastAsia="Calibri" w:hAnsi="Arial" w:cs="Arial"/>
          <w:iCs/>
          <w:lang w:val="en-GB" w:eastAsia="en-GB"/>
        </w:rPr>
      </w:pPr>
      <w:r w:rsidRPr="00765483">
        <w:rPr>
          <w:rFonts w:ascii="Arial" w:eastAsia="Calibri" w:hAnsi="Arial" w:cs="Arial"/>
          <w:lang w:val="en-GB" w:eastAsia="en-GB"/>
        </w:rPr>
        <w:t xml:space="preserve">Alternatively, neural cell therapies can be delivered directly into the CNS parenchyma through fine bore stereotactic cannulae, with multiple injection foci possible. For example, in a recent clinical trial, bone marrow stromal cells HUNS001–01, were injected through a cannula (outer bore diameter of 2.1mm) </w:t>
      </w:r>
      <w:r w:rsidRPr="00765483">
        <w:rPr>
          <w:rFonts w:ascii="Arial" w:eastAsia="Calibri" w:hAnsi="Arial" w:cs="Arial"/>
          <w:lang w:val="en-GB" w:eastAsia="en-GB"/>
        </w:rPr>
        <w:fldChar w:fldCharType="begin" w:fldLock="1"/>
      </w:r>
      <w:r w:rsidR="00764676" w:rsidRPr="00765483">
        <w:rPr>
          <w:rFonts w:ascii="Arial" w:eastAsia="Calibri" w:hAnsi="Arial" w:cs="Arial"/>
          <w:lang w:val="en-GB" w:eastAsia="en-GB"/>
        </w:rPr>
        <w:instrText>ADDIN CSL_CITATION {"citationItems":[{"id":"ITEM-1","itemData":{"DOI":"10.1186/s12883-017-0955-6","ISSN":"14712377","abstract":"Background: Stroke is a leading cause of death and disability, and despite intensive research, few treatment options exist. However, a recent breakthrough in cell therapy is expected to reverse the neurological sequelae of stroke. Although some pioneer studies on the use of cell therapy for treating stroke have been reported, certain problems remain unsolved. Recent studies have demonstrated that bone marrow stromal cells (BMSCs) have therapeutic potential against stroke. We investigated the use of autologous BMSC transplantation as a next-generation cell therapy for treating stroke. In this article, we introduce the protocol of a new clinical trial, the Research on Advanced Intervention using Novel Bone marrOW stem cell (RAINBOW). Methods/design: RAINBOW is a phase 1, open-label, uncontrolled, dose-response study, with the primary aim to determine the safety of the autologous BMSC product HUNS001-01 when administered to patients with acute ischemic stroke. Estimated enrollment is 6-10 patients suffering from moderate to severe neurological deficits. Approximately 50 mL of the bone marrow is extracted from the iliac bone of each patient 15 days or later from the onset. BMSCs are cultured with allogeneic human platelet lysate (PL) as a substitute for fetal calf serum and are labeled with superparamagnetic iron oxide for cell tracking using magnetic resonance imaging (MRI). HUNS001-01 is stereotactically administered around the area of infarction in the subacute phase. Each patient will be administered a dose of 20 or 50 million cells. Neurological scoring, MRI for cell tracking, 18F-fuorodeoxyglucose positron emission tomography, and 123I-Iomazenil single­photon emission computed tomography will be performed for 1 year after the administration. Discussion: This is a first-in-human trial for HUNS001-01 to the patients with acute ischemic stroke. We expect that intraparenchymal injection can be a more favorable method for cell delivery to the lesion and improvement of the motor function than intravenous infusion. Moreover, it is expected that the bio-imaging techniques can clarify the therapeutic mechanisms. Trial registration: The trial was registered at The University Hospital Medical Information Network on February 22, 2017 (UNIN ID: UMIN000026130 ). The findings of this trial will be disseminated to patients and through peer-reviewed publications and international presentations.","author":[{"dropping-particle":"","family":"Shichinohe","given":"Hideo","non-dropping-particle":"","parse-names":false,"suffix":""},{"dropping-particle":"","family":"Kawabori","given":"Masahito","non-dropping-particle":"","parse-names":false,"suffix":""},{"dropping-particle":"","family":"Iijima","given":"Hiroaki","non-dropping-particle":"","parse-names":false,"suffix":""},{"dropping-particle":"","family":"Teramoto","given":"Tuyoshi","non-dropping-particle":"","parse-names":false,"suffix":""},{"dropping-particle":"","family":"Abumiya","given":"Takeo","non-dropping-particle":"","parse-names":false,"suffix":""},{"dropping-particle":"","family":"Nakayama","given":"Naoki","non-dropping-particle":"","parse-names":false,"suffix":""},{"dropping-particle":"","family":"Kazumata","given":"Ken","non-dropping-particle":"","parse-names":false,"suffix":""},{"dropping-particle":"","family":"Terasaka","given":"Shunsuke","non-dropping-particle":"","parse-names":false,"suffix":""},{"dropping-particle":"","family":"Arato","given":"Teruyo","non-dropping-particle":"","parse-names":false,"suffix":""},{"dropping-particle":"","family":"Houkin","given":"Kiyohiro","non-dropping-particle":"","parse-names":false,"suffix":""}],"container-title":"BMC Neurology","id":"ITEM-1","issue":"1","issued":{"date-parts":[["2017","9","8"]]},"publisher":"BioMed Central Ltd.","title":"Research on advanced intervention using novel bone marrOW stem cell (RAINBOW): A study protocol for a phase I, open-label, uncontrolled, dose-response trial of autologous bone marrow stromal cell transplantation in patients with acute ischemic stroke","type":"article-journal","volume":"17"},"uris":["http://www.mendeley.com/documents/?uuid=98c11e40-d614-3d2d-8be4-7dd79a61aa0c"]}],"mendeley":{"formattedCitation":"(9)","plainTextFormattedCitation":"(9)","previouslyFormattedCitation":"(9)"},"properties":{"noteIndex":0},"schema":"https://github.com/citation-style-language/schema/raw/master/csl-citation.json"}</w:instrText>
      </w:r>
      <w:r w:rsidRPr="00765483">
        <w:rPr>
          <w:rFonts w:ascii="Arial" w:eastAsia="Calibri" w:hAnsi="Arial" w:cs="Arial"/>
          <w:lang w:val="en-GB" w:eastAsia="en-GB"/>
        </w:rPr>
        <w:fldChar w:fldCharType="separate"/>
      </w:r>
      <w:r w:rsidR="00C153CE" w:rsidRPr="00765483">
        <w:rPr>
          <w:rFonts w:ascii="Arial" w:eastAsia="Calibri" w:hAnsi="Arial" w:cs="Arial"/>
          <w:noProof/>
          <w:lang w:val="en-GB" w:eastAsia="en-GB"/>
        </w:rPr>
        <w:t>(9)</w:t>
      </w:r>
      <w:r w:rsidRPr="00765483">
        <w:rPr>
          <w:rFonts w:ascii="Arial" w:eastAsia="Calibri" w:hAnsi="Arial" w:cs="Arial"/>
          <w:lang w:val="en-GB" w:eastAsia="en-GB"/>
        </w:rPr>
        <w:fldChar w:fldCharType="end"/>
      </w:r>
      <w:r w:rsidRPr="00765483">
        <w:rPr>
          <w:rFonts w:ascii="Arial" w:eastAsia="Calibri" w:hAnsi="Arial" w:cs="Arial"/>
          <w:lang w:val="en-GB" w:eastAsia="en-GB"/>
        </w:rPr>
        <w:t xml:space="preserve">, with up to three target sites. Invasive delivery methods impose risks of infection, mechanical trauma and haemorrhage </w:t>
      </w:r>
      <w:r w:rsidRPr="00765483">
        <w:rPr>
          <w:rFonts w:ascii="Arial" w:eastAsia="Calibri" w:hAnsi="Arial" w:cs="Arial"/>
          <w:lang w:val="en-GB" w:eastAsia="en-GB"/>
        </w:rPr>
        <w:fldChar w:fldCharType="begin" w:fldLock="1"/>
      </w:r>
      <w:r w:rsidR="007D695A" w:rsidRPr="00765483">
        <w:rPr>
          <w:rFonts w:ascii="Arial" w:eastAsia="Calibri" w:hAnsi="Arial" w:cs="Arial"/>
          <w:lang w:val="en-GB" w:eastAsia="en-GB"/>
        </w:rPr>
        <w:instrText>ADDIN CSL_CITATION {"citationItems":[{"id":"ITEM-1","itemData":{"DOI":"10.1155/2020/4085617","ISSN":"1687-966X","abstract":"&lt;p&gt;Cell therapy for central nervous system (CNS) disorders is beginning to prove its safety and efficiency. Intraparenchymal transplantation can be an option for cell delivery; however, one concern regarding this method is that the transplantation cannula may cause additional brain injuries. These include vessel damage, which results in brain hemorrhage, and clogging of the cannula by brain debris and/or cell clusters, which requires replacement of the cannula or forced injection causing jet flow of the cell suspension. We compared cannulas for cell delivery used in clinical trials, the Pittsburg and Mizuho cannulas, to a newly designed one, MK01, to assess their usability. MK01 has a spherical-shaped tip with a fan-like open orifice on the side of the cannula, which prevents vessel damage, clogging of brain debris, and jet flow phenomenon. We compared the extent of rat cervical and abdominal arterial damage with the cannula, the amount of debris in the cannula, the force needed to cause jet flow, and cell viability. While the viability of cells passed through the cannulas was almost the same among cannulas (approximately 95%), the Pittsburg cannula caused cervical arterial injury and subsequent hemorrhage, as it required a significantly smaller force to penetrate the arterial wall. Moreover, the Pittsburg cannula, but not the Mizuho and MK01 cannulas, showed high frequency of brain debris in the needle tip (approximately 80%) after brain puncture. While jet flow of the injection liquid was observed even when using smaller forces in the Pittsburg and Mizuho cannulas, MK01 constantly showed low jet flow occurrence. Thus, MK01 seems to be safer than the previously reported cannulas, although further investigation is necessary to validate its safety for clinical use.&lt;/p&gt;","author":[{"dropping-particle":"","family":"Kawabori","given":"Masahito","non-dropping-particle":"","parse-names":false,"suffix":""},{"dropping-particle":"","family":"Tanimori","given":"Aki","non-dropping-particle":"","parse-names":false,"suffix":""},{"dropping-particle":"","family":"Kitta","given":"Shinri","non-dropping-particle":"","parse-names":false,"suffix":""},{"dropping-particle":"","family":"Shichinohe","given":"Hideo","non-dropping-particle":"","parse-names":false,"suffix":""},{"dropping-particle":"","family":"Houkin","given":"Kiyohiro","non-dropping-particle":"","parse-names":false,"suffix":""}],"container-title":"Stem Cells International","id":"ITEM-1","issued":{"date-parts":[["2020","2","11"]]},"page":"1-8","title":"Evaluation of Novel Stereotactic Cannula for Stem Cell Transplantation against Central Nervous System Disease","type":"article-journal","volume":"2020"},"uris":["http://www.mendeley.com/documents/?uuid=46cce084-f97e-3995-8746-8fe78ef801cd"]}],"mendeley":{"formattedCitation":"(16)","plainTextFormattedCitation":"(16)","previouslyFormattedCitation":"(16)"},"properties":{"noteIndex":0},"schema":"https://github.com/citation-style-language/schema/raw/master/csl-citation.json"}</w:instrText>
      </w:r>
      <w:r w:rsidRPr="00765483">
        <w:rPr>
          <w:rFonts w:ascii="Arial" w:eastAsia="Calibri" w:hAnsi="Arial" w:cs="Arial"/>
          <w:lang w:val="en-GB" w:eastAsia="en-GB"/>
        </w:rPr>
        <w:fldChar w:fldCharType="separate"/>
      </w:r>
      <w:r w:rsidR="00764676" w:rsidRPr="00765483">
        <w:rPr>
          <w:rFonts w:ascii="Arial" w:eastAsia="Calibri" w:hAnsi="Arial" w:cs="Arial"/>
          <w:noProof/>
          <w:lang w:val="en-GB" w:eastAsia="en-GB"/>
        </w:rPr>
        <w:t>(16)</w:t>
      </w:r>
      <w:r w:rsidRPr="00765483">
        <w:rPr>
          <w:rFonts w:ascii="Arial" w:eastAsia="Calibri" w:hAnsi="Arial" w:cs="Arial"/>
          <w:lang w:val="en-GB" w:eastAsia="en-GB"/>
        </w:rPr>
        <w:fldChar w:fldCharType="end"/>
      </w:r>
      <w:r w:rsidRPr="00765483">
        <w:rPr>
          <w:rFonts w:ascii="Arial" w:eastAsia="Calibri" w:hAnsi="Arial" w:cs="Arial"/>
          <w:lang w:val="en-GB" w:eastAsia="en-GB"/>
        </w:rPr>
        <w:t xml:space="preserve">. From a cell efficacy perspective, mechanical pressures on cells injected through fine needles into densely packed neural tissue may inflict cellular damage and reduce viability </w:t>
      </w:r>
      <w:r w:rsidRPr="00765483">
        <w:rPr>
          <w:rFonts w:ascii="Arial" w:eastAsia="Calibri" w:hAnsi="Arial" w:cs="Arial"/>
          <w:lang w:val="en-GB" w:eastAsia="en-GB"/>
        </w:rPr>
        <w:fldChar w:fldCharType="begin" w:fldLock="1"/>
      </w:r>
      <w:r w:rsidR="007D695A" w:rsidRPr="00765483">
        <w:rPr>
          <w:rFonts w:ascii="Arial" w:eastAsia="Calibri" w:hAnsi="Arial" w:cs="Arial"/>
          <w:lang w:val="en-GB" w:eastAsia="en-GB"/>
        </w:rPr>
        <w:instrText>ADDIN CSL_CITATION {"citationItems":[{"id":"ITEM-1","itemData":{"DOI":"10.1111/jphp.12362","ISSN":"2042-7158","PMID":"25623928","abstract":"OBJECTIVES This study focuses on the effect of the injection administration process on a range of cell characteristics. METHODS Effects of different ejection rates, needle sizes and cell suspension densities were assessed in terms of viability, membrane integrity, apoptosis and senescence of NIH 3T3 fibroblasts. For ratiometric measurements, a multiplex assay was used to verify cell viability, cytotoxicity and apoptosis independent of cell number. Co-delivery with alginate hydrogels and viscosity-modifying excipients was also assessed. KEY FINDINGS Ejections at 150 μl/min resulted in the highest percentage of dose being delivered as viable cells among ejection rates tested. The difference in proportions of apoptotic cells became apparent 48 h after ejection, with proportions being higher in samples ejected at slower rates. Co-delivery with alginate hydrogels demonstrated a protective action on the cell payload. CONCLUSIONS This study demonstrates the importance of careful consideration of administration protocols required for successful delivery of cell suspensions, according to their nature and cellular responses post-ejection.","author":[{"dropping-particle":"","family":"Amer","given":"Mahetab H","non-dropping-particle":"","parse-names":false,"suffix":""},{"dropping-particle":"","family":"White","given":"Lisa J","non-dropping-particle":"","parse-names":false,"suffix":""},{"dropping-particle":"","family":"Shakesheff","given":"Kevin M","non-dropping-particle":"","parse-names":false,"suffix":""}],"container-title":"The Journal of pharmacy and pharmacology","id":"ITEM-1","issue":"5","issued":{"date-parts":[["2015","5"]]},"page":"640-50","publisher":"J Pharm Pharmacol","title":"The effect of injection using narrow-bore needles on mammalian cells: administration and formulation considerations for cell therapies.","type":"article-journal","volume":"67"},"uris":["http://www.mendeley.com/documents/?uuid=e54555c2-70b7-30a6-942e-b485b97cdda1"]},{"id":"ITEM-2","itemData":{"DOI":"10.1155/2020/4085617","ISSN":"1687-966X","abstract":"&lt;p&gt;Cell therapy for central nervous system (CNS) disorders is beginning to prove its safety and efficiency. Intraparenchymal transplantation can be an option for cell delivery; however, one concern regarding this method is that the transplantation cannula may cause additional brain injuries. These include vessel damage, which results in brain hemorrhage, and clogging of the cannula by brain debris and/or cell clusters, which requires replacement of the cannula or forced injection causing jet flow of the cell suspension. We compared cannulas for cell delivery used in clinical trials, the Pittsburg and Mizuho cannulas, to a newly designed one, MK01, to assess their usability. MK01 has a spherical-shaped tip with a fan-like open orifice on the side of the cannula, which prevents vessel damage, clogging of brain debris, and jet flow phenomenon. We compared the extent of rat cervical and abdominal arterial damage with the cannula, the amount of debris in the cannula, the force needed to cause jet flow, and cell viability. While the viability of cells passed through the cannulas was almost the same among cannulas (approximately 95%), the Pittsburg cannula caused cervical arterial injury and subsequent hemorrhage, as it required a significantly smaller force to penetrate the arterial wall. Moreover, the Pittsburg cannula, but not the Mizuho and MK01 cannulas, showed high frequency of brain debris in the needle tip (approximately 80%) after brain puncture. While jet flow of the injection liquid was observed even when using smaller forces in the Pittsburg and Mizuho cannulas, MK01 constantly showed low jet flow occurrence. Thus, MK01 seems to be safer than the previously reported cannulas, although further investigation is necessary to validate its safety for clinical use.&lt;/p&gt;","author":[{"dropping-particle":"","family":"Kawabori","given":"Masahito","non-dropping-particle":"","parse-names":false,"suffix":""},{"dropping-particle":"","family":"Tanimori","given":"Aki","non-dropping-particle":"","parse-names":false,"suffix":""},{"dropping-particle":"","family":"Kitta","given":"Shinri","non-dropping-particle":"","parse-names":false,"suffix":""},{"dropping-particle":"","family":"Shichinohe","given":"Hideo","non-dropping-particle":"","parse-names":false,"suffix":""},{"dropping-particle":"","family":"Houkin","given":"Kiyohiro","non-dropping-particle":"","parse-names":false,"suffix":""}],"container-title":"Stem Cells International","id":"ITEM-2","issued":{"date-parts":[["2020","2","11"]]},"page":"1-8","title":"Evaluation of Novel Stereotactic Cannula for Stem Cell Transplantation against Central Nervous System Disease","type":"article-journal","volume":"2020"},"uris":["http://www.mendeley.com/documents/?uuid=46cce084-f97e-3995-8746-8fe78ef801cd"]}],"mendeley":{"formattedCitation":"(16,17)","plainTextFormattedCitation":"(16,17)","previouslyFormattedCitation":"(16,17)"},"properties":{"noteIndex":0},"schema":"https://github.com/citation-style-language/schema/raw/master/csl-citation.json"}</w:instrText>
      </w:r>
      <w:r w:rsidRPr="00765483">
        <w:rPr>
          <w:rFonts w:ascii="Arial" w:eastAsia="Calibri" w:hAnsi="Arial" w:cs="Arial"/>
          <w:lang w:val="en-GB" w:eastAsia="en-GB"/>
        </w:rPr>
        <w:fldChar w:fldCharType="separate"/>
      </w:r>
      <w:r w:rsidR="00764676" w:rsidRPr="00765483">
        <w:rPr>
          <w:rFonts w:ascii="Arial" w:eastAsia="Calibri" w:hAnsi="Arial" w:cs="Arial"/>
          <w:noProof/>
          <w:lang w:val="en-GB" w:eastAsia="en-GB"/>
        </w:rPr>
        <w:t>(16,17)</w:t>
      </w:r>
      <w:r w:rsidRPr="00765483">
        <w:rPr>
          <w:rFonts w:ascii="Arial" w:eastAsia="Calibri" w:hAnsi="Arial" w:cs="Arial"/>
          <w:lang w:val="en-GB" w:eastAsia="en-GB"/>
        </w:rPr>
        <w:fldChar w:fldCharType="end"/>
      </w:r>
      <w:r w:rsidRPr="00765483">
        <w:rPr>
          <w:rFonts w:ascii="Arial" w:eastAsia="Calibri" w:hAnsi="Arial" w:cs="Arial"/>
          <w:lang w:val="en-GB" w:eastAsia="en-GB"/>
        </w:rPr>
        <w:t xml:space="preserve">. </w:t>
      </w:r>
      <w:r w:rsidRPr="00765483">
        <w:rPr>
          <w:rFonts w:ascii="Arial" w:eastAsia="Times New Roman" w:hAnsi="Arial" w:cs="Arial"/>
          <w:lang w:val="en-GB" w:eastAsia="en-GB"/>
        </w:rPr>
        <w:t xml:space="preserve">Such factors may contribute to the observations that neural cell transplant efficiency/survival is less than 5% </w:t>
      </w:r>
      <w:r w:rsidRPr="00765483">
        <w:rPr>
          <w:rFonts w:ascii="Arial" w:eastAsia="Times New Roman" w:hAnsi="Arial" w:cs="Arial"/>
          <w:i/>
          <w:iCs/>
          <w:lang w:val="en-GB" w:eastAsia="en-GB"/>
        </w:rPr>
        <w:t xml:space="preserve">in vivo </w:t>
      </w:r>
      <w:r w:rsidRPr="00765483">
        <w:rPr>
          <w:rFonts w:ascii="Arial" w:eastAsia="Times New Roman" w:hAnsi="Arial" w:cs="Arial"/>
          <w:i/>
          <w:iCs/>
          <w:lang w:val="en-GB" w:eastAsia="en-GB"/>
        </w:rPr>
        <w:fldChar w:fldCharType="begin" w:fldLock="1"/>
      </w:r>
      <w:r w:rsidR="007D695A" w:rsidRPr="00765483">
        <w:rPr>
          <w:rFonts w:ascii="Arial" w:eastAsia="Times New Roman" w:hAnsi="Arial" w:cs="Arial"/>
          <w:i/>
          <w:iCs/>
          <w:lang w:val="en-GB" w:eastAsia="en-GB"/>
        </w:rPr>
        <w:instrText>ADDIN CSL_CITATION {"citationItems":[{"id":"ITEM-1","itemData":{"DOI":"10.4252/wjsc.v11.i10.817","ISSN":"1948-0210","abstract":"Brain ischemic stroke is one of the most common causes of death and disability, currently has no efficient therapeutic strategy in clinic. Due to irreversible functional neurons loss and neural tissue injury, stem cell transplantation may be the most promising treatment approach. Neural stem cells (NSCs) as the special type of stem cells only exist in the nervous system, can differentiate into neurons, astrocytes, and oligodendrocytes, and have the abilities to compensate insufficient endogenous nerve cells and improve the inflammatory microenvironment of cell survival. In this review, we focused on the important role of NSCs therapy for brain ischemic stroke, mainly introduced the methods of optimizing the therapeutic efficacy of NSC transplantation, such as transfection and overexpression of specific genes, pretreatment of NSCs with inflammatory factors, and co-transplantation with cytokines. Next, we discussed the potential problems of NSC transplantation which seriously limited their rapid clinical transformation and application. Finally, we expected a new research topic in the field of stem cell research. Based on the bystander effect, exosomes derived from NSCs can overcome many of the risks and difficulties associated with cell therapy. Thus, as natural seed resource of nervous system, NSCs-based cell-free treatment is a newly therapy strategy, will play more important role in treating ischemic stroke in the future.","author":[{"dropping-particle":"","family":"Zhang","given":"Gui-Long","non-dropping-particle":"","parse-names":false,"suffix":""},{"dropping-particle":"","family":"Zhu","given":"Zhi-Han","non-dropping-particle":"","parse-names":false,"suffix":""},{"dropping-particle":"","family":"Wang","given":"Ye-Zhong","non-dropping-particle":"","parse-names":false,"suffix":""}],"container-title":"World Journal of Stem Cells","id":"ITEM-1","issue":"10","issued":{"date-parts":[["2019","10","26"]]},"page":"817-830","publisher":"Baishideng Publishing Group Inc.","title":"Neural stem cell transplantation therapy for brain ischemic stroke: Review and perspectives","type":"article-journal","volume":"11"},"uris":["http://www.mendeley.com/documents/?uuid=09970006-770c-3817-a532-b008994b9191"]}],"mendeley":{"formattedCitation":"(18)","plainTextFormattedCitation":"(18)","previouslyFormattedCitation":"(18)"},"properties":{"noteIndex":0},"schema":"https://github.com/citation-style-language/schema/raw/master/csl-citation.json"}</w:instrText>
      </w:r>
      <w:r w:rsidRPr="00765483">
        <w:rPr>
          <w:rFonts w:ascii="Arial" w:eastAsia="Times New Roman" w:hAnsi="Arial" w:cs="Arial"/>
          <w:i/>
          <w:iCs/>
          <w:lang w:val="en-GB" w:eastAsia="en-GB"/>
        </w:rPr>
        <w:fldChar w:fldCharType="separate"/>
      </w:r>
      <w:r w:rsidR="00764676" w:rsidRPr="00765483">
        <w:rPr>
          <w:rFonts w:ascii="Arial" w:eastAsia="Times New Roman" w:hAnsi="Arial" w:cs="Arial"/>
          <w:iCs/>
          <w:noProof/>
          <w:lang w:val="en-GB" w:eastAsia="en-GB"/>
        </w:rPr>
        <w:t>(18)</w:t>
      </w:r>
      <w:r w:rsidRPr="00765483">
        <w:rPr>
          <w:rFonts w:ascii="Arial" w:eastAsia="Times New Roman" w:hAnsi="Arial" w:cs="Arial"/>
          <w:i/>
          <w:iCs/>
          <w:lang w:val="en-GB" w:eastAsia="en-GB"/>
        </w:rPr>
        <w:fldChar w:fldCharType="end"/>
      </w:r>
      <w:r w:rsidRPr="00765483">
        <w:rPr>
          <w:rFonts w:ascii="Arial" w:eastAsia="Times New Roman" w:hAnsi="Arial" w:cs="Arial"/>
          <w:lang w:val="en-GB" w:eastAsia="en-GB"/>
        </w:rPr>
        <w:t xml:space="preserve">. This is an important consideration for regeneration, as functional recovery correlates directly with graft survival. </w:t>
      </w:r>
      <w:r w:rsidRPr="00765483">
        <w:rPr>
          <w:rFonts w:ascii="Arial" w:eastAsia="Calibri" w:hAnsi="Arial" w:cs="Arial"/>
          <w:lang w:val="en-GB" w:eastAsia="en-GB"/>
        </w:rPr>
        <w:t xml:space="preserve">Physical blockages and cell compaction may occur within cannulae during </w:t>
      </w:r>
      <w:r w:rsidRPr="00765483">
        <w:rPr>
          <w:rFonts w:ascii="Arial" w:eastAsia="Calibri" w:hAnsi="Arial" w:cs="Arial"/>
          <w:lang w:val="en-GB" w:eastAsia="en-GB"/>
        </w:rPr>
        <w:lastRenderedPageBreak/>
        <w:t>transplantation;</w:t>
      </w:r>
      <w:r w:rsidRPr="00765483">
        <w:rPr>
          <w:rFonts w:ascii="Arial" w:eastAsia="Times New Roman" w:hAnsi="Arial" w:cs="Arial"/>
          <w:lang w:val="en-GB" w:eastAsia="en-GB"/>
        </w:rPr>
        <w:t xml:space="preserve"> neurosurgeons can choose to inject at higher pressures to overcome blockages or change cannulae, exposing the CNS to additional injection tracts. </w:t>
      </w:r>
      <w:r w:rsidRPr="00765483">
        <w:rPr>
          <w:rFonts w:ascii="Arial" w:eastAsia="Times New Roman" w:hAnsi="Arial" w:cs="Arial"/>
          <w:bCs/>
          <w:lang w:val="en-GB" w:eastAsia="en-GB"/>
        </w:rPr>
        <w:t xml:space="preserve">Clumping may occur especially given high cell densities used for </w:t>
      </w:r>
      <w:r w:rsidRPr="00765483">
        <w:rPr>
          <w:rFonts w:ascii="Arial" w:eastAsia="Times New Roman" w:hAnsi="Arial" w:cs="Arial"/>
          <w:bCs/>
          <w:i/>
          <w:iCs/>
          <w:lang w:val="en-GB" w:eastAsia="en-GB"/>
        </w:rPr>
        <w:t>in vivo</w:t>
      </w:r>
      <w:r w:rsidRPr="00765483">
        <w:rPr>
          <w:rFonts w:ascii="Arial" w:eastAsia="Times New Roman" w:hAnsi="Arial" w:cs="Arial"/>
          <w:bCs/>
          <w:lang w:val="en-GB" w:eastAsia="en-GB"/>
        </w:rPr>
        <w:t xml:space="preserve"> application; </w:t>
      </w:r>
      <w:r w:rsidRPr="00765483">
        <w:rPr>
          <w:rFonts w:ascii="Arial" w:eastAsia="Calibri" w:hAnsi="Arial" w:cs="Arial"/>
          <w:lang w:val="en-GB" w:eastAsia="en-GB"/>
        </w:rPr>
        <w:t xml:space="preserve">a recent clinical trial used a density of 20 million neural stem cells in 400 µL in </w:t>
      </w:r>
      <w:proofErr w:type="spellStart"/>
      <w:r w:rsidRPr="00765483">
        <w:rPr>
          <w:rFonts w:ascii="Arial" w:eastAsia="Calibri" w:hAnsi="Arial" w:cs="Arial"/>
          <w:lang w:val="en-GB" w:eastAsia="en-GB"/>
        </w:rPr>
        <w:t>HypoThermosol</w:t>
      </w:r>
      <w:proofErr w:type="spellEnd"/>
      <w:r w:rsidRPr="00765483">
        <w:rPr>
          <w:rFonts w:ascii="Arial" w:eastAsia="Calibri" w:hAnsi="Arial" w:cs="Arial"/>
          <w:lang w:val="en-GB" w:eastAsia="en-GB"/>
        </w:rPr>
        <w:t xml:space="preserve"> (5 x10</w:t>
      </w:r>
      <w:r w:rsidRPr="00765483">
        <w:rPr>
          <w:rFonts w:ascii="Arial" w:eastAsia="Calibri" w:hAnsi="Arial" w:cs="Arial"/>
          <w:vertAlign w:val="superscript"/>
          <w:lang w:val="en-GB" w:eastAsia="en-GB"/>
        </w:rPr>
        <w:t>7</w:t>
      </w:r>
      <w:r w:rsidRPr="00765483">
        <w:rPr>
          <w:rFonts w:ascii="Arial" w:eastAsia="Calibri" w:hAnsi="Arial" w:cs="Arial"/>
          <w:lang w:val="en-GB" w:eastAsia="en-GB"/>
        </w:rPr>
        <w:t xml:space="preserve"> cells/mL) for injection into the putamen of stroke patients </w:t>
      </w:r>
      <w:r w:rsidRPr="00765483">
        <w:rPr>
          <w:rFonts w:ascii="Arial" w:eastAsia="Calibri" w:hAnsi="Arial" w:cs="Arial"/>
          <w:lang w:val="en-GB" w:eastAsia="en-GB"/>
        </w:rPr>
        <w:fldChar w:fldCharType="begin" w:fldLock="1"/>
      </w:r>
      <w:r w:rsidR="007D695A" w:rsidRPr="00765483">
        <w:rPr>
          <w:rFonts w:ascii="Arial" w:eastAsia="Calibri" w:hAnsi="Arial" w:cs="Arial"/>
          <w:lang w:val="en-GB" w:eastAsia="en-GB"/>
        </w:rPr>
        <w:instrText>ADDIN CSL_CITATION {"citationItems":[{"id":"ITEM-1","itemData":{"DOI":"10.1136/jnnp-2019-322515","ISSN":"1468330X","PMID":"32041820","abstract":"Background: Human neural stem cell implantation may offer improved recovery from stroke. We investigated the feasibility of intracerebral implantation of the allogeneic human neural stem cell line CTX0E03 in the subacute-chronic recovery phase of stroke and potential measures of therapeutic response in a multicentre study. Methods: We undertook a prospective, multicentre, single-arm, open-label study in adults aged &gt;40 years with significant upper limb motor deficits 2-13 months after ischaemic stroke. 20 million cells were implanted by stereotaxic injection to the putamen ipsilateral to the cerebral infarct. The primary outcome was improvement by 2 or more points on the Action Research Arm Test (ARAT) subtest 2 at 3 months after implantation. Findings: Twenty-three patients underwent cell implantation at eight UK hospitals a median of 7 months after stroke. One of 23 participants improved by the prespecified ARAT subtest level at 3 months, and three participants at 6 and 12 months. Improvement in ARAT was seen only in those with residual upper limb movement at baseline. Transient procedural adverse effects were seen, but no cell-related adverse events occurred up to 12 months of follow-up. Two deaths were unrelated to trial procedures. Interpretation: Administration of human neural stem cells by intracerebral implantation is feasible in a multicentre study. Improvements in upper limb function occurred at 3, 6 and 12 months, but not in those with absent upper limb movement at baseline, suggesting a possible target population for future controlled trials. Funding: ReNeuron, Innovate UK (application no 32074-222145). Trial registration number: EudraCT Number: 2012-003482-18","author":[{"dropping-particle":"","family":"Muir","given":"Keith W.","non-dropping-particle":"","parse-names":false,"suffix":""},{"dropping-particle":"","family":"Bulters","given":"Diederik","non-dropping-particle":"","parse-names":false,"suffix":""},{"dropping-particle":"","family":"Willmot","given":"Mark","non-dropping-particle":"","parse-names":false,"suffix":""},{"dropping-particle":"","family":"Sprigg","given":"Nikola","non-dropping-particle":"","parse-names":false,"suffix":""},{"dropping-particle":"","family":"Dixit","given":"Anand","non-dropping-particle":"","parse-names":false,"suffix":""},{"dropping-particle":"","family":"Ward","given":"Nick","non-dropping-particle":"","parse-names":false,"suffix":""},{"dropping-particle":"","family":"Tyrrell","given":"Pippa","non-dropping-particle":"","parse-names":false,"suffix":""},{"dropping-particle":"","family":"Majid","given":"Arshad","non-dropping-particle":"","parse-names":false,"suffix":""},{"dropping-particle":"","family":"Dunn","given":"Laurence","non-dropping-particle":"","parse-names":false,"suffix":""},{"dropping-particle":"","family":"Bath","given":"Philip","non-dropping-particle":"","parse-names":false,"suffix":""},{"dropping-particle":"","family":"Howell","given":"Julian","non-dropping-particle":"","parse-names":false,"suffix":""},{"dropping-particle":"","family":"Stroemer","given":"Paul","non-dropping-particle":"","parse-names":false,"suffix":""},{"dropping-particle":"","family":"Pollock","given":"Kenneth","non-dropping-particle":"","parse-names":false,"suffix":""},{"dropping-particle":"","family":"Sinden","given":"John","non-dropping-particle":"","parse-names":false,"suffix":""}],"container-title":"Journal of Neurology, Neurosurgery and Psychiatry","id":"ITEM-1","issue":"4","issued":{"date-parts":[["2020","4","1"]]},"page":"396-401","publisher":"BMJ Publishing Group","title":"Intracerebral implantation of human neural stem cells and motor recovery after stroke: Multicentre prospective single-arm study (PISCES-2)","type":"article-journal","volume":"91"},"uris":["http://www.mendeley.com/documents/?uuid=a2aa704a-c445-30ea-97af-4de17ccc3e0b"]}],"mendeley":{"formattedCitation":"(19)","plainTextFormattedCitation":"(19)","previouslyFormattedCitation":"(19)"},"properties":{"noteIndex":0},"schema":"https://github.com/citation-style-language/schema/raw/master/csl-citation.json"}</w:instrText>
      </w:r>
      <w:r w:rsidRPr="00765483">
        <w:rPr>
          <w:rFonts w:ascii="Arial" w:eastAsia="Calibri" w:hAnsi="Arial" w:cs="Arial"/>
          <w:lang w:val="en-GB" w:eastAsia="en-GB"/>
        </w:rPr>
        <w:fldChar w:fldCharType="separate"/>
      </w:r>
      <w:r w:rsidR="00764676" w:rsidRPr="00765483">
        <w:rPr>
          <w:rFonts w:ascii="Arial" w:eastAsia="Calibri" w:hAnsi="Arial" w:cs="Arial"/>
          <w:noProof/>
          <w:lang w:val="en-GB" w:eastAsia="en-GB"/>
        </w:rPr>
        <w:t>(19)</w:t>
      </w:r>
      <w:r w:rsidRPr="00765483">
        <w:rPr>
          <w:rFonts w:ascii="Arial" w:eastAsia="Calibri" w:hAnsi="Arial" w:cs="Arial"/>
          <w:lang w:val="en-GB" w:eastAsia="en-GB"/>
        </w:rPr>
        <w:fldChar w:fldCharType="end"/>
      </w:r>
      <w:r w:rsidRPr="00765483">
        <w:rPr>
          <w:rFonts w:ascii="Arial" w:eastAsia="Calibri" w:hAnsi="Arial" w:cs="Arial"/>
          <w:lang w:val="en-GB" w:eastAsia="en-GB"/>
        </w:rPr>
        <w:t xml:space="preserve">. </w:t>
      </w:r>
      <w:r w:rsidRPr="00765483">
        <w:rPr>
          <w:rFonts w:ascii="Arial" w:eastAsia="Calibri" w:hAnsi="Arial" w:cs="Arial"/>
          <w:iCs/>
          <w:lang w:val="en-GB" w:eastAsia="en-GB"/>
        </w:rPr>
        <w:t xml:space="preserve">Accordingly, there is a critical need to develop novel </w:t>
      </w:r>
    </w:p>
    <w:p w14:paraId="06FD7342" w14:textId="05ADD4AD" w:rsidR="009E7BA9" w:rsidRPr="00765483" w:rsidRDefault="009E7BA9" w:rsidP="009E7BA9">
      <w:pPr>
        <w:spacing w:after="0" w:line="360" w:lineRule="auto"/>
        <w:rPr>
          <w:rFonts w:ascii="Arial" w:eastAsia="Times New Roman" w:hAnsi="Arial" w:cs="Arial"/>
          <w:lang w:val="en-GB" w:eastAsia="en-GB"/>
        </w:rPr>
      </w:pPr>
      <w:r w:rsidRPr="00765483">
        <w:rPr>
          <w:rFonts w:ascii="Arial" w:eastAsia="Calibri" w:hAnsi="Arial" w:cs="Arial"/>
          <w:iCs/>
          <w:lang w:val="en-GB" w:eastAsia="en-GB"/>
        </w:rPr>
        <w:t>transplant delivery strategies for cell therapy in regenerative neurology.</w:t>
      </w:r>
    </w:p>
    <w:p w14:paraId="37245CF9" w14:textId="78C4AF43" w:rsidR="009E7BA9" w:rsidRPr="00765483" w:rsidRDefault="003A2ABB" w:rsidP="009E7BA9">
      <w:pPr>
        <w:spacing w:after="0" w:line="360" w:lineRule="auto"/>
        <w:rPr>
          <w:rFonts w:ascii="Arial" w:eastAsia="Calibri" w:hAnsi="Arial" w:cs="Arial"/>
          <w:lang w:val="en-GB" w:eastAsia="en-GB"/>
        </w:rPr>
      </w:pPr>
      <w:r w:rsidRPr="00765483">
        <w:rPr>
          <w:rFonts w:ascii="Times New Roman" w:eastAsia="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627538F5" wp14:editId="2C8482F2">
                <wp:simplePos x="0" y="0"/>
                <wp:positionH relativeFrom="margin">
                  <wp:align>left</wp:align>
                </wp:positionH>
                <wp:positionV relativeFrom="paragraph">
                  <wp:posOffset>3841750</wp:posOffset>
                </wp:positionV>
                <wp:extent cx="5727065" cy="409575"/>
                <wp:effectExtent l="0" t="0" r="6985" b="0"/>
                <wp:wrapSquare wrapText="bothSides"/>
                <wp:docPr id="4" name="Text Box 1"/>
                <wp:cNvGraphicFramePr/>
                <a:graphic xmlns:a="http://schemas.openxmlformats.org/drawingml/2006/main">
                  <a:graphicData uri="http://schemas.microsoft.com/office/word/2010/wordprocessingShape">
                    <wps:wsp>
                      <wps:cNvSpPr txBox="1"/>
                      <wps:spPr>
                        <a:xfrm>
                          <a:off x="0" y="0"/>
                          <a:ext cx="5727065" cy="409575"/>
                        </a:xfrm>
                        <a:prstGeom prst="rect">
                          <a:avLst/>
                        </a:prstGeom>
                        <a:solidFill>
                          <a:prstClr val="white"/>
                        </a:solidFill>
                        <a:ln>
                          <a:noFill/>
                        </a:ln>
                        <a:effectLst/>
                      </wps:spPr>
                      <wps:txbx>
                        <w:txbxContent>
                          <w:p w14:paraId="385A691C" w14:textId="77777777" w:rsidR="009E7BA9" w:rsidRDefault="009E7BA9" w:rsidP="009E7BA9">
                            <w:pPr>
                              <w:pStyle w:val="Caption1"/>
                              <w:rPr>
                                <w:rFonts w:ascii="Arial" w:eastAsia="Calibri" w:hAnsi="Arial" w:cs="Arial"/>
                                <w:noProof/>
                                <w:color w:val="auto"/>
                                <w:sz w:val="24"/>
                                <w:szCs w:val="24"/>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1</w:t>
                            </w:r>
                            <w:r>
                              <w:rPr>
                                <w:color w:val="auto"/>
                              </w:rPr>
                              <w:fldChar w:fldCharType="end"/>
                            </w:r>
                            <w:r>
                              <w:rPr>
                                <w:color w:val="auto"/>
                              </w:rPr>
                              <w:t>. Schematic diagram summarising the potential clinical and regenerative advantages offered by a transplant cell spray delivery approach for neuro-regenerative applications.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27538F5" id="_x0000_t202" coordsize="21600,21600" o:spt="202" path="m,l,21600r21600,l21600,xe">
                <v:stroke joinstyle="miter"/>
                <v:path gradientshapeok="t" o:connecttype="rect"/>
              </v:shapetype>
              <v:shape id="Text Box 1" o:spid="_x0000_s1026" type="#_x0000_t202" style="position:absolute;margin-left:0;margin-top:302.5pt;width:450.95pt;height:32.2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jzNAIAAG4EAAAOAAAAZHJzL2Uyb0RvYy54bWysVMFu2zAMvQ/YPwi6L3aCptmMOEWWIsOA&#10;oi2QDD0rshwLkERNUmJnXz9KttOt22nYRaFI6tF8j8zyrtOKnIXzEkxJp5OcEmE4VNIcS/ptv/3w&#10;kRIfmKmYAiNKehGe3q3ev1u2thAzaEBVwhEEMb5obUmbEGyRZZ43QjM/ASsMBmtwmgW8umNWOdYi&#10;ulbZLM9vsxZcZR1w4T167/sgXSX8uhY8PNW1F4GokuK3hXS6dB7ima2WrDg6ZhvJh89g//AVmkmD&#10;Ra9Q9ywwcnLyDygtuQMPdZhw0BnUteQi9YDdTPM33ewaZkXqBcnx9kqT/3+w/PH87IisSnpDiWEa&#10;JdqLLpDP0JFpZKe1vsCkncW00KEbVR79Hp2x6a52Ov5iOwTjyPPlym0E4+icL2aL/HZOCcfYTf5p&#10;vphHmOz1tXU+fBGgSTRK6lC7RCk7P/jQp44psZgHJautVCpeYmCjHDkz1LltZBAD+G9ZysRcA/FV&#10;D9h7RBqUoUpsuG8sWqE7dAMLB6guSIKDfoi85VuJZR+YD8/M4dRg37gJ4QmPWkFbUhgsShpwP/7m&#10;j/koJkYpaXEKS+q/n5gTlKivBmWOIzsabjQOo2FOegPY8BR3zPJk4gMX1GjWDvQLLsg6VsEQMxxr&#10;lTSM5ib0u4ALxsV6nZJwMC0LD2ZneYQe6d13L8zZQZyAsj7COJ+seKNRn5tUsutTQMKTgJHQnkUU&#10;Pl5wqNMIDAsYt+bXe8p6/ZtY/QQAAP//AwBQSwMEFAAGAAgAAAAhAIorGSngAAAACAEAAA8AAABk&#10;cnMvZG93bnJldi54bWxMjzFPwzAQhXck/oN1SCyI2oU2atI4VVXBAEtF6MLmxm4ciM+R7bTh33NM&#10;sN3de3r3vXIzuZ6dTYidRwnzmQBmsPG6w1bC4f35fgUsJoVa9R6NhG8TYVNdX5Wq0P6Cb+Zcp5ZR&#10;CMZCSbApDQXnsbHGqTjzg0HSTj44lWgNLddBXSjc9fxBiIw71SF9sGowO2uar3p0EvaLj729G09P&#10;r9vFY3g5jLvss62lvL2ZtmtgyUzpzwy/+IQOFTEd/Yg6sl4CFUkSMrGkgeRczHNgR7pk+RJ4VfL/&#10;BaofAAAA//8DAFBLAQItABQABgAIAAAAIQC2gziS/gAAAOEBAAATAAAAAAAAAAAAAAAAAAAAAABb&#10;Q29udGVudF9UeXBlc10ueG1sUEsBAi0AFAAGAAgAAAAhADj9If/WAAAAlAEAAAsAAAAAAAAAAAAA&#10;AAAALwEAAF9yZWxzLy5yZWxzUEsBAi0AFAAGAAgAAAAhAAFFSPM0AgAAbgQAAA4AAAAAAAAAAAAA&#10;AAAALgIAAGRycy9lMm9Eb2MueG1sUEsBAi0AFAAGAAgAAAAhAIorGSngAAAACAEAAA8AAAAAAAAA&#10;AAAAAAAAjgQAAGRycy9kb3ducmV2LnhtbFBLBQYAAAAABAAEAPMAAACbBQAAAAA=&#10;" stroked="f">
                <v:textbox style="mso-fit-shape-to-text:t" inset="0,0,0,0">
                  <w:txbxContent>
                    <w:p w14:paraId="385A691C" w14:textId="77777777" w:rsidR="009E7BA9" w:rsidRDefault="009E7BA9" w:rsidP="009E7BA9">
                      <w:pPr>
                        <w:pStyle w:val="Caption1"/>
                        <w:rPr>
                          <w:rFonts w:ascii="Arial" w:eastAsia="Calibri" w:hAnsi="Arial" w:cs="Arial"/>
                          <w:noProof/>
                          <w:color w:val="auto"/>
                          <w:sz w:val="24"/>
                          <w:szCs w:val="24"/>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noProof/>
                          <w:color w:val="auto"/>
                        </w:rPr>
                        <w:t>1</w:t>
                      </w:r>
                      <w:r>
                        <w:rPr>
                          <w:color w:val="auto"/>
                        </w:rPr>
                        <w:fldChar w:fldCharType="end"/>
                      </w:r>
                      <w:r>
                        <w:rPr>
                          <w:color w:val="auto"/>
                        </w:rPr>
                        <w:t>. Schematic diagram summarising the potential clinical and regenerative advantages offered by a transplant cell spray delivery approach for neuro-regenerative applications.</w:t>
                      </w:r>
                    </w:p>
                  </w:txbxContent>
                </v:textbox>
                <w10:wrap type="square" anchorx="margin"/>
              </v:shape>
            </w:pict>
          </mc:Fallback>
        </mc:AlternateContent>
      </w:r>
      <w:r w:rsidRPr="00765483">
        <w:rPr>
          <w:rFonts w:ascii="Arial" w:eastAsia="Calibri" w:hAnsi="Arial" w:cs="Arial"/>
          <w:noProof/>
          <w:lang w:val="en-GB" w:eastAsia="en-GB"/>
        </w:rPr>
        <w:drawing>
          <wp:anchor distT="0" distB="0" distL="114300" distR="114300" simplePos="0" relativeHeight="251659776" behindDoc="0" locked="0" layoutInCell="1" allowOverlap="1" wp14:anchorId="01567814" wp14:editId="76D20CED">
            <wp:simplePos x="0" y="0"/>
            <wp:positionH relativeFrom="column">
              <wp:posOffset>-60960</wp:posOffset>
            </wp:positionH>
            <wp:positionV relativeFrom="paragraph">
              <wp:posOffset>286385</wp:posOffset>
            </wp:positionV>
            <wp:extent cx="5869305" cy="3462655"/>
            <wp:effectExtent l="0" t="0" r="0" b="4445"/>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7" cstate="print">
                      <a:extLst>
                        <a:ext uri="{28A0092B-C50C-407E-A947-70E740481C1C}">
                          <a14:useLocalDpi xmlns:a14="http://schemas.microsoft.com/office/drawing/2010/main" val="0"/>
                        </a:ext>
                      </a:extLst>
                    </a:blip>
                    <a:srcRect l="8811" t="3741" r="3616" b="4389"/>
                    <a:stretch/>
                  </pic:blipFill>
                  <pic:spPr bwMode="auto">
                    <a:xfrm>
                      <a:off x="0" y="0"/>
                      <a:ext cx="5869305" cy="3462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5406D4" w14:textId="77777777" w:rsidR="003A2ABB" w:rsidRPr="00765483" w:rsidRDefault="003A2ABB" w:rsidP="009E7BA9">
      <w:pPr>
        <w:spacing w:after="0" w:line="360" w:lineRule="auto"/>
        <w:rPr>
          <w:rFonts w:ascii="Arial" w:eastAsia="Calibri" w:hAnsi="Arial" w:cs="Arial"/>
          <w:lang w:val="en-GB" w:eastAsia="en-GB"/>
        </w:rPr>
      </w:pPr>
    </w:p>
    <w:p w14:paraId="090F9793" w14:textId="597709AF" w:rsidR="009E7BA9" w:rsidRPr="00765483" w:rsidRDefault="009E7BA9" w:rsidP="009E7BA9">
      <w:pPr>
        <w:spacing w:after="0" w:line="360" w:lineRule="auto"/>
        <w:rPr>
          <w:rFonts w:ascii="Arial" w:eastAsia="Calibri" w:hAnsi="Arial" w:cs="Arial"/>
          <w:lang w:val="en-GB" w:eastAsia="en-GB"/>
        </w:rPr>
      </w:pPr>
      <w:r w:rsidRPr="00765483">
        <w:rPr>
          <w:rFonts w:ascii="Arial" w:eastAsia="Calibri" w:hAnsi="Arial" w:cs="Arial"/>
          <w:lang w:val="en-GB" w:eastAsia="en-GB"/>
        </w:rPr>
        <w:t xml:space="preserve">Stem cell spray technology for delivery of neural transplant populations could provide a transformative solution (Figure 1). This is a </w:t>
      </w:r>
      <w:r w:rsidR="0039726F" w:rsidRPr="00765483">
        <w:rPr>
          <w:rFonts w:ascii="Arial" w:eastAsia="Calibri" w:hAnsi="Arial" w:cs="Arial"/>
          <w:lang w:val="en-GB" w:eastAsia="en-GB"/>
        </w:rPr>
        <w:t>minimally</w:t>
      </w:r>
      <w:r w:rsidRPr="00765483">
        <w:rPr>
          <w:rFonts w:ascii="Arial" w:eastAsia="Calibri" w:hAnsi="Arial" w:cs="Arial"/>
          <w:lang w:val="en-GB" w:eastAsia="en-GB"/>
        </w:rPr>
        <w:t xml:space="preserve">-invasive, technically </w:t>
      </w:r>
      <w:proofErr w:type="gramStart"/>
      <w:r w:rsidRPr="00765483">
        <w:rPr>
          <w:rFonts w:ascii="Arial" w:eastAsia="Calibri" w:hAnsi="Arial" w:cs="Arial"/>
          <w:lang w:val="en-GB" w:eastAsia="en-GB"/>
        </w:rPr>
        <w:t>simple</w:t>
      </w:r>
      <w:proofErr w:type="gramEnd"/>
      <w:r w:rsidRPr="00765483">
        <w:rPr>
          <w:rFonts w:ascii="Arial" w:eastAsia="Calibri" w:hAnsi="Arial" w:cs="Arial"/>
          <w:lang w:val="en-GB" w:eastAsia="en-GB"/>
        </w:rPr>
        <w:t xml:space="preserve"> and rapid delivery method, with the advantages of limiting infection and haemorrhage risks. Aerosolization of cells can permit delivery over large surface areas with homogenous distributions. </w:t>
      </w:r>
      <w:r w:rsidRPr="00765483">
        <w:rPr>
          <w:rFonts w:ascii="Arial" w:eastAsia="Times New Roman" w:hAnsi="Arial" w:cs="Arial"/>
          <w:lang w:val="en-GB" w:eastAsia="en-GB"/>
        </w:rPr>
        <w:t>Such a delivery approach could potentially achieve widespread cell distribution when c</w:t>
      </w:r>
      <w:r w:rsidRPr="00765483">
        <w:rPr>
          <w:rFonts w:ascii="Arial" w:eastAsia="Calibri" w:hAnsi="Arial" w:cs="Arial"/>
          <w:lang w:val="en-GB" w:eastAsia="en-GB"/>
        </w:rPr>
        <w:t xml:space="preserve">oupled with the inherent </w:t>
      </w:r>
      <w:proofErr w:type="spellStart"/>
      <w:r w:rsidRPr="00765483">
        <w:rPr>
          <w:rFonts w:ascii="Arial" w:eastAsia="Calibri" w:hAnsi="Arial" w:cs="Arial"/>
          <w:lang w:val="en-GB" w:eastAsia="en-GB"/>
        </w:rPr>
        <w:t>pathotropic</w:t>
      </w:r>
      <w:proofErr w:type="spellEnd"/>
      <w:r w:rsidR="003A2ABB" w:rsidRPr="00765483">
        <w:rPr>
          <w:rFonts w:ascii="Arial" w:eastAsia="Calibri" w:hAnsi="Arial" w:cs="Arial"/>
          <w:lang w:val="en-GB" w:eastAsia="en-GB"/>
        </w:rPr>
        <w:t xml:space="preserve"> </w:t>
      </w:r>
      <w:r w:rsidRPr="00765483">
        <w:rPr>
          <w:rFonts w:ascii="Arial" w:eastAsia="Calibri" w:hAnsi="Arial" w:cs="Arial"/>
          <w:lang w:val="en-GB" w:eastAsia="en-GB"/>
        </w:rPr>
        <w:t>capacities</w:t>
      </w:r>
      <w:r w:rsidR="003A2ABB" w:rsidRPr="00765483">
        <w:rPr>
          <w:rFonts w:ascii="Arial" w:eastAsia="Calibri" w:hAnsi="Arial" w:cs="Arial"/>
          <w:lang w:val="en-GB" w:eastAsia="en-GB"/>
        </w:rPr>
        <w:t xml:space="preserve"> </w:t>
      </w:r>
      <w:r w:rsidRPr="00765483">
        <w:rPr>
          <w:rFonts w:ascii="Arial" w:eastAsia="Calibri" w:hAnsi="Arial" w:cs="Arial"/>
          <w:lang w:val="en-GB" w:eastAsia="en-GB"/>
        </w:rPr>
        <w:t xml:space="preserve">of some transplant populations </w:t>
      </w:r>
      <w:r w:rsidR="003149C7" w:rsidRPr="00765483">
        <w:rPr>
          <w:rFonts w:ascii="Arial" w:eastAsia="Calibri" w:hAnsi="Arial" w:cs="Arial"/>
          <w:lang w:val="en-GB" w:eastAsia="en-GB"/>
        </w:rPr>
        <w:t>facilitating deeper penetration of tissues</w:t>
      </w:r>
      <w:r w:rsidRPr="00765483">
        <w:rPr>
          <w:rFonts w:ascii="Arial" w:eastAsia="Calibri" w:hAnsi="Arial" w:cs="Arial"/>
          <w:lang w:val="en-GB" w:eastAsia="en-GB"/>
        </w:rPr>
        <w:t xml:space="preserve"> </w:t>
      </w:r>
      <w:r w:rsidRPr="00765483">
        <w:rPr>
          <w:rFonts w:ascii="Arial" w:eastAsia="Calibri" w:hAnsi="Arial" w:cs="Arial"/>
          <w:lang w:val="en-GB" w:eastAsia="en-GB"/>
        </w:rPr>
        <w:fldChar w:fldCharType="begin" w:fldLock="1"/>
      </w:r>
      <w:r w:rsidR="007D695A" w:rsidRPr="00765483">
        <w:rPr>
          <w:rFonts w:ascii="Arial" w:eastAsia="Calibri" w:hAnsi="Arial" w:cs="Arial"/>
          <w:lang w:val="en-GB" w:eastAsia="en-GB"/>
        </w:rPr>
        <w:instrText>ADDIN CSL_CITATION {"citationItems":[{"id":"ITEM-1","itemData":{"DOI":"10.3389/fneur.2020.00148","ISSN":"16642295","abstract":"Neural stem cells (NSCs) have garnered significant scientific and commercial interest in the last 15 years. Given their plasticity, defined as the ability to develop into different phenotypes inside and outside of the nervous system, with a capacity of almost unlimited self-renewal, of releasing trophic and immunomodulatory factors, and of exploiting temporal and spatial dynamics, NSCs have been proposed for (i) neurotoxicity testing; (ii) cellular therapies to treat CNS diseases; (iii) neural tissue engineering and repair; (iv) drug target validation and testing; (v) personalized medicine. Moreover, given the growing interest in developing cell-based therapies to target neurodegenerative diseases, recent progress in developing NSCs from human-induced pluripotent stem cells has produced an analog of endogenous NSCs. Herein, we will review the current understanding on emerging conceptual and technological topics in the neural stem cell field, such as deep characterization of the human compartment, single-cell spatial-temporal dynamics, reprogramming from somatic cells, and NSC manipulation and monitoring. Together, these aspects contribute to further disentangling NSC plasticity to better exploit the potential of those cells, which, in the future, might offer new strategies for brain therapies.","author":[{"dropping-particle":"","family":"Ottoboni","given":"Linda","non-dropping-particle":"","parse-names":false,"suffix":""},{"dropping-particle":"","family":"Wunster","given":"Beatrice","non-dropping-particle":"von","parse-names":false,"suffix":""},{"dropping-particle":"","family":"Martino","given":"Gianvito","non-dropping-particle":"","parse-names":false,"suffix":""}],"container-title":"Frontiers in Neurology","id":"ITEM-1","issued":{"date-parts":[["2020","3","20"]]},"page":"148","publisher":"Frontiers Media S.A.","title":"Therapeutic Plasticity of Neural Stem Cells","type":"article","volume":"11"},"uris":["http://www.mendeley.com/documents/?uuid=e4592f06-3576-39e6-89a8-10b4e3a51ad8"]},{"id":"ITEM-2","itemData":{"DOI":"10.1007/s00018-011-0873-5","ISSN":"1420-682X","abstract":"Cell therapy is reaching the stage of phase I clinical trials for post-traumatic, post-ischemic, or neurodegenerative disorders, and the selection of the appropriate cell source is essential. In order to assess the capacity of different human neural stem cell lines (hNSC) to contribute to neural tissue regeneration and to reduce the local inflammation after an acute injury, we transplanted GMP-grade non-immortalized hNSCs and v-myc (v-IhNSC), c-myc T58A (T-IhNSC) immortalized cells into the corpus callosum of adult rats after 5 days from focal demyelination induced by lysophosphatidylcholine. At 15 days from transplantation, hNSC and T-IhNSC migrated to the lesioned area where they promoted endogenous remyelination and differentiated into mature oligodendrocytes, while the all three cell lines were able to integrate in the SVZ. Moreover, where demyelination was accompanied by an inflammatory reaction, a significant reduction of microglial cells’ activation was observed. This effect correlated with a differential migratory pattern of transplanted hNSC and IhNSC, significantly enhanced in the former, thus suggesting a specific NSC-mediated immunomodulatory effect on the local inflammation. We provide evidence that, in the subacute phase of a demyelination injury, different human immortalized and non-immortalized NSC lines, all sharing homing to the stem niche, display a differential pathotropism, both through cell-autonomous and non-cell autonomous effects. Overall, these findings promote IhNSC as an inexhaustible cell source for large-scale preclinical studies and non-immortalized GMP grade hNSC lines as an efficacious, safe, and reliable therapeutic tool for future clinical applications.","author":[{"dropping-particle":"","family":"Ferrari","given":"Daniela","non-dropping-particle":"","parse-names":false,"suffix":""},{"dropping-particle":"","family":"Zalfa","given":"Cristina","non-dropping-particle":"","parse-names":false,"suffix":""},{"dropping-particle":"","family":"Rota Nodari","given":"Laura","non-dropping-particle":"","parse-names":false,"suffix":""},{"dropping-particle":"","family":"Gelati","given":"Maurizio","non-dropping-particle":"","parse-names":false,"suffix":""},{"dropping-particle":"","family":"Carlessi","given":"Luigi","non-dropping-particle":"","parse-names":false,"suffix":""},{"dropping-particle":"","family":"Delia","given":"Domenico","non-dropping-particle":"","parse-names":false,"suffix":""},{"dropping-particle":"","family":"Vescovi","given":"Angelo Luigi","non-dropping-particle":"","parse-names":false,"suffix":""},{"dropping-particle":"","family":"Filippis","given":"Lidia","non-dropping-particle":"De","parse-names":false,"suffix":""}],"container-title":"Cellular and Molecular Life Sciences","id":"ITEM-2","issue":"7","issued":{"date-parts":[["2012","4","11"]]},"page":"1193-1210","publisher":"Springer","title":"Differential pathotropism of non-immortalized and immortalized human neural stem cell lines in a focal demyelination model","type":"article-journal","volume":"69"},"uris":["http://www.mendeley.com/documents/?uuid=b55d1def-06f4-395f-9ae8-dc85e44093b4"]}],"mendeley":{"formattedCitation":"(20,21)","plainTextFormattedCitation":"(20,21)","previouslyFormattedCitation":"(20,21)"},"properties":{"noteIndex":0},"schema":"https://github.com/citation-style-language/schema/raw/master/csl-citation.json"}</w:instrText>
      </w:r>
      <w:r w:rsidRPr="00765483">
        <w:rPr>
          <w:rFonts w:ascii="Arial" w:eastAsia="Calibri" w:hAnsi="Arial" w:cs="Arial"/>
          <w:lang w:val="en-GB" w:eastAsia="en-GB"/>
        </w:rPr>
        <w:fldChar w:fldCharType="separate"/>
      </w:r>
      <w:r w:rsidR="00764676" w:rsidRPr="00765483">
        <w:rPr>
          <w:rFonts w:ascii="Arial" w:eastAsia="Calibri" w:hAnsi="Arial" w:cs="Arial"/>
          <w:noProof/>
          <w:lang w:val="en-GB" w:eastAsia="en-GB"/>
        </w:rPr>
        <w:t>(20,21)</w:t>
      </w:r>
      <w:r w:rsidRPr="00765483">
        <w:rPr>
          <w:rFonts w:ascii="Arial" w:eastAsia="Calibri" w:hAnsi="Arial" w:cs="Arial"/>
          <w:lang w:val="en-GB" w:eastAsia="en-GB"/>
        </w:rPr>
        <w:fldChar w:fldCharType="end"/>
      </w:r>
      <w:r w:rsidRPr="00765483">
        <w:rPr>
          <w:rFonts w:ascii="Arial" w:eastAsia="Calibri" w:hAnsi="Arial" w:cs="Arial"/>
          <w:lang w:val="en-GB" w:eastAsia="en-GB"/>
        </w:rPr>
        <w:t>.</w:t>
      </w:r>
      <w:r w:rsidRPr="00765483">
        <w:rPr>
          <w:rFonts w:ascii="Arial" w:eastAsia="Times New Roman" w:hAnsi="Arial" w:cs="Arial"/>
          <w:lang w:val="en-GB" w:eastAsia="en-GB"/>
        </w:rPr>
        <w:t xml:space="preserve"> </w:t>
      </w:r>
      <w:r w:rsidRPr="00765483">
        <w:rPr>
          <w:rFonts w:ascii="Arial" w:eastAsia="Calibri" w:hAnsi="Arial" w:cs="Arial"/>
          <w:lang w:val="en-GB" w:eastAsia="en-GB"/>
        </w:rPr>
        <w:t xml:space="preserve">The high water content and </w:t>
      </w:r>
      <w:r w:rsidRPr="00765483">
        <w:rPr>
          <w:rFonts w:ascii="Arial" w:eastAsia="Times New Roman" w:hAnsi="Arial" w:cs="Arial"/>
          <w:lang w:val="en-GB" w:eastAsia="en-GB"/>
        </w:rPr>
        <w:t xml:space="preserve">flexible/soft mechanical properties </w:t>
      </w:r>
      <w:r w:rsidRPr="00765483">
        <w:rPr>
          <w:rFonts w:ascii="Arial" w:eastAsia="Calibri" w:hAnsi="Arial" w:cs="Arial"/>
          <w:lang w:val="en-GB" w:eastAsia="en-GB"/>
        </w:rPr>
        <w:t xml:space="preserve">of </w:t>
      </w:r>
      <w:r w:rsidRPr="00765483">
        <w:rPr>
          <w:rFonts w:ascii="Arial" w:eastAsia="Times New Roman" w:hAnsi="Arial" w:cs="Arial"/>
          <w:lang w:val="en-GB" w:eastAsia="en-GB"/>
        </w:rPr>
        <w:t xml:space="preserve">neural tissues, for example 3.2 -3.4 kPa for human brain and spinal cord </w:t>
      </w:r>
      <w:r w:rsidRPr="00765483">
        <w:rPr>
          <w:rFonts w:ascii="Arial" w:eastAsia="Times New Roman" w:hAnsi="Arial" w:cs="Arial"/>
          <w:lang w:val="en-GB" w:eastAsia="en-GB"/>
        </w:rPr>
        <w:fldChar w:fldCharType="begin" w:fldLock="1"/>
      </w:r>
      <w:r w:rsidR="007D695A" w:rsidRPr="00765483">
        <w:rPr>
          <w:rFonts w:ascii="Arial" w:eastAsia="Times New Roman" w:hAnsi="Arial" w:cs="Arial"/>
          <w:lang w:val="en-GB" w:eastAsia="en-GB"/>
        </w:rPr>
        <w:instrText>ADDIN CSL_CITATION {"citationItems":[{"id":"ITEM-1","itemData":{"DOI":"10.1016/j.dcn.2018.06.001","ISSN":"18789307","abstract":"Viscoelastic mechanical properties of the in vivo human brain, measured noninvasively with magnetic resonance elastography (MRE), have recently been shown to be affected by aging and neurological disease, as well as relate to performance on cognitive tasks in adults. The demonstrated sensitivity of brain mechanical properties to neural tissue integrity make them an attractive target for examining the developing brain; however, to date, MRE studies on children are lacking. In this work, we characterized global and regional brain stiffness and damping ratio in a sample of 40 adolescents aged 12–14 years, including the lobes of the cerebrum and subcortical gray matter structures. We also compared the properties of the adolescent brain to the healthy adult brain. Temporal and parietal cerebral lobes were softer in adolescents compared to adults. We found that of subcortical gray matter structures, the caudate and the putamen were significantly stiffer in adolescents, and that the hippocampus and amygdala were significantly less stiff than all other subcortical structures. This study provides the first detailed characterization of adolescent brain viscoelasticity and provides baseline data to be used in studying development and pathophysiology.","author":[{"dropping-particle":"","family":"McIlvain","given":"Grace","non-dropping-particle":"","parse-names":false,"suffix":""},{"dropping-particle":"","family":"Schwarb","given":"Hillary","non-dropping-particle":"","parse-names":false,"suffix":""},{"dropping-particle":"","family":"Cohen","given":"Neal J.","non-dropping-particle":"","parse-names":false,"suffix":""},{"dropping-particle":"","family":"Telzer","given":"Eva H.","non-dropping-particle":"","parse-names":false,"suffix":""},{"dropping-particle":"","family":"Johnson","given":"Curtis L.","non-dropping-particle":"","parse-names":false,"suffix":""}],"container-title":"Developmental Cognitive Neuroscience","id":"ITEM-1","issued":{"date-parts":[["2018","11","1"]]},"page":"27-33","publisher":"Elsevier Ltd","title":"Mechanical properties of the in vivo adolescent human brain","type":"article-journal","volume":"34"},"uris":["http://www.mendeley.com/documents/?uuid=455e5f7b-d1d3-3a21-abe8-2173edda28e1"]},{"id":"ITEM-2","itemData":{"DOI":"10.3171/spi.2001.95.2.0221","ISSN":"00223085","PMID":"11599840","abstract":"Object. Although the gray matter of the spinal cord has been thought to be softer than the white matter, there is no evidence to support this belief. Because the spinal cord is extremely soft, it has been difficult to measure the mechanical properties of the gray and white matter. The modulis of elasticity of the gray and white matter were measured in situ by using a pipette aspiration method. Method. The spinal cord specimens were excised from Japanese white rabbits. Specimens were cut to display the surfaces of axial, frontal, and sagittal sections. The surfaces of the gray and white matter were aspirated using a 0.8-mm-innerdiameter glass pipette while monitoring with a video microscope, and the deformed length in the pipette was measured on a monitor. In each case the modulus of elasticity was calculated by comparing the relationship between the aspiration pressure and aspirated volume of the specimen with that determined by finite element analysis. The moduli of elasticity of the gray and white matter were 3.4 ± 1.4 kPa (mean ± standard deviation) and 3.4 ± 0.9 kPa in the axial section, 3 ± 0.3 kPa and 3.5 ± 0.5 kPa in the frontal section, and 3.5 ± 0.9 kPa and 2.8 ± 0.4 kPa in the sagittal section, respectively. Conclusions. No significant difference in modulus of elasticity was shown between the gray and white matter of the spinal in sections made in various directions.","author":[{"dropping-particle":"","family":"Ozawa","given":"Hiroshi","non-dropping-particle":"","parse-names":false,"suffix":""},{"dropping-particle":"","family":"Matsumoto","given":"Takeo","non-dropping-particle":"","parse-names":false,"suffix":""},{"dropping-particle":"","family":"Ohashi","given":"Toshiro","non-dropping-particle":"","parse-names":false,"suffix":""},{"dropping-particle":"","family":"Sato","given":"Masaaki","non-dropping-particle":"","parse-names":false,"suffix":""},{"dropping-particle":"","family":"Kokubun","given":"Shoichi","non-dropping-particle":"","parse-names":false,"suffix":""}],"container-title":"Journal of Neurosurgery","id":"ITEM-2","issue":"2 SUPPL.","issued":{"date-parts":[["2001","10","1"]]},"page":"221-224","publisher":"American Association of Neurological Surgeons","title":"Comparison of spinal cord gray matter and white matter softness: Measurement by pipette aspiration method","type":"article-journal","volume":"95"},"uris":["http://www.mendeley.com/documents/?uuid=10325f6e-4276-3920-b16d-ddd25e772b0f"]}],"mendeley":{"formattedCitation":"(22,23)","plainTextFormattedCitation":"(22,23)","previouslyFormattedCitation":"(22,23)"},"properties":{"noteIndex":0},"schema":"https://github.com/citation-style-language/schema/raw/master/csl-citation.json"}</w:instrText>
      </w:r>
      <w:r w:rsidRPr="00765483">
        <w:rPr>
          <w:rFonts w:ascii="Arial" w:eastAsia="Times New Roman" w:hAnsi="Arial" w:cs="Arial"/>
          <w:lang w:val="en-GB" w:eastAsia="en-GB"/>
        </w:rPr>
        <w:fldChar w:fldCharType="separate"/>
      </w:r>
      <w:r w:rsidR="00764676" w:rsidRPr="00765483">
        <w:rPr>
          <w:rFonts w:ascii="Arial" w:eastAsia="Times New Roman" w:hAnsi="Arial" w:cs="Arial"/>
          <w:noProof/>
          <w:lang w:val="en-GB" w:eastAsia="en-GB"/>
        </w:rPr>
        <w:t>(22,23)</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 xml:space="preserve">, means these could represent a desirable target for spray delivery due to a cushioning effect minimising physical impact. </w:t>
      </w:r>
      <w:r w:rsidRPr="00765483">
        <w:rPr>
          <w:rFonts w:ascii="Arial" w:eastAsia="Calibri" w:hAnsi="Arial" w:cs="Arial"/>
          <w:lang w:val="en-GB" w:eastAsia="en-GB"/>
        </w:rPr>
        <w:lastRenderedPageBreak/>
        <w:t xml:space="preserve">Spray use would be particularly advantageous for direct cell delivery onto injury sites during neurosurgical procedures in acute injury, for example, during penetrative traumatic brain/spinal cord injury debridement, during craniotomy for haemorrhagic strokes or removal of cortical arteriovenous malformations. This minimises risks of repeated surgeries/anaesthesia often required with injectable cell therapies. Administering cell sprays prior to </w:t>
      </w:r>
      <w:proofErr w:type="spellStart"/>
      <w:r w:rsidRPr="00765483">
        <w:rPr>
          <w:rFonts w:ascii="Arial" w:eastAsia="Calibri" w:hAnsi="Arial" w:cs="Arial"/>
          <w:lang w:val="en-GB" w:eastAsia="en-GB"/>
        </w:rPr>
        <w:t>dural</w:t>
      </w:r>
      <w:proofErr w:type="spellEnd"/>
      <w:r w:rsidRPr="00765483">
        <w:rPr>
          <w:rFonts w:ascii="Arial" w:eastAsia="Calibri" w:hAnsi="Arial" w:cs="Arial"/>
          <w:lang w:val="en-GB" w:eastAsia="en-GB"/>
        </w:rPr>
        <w:t xml:space="preserve"> closure has the potential to promote early CNS regeneration and ultimately improve neurological recovery. Finally, spray technology could enable early administration of cell therapies following traumatic neural injuries which is critical in achieving the best outcomes </w:t>
      </w:r>
      <w:r w:rsidRPr="00765483">
        <w:rPr>
          <w:rFonts w:ascii="Arial" w:eastAsia="Calibri" w:hAnsi="Arial" w:cs="Arial"/>
          <w:lang w:val="en-GB" w:eastAsia="en-GB"/>
        </w:rPr>
        <w:fldChar w:fldCharType="begin" w:fldLock="1"/>
      </w:r>
      <w:r w:rsidR="00764676" w:rsidRPr="00765483">
        <w:rPr>
          <w:rFonts w:ascii="Arial" w:eastAsia="Calibri" w:hAnsi="Arial" w:cs="Arial"/>
          <w:lang w:val="en-GB" w:eastAsia="en-GB"/>
        </w:rPr>
        <w:instrText>ADDIN CSL_CITATION {"citationItems":[{"id":"ITEM-1","itemData":{"DOI":"10.1093/BJA/AEV229","ISSN":"0007-0912","abstract":"Traumatic brain injury is a major economic burden to hospitals in terms of emergency department visits, hospitalizations, and utilization of intensive care units. Current guidelines for the management of severe traumatic brain injuries are primarily supportive, with an emphasis on surveillance (i.e. intracranial pressure) and preventive measures to reduce morbidity and mortality. There are no direct effective therapies available. Over the last fifteen years, pre-clinical studies in regenerative medicine utilizing cell-based therapy have generated enthusiasm as a possible treatment option for traumatic brain injury. In these studies, stem cells and progenitor cells were shown to migrate into the injured brain and proliferate, exerting protective effects through possible cell replacement, gene and protein transfer, and release of anti-inflammatory and growth factors. In this work, we reviewed the pathophysiological mechanisms of traumatic brain injury, the biological rationale for using stem cells and progenitor cells, and the results of clinical trials using cell-based therapy for traumatic brain injury. Although the benefits of cell-based therapy have been clearly demonstrated in pre-clinical studies, some questions remain regarding the biological mechanisms of repair and safety, dose, route and timing of cell delivery, which ultimately will determine its optimal clinical use.","author":[{"dropping-particle":"","family":"Gennai","given":"S.","non-dropping-particle":"","parse-names":false,"suffix":""},{"dropping-particle":"","family":"Monsel","given":"A.","non-dropping-particle":"","parse-names":false,"suffix":""},{"dropping-particle":"","family":"Hao","given":"Q.","non-dropping-particle":"","parse-names":false,"suffix":""},{"dropping-particle":"","family":"Liu","given":"J.","non-dropping-particle":"","parse-names":false,"suffix":""},{"dropping-particle":"","family":"Gudapati","given":"V.","non-dropping-particle":"","parse-names":false,"suffix":""},{"dropping-particle":"","family":"Barbier","given":"E.L.","non-dropping-particle":"","parse-names":false,"suffix":""},{"dropping-particle":"","family":"Lee","given":"J.W.","non-dropping-particle":"","parse-names":false,"suffix":""}],"container-title":"British Journal of Anaesthesia","id":"ITEM-1","issue":"2","issued":{"date-parts":[["2015","8","1"]]},"page":"203-212","publisher":"Elsevier","title":"Cell-Based therapy for traumatic brain injury","type":"article-journal","volume":"115"},"uris":["http://www.mendeley.com/documents/?uuid=b4817fa1-89e3-3443-9c81-3160b8081b63"]}],"mendeley":{"formattedCitation":"(11)","plainTextFormattedCitation":"(11)","previouslyFormattedCitation":"(11)"},"properties":{"noteIndex":0},"schema":"https://github.com/citation-style-language/schema/raw/master/csl-citation.json"}</w:instrText>
      </w:r>
      <w:r w:rsidRPr="00765483">
        <w:rPr>
          <w:rFonts w:ascii="Arial" w:eastAsia="Calibri" w:hAnsi="Arial" w:cs="Arial"/>
          <w:lang w:val="en-GB" w:eastAsia="en-GB"/>
        </w:rPr>
        <w:fldChar w:fldCharType="separate"/>
      </w:r>
      <w:r w:rsidR="00C153CE" w:rsidRPr="00765483">
        <w:rPr>
          <w:rFonts w:ascii="Arial" w:eastAsia="Calibri" w:hAnsi="Arial" w:cs="Arial"/>
          <w:noProof/>
          <w:lang w:val="en-GB" w:eastAsia="en-GB"/>
        </w:rPr>
        <w:t>(11)</w:t>
      </w:r>
      <w:r w:rsidRPr="00765483">
        <w:rPr>
          <w:rFonts w:ascii="Arial" w:eastAsia="Calibri" w:hAnsi="Arial" w:cs="Arial"/>
          <w:lang w:val="en-GB" w:eastAsia="en-GB"/>
        </w:rPr>
        <w:fldChar w:fldCharType="end"/>
      </w:r>
      <w:r w:rsidRPr="00765483">
        <w:rPr>
          <w:rFonts w:ascii="Arial" w:eastAsia="Calibri" w:hAnsi="Arial" w:cs="Arial"/>
          <w:lang w:val="en-GB" w:eastAsia="en-GB"/>
        </w:rPr>
        <w:t xml:space="preserve">. </w:t>
      </w:r>
    </w:p>
    <w:p w14:paraId="2BD1F1A2" w14:textId="302F9378" w:rsidR="00D3345C" w:rsidRPr="00765483" w:rsidRDefault="00D3345C" w:rsidP="009E7BA9">
      <w:pPr>
        <w:spacing w:after="0" w:line="360" w:lineRule="auto"/>
        <w:rPr>
          <w:rFonts w:ascii="Arial" w:eastAsia="Calibri" w:hAnsi="Arial" w:cs="Arial"/>
          <w:lang w:val="en-GB" w:eastAsia="en-GB"/>
        </w:rPr>
      </w:pPr>
    </w:p>
    <w:p w14:paraId="36369115" w14:textId="7A0EB78D" w:rsidR="009E7BA9" w:rsidRPr="00765483" w:rsidRDefault="00E42233" w:rsidP="009E7BA9">
      <w:pPr>
        <w:spacing w:after="0" w:line="360" w:lineRule="auto"/>
        <w:rPr>
          <w:rFonts w:ascii="Arial" w:eastAsia="Calibri" w:hAnsi="Arial" w:cs="Arial"/>
          <w:lang w:val="en-GB" w:eastAsia="en-GB"/>
        </w:rPr>
      </w:pPr>
      <w:r w:rsidRPr="00765483">
        <w:rPr>
          <w:rFonts w:ascii="Arial" w:eastAsia="Calibri" w:hAnsi="Arial" w:cs="Arial"/>
          <w:lang w:val="en-GB" w:eastAsia="en-GB"/>
        </w:rPr>
        <w:t xml:space="preserve">During the process of </w:t>
      </w:r>
      <w:proofErr w:type="spellStart"/>
      <w:r w:rsidRPr="00765483">
        <w:rPr>
          <w:rFonts w:ascii="Arial" w:eastAsia="Calibri" w:hAnsi="Arial" w:cs="Arial"/>
          <w:lang w:val="en-GB" w:eastAsia="en-GB"/>
        </w:rPr>
        <w:t>aerosolisation</w:t>
      </w:r>
      <w:proofErr w:type="spellEnd"/>
      <w:r w:rsidRPr="00765483">
        <w:rPr>
          <w:rFonts w:ascii="Arial" w:eastAsia="Calibri" w:hAnsi="Arial" w:cs="Arial"/>
          <w:lang w:val="en-GB" w:eastAsia="en-GB"/>
        </w:rPr>
        <w:t xml:space="preserve">, cells immersed in droplets </w:t>
      </w:r>
      <w:r w:rsidR="0052792C" w:rsidRPr="00765483">
        <w:rPr>
          <w:rFonts w:ascii="Arial" w:eastAsia="Calibri" w:hAnsi="Arial" w:cs="Arial"/>
          <w:lang w:val="en-GB" w:eastAsia="en-GB"/>
        </w:rPr>
        <w:t xml:space="preserve">are </w:t>
      </w:r>
      <w:r w:rsidR="003A2ABB" w:rsidRPr="00765483">
        <w:rPr>
          <w:rFonts w:ascii="Arial" w:eastAsia="Calibri" w:hAnsi="Arial" w:cs="Arial"/>
          <w:lang w:val="en-GB" w:eastAsia="en-GB"/>
        </w:rPr>
        <w:t>directed at a</w:t>
      </w:r>
      <w:r w:rsidRPr="00765483">
        <w:rPr>
          <w:rFonts w:ascii="Arial" w:eastAsia="Calibri" w:hAnsi="Arial" w:cs="Arial"/>
          <w:lang w:val="en-GB" w:eastAsia="en-GB"/>
        </w:rPr>
        <w:t xml:space="preserve"> target surface </w:t>
      </w:r>
      <w:r w:rsidR="007D695A" w:rsidRPr="00765483">
        <w:rPr>
          <w:rFonts w:ascii="Arial" w:eastAsia="Calibri" w:hAnsi="Arial" w:cs="Arial"/>
          <w:lang w:val="en-GB" w:eastAsia="en-GB"/>
        </w:rPr>
        <w:t>achieving</w:t>
      </w:r>
      <w:r w:rsidRPr="00765483">
        <w:rPr>
          <w:rFonts w:ascii="Arial" w:eastAsia="Calibri" w:hAnsi="Arial" w:cs="Arial"/>
          <w:lang w:val="en-GB" w:eastAsia="en-GB"/>
        </w:rPr>
        <w:t xml:space="preserve"> </w:t>
      </w:r>
      <w:r w:rsidR="007D695A" w:rsidRPr="00765483">
        <w:rPr>
          <w:rFonts w:ascii="Arial" w:eastAsia="Calibri" w:hAnsi="Arial" w:cs="Arial"/>
          <w:lang w:val="en-GB" w:eastAsia="en-GB"/>
        </w:rPr>
        <w:t>widespread</w:t>
      </w:r>
      <w:r w:rsidR="009E04BB" w:rsidRPr="00765483">
        <w:rPr>
          <w:rFonts w:ascii="Arial" w:eastAsia="Calibri" w:hAnsi="Arial" w:cs="Arial"/>
          <w:lang w:val="en-GB" w:eastAsia="en-GB"/>
        </w:rPr>
        <w:t xml:space="preserve">, </w:t>
      </w:r>
      <w:proofErr w:type="gramStart"/>
      <w:r w:rsidR="009E04BB" w:rsidRPr="00765483">
        <w:rPr>
          <w:rFonts w:ascii="Arial" w:eastAsia="Calibri" w:hAnsi="Arial" w:cs="Arial"/>
          <w:lang w:val="en-GB" w:eastAsia="en-GB"/>
        </w:rPr>
        <w:t>rapid</w:t>
      </w:r>
      <w:proofErr w:type="gramEnd"/>
      <w:r w:rsidR="007D695A" w:rsidRPr="00765483">
        <w:rPr>
          <w:rFonts w:ascii="Arial" w:eastAsia="Calibri" w:hAnsi="Arial" w:cs="Arial"/>
          <w:lang w:val="en-GB" w:eastAsia="en-GB"/>
        </w:rPr>
        <w:t xml:space="preserve"> and homogenous</w:t>
      </w:r>
      <w:r w:rsidRPr="00765483">
        <w:rPr>
          <w:rFonts w:ascii="Arial" w:eastAsia="Calibri" w:hAnsi="Arial" w:cs="Arial"/>
          <w:lang w:val="en-GB" w:eastAsia="en-GB"/>
        </w:rPr>
        <w:t xml:space="preserve"> coverage. </w:t>
      </w:r>
      <w:r w:rsidR="007D695A" w:rsidRPr="00765483">
        <w:rPr>
          <w:rFonts w:ascii="Arial" w:eastAsia="Calibri" w:hAnsi="Arial" w:cs="Arial"/>
          <w:lang w:val="en-GB" w:eastAsia="en-GB"/>
        </w:rPr>
        <w:t xml:space="preserve">We speculate </w:t>
      </w:r>
      <w:r w:rsidR="0052792C" w:rsidRPr="00765483">
        <w:rPr>
          <w:rFonts w:ascii="Arial" w:eastAsia="Calibri" w:hAnsi="Arial" w:cs="Arial"/>
          <w:lang w:val="en-GB" w:eastAsia="en-GB"/>
        </w:rPr>
        <w:t>that offers</w:t>
      </w:r>
      <w:r w:rsidR="007D695A" w:rsidRPr="00765483">
        <w:rPr>
          <w:rFonts w:ascii="Arial" w:eastAsia="Calibri" w:hAnsi="Arial" w:cs="Arial"/>
          <w:lang w:val="en-GB" w:eastAsia="en-GB"/>
        </w:rPr>
        <w:t xml:space="preserve"> a </w:t>
      </w:r>
      <w:r w:rsidRPr="00765483">
        <w:rPr>
          <w:rFonts w:ascii="Arial" w:eastAsia="Calibri" w:hAnsi="Arial" w:cs="Arial"/>
          <w:lang w:val="en-GB" w:eastAsia="en-GB"/>
        </w:rPr>
        <w:t xml:space="preserve">significant advantage </w:t>
      </w:r>
      <w:r w:rsidR="003A2ABB" w:rsidRPr="00765483">
        <w:rPr>
          <w:rFonts w:ascii="Arial" w:eastAsia="Calibri" w:hAnsi="Arial" w:cs="Arial"/>
          <w:lang w:val="en-GB" w:eastAsia="en-GB"/>
        </w:rPr>
        <w:t>versus</w:t>
      </w:r>
      <w:r w:rsidRPr="00765483">
        <w:rPr>
          <w:rFonts w:ascii="Arial" w:eastAsia="Calibri" w:hAnsi="Arial" w:cs="Arial"/>
          <w:lang w:val="en-GB" w:eastAsia="en-GB"/>
        </w:rPr>
        <w:t xml:space="preserve"> simply </w:t>
      </w:r>
      <w:r w:rsidR="003A2ABB" w:rsidRPr="00765483">
        <w:rPr>
          <w:rFonts w:ascii="Arial" w:eastAsia="Calibri" w:hAnsi="Arial" w:cs="Arial"/>
          <w:lang w:val="en-GB" w:eastAsia="en-GB"/>
        </w:rPr>
        <w:t>delivering droplets of cell transplant populations onto the neural tissue surface (</w:t>
      </w:r>
      <w:proofErr w:type="gramStart"/>
      <w:r w:rsidR="003A2ABB" w:rsidRPr="00765483">
        <w:rPr>
          <w:rFonts w:ascii="Arial" w:eastAsia="Calibri" w:hAnsi="Arial" w:cs="Arial"/>
          <w:lang w:val="en-GB" w:eastAsia="en-GB"/>
        </w:rPr>
        <w:t>e.g.</w:t>
      </w:r>
      <w:proofErr w:type="gramEnd"/>
      <w:r w:rsidR="003A2ABB" w:rsidRPr="00765483">
        <w:rPr>
          <w:rFonts w:ascii="Arial" w:eastAsia="Calibri" w:hAnsi="Arial" w:cs="Arial"/>
          <w:lang w:val="en-GB" w:eastAsia="en-GB"/>
        </w:rPr>
        <w:t xml:space="preserve"> via a dropper format) </w:t>
      </w:r>
      <w:r w:rsidR="007D695A" w:rsidRPr="00765483">
        <w:rPr>
          <w:rFonts w:ascii="Arial" w:eastAsia="Calibri" w:hAnsi="Arial" w:cs="Arial"/>
          <w:lang w:val="en-GB" w:eastAsia="en-GB"/>
        </w:rPr>
        <w:t xml:space="preserve">which may provide unreliable and inconsistent coverage. </w:t>
      </w:r>
      <w:r w:rsidR="003A2ABB" w:rsidRPr="00765483">
        <w:rPr>
          <w:rFonts w:ascii="Arial" w:eastAsia="Calibri" w:hAnsi="Arial" w:cs="Arial"/>
          <w:lang w:val="en-GB" w:eastAsia="en-GB"/>
        </w:rPr>
        <w:t>Such a delivery approach</w:t>
      </w:r>
      <w:r w:rsidR="007D695A" w:rsidRPr="00765483">
        <w:rPr>
          <w:rFonts w:ascii="Arial" w:eastAsia="Calibri" w:hAnsi="Arial" w:cs="Arial"/>
          <w:lang w:val="en-GB" w:eastAsia="en-GB"/>
        </w:rPr>
        <w:t xml:space="preserve"> may also be less suitable for </w:t>
      </w:r>
      <w:r w:rsidR="003A2ABB" w:rsidRPr="00765483">
        <w:rPr>
          <w:rFonts w:ascii="Arial" w:eastAsia="Calibri" w:hAnsi="Arial" w:cs="Arial"/>
          <w:lang w:val="en-GB" w:eastAsia="en-GB"/>
        </w:rPr>
        <w:t xml:space="preserve">repair in </w:t>
      </w:r>
      <w:r w:rsidR="007D695A" w:rsidRPr="00765483">
        <w:rPr>
          <w:rFonts w:ascii="Arial" w:eastAsia="Calibri" w:hAnsi="Arial" w:cs="Arial"/>
          <w:lang w:val="en-GB" w:eastAsia="en-GB"/>
        </w:rPr>
        <w:t xml:space="preserve">extensive </w:t>
      </w:r>
      <w:r w:rsidR="003A2ABB" w:rsidRPr="00765483">
        <w:rPr>
          <w:rFonts w:ascii="Arial" w:eastAsia="Calibri" w:hAnsi="Arial" w:cs="Arial"/>
          <w:lang w:val="en-GB" w:eastAsia="en-GB"/>
        </w:rPr>
        <w:t xml:space="preserve">areas of </w:t>
      </w:r>
      <w:r w:rsidR="007D695A" w:rsidRPr="00765483">
        <w:rPr>
          <w:rFonts w:ascii="Arial" w:eastAsia="Calibri" w:hAnsi="Arial" w:cs="Arial"/>
          <w:lang w:val="en-GB" w:eastAsia="en-GB"/>
        </w:rPr>
        <w:t>patholog</w:t>
      </w:r>
      <w:r w:rsidR="003A2ABB" w:rsidRPr="00765483">
        <w:rPr>
          <w:rFonts w:ascii="Arial" w:eastAsia="Calibri" w:hAnsi="Arial" w:cs="Arial"/>
          <w:lang w:val="en-GB" w:eastAsia="en-GB"/>
        </w:rPr>
        <w:t>y</w:t>
      </w:r>
      <w:r w:rsidR="007D695A" w:rsidRPr="00765483">
        <w:rPr>
          <w:rFonts w:ascii="Arial" w:eastAsia="Calibri" w:hAnsi="Arial" w:cs="Arial"/>
          <w:lang w:val="en-GB" w:eastAsia="en-GB"/>
        </w:rPr>
        <w:t xml:space="preserve"> </w:t>
      </w:r>
      <w:r w:rsidR="00944573" w:rsidRPr="00765483">
        <w:rPr>
          <w:rFonts w:ascii="Arial" w:eastAsia="Calibri" w:hAnsi="Arial" w:cs="Arial"/>
          <w:lang w:val="en-GB" w:eastAsia="en-GB"/>
        </w:rPr>
        <w:t>if</w:t>
      </w:r>
      <w:r w:rsidR="007D695A" w:rsidRPr="00765483">
        <w:rPr>
          <w:rFonts w:ascii="Arial" w:eastAsia="Calibri" w:hAnsi="Arial" w:cs="Arial"/>
          <w:lang w:val="en-GB" w:eastAsia="en-GB"/>
        </w:rPr>
        <w:t xml:space="preserve"> transplants </w:t>
      </w:r>
      <w:r w:rsidR="00944573" w:rsidRPr="00765483">
        <w:rPr>
          <w:rFonts w:ascii="Arial" w:eastAsia="Calibri" w:hAnsi="Arial" w:cs="Arial"/>
          <w:lang w:val="en-GB" w:eastAsia="en-GB"/>
        </w:rPr>
        <w:t xml:space="preserve">were to </w:t>
      </w:r>
      <w:r w:rsidR="003A2ABB" w:rsidRPr="00765483">
        <w:rPr>
          <w:rFonts w:ascii="Arial" w:eastAsia="Calibri" w:hAnsi="Arial" w:cs="Arial"/>
          <w:lang w:val="en-GB" w:eastAsia="en-GB"/>
        </w:rPr>
        <w:t>filter</w:t>
      </w:r>
      <w:r w:rsidR="007D695A" w:rsidRPr="00765483">
        <w:rPr>
          <w:rFonts w:ascii="Arial" w:eastAsia="Calibri" w:hAnsi="Arial" w:cs="Arial"/>
          <w:lang w:val="en-GB" w:eastAsia="en-GB"/>
        </w:rPr>
        <w:t xml:space="preserve"> away from target tissues</w:t>
      </w:r>
      <w:r w:rsidR="00944573" w:rsidRPr="00765483">
        <w:rPr>
          <w:rFonts w:ascii="Arial" w:eastAsia="Calibri" w:hAnsi="Arial" w:cs="Arial"/>
          <w:lang w:val="en-GB" w:eastAsia="en-GB"/>
        </w:rPr>
        <w:t>,</w:t>
      </w:r>
      <w:r w:rsidR="007D695A" w:rsidRPr="00765483">
        <w:rPr>
          <w:rFonts w:ascii="Arial" w:eastAsia="Calibri" w:hAnsi="Arial" w:cs="Arial"/>
          <w:lang w:val="en-GB" w:eastAsia="en-GB"/>
        </w:rPr>
        <w:t xml:space="preserve"> </w:t>
      </w:r>
      <w:proofErr w:type="gramStart"/>
      <w:r w:rsidR="00944573" w:rsidRPr="00765483">
        <w:rPr>
          <w:rFonts w:ascii="Arial" w:eastAsia="Calibri" w:hAnsi="Arial" w:cs="Arial"/>
          <w:lang w:val="en-GB" w:eastAsia="en-GB"/>
        </w:rPr>
        <w:t>due to the effects</w:t>
      </w:r>
      <w:proofErr w:type="gramEnd"/>
      <w:r w:rsidR="00944573" w:rsidRPr="00765483">
        <w:rPr>
          <w:rFonts w:ascii="Arial" w:eastAsia="Calibri" w:hAnsi="Arial" w:cs="Arial"/>
          <w:lang w:val="en-GB" w:eastAsia="en-GB"/>
        </w:rPr>
        <w:t xml:space="preserve"> of gravity,</w:t>
      </w:r>
      <w:r w:rsidR="007D695A" w:rsidRPr="00765483">
        <w:rPr>
          <w:rFonts w:ascii="Arial" w:eastAsia="Calibri" w:hAnsi="Arial" w:cs="Arial"/>
          <w:lang w:val="en-GB" w:eastAsia="en-GB"/>
        </w:rPr>
        <w:t xml:space="preserve"> </w:t>
      </w:r>
      <w:r w:rsidR="003A2ABB" w:rsidRPr="00765483">
        <w:rPr>
          <w:rFonts w:ascii="Arial" w:eastAsia="Calibri" w:hAnsi="Arial" w:cs="Arial"/>
          <w:lang w:val="en-GB" w:eastAsia="en-GB"/>
        </w:rPr>
        <w:t>prior to</w:t>
      </w:r>
      <w:r w:rsidR="00944573" w:rsidRPr="00765483">
        <w:rPr>
          <w:rFonts w:ascii="Arial" w:eastAsia="Calibri" w:hAnsi="Arial" w:cs="Arial"/>
          <w:lang w:val="en-GB" w:eastAsia="en-GB"/>
        </w:rPr>
        <w:t xml:space="preserve"> </w:t>
      </w:r>
      <w:r w:rsidR="007D695A" w:rsidRPr="00765483">
        <w:rPr>
          <w:rFonts w:ascii="Arial" w:eastAsia="Calibri" w:hAnsi="Arial" w:cs="Arial"/>
          <w:lang w:val="en-GB" w:eastAsia="en-GB"/>
        </w:rPr>
        <w:t xml:space="preserve">cell adhesion. </w:t>
      </w:r>
    </w:p>
    <w:p w14:paraId="1622BA35" w14:textId="77777777" w:rsidR="00E42233" w:rsidRPr="00765483" w:rsidRDefault="00E42233" w:rsidP="009E7BA9">
      <w:pPr>
        <w:spacing w:after="0" w:line="360" w:lineRule="auto"/>
        <w:rPr>
          <w:rFonts w:ascii="Arial" w:eastAsia="Times New Roman" w:hAnsi="Arial" w:cs="Arial"/>
          <w:lang w:val="en-GB" w:eastAsia="en-GB"/>
        </w:rPr>
      </w:pPr>
    </w:p>
    <w:p w14:paraId="6668B2AF" w14:textId="19003FC4" w:rsidR="009E7BA9" w:rsidRPr="00765483" w:rsidRDefault="009E7BA9" w:rsidP="009E7BA9">
      <w:pPr>
        <w:spacing w:after="0" w:line="360" w:lineRule="auto"/>
        <w:rPr>
          <w:rFonts w:ascii="Arial" w:eastAsia="Times New Roman" w:hAnsi="Arial" w:cs="Arial"/>
          <w:i/>
          <w:iCs/>
          <w:lang w:val="en-GB" w:eastAsia="en-GB"/>
        </w:rPr>
      </w:pPr>
      <w:r w:rsidRPr="00765483">
        <w:rPr>
          <w:rFonts w:ascii="Arial" w:eastAsia="Times New Roman" w:hAnsi="Arial" w:cs="Arial"/>
          <w:lang w:val="en-GB" w:eastAsia="en-GB"/>
        </w:rPr>
        <w:t xml:space="preserve">The feasibility of stem cell spray technology has been trialled for a limited number of pathologies with promising results. Autologous skin graft cell sprays to treat partial thickness burns achieve rapid epithelisation utilising smaller donor sites compared to traditional skin grafts </w:t>
      </w:r>
      <w:r w:rsidRPr="00765483">
        <w:rPr>
          <w:rFonts w:ascii="Arial" w:eastAsia="Times New Roman" w:hAnsi="Arial" w:cs="Arial"/>
          <w:lang w:val="en-GB" w:eastAsia="en-GB"/>
        </w:rPr>
        <w:fldChar w:fldCharType="begin" w:fldLock="1"/>
      </w:r>
      <w:r w:rsidR="007D695A" w:rsidRPr="00765483">
        <w:rPr>
          <w:rFonts w:ascii="Arial" w:eastAsia="Times New Roman" w:hAnsi="Arial" w:cs="Arial"/>
          <w:lang w:val="en-GB" w:eastAsia="en-GB"/>
        </w:rPr>
        <w:instrText>ADDIN CSL_CITATION {"citationItems":[{"id":"ITEM-1","itemData":{"DOI":"10.1016/j.burns.2017.10.008","ISSN":"18791409","PMID":"29183637","abstract":"Cell-spray autografting is an innovative early treatment option for deep partial-thickness burn wounds. As an alternative to non-operative management, cell-spray autografting can achieve rapid wound re-epithelialization, particularly in large wounds. When compared to traditional mesh autografting for deep partial-thickness burn wounds, cell-spray autografting can accomplish re-epithelialization with a much smaller donor site. In this review, we describe the development of a biomedical engineering method for isolation and immediate distribution of autologous, non-cultured, adult epidermis-, and adult dermis-derived stem cells. We present data on cell isolation procedures in 44 patients with deep partial-thickness burns performed over five years under an innovative practice IRB. Treated patients presented with a variety of burn wound etiologies and a wide range of TBSA. Overall clinical results were very satisfying. The average hospital length of stay following treatment was seven days. Over the time period, the donor-site to burn-wound surface area ratio was enhanced from 1:80 to 1:100. A detailed analysis of all process-related biotechnology and operative problems, pitfalls, and solutions was performed and is reported herein. Strategies for future clinical studies are discussed.","author":[{"dropping-particle":"","family":"Esteban-Vives","given":"Roger","non-dropping-particle":"","parse-names":false,"suffix":""},{"dropping-particle":"","family":"Corcos","given":"Alain","non-dropping-particle":"","parse-names":false,"suffix":""},{"dropping-particle":"","family":"Choi","given":"Myung S.","non-dropping-particle":"","parse-names":false,"suffix":""},{"dropping-particle":"","family":"Young","given":"Matthew T.","non-dropping-particle":"","parse-names":false,"suffix":""},{"dropping-particle":"","family":"Over","given":"Patrick","non-dropping-particle":"","parse-names":false,"suffix":""},{"dropping-particle":"","family":"Ziembicki","given":"Jenny","non-dropping-particle":"","parse-names":false,"suffix":""},{"dropping-particle":"","family":"Gerlach","given":"Jörg C.","non-dropping-particle":"","parse-names":false,"suffix":""}],"container-title":"Burns","id":"ITEM-1","issue":"3","issued":{"date-parts":[["2018","5","1"]]},"page":"549-559","publisher":"Elsevier Ltd","title":"Cell-spray auto-grafting technology for deep partial-thickness burns: Problems and solutions during clinical implementation","type":"article-journal","volume":"44"},"uris":["http://www.mendeley.com/documents/?uuid=9b9665af-f9f8-345f-bc64-1a208658b1e6"]}],"mendeley":{"formattedCitation":"(24)","plainTextFormattedCitation":"(24)","previouslyFormattedCitation":"(24)"},"properties":{"noteIndex":0},"schema":"https://github.com/citation-style-language/schema/raw/master/csl-citation.json"}</w:instrText>
      </w:r>
      <w:r w:rsidRPr="00765483">
        <w:rPr>
          <w:rFonts w:ascii="Arial" w:eastAsia="Times New Roman" w:hAnsi="Arial" w:cs="Arial"/>
          <w:lang w:val="en-GB" w:eastAsia="en-GB"/>
        </w:rPr>
        <w:fldChar w:fldCharType="separate"/>
      </w:r>
      <w:r w:rsidR="00764676" w:rsidRPr="00765483">
        <w:rPr>
          <w:rFonts w:ascii="Arial" w:eastAsia="Times New Roman" w:hAnsi="Arial" w:cs="Arial"/>
          <w:noProof/>
          <w:lang w:val="en-GB" w:eastAsia="en-GB"/>
        </w:rPr>
        <w:t>(24)</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 xml:space="preserve">. Successful orthopaedic clinical application has been demonstrated, using an airbrush spray to deliver chondrocytes for cartilage repair in osteoarthritis. This approach demonstrated surgical feasibility without a reduction in the matrix-producing capacity of transplanted cells </w:t>
      </w:r>
      <w:r w:rsidRPr="00765483">
        <w:rPr>
          <w:rFonts w:ascii="Arial" w:eastAsia="Times New Roman" w:hAnsi="Arial" w:cs="Arial"/>
          <w:lang w:val="en-GB" w:eastAsia="en-GB"/>
        </w:rPr>
        <w:fldChar w:fldCharType="begin" w:fldLock="1"/>
      </w:r>
      <w:r w:rsidR="007D695A" w:rsidRPr="00765483">
        <w:rPr>
          <w:rFonts w:ascii="Arial" w:eastAsia="Times New Roman" w:hAnsi="Arial" w:cs="Arial"/>
          <w:lang w:val="en-GB" w:eastAsia="en-GB"/>
        </w:rPr>
        <w:instrText>ADDIN CSL_CITATION {"citationItems":[{"id":"ITEM-1","itemData":{"DOI":"10.1089/ten.TEC.2019.0050","ISSN":"1937-3392","PMID":"31111789","abstract":"IMPACT STATEMENT This study shows that a bio-airbrush can be a clinically feasible instrument for the use in cell transplantations to repair knee cartilage defects. This technology would enable a shift from cartilage repair procedures, which are mostly performed using an arthrotomy, toward a fully arthoscopic approach. In addition, the technology presented could possibly be translated to other fields of research where controlled in situ deposition of cells is required, such as treatment of burn wounds/ulcers/others. Our research has shown that the use of an airbrush is safe, without harming cell viability and performance.","author":[{"dropping-particle":"","family":"Dijkstra","given":"Koen","non-dropping-particle":"","parse-names":false,"suffix":""},{"dropping-particle":"","family":"Huitsing","given":"Roeland P J","non-dropping-particle":"","parse-names":false,"suffix":""},{"dropping-particle":"","family":"Custers","given":"Roel J H","non-dropping-particle":"","parse-names":false,"suffix":""},{"dropping-particle":"","family":"Kouwenhoven","given":"Jan Willem M","non-dropping-particle":"","parse-names":false,"suffix":""},{"dropping-particle":"","family":"Bleys","given":"Ronald L A W","non-dropping-particle":"","parse-names":false,"suffix":""},{"dropping-particle":"","family":"Vonk","given":"Lucienne A","non-dropping-particle":"","parse-names":false,"suffix":""},{"dropping-particle":"","family":"Saris","given":"Daniël B F","non-dropping-particle":"","parse-names":false,"suffix":""}],"container-title":"Tissue engineering. Part C, Methods","id":"ITEM-1","issue":"7","issued":{"date-parts":[["2019"]]},"page":"379-388","publisher":"Tissue Eng Part C Methods","title":"Preclinical Feasibility of the Bio-Airbrush for Arthroscopic Cell-Based Cartilage Repair.","type":"article-journal","volume":"25"},"uris":["http://www.mendeley.com/documents/?uuid=1997e172-12ce-30fc-9b79-a723b6c55455"]}],"mendeley":{"formattedCitation":"(25)","plainTextFormattedCitation":"(25)","previouslyFormattedCitation":"(25)"},"properties":{"noteIndex":0},"schema":"https://github.com/citation-style-language/schema/raw/master/csl-citation.json"}</w:instrText>
      </w:r>
      <w:r w:rsidRPr="00765483">
        <w:rPr>
          <w:rFonts w:ascii="Arial" w:eastAsia="Times New Roman" w:hAnsi="Arial" w:cs="Arial"/>
          <w:lang w:val="en-GB" w:eastAsia="en-GB"/>
        </w:rPr>
        <w:fldChar w:fldCharType="separate"/>
      </w:r>
      <w:r w:rsidR="00764676" w:rsidRPr="00765483">
        <w:rPr>
          <w:rFonts w:ascii="Arial" w:eastAsia="Times New Roman" w:hAnsi="Arial" w:cs="Arial"/>
          <w:noProof/>
          <w:lang w:val="en-GB" w:eastAsia="en-GB"/>
        </w:rPr>
        <w:t>(25)</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w:t>
      </w:r>
      <w:r w:rsidR="00D3345C" w:rsidRPr="00765483">
        <w:rPr>
          <w:rFonts w:ascii="Arial" w:eastAsia="Times New Roman" w:hAnsi="Arial" w:cs="Arial"/>
          <w:lang w:val="en-GB" w:eastAsia="en-GB"/>
        </w:rPr>
        <w:t xml:space="preserve"> </w:t>
      </w:r>
      <w:r w:rsidRPr="00765483">
        <w:rPr>
          <w:rFonts w:ascii="Arial" w:eastAsia="Times New Roman" w:hAnsi="Arial" w:cs="Arial"/>
          <w:i/>
          <w:lang w:val="en-GB" w:eastAsia="en-GB"/>
        </w:rPr>
        <w:t xml:space="preserve">However, </w:t>
      </w:r>
      <w:r w:rsidRPr="00765483">
        <w:rPr>
          <w:rFonts w:ascii="Arial" w:eastAsia="Times New Roman" w:hAnsi="Arial" w:cs="Arial"/>
          <w:i/>
          <w:iCs/>
          <w:lang w:val="en-GB" w:eastAsia="en-GB"/>
        </w:rPr>
        <w:t>to our knowledge, spray delivery technology has never been tested for direct delivery of stem cells into sites of CNS pathology.</w:t>
      </w:r>
    </w:p>
    <w:p w14:paraId="599BDE88" w14:textId="77777777" w:rsidR="009E7BA9" w:rsidRPr="00765483" w:rsidRDefault="009E7BA9" w:rsidP="009E7BA9">
      <w:pPr>
        <w:spacing w:after="0" w:line="360" w:lineRule="auto"/>
        <w:rPr>
          <w:rFonts w:ascii="Arial" w:eastAsia="Times New Roman" w:hAnsi="Arial" w:cs="Arial"/>
          <w:iCs/>
          <w:lang w:val="en-GB" w:eastAsia="en-GB"/>
        </w:rPr>
      </w:pPr>
    </w:p>
    <w:p w14:paraId="4BB4E404" w14:textId="77777777" w:rsidR="009E7BA9" w:rsidRPr="00765483" w:rsidRDefault="009E7BA9" w:rsidP="009E7BA9">
      <w:pPr>
        <w:spacing w:after="0" w:line="360" w:lineRule="auto"/>
        <w:rPr>
          <w:rFonts w:ascii="Arial" w:eastAsia="Times New Roman" w:hAnsi="Arial" w:cs="Arial"/>
          <w:bCs/>
          <w:lang w:val="en-GB" w:eastAsia="en-GB"/>
        </w:rPr>
      </w:pPr>
      <w:r w:rsidRPr="00765483">
        <w:rPr>
          <w:rFonts w:ascii="Arial" w:eastAsia="Times New Roman" w:hAnsi="Arial" w:cs="Arial"/>
          <w:bCs/>
          <w:lang w:val="en-GB" w:eastAsia="en-GB"/>
        </w:rPr>
        <w:t xml:space="preserve">Experimental studies from our group (unpublished data) support the concept that developing neural cell transplant sprays is feasible and safe. Several major transplant populations have been tested including neural stem cells, oligodendrocyte precursor cells, olfactory </w:t>
      </w:r>
      <w:proofErr w:type="spellStart"/>
      <w:r w:rsidRPr="00765483">
        <w:rPr>
          <w:rFonts w:ascii="Arial" w:eastAsia="Times New Roman" w:hAnsi="Arial" w:cs="Arial"/>
          <w:bCs/>
          <w:lang w:val="en-GB" w:eastAsia="en-GB"/>
        </w:rPr>
        <w:t>ensheathing</w:t>
      </w:r>
      <w:proofErr w:type="spellEnd"/>
      <w:r w:rsidRPr="00765483">
        <w:rPr>
          <w:rFonts w:ascii="Arial" w:eastAsia="Times New Roman" w:hAnsi="Arial" w:cs="Arial"/>
          <w:bCs/>
          <w:lang w:val="en-GB" w:eastAsia="en-GB"/>
        </w:rPr>
        <w:t xml:space="preserve"> cells and astrocytes. Post spray viability has been uniformly high, with sprayed cells retaining cellular properties that underpin their therapeutic potential such as proliferation/differentiation capacity. </w:t>
      </w:r>
    </w:p>
    <w:p w14:paraId="759C5AC5" w14:textId="77777777" w:rsidR="009E7BA9" w:rsidRPr="00765483" w:rsidRDefault="009E7BA9" w:rsidP="009E7BA9">
      <w:pPr>
        <w:spacing w:after="0" w:line="360" w:lineRule="auto"/>
        <w:rPr>
          <w:rFonts w:ascii="Arial" w:eastAsia="Times New Roman" w:hAnsi="Arial" w:cs="Arial"/>
          <w:lang w:val="en-GB" w:eastAsia="en-GB"/>
        </w:rPr>
      </w:pPr>
    </w:p>
    <w:p w14:paraId="0A53384C" w14:textId="4FE91092" w:rsidR="009E7BA9" w:rsidRPr="00765483" w:rsidRDefault="009E7BA9" w:rsidP="009E7BA9">
      <w:pPr>
        <w:spacing w:after="0" w:line="360" w:lineRule="auto"/>
        <w:rPr>
          <w:rFonts w:ascii="Arial" w:eastAsia="Times New Roman" w:hAnsi="Arial" w:cs="Arial"/>
          <w:lang w:val="en-GB" w:eastAsia="en-GB"/>
        </w:rPr>
      </w:pPr>
      <w:r w:rsidRPr="00765483">
        <w:rPr>
          <w:rFonts w:ascii="Arial" w:eastAsia="Times New Roman" w:hAnsi="Arial" w:cs="Arial"/>
          <w:lang w:val="en-GB" w:eastAsia="en-GB"/>
        </w:rPr>
        <w:lastRenderedPageBreak/>
        <w:t>Our studies also indicate that optimised spray delivery to improve graft survival/integration and tissue regeneration, must account for physical spray parameters including</w:t>
      </w:r>
      <w:r w:rsidRPr="00765483">
        <w:rPr>
          <w:rFonts w:ascii="Arial" w:eastAsia="Times New Roman" w:hAnsi="Arial" w:cs="Arial"/>
          <w:bCs/>
          <w:lang w:val="en-GB" w:eastAsia="en-GB"/>
        </w:rPr>
        <w:t xml:space="preserve"> </w:t>
      </w:r>
      <w:r w:rsidRPr="00765483">
        <w:rPr>
          <w:rFonts w:ascii="Arial" w:eastAsia="Times New Roman" w:hAnsi="Arial" w:cs="Arial"/>
          <w:lang w:val="en-GB" w:eastAsia="en-GB"/>
        </w:rPr>
        <w:t xml:space="preserve">droplet size and viscosity, spray velocity and nozzle bore size </w:t>
      </w:r>
      <w:r w:rsidRPr="00765483">
        <w:rPr>
          <w:rFonts w:ascii="Arial" w:eastAsia="Times New Roman" w:hAnsi="Arial" w:cs="Arial"/>
          <w:lang w:val="en-GB" w:eastAsia="en-GB"/>
        </w:rPr>
        <w:fldChar w:fldCharType="begin" w:fldLock="1"/>
      </w:r>
      <w:r w:rsidR="003149C7" w:rsidRPr="00765483">
        <w:rPr>
          <w:rFonts w:ascii="Arial" w:eastAsia="Times New Roman" w:hAnsi="Arial" w:cs="Arial"/>
          <w:lang w:val="en-GB" w:eastAsia="en-GB"/>
        </w:rPr>
        <w:instrText>ADDIN CSL_CITATION {"citationItems":[{"id":"ITEM-1","itemData":{"DOI":"10.1038/srep11304","ISSN":"2045-2322","abstract":"Optimizing cell viability in droplet-based cell deposition","author":[{"dropping-particle":"","family":"Hendriks","given":"Jan","non-dropping-particle":"","parse-names":false,"suffix":""},{"dropping-particle":"","family":"Willem Visser","given":"Claas","non-dropping-particle":"","parse-names":false,"suffix":""},{"dropping-particle":"","family":"Henke","given":"Sieger","non-dropping-particle":"","parse-names":false,"suffix":""},{"dropping-particle":"","family":"Leijten","given":"Jeroen","non-dropping-particle":"","parse-names":false,"suffix":""},{"dropping-particle":"","family":"Saris","given":"Daniël B.F.","non-dropping-particle":"","parse-names":false,"suffix":""},{"dropping-particle":"","family":"Sun","given":"Chao","non-dropping-particle":"","parse-names":false,"suffix":""},{"dropping-particle":"","family":"Lohse","given":"Detlef","non-dropping-particle":"","parse-names":false,"suffix":""},{"dropping-particle":"","family":"Karperien","given":"Marcel","non-dropping-particle":"","parse-names":false,"suffix":""}],"container-title":"Scientific Reports","id":"ITEM-1","issue":"1","issued":{"date-parts":[["2015","9","11"]]},"page":"11304","publisher":"Nature Publishing Group","title":"Optimizing cell viability in droplet-based cell deposition","type":"article-journal","volume":"5"},"uris":["http://www.mendeley.com/documents/?uuid=d1ada7d5-17ae-30e3-ab51-69ae84a2bb88"]},{"id":"ITEM-2","itemData":{"DOI":"10.1089/ten.tec.2017.0228","ISSN":"1937-3384","author":[{"dropping-particle":"","family":"Dijkstra","given":"Koen","non-dropping-particle":"","parse-names":false,"suffix":""},{"dropping-particle":"","family":"Hendriks","given":"Jan","non-dropping-particle":"","parse-names":false,"suffix":""},{"dropping-particle":"","family":"Karperien","given":"Marcel","non-dropping-particle":"","parse-names":false,"suffix":""},{"dropping-particle":"","family":"Vonk","given":"Lucienne A.","non-dropping-particle":"","parse-names":false,"suffix":""},{"dropping-particle":"","family":"Saris","given":"Daniël B.F.","non-dropping-particle":"","parse-names":false,"suffix":""}],"container-title":"Tissue Engineering Part C: Methods","id":"ITEM-2","issue":"9","issued":{"date-parts":[["2017","9"]]},"page":"505-515","title":"Arthroscopic Airbrush-Assisted Cell Spraying for Cartilage Repair: Design, Development, and Characterization of Custom-Made Arthroscopic Spray Nozzles","type":"article-journal","volume":"23"},"uris":["http://www.mendeley.com/documents/?uuid=c5bde403-8a66-363c-b2b2-4a046ec38690"]}],"mendeley":{"formattedCitation":"(26,27)","plainTextFormattedCitation":"(26,27)","previouslyFormattedCitation":"(26,27)"},"properties":{"noteIndex":0},"schema":"https://github.com/citation-style-language/schema/raw/master/csl-citation.json"}</w:instrText>
      </w:r>
      <w:r w:rsidRPr="00765483">
        <w:rPr>
          <w:rFonts w:ascii="Arial" w:eastAsia="Times New Roman" w:hAnsi="Arial" w:cs="Arial"/>
          <w:lang w:val="en-GB" w:eastAsia="en-GB"/>
        </w:rPr>
        <w:fldChar w:fldCharType="separate"/>
      </w:r>
      <w:r w:rsidR="007D695A" w:rsidRPr="00765483">
        <w:rPr>
          <w:rFonts w:ascii="Arial" w:eastAsia="Times New Roman" w:hAnsi="Arial" w:cs="Arial"/>
          <w:noProof/>
          <w:lang w:val="en-GB" w:eastAsia="en-GB"/>
        </w:rPr>
        <w:t>(26,27)</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 xml:space="preserve">. Developing bespoke, tuneable spray devices in collaboration with the pharmaceutical industry is needed to achieve optimal cell delivery formats. Devices must be tailored to increase droplet size /impact cushioning, using lower droplet viscosity solutions and increased nozzle bore diameter </w:t>
      </w:r>
      <w:r w:rsidRPr="00765483">
        <w:rPr>
          <w:rFonts w:ascii="Arial" w:eastAsia="Times New Roman" w:hAnsi="Arial" w:cs="Arial"/>
          <w:lang w:val="en-GB" w:eastAsia="en-GB"/>
        </w:rPr>
        <w:fldChar w:fldCharType="begin" w:fldLock="1"/>
      </w:r>
      <w:r w:rsidR="003149C7" w:rsidRPr="00765483">
        <w:rPr>
          <w:rFonts w:ascii="Arial" w:eastAsia="Times New Roman" w:hAnsi="Arial" w:cs="Arial"/>
          <w:lang w:val="en-GB" w:eastAsia="en-GB"/>
        </w:rPr>
        <w:instrText>ADDIN CSL_CITATION {"citationItems":[{"id":"ITEM-1","itemData":{"DOI":"10.1089/ten.tec.2017.0228","ISSN":"1937-3384","author":[{"dropping-particle":"","family":"Dijkstra","given":"Koen","non-dropping-particle":"","parse-names":false,"suffix":""},{"dropping-particle":"","family":"Hendriks","given":"Jan","non-dropping-particle":"","parse-names":false,"suffix":""},{"dropping-particle":"","family":"Karperien","given":"Marcel","non-dropping-particle":"","parse-names":false,"suffix":""},{"dropping-particle":"","family":"Vonk","given":"Lucienne A.","non-dropping-particle":"","parse-names":false,"suffix":""},{"dropping-particle":"","family":"Saris","given":"Daniël B.F.","non-dropping-particle":"","parse-names":false,"suffix":""}],"container-title":"Tissue Engineering Part C: Methods","id":"ITEM-1","issue":"9","issued":{"date-parts":[["2017","9"]]},"page":"505-515","title":"Arthroscopic Airbrush-Assisted Cell Spraying for Cartilage Repair: Design, Development, and Characterization of Custom-Made Arthroscopic Spray Nozzles","type":"article-journal","volume":"23"},"uris":["http://www.mendeley.com/documents/?uuid=c5bde403-8a66-363c-b2b2-4a046ec38690"]}],"mendeley":{"formattedCitation":"(27)","plainTextFormattedCitation":"(27)","previouslyFormattedCitation":"(27)"},"properties":{"noteIndex":0},"schema":"https://github.com/citation-style-language/schema/raw/master/csl-citation.json"}</w:instrText>
      </w:r>
      <w:r w:rsidRPr="00765483">
        <w:rPr>
          <w:rFonts w:ascii="Arial" w:eastAsia="Times New Roman" w:hAnsi="Arial" w:cs="Arial"/>
          <w:lang w:val="en-GB" w:eastAsia="en-GB"/>
        </w:rPr>
        <w:fldChar w:fldCharType="separate"/>
      </w:r>
      <w:r w:rsidR="007D695A" w:rsidRPr="00765483">
        <w:rPr>
          <w:rFonts w:ascii="Arial" w:eastAsia="Times New Roman" w:hAnsi="Arial" w:cs="Arial"/>
          <w:noProof/>
          <w:lang w:val="en-GB" w:eastAsia="en-GB"/>
        </w:rPr>
        <w:t>(27)</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 xml:space="preserve">. Shear force damage during spraying could be reduced by cell shrinkage using hyperosmolar sugar solutions as previously shown for macrophage (immune cells sprays) delivered to the respiratory tract </w:t>
      </w:r>
      <w:r w:rsidRPr="00765483">
        <w:rPr>
          <w:rFonts w:ascii="Arial" w:eastAsia="Times New Roman" w:hAnsi="Arial" w:cs="Arial"/>
          <w:lang w:val="en-GB" w:eastAsia="en-GB"/>
        </w:rPr>
        <w:fldChar w:fldCharType="begin" w:fldLock="1"/>
      </w:r>
      <w:r w:rsidR="003149C7" w:rsidRPr="00765483">
        <w:rPr>
          <w:rFonts w:ascii="Arial" w:eastAsia="Times New Roman" w:hAnsi="Arial" w:cs="Arial"/>
          <w:lang w:val="en-GB" w:eastAsia="en-GB"/>
        </w:rPr>
        <w:instrText>ADDIN CSL_CITATION {"citationItems":[{"id":"ITEM-1","itemData":{"DOI":"10.1038/s41598-018-34524-2","ISSN":"2045-2322","abstract":"Macrophages are key cells of the innate immune system and act as tissue resident macrophages (TRMs) in the homeostasis of various tissues. Given their unique functions and therapeutic use as well as the feasibility to derive macrophages in vitro from hematopoietic stem cell (HSC) sources, we propose an “easy-to-use” immune cell spray (ICS) formulation to effectively deliver HSC-derived macrophages. To achieve this aim, we used classical pump spray devices to spray either the human myeloid cell line U937 or primary murine HSC-derived macrophages. For both cell types used, one puff could deliver cells with maintained morphology and functionality. Of note, cells tolerated the spraying process very well with a recovery of more than 90%. In addition, we used osmotic preconditioning to reduce the overall cell size of macrophages. While a 800 mosm hyperosmolar sucrose solution was able to reduce the cell size by 27%, we identified 600 mosm to be effective to reduce the cell size by 15% while maintaining macrophage morphology and functionality. Using an isolated perfused rat lung preparation, the combinatorial use of the ICS with preconditioned and genetically labeled U937 cells allowed the intra-pulmonary delivery of cells, thus paving the way for a new cell delivery platform.","author":[{"dropping-particle":"","family":"Beneke","given":"Valerie","non-dropping-particle":"","parse-names":false,"suffix":""},{"dropping-particle":"","family":"Küster","given":"Fennja","non-dropping-particle":"","parse-names":false,"suffix":""},{"dropping-particle":"","family":"Neehus","given":"Anna-Lena","non-dropping-particle":"","parse-names":false,"suffix":""},{"dropping-particle":"","family":"Hesse","given":"Christina","non-dropping-particle":"","parse-names":false,"suffix":""},{"dropping-particle":"","family":"Lopez-Rodriguez","given":"Elena","non-dropping-particle":"","parse-names":false,"suffix":""},{"dropping-particle":"","family":"Haake","given":"Kathrin","non-dropping-particle":"","parse-names":false,"suffix":""},{"dropping-particle":"","family":"Rafiei Hashtchin","given":"Anna","non-dropping-particle":"","parse-names":false,"suffix":""},{"dropping-particle":"","family":"Schott","given":"Juliane Wilhelmine","non-dropping-particle":"","parse-names":false,"suffix":""},{"dropping-particle":"","family":"Walter","given":"Dorothee","non-dropping-particle":"","parse-names":false,"suffix":""},{"dropping-particle":"","family":"Braun","given":"Armin","non-dropping-particle":"","parse-names":false,"suffix":""},{"dropping-particle":"","family":"Wolkers","given":"Willem F.","non-dropping-particle":"","parse-names":false,"suffix":""},{"dropping-particle":"","family":"Ackermann","given":"Mania","non-dropping-particle":"","parse-names":false,"suffix":""},{"dropping-particle":"","family":"Lachmann","given":"Nico","non-dropping-particle":"","parse-names":false,"suffix":""}],"container-title":"Scientific Reports","id":"ITEM-1","issue":"1","issued":{"date-parts":[["2018","12","2"]]},"page":"16281","publisher":"Nature Publishing Group","title":"An immune cell spray (ICS) formulation allows for the delivery of functional monocyte/macrophages","type":"article-journal","volume":"8"},"uris":["http://www.mendeley.com/documents/?uuid=d7a85544-0dfc-3f65-a86e-f147f848660f"]}],"mendeley":{"formattedCitation":"(28)","plainTextFormattedCitation":"(28)","previouslyFormattedCitation":"(28)"},"properties":{"noteIndex":0},"schema":"https://github.com/citation-style-language/schema/raw/master/csl-citation.json"}</w:instrText>
      </w:r>
      <w:r w:rsidRPr="00765483">
        <w:rPr>
          <w:rFonts w:ascii="Arial" w:eastAsia="Times New Roman" w:hAnsi="Arial" w:cs="Arial"/>
          <w:lang w:val="en-GB" w:eastAsia="en-GB"/>
        </w:rPr>
        <w:fldChar w:fldCharType="separate"/>
      </w:r>
      <w:r w:rsidR="007D695A" w:rsidRPr="00765483">
        <w:rPr>
          <w:rFonts w:ascii="Arial" w:eastAsia="Times New Roman" w:hAnsi="Arial" w:cs="Arial"/>
          <w:noProof/>
          <w:lang w:val="en-GB" w:eastAsia="en-GB"/>
        </w:rPr>
        <w:t>(28)</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 but assessment of neural cell viability would be required.</w:t>
      </w:r>
    </w:p>
    <w:p w14:paraId="35A3717C" w14:textId="77777777" w:rsidR="009E7BA9" w:rsidRPr="00765483" w:rsidRDefault="009E7BA9" w:rsidP="009E7BA9">
      <w:pPr>
        <w:spacing w:after="0" w:line="360" w:lineRule="auto"/>
        <w:rPr>
          <w:rFonts w:ascii="Arial" w:eastAsia="Times New Roman" w:hAnsi="Arial" w:cs="Arial"/>
          <w:lang w:val="en-GB" w:eastAsia="en-GB"/>
        </w:rPr>
      </w:pPr>
    </w:p>
    <w:p w14:paraId="5A456C86" w14:textId="0052C3CD" w:rsidR="009E7BA9" w:rsidRPr="00765483" w:rsidRDefault="009E7BA9" w:rsidP="009E7BA9">
      <w:pPr>
        <w:spacing w:after="0" w:line="360" w:lineRule="auto"/>
        <w:rPr>
          <w:rFonts w:ascii="Arial" w:eastAsia="Times New Roman" w:hAnsi="Arial" w:cs="Arial"/>
          <w:lang w:val="en-GB" w:eastAsia="en-GB"/>
        </w:rPr>
      </w:pPr>
      <w:r w:rsidRPr="00765483">
        <w:rPr>
          <w:rFonts w:ascii="Arial" w:eastAsia="Times New Roman" w:hAnsi="Arial" w:cs="Arial"/>
          <w:lang w:val="en-GB" w:eastAsia="en-GB"/>
        </w:rPr>
        <w:t xml:space="preserve">Further refinements to the spray delivery concept seem feasible. Dual-chamber devices </w:t>
      </w:r>
      <w:r w:rsidRPr="00765483">
        <w:rPr>
          <w:rFonts w:ascii="Arial" w:eastAsia="Times New Roman" w:hAnsi="Arial" w:cs="Arial"/>
          <w:lang w:val="en-GB" w:eastAsia="en-GB"/>
        </w:rPr>
        <w:fldChar w:fldCharType="begin" w:fldLock="1"/>
      </w:r>
      <w:r w:rsidR="003149C7" w:rsidRPr="00765483">
        <w:rPr>
          <w:rFonts w:ascii="Arial" w:eastAsia="Times New Roman" w:hAnsi="Arial" w:cs="Arial"/>
          <w:lang w:val="en-GB" w:eastAsia="en-GB"/>
        </w:rPr>
        <w:instrText>ADDIN CSL_CITATION {"citationItems":[{"id":"ITEM-1","itemData":{"DOI":"10.1016/j.jneumeth.2008.02.018","ISSN":"01650270","PMID":"18420281","abstract":"This study reports extensive characterization of the silicone gel (3-4680, Dow Corning, Midland, MI), for potential use as an artificial dural sealant in long-term electrophysiological experiments in neurophysiology. Dural sealants are important to preserve the integrity of the intracranial space after a craniotomy and in prolonging the lifetime and functionality of implanted brain probes. In this study, we report results of our tests on a commercially available silicone gel with unique properties that make it an ideal dural substitute. The substitute is transparent, elastic, easy to apply, and has re-sealing capabilities, which makes it desirable for applications where multiple penetrations by the brain probe is desirable over an extended period of time. Cytotoxicity tests (for up to 10 days) with fibroblasts and in vivo tests (for 12 weeks) show that the gel is non-toxic and does not produce any significant neuronal degeneration when applied to the rodent cortex even after 12 weeks. In vivo humidity testing showed no sign of CSF leakage for up to 6 weeks. The gel also allows silicon microprobes to penetrate with forces less than 0.5 mN, and a 200-μm diameter stainless steel microprobe with a blunt tip to penetrate with a force less than 2.5 mN. The force dependency on the velocity of penetration and thickness of the gel was also quantified and empirically modeled. The above results demonstrate that the silicone gel (3-4680) can be a viable dural substitute in long-term electrophysiology of the brain. © 2008 Elsevier B.V. All rights reserved.","author":[{"dropping-particle":"","family":"Jackson","given":"Nathan","non-dropping-particle":"","parse-names":false,"suffix":""},{"dropping-particle":"","family":"Muthuswamy","given":"Jit","non-dropping-particle":"","parse-names":false,"suffix":""}],"container-title":"Journal of Neuroscience Methods","id":"ITEM-1","issue":"1","issued":{"date-parts":[["2008","6","15"]]},"page":"147-152","title":"Artificial dural sealant that allows multiple penetrations of implantable brain probes","type":"article-journal","volume":"171"},"uris":["http://www.mendeley.com/documents/?uuid=2f2a5b3b-2c9b-3eb2-bb81-4faa227af1c2"]},{"id":"ITEM-2","itemData":{"DOI":"10.3171/2009.10.SPINE09537","ISSN":"15475654","PMID":"20367373","abstract":"Object. The aim of this study was to evaluate the application and effects of a novel, nonswelling, polyethylene glycol-based hydrogel adhesion barrier and sealant in a canine laminectomy model of CSF leakage and adhesion formation. Methods. After full-width L-2 and L-5 laminectomies, 1-cm midline durotomies were created and sutured closed, except for the last 1-2 mm on the cranial end to create spontaneous CSF leakage. All 5 control animals received no further treatment. Experimental animals received hydrogel at both durotomy sites via either the Dual Liquid applicator (5 animals) or MicroMyst gas-assisted sprayer (5 animals). Sealing of the CSF leak was confirmed by Valsalva maneuver. At 2 months, 2 animals from each group were killed to evaluate dural healing and epidural adhesion formation. The remaining animals were similarly evaluated 4 months after surgery. One animal died at 66 days due to a cause unrelated to hydrogel treatment. Results. In hydrogel-treated animals, all leaking durotomies were sealed intraoperatively. All animals recovered uneventfully. There were no treatment-related health effects. MicroMyst hydrogel application was more controlled, slower, and significantly less thick (p = 0.0094) than Dual Liquid application. All 5 control animals developed subcutaneous CSF accumulations under the incision within days of surgery, compared with only 1 of 10 hydrogel-treated animals (p = 0.002). At 2 and 4 months, control laminectomy sites showed extensive, dense epidural adhesions blending with neodura, compared with hydrogel-treated sites (p &lt; 0.0001 and p = 0.0234, respectively). At 2 months in hydrogel-treated animals, gel filled the epidural space and no epidural adhesions were noted (p &lt; 0.0001 relative to controls). At 4 months, the hydrogel was absorbed. The hydrogel space was filled with scant, loosely organized connective tissue. Conclusions. Hydrogel prevented CSF leakage and mitigated epidural scarring without affecting healing of the dura or laminectomy site. The safety profile of the hydrogel appears favorable due to its synthetic composition, polyethylene glycol chemistry, minimal local tissue response, and lack of neurological deficits. Controlled application of such hydrogel materials may reduce the incidence of postoperative leaks, prevent adhesion formation and thus improve recovery from spinal surgery, and improve identification of tissue planes for reoperations.","author":[{"dropping-particle":"","family":"Preul","given":"Mark C.","non-dropping-particle":"","parse-names":false,"suffix":""},{"dropping-particle":"","family":"Campbell","given":"Patrick K.","non-dropping-particle":"","parse-names":false,"suffix":""},{"dropping-particle":"","family":"Garlick","given":"David S.","non-dropping-particle":"","parse-names":false,"suffix":""},{"dropping-particle":"","family":"Spetzler","given":"Robert F.","non-dropping-particle":"","parse-names":false,"suffix":""}],"container-title":"Journal of Neurosurgery: Spine","id":"ITEM-2","issue":"4","issued":{"date-parts":[["2010","4","1"]]},"page":"381-390","publisher":"American Association of Neurological Surgeons","title":"Application of a new hydrogel dural sealant that reduces epidural adhesion formation: Evaluation in a large animal laminectomy model","type":"article-journal","volume":"12"},"uris":["http://www.mendeley.com/documents/?uuid=aaba90ed-2ee7-3d16-8b86-8c8da4f76f5a"]}],"mendeley":{"formattedCitation":"(29,30)","plainTextFormattedCitation":"(29,30)","previouslyFormattedCitation":"(29,30)"},"properties":{"noteIndex":0},"schema":"https://github.com/citation-style-language/schema/raw/master/csl-citation.json"}</w:instrText>
      </w:r>
      <w:r w:rsidRPr="00765483">
        <w:rPr>
          <w:rFonts w:ascii="Arial" w:eastAsia="Times New Roman" w:hAnsi="Arial" w:cs="Arial"/>
          <w:lang w:val="en-GB" w:eastAsia="en-GB"/>
        </w:rPr>
        <w:fldChar w:fldCharType="separate"/>
      </w:r>
      <w:r w:rsidR="007D695A" w:rsidRPr="00765483">
        <w:rPr>
          <w:rFonts w:ascii="Arial" w:eastAsia="Times New Roman" w:hAnsi="Arial" w:cs="Arial"/>
          <w:noProof/>
          <w:lang w:val="en-GB" w:eastAsia="en-GB"/>
        </w:rPr>
        <w:t>(29,30)</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 xml:space="preserve"> e.g. for the application of </w:t>
      </w:r>
      <w:proofErr w:type="spellStart"/>
      <w:r w:rsidRPr="00765483">
        <w:rPr>
          <w:rFonts w:ascii="Arial" w:eastAsia="Times New Roman" w:hAnsi="Arial" w:cs="Arial"/>
          <w:lang w:val="en-GB" w:eastAsia="en-GB"/>
        </w:rPr>
        <w:t>dural</w:t>
      </w:r>
      <w:proofErr w:type="spellEnd"/>
      <w:r w:rsidRPr="00765483">
        <w:rPr>
          <w:rFonts w:ascii="Arial" w:eastAsia="Times New Roman" w:hAnsi="Arial" w:cs="Arial"/>
          <w:lang w:val="en-GB" w:eastAsia="en-GB"/>
        </w:rPr>
        <w:t xml:space="preserve"> sealants, provide a pre-existing platform for advanced spray formats in neurosurgical procedures offering the capacity for ‘combinatorial delivery’ of multiple cell types, growth factors or pharmaceutical agents such as antibiotics/immunotherapies</w:t>
      </w:r>
      <w:r w:rsidR="009E04BB" w:rsidRPr="00765483">
        <w:rPr>
          <w:rFonts w:ascii="Arial" w:eastAsia="Times New Roman" w:hAnsi="Arial" w:cs="Arial"/>
          <w:lang w:val="en-GB" w:eastAsia="en-GB"/>
        </w:rPr>
        <w:t xml:space="preserve"> (to limit bacterial or fungal infections, for example)</w:t>
      </w:r>
      <w:r w:rsidRPr="00765483">
        <w:rPr>
          <w:rFonts w:ascii="Arial" w:eastAsia="Times New Roman" w:hAnsi="Arial" w:cs="Arial"/>
          <w:lang w:val="en-GB" w:eastAsia="en-GB"/>
        </w:rPr>
        <w:t xml:space="preserve">. Advances in cell transport polymer technology </w:t>
      </w:r>
      <w:r w:rsidRPr="00765483">
        <w:rPr>
          <w:rFonts w:ascii="Arial" w:eastAsia="Times New Roman" w:hAnsi="Arial" w:cs="Arial"/>
          <w:lang w:val="en-GB" w:eastAsia="en-GB"/>
        </w:rPr>
        <w:fldChar w:fldCharType="begin" w:fldLock="1"/>
      </w:r>
      <w:r w:rsidR="003149C7" w:rsidRPr="00765483">
        <w:rPr>
          <w:rFonts w:ascii="Arial" w:eastAsia="Times New Roman" w:hAnsi="Arial" w:cs="Arial"/>
          <w:lang w:val="en-GB" w:eastAsia="en-GB"/>
        </w:rPr>
        <w:instrText>ADDIN CSL_CITATION {"citationItems":[{"id":"ITEM-1","itemData":{"DOI":"10.5966/sctm.2015-0131","ISSN":"2157-6580","PMID":"26826163","abstract":": Despite considerable progress within the cell therapy industry, unmet bioprocessing and logistical challenges associated with the storage and distribution of cells between sites of manufacture and the clinic exist. We examined whether hypothermic (4°C-23°C) preservation of human adipose-derived stem cells could be improved through their encapsulation in 1.2% calcium alginate. Alginate encapsulation improved the recovery of viable cells after 72 hours of storage. Viable cell recovery was highly temperature-dependent, with an optimum temperature of 15°C. At this temperature, alginate encapsulation preserved the ability for recovered cells to attach to tissue culture plastic on rewarming, further increasing its effect on total cell recovery. On attachment, the cells were phenotypically normal, displayed normal growth kinetics, and maintained their capacity for trilineage differentiation. The number of cells encapsulated (up to 2 × 10(6) cells per milliliter) did not affect viable cell recovery nor did storage of encapsulated cells in a xeno-free, serum-free,current Good Manufacturing Practice-grade medium. We present a simple, low-cost system capable of enhancing the preservation of human adipose-derived stem cells stored at hypothermic temperatures, while maintaining their normal function. The storage of cells in this manner has great potential for extending the time windows for quality assurance and efficacy testing, distribution between the sites of manufacture and the clinic, and reducing the wastage associated with the limited shelf life of cells stored in their liquid state.\\n\\nSIGNIFICANCE: Despite considerable advancement in the clinical application of cell-based therapies, major logistical challenges exist throughout the cell therapy supply chain associated with the storage and distribution of cells between the sites of manufacture and the clinic. A simple, low-cost system capable of preserving the viability and functionality of human adipose-derived stem cells (a cell with substantial clinical interest) at hypothermic temperatures (0°C-32°C) is presented. Such a system has considerable potential for extending the shelf life of cell therapy products at multiple stages throughout the cell therapy supply chain.","author":[{"dropping-particle":"","family":"Swioklo","given":"Stephen","non-dropping-particle":"","parse-names":false,"suffix":""},{"dropping-particle":"","family":"Constantinescu","given":"Andrei","non-dropping-particle":"","parse-names":false,"suffix":""},{"dropping-particle":"","family":"Connon","given":"Che J.","non-dropping-particle":"","parse-names":false,"suffix":""}],"container-title":"STEM CELLS Translational Medicine","id":"ITEM-1","issue":"3","issued":{"date-parts":[["2016","3"]]},"page":"339-349","publisher":"Wiley","title":"Alginate-Encapsulation for the Improved Hypothermic Preservation of Human Adipose-Derived Stem Cells","type":"article-journal","volume":"5"},"uris":["http://www.mendeley.com/documents/?uuid=73d0a7f0-ed60-3a01-9ada-5ff7fc977399"]}],"mendeley":{"formattedCitation":"(31)","plainTextFormattedCitation":"(31)","previouslyFormattedCitation":"(31)"},"properties":{"noteIndex":0},"schema":"https://github.com/citation-style-language/schema/raw/master/csl-citation.json"}</w:instrText>
      </w:r>
      <w:r w:rsidRPr="00765483">
        <w:rPr>
          <w:rFonts w:ascii="Arial" w:eastAsia="Times New Roman" w:hAnsi="Arial" w:cs="Arial"/>
          <w:lang w:val="en-GB" w:eastAsia="en-GB"/>
        </w:rPr>
        <w:fldChar w:fldCharType="separate"/>
      </w:r>
      <w:r w:rsidR="007D695A" w:rsidRPr="00765483">
        <w:rPr>
          <w:rFonts w:ascii="Arial" w:eastAsia="Times New Roman" w:hAnsi="Arial" w:cs="Arial"/>
          <w:noProof/>
          <w:lang w:val="en-GB" w:eastAsia="en-GB"/>
        </w:rPr>
        <w:t>(31)</w:t>
      </w:r>
      <w:r w:rsidRPr="00765483">
        <w:rPr>
          <w:rFonts w:ascii="Arial" w:eastAsia="Times New Roman" w:hAnsi="Arial" w:cs="Arial"/>
          <w:lang w:val="en-GB" w:eastAsia="en-GB"/>
        </w:rPr>
        <w:fldChar w:fldCharType="end"/>
      </w:r>
      <w:r w:rsidRPr="00765483">
        <w:rPr>
          <w:rFonts w:ascii="Arial" w:eastAsia="Times New Roman" w:hAnsi="Arial" w:cs="Arial"/>
          <w:lang w:val="en-GB" w:eastAsia="en-GB"/>
        </w:rPr>
        <w:t xml:space="preserve"> incorporated into spray devices can additionally offer improved cell transit to locations remote from cell manufacture sites, without specialised cold chain transport requirements for both research and clinical applications.</w:t>
      </w:r>
    </w:p>
    <w:p w14:paraId="34613FA6" w14:textId="77777777" w:rsidR="009E7BA9" w:rsidRPr="00765483" w:rsidRDefault="009E7BA9" w:rsidP="009E7BA9">
      <w:pPr>
        <w:spacing w:after="0" w:line="360" w:lineRule="auto"/>
        <w:rPr>
          <w:rFonts w:ascii="Arial" w:eastAsia="Times New Roman" w:hAnsi="Arial" w:cs="Arial"/>
          <w:lang w:val="en-GB" w:eastAsia="en-GB"/>
        </w:rPr>
      </w:pPr>
    </w:p>
    <w:p w14:paraId="11D39D86" w14:textId="77777777" w:rsidR="009E7BA9" w:rsidRPr="00765483" w:rsidRDefault="009E7BA9" w:rsidP="009E7BA9">
      <w:pPr>
        <w:spacing w:after="0" w:line="360" w:lineRule="auto"/>
        <w:rPr>
          <w:rFonts w:ascii="Arial" w:eastAsia="Times New Roman" w:hAnsi="Arial" w:cs="Arial"/>
          <w:lang w:val="en-GB" w:eastAsia="en-GB"/>
        </w:rPr>
      </w:pPr>
      <w:r w:rsidRPr="00765483">
        <w:rPr>
          <w:rFonts w:ascii="Arial" w:eastAsia="Times New Roman" w:hAnsi="Arial" w:cs="Arial"/>
          <w:lang w:val="en-GB" w:eastAsia="en-GB"/>
        </w:rPr>
        <w:t xml:space="preserve">Based on these considerations, an optimised transplant spray could offer a novel and versatile cell delivery approach- of high relevance potentially in military or resource poor environments with limited infrastructure for the manufacture/delivery of cell therapy. </w:t>
      </w:r>
    </w:p>
    <w:p w14:paraId="7E4EC577" w14:textId="77777777" w:rsidR="009E7BA9" w:rsidRPr="00765483" w:rsidRDefault="009E7BA9" w:rsidP="009E7BA9">
      <w:pPr>
        <w:spacing w:after="0" w:line="360" w:lineRule="auto"/>
        <w:rPr>
          <w:rFonts w:ascii="Arial" w:eastAsia="Times New Roman" w:hAnsi="Arial" w:cs="Arial"/>
          <w:lang w:val="en-GB" w:eastAsia="en-GB"/>
        </w:rPr>
      </w:pPr>
    </w:p>
    <w:p w14:paraId="2EFA5161" w14:textId="77777777" w:rsidR="009E7BA9" w:rsidRPr="00765483" w:rsidRDefault="009E7BA9" w:rsidP="009E7BA9">
      <w:pPr>
        <w:spacing w:after="0" w:line="360" w:lineRule="auto"/>
        <w:rPr>
          <w:rFonts w:ascii="Arial" w:eastAsia="Times New Roman" w:hAnsi="Arial" w:cs="Arial"/>
          <w:b/>
          <w:lang w:val="en-GB" w:eastAsia="en-GB"/>
        </w:rPr>
      </w:pPr>
      <w:r w:rsidRPr="00765483">
        <w:rPr>
          <w:rFonts w:ascii="Arial" w:eastAsia="Times New Roman" w:hAnsi="Arial" w:cs="Arial"/>
          <w:b/>
          <w:lang w:val="en-GB" w:eastAsia="en-GB"/>
        </w:rPr>
        <w:t xml:space="preserve">Declaration of interests </w:t>
      </w:r>
    </w:p>
    <w:p w14:paraId="5410C67C" w14:textId="77777777" w:rsidR="009E7BA9" w:rsidRPr="00765483" w:rsidRDefault="009E7BA9" w:rsidP="009E7BA9">
      <w:pPr>
        <w:spacing w:after="0" w:line="360" w:lineRule="auto"/>
        <w:rPr>
          <w:rFonts w:ascii="Arial" w:eastAsia="Times New Roman" w:hAnsi="Arial" w:cs="Arial"/>
          <w:lang w:val="en-GB" w:eastAsia="en-GB"/>
        </w:rPr>
      </w:pPr>
      <w:r w:rsidRPr="00765483">
        <w:rPr>
          <w:rFonts w:ascii="Arial" w:eastAsia="Times New Roman" w:hAnsi="Arial" w:cs="Arial"/>
          <w:lang w:val="en-GB" w:eastAsia="en-GB"/>
        </w:rPr>
        <w:t>The authors have no competing interests to declare.</w:t>
      </w:r>
    </w:p>
    <w:p w14:paraId="229B717E" w14:textId="77777777" w:rsidR="009E7BA9" w:rsidRPr="00765483" w:rsidRDefault="009E7BA9" w:rsidP="009E7BA9">
      <w:pPr>
        <w:spacing w:after="0" w:line="360" w:lineRule="auto"/>
        <w:rPr>
          <w:rFonts w:ascii="Arial" w:eastAsia="Times New Roman" w:hAnsi="Arial" w:cs="Arial"/>
          <w:b/>
          <w:lang w:val="en-GB" w:eastAsia="en-GB"/>
        </w:rPr>
      </w:pPr>
    </w:p>
    <w:p w14:paraId="405DBE93" w14:textId="77777777" w:rsidR="009E7BA9" w:rsidRPr="00765483" w:rsidRDefault="009E7BA9" w:rsidP="009E7BA9">
      <w:pPr>
        <w:spacing w:after="0" w:line="360" w:lineRule="auto"/>
        <w:rPr>
          <w:rFonts w:ascii="Arial" w:eastAsia="Times New Roman" w:hAnsi="Arial" w:cs="Arial"/>
          <w:b/>
          <w:lang w:val="en-GB" w:eastAsia="en-GB"/>
        </w:rPr>
      </w:pPr>
      <w:r w:rsidRPr="00765483">
        <w:rPr>
          <w:rFonts w:ascii="Arial" w:eastAsia="Times New Roman" w:hAnsi="Arial" w:cs="Arial"/>
          <w:b/>
          <w:lang w:val="en-GB" w:eastAsia="en-GB"/>
        </w:rPr>
        <w:t>Acknowledgments</w:t>
      </w:r>
    </w:p>
    <w:p w14:paraId="6764D209" w14:textId="77777777" w:rsidR="009E7BA9" w:rsidRPr="00765483" w:rsidRDefault="009E7BA9" w:rsidP="009E7BA9">
      <w:pPr>
        <w:spacing w:after="0" w:line="360" w:lineRule="auto"/>
        <w:rPr>
          <w:rFonts w:ascii="Arial" w:eastAsia="Times New Roman" w:hAnsi="Arial" w:cs="Arial"/>
          <w:lang w:val="en-GB" w:eastAsia="en-GB"/>
        </w:rPr>
      </w:pPr>
      <w:r w:rsidRPr="00765483">
        <w:rPr>
          <w:rFonts w:ascii="Arial" w:eastAsia="Times New Roman" w:hAnsi="Arial" w:cs="Arial"/>
          <w:lang w:val="en-GB" w:eastAsia="en-GB"/>
        </w:rPr>
        <w:t xml:space="preserve">WW and DE are supported by NHS intercalation bursaries; DE is also supported by a Wolfson Award, Royal College of Physicians. </w:t>
      </w:r>
    </w:p>
    <w:p w14:paraId="21DA8BCC" w14:textId="77777777" w:rsidR="009E7BA9" w:rsidRPr="00765483" w:rsidRDefault="009E7BA9" w:rsidP="009E7BA9">
      <w:pPr>
        <w:spacing w:after="0" w:line="360" w:lineRule="auto"/>
        <w:rPr>
          <w:rFonts w:ascii="Arial" w:eastAsia="Times New Roman" w:hAnsi="Arial" w:cs="Arial"/>
          <w:b/>
          <w:lang w:val="en-GB" w:eastAsia="en-GB"/>
        </w:rPr>
      </w:pPr>
    </w:p>
    <w:p w14:paraId="5831D37F" w14:textId="77777777" w:rsidR="009E7BA9" w:rsidRPr="00765483" w:rsidRDefault="009E7BA9" w:rsidP="009E7BA9">
      <w:pPr>
        <w:spacing w:after="0" w:line="360" w:lineRule="auto"/>
        <w:rPr>
          <w:rFonts w:ascii="Arial" w:eastAsia="Times New Roman" w:hAnsi="Arial" w:cs="Arial"/>
          <w:b/>
          <w:lang w:val="en-GB" w:eastAsia="en-GB"/>
        </w:rPr>
      </w:pPr>
      <w:r w:rsidRPr="00765483">
        <w:rPr>
          <w:rFonts w:ascii="Arial" w:eastAsia="Times New Roman" w:hAnsi="Arial" w:cs="Arial"/>
          <w:b/>
          <w:lang w:val="en-GB" w:eastAsia="en-GB"/>
        </w:rPr>
        <w:t>Author contributions</w:t>
      </w:r>
    </w:p>
    <w:p w14:paraId="0A8B866F" w14:textId="77777777" w:rsidR="009E7BA9" w:rsidRPr="00765483" w:rsidRDefault="009E7BA9" w:rsidP="009E7BA9">
      <w:pPr>
        <w:spacing w:after="0" w:line="360" w:lineRule="auto"/>
        <w:rPr>
          <w:rFonts w:ascii="Arial" w:eastAsia="Times New Roman" w:hAnsi="Arial" w:cs="Arial"/>
          <w:lang w:val="en-GB" w:eastAsia="en-GB"/>
        </w:rPr>
      </w:pPr>
      <w:r w:rsidRPr="00765483">
        <w:rPr>
          <w:rFonts w:ascii="Arial" w:eastAsia="Times New Roman" w:hAnsi="Arial" w:cs="Arial"/>
          <w:lang w:val="en-GB" w:eastAsia="en-GB"/>
        </w:rPr>
        <w:t xml:space="preserve">WW, DE, </w:t>
      </w:r>
      <w:proofErr w:type="gramStart"/>
      <w:r w:rsidRPr="00765483">
        <w:rPr>
          <w:rFonts w:ascii="Arial" w:eastAsia="Times New Roman" w:hAnsi="Arial" w:cs="Arial"/>
          <w:lang w:val="en-GB" w:eastAsia="en-GB"/>
        </w:rPr>
        <w:t>NT</w:t>
      </w:r>
      <w:proofErr w:type="gramEnd"/>
      <w:r w:rsidRPr="00765483">
        <w:rPr>
          <w:rFonts w:ascii="Arial" w:eastAsia="Times New Roman" w:hAnsi="Arial" w:cs="Arial"/>
          <w:lang w:val="en-GB" w:eastAsia="en-GB"/>
        </w:rPr>
        <w:t xml:space="preserve"> and DMC contributed to research and writing the manuscript, AM contributed to research and graphic production. CA and DMC reviewed and edited the manuscript.</w:t>
      </w:r>
    </w:p>
    <w:p w14:paraId="25B0F4E4" w14:textId="77777777" w:rsidR="009E7BA9" w:rsidRPr="00765483" w:rsidRDefault="009E7BA9" w:rsidP="009E7BA9">
      <w:pPr>
        <w:spacing w:after="0" w:line="360" w:lineRule="auto"/>
        <w:rPr>
          <w:rFonts w:ascii="Arial" w:eastAsia="Times New Roman" w:hAnsi="Arial" w:cs="Arial"/>
          <w:b/>
          <w:lang w:val="en-GB" w:eastAsia="en-GB"/>
        </w:rPr>
      </w:pPr>
    </w:p>
    <w:p w14:paraId="10AF9AE2" w14:textId="77777777" w:rsidR="009E7BA9" w:rsidRPr="00765483" w:rsidRDefault="009E7BA9" w:rsidP="009E7BA9">
      <w:pPr>
        <w:spacing w:after="0" w:line="360" w:lineRule="auto"/>
        <w:rPr>
          <w:rFonts w:ascii="Arial" w:eastAsia="Times New Roman" w:hAnsi="Arial" w:cs="Arial"/>
          <w:b/>
          <w:lang w:val="en-GB" w:eastAsia="en-GB"/>
        </w:rPr>
      </w:pPr>
      <w:r w:rsidRPr="00765483">
        <w:rPr>
          <w:rFonts w:ascii="Arial" w:eastAsia="Times New Roman" w:hAnsi="Arial" w:cs="Arial"/>
          <w:b/>
          <w:lang w:val="en-GB" w:eastAsia="en-GB"/>
        </w:rPr>
        <w:lastRenderedPageBreak/>
        <w:t xml:space="preserve">References </w:t>
      </w:r>
    </w:p>
    <w:p w14:paraId="316285DF" w14:textId="03792C04" w:rsidR="003149C7" w:rsidRPr="00765483" w:rsidRDefault="009E7BA9" w:rsidP="003149C7">
      <w:pPr>
        <w:widowControl w:val="0"/>
        <w:autoSpaceDE w:val="0"/>
        <w:autoSpaceDN w:val="0"/>
        <w:adjustRightInd w:val="0"/>
        <w:spacing w:after="0" w:line="360" w:lineRule="auto"/>
        <w:ind w:left="640" w:hanging="640"/>
        <w:rPr>
          <w:rFonts w:ascii="Arial" w:hAnsi="Arial" w:cs="Arial"/>
          <w:noProof/>
        </w:rPr>
      </w:pPr>
      <w:r w:rsidRPr="00765483">
        <w:rPr>
          <w:rFonts w:ascii="Arial" w:eastAsia="Times New Roman" w:hAnsi="Arial" w:cs="Arial"/>
          <w:bCs/>
          <w:lang w:val="en-GB" w:eastAsia="en-GB"/>
        </w:rPr>
        <w:fldChar w:fldCharType="begin" w:fldLock="1"/>
      </w:r>
      <w:r w:rsidRPr="00765483">
        <w:rPr>
          <w:rFonts w:ascii="Arial" w:eastAsia="Times New Roman" w:hAnsi="Arial" w:cs="Arial"/>
          <w:bCs/>
          <w:lang w:val="en-GB" w:eastAsia="en-GB"/>
        </w:rPr>
        <w:instrText xml:space="preserve">ADDIN Mendeley Bibliography CSL_BIBLIOGRAPHY </w:instrText>
      </w:r>
      <w:r w:rsidRPr="00765483">
        <w:rPr>
          <w:rFonts w:ascii="Arial" w:eastAsia="Times New Roman" w:hAnsi="Arial" w:cs="Arial"/>
          <w:bCs/>
          <w:lang w:val="en-GB" w:eastAsia="en-GB"/>
        </w:rPr>
        <w:fldChar w:fldCharType="separate"/>
      </w:r>
      <w:r w:rsidR="003149C7" w:rsidRPr="00765483">
        <w:rPr>
          <w:rFonts w:ascii="Arial" w:hAnsi="Arial" w:cs="Arial"/>
          <w:noProof/>
        </w:rPr>
        <w:t xml:space="preserve">1. </w:t>
      </w:r>
      <w:r w:rsidR="003149C7" w:rsidRPr="00765483">
        <w:rPr>
          <w:rFonts w:ascii="Arial" w:hAnsi="Arial" w:cs="Arial"/>
          <w:noProof/>
        </w:rPr>
        <w:tab/>
        <w:t>Ferguson TA, Son Y-J. Extrinsic and intrinsic determinants of nerve regeneration. J Tissue Eng [Internet]. 2011 Jan 13 [cited 2021 Feb 9];2(1):204173141141839. Available from: http://journals.sagepub.com/doi/10.1177/2041731411418392</w:t>
      </w:r>
    </w:p>
    <w:p w14:paraId="2BB6781B"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 </w:t>
      </w:r>
      <w:r w:rsidRPr="00765483">
        <w:rPr>
          <w:rFonts w:ascii="Arial" w:hAnsi="Arial" w:cs="Arial"/>
          <w:noProof/>
        </w:rPr>
        <w:tab/>
        <w:t>Silver J, Schwab ME, Popovich PG. Central nervous system regenerative failure: Role of oligodendrocytes, astrocytes, and microglia. Cold Spring Harb Perspect Biol [Internet]. 2015 [cited 2021 Feb 9];7(3). Available from: https://pubmed.ncbi.nlm.nih.gov/25475091/</w:t>
      </w:r>
    </w:p>
    <w:p w14:paraId="122A7136"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3. </w:t>
      </w:r>
      <w:r w:rsidRPr="00765483">
        <w:rPr>
          <w:rFonts w:ascii="Arial" w:hAnsi="Arial" w:cs="Arial"/>
          <w:noProof/>
        </w:rPr>
        <w:tab/>
        <w:t>Vakil E. The effect of moderate to severe traumatic brain injury (TBI) on different aspects of memory: A selective review [Internet]. Vol. 27, Journal of Clinical and Experimental Neuropsychology. J Clin Exp Neuropsychol; 2005 [cited 2021 Feb 9]. p. 977–1021. Available from: https://pubmed.ncbi.nlm.nih.gov/16207622/</w:t>
      </w:r>
    </w:p>
    <w:p w14:paraId="0145F073"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4. </w:t>
      </w:r>
      <w:r w:rsidRPr="00765483">
        <w:rPr>
          <w:rFonts w:ascii="Arial" w:hAnsi="Arial" w:cs="Arial"/>
          <w:noProof/>
        </w:rPr>
        <w:tab/>
        <w:t>Bramlett HM, Dietrich WD. Long-Term Consequences of Traumatic Brain Injury: Current Status of Potential Mechanisms of Injury and Neurological Outcomes. J Neurotrauma [Internet]. 2015 Dec 1 [cited 2021 Feb 9];32(23):1834–48. Available from: /pmc/articles/PMC4677116/</w:t>
      </w:r>
    </w:p>
    <w:p w14:paraId="7326185B"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5. </w:t>
      </w:r>
      <w:r w:rsidRPr="00765483">
        <w:rPr>
          <w:rFonts w:ascii="Arial" w:hAnsi="Arial" w:cs="Arial"/>
          <w:noProof/>
        </w:rPr>
        <w:tab/>
        <w:t>Walker WC, Pickett TC. Motor impairment after severe traumatic brain injury: A longitudinal multicenter study. J Rehabil Res Dev [Internet]. 2007 [cited 2021 Feb 9];44(7):975–82. Available from: https://pubmed.ncbi.nlm.nih.gov/18075954/</w:t>
      </w:r>
    </w:p>
    <w:p w14:paraId="17815E30"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6. </w:t>
      </w:r>
      <w:r w:rsidRPr="00765483">
        <w:rPr>
          <w:rFonts w:ascii="Arial" w:hAnsi="Arial" w:cs="Arial"/>
          <w:noProof/>
        </w:rPr>
        <w:tab/>
        <w:t>Jin MC, Medress ZA, Azad TD, Doulames VM, Veeravagu A. Stem cell therapies for acute spinal cord injury in humans: A review. Neurosurg Focus [Internet]. 2019 Mar 1 [cited 2020 Jul 10];46(3):E10. Available from: https://thejns.org/doi/abs/10.3171/2018.12.FOCUS18602</w:t>
      </w:r>
    </w:p>
    <w:p w14:paraId="59071181"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7. </w:t>
      </w:r>
      <w:r w:rsidRPr="00765483">
        <w:rPr>
          <w:rFonts w:ascii="Arial" w:hAnsi="Arial" w:cs="Arial"/>
          <w:noProof/>
        </w:rPr>
        <w:tab/>
        <w:t>Kalladka D, Sinden J, Pollock K, Haig C, McLean J, Smith W, et al. Human neural stem cells in patients with chronic ischaemic stroke (PISCES): a phase 1, first-in-man study. Lancet (London, England) [Internet]. 2016 Aug 20 [cited 2020 Apr 2];388(10046):787–96. Available from: http://www.ncbi.nlm.nih.gov/pubmed/27497862</w:t>
      </w:r>
    </w:p>
    <w:p w14:paraId="7F37794C"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8. </w:t>
      </w:r>
      <w:r w:rsidRPr="00765483">
        <w:rPr>
          <w:rFonts w:ascii="Arial" w:hAnsi="Arial" w:cs="Arial"/>
          <w:noProof/>
        </w:rPr>
        <w:tab/>
        <w:t xml:space="preserve">Steinberg GK, Kondziolka D, Wechsler LR, Lunsford LD, Coburn ML, Billigen JB, et al. Clinical outcomes of transplanted modified bone marrow-derived mesenchymal stem cells in stroke: A phase 1/2a study. Stroke. 2016 Jul 1;47(7):1817–24. </w:t>
      </w:r>
    </w:p>
    <w:p w14:paraId="0E3546FB"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9. </w:t>
      </w:r>
      <w:r w:rsidRPr="00765483">
        <w:rPr>
          <w:rFonts w:ascii="Arial" w:hAnsi="Arial" w:cs="Arial"/>
          <w:noProof/>
        </w:rPr>
        <w:tab/>
        <w:t xml:space="preserve">Shichinohe H, Kawabori M, Iijima H, Teramoto T, Abumiya T, Nakayama N, et al. Research on advanced intervention using novel bone marrOW stem cell (RAINBOW): A study protocol for a phase I, open-label, uncontrolled, dose-response trial of autologous bone marrow stromal cell transplantation in patients with acute ischemic stroke. BMC Neurol. 2017 Sep 8;17(1). </w:t>
      </w:r>
    </w:p>
    <w:p w14:paraId="2CF0D417"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lastRenderedPageBreak/>
        <w:t xml:space="preserve">10. </w:t>
      </w:r>
      <w:r w:rsidRPr="00765483">
        <w:rPr>
          <w:rFonts w:ascii="Arial" w:hAnsi="Arial" w:cs="Arial"/>
          <w:noProof/>
        </w:rPr>
        <w:tab/>
        <w:t>Syková E, Rychmach P, Drahorádová I, Konrádová Š, Růžičková K, Voříšek I, et al. Transplantation of Mesenchymal Stromal Cells in Patients With Amyotrophic Lateral Sclerosis: Results of Phase I/IIa Clinical Trial. Cell Transplant [Internet]. 2017 Apr 13 [cited 2020 Apr 2];26(4):647–58. Available from: http://www.ncbi.nlm.nih.gov/pubmed/27938483</w:t>
      </w:r>
    </w:p>
    <w:p w14:paraId="2E054615"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11. </w:t>
      </w:r>
      <w:r w:rsidRPr="00765483">
        <w:rPr>
          <w:rFonts w:ascii="Arial" w:hAnsi="Arial" w:cs="Arial"/>
          <w:noProof/>
        </w:rPr>
        <w:tab/>
        <w:t>Gennai S, Monsel A, Hao Q, Liu J, Gudapati V, Barbier EL, et al. Cell-Based therapy for traumatic brain injury. Br J Anaesth [Internet]. 2015 Aug 1 [cited 2019 Sep 12];115(2):203–12. Available from: https://www.sciencedirect.com/science/article/pii/S0007091217311935</w:t>
      </w:r>
    </w:p>
    <w:p w14:paraId="1B5E514C"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12. </w:t>
      </w:r>
      <w:r w:rsidRPr="00765483">
        <w:rPr>
          <w:rFonts w:ascii="Arial" w:hAnsi="Arial" w:cs="Arial"/>
          <w:noProof/>
        </w:rPr>
        <w:tab/>
        <w:t>Fischer UM, Harting MT, Jimenez F, Monzon-Posadas WO, Xue H, Savitz SI, et al. Pulmonary passage is a major obstacle for intravenous stem cell delivery: the pulmonary first-pass effect. Stem Cells Dev [Internet]. 2009 Jun [cited 2020 Mar 9];18(5):683–92. Available from: http://www.ncbi.nlm.nih.gov/pubmed/19099374</w:t>
      </w:r>
    </w:p>
    <w:p w14:paraId="0C6196E5"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13. </w:t>
      </w:r>
      <w:r w:rsidRPr="00765483">
        <w:rPr>
          <w:rFonts w:ascii="Arial" w:hAnsi="Arial" w:cs="Arial"/>
          <w:noProof/>
        </w:rPr>
        <w:tab/>
        <w:t xml:space="preserve">Liu L, Eckert MA, Riazifar H, Kang DK, Agalliu D, Zhao W. From blood to the brain: Can systemically transplanted mesenchymal stem cells cross the blood-brain barrier? Stem Cells International. 2013. </w:t>
      </w:r>
    </w:p>
    <w:p w14:paraId="16E69135"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14. </w:t>
      </w:r>
      <w:r w:rsidRPr="00765483">
        <w:rPr>
          <w:rFonts w:ascii="Arial" w:hAnsi="Arial" w:cs="Arial"/>
          <w:noProof/>
        </w:rPr>
        <w:tab/>
        <w:t>Danielyan L, Schäfer R, von Ameln-Mayerhofer A, Buadze M, Geisler J, Klopfer T, et al. Intranasal delivery of cells to the brain. Eur J Cell Biol [Internet]. 2009 Jun [cited 2021 Apr 13];88(6):315–24. Available from: https://pubmed.ncbi.nlm.nih.gov/19324456/</w:t>
      </w:r>
    </w:p>
    <w:p w14:paraId="265D52B5"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15. </w:t>
      </w:r>
      <w:r w:rsidRPr="00765483">
        <w:rPr>
          <w:rFonts w:ascii="Arial" w:hAnsi="Arial" w:cs="Arial"/>
          <w:noProof/>
        </w:rPr>
        <w:tab/>
        <w:t>Nijboer CH, Kooijman E, van Velthoven CT, van Tilborg E, Tiebosch IA, Eijkelkamp N, et al. Intranasal Stem Cell Treatment as a Novel Therapy for Subarachnoid Hemorrhage. Stem Cells Dev [Internet]. 2018 Mar 1 [cited 2021 Apr 13];27(5):313–25. Available from: https://www.liebertpub.com/doi/10.1089/scd.2017.0148</w:t>
      </w:r>
    </w:p>
    <w:p w14:paraId="653AA2EC"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16. </w:t>
      </w:r>
      <w:r w:rsidRPr="00765483">
        <w:rPr>
          <w:rFonts w:ascii="Arial" w:hAnsi="Arial" w:cs="Arial"/>
          <w:noProof/>
        </w:rPr>
        <w:tab/>
        <w:t>Kawabori M, Tanimori A, Kitta S, Shichinohe H, Houkin K. Evaluation of Novel Stereotactic Cannula for Stem Cell Transplantation against Central Nervous System Disease. Stem Cells Int [Internet]. 2020 Feb 11 [cited 2020 Mar 9];2020:1–8. Available from: https://www.hindawi.com/journals/sci/2020/4085617/</w:t>
      </w:r>
    </w:p>
    <w:p w14:paraId="15892848"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17. </w:t>
      </w:r>
      <w:r w:rsidRPr="00765483">
        <w:rPr>
          <w:rFonts w:ascii="Arial" w:hAnsi="Arial" w:cs="Arial"/>
          <w:noProof/>
        </w:rPr>
        <w:tab/>
        <w:t>Amer MH, White LJ, Shakesheff KM. The effect of injection using narrow-bore needles on mammalian cells: administration and formulation considerations for cell therapies. J Pharm Pharmacol [Internet]. 2015 May [cited 2020 Mar 16];67(5):640–50. Available from: http://www.ncbi.nlm.nih.gov/pubmed/25623928</w:t>
      </w:r>
    </w:p>
    <w:p w14:paraId="49DAFEE3"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18. </w:t>
      </w:r>
      <w:r w:rsidRPr="00765483">
        <w:rPr>
          <w:rFonts w:ascii="Arial" w:hAnsi="Arial" w:cs="Arial"/>
          <w:noProof/>
        </w:rPr>
        <w:tab/>
        <w:t xml:space="preserve">Zhang G-L, Zhu Z-H, Wang Y-Z. Neural stem cell transplantation therapy for brain ischemic stroke: Review and perspectives. World J Stem Cells [Internet]. 2019 Oct 26 [cited 2021 Feb 5];11(10):817–30. Available from: </w:t>
      </w:r>
      <w:r w:rsidRPr="00765483">
        <w:rPr>
          <w:rFonts w:ascii="Arial" w:hAnsi="Arial" w:cs="Arial"/>
          <w:noProof/>
        </w:rPr>
        <w:lastRenderedPageBreak/>
        <w:t>/pmc/articles/PMC6828598/?report=abstract</w:t>
      </w:r>
    </w:p>
    <w:p w14:paraId="71713529"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19. </w:t>
      </w:r>
      <w:r w:rsidRPr="00765483">
        <w:rPr>
          <w:rFonts w:ascii="Arial" w:hAnsi="Arial" w:cs="Arial"/>
          <w:noProof/>
        </w:rPr>
        <w:tab/>
        <w:t>Muir KW, Bulters D, Willmot M, Sprigg N, Dixit A, Ward N, et al. Intracerebral implantation of human neural stem cells and motor recovery after stroke: Multicentre prospective single-arm study (PISCES-2). J Neurol Neurosurg Psychiatry [Internet]. 2020 Apr 1 [cited 2021 Feb 3];91(4):396–401. Available from: http://jnnp.bmj.com/</w:t>
      </w:r>
    </w:p>
    <w:p w14:paraId="1F1158E9"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20. </w:t>
      </w:r>
      <w:r w:rsidRPr="00765483">
        <w:rPr>
          <w:rFonts w:ascii="Arial" w:hAnsi="Arial" w:cs="Arial"/>
          <w:noProof/>
        </w:rPr>
        <w:tab/>
        <w:t>Ottoboni L, von Wunster B, Martino G. Therapeutic Plasticity of Neural Stem Cells [Internet]. Vol. 11, Frontiers in Neurology. Frontiers Media S.A.; 2020 [cited 2021 Feb 9]. p. 148. Available from: www.frontiersin.org</w:t>
      </w:r>
    </w:p>
    <w:p w14:paraId="778CB596"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21. </w:t>
      </w:r>
      <w:r w:rsidRPr="00765483">
        <w:rPr>
          <w:rFonts w:ascii="Arial" w:hAnsi="Arial" w:cs="Arial"/>
          <w:noProof/>
        </w:rPr>
        <w:tab/>
        <w:t>Ferrari D, Zalfa C, Rota Nodari L, Gelati M, Carlessi L, Delia D, et al. Differential pathotropism of non-immortalized and immortalized human neural stem cell lines in a focal demyelination model. Cell Mol Life Sci [Internet]. 2012 Apr 11 [cited 2020 Mar 16];69(7):1193–210. Available from: http://link.springer.com/10.1007/s00018-011-0873-5</w:t>
      </w:r>
    </w:p>
    <w:p w14:paraId="6C1F3E9D"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22. </w:t>
      </w:r>
      <w:r w:rsidRPr="00765483">
        <w:rPr>
          <w:rFonts w:ascii="Arial" w:hAnsi="Arial" w:cs="Arial"/>
          <w:noProof/>
        </w:rPr>
        <w:tab/>
        <w:t xml:space="preserve">McIlvain G, Schwarb H, Cohen NJ, Telzer EH, Johnson CL. Mechanical properties of the in vivo adolescent human brain. Dev Cogn Neurosci. 2018 Nov 1;34:27–33. </w:t>
      </w:r>
    </w:p>
    <w:p w14:paraId="05B20872"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23. </w:t>
      </w:r>
      <w:r w:rsidRPr="00765483">
        <w:rPr>
          <w:rFonts w:ascii="Arial" w:hAnsi="Arial" w:cs="Arial"/>
          <w:noProof/>
        </w:rPr>
        <w:tab/>
        <w:t>Ozawa H, Matsumoto T, Ohashi T, Sato M, Kokubun S. Comparison of spinal cord gray matter and white matter softness: Measurement by pipette aspiration method. J Neurosurg [Internet]. 2001 Oct 1 [cited 2021 Feb 5];95(2 SUPPL.):221–4. Available from: https://thejns.org/spine/view/journals/j-neurosurg-spine/95/2/article-p221.xml</w:t>
      </w:r>
    </w:p>
    <w:p w14:paraId="19FAB730"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24. </w:t>
      </w:r>
      <w:r w:rsidRPr="00765483">
        <w:rPr>
          <w:rFonts w:ascii="Arial" w:hAnsi="Arial" w:cs="Arial"/>
          <w:noProof/>
        </w:rPr>
        <w:tab/>
        <w:t>Esteban-Vives R, Corcos A, Choi MS, Young MT, Over P, Ziembicki J, et al. Cell-spray auto-grafting technology for deep partial-thickness burns: Problems and solutions during clinical implementation. Burns [Internet]. 2018 May 1 [cited 2021 Jan 27];44(3):549–59. Available from: https://pubmed.ncbi.nlm.nih.gov/29183637/</w:t>
      </w:r>
    </w:p>
    <w:p w14:paraId="425261A3"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25. </w:t>
      </w:r>
      <w:r w:rsidRPr="00765483">
        <w:rPr>
          <w:rFonts w:ascii="Arial" w:hAnsi="Arial" w:cs="Arial"/>
          <w:noProof/>
        </w:rPr>
        <w:tab/>
        <w:t>Dijkstra K, Huitsing RPJ, Custers RJH, Kouwenhoven JWM, Bleys RLAW, Vonk LA, et al. Preclinical Feasibility of the Bio-Airbrush for Arthroscopic Cell-Based Cartilage Repair. Tissue Eng Part C Methods [Internet]. 2019 [cited 2020 Apr 8];25(7):379–88. Available from: http://www.ncbi.nlm.nih.gov/pubmed/31111789</w:t>
      </w:r>
    </w:p>
    <w:p w14:paraId="6D7882B4"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26. </w:t>
      </w:r>
      <w:r w:rsidRPr="00765483">
        <w:rPr>
          <w:rFonts w:ascii="Arial" w:hAnsi="Arial" w:cs="Arial"/>
          <w:noProof/>
        </w:rPr>
        <w:tab/>
        <w:t>Hendriks J, Willem Visser C, Henke S, Leijten J, Saris DBF, Sun C, et al. Optimizing cell viability in droplet-based cell deposition. Sci Rep [Internet]. 2015 Sep 11 [cited 2019 Sep 24];5(1):11304. Available from: http://www.nature.com/articles/srep11304</w:t>
      </w:r>
    </w:p>
    <w:p w14:paraId="433B2116"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27. </w:t>
      </w:r>
      <w:r w:rsidRPr="00765483">
        <w:rPr>
          <w:rFonts w:ascii="Arial" w:hAnsi="Arial" w:cs="Arial"/>
          <w:noProof/>
        </w:rPr>
        <w:tab/>
        <w:t>Dijkstra K, Hendriks J, Karperien M, Vonk LA, Saris DBF. Arthroscopic Airbrush-Assisted Cell Spraying for Cartilage Repair: Design, Development, and Characterization of Custom-Made Arthroscopic Spray Nozzles. Tissue Eng Part C Methods [Internet]. 2017 Sep [cited 2019 Sep 23];23(9):505–15. Available from: https://www.liebertpub.com/doi/10.1089/ten.tec.2017.0228</w:t>
      </w:r>
    </w:p>
    <w:p w14:paraId="4E711FD5"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lastRenderedPageBreak/>
        <w:t xml:space="preserve">28. </w:t>
      </w:r>
      <w:r w:rsidRPr="00765483">
        <w:rPr>
          <w:rFonts w:ascii="Arial" w:hAnsi="Arial" w:cs="Arial"/>
          <w:noProof/>
        </w:rPr>
        <w:tab/>
        <w:t>Beneke V, Küster F, Neehus A-L, Hesse C, Lopez-Rodriguez E, Haake K, et al. An immune cell spray (ICS) formulation allows for the delivery of functional monocyte/macrophages. Sci Rep [Internet]. 2018 Dec 2 [cited 2019 Sep 24];8(1):16281. Available from: http://www.nature.com/articles/s41598-018-34524-2</w:t>
      </w:r>
    </w:p>
    <w:p w14:paraId="64DF1C39"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29. </w:t>
      </w:r>
      <w:r w:rsidRPr="00765483">
        <w:rPr>
          <w:rFonts w:ascii="Arial" w:hAnsi="Arial" w:cs="Arial"/>
          <w:noProof/>
        </w:rPr>
        <w:tab/>
        <w:t>Jackson N, Muthuswamy J. Artificial dural sealant that allows multiple penetrations of implantable brain probes. J Neurosci Methods [Internet]. 2008 Jun 15 [cited 2021 Feb 9];171(1):147–52. Available from: https://www.ncbi.nlm.nih.gov/pmc/articles/pmid/18420281/?tool=EBI</w:t>
      </w:r>
    </w:p>
    <w:p w14:paraId="5E4A9B7C"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30. </w:t>
      </w:r>
      <w:r w:rsidRPr="00765483">
        <w:rPr>
          <w:rFonts w:ascii="Arial" w:hAnsi="Arial" w:cs="Arial"/>
          <w:noProof/>
        </w:rPr>
        <w:tab/>
        <w:t>Preul MC, Campbell PK, Garlick DS, Spetzler RF. Application of a new hydrogel dural sealant that reduces epidural adhesion formation: Evaluation in a large animal laminectomy model. J Neurosurg Spine [Internet]. 2010 Apr 1 [cited 2021 Feb 9];12(4):381–90. Available from: https://thejns.org/spine/view/journals/j-neurosurg-spine/12/4/article-p381.xml</w:t>
      </w:r>
    </w:p>
    <w:p w14:paraId="6F3BC9A6" w14:textId="77777777" w:rsidR="003149C7" w:rsidRPr="00765483" w:rsidRDefault="003149C7" w:rsidP="003149C7">
      <w:pPr>
        <w:widowControl w:val="0"/>
        <w:autoSpaceDE w:val="0"/>
        <w:autoSpaceDN w:val="0"/>
        <w:adjustRightInd w:val="0"/>
        <w:spacing w:after="0" w:line="360" w:lineRule="auto"/>
        <w:ind w:left="640" w:hanging="640"/>
        <w:rPr>
          <w:rFonts w:ascii="Arial" w:hAnsi="Arial" w:cs="Arial"/>
          <w:noProof/>
        </w:rPr>
      </w:pPr>
      <w:r w:rsidRPr="00765483">
        <w:rPr>
          <w:rFonts w:ascii="Arial" w:hAnsi="Arial" w:cs="Arial"/>
          <w:noProof/>
        </w:rPr>
        <w:t xml:space="preserve">31. </w:t>
      </w:r>
      <w:r w:rsidRPr="00765483">
        <w:rPr>
          <w:rFonts w:ascii="Arial" w:hAnsi="Arial" w:cs="Arial"/>
          <w:noProof/>
        </w:rPr>
        <w:tab/>
        <w:t>Swioklo S, Constantinescu A, Connon CJ. Alginate-Encapsulation for the Improved Hypothermic Preservation of Human Adipose-Derived Stem Cells. Stem Cells Transl Med [Internet]. 2016 Mar [cited 2021 Feb 9];5(3):339–49. Available from: https://pubmed.ncbi.nlm.nih.gov/26826163/</w:t>
      </w:r>
    </w:p>
    <w:p w14:paraId="6A2F7970" w14:textId="63B3CAD5" w:rsidR="009E7BA9" w:rsidRPr="009E7BA9" w:rsidRDefault="009E7BA9" w:rsidP="003149C7">
      <w:pPr>
        <w:widowControl w:val="0"/>
        <w:autoSpaceDE w:val="0"/>
        <w:autoSpaceDN w:val="0"/>
        <w:adjustRightInd w:val="0"/>
        <w:spacing w:after="0" w:line="360" w:lineRule="auto"/>
        <w:ind w:left="640" w:hanging="640"/>
        <w:rPr>
          <w:rFonts w:ascii="Arial" w:eastAsia="Times New Roman" w:hAnsi="Arial" w:cs="Arial"/>
          <w:color w:val="212121"/>
          <w:shd w:val="clear" w:color="auto" w:fill="FFFFFF"/>
          <w:lang w:val="en-GB" w:eastAsia="en-GB"/>
        </w:rPr>
      </w:pPr>
      <w:r w:rsidRPr="00765483">
        <w:rPr>
          <w:rFonts w:ascii="Arial" w:eastAsia="Times New Roman" w:hAnsi="Arial" w:cs="Arial"/>
          <w:bCs/>
          <w:lang w:val="en-GB" w:eastAsia="en-GB"/>
        </w:rPr>
        <w:fldChar w:fldCharType="end"/>
      </w:r>
    </w:p>
    <w:p w14:paraId="3A52A949" w14:textId="77777777" w:rsidR="009E7BA9" w:rsidRPr="009E7BA9" w:rsidRDefault="009E7BA9" w:rsidP="009E7BA9">
      <w:pPr>
        <w:widowControl w:val="0"/>
        <w:autoSpaceDE w:val="0"/>
        <w:autoSpaceDN w:val="0"/>
        <w:adjustRightInd w:val="0"/>
        <w:spacing w:after="0" w:line="360" w:lineRule="auto"/>
        <w:rPr>
          <w:rFonts w:ascii="Arial" w:eastAsia="Times New Roman" w:hAnsi="Arial" w:cs="Arial"/>
          <w:bCs/>
          <w:lang w:val="en-GB" w:eastAsia="en-GB"/>
        </w:rPr>
      </w:pPr>
    </w:p>
    <w:p w14:paraId="10352911" w14:textId="77777777" w:rsidR="00FA4BAA" w:rsidRDefault="00765483"/>
    <w:sectPr w:rsidR="00FA4BAA">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4454F" w14:textId="77777777" w:rsidR="00413F26" w:rsidRDefault="00413F26" w:rsidP="003A2ABB">
      <w:pPr>
        <w:spacing w:after="0" w:line="240" w:lineRule="auto"/>
      </w:pPr>
      <w:r>
        <w:separator/>
      </w:r>
    </w:p>
  </w:endnote>
  <w:endnote w:type="continuationSeparator" w:id="0">
    <w:p w14:paraId="5A221834" w14:textId="77777777" w:rsidR="00413F26" w:rsidRDefault="00413F26" w:rsidP="003A2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151918"/>
      <w:docPartObj>
        <w:docPartGallery w:val="Page Numbers (Bottom of Page)"/>
        <w:docPartUnique/>
      </w:docPartObj>
    </w:sdtPr>
    <w:sdtEndPr>
      <w:rPr>
        <w:noProof/>
      </w:rPr>
    </w:sdtEndPr>
    <w:sdtContent>
      <w:p w14:paraId="24C0318B" w14:textId="419FA20C" w:rsidR="003A2ABB" w:rsidRDefault="003A2A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EE555" w14:textId="77777777" w:rsidR="003A2ABB" w:rsidRDefault="003A2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69812" w14:textId="77777777" w:rsidR="00413F26" w:rsidRDefault="00413F26" w:rsidP="003A2ABB">
      <w:pPr>
        <w:spacing w:after="0" w:line="240" w:lineRule="auto"/>
      </w:pPr>
      <w:r>
        <w:separator/>
      </w:r>
    </w:p>
  </w:footnote>
  <w:footnote w:type="continuationSeparator" w:id="0">
    <w:p w14:paraId="069E88C3" w14:textId="77777777" w:rsidR="00413F26" w:rsidRDefault="00413F26" w:rsidP="003A2A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BA9"/>
    <w:rsid w:val="00066D14"/>
    <w:rsid w:val="00080BFB"/>
    <w:rsid w:val="00095A6E"/>
    <w:rsid w:val="0017197F"/>
    <w:rsid w:val="002B031B"/>
    <w:rsid w:val="003149C7"/>
    <w:rsid w:val="00337F9B"/>
    <w:rsid w:val="0039726F"/>
    <w:rsid w:val="003A2ABB"/>
    <w:rsid w:val="00413F26"/>
    <w:rsid w:val="00452479"/>
    <w:rsid w:val="0052792C"/>
    <w:rsid w:val="00533038"/>
    <w:rsid w:val="0068506C"/>
    <w:rsid w:val="00711CC3"/>
    <w:rsid w:val="00764676"/>
    <w:rsid w:val="00765483"/>
    <w:rsid w:val="007D695A"/>
    <w:rsid w:val="00944573"/>
    <w:rsid w:val="00994371"/>
    <w:rsid w:val="009E04BB"/>
    <w:rsid w:val="009E7BA9"/>
    <w:rsid w:val="00C153CE"/>
    <w:rsid w:val="00C7665A"/>
    <w:rsid w:val="00C95D85"/>
    <w:rsid w:val="00CB7A6F"/>
    <w:rsid w:val="00CC36FC"/>
    <w:rsid w:val="00CC3FB1"/>
    <w:rsid w:val="00D3345C"/>
    <w:rsid w:val="00D447B1"/>
    <w:rsid w:val="00D81DBC"/>
    <w:rsid w:val="00DD7658"/>
    <w:rsid w:val="00E42233"/>
    <w:rsid w:val="00F02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DB3E6"/>
  <w15:chartTrackingRefBased/>
  <w15:docId w15:val="{3E7300FE-7FF6-4C0E-93BA-00631F76D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next w:val="Normal"/>
    <w:uiPriority w:val="35"/>
    <w:semiHidden/>
    <w:unhideWhenUsed/>
    <w:qFormat/>
    <w:rsid w:val="009E7BA9"/>
    <w:pPr>
      <w:spacing w:after="200" w:line="240" w:lineRule="auto"/>
    </w:pPr>
    <w:rPr>
      <w:rFonts w:ascii="Times New Roman" w:eastAsia="Times New Roman" w:hAnsi="Times New Roman" w:cs="Times New Roman"/>
      <w:i/>
      <w:iCs/>
      <w:color w:val="44546A"/>
      <w:sz w:val="18"/>
      <w:szCs w:val="18"/>
      <w:lang w:val="en-GB" w:eastAsia="en-GB"/>
    </w:rPr>
  </w:style>
  <w:style w:type="paragraph" w:styleId="Header">
    <w:name w:val="header"/>
    <w:basedOn w:val="Normal"/>
    <w:link w:val="HeaderChar"/>
    <w:uiPriority w:val="99"/>
    <w:unhideWhenUsed/>
    <w:rsid w:val="003A2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ABB"/>
  </w:style>
  <w:style w:type="paragraph" w:styleId="Footer">
    <w:name w:val="footer"/>
    <w:basedOn w:val="Normal"/>
    <w:link w:val="FooterChar"/>
    <w:uiPriority w:val="99"/>
    <w:unhideWhenUsed/>
    <w:rsid w:val="003A2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45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09DC8-D186-D94F-B131-005C779E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17418</Words>
  <Characters>99288</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hfa34</dc:creator>
  <cp:keywords/>
  <dc:description/>
  <cp:lastModifiedBy>Divya Maitreyi Chari</cp:lastModifiedBy>
  <cp:revision>5</cp:revision>
  <dcterms:created xsi:type="dcterms:W3CDTF">2021-05-10T11:44:00Z</dcterms:created>
  <dcterms:modified xsi:type="dcterms:W3CDTF">2021-07-22T14:42:00Z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http://www.zotero.org/styles/advanced-healthcare-materials</vt:lpwstr>
  </property>
  <property fmtid="{D5CDD505-2E9C-101B-9397-08002B2CF9AE}" pid="3" name="Mendeley Recent Style Name 0_1">
    <vt:lpwstr>Advanced Healthcare Materials</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http://www.zotero.org/styles/elsevier-vancouver-author-date</vt:lpwstr>
  </property>
  <property fmtid="{D5CDD505-2E9C-101B-9397-08002B2CF9AE}" pid="11" name="Mendeley Recent Style Name 4_1">
    <vt:lpwstr>Elsevier - Vancouver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http://www.zotero.org/styles/journal-of-controlled-release</vt:lpwstr>
  </property>
  <property fmtid="{D5CDD505-2E9C-101B-9397-08002B2CF9AE}" pid="15" name="Mendeley Recent Style Name 6_1">
    <vt:lpwstr>Journal of Controlled Release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2726b570-3b86-33a9-a1fb-0086af3aa597</vt:lpwstr>
  </property>
  <property fmtid="{D5CDD505-2E9C-101B-9397-08002B2CF9AE}" pid="24" name="Mendeley Citation Style_1">
    <vt:lpwstr>http://www.zotero.org/styles/vancouver</vt:lpwstr>
  </property>
</Properties>
</file>