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CFEB8A" w14:textId="6FF4042E" w:rsidR="00F9292A" w:rsidRPr="004165D9" w:rsidRDefault="00AB0876" w:rsidP="004C3C47">
      <w:pPr>
        <w:rPr>
          <w:b/>
          <w:bCs/>
        </w:rPr>
      </w:pPr>
      <w:r w:rsidRPr="428DD730">
        <w:rPr>
          <w:b/>
          <w:bCs/>
        </w:rPr>
        <w:t xml:space="preserve">Cell </w:t>
      </w:r>
      <w:r w:rsidR="008F17B1" w:rsidRPr="428DD730">
        <w:rPr>
          <w:b/>
          <w:bCs/>
        </w:rPr>
        <w:t>Therapy</w:t>
      </w:r>
      <w:r w:rsidR="00BC6287" w:rsidRPr="428DD730">
        <w:rPr>
          <w:b/>
          <w:bCs/>
        </w:rPr>
        <w:t xml:space="preserve"> for </w:t>
      </w:r>
      <w:r w:rsidRPr="428DD730">
        <w:rPr>
          <w:b/>
          <w:bCs/>
        </w:rPr>
        <w:t>C</w:t>
      </w:r>
      <w:r w:rsidR="00BC6287" w:rsidRPr="428DD730">
        <w:rPr>
          <w:b/>
          <w:bCs/>
        </w:rPr>
        <w:t xml:space="preserve">artilage </w:t>
      </w:r>
      <w:r w:rsidRPr="428DD730">
        <w:rPr>
          <w:b/>
          <w:bCs/>
        </w:rPr>
        <w:t>R</w:t>
      </w:r>
      <w:r w:rsidR="00BC6287" w:rsidRPr="428DD730">
        <w:rPr>
          <w:b/>
          <w:bCs/>
        </w:rPr>
        <w:t>epair</w:t>
      </w:r>
    </w:p>
    <w:p w14:paraId="64761E87" w14:textId="47BA6DA2" w:rsidR="00962D95" w:rsidRDefault="00962D95" w:rsidP="00310E95">
      <w:pPr>
        <w:jc w:val="center"/>
      </w:pPr>
    </w:p>
    <w:p w14:paraId="0451BB90" w14:textId="479F358A" w:rsidR="00D06BAC" w:rsidRPr="001C4D50" w:rsidRDefault="00D06BAC">
      <w:pPr>
        <w:rPr>
          <w:vertAlign w:val="superscript"/>
        </w:rPr>
      </w:pPr>
      <w:bookmarkStart w:id="0" w:name="_GoBack"/>
      <w:bookmarkEnd w:id="0"/>
      <w:r w:rsidRPr="001C4D50">
        <w:t xml:space="preserve">Charlotte </w:t>
      </w:r>
      <w:r w:rsidR="00B019C2" w:rsidRPr="001C4D50">
        <w:t xml:space="preserve">H. </w:t>
      </w:r>
      <w:r w:rsidRPr="001C4D50">
        <w:t>Hulme</w:t>
      </w:r>
      <w:r w:rsidR="00962D95" w:rsidRPr="001C4D50">
        <w:rPr>
          <w:vertAlign w:val="superscript"/>
        </w:rPr>
        <w:t>1,2</w:t>
      </w:r>
      <w:r w:rsidRPr="001C4D50">
        <w:t>, Jade Perry</w:t>
      </w:r>
      <w:r w:rsidR="00962D95" w:rsidRPr="001C4D50">
        <w:rPr>
          <w:vertAlign w:val="superscript"/>
        </w:rPr>
        <w:t>1,2</w:t>
      </w:r>
      <w:r w:rsidRPr="001C4D50">
        <w:t>, Helen</w:t>
      </w:r>
      <w:r w:rsidR="00B019C2" w:rsidRPr="001C4D50">
        <w:t xml:space="preserve"> S.</w:t>
      </w:r>
      <w:r w:rsidRPr="001C4D50">
        <w:t xml:space="preserve"> McCarthy</w:t>
      </w:r>
      <w:r w:rsidR="00962D95" w:rsidRPr="001C4D50">
        <w:rPr>
          <w:vertAlign w:val="superscript"/>
        </w:rPr>
        <w:t>1,2</w:t>
      </w:r>
      <w:r w:rsidRPr="001C4D50">
        <w:t xml:space="preserve">, Karina </w:t>
      </w:r>
      <w:r w:rsidR="00B019C2" w:rsidRPr="001C4D50">
        <w:t xml:space="preserve">T. </w:t>
      </w:r>
      <w:r w:rsidRPr="001C4D50">
        <w:t>Wright</w:t>
      </w:r>
      <w:r w:rsidR="00962D95" w:rsidRPr="001C4D50">
        <w:rPr>
          <w:vertAlign w:val="superscript"/>
        </w:rPr>
        <w:t>1,2</w:t>
      </w:r>
      <w:r w:rsidRPr="001C4D50">
        <w:t>, Martyn Snow</w:t>
      </w:r>
      <w:r w:rsidR="00962D95" w:rsidRPr="001C4D50">
        <w:rPr>
          <w:vertAlign w:val="superscript"/>
        </w:rPr>
        <w:t>3</w:t>
      </w:r>
      <w:r w:rsidRPr="001C4D50">
        <w:t>, Claire Mennan</w:t>
      </w:r>
      <w:r w:rsidR="00962D95" w:rsidRPr="001C4D50">
        <w:rPr>
          <w:vertAlign w:val="superscript"/>
        </w:rPr>
        <w:t>1,2</w:t>
      </w:r>
      <w:r w:rsidRPr="001C4D50">
        <w:t>, Sally Roberts</w:t>
      </w:r>
      <w:r w:rsidR="00962D95" w:rsidRPr="001C4D50">
        <w:rPr>
          <w:vertAlign w:val="superscript"/>
        </w:rPr>
        <w:t>1,2</w:t>
      </w:r>
    </w:p>
    <w:p w14:paraId="4640110E" w14:textId="77777777" w:rsidR="00B019C2" w:rsidRPr="001C4D50" w:rsidRDefault="00B019C2">
      <w:pPr>
        <w:rPr>
          <w:vertAlign w:val="superscript"/>
        </w:rPr>
      </w:pPr>
    </w:p>
    <w:p w14:paraId="62993F8B" w14:textId="77777777" w:rsidR="00B019C2" w:rsidRPr="001C4D50" w:rsidRDefault="00B019C2" w:rsidP="00B019C2">
      <w:pPr>
        <w:rPr>
          <w:rFonts w:cs="Arial"/>
        </w:rPr>
      </w:pPr>
      <w:r w:rsidRPr="001C4D50">
        <w:rPr>
          <w:rFonts w:cs="Arial"/>
          <w:b/>
        </w:rPr>
        <w:t>Institutions:</w:t>
      </w:r>
      <w:r w:rsidRPr="001C4D50">
        <w:rPr>
          <w:rFonts w:cs="Arial"/>
        </w:rPr>
        <w:t xml:space="preserve"> </w:t>
      </w:r>
    </w:p>
    <w:p w14:paraId="2C279A07" w14:textId="0BE21E60" w:rsidR="00B019C2" w:rsidRPr="001C4D50" w:rsidRDefault="00B019C2" w:rsidP="004C3C47">
      <w:pPr>
        <w:pStyle w:val="ListParagraph"/>
        <w:numPr>
          <w:ilvl w:val="0"/>
          <w:numId w:val="12"/>
        </w:numPr>
        <w:rPr>
          <w:rFonts w:cs="Arial"/>
        </w:rPr>
      </w:pPr>
      <w:r w:rsidRPr="001C4D50">
        <w:rPr>
          <w:rFonts w:cs="Arial"/>
        </w:rPr>
        <w:t xml:space="preserve">School of Pharmacy and Bioengineering, Keele University, Keele, Staffordshire, UK </w:t>
      </w:r>
    </w:p>
    <w:p w14:paraId="6067DEFB" w14:textId="77777777" w:rsidR="00B019C2" w:rsidRPr="001C4D50" w:rsidRDefault="00B019C2" w:rsidP="004C3C47">
      <w:pPr>
        <w:pStyle w:val="ListParagraph"/>
        <w:rPr>
          <w:rFonts w:cs="Arial"/>
        </w:rPr>
      </w:pPr>
    </w:p>
    <w:p w14:paraId="064CD2EB" w14:textId="40F4B035" w:rsidR="00B019C2" w:rsidRPr="001C4D50" w:rsidRDefault="00B019C2" w:rsidP="004C3C47">
      <w:pPr>
        <w:pStyle w:val="ListParagraph"/>
        <w:numPr>
          <w:ilvl w:val="0"/>
          <w:numId w:val="12"/>
        </w:numPr>
        <w:rPr>
          <w:rFonts w:cs="Arial"/>
        </w:rPr>
      </w:pPr>
      <w:r w:rsidRPr="001C4D50">
        <w:rPr>
          <w:rFonts w:cs="Arial"/>
        </w:rPr>
        <w:t>Robert Jones and Agnes Hunt Orthopaedic Hospital, Oswestry, Shropshire, UK.</w:t>
      </w:r>
    </w:p>
    <w:p w14:paraId="4CF7FE8E" w14:textId="77777777" w:rsidR="00577A32" w:rsidRPr="001C4D50" w:rsidRDefault="00577A32" w:rsidP="00984F87">
      <w:pPr>
        <w:rPr>
          <w:rFonts w:cs="Arial"/>
        </w:rPr>
      </w:pPr>
    </w:p>
    <w:p w14:paraId="6542C121" w14:textId="610BBC8C" w:rsidR="00577A32" w:rsidRPr="001C4D50" w:rsidRDefault="00577A32" w:rsidP="004C3C47">
      <w:pPr>
        <w:pStyle w:val="ListParagraph"/>
        <w:numPr>
          <w:ilvl w:val="0"/>
          <w:numId w:val="12"/>
        </w:numPr>
        <w:rPr>
          <w:rFonts w:cs="Arial"/>
        </w:rPr>
      </w:pPr>
      <w:r w:rsidRPr="001C4D50">
        <w:rPr>
          <w:rFonts w:cs="Arial"/>
        </w:rPr>
        <w:t xml:space="preserve">The Royal Orthopaedic Hospital, Birmingham, </w:t>
      </w:r>
      <w:r w:rsidR="00984F87" w:rsidRPr="001C4D50">
        <w:rPr>
          <w:rFonts w:cs="Arial"/>
        </w:rPr>
        <w:t>UK</w:t>
      </w:r>
    </w:p>
    <w:p w14:paraId="0D785DBA" w14:textId="77777777" w:rsidR="004C1ED1" w:rsidRPr="001C4D50" w:rsidRDefault="004C1ED1" w:rsidP="004C3C47">
      <w:pPr>
        <w:pStyle w:val="ListParagraph"/>
        <w:rPr>
          <w:rFonts w:cs="Arial"/>
        </w:rPr>
      </w:pPr>
    </w:p>
    <w:p w14:paraId="4435B2F4" w14:textId="77777777" w:rsidR="00B019C2" w:rsidRPr="001C4D50" w:rsidRDefault="00B019C2" w:rsidP="00B019C2">
      <w:pPr>
        <w:rPr>
          <w:rFonts w:cs="Arial"/>
        </w:rPr>
      </w:pPr>
    </w:p>
    <w:p w14:paraId="2ECF3424" w14:textId="77777777" w:rsidR="00B019C2" w:rsidRPr="001C4D50" w:rsidRDefault="00B019C2" w:rsidP="00B019C2">
      <w:pPr>
        <w:rPr>
          <w:rFonts w:cs="Arial"/>
        </w:rPr>
      </w:pPr>
    </w:p>
    <w:p w14:paraId="3982FAD8" w14:textId="6F0F996A" w:rsidR="00B019C2" w:rsidRPr="001C4D50" w:rsidRDefault="00B019C2" w:rsidP="00B019C2">
      <w:pPr>
        <w:rPr>
          <w:rFonts w:cs="Arial"/>
        </w:rPr>
      </w:pPr>
      <w:r w:rsidRPr="001C4D50">
        <w:rPr>
          <w:rFonts w:cs="Arial"/>
          <w:b/>
        </w:rPr>
        <w:t xml:space="preserve">Contact Details: </w:t>
      </w:r>
      <w:r w:rsidRPr="001C4D50">
        <w:rPr>
          <w:rFonts w:cs="Arial"/>
        </w:rPr>
        <w:t xml:space="preserve">Charlotte H Hulme, charlotte.hulme@nhs.net; Jade Perry, jade.perry3@nhs.net; Helen S McCarthy, Helen.mccarthy6@nhs.net; Karina T Wright, karina.wright1@nhs.net; Martyn Snow, martyn.snow@nhs.net; Claire </w:t>
      </w:r>
      <w:proofErr w:type="spellStart"/>
      <w:r w:rsidRPr="001C4D50">
        <w:rPr>
          <w:rFonts w:cs="Arial"/>
        </w:rPr>
        <w:t>Mennan</w:t>
      </w:r>
      <w:proofErr w:type="spellEnd"/>
      <w:r w:rsidRPr="001C4D50">
        <w:rPr>
          <w:rFonts w:cs="Arial"/>
        </w:rPr>
        <w:t>, Claire.mennan@nhs.net</w:t>
      </w:r>
      <w:r w:rsidR="004C1ED1" w:rsidRPr="001C4D50">
        <w:rPr>
          <w:rFonts w:cs="Arial"/>
        </w:rPr>
        <w:t>;</w:t>
      </w:r>
      <w:r w:rsidR="00AA1043" w:rsidRPr="001C4D50">
        <w:rPr>
          <w:rFonts w:cs="Arial"/>
        </w:rPr>
        <w:t xml:space="preserve"> Sally Roberts, </w:t>
      </w:r>
      <w:r w:rsidR="004C1ED1" w:rsidRPr="001C4D50">
        <w:rPr>
          <w:rFonts w:cs="Arial"/>
        </w:rPr>
        <w:t>sally.roberts4@nhs.net</w:t>
      </w:r>
    </w:p>
    <w:p w14:paraId="12859A07" w14:textId="77777777" w:rsidR="00B019C2" w:rsidRPr="001C4D50" w:rsidRDefault="00B019C2" w:rsidP="00B019C2">
      <w:pPr>
        <w:rPr>
          <w:rFonts w:cs="Arial"/>
        </w:rPr>
      </w:pPr>
    </w:p>
    <w:p w14:paraId="55F5855E" w14:textId="77777777" w:rsidR="00B019C2" w:rsidRPr="001C4D50" w:rsidRDefault="00B019C2" w:rsidP="00B019C2">
      <w:pPr>
        <w:rPr>
          <w:rFonts w:cs="Arial"/>
        </w:rPr>
      </w:pPr>
    </w:p>
    <w:p w14:paraId="70DE0B81" w14:textId="005916FB" w:rsidR="00B019C2" w:rsidRPr="001C4D50" w:rsidRDefault="00B019C2" w:rsidP="00B019C2">
      <w:pPr>
        <w:rPr>
          <w:rStyle w:val="Hyperlink"/>
          <w:rFonts w:cs="Arial"/>
        </w:rPr>
      </w:pPr>
      <w:r w:rsidRPr="001C4D50">
        <w:rPr>
          <w:rFonts w:cs="Arial"/>
          <w:b/>
        </w:rPr>
        <w:t>Correspondence:</w:t>
      </w:r>
      <w:r w:rsidRPr="001C4D50">
        <w:rPr>
          <w:rFonts w:cs="Arial"/>
        </w:rPr>
        <w:t xml:space="preserve"> </w:t>
      </w:r>
      <w:r w:rsidR="00074C3B" w:rsidRPr="001C4D50">
        <w:rPr>
          <w:rFonts w:cs="Arial"/>
        </w:rPr>
        <w:t>Charlotte H Hulme</w:t>
      </w:r>
      <w:r w:rsidRPr="001C4D50">
        <w:rPr>
          <w:rFonts w:cs="Arial"/>
        </w:rPr>
        <w:t xml:space="preserve">, </w:t>
      </w:r>
      <w:proofErr w:type="spellStart"/>
      <w:r w:rsidRPr="001C4D50">
        <w:rPr>
          <w:rFonts w:cs="Arial"/>
        </w:rPr>
        <w:t>PhaB</w:t>
      </w:r>
      <w:proofErr w:type="spellEnd"/>
      <w:r w:rsidRPr="001C4D50">
        <w:rPr>
          <w:rFonts w:cs="Arial"/>
        </w:rPr>
        <w:t>, Keele University based at the RJAH Orthopaedic Hospital, Oswestry, Shropshire, UK. Telephone: +44 1691 4044</w:t>
      </w:r>
      <w:r w:rsidR="004C1ED1" w:rsidRPr="001C4D50">
        <w:rPr>
          <w:rFonts w:cs="Arial"/>
        </w:rPr>
        <w:t>022</w:t>
      </w:r>
      <w:r w:rsidRPr="001C4D50">
        <w:rPr>
          <w:rFonts w:cs="Arial"/>
        </w:rPr>
        <w:t xml:space="preserve">; e-mail: </w:t>
      </w:r>
      <w:r w:rsidR="00074C3B" w:rsidRPr="001C4D50">
        <w:rPr>
          <w:rFonts w:cs="Arial"/>
        </w:rPr>
        <w:t>charlotte.hulme@nhs.net</w:t>
      </w:r>
    </w:p>
    <w:p w14:paraId="3F536B99" w14:textId="77777777" w:rsidR="00B019C2" w:rsidRPr="001C4D50" w:rsidRDefault="00B019C2">
      <w:pPr>
        <w:rPr>
          <w:vertAlign w:val="superscript"/>
        </w:rPr>
      </w:pPr>
    </w:p>
    <w:p w14:paraId="70A9ED95" w14:textId="77777777" w:rsidR="00B019C2" w:rsidRPr="001C4D50" w:rsidRDefault="00B019C2">
      <w:pPr>
        <w:rPr>
          <w:vertAlign w:val="superscript"/>
        </w:rPr>
      </w:pPr>
    </w:p>
    <w:p w14:paraId="1F2E56E7" w14:textId="77777777" w:rsidR="00B019C2" w:rsidRPr="001C4D50" w:rsidRDefault="00B019C2">
      <w:pPr>
        <w:rPr>
          <w:vertAlign w:val="superscript"/>
        </w:rPr>
      </w:pPr>
    </w:p>
    <w:p w14:paraId="3B95B6E7" w14:textId="77777777" w:rsidR="00B019C2" w:rsidRPr="001C4D50" w:rsidRDefault="00B019C2">
      <w:pPr>
        <w:rPr>
          <w:vertAlign w:val="superscript"/>
        </w:rPr>
      </w:pPr>
    </w:p>
    <w:p w14:paraId="2C1A2607" w14:textId="77777777" w:rsidR="00B019C2" w:rsidRPr="001C4D50" w:rsidRDefault="00B019C2">
      <w:pPr>
        <w:rPr>
          <w:vertAlign w:val="superscript"/>
        </w:rPr>
      </w:pPr>
    </w:p>
    <w:p w14:paraId="22B997BA" w14:textId="77777777" w:rsidR="00B019C2" w:rsidRPr="001C4D50" w:rsidRDefault="00B019C2">
      <w:pPr>
        <w:rPr>
          <w:vertAlign w:val="superscript"/>
        </w:rPr>
      </w:pPr>
    </w:p>
    <w:p w14:paraId="2B1B619B" w14:textId="77777777" w:rsidR="00B019C2" w:rsidRPr="001C4D50" w:rsidRDefault="00B019C2">
      <w:pPr>
        <w:rPr>
          <w:vertAlign w:val="superscript"/>
        </w:rPr>
      </w:pPr>
    </w:p>
    <w:p w14:paraId="02BEDA34" w14:textId="77777777" w:rsidR="00B019C2" w:rsidRPr="001C4D50" w:rsidRDefault="00B019C2">
      <w:pPr>
        <w:rPr>
          <w:vertAlign w:val="superscript"/>
        </w:rPr>
      </w:pPr>
    </w:p>
    <w:p w14:paraId="6C177931" w14:textId="77777777" w:rsidR="00B019C2" w:rsidRPr="001C4D50" w:rsidRDefault="00B019C2">
      <w:pPr>
        <w:rPr>
          <w:vertAlign w:val="superscript"/>
        </w:rPr>
      </w:pPr>
    </w:p>
    <w:p w14:paraId="61BC333A" w14:textId="77777777" w:rsidR="00B019C2" w:rsidRPr="001C4D50" w:rsidRDefault="00B019C2">
      <w:pPr>
        <w:rPr>
          <w:vertAlign w:val="superscript"/>
        </w:rPr>
      </w:pPr>
    </w:p>
    <w:p w14:paraId="593FD01E" w14:textId="77777777" w:rsidR="00B019C2" w:rsidRPr="001C4D50" w:rsidRDefault="00B019C2">
      <w:pPr>
        <w:rPr>
          <w:vertAlign w:val="superscript"/>
        </w:rPr>
      </w:pPr>
    </w:p>
    <w:p w14:paraId="3E84C1EE" w14:textId="77777777" w:rsidR="00B019C2" w:rsidRPr="001C4D50" w:rsidRDefault="00B019C2">
      <w:pPr>
        <w:rPr>
          <w:vertAlign w:val="superscript"/>
        </w:rPr>
      </w:pPr>
    </w:p>
    <w:p w14:paraId="547E1E39" w14:textId="77777777" w:rsidR="00B019C2" w:rsidRPr="001C4D50" w:rsidRDefault="00B019C2">
      <w:pPr>
        <w:rPr>
          <w:vertAlign w:val="superscript"/>
        </w:rPr>
      </w:pPr>
    </w:p>
    <w:p w14:paraId="41F8C402" w14:textId="77777777" w:rsidR="00B019C2" w:rsidRPr="001C4D50" w:rsidRDefault="00B019C2">
      <w:pPr>
        <w:rPr>
          <w:vertAlign w:val="superscript"/>
        </w:rPr>
      </w:pPr>
    </w:p>
    <w:p w14:paraId="60F7E710" w14:textId="77777777" w:rsidR="00B019C2" w:rsidRPr="001C4D50" w:rsidRDefault="00B019C2">
      <w:pPr>
        <w:rPr>
          <w:vertAlign w:val="superscript"/>
        </w:rPr>
      </w:pPr>
    </w:p>
    <w:p w14:paraId="22BDB5FF" w14:textId="77777777" w:rsidR="00B019C2" w:rsidRPr="001C4D50" w:rsidRDefault="00B019C2">
      <w:pPr>
        <w:rPr>
          <w:vertAlign w:val="superscript"/>
        </w:rPr>
      </w:pPr>
    </w:p>
    <w:p w14:paraId="205EC28E" w14:textId="77777777" w:rsidR="00B019C2" w:rsidRPr="001C4D50" w:rsidRDefault="00B019C2">
      <w:pPr>
        <w:rPr>
          <w:vertAlign w:val="superscript"/>
        </w:rPr>
      </w:pPr>
    </w:p>
    <w:p w14:paraId="2480D728" w14:textId="77777777" w:rsidR="00B019C2" w:rsidRPr="001C4D50" w:rsidRDefault="00B019C2">
      <w:pPr>
        <w:rPr>
          <w:vertAlign w:val="superscript"/>
        </w:rPr>
      </w:pPr>
    </w:p>
    <w:p w14:paraId="287B32E0" w14:textId="77777777" w:rsidR="00B019C2" w:rsidRPr="001C4D50" w:rsidRDefault="00B019C2">
      <w:pPr>
        <w:rPr>
          <w:vertAlign w:val="superscript"/>
        </w:rPr>
      </w:pPr>
    </w:p>
    <w:p w14:paraId="7DB5D63A" w14:textId="77777777" w:rsidR="00B019C2" w:rsidRPr="001C4D50" w:rsidRDefault="00B019C2">
      <w:pPr>
        <w:rPr>
          <w:vertAlign w:val="superscript"/>
        </w:rPr>
      </w:pPr>
    </w:p>
    <w:p w14:paraId="6CE84A27" w14:textId="77777777" w:rsidR="00B019C2" w:rsidRPr="001C4D50" w:rsidRDefault="00B019C2">
      <w:pPr>
        <w:rPr>
          <w:vertAlign w:val="superscript"/>
        </w:rPr>
      </w:pPr>
    </w:p>
    <w:p w14:paraId="4C926363" w14:textId="77777777" w:rsidR="00B019C2" w:rsidRPr="001C4D50" w:rsidRDefault="00B019C2">
      <w:pPr>
        <w:rPr>
          <w:vertAlign w:val="superscript"/>
        </w:rPr>
      </w:pPr>
    </w:p>
    <w:p w14:paraId="7EB50F4A" w14:textId="77777777" w:rsidR="00B019C2" w:rsidRPr="001C4D50" w:rsidRDefault="00B019C2">
      <w:pPr>
        <w:rPr>
          <w:vertAlign w:val="superscript"/>
        </w:rPr>
      </w:pPr>
    </w:p>
    <w:p w14:paraId="2D7A1E71" w14:textId="77777777" w:rsidR="00B019C2" w:rsidRPr="001C4D50" w:rsidRDefault="00B019C2">
      <w:pPr>
        <w:rPr>
          <w:vertAlign w:val="superscript"/>
        </w:rPr>
      </w:pPr>
    </w:p>
    <w:p w14:paraId="145EDDF9" w14:textId="77777777" w:rsidR="00B019C2" w:rsidRPr="001C4D50" w:rsidRDefault="00B019C2">
      <w:pPr>
        <w:rPr>
          <w:vertAlign w:val="superscript"/>
        </w:rPr>
      </w:pPr>
    </w:p>
    <w:p w14:paraId="637C8A07" w14:textId="77777777" w:rsidR="00B019C2" w:rsidRPr="001C4D50" w:rsidRDefault="00B019C2"/>
    <w:p w14:paraId="4EDBAB4B" w14:textId="77777777" w:rsidR="00923211" w:rsidRPr="001C4D50" w:rsidRDefault="00923211" w:rsidP="0064570F">
      <w:pPr>
        <w:rPr>
          <w:b/>
          <w:u w:val="single"/>
        </w:rPr>
      </w:pPr>
      <w:r w:rsidRPr="001C4D50">
        <w:rPr>
          <w:b/>
          <w:u w:val="single"/>
        </w:rPr>
        <w:lastRenderedPageBreak/>
        <w:t>Abstract</w:t>
      </w:r>
    </w:p>
    <w:p w14:paraId="0122DCC4" w14:textId="77777777" w:rsidR="00CA08DB" w:rsidRPr="001C4D50" w:rsidRDefault="00CA08DB" w:rsidP="0064570F">
      <w:pPr>
        <w:rPr>
          <w:b/>
          <w:u w:val="single"/>
        </w:rPr>
      </w:pPr>
    </w:p>
    <w:p w14:paraId="2844E350" w14:textId="6B0D238A" w:rsidR="00923211" w:rsidRPr="001C4D50" w:rsidRDefault="1C1FDCA6" w:rsidP="00960366">
      <w:pPr>
        <w:rPr>
          <w:rFonts w:ascii="Calibri" w:eastAsia="Calibri" w:hAnsi="Calibri" w:cs="Calibri"/>
        </w:rPr>
      </w:pPr>
      <w:r w:rsidRPr="001C4D50">
        <w:rPr>
          <w:rFonts w:ascii="Calibri" w:eastAsia="Calibri" w:hAnsi="Calibri" w:cs="Calibri"/>
        </w:rPr>
        <w:t xml:space="preserve">Regenerative medicine, using cells as therapeutic agents for the repair or regeneration of tissues and organs, </w:t>
      </w:r>
      <w:r w:rsidR="004D0DF7" w:rsidRPr="001C4D50">
        <w:rPr>
          <w:rFonts w:ascii="Calibri" w:eastAsia="Calibri" w:hAnsi="Calibri" w:cs="Calibri"/>
        </w:rPr>
        <w:t>offers</w:t>
      </w:r>
      <w:r w:rsidRPr="001C4D50">
        <w:rPr>
          <w:rFonts w:ascii="Calibri" w:eastAsia="Calibri" w:hAnsi="Calibri" w:cs="Calibri"/>
        </w:rPr>
        <w:t xml:space="preserve"> great hope </w:t>
      </w:r>
      <w:r w:rsidR="004D0DF7" w:rsidRPr="001C4D50">
        <w:rPr>
          <w:rFonts w:ascii="Calibri" w:eastAsia="Calibri" w:hAnsi="Calibri" w:cs="Calibri"/>
        </w:rPr>
        <w:t>for the future of</w:t>
      </w:r>
      <w:r w:rsidRPr="001C4D50">
        <w:rPr>
          <w:rFonts w:ascii="Calibri" w:eastAsia="Calibri" w:hAnsi="Calibri" w:cs="Calibri"/>
        </w:rPr>
        <w:t xml:space="preserve"> medicine. Cell therapy for treating defects in articular cartilage has been an exemplar of translating this technology to the clinic, but it is not without its challenges. These include applying regulations, which were designed for pharmaceutical agents, to living cells. In </w:t>
      </w:r>
      <w:r w:rsidR="15E161EC" w:rsidRPr="001C4D50">
        <w:rPr>
          <w:rFonts w:ascii="Calibri" w:eastAsia="Calibri" w:hAnsi="Calibri" w:cs="Calibri"/>
        </w:rPr>
        <w:t>addition,</w:t>
      </w:r>
      <w:r w:rsidRPr="001C4D50">
        <w:rPr>
          <w:rFonts w:ascii="Calibri" w:eastAsia="Calibri" w:hAnsi="Calibri" w:cs="Calibri"/>
        </w:rPr>
        <w:t xml:space="preserve"> using autologous cells as the therapeutic agent brings additional costs and logistical challenges compared to using allogeneic cells. The main cell types used in treating chondral or osteochondral defects in joints to date are chondrocytes and mesenchymal stromal cells derived from various sources such as bone marrow, adipose tissue or umbilical cord. This review discusses some of their biology and preclinical studies before describing the most pertinent clinical trials in this area.</w:t>
      </w:r>
    </w:p>
    <w:p w14:paraId="6B802628" w14:textId="18613D42" w:rsidR="00923211" w:rsidRPr="001C4D50" w:rsidRDefault="00923211" w:rsidP="00960366">
      <w:pPr>
        <w:rPr>
          <w:b/>
          <w:bCs/>
          <w:u w:val="single"/>
        </w:rPr>
      </w:pPr>
    </w:p>
    <w:p w14:paraId="1207A5E7" w14:textId="635E3E05" w:rsidR="0064570F" w:rsidRPr="001C4D50" w:rsidRDefault="0064570F" w:rsidP="00960366">
      <w:pPr>
        <w:rPr>
          <w:b/>
          <w:u w:val="single"/>
        </w:rPr>
      </w:pPr>
      <w:r w:rsidRPr="001C4D50">
        <w:rPr>
          <w:b/>
          <w:u w:val="single"/>
        </w:rPr>
        <w:t xml:space="preserve">Introduction </w:t>
      </w:r>
    </w:p>
    <w:p w14:paraId="72896E9A" w14:textId="77777777" w:rsidR="00CA08DB" w:rsidRPr="001C4D50" w:rsidRDefault="00CA08DB" w:rsidP="00960366">
      <w:pPr>
        <w:rPr>
          <w:color w:val="FF0000"/>
        </w:rPr>
      </w:pPr>
    </w:p>
    <w:p w14:paraId="5AD465B5" w14:textId="5226A97D" w:rsidR="0064570F" w:rsidRPr="001C4D50" w:rsidRDefault="0064570F" w:rsidP="00960366">
      <w:r w:rsidRPr="001C4D50">
        <w:t xml:space="preserve">Articular cartilage is a specialised connective tissue within synovial joints, providing a smooth lubricated surface to reduce friction and resist compressive forces during movement. It is </w:t>
      </w:r>
      <w:proofErr w:type="spellStart"/>
      <w:r w:rsidRPr="001C4D50">
        <w:t>aneural</w:t>
      </w:r>
      <w:proofErr w:type="spellEnd"/>
      <w:r w:rsidRPr="001C4D50">
        <w:t xml:space="preserve"> and avascular, with an extracellular matrix (ECM) compris</w:t>
      </w:r>
      <w:r w:rsidR="00200FB8" w:rsidRPr="001C4D50">
        <w:t>ed</w:t>
      </w:r>
      <w:r w:rsidRPr="001C4D50">
        <w:t xml:space="preserve"> of an intricate network of collagen fibres, proteoglycans and non-collagenous proteins. Articular cartilage is renowned for its inability to repair itself once damaged </w:t>
      </w:r>
      <w:r w:rsidRPr="001C4D50">
        <w:rPr>
          <w:color w:val="2B579A"/>
        </w:rPr>
        <w:fldChar w:fldCharType="begin" w:fldLock="1"/>
      </w:r>
      <w:r w:rsidRPr="001C4D50">
        <w:instrText>ADDIN CSL_CITATION {"citationItems":[{"id":"ITEM-1","itemData":{"DOI":"10.1098/rstl.1742.0079","ISSN":"0261-0523","abstract":"The Fabric of the Joints in the Human Body is a Subject so much the more entertaining, as it must strike every one that considers it attentively with an Idea of fine mecha­nical Composition.","author":[{"dropping-particle":"","family":"Hunter","given":"William","non-dropping-particle":"","parse-names":false,"suffix":""}],"container-title":"Philosophical Transactions of the Royal Society of London","id":"ITEM-1","issue":"470","issued":{"date-parts":[["1743","12"]]},"page":"514-521","publisher":"The Royal Society","title":"VI. Of the structure and diseases of articu­lating cartilages","type":"article-journal","volume":"42"},"uris":["http://www.mendeley.com/documents/?uuid=2b434687-bb9f-3d8c-b327-38624f346190","http://www.mendeley.com/documents/?uuid=8969dd13-9465-4ba0-bd4d-0b54c3a03807"]}],"mendeley":{"formattedCitation":"[1]","plainTextFormattedCitation":"[1]","previouslyFormattedCitation":"[1]"},"properties":{"noteIndex":0},"schema":"https://github.com/citation-style-language/schema/raw/master/csl-citation.json"}</w:instrText>
      </w:r>
      <w:r w:rsidRPr="001C4D50">
        <w:rPr>
          <w:color w:val="2B579A"/>
        </w:rPr>
        <w:fldChar w:fldCharType="separate"/>
      </w:r>
      <w:r w:rsidR="00632928" w:rsidRPr="001C4D50">
        <w:rPr>
          <w:noProof/>
        </w:rPr>
        <w:t>[1]</w:t>
      </w:r>
      <w:r w:rsidRPr="001C4D50">
        <w:rPr>
          <w:color w:val="2B579A"/>
        </w:rPr>
        <w:fldChar w:fldCharType="end"/>
      </w:r>
      <w:r w:rsidRPr="001C4D50">
        <w:t xml:space="preserve"> and, if left untreated, often progress</w:t>
      </w:r>
      <w:r w:rsidR="00200FB8" w:rsidRPr="001C4D50">
        <w:t>es</w:t>
      </w:r>
      <w:r w:rsidRPr="001C4D50">
        <w:t xml:space="preserve"> into osteoarthritis (OA) </w:t>
      </w:r>
      <w:r w:rsidRPr="001C4D50">
        <w:rPr>
          <w:color w:val="2B579A"/>
        </w:rPr>
        <w:fldChar w:fldCharType="begin" w:fldLock="1"/>
      </w:r>
      <w:r w:rsidRPr="001C4D50">
        <w:instrText>ADDIN CSL_CITATION {"citationItems":[{"id":"ITEM-1","itemData":{"DOI":"10.1093/rheumatology/kei108","ISSN":"14620324","abstract":"Objectives. Cartilage defects are present in subjects with knee osteoarthritis (OA). Although they are often present in healthy subjects, there is little data on the natural history of cartilage defects. The aim of this study was to examine the change in cartilage defects over 2 yr and to identify factors associated with this change. Methods. One hundred and twenty-four healthy subjects underwent magnetic resonance imaging of their dominant knee at baseline and follow-up. Cartilage defects were scored (0-4) at five sites. Bone size was determined at medial and lateral tibial plateau and patella. Height, weight, body mass index and physical activity were measured by standard protocols. Results. Eighty-six subjects completed the study. The mean cartilage defect score of each tibiofemoral compartment increased over time. However, medial and lateral tibiofemoral defect score decreased in 5% of the subjects. Cartilage defects were more likely to progress in males than females in each individual compartment (P&lt;0.001 for medial tibiofemoral, P=0.005 for lateral tibiofemoral and P=0.01 for patellar cartilage). Baseline cartilage defect score was negatively associated with the progression of cartilage defects in each compartment (all P&lt;0.001). Conclusion. Although knee cartilage defects progressed over time in the majority of normal subjects, those of the highest severity tended to regress. Male gender and baseline cartilage defect score were the main factors associated with the progression of cartilage defects. Larger studies will be required to identify factors associated with the progression and regression of lesions. © The Author 2005. Published by Oxford University Press on behalf of the British Society for Rheumatology. All rights reserved.","author":[{"dropping-particle":"","family":"Wang","given":"Y.","non-dropping-particle":"","parse-names":false,"suffix":""},{"dropping-particle":"","family":"Ding","given":"C.","non-dropping-particle":"","parse-names":false,"suffix":""},{"dropping-particle":"","family":"Wluka","given":"A. E.","non-dropping-particle":"","parse-names":false,"suffix":""},{"dropping-particle":"","family":"Davis","given":"S.","non-dropping-particle":"","parse-names":false,"suffix":""},{"dropping-particle":"","family":"Ebeling","given":"P. R.","non-dropping-particle":"","parse-names":false,"suffix":""},{"dropping-particle":"","family":"Jones","given":"G.","non-dropping-particle":"","parse-names":false,"suffix":""},{"dropping-particle":"","family":"Cicuttini","given":"Flavia M.","non-dropping-particle":"","parse-names":false,"suffix":""}],"container-title":"Rheumatology","id":"ITEM-1","issue":"1","issued":{"date-parts":[["2006"]]},"page":"79-84","title":"Factors affecting progression of knee cartilage defects in normal subjects over 2 years","type":"article-journal","volume":"45"},"uris":["http://www.mendeley.com/documents/?uuid=acbc6d1f-b666-4dd5-9c3d-4bf047fb8401","http://www.mendeley.com/documents/?uuid=9e2c653f-2676-491f-acca-e6f4083dfb15"]}],"mendeley":{"formattedCitation":"[2]","plainTextFormattedCitation":"[2]","previouslyFormattedCitation":"[2]"},"properties":{"noteIndex":0},"schema":"https://github.com/citation-style-language/schema/raw/master/csl-citation.json"}</w:instrText>
      </w:r>
      <w:r w:rsidRPr="001C4D50">
        <w:rPr>
          <w:color w:val="2B579A"/>
        </w:rPr>
        <w:fldChar w:fldCharType="separate"/>
      </w:r>
      <w:r w:rsidR="00632928" w:rsidRPr="001C4D50">
        <w:rPr>
          <w:noProof/>
        </w:rPr>
        <w:t>[2]</w:t>
      </w:r>
      <w:r w:rsidRPr="001C4D50">
        <w:rPr>
          <w:color w:val="2B579A"/>
        </w:rPr>
        <w:fldChar w:fldCharType="end"/>
      </w:r>
      <w:r w:rsidRPr="001C4D50">
        <w:t xml:space="preserve">. OA is </w:t>
      </w:r>
      <w:r w:rsidR="008F17B1" w:rsidRPr="001C4D50">
        <w:t>very</w:t>
      </w:r>
      <w:r w:rsidRPr="001C4D50">
        <w:t xml:space="preserve"> prevalent in the knee</w:t>
      </w:r>
      <w:r w:rsidR="2A751591" w:rsidRPr="001C4D50">
        <w:t xml:space="preserve"> and </w:t>
      </w:r>
      <w:r w:rsidRPr="001C4D50">
        <w:t xml:space="preserve">hip </w:t>
      </w:r>
      <w:r w:rsidRPr="001C4D50">
        <w:rPr>
          <w:color w:val="2B579A"/>
        </w:rPr>
        <w:fldChar w:fldCharType="begin" w:fldLock="1"/>
      </w:r>
      <w:r w:rsidRPr="001C4D50">
        <w:instrText>ADDIN CSL_CITATION {"citationItems":[{"id":"ITEM-1","itemData":{"author":[{"dropping-particle":"","family":"Registry","given":"National Joint","non-dropping-particle":"","parse-names":false,"suffix":""}],"id":"ITEM-1","issued":{"date-parts":[["2020"]]},"title":"17th Annual Report 2020","type":"article-journal"},"uris":["http://www.mendeley.com/documents/?uuid=5e71a905-c30d-4de1-9842-0542d8aa651d"]}],"mendeley":{"formattedCitation":"[3]","plainTextFormattedCitation":"[3]","previouslyFormattedCitation":"[3]"},"properties":{"noteIndex":0},"schema":"https://github.com/citation-style-language/schema/raw/master/csl-citation.json"}</w:instrText>
      </w:r>
      <w:r w:rsidRPr="001C4D50">
        <w:rPr>
          <w:color w:val="2B579A"/>
        </w:rPr>
        <w:fldChar w:fldCharType="separate"/>
      </w:r>
      <w:r w:rsidR="00632928" w:rsidRPr="001C4D50">
        <w:rPr>
          <w:noProof/>
        </w:rPr>
        <w:t>[3]</w:t>
      </w:r>
      <w:r w:rsidRPr="001C4D50">
        <w:rPr>
          <w:color w:val="2B579A"/>
        </w:rPr>
        <w:fldChar w:fldCharType="end"/>
      </w:r>
      <w:r w:rsidR="6011A255" w:rsidRPr="001C4D50">
        <w:t xml:space="preserve"> </w:t>
      </w:r>
      <w:r w:rsidRPr="001C4D50">
        <w:t>and results in significant pain and disability for the patient, with limited treatment options</w:t>
      </w:r>
      <w:r w:rsidR="00200FB8" w:rsidRPr="001C4D50">
        <w:t>, until reaching end</w:t>
      </w:r>
      <w:r w:rsidR="00074C3B" w:rsidRPr="001C4D50">
        <w:t>-</w:t>
      </w:r>
      <w:r w:rsidR="00200FB8" w:rsidRPr="001C4D50">
        <w:t>stage disease</w:t>
      </w:r>
      <w:r w:rsidR="004D0DF7" w:rsidRPr="001C4D50">
        <w:t>,</w:t>
      </w:r>
      <w:r w:rsidR="00200FB8" w:rsidRPr="001C4D50">
        <w:t xml:space="preserve"> when joint replacement </w:t>
      </w:r>
      <w:r w:rsidR="0024633A" w:rsidRPr="001C4D50">
        <w:t>is likely</w:t>
      </w:r>
      <w:r w:rsidRPr="001C4D50">
        <w:t xml:space="preserve">. The ensuing economic burden has resulted in OA being described as </w:t>
      </w:r>
      <w:r w:rsidR="00200FB8" w:rsidRPr="001C4D50">
        <w:t xml:space="preserve">a </w:t>
      </w:r>
      <w:r w:rsidRPr="001C4D50">
        <w:t xml:space="preserve">Serious Disease by an Osteoarthritis Research Society International (OARSI) White Paper </w:t>
      </w:r>
      <w:r w:rsidRPr="001C4D50">
        <w:rPr>
          <w:color w:val="2B579A"/>
        </w:rPr>
        <w:fldChar w:fldCharType="begin" w:fldLock="1"/>
      </w:r>
      <w:r w:rsidRPr="001C4D50">
        <w:instrText>ADDIN CSL_CITATION {"citationItems":[{"id":"ITEM-1","itemData":{"id":"ITEM-1","issued":{"date-parts":[["0"]]},"title":"OARSI White Paper- OA as a Serious Disease | Osteoarthritis Research Society International (OARSI)","type":"webpage"},"uris":["http://www.mendeley.com/documents/?uuid=dfe94d3a-6469-35e2-893b-d312564fed47","http://www.mendeley.com/documents/?uuid=239e4ec8-cd6b-4aad-8748-2e704101335a"]}],"mendeley":{"formattedCitation":"[4]","plainTextFormattedCitation":"[4]","previouslyFormattedCitation":"[4]"},"properties":{"noteIndex":0},"schema":"https://github.com/citation-style-language/schema/raw/master/csl-citation.json"}</w:instrText>
      </w:r>
      <w:r w:rsidRPr="001C4D50">
        <w:rPr>
          <w:color w:val="2B579A"/>
        </w:rPr>
        <w:fldChar w:fldCharType="separate"/>
      </w:r>
      <w:r w:rsidR="00632928" w:rsidRPr="001C4D50">
        <w:rPr>
          <w:noProof/>
        </w:rPr>
        <w:t>[4]</w:t>
      </w:r>
      <w:r w:rsidRPr="001C4D50">
        <w:rPr>
          <w:color w:val="2B579A"/>
        </w:rPr>
        <w:fldChar w:fldCharType="end"/>
      </w:r>
      <w:r w:rsidR="53749394" w:rsidRPr="001C4D50">
        <w:rPr>
          <w:noProof/>
        </w:rPr>
        <w:t>.</w:t>
      </w:r>
      <w:r w:rsidR="685D5877" w:rsidRPr="001C4D50">
        <w:t xml:space="preserve"> </w:t>
      </w:r>
      <w:r w:rsidR="00200FB8" w:rsidRPr="001C4D50">
        <w:t xml:space="preserve">Currently there are approximately </w:t>
      </w:r>
      <w:r w:rsidR="00200FB8" w:rsidRPr="001C4D50">
        <w:rPr>
          <w:noProof/>
        </w:rPr>
        <w:t>200</w:t>
      </w:r>
      <w:r w:rsidR="008F17B1" w:rsidRPr="001C4D50">
        <w:rPr>
          <w:noProof/>
        </w:rPr>
        <w:t>,000</w:t>
      </w:r>
      <w:r w:rsidR="00200FB8" w:rsidRPr="001C4D50">
        <w:t xml:space="preserve"> </w:t>
      </w:r>
      <w:r w:rsidRPr="001C4D50">
        <w:t xml:space="preserve">hip and knee replacement operations </w:t>
      </w:r>
      <w:r w:rsidR="00200FB8" w:rsidRPr="001C4D50">
        <w:t xml:space="preserve">each year </w:t>
      </w:r>
      <w:r w:rsidRPr="001C4D50">
        <w:t xml:space="preserve">in </w:t>
      </w:r>
      <w:r w:rsidR="00200FB8" w:rsidRPr="001C4D50">
        <w:t>the UK</w:t>
      </w:r>
      <w:r w:rsidR="00F0104E" w:rsidRPr="001C4D50">
        <w:t xml:space="preserve"> </w:t>
      </w:r>
      <w:r w:rsidR="00EE1A56" w:rsidRPr="001C4D50">
        <w:t>(except Scotland)</w:t>
      </w:r>
      <w:r w:rsidRPr="001C4D50">
        <w:t xml:space="preserve">, with OA listed as the clinical indication in over 90% </w:t>
      </w:r>
      <w:r w:rsidR="4AEA2DA4" w:rsidRPr="001C4D50">
        <w:t xml:space="preserve">of </w:t>
      </w:r>
      <w:r w:rsidRPr="001C4D50">
        <w:t xml:space="preserve">cases </w:t>
      </w:r>
      <w:r w:rsidRPr="001C4D50">
        <w:rPr>
          <w:color w:val="2B579A"/>
        </w:rPr>
        <w:fldChar w:fldCharType="begin" w:fldLock="1"/>
      </w:r>
      <w:r w:rsidRPr="001C4D50">
        <w:instrText>ADDIN CSL_CITATION {"citationItems":[{"id":"ITEM-1","itemData":{"author":[{"dropping-particle":"","family":"Registry","given":"National Joint","non-dropping-particle":"","parse-names":false,"suffix":""}],"id":"ITEM-1","issued":{"date-parts":[["2020"]]},"title":"17th Annual Report 2020","type":"article-journal"},"uris":["http://www.mendeley.com/documents/?uuid=5e71a905-c30d-4de1-9842-0542d8aa651d"]}],"mendeley":{"formattedCitation":"[3]","plainTextFormattedCitation":"[3]","previouslyFormattedCitation":"[3]"},"properties":{"noteIndex":0},"schema":"https://github.com/citation-style-language/schema/raw/master/csl-citation.json"}</w:instrText>
      </w:r>
      <w:r w:rsidRPr="001C4D50">
        <w:rPr>
          <w:color w:val="2B579A"/>
        </w:rPr>
        <w:fldChar w:fldCharType="separate"/>
      </w:r>
      <w:r w:rsidR="00632928" w:rsidRPr="001C4D50">
        <w:rPr>
          <w:noProof/>
        </w:rPr>
        <w:t>[3]</w:t>
      </w:r>
      <w:r w:rsidRPr="001C4D50">
        <w:rPr>
          <w:color w:val="2B579A"/>
        </w:rPr>
        <w:fldChar w:fldCharType="end"/>
      </w:r>
      <w:r w:rsidRPr="001C4D50">
        <w:t xml:space="preserve">. </w:t>
      </w:r>
      <w:r w:rsidR="00200FB8" w:rsidRPr="001C4D50">
        <w:t xml:space="preserve">This </w:t>
      </w:r>
      <w:r w:rsidR="00EE1A56" w:rsidRPr="001C4D50">
        <w:t>has</w:t>
      </w:r>
      <w:r w:rsidR="00200FB8" w:rsidRPr="001C4D50">
        <w:t xml:space="preserve"> increas</w:t>
      </w:r>
      <w:r w:rsidR="00EE1A56" w:rsidRPr="001C4D50">
        <w:t>ed</w:t>
      </w:r>
      <w:r w:rsidR="00200FB8" w:rsidRPr="001C4D50">
        <w:t xml:space="preserve"> ~ 10% </w:t>
      </w:r>
      <w:r w:rsidR="00EE1A56" w:rsidRPr="001C4D50">
        <w:t>annually in the last decade</w:t>
      </w:r>
      <w:r w:rsidR="00200FB8" w:rsidRPr="001C4D50">
        <w:t xml:space="preserve"> due to demographic and obesity changes </w:t>
      </w:r>
      <w:r w:rsidRPr="001C4D50">
        <w:rPr>
          <w:color w:val="2B579A"/>
        </w:rPr>
        <w:fldChar w:fldCharType="begin" w:fldLock="1"/>
      </w:r>
      <w:r w:rsidRPr="001C4D50">
        <w:instrText>ADDIN CSL_CITATION {"citationItems":[{"id":"ITEM-1","itemData":{"author":[{"dropping-particle":"","family":"Registry","given":"National Joint","non-dropping-particle":"","parse-names":false,"suffix":""}],"id":"ITEM-1","issued":{"date-parts":[["2020"]]},"title":"17th Annual Report 2020","type":"article-journal"},"uris":["http://www.mendeley.com/documents/?uuid=5e71a905-c30d-4de1-9842-0542d8aa651d"]}],"mendeley":{"formattedCitation":"[3]","plainTextFormattedCitation":"[3]","previouslyFormattedCitation":"[3]"},"properties":{"noteIndex":0},"schema":"https://github.com/citation-style-language/schema/raw/master/csl-citation.json"}</w:instrText>
      </w:r>
      <w:r w:rsidRPr="001C4D50">
        <w:rPr>
          <w:color w:val="2B579A"/>
        </w:rPr>
        <w:fldChar w:fldCharType="separate"/>
      </w:r>
      <w:r w:rsidR="00632928" w:rsidRPr="001C4D50">
        <w:rPr>
          <w:noProof/>
        </w:rPr>
        <w:t>[3]</w:t>
      </w:r>
      <w:r w:rsidRPr="001C4D50">
        <w:rPr>
          <w:color w:val="2B579A"/>
        </w:rPr>
        <w:fldChar w:fldCharType="end"/>
      </w:r>
      <w:r w:rsidR="00200FB8" w:rsidRPr="001C4D50">
        <w:t xml:space="preserve">. </w:t>
      </w:r>
      <w:r w:rsidRPr="001C4D50">
        <w:t xml:space="preserve">Thus, the endeavour for an effective treatment to halt, or even reverse the progression of OA is ever more pressing. </w:t>
      </w:r>
    </w:p>
    <w:p w14:paraId="214EBF46" w14:textId="77777777" w:rsidR="0064570F" w:rsidRPr="001C4D50" w:rsidRDefault="0064570F" w:rsidP="00960366">
      <w:pPr>
        <w:rPr>
          <w:bCs/>
        </w:rPr>
      </w:pPr>
      <w:r w:rsidRPr="001C4D50">
        <w:rPr>
          <w:bCs/>
        </w:rPr>
        <w:tab/>
      </w:r>
    </w:p>
    <w:p w14:paraId="650CB732" w14:textId="4AAFF9AF" w:rsidR="0064570F" w:rsidRPr="001C4D50" w:rsidRDefault="0064570F" w:rsidP="00960366">
      <w:r w:rsidRPr="001C4D50">
        <w:t>Current surgical interventions to treat focal chondral</w:t>
      </w:r>
      <w:r w:rsidR="00C46757" w:rsidRPr="001C4D50">
        <w:t xml:space="preserve"> or </w:t>
      </w:r>
      <w:r w:rsidRPr="001C4D50">
        <w:t xml:space="preserve">osteochondral lesions include microfracture, </w:t>
      </w:r>
      <w:r w:rsidR="00C46757" w:rsidRPr="001C4D50">
        <w:t xml:space="preserve">osteotomy, </w:t>
      </w:r>
      <w:proofErr w:type="spellStart"/>
      <w:r w:rsidRPr="001C4D50">
        <w:t>mosaicplasty</w:t>
      </w:r>
      <w:proofErr w:type="spellEnd"/>
      <w:r w:rsidRPr="001C4D50">
        <w:t xml:space="preserve"> and osteochondral autograft trans</w:t>
      </w:r>
      <w:r w:rsidR="000C1FBD" w:rsidRPr="001C4D50">
        <w:t>plantation</w:t>
      </w:r>
      <w:r w:rsidRPr="001C4D50">
        <w:t xml:space="preserve"> (OATS), each with their own advantages and disadvantages. Microfracture, a type of bone-marrow stimulation, is </w:t>
      </w:r>
      <w:r w:rsidR="006922CB" w:rsidRPr="001C4D50">
        <w:t xml:space="preserve">commonly </w:t>
      </w:r>
      <w:r w:rsidR="009D49A1" w:rsidRPr="001C4D50">
        <w:t>used</w:t>
      </w:r>
      <w:r w:rsidRPr="001C4D50">
        <w:t xml:space="preserve"> for </w:t>
      </w:r>
      <w:r w:rsidR="000C1FBD" w:rsidRPr="001C4D50">
        <w:t xml:space="preserve">the </w:t>
      </w:r>
      <w:r w:rsidRPr="001C4D50">
        <w:t>treat</w:t>
      </w:r>
      <w:r w:rsidR="000C1FBD" w:rsidRPr="001C4D50">
        <w:t>ment of</w:t>
      </w:r>
      <w:r w:rsidRPr="001C4D50">
        <w:t xml:space="preserve"> small (&lt;2cm</w:t>
      </w:r>
      <w:r w:rsidRPr="001C4D50">
        <w:rPr>
          <w:vertAlign w:val="superscript"/>
        </w:rPr>
        <w:t>2</w:t>
      </w:r>
      <w:r w:rsidRPr="001C4D50">
        <w:t>) chondral lesions but is not suitable for larger defects or those that extend into the subchondral bone</w:t>
      </w:r>
      <w:r w:rsidR="00632928" w:rsidRPr="001C4D50">
        <w:t xml:space="preserve"> </w:t>
      </w:r>
      <w:r w:rsidRPr="001C4D50">
        <w:fldChar w:fldCharType="begin" w:fldLock="1"/>
      </w:r>
      <w:r w:rsidR="00137B42" w:rsidRPr="001C4D50">
        <w:instrText>ADDIN CSL_CITATION {"citationItems":[{"id":"ITEM-1","itemData":{"DOI":"10.1177/0363546517701912","ISSN":"15523365","PMID":"28423287","abstract":"Background: Microfracture (MFx) and autologous chondrocyte implantation (ACI) are 2 surgical treatment options used to treat articular cartilage injuries of the knee joint. Purpose: To compare the midterm to long-term clinical outcomes of MFx versus ACI for focal chondral defects of the knee. Study Design: Systematic review. Methods: A systematic review was performed by searching PubMed, the Cochrane Library, and Embase to locate studies (level of evidence I-III) comparing the minimum average 5-year clinical outcomes of patients undergoing MFx versus ACI. Search terms used were “knee,” “microfracture,” “autologous chondrocyte implantation,” and “autologous chondrocyte transplantation.” Patients were evaluated based on treatment failure rates, magnetic resonance imaging, and patient-reported outcome scores (Lysholm, Knee Injury and Osteoarthritis Outcome Score [KOOS], and Tegner scores). Results: Five studies (3 level I evidence, 2 level II evidence) were identified that met the inclusion criteria, including a total of 210 patients (211 lesions) undergoing MFx and 189 patients (189 lesions) undergoing ACI. The average follow-up among all studies was 7.0 years. Four studies utilized first-generation, periosteum-based ACI (P-ACI), and 1 study utilized third-generation, matrix-associated ACI (M-ACI). Treatment failure occurred in 18.5% of patients undergoing ACI and 17.1% of patients undergoing MFx (P =.70). Lysholm and KOOS scores were found to improve for both groups across studies, without a significant difference in improvement between the groups. The only significant difference in patient-reported outcome scores was found in the 1 study using M-ACI in which Tegner scores improved to a significantly greater extent in the ACI group compared with the MFx group (P =.003). Conclusion: Patients undergoing MFx or first/third-generation ACI for articular cartilage lesions in the knee can be expected to experience improvement in clinical outcomes at midterm to long-term follow-up without any significant difference between the groups.","author":[{"dropping-particle":"","family":"Kraeutler","given":"Matthew J.","non-dropping-particle":"","parse-names":false,"suffix":""},{"dropping-particle":"","family":"Belk","given":"John W.","non-dropping-particle":"","parse-names":false,"suffix":""},{"dropping-particle":"","family":"Purcell","given":"Justin M.","non-dropping-particle":"","parse-names":false,"suffix":""},{"dropping-particle":"","family":"McCarty","given":"Eric C.","non-dropping-particle":"","parse-names":false,"suffix":""}],"container-title":"American Journal of Sports Medicine","id":"ITEM-1","issue":"4","issued":{"date-parts":[["2018"]]},"page":"995-999","title":"Microfracture Versus Autologous Chondrocyte Implantation for Articular Cartilage Lesions in the Knee: A Systematic Review of 5-Year Outcomes","type":"article-journal","volume":"46"},"uris":["http://www.mendeley.com/documents/?uuid=d9264402-2588-42dc-ac89-396c3c0c3813"]}],"mendeley":{"formattedCitation":"[5]","plainTextFormattedCitation":"[5]","previouslyFormattedCitation":"[5]"},"properties":{"noteIndex":0},"schema":"https://github.com/citation-style-language/schema/raw/master/csl-citation.json"}</w:instrText>
      </w:r>
      <w:r w:rsidRPr="001C4D50">
        <w:fldChar w:fldCharType="separate"/>
      </w:r>
      <w:r w:rsidR="00632928" w:rsidRPr="001C4D50">
        <w:rPr>
          <w:noProof/>
        </w:rPr>
        <w:t>[5]</w:t>
      </w:r>
      <w:r w:rsidRPr="001C4D50">
        <w:fldChar w:fldCharType="end"/>
      </w:r>
      <w:r w:rsidRPr="001C4D50">
        <w:t xml:space="preserve">. </w:t>
      </w:r>
      <w:proofErr w:type="spellStart"/>
      <w:r w:rsidRPr="001C4D50">
        <w:t>Mosaicplasty</w:t>
      </w:r>
      <w:proofErr w:type="spellEnd"/>
      <w:r w:rsidRPr="001C4D50">
        <w:t xml:space="preserve"> traditionally requires the implantation of multiple small osteochondral grafts into the </w:t>
      </w:r>
      <w:r w:rsidR="004D0DF7" w:rsidRPr="001C4D50">
        <w:t xml:space="preserve">recipient </w:t>
      </w:r>
      <w:r w:rsidRPr="001C4D50">
        <w:t xml:space="preserve">defect whereas OATS </w:t>
      </w:r>
      <w:r w:rsidR="001B0611" w:rsidRPr="001C4D50">
        <w:t xml:space="preserve">involves the transfer of </w:t>
      </w:r>
      <w:r w:rsidRPr="001C4D50">
        <w:t>larger</w:t>
      </w:r>
      <w:r w:rsidR="001B0611" w:rsidRPr="001C4D50">
        <w:t xml:space="preserve"> </w:t>
      </w:r>
      <w:r w:rsidRPr="001C4D50">
        <w:t>osteochondral graft</w:t>
      </w:r>
      <w:r w:rsidR="001B0611" w:rsidRPr="001C4D50">
        <w:t>s (up to 10mm diameter)</w:t>
      </w:r>
      <w:r w:rsidRPr="001C4D50">
        <w:t xml:space="preserve"> </w:t>
      </w:r>
      <w:r w:rsidRPr="001C4D50">
        <w:rPr>
          <w:color w:val="2B579A"/>
          <w:shd w:val="clear" w:color="auto" w:fill="E6E6E6"/>
        </w:rPr>
        <w:fldChar w:fldCharType="begin" w:fldLock="1"/>
      </w:r>
      <w:r w:rsidR="0076161D" w:rsidRPr="001C4D50">
        <w:instrText>ADDIN CSL_CITATION {"citationItems":[{"id":"ITEM-1","itemData":{"DOI":"10.2519/jospt.2006.2182","abstract":"Successful management of chondral and osteochondral defects of the weight-bearing joint surfaces has always been a challenge for orthopedic surgeons and rehabilitation specialists. Autologous osteochondral mosaic transplantation technique is one of the recently evolved methods to create hyaline or hyaline-like repair tissue in the pathologic area. Clinical evaluation, various imaging techniques, arthroscopy (second look), histological examination of biopsy samples, and measurements of cartilage mechanical properties are used to evaluate the merits of outcomes and quality of the transplanted cartilage. According to our investigations, good to excellent results were achieved in more than 92% of patients treated with femoral condylar implantations, 87% of those treated with tibial resurfacing, 79% of those treated with patellar and/or trochlear mosaicplasties, and 94% of those treated with talar procedures. Long-term donor-site discrepancies, assessed with use of the Bandi Score, showed that patients had 3% morbidity after mosaicplasty. Sixty-nine of 89 patients who were followed up with a second-look arthroscopy showed congruent gliding surfaces, histological evidence of the survival of the transplanted hyaline cartilage, and fibrocartilage filling of the donor sites. In a series of 831 consecutive patients, very few complications have been observed. These included 4 deep infections and 36 painful postoperative intra-articular bleedings. On the basis of these results and those of other similar studies, autologous osteochondral mosaicplasty appears to be a promising alternative for the treatment of small-and medium-sized focal chondral and osteochondral defects of the weight-bearing surfaces of the knee and other weight-bearing synovial joints.","author":[{"dropping-particle":"","family":"Bartha","given":"Lajos","non-dropping-particle":"","parse-names":false,"suffix":""},{"dropping-particle":"","family":"Andrá´s Vajda","given":"Andrá´s","non-dropping-particle":"","parse-names":false,"suffix":""},{"dropping-particle":"","family":"Duska","given":"Zsó´fia Zsó´fia","non-dropping-particle":"","parse-names":false,"suffix":""},{"dropping-particle":"","family":"Rahmeh","given":"Husam","non-dropping-particle":"","parse-names":false,"suffix":""},{"dropping-particle":"","family":"Hangody","given":"László","non-dropping-particle":"","parse-names":false,"suffix":""}],"container-title":"J Orthop Sports Phys Ther","id":"ITEM-1","issue":"10","issued":{"date-parts":[["2006"]]},"page":"739-750","title":"Autologous Osteochondral Mosaicplasty Grafting","type":"article-journal","volume":"36"},"uris":["http://www.mendeley.com/documents/?uuid=c30e11ed-fa4a-3191-99bc-93a60393901a","http://www.mendeley.com/documents/?uuid=86a2bfd8-494a-4a24-946f-3ddead7a7080"]},{"id":"ITEM-2","itemData":{"DOI":"10.1016/j.otsm.2020.150781","ISSN":"15579794","abstract":"Osteochondral autograft transfer (OATS) is a one-stage surgical procedure to treat chondral defects of the knee and other articulating surfaces. Optimal treatment for symptomatic knee lesions remains controversial. Osteochondral autograft transfer is one of several approaches to cartilage repair. Other techniques include marrow stimulation, cell-based strategies, and allograft transplantation.1 The advantages of OATS include the use of autologous tissue, which avoids the potential risks and costs associated with allograft transplantation, as well as the use of a structural graft with both bone and cartilage. This may be advantageous over marrow stimulation or cellular treatments, which only address the chondral component to the pathology. The disadvantage of OATS is that it cannot be used to treat very large lesions, as there is not enough healthy donor tissue in the knee to account for large lesions. Of note, OATS is an acronym often used for both autograft and allograft osteochondral transplantation, which can be confusing. OATS does refer to osteochondral autograft transplantation, and for the purposes of this manuscript, should not be considered synonymous with allograft transplantation.","author":[{"dropping-particle":"","family":"Robinson","given":"Avi","non-dropping-particle":"","parse-names":false,"suffix":""},{"dropping-particle":"","family":"Lindsay","given":"Adam","non-dropping-particle":"","parse-names":false,"suffix":""},{"dropping-particle":"","family":"Vidal","given":"Armando","non-dropping-particle":"","parse-names":false,"suffix":""},{"dropping-particle":"","family":"Frank","given":"Rachel M.","non-dropping-particle":"","parse-names":false,"suffix":""}],"container-title":"Operative Techniques in Sports Medicine","id":"ITEM-2","issue":"4","issued":{"date-parts":[["2020","12"]]},"page":"150781","publisher":"W.B. Saunders","title":"Osteochondral Autograft Transfer (OATS)","type":"article-journal","volume":"28"},"uris":["http://www.mendeley.com/documents/?uuid=97ce1781-a2cf-3e16-9bc6-51950008b35c","http://www.mendeley.com/documents/?uuid=931a6995-1710-4584-8cc6-053535a7a06a"]}],"mendeley":{"formattedCitation":"[6,7]","plainTextFormattedCitation":"[6,7]","previouslyFormattedCitation":"[6,7]"},"properties":{"noteIndex":0},"schema":"https://github.com/citation-style-language/schema/raw/master/csl-citation.json"}</w:instrText>
      </w:r>
      <w:r w:rsidRPr="001C4D50">
        <w:rPr>
          <w:color w:val="2B579A"/>
          <w:shd w:val="clear" w:color="auto" w:fill="E6E6E6"/>
        </w:rPr>
        <w:fldChar w:fldCharType="separate"/>
      </w:r>
      <w:r w:rsidR="00632928" w:rsidRPr="001C4D50">
        <w:rPr>
          <w:noProof/>
        </w:rPr>
        <w:t>[6,7]</w:t>
      </w:r>
      <w:r w:rsidRPr="001C4D50">
        <w:rPr>
          <w:color w:val="2B579A"/>
          <w:shd w:val="clear" w:color="auto" w:fill="E6E6E6"/>
        </w:rPr>
        <w:fldChar w:fldCharType="end"/>
      </w:r>
      <w:r w:rsidRPr="001C4D50">
        <w:t xml:space="preserve">. These techniques both result in immediate replacement of hyaline cartilage and restoration of the articulating surface, although donor-site morbidity is a potential complication </w:t>
      </w:r>
      <w:r w:rsidRPr="001C4D50">
        <w:rPr>
          <w:color w:val="2B579A"/>
          <w:shd w:val="clear" w:color="auto" w:fill="E6E6E6"/>
        </w:rPr>
        <w:fldChar w:fldCharType="begin" w:fldLock="1"/>
      </w:r>
      <w:r w:rsidR="00632928" w:rsidRPr="001C4D50">
        <w:instrText>ADDIN CSL_CITATION {"citationItems":[{"id":"ITEM-1","itemData":{"DOI":"10.1016/j.arthro.2004.06.022","ISSN":"07498063","abstract":"We report on 2 patients who had donor-site morbidity after an autogenous osteochondral grafting was performed. Both patients had fibrocartilage hypertrophy at the donor sites that contributed to knee pain and occasional locking; the second patient also had a lack of fibrocartilaginous regrowth with symptomatic residual osteocartilaginous defects. Additional arthroscopic surgery was required in both cases to trim the fibrocartilage. In addition, for the second case, a fresh osteoarticular allograft was used to transfer osteocartilaginous plugs back into the original knee donor sites due to continued knee pain. When performing an osteochondral autograft transfer, the benefits provided at the recipient site must be weighed against the possible donor-site morbidity that may result. © 2004 Arthroscopy Association of North America.","author":[{"dropping-particle":"","family":"LaPrade","given":"Robert F.","non-dropping-particle":"","parse-names":false,"suffix":""},{"dropping-particle":"","family":"Botker","given":"Jesse C.","non-dropping-particle":"","parse-names":false,"suffix":""}],"container-title":"Arthroscopy: The Journal of Arthroscopic &amp; Related Surgery","id":"ITEM-1","issue":"7","issued":{"date-parts":[["2004","9"]]},"page":"e69-e73","publisher":"Elsevier BV","title":"Donor-site morbidity after osteochondral autograft transfer procedures","type":"article-journal","volume":"20"},"uris":["http://www.mendeley.com/documents/?uuid=edc0d148-dbf8-3058-a3c6-e7547ff31120","http://www.mendeley.com/documents/?uuid=667657df-494e-4f82-8dfd-58c37aeaf7d1"]},{"id":"ITEM-2","itemData":{"DOI":"10.1186/s40634-016-0066-0","ISSN":"21971153","abstract":"Background: Mosaicplasty has been associated with good short- to long-term results. Nevertheless, the osteochondral harvesting is restricted to the donor-site area available and it may lead to significant donor-site morbidity. Purpose: Provide an overview of donor-site morbidity associated with harvesting of osteochondral plugs from the knee joint in mosaicplasty procedure. Methods: Comprehensive search using Pubmed, Cochrane Library, SPORTDiscus and CINAHL databases was carried out through 10th October of 2016. As inclusion criteria, all English-language studies that assessed the knee donor-site morbidity after mosaicplasty were accepted. The outcomes were the description and rate of knee donor-site morbidity, sample’s and cartilage defect’s characterization and mosaicplasty-related features. Correlation between mosaicplasty features and rate of morbidity was performed. The methodological and reporting quality were assessed according to Coleman’s methodology score. Results: Twenty-one studies were included, comprising a total of 1726 patients, with 1473 and 268 knee and ankle cartilage defects were included. The defect size ranged from 0.85 cm2 to 4.9 cm2 and most commonly 3 or less plugs (averaging 2.9 to 9.4 mm) were used. Donor-site for osteochondral harvesting included margins of the femoral trochlea (condyles), intercondylar notch, patellofemoral joint and upper tibio-fibular joint. Mean donor-site morbidity was 5.9 % and 19.6 % for knee and ankle mosaicplasty procedures, respectively. Concerning knee-to-knee mosaicplasty procedures, the most common donor-site morbidity complaints were patellofemoral disturbances (22 %) and crepitation (31 %), and in knee-to-ankle procedures there was a clear tendency for pain or instability during daily living or sports activities (44 %), followed by patellofemoral disturbances, knee stiffness and persistent pain (13 % each). There was no significant correlation between rate of donor-site morbidity and size of the defect, number and size of the plugs (p &gt; 0.05). Conclusions: Osteochondral harvesting in mosaicplasty often results in considerable donor-site morbidity. The donor-site morbidity for knee-to-ankle (16.9 %) was greater than knee-to-knee (5.9 %) mosaicplasty procedures, without any significant correlation between rate of donor-site morbidity and size of the defect, number and size of the plugs. Lack or imcomplete of donor-site morbidity reporting within the mosaicplasty studies is a concern that should b…","author":[{"dropping-particle":"","family":"Andrade","given":"Renato","non-dropping-particle":"","parse-names":false,"suffix":""},{"dropping-particle":"","family":"Vasta","given":"Sebastiano","non-dropping-particle":"","parse-names":false,"suffix":""},{"dropping-particle":"","family":"Pereira","given":"Rogério","non-dropping-particle":"","parse-names":false,"suffix":""},{"dropping-particle":"","family":"Pereira","given":"Hélder","non-dropping-particle":"","parse-names":false,"suffix":""},{"dropping-particle":"","family":"Papalia","given":"Rocco","non-dropping-particle":"","parse-names":false,"suffix":""},{"dropping-particle":"","family":"Karahan","given":"Mustafa","non-dropping-particle":"","parse-names":false,"suffix":""},{"dropping-particle":"","family":"Oliveira","given":"J. Miguel","non-dropping-particle":"","parse-names":false,"suffix":""},{"dropping-particle":"","family":"Reis","given":"Rui L.","non-dropping-particle":"","parse-names":false,"suffix":""},{"dropping-particle":"","family":"Espregueira-Mendes","given":"João","non-dropping-particle":"","parse-names":false,"suffix":""}],"container-title":"Journal of Experimental Orthopaedics","id":"ITEM-2","issue":"1","issued":{"date-parts":[["2016","12"]]},"page":"31","publisher":"Springer Berlin Heidelberg","title":"Knee donor-site morbidity after mosaicplasty – a systematic review","type":"article","volume":"3"},"uris":["http://www.mendeley.com/documents/?uuid=e5d8f154-6ada-3fdc-babf-00bbd9dbe5a0","http://www.mendeley.com/documents/?uuid=3d9bede9-1ec3-4957-94f4-65276c23cd31"]}],"mendeley":{"formattedCitation":"[8,9]","plainTextFormattedCitation":"[8,9]","previouslyFormattedCitation":"[8,9]"},"properties":{"noteIndex":0},"schema":"https://github.com/citation-style-language/schema/raw/master/csl-citation.json"}</w:instrText>
      </w:r>
      <w:r w:rsidRPr="001C4D50">
        <w:rPr>
          <w:color w:val="2B579A"/>
          <w:shd w:val="clear" w:color="auto" w:fill="E6E6E6"/>
        </w:rPr>
        <w:fldChar w:fldCharType="separate"/>
      </w:r>
      <w:r w:rsidR="00632928" w:rsidRPr="001C4D50">
        <w:rPr>
          <w:noProof/>
        </w:rPr>
        <w:t>[8,9]</w:t>
      </w:r>
      <w:r w:rsidRPr="001C4D50">
        <w:rPr>
          <w:color w:val="2B579A"/>
          <w:shd w:val="clear" w:color="auto" w:fill="E6E6E6"/>
        </w:rPr>
        <w:fldChar w:fldCharType="end"/>
      </w:r>
      <w:r w:rsidR="00250D04" w:rsidRPr="001C4D50">
        <w:t>.</w:t>
      </w:r>
      <w:r w:rsidRPr="001C4D50">
        <w:t xml:space="preserve"> Interest in a more biological approach </w:t>
      </w:r>
      <w:r w:rsidR="0024633A" w:rsidRPr="001C4D50">
        <w:t xml:space="preserve">as an alternative to these surgeries, </w:t>
      </w:r>
      <w:r w:rsidRPr="001C4D50">
        <w:t>through tissue engineering to regenerate hyaline cartilage</w:t>
      </w:r>
      <w:r w:rsidR="0024633A" w:rsidRPr="001C4D50">
        <w:t>,</w:t>
      </w:r>
      <w:r w:rsidR="00CE32FF" w:rsidRPr="001C4D50">
        <w:t xml:space="preserve"> </w:t>
      </w:r>
      <w:r w:rsidRPr="001C4D50">
        <w:t xml:space="preserve">has grown tremendously over the past </w:t>
      </w:r>
      <w:r w:rsidR="72A617BD" w:rsidRPr="001C4D50">
        <w:t>two</w:t>
      </w:r>
      <w:r w:rsidR="00F22736" w:rsidRPr="001C4D50">
        <w:t xml:space="preserve"> </w:t>
      </w:r>
      <w:r w:rsidRPr="001C4D50">
        <w:t xml:space="preserve">decades. This review will discuss the history, development and current concepts of different </w:t>
      </w:r>
      <w:r w:rsidR="00CE32FF" w:rsidRPr="001C4D50">
        <w:t>approaches</w:t>
      </w:r>
      <w:r w:rsidRPr="001C4D50">
        <w:t xml:space="preserve"> for cartilage repair. </w:t>
      </w:r>
    </w:p>
    <w:p w14:paraId="3446C4E7" w14:textId="77777777" w:rsidR="00873130" w:rsidRPr="001C4D50" w:rsidRDefault="00873130" w:rsidP="00960366"/>
    <w:p w14:paraId="4F2B923C" w14:textId="77777777" w:rsidR="00873130" w:rsidRPr="001C4D50" w:rsidRDefault="00873130" w:rsidP="00960366"/>
    <w:p w14:paraId="758E7CDA" w14:textId="77777777" w:rsidR="00873130" w:rsidRPr="001C4D50" w:rsidRDefault="00873130" w:rsidP="00960366"/>
    <w:p w14:paraId="34963A4B" w14:textId="77777777" w:rsidR="009D49A1" w:rsidRPr="001C4D50" w:rsidRDefault="009D49A1" w:rsidP="00960366"/>
    <w:p w14:paraId="610F02BC" w14:textId="77777777" w:rsidR="0064570F" w:rsidRPr="001C4D50" w:rsidRDefault="0064570F" w:rsidP="00960366">
      <w:pPr>
        <w:rPr>
          <w:rFonts w:cstheme="minorHAnsi"/>
          <w:b/>
          <w:color w:val="000000" w:themeColor="text1"/>
        </w:rPr>
      </w:pPr>
    </w:p>
    <w:p w14:paraId="777EC109" w14:textId="22B841EC" w:rsidR="00F22736" w:rsidRPr="001C4D50" w:rsidRDefault="00F22736" w:rsidP="00960366">
      <w:pPr>
        <w:rPr>
          <w:b/>
          <w:u w:val="single"/>
        </w:rPr>
      </w:pPr>
      <w:r w:rsidRPr="001C4D50">
        <w:rPr>
          <w:b/>
          <w:u w:val="single"/>
        </w:rPr>
        <w:lastRenderedPageBreak/>
        <w:t>C</w:t>
      </w:r>
      <w:r w:rsidR="0064570F" w:rsidRPr="001C4D50">
        <w:rPr>
          <w:b/>
          <w:u w:val="single"/>
        </w:rPr>
        <w:t xml:space="preserve">ell therapies </w:t>
      </w:r>
      <w:r w:rsidRPr="001C4D50">
        <w:rPr>
          <w:b/>
          <w:u w:val="single"/>
        </w:rPr>
        <w:t xml:space="preserve">in the Clinic </w:t>
      </w:r>
      <w:r w:rsidR="0064570F" w:rsidRPr="001C4D50">
        <w:rPr>
          <w:b/>
          <w:u w:val="single"/>
        </w:rPr>
        <w:t xml:space="preserve">for </w:t>
      </w:r>
      <w:r w:rsidRPr="001C4D50">
        <w:rPr>
          <w:b/>
          <w:u w:val="single"/>
        </w:rPr>
        <w:t>C</w:t>
      </w:r>
      <w:r w:rsidR="0064570F" w:rsidRPr="001C4D50">
        <w:rPr>
          <w:b/>
          <w:u w:val="single"/>
        </w:rPr>
        <w:t xml:space="preserve">artilage </w:t>
      </w:r>
      <w:r w:rsidRPr="001C4D50">
        <w:rPr>
          <w:b/>
          <w:u w:val="single"/>
        </w:rPr>
        <w:t>R</w:t>
      </w:r>
      <w:r w:rsidR="0064570F" w:rsidRPr="001C4D50">
        <w:rPr>
          <w:b/>
          <w:u w:val="single"/>
        </w:rPr>
        <w:t xml:space="preserve">epair </w:t>
      </w:r>
    </w:p>
    <w:p w14:paraId="7CF7FDA9" w14:textId="77777777" w:rsidR="00CA08DB" w:rsidRPr="001C4D50" w:rsidRDefault="00CA08DB" w:rsidP="00960366">
      <w:pPr>
        <w:rPr>
          <w:b/>
          <w:u w:val="single"/>
        </w:rPr>
      </w:pPr>
    </w:p>
    <w:p w14:paraId="4E30FC08" w14:textId="48166003" w:rsidR="00261587" w:rsidRPr="001C4D50" w:rsidRDefault="00261587" w:rsidP="00960366">
      <w:r w:rsidRPr="001C4D50">
        <w:t xml:space="preserve">The repair of cartilage defects has been at the forefront of regenerative medicine applications. Autologous Chondrocyte Implantation (ACI) is one such approach which has been used </w:t>
      </w:r>
      <w:r w:rsidR="00CE32FF" w:rsidRPr="001C4D50">
        <w:t>in the clinic</w:t>
      </w:r>
      <w:r w:rsidRPr="001C4D50">
        <w:t xml:space="preserve"> for almost thirty years</w:t>
      </w:r>
      <w:r w:rsidR="00CE32FF" w:rsidRPr="001C4D50">
        <w:t xml:space="preserve"> (Figure 1) </w:t>
      </w:r>
      <w:r w:rsidRPr="001C4D50">
        <w:rPr>
          <w:color w:val="2B579A"/>
        </w:rPr>
        <w:fldChar w:fldCharType="begin" w:fldLock="1"/>
      </w:r>
      <w:r w:rsidRPr="001C4D50">
        <w:instrText>ADDIN CSL_CITATION {"citationItems":[{"id":"ITEM-1","itemData":{"author":[{"dropping-particle":"","family":"Brittberg","given":"Mats","non-dropping-particle":"","parse-names":false,"suffix":""},{"dropping-particle":"","family":"Lindahl","given":"Anders","non-dropping-particle":"","parse-names":false,"suffix":""},{"dropping-particle":"","family":"Nilsson","given":"Anders","non-dropping-particle":"","parse-names":false,"suffix":""},{"dropping-particle":"","family":"Ohlsson","given":"Claes","non-dropping-particle":"","parse-names":false,"suffix":""},{"dropping-particle":"","family":"Isaksson","given":"Olle","non-dropping-particle":"","parse-names":false,"suffix":""},{"dropping-particle":"","family":"Peterson","given":"Lars","non-dropping-particle":"","parse-names":false,"suffix":""}],"container-title":"The New England Journal of Medicine","id":"ITEM-1","issue":"14","issued":{"date-parts":[["1994"]]},"page":"889-895","title":"Treatment of Deep Cartilage Defects in the Knee with Autologous Chondrocyte Transplantation","type":"article-journal","volume":"331"},"uris":["http://www.mendeley.com/documents/?uuid=6b132ab0-ba56-44ed-9386-2a15334d992c"]}],"mendeley":{"formattedCitation":"[10]","plainTextFormattedCitation":"[10]","previouslyFormattedCitation":"[10]"},"properties":{"noteIndex":0},"schema":"https://github.com/citation-style-language/schema/raw/master/csl-citation.json"}</w:instrText>
      </w:r>
      <w:r w:rsidRPr="001C4D50">
        <w:rPr>
          <w:color w:val="2B579A"/>
        </w:rPr>
        <w:fldChar w:fldCharType="separate"/>
      </w:r>
      <w:r w:rsidR="00632928" w:rsidRPr="001C4D50">
        <w:rPr>
          <w:noProof/>
        </w:rPr>
        <w:t>[10]</w:t>
      </w:r>
      <w:r w:rsidRPr="001C4D50">
        <w:rPr>
          <w:color w:val="2B579A"/>
        </w:rPr>
        <w:fldChar w:fldCharType="end"/>
      </w:r>
      <w:r w:rsidRPr="001C4D50">
        <w:t xml:space="preserve">. Although ACI has evolved over time, the premise of this technique is to arthroscopically harvest cartilage from a </w:t>
      </w:r>
      <w:r w:rsidR="000C19E2" w:rsidRPr="001C4D50">
        <w:t>low</w:t>
      </w:r>
      <w:r w:rsidRPr="001C4D50">
        <w:t xml:space="preserve">-weight bearing region of the joint. This cartilage is </w:t>
      </w:r>
      <w:r w:rsidR="000C19E2" w:rsidRPr="001C4D50">
        <w:t xml:space="preserve">enzymatically </w:t>
      </w:r>
      <w:r w:rsidRPr="001C4D50">
        <w:t>digested to release chondrocytes, which are then culture expanded prior to being implanted into the chondral</w:t>
      </w:r>
      <w:r w:rsidR="0024633A" w:rsidRPr="001C4D50">
        <w:t xml:space="preserve"> or </w:t>
      </w:r>
      <w:r w:rsidRPr="001C4D50">
        <w:t xml:space="preserve">osteochondral defect under a native or synthetic membrane in an open </w:t>
      </w:r>
      <w:proofErr w:type="spellStart"/>
      <w:r w:rsidRPr="001C4D50">
        <w:t>arthrotomy</w:t>
      </w:r>
      <w:proofErr w:type="spellEnd"/>
      <w:r w:rsidRPr="001C4D50">
        <w:t xml:space="preserve"> procedure</w:t>
      </w:r>
      <w:r w:rsidR="00F0104E" w:rsidRPr="001C4D50">
        <w:t xml:space="preserve"> </w:t>
      </w:r>
      <w:r w:rsidRPr="001C4D50">
        <w:rPr>
          <w:color w:val="2B579A"/>
        </w:rPr>
        <w:fldChar w:fldCharType="begin" w:fldLock="1"/>
      </w:r>
      <w:r w:rsidRPr="001C4D50">
        <w:instrText>ADDIN CSL_CITATION {"citationItems":[{"id":"ITEM-1","itemData":{"DOI":"10.3390/bioengineering6010022","ISSN":"23065354","abstract":"Articular cartilage is composed of chondrons within a territorial matrix surrounded by a highly organized extracellular matrix comprising collagen II fibrils, proteoglycans, glycosaminoglycans, and non-collagenous proteins. Damaged articular cartilage has a limited potential for healing and untreated defects often progress to osteoarthritis. High hopes have been pinned on regenerative medicine strategies to meet the challenge of preventing progress to late osteoarthritis. One such strategy, autologous chondrocyte implantation (ACI), was first reported in 1994 as a treatment for deep focal articular cartilage defects. ACI has since evolved to become a worldwide well-established surgical technique. For ACI, chondrocytes are harvested from the lesser weight bearing edge of the joint by arthroscopy, their numbers expanded in monolayer culture for at least four weeks, and then re-implanted in the damaged region under a natural or synthetic membrane via an open joint procedure. We consider the evolution of ACI to become an established cell therapy, its current limitations, and on-going strategies to improve its efficacy. The most promising developments involving cells and natural or synthetic biomaterials will be highlighted.","author":[{"dropping-particle":"","family":"Davies","given":"Rebecca L.","non-dropping-particle":"","parse-names":false,"suffix":""},{"dropping-particle":"","family":"Kuiper","given":"Nicola J.","non-dropping-particle":"","parse-names":false,"suffix":""}],"container-title":"Bioengineering","id":"ITEM-1","issue":"1","issued":{"date-parts":[["2019"]]},"page":"1-16","title":"Regenerative Medicine: A Review of the Evolution of Autologous Chondrocyte Implantation (ACI) Therapy","type":"article-journal","volume":"6"},"uris":["http://www.mendeley.com/documents/?uuid=35b8877c-e208-4b1f-983a-a7ce72ec3522"]}],"mendeley":{"formattedCitation":"[11]","plainTextFormattedCitation":"[11]","previouslyFormattedCitation":"[11]"},"properties":{"noteIndex":0},"schema":"https://github.com/citation-style-language/schema/raw/master/csl-citation.json"}</w:instrText>
      </w:r>
      <w:r w:rsidRPr="001C4D50">
        <w:rPr>
          <w:color w:val="2B579A"/>
        </w:rPr>
        <w:fldChar w:fldCharType="separate"/>
      </w:r>
      <w:r w:rsidR="00632928" w:rsidRPr="001C4D50">
        <w:rPr>
          <w:noProof/>
        </w:rPr>
        <w:t>[11]</w:t>
      </w:r>
      <w:r w:rsidRPr="001C4D50">
        <w:rPr>
          <w:color w:val="2B579A"/>
        </w:rPr>
        <w:fldChar w:fldCharType="end"/>
      </w:r>
      <w:r w:rsidR="0069716B" w:rsidRPr="001C4D50">
        <w:t>.</w:t>
      </w:r>
      <w:r w:rsidRPr="001C4D50">
        <w:t xml:space="preserve"> In its first iteration, ACI was performed using a periosteal patch, harvested from the tibia, under which the expanded chondrocytes were injected. Complications relating to graft hypertrophy</w:t>
      </w:r>
      <w:r w:rsidR="00F0104E" w:rsidRPr="001C4D50">
        <w:t xml:space="preserve"> </w:t>
      </w:r>
      <w:r w:rsidRPr="001C4D50">
        <w:rPr>
          <w:color w:val="2B579A"/>
        </w:rPr>
        <w:fldChar w:fldCharType="begin" w:fldLock="1"/>
      </w:r>
      <w:r w:rsidRPr="001C4D50">
        <w:instrText>ADDIN CSL_CITATION {"citationItems":[{"id":"ITEM-1","itemData":{"DOI":"10.1177/0363546517716631","ISBN":"0363546517716","ISSN":"15523365","PMID":"28745972","abstract":"Background: Treating articular cartilage defects is a demanding problem. Although several studies have reported durable and improved clinical outcomes after autologous chondrocyte implantation (ACI) over a long-term period, there is no report with over 20 years' follow-up. Purpose: To evaluate clinical outcomes after first-generation ACI for the treatment of knees with disabling, large single and multiple cartilage defects for which patients wished to avoid prosthetic arthroplasty, with a minimum of 20 years' follow-up. Study Design: Case series; Level of evidence, 4. Methods: The authors reviewed prospectively collected data from 23 patients (24 knees; mean age, 35.4 years [range, 13-52 years]) undergoing ACI for the treatment of symptomatic, full-thickness articular cartilage lesions. A mean of 2.1 lesions per knee were treated over a mean total surface area of 11.8 cm2 (range, 2.4-30.5 cm2) per knee. Kaplan-Meier survival analysis and functional outcome scores, including the modified Cincinnati Knee Rating System, Western Ontario and McMaster Universities Osteoarthritis Index (WOMAC), and Short Form-36 (SF-36), were used. Patients also self-reported an improvement in pain with a visual analog scale and a satisfaction survey. Results: The 20-year survival rate was 63% (95% CI, 40%-78%). The evaluation of the 15 knees with retained grafts demonstrated that all clinical scores except the WOMAC subscore for stiffness and SF-36 mental component summary score improved significantly and were sustained to 20 years postoperatively. Ninety-three percent of these patients rated knee-specific outcomes as good or excellent. The outcomes for 9 of 24 knees were considered failures, including 5 undergoing revision ACI and 4 being converted to arthroplasty at a mean of 1.7 and 5.9 years, respectively. Only 1 of 5 knees that underwent revision ACI was converted to arthroplasty at 1.9 years after the index surgery, and the other 4 patients were able to maintain their biological knee. Overall, 20 years later, 79% of patients maintained their native knee, for which they initially sought treatment, and were satisfied when evaluated. Conclusion: First-generation ACI provided satisfactory survival rates and significant clinical improvements over a 20-year follow-up, which offers an important standard for comparison with newer-generation ACI technologies of the future.","author":[{"dropping-particle":"","family":"Ogura","given":"Takahiro","non-dropping-particle":"","parse-names":false,"suffix":""},{"dropping-particle":"","family":"Mosier","given":"Brian A.","non-dropping-particle":"","parse-names":false,"suffix":""},{"dropping-particle":"","family":"Bryant","given":"Tim","non-dropping-particle":"","parse-names":false,"suffix":""},{"dropping-particle":"","family":"Minas","given":"Tom","non-dropping-particle":"","parse-names":false,"suffix":""}],"container-title":"American Journal of Sports Medicine","id":"ITEM-1","issue":"12","issued":{"date-parts":[["2017"]]},"page":"2751-2761","title":"A 20-Year Follow-up after First-Generation Autologous Chondrocyte Implantation","type":"article-journal","volume":"45"},"uris":["http://www.mendeley.com/documents/?uuid=03c47303-9f73-4616-b10e-06029b35affe"]}],"mendeley":{"formattedCitation":"[12]","plainTextFormattedCitation":"[12]","previouslyFormattedCitation":"[12]"},"properties":{"noteIndex":0},"schema":"https://github.com/citation-style-language/schema/raw/master/csl-citation.json"}</w:instrText>
      </w:r>
      <w:r w:rsidRPr="001C4D50">
        <w:rPr>
          <w:color w:val="2B579A"/>
        </w:rPr>
        <w:fldChar w:fldCharType="separate"/>
      </w:r>
      <w:r w:rsidR="00137B42" w:rsidRPr="001C4D50">
        <w:rPr>
          <w:noProof/>
        </w:rPr>
        <w:t>[12]</w:t>
      </w:r>
      <w:r w:rsidRPr="001C4D50">
        <w:rPr>
          <w:color w:val="2B579A"/>
        </w:rPr>
        <w:fldChar w:fldCharType="end"/>
      </w:r>
      <w:r w:rsidR="00AC2ECD" w:rsidRPr="001C4D50">
        <w:t>, g</w:t>
      </w:r>
      <w:r w:rsidRPr="001C4D50">
        <w:t>raft failure</w:t>
      </w:r>
      <w:r w:rsidR="00F0104E" w:rsidRPr="001C4D50">
        <w:t xml:space="preserve"> </w:t>
      </w:r>
      <w:r w:rsidRPr="001C4D50">
        <w:rPr>
          <w:color w:val="2B579A"/>
        </w:rPr>
        <w:fldChar w:fldCharType="begin" w:fldLock="1"/>
      </w:r>
      <w:r w:rsidRPr="001C4D50">
        <w:instrText>ADDIN CSL_CITATION {"citationItems":[{"id":"ITEM-1","itemData":{"DOI":"10.2106/JBJS.E.00103","ISSN":"0021-9355 (Print)","PMID":"16510814","abstract":"BACKGROUND: Carticel is an autologous cultured chondrocyte product that has been  approved by the United States Food and Drug Administration for the repair of symptomatic cartilaginous defects of the femoral condyle that are caused by acute or repetitive trauma in patients who have been previously managed with arthroscopy or other surgical procedures. The present report describes the adverse events following Carticel implantation as reported to the Food and Drug Administration from 1996 to 2003. METHODS: We reviewed adverse event reports that had been submitted to the Food and Drug Administration's MedWatch system for information on demographic characteristics, adverse events, and surgical revisions. Adverse events were categorized into sixteen non-mutually exclusive groups. Five categories were used to classify reoperations. Food and Drug Administration regulations require manufacturers to report adverse events; however, reporting by clinicians and others is voluntary. Therefore, adverse event reporting is likely to underestimate the number of event occurrences. Adverse events may be either causally or coincidentally related to the product. RESULTS: A total of 497 adverse events among 294 patients receiving Carticel were reported. The median interval from Carticel implantation to the diagnosis of an adverse event was 240 days (range, one to 2105 days). The median age of the patients was thirty-eight years, and 63% of the patients were male. Of the 270 events for which the anatomic site was noted, 258 (96%) involved the femoral condyles. More than one adverse event was reported for 135 patients (46%). The most commonly reported events were graft failure (seventy-three patients; 25%), delamination (sixty-five patients; 22%), and tissue hypertrophy (fifty-two patients; 18%). In addition, eighteen surgical site infections were reported, including eleven joint and seven soft-tissue infections. Surgical revision subsequent to Carticel implantation was mentioned in the records for 273 patients (93%). The reasons for the 389 revision procedures included graft-related problems (187 procedures; 48.1%), periarticular soft-tissue problems (ninety-seven procedures; 24.9%), and intra-articular problems (sixty-three procedures; 16.2%). Eight patients had a total knee replacement. Based on the manufacturer's reported distribution of 7500 Carticel lots between 1995 and 2002, 285 patients (3.8%) had an adverse event that was reported to the Food and Drug Administration.…","author":[{"dropping-particle":"","family":"Wood","given":"Jennifer J","non-dropping-particle":"","parse-names":false,"suffix":""},{"dropping-particle":"","family":"Malek","given":"Mark A","non-dropping-particle":"","parse-names":false,"suffix":""},{"dropping-particle":"","family":"Frassica","given":"Frank J","non-dropping-particle":"","parse-names":false,"suffix":""},{"dropping-particle":"","family":"Polder","given":"Jacquelyn A","non-dropping-particle":"","parse-names":false,"suffix":""},{"dropping-particle":"","family":"Mohan","given":"Aparna K","non-dropping-particle":"","parse-names":false,"suffix":""},{"dropping-particle":"","family":"Bloom","given":"Eda T","non-dropping-particle":"","parse-names":false,"suffix":""},{"dropping-particle":"","family":"Braun","given":"M Miles","non-dropping-particle":"","parse-names":false,"suffix":""},{"dropping-particle":"","family":"Coté","given":"Timothy R","non-dropping-particle":"","parse-names":false,"suffix":""}],"container-title":"The Journal of bone and joint surgery. American volume","id":"ITEM-1","issue":"3","issued":{"date-parts":[["2006","3"]]},"language":"eng","page":"503-507","publisher-place":"United States","title":"Autologous cultured chondrocytes: adverse events reported to the United States Food  and Drug Administration.","type":"article-journal","volume":"88"},"uris":["http://www.mendeley.com/documents/?uuid=7dc5ef4a-c6f8-4e1b-8f20-d4c98bb7060f"]}],"mendeley":{"formattedCitation":"[13]","plainTextFormattedCitation":"[13]","previouslyFormattedCitation":"[13]"},"properties":{"noteIndex":0},"schema":"https://github.com/citation-style-language/schema/raw/master/csl-citation.json"}</w:instrText>
      </w:r>
      <w:r w:rsidRPr="001C4D50">
        <w:rPr>
          <w:color w:val="2B579A"/>
        </w:rPr>
        <w:fldChar w:fldCharType="separate"/>
      </w:r>
      <w:r w:rsidR="00137B42" w:rsidRPr="001C4D50">
        <w:rPr>
          <w:noProof/>
        </w:rPr>
        <w:t>[13]</w:t>
      </w:r>
      <w:r w:rsidRPr="001C4D50">
        <w:rPr>
          <w:color w:val="2B579A"/>
        </w:rPr>
        <w:fldChar w:fldCharType="end"/>
      </w:r>
      <w:r w:rsidR="00AC2ECD" w:rsidRPr="001C4D50">
        <w:t xml:space="preserve"> a</w:t>
      </w:r>
      <w:r w:rsidRPr="001C4D50">
        <w:t>nd difficulties in suturing the periosteal patch</w:t>
      </w:r>
      <w:r w:rsidR="00F0104E" w:rsidRPr="001C4D50">
        <w:t xml:space="preserve"> </w:t>
      </w:r>
      <w:r w:rsidRPr="001C4D50">
        <w:rPr>
          <w:color w:val="2B579A"/>
        </w:rPr>
        <w:fldChar w:fldCharType="begin" w:fldLock="1"/>
      </w:r>
      <w:r w:rsidRPr="001C4D50">
        <w:instrText>ADDIN CSL_CITATION {"citationItems":[{"id":"ITEM-1","itemData":{"author":[{"dropping-particle":"","family":"Brittberg","given":"Mats","non-dropping-particle":"","parse-names":false,"suffix":""}],"container-title":"Injury: International Journal of the Care of the Injured","id":"ITEM-1","issue":"1","issued":{"date-parts":[["2008"]]},"page":"40-49","title":"Autologous Chondrocyte Implantation- Technique and long-term follow-up","type":"article-journal","volume":"39"},"uris":["http://www.mendeley.com/documents/?uuid=eca6f7af-0f43-473d-af1e-32392ea376da"]}],"mendeley":{"formattedCitation":"[14]","plainTextFormattedCitation":"[14]","previouslyFormattedCitation":"[14]"},"properties":{"noteIndex":0},"schema":"https://github.com/citation-style-language/schema/raw/master/csl-citation.json"}</w:instrText>
      </w:r>
      <w:r w:rsidRPr="001C4D50">
        <w:rPr>
          <w:color w:val="2B579A"/>
        </w:rPr>
        <w:fldChar w:fldCharType="separate"/>
      </w:r>
      <w:r w:rsidR="00137B42" w:rsidRPr="001C4D50">
        <w:rPr>
          <w:noProof/>
        </w:rPr>
        <w:t>[14]</w:t>
      </w:r>
      <w:r w:rsidRPr="001C4D50">
        <w:rPr>
          <w:color w:val="2B579A"/>
        </w:rPr>
        <w:fldChar w:fldCharType="end"/>
      </w:r>
      <w:r w:rsidR="00AC2ECD" w:rsidRPr="001C4D50">
        <w:t xml:space="preserve"> </w:t>
      </w:r>
      <w:r w:rsidRPr="001C4D50">
        <w:t xml:space="preserve">resulted in </w:t>
      </w:r>
      <w:r w:rsidR="00B32E8E" w:rsidRPr="001C4D50">
        <w:t>the development of 2</w:t>
      </w:r>
      <w:r w:rsidR="00B32E8E" w:rsidRPr="001C4D50">
        <w:rPr>
          <w:vertAlign w:val="superscript"/>
        </w:rPr>
        <w:t>nd</w:t>
      </w:r>
      <w:r w:rsidR="00B32E8E" w:rsidRPr="001C4D50">
        <w:t xml:space="preserve"> generation ACI, </w:t>
      </w:r>
      <w:r w:rsidRPr="001C4D50">
        <w:t xml:space="preserve">ACI </w:t>
      </w:r>
      <w:r w:rsidR="00B32E8E" w:rsidRPr="001C4D50">
        <w:t xml:space="preserve">using </w:t>
      </w:r>
      <w:r w:rsidRPr="001C4D50">
        <w:t>a</w:t>
      </w:r>
      <w:r w:rsidR="00047C4D" w:rsidRPr="001C4D50">
        <w:t xml:space="preserve"> </w:t>
      </w:r>
      <w:r w:rsidRPr="001C4D50">
        <w:t xml:space="preserve">porcine collagen </w:t>
      </w:r>
      <w:r w:rsidR="00B32E8E" w:rsidRPr="001C4D50">
        <w:t xml:space="preserve">types </w:t>
      </w:r>
      <w:r w:rsidRPr="001C4D50">
        <w:t>I and III</w:t>
      </w:r>
      <w:r w:rsidR="00B32E8E" w:rsidRPr="001C4D50">
        <w:t>-containing</w:t>
      </w:r>
      <w:r w:rsidRPr="001C4D50">
        <w:t xml:space="preserve"> membrane (</w:t>
      </w:r>
      <w:proofErr w:type="spellStart"/>
      <w:r w:rsidRPr="001C4D50">
        <w:t>Chondro-Gide</w:t>
      </w:r>
      <w:r w:rsidRPr="001C4D50">
        <w:rPr>
          <w:vertAlign w:val="superscript"/>
        </w:rPr>
        <w:t>TM</w:t>
      </w:r>
      <w:proofErr w:type="spellEnd"/>
      <w:r w:rsidRPr="001C4D50">
        <w:t xml:space="preserve">, </w:t>
      </w:r>
      <w:proofErr w:type="spellStart"/>
      <w:r w:rsidRPr="001C4D50">
        <w:t>Geistlich</w:t>
      </w:r>
      <w:proofErr w:type="spellEnd"/>
      <w:r w:rsidRPr="001C4D50">
        <w:t>, Switzerland)</w:t>
      </w:r>
      <w:r w:rsidR="00873130" w:rsidRPr="001C4D50">
        <w:t xml:space="preserve">, </w:t>
      </w:r>
      <w:r w:rsidR="00CE32FF" w:rsidRPr="001C4D50">
        <w:t>as an alternative</w:t>
      </w:r>
      <w:r w:rsidR="00901850" w:rsidRPr="001C4D50">
        <w:t xml:space="preserve"> patch</w:t>
      </w:r>
      <w:r w:rsidRPr="001C4D50">
        <w:t xml:space="preserve">. Within ten years of ACI first having been reported, </w:t>
      </w:r>
      <w:r w:rsidR="00901850" w:rsidRPr="001C4D50">
        <w:t xml:space="preserve">further modifications resulted in </w:t>
      </w:r>
      <w:r w:rsidR="00B32E8E" w:rsidRPr="001C4D50">
        <w:t>the development of 3</w:t>
      </w:r>
      <w:r w:rsidR="00B32E8E" w:rsidRPr="001C4D50">
        <w:rPr>
          <w:vertAlign w:val="superscript"/>
        </w:rPr>
        <w:t>rd</w:t>
      </w:r>
      <w:r w:rsidR="00B32E8E" w:rsidRPr="001C4D50">
        <w:t xml:space="preserve"> generation ACI</w:t>
      </w:r>
      <w:r w:rsidR="00901850" w:rsidRPr="001C4D50">
        <w:t>:</w:t>
      </w:r>
      <w:r w:rsidRPr="001C4D50">
        <w:t xml:space="preserve"> matrix-autologous chondrocyte implantation (MACI</w:t>
      </w:r>
      <w:r w:rsidRPr="001C4D50">
        <w:rPr>
          <w:vertAlign w:val="superscript"/>
        </w:rPr>
        <w:t>TM</w:t>
      </w:r>
      <w:r w:rsidRPr="001C4D50">
        <w:t>)</w:t>
      </w:r>
      <w:r w:rsidRPr="001C4D50">
        <w:rPr>
          <w:color w:val="2B579A"/>
        </w:rPr>
        <w:fldChar w:fldCharType="begin" w:fldLock="1"/>
      </w:r>
      <w:r w:rsidRPr="001C4D50">
        <w:instrText>ADDIN CSL_CITATION {"citationItems":[{"id":"ITEM-1","itemData":{"author":[{"dropping-particle":"","family":"Anders","given":"S","non-dropping-particle":"","parse-names":false,"suffix":""},{"dropping-particle":"","family":"Schaumburger","given":"J","non-dropping-particle":"","parse-names":false,"suffix":""},{"dropping-particle":"","family":"Schubert","given":"T","non-dropping-particle":"","parse-names":false,"suffix":""},{"dropping-particle":"","family":"Grifka","given":"J","non-dropping-particle":"","parse-names":false,"suffix":""},{"dropping-particle":"","family":"Behrens","given":"P","non-dropping-particle":"","parse-names":false,"suffix":""}],"container-title":"Orthop Traumatol","id":"ITEM-1","issued":{"date-parts":[["2008"]]},"page":"208-219","title":"Matrix-Associated Autologous Chondrocyte Transplantation (MACT). Minimally Invasive Technique in the Knee","type":"article-journal","volume":"20"},"uris":["http://www.mendeley.com/documents/?uuid=5eb5763e-e9ff-4a59-8c6f-8dd8576fdc62"]}],"mendeley":{"formattedCitation":"[15]","plainTextFormattedCitation":"[15]","previouslyFormattedCitation":"[15]"},"properties":{"noteIndex":0},"schema":"https://github.com/citation-style-language/schema/raw/master/csl-citation.json"}</w:instrText>
      </w:r>
      <w:r w:rsidRPr="001C4D50">
        <w:rPr>
          <w:color w:val="2B579A"/>
        </w:rPr>
        <w:fldChar w:fldCharType="separate"/>
      </w:r>
      <w:r w:rsidR="00137B42" w:rsidRPr="001C4D50">
        <w:rPr>
          <w:noProof/>
        </w:rPr>
        <w:t>[15]</w:t>
      </w:r>
      <w:r w:rsidRPr="001C4D50">
        <w:rPr>
          <w:color w:val="2B579A"/>
        </w:rPr>
        <w:fldChar w:fldCharType="end"/>
      </w:r>
      <w:r w:rsidR="00CE32FF" w:rsidRPr="001C4D50">
        <w:t>, which</w:t>
      </w:r>
      <w:r w:rsidR="00CE32FF" w:rsidRPr="001C4D50">
        <w:rPr>
          <w:vertAlign w:val="superscript"/>
        </w:rPr>
        <w:t xml:space="preserve"> </w:t>
      </w:r>
      <w:r w:rsidRPr="001C4D50">
        <w:t xml:space="preserve">consists of </w:t>
      </w:r>
      <w:r w:rsidR="00901850" w:rsidRPr="001C4D50">
        <w:t>culture-</w:t>
      </w:r>
      <w:r w:rsidRPr="001C4D50">
        <w:t>expanded chondrocytes that are suspended in a hydrated scaffold (</w:t>
      </w:r>
      <w:proofErr w:type="spellStart"/>
      <w:r w:rsidRPr="001C4D50">
        <w:t>Vericel</w:t>
      </w:r>
      <w:proofErr w:type="spellEnd"/>
      <w:r w:rsidRPr="001C4D50">
        <w:t>, USA), without the need for any membrane</w:t>
      </w:r>
      <w:r w:rsidR="0024633A" w:rsidRPr="001C4D50">
        <w:t xml:space="preserve"> or </w:t>
      </w:r>
      <w:r w:rsidRPr="001C4D50">
        <w:t>patch</w:t>
      </w:r>
      <w:r w:rsidR="00F0104E" w:rsidRPr="001C4D50">
        <w:t xml:space="preserve"> </w:t>
      </w:r>
      <w:r w:rsidRPr="001C4D50">
        <w:rPr>
          <w:color w:val="2B579A"/>
        </w:rPr>
        <w:fldChar w:fldCharType="begin" w:fldLock="1"/>
      </w:r>
      <w:r w:rsidRPr="001C4D50">
        <w:instrText>ADDIN CSL_CITATION {"citationItems":[{"id":"ITEM-1","itemData":{"author":[{"dropping-particle":"","family":"Anders","given":"S","non-dropping-particle":"","parse-names":false,"suffix":""},{"dropping-particle":"","family":"Schaumburger","given":"J","non-dropping-particle":"","parse-names":false,"suffix":""},{"dropping-particle":"","family":"Schubert","given":"T","non-dropping-particle":"","parse-names":false,"suffix":""},{"dropping-particle":"","family":"Grifka","given":"J","non-dropping-particle":"","parse-names":false,"suffix":""},{"dropping-particle":"","family":"Behrens","given":"P","non-dropping-particle":"","parse-names":false,"suffix":""}],"container-title":"Orthop Traumatol","id":"ITEM-1","issued":{"date-parts":[["2008"]]},"page":"208-219","title":"Matrix-Associated Autologous Chondrocyte Transplantation (MACT). Minimally Invasive Technique in the Knee","type":"article-journal","volume":"20"},"uris":["http://www.mendeley.com/documents/?uuid=5eb5763e-e9ff-4a59-8c6f-8dd8576fdc62"]}],"mendeley":{"formattedCitation":"[15]","plainTextFormattedCitation":"[15]","previouslyFormattedCitation":"[15]"},"properties":{"noteIndex":0},"schema":"https://github.com/citation-style-language/schema/raw/master/csl-citation.json"}</w:instrText>
      </w:r>
      <w:r w:rsidRPr="001C4D50">
        <w:rPr>
          <w:color w:val="2B579A"/>
        </w:rPr>
        <w:fldChar w:fldCharType="separate"/>
      </w:r>
      <w:r w:rsidR="00137B42" w:rsidRPr="001C4D50">
        <w:rPr>
          <w:noProof/>
        </w:rPr>
        <w:t>[15]</w:t>
      </w:r>
      <w:r w:rsidRPr="001C4D50">
        <w:rPr>
          <w:color w:val="2B579A"/>
        </w:rPr>
        <w:fldChar w:fldCharType="end"/>
      </w:r>
      <w:r w:rsidRPr="001C4D50">
        <w:t xml:space="preserve">. Overall, the long-term evidence for ACI is very encouraging and when considered in terms of the cost per quality-adjusted life-year (QALY), sufficient evidence could be drawn to result in it being recommended by </w:t>
      </w:r>
      <w:r w:rsidR="00F27B17" w:rsidRPr="001C4D50">
        <w:t>t</w:t>
      </w:r>
      <w:r w:rsidRPr="001C4D50">
        <w:t xml:space="preserve">he </w:t>
      </w:r>
      <w:r w:rsidR="00F27B17" w:rsidRPr="001C4D50">
        <w:t xml:space="preserve">UK </w:t>
      </w:r>
      <w:r w:rsidRPr="001C4D50">
        <w:t xml:space="preserve">National Institute for Health and Care Excellence (NICE) for </w:t>
      </w:r>
      <w:r w:rsidR="00F27B17" w:rsidRPr="001C4D50">
        <w:t>the treatment of cartilage lesions greater than 2cm</w:t>
      </w:r>
      <w:r w:rsidR="00F27B17" w:rsidRPr="001C4D50">
        <w:rPr>
          <w:rFonts w:cs="Times New Roman (Body CS)"/>
          <w:vertAlign w:val="superscript"/>
        </w:rPr>
        <w:t>2</w:t>
      </w:r>
      <w:r w:rsidR="00F27B17" w:rsidRPr="001C4D50">
        <w:t xml:space="preserve"> </w:t>
      </w:r>
      <w:r w:rsidRPr="001C4D50">
        <w:rPr>
          <w:color w:val="2B579A"/>
        </w:rPr>
        <w:fldChar w:fldCharType="begin" w:fldLock="1"/>
      </w:r>
      <w:r w:rsidRPr="001C4D50">
        <w:instrText>ADDIN CSL_CITATION {"citationItems":[{"id":"ITEM-1","itemData":{"DOI":"https://www.nice.org.uk/guidance/ta477/resources/autologous-chondrocyte- implantation-for-treating-symptomatic-articular-cartilage-defects-of-the- knee-pdf-82604971061701.","author":[{"dropping-particle":"","family":"National Institute for Health and Care Excellence (NICE)","given":"","non-dropping-particle":"","parse-names":false,"suffix":""}],"id":"ITEM-1","issued":{"date-parts":[["2017"]]},"title":"Autologous chondrocyte implantation for treating symptomatic articular cartilage defects of the knee. Technology appraisal guidance [TA477]","type":"webpage"},"uris":["http://www.mendeley.com/documents/?uuid=14023f52-511e-3eb6-8413-d1ddc53ce470"]},{"id":"ITEM-2","itemData":{"author":[{"dropping-particle":"","family":"Mistry","given":"H","non-dropping-particle":"","parse-names":false,"suffix":""},{"dropping-particle":"","family":"Connock","given":"M","non-dropping-particle":"","parse-names":false,"suffix":""},{"dropping-particle":"","family":"Pink","given":"J","non-dropping-particle":"","parse-names":false,"suffix":""},{"dropping-particle":"","family":"Shyangdan","given":"D","non-dropping-particle":"","parse-names":false,"suffix":""},{"dropping-particle":"","family":"Clar","given":"C","non-dropping-particle":"","parse-names":false,"suffix":""},{"dropping-particle":"","family":"Royle","given":"P","non-dropping-particle":"","parse-names":false,"suffix":""},{"dropping-particle":"","family":"Court","given":"R","non-dropping-particle":"","parse-names":false,"suffix":""},{"dropping-particle":"","family":"Biant","given":"LC","non-dropping-particle":"","parse-names":false,"suffix":""},{"dropping-particle":"","family":"Metcalfe","given":"A","non-dropping-particle":"","parse-names":false,"suffix":""},{"dropping-particle":"","family":"Waugh","given":"N","non-dropping-particle":"","parse-names":false,"suffix":""}],"container-title":"Health Technol Assess.","id":"ITEM-2","issue":"6","issued":{"date-parts":[["2017"]]},"page":"1-294","title":"Autologous chondrocyte implantation in the knee: systematic review and economic evaluation","type":"article-journal","volume":"21"},"uris":["http://www.mendeley.com/documents/?uuid=88777670-ca14-44d8-a909-45580531e8d9"]}],"mendeley":{"formattedCitation":"[16,17]","plainTextFormattedCitation":"[16,17]","previouslyFormattedCitation":"[16,17]"},"properties":{"noteIndex":0},"schema":"https://github.com/citation-style-language/schema/raw/master/csl-citation.json"}</w:instrText>
      </w:r>
      <w:r w:rsidRPr="001C4D50">
        <w:rPr>
          <w:color w:val="2B579A"/>
        </w:rPr>
        <w:fldChar w:fldCharType="separate"/>
      </w:r>
      <w:r w:rsidR="00137B42" w:rsidRPr="001C4D50">
        <w:rPr>
          <w:noProof/>
        </w:rPr>
        <w:t>[16,17]</w:t>
      </w:r>
      <w:r w:rsidRPr="001C4D50">
        <w:rPr>
          <w:color w:val="2B579A"/>
        </w:rPr>
        <w:fldChar w:fldCharType="end"/>
      </w:r>
      <w:r w:rsidRPr="001C4D50">
        <w:t xml:space="preserve">. </w:t>
      </w:r>
    </w:p>
    <w:p w14:paraId="48419E4A" w14:textId="77777777" w:rsidR="00261587" w:rsidRPr="001C4D50" w:rsidRDefault="00261587" w:rsidP="00960366">
      <w:pPr>
        <w:rPr>
          <w:bCs/>
        </w:rPr>
      </w:pPr>
    </w:p>
    <w:p w14:paraId="18625F7E" w14:textId="64648F86" w:rsidR="00261587" w:rsidRPr="001C4D50" w:rsidRDefault="00F27B17" w:rsidP="00960366">
      <w:r w:rsidRPr="001C4D50">
        <w:t>More recently a potential 4</w:t>
      </w:r>
      <w:r w:rsidRPr="001C4D50">
        <w:rPr>
          <w:vertAlign w:val="superscript"/>
        </w:rPr>
        <w:t>th</w:t>
      </w:r>
      <w:r w:rsidRPr="001C4D50">
        <w:t xml:space="preserve"> generation of ACI has been developed, with the</w:t>
      </w:r>
      <w:r w:rsidR="00261587" w:rsidRPr="001C4D50">
        <w:t xml:space="preserve"> aim to better replicate the innate cartilage prior to implantation</w:t>
      </w:r>
      <w:r w:rsidRPr="001C4D50">
        <w:t>.</w:t>
      </w:r>
      <w:r w:rsidR="00261587" w:rsidRPr="001C4D50">
        <w:t xml:space="preserve"> </w:t>
      </w:r>
      <w:r w:rsidRPr="001C4D50">
        <w:t>S</w:t>
      </w:r>
      <w:r w:rsidR="00261587" w:rsidRPr="001C4D50">
        <w:t xml:space="preserve">pheroids of </w:t>
      </w:r>
      <w:proofErr w:type="spellStart"/>
      <w:r w:rsidR="00261587" w:rsidRPr="001C4D50">
        <w:t>neocartilage</w:t>
      </w:r>
      <w:proofErr w:type="spellEnd"/>
      <w:r w:rsidR="00261587" w:rsidRPr="001C4D50">
        <w:t xml:space="preserve"> compris</w:t>
      </w:r>
      <w:r w:rsidRPr="001C4D50">
        <w:t>ing</w:t>
      </w:r>
      <w:r w:rsidR="00261587" w:rsidRPr="001C4D50">
        <w:t xml:space="preserve"> of expanded autologous cho</w:t>
      </w:r>
      <w:r w:rsidR="00787E59" w:rsidRPr="001C4D50">
        <w:t>n</w:t>
      </w:r>
      <w:r w:rsidR="00261587" w:rsidRPr="001C4D50">
        <w:t>d</w:t>
      </w:r>
      <w:r w:rsidRPr="001C4D50">
        <w:t>r</w:t>
      </w:r>
      <w:r w:rsidR="00261587" w:rsidRPr="001C4D50">
        <w:t xml:space="preserve">ocytes </w:t>
      </w:r>
      <w:r w:rsidR="00787E59" w:rsidRPr="001C4D50">
        <w:t>with</w:t>
      </w:r>
      <w:r w:rsidR="00261587" w:rsidRPr="001C4D50">
        <w:t xml:space="preserve"> their associated </w:t>
      </w:r>
      <w:proofErr w:type="spellStart"/>
      <w:r w:rsidR="00261587" w:rsidRPr="001C4D50">
        <w:t>pericellular</w:t>
      </w:r>
      <w:proofErr w:type="spellEnd"/>
      <w:r w:rsidR="00261587" w:rsidRPr="001C4D50">
        <w:t xml:space="preserve"> matrix</w:t>
      </w:r>
      <w:r w:rsidR="00D03C21" w:rsidRPr="001C4D50">
        <w:t xml:space="preserve"> are implanted without the need for a synthetic matrix, facilitating arthroscopic implantation</w:t>
      </w:r>
      <w:r w:rsidR="00F0104E" w:rsidRPr="001C4D50">
        <w:t xml:space="preserve"> </w:t>
      </w:r>
      <w:r w:rsidR="00261587" w:rsidRPr="001C4D50">
        <w:rPr>
          <w:color w:val="2B579A"/>
          <w:shd w:val="clear" w:color="auto" w:fill="E6E6E6"/>
        </w:rPr>
        <w:fldChar w:fldCharType="begin" w:fldLock="1"/>
      </w:r>
      <w:r w:rsidR="00137B42" w:rsidRPr="001C4D50">
        <w:instrText>ADDIN CSL_CITATION {"citationItems":[{"id":"ITEM-1","itemData":{"DOI":"10.1359/jbmr.2002.17.8.1420","ISSN":"08840431","PMID":"12162496","abstract":"A challenge in tissue engineering is the in vitro generation of human cartilage. To meet standards for in vitro-engineered cartilage, such as prevention of immune response and structural as well as functional integration to surrounding tissue, we established a three-dimensional cell culture system without adding exogenous growth factors or scaffolds. Human chondrocytes were cultured as spheroids. Tissue morphology and protein expression was analyzed using histological and immunohistochemical investigations on spheroid cryosections. A cartilage-like tissue similar to naturally occurring cartilage was generated when spheroids were cultured in medium supplemented only with human serum. This in vitro tissue was characterized by the synthesis of the hyaline-specific proteins collagen type II and S-100, as well as the synthesis of hyaline-specific mucopolysaccharides that increased with prolonged culture time. After 3 months, cell number in the interior of in vitro tissues was diminished and was only twice as much as in native cartilage. Additionally, spheroids quickly adhered to and migrated on glass slides and on human condyle cartilage. The addition of antibiotics to autologous spheroid cultures inhibited the synthesis of matrix proteins. Remarkably, replacing human serum by fetal calf serum resulted in the destruction of the inner part of the spheroids and only a viable rim of cells remained on the surface. These results show that the spheroid culture allows for the first time the autogenous in vitro engineering of human cartilage-like tissue where medium supplements were restricted to human serum.","author":[{"dropping-particle":"","family":"Anderer","given":"Ursula","non-dropping-particle":"","parse-names":false,"suffix":""},{"dropping-particle":"","family":"Libera","given":"Jeanette","non-dropping-particle":"","parse-names":false,"suffix":""}],"container-title":"Journal of Bone and Mineral Research","id":"ITEM-1","issue":"8","issued":{"date-parts":[["2002"]]},"page":"1420-1429","title":"In vitro engineering of human autogenous cartilage","type":"article-journal","volume":"17"},"uris":["http://www.mendeley.com/documents/?uuid=09e98edd-3465-4948-b3bd-3f86d67a8459"]},{"id":"ITEM-2","itemData":{"DOI":"10.1177/2325967119841077","ISSN":"23259671","abstract":"Background: Autologous chondrocyte implantation (ACI) is an established method for treating cartilage defects in the knee of adult patients. However, less is known about its effectiveness in adolescents. Hypothesis: Third-generation matrix-associated ACI (MACI) using spheroids (co.don chondrosphere/Spherox) is an effective and safe treatment for articular cartilage defects in adolescents aged 15 to 17 years, with outcomes comparable with those for young adults aged 18 to 34 years. Study Design: Cohort study; Level of evidence, 3. Methods: A total of 71 patients (29 adolescents, 42 young adults) who had undergone ACI using spheroids were evaluated retrospectively in this multicenter study. For adolescents, the mean defect size was 4.6 ± 2.4 cm2, and the follow-up range was 3.5 to 8.0 years (mean, 63.3 months). For young adults, the mean defect size was 4.7 ± 1.2 cm2, and the follow-up range was 3.8 to 4.3 years (mean, 48.4 months). At the follow-up assessment, outcomes were assessed by using validated questionnaires (Knee injury and Osteoarthritis Outcome Score [KOOS], International Knee Documentation Committee [IKDC] subjective knee evaluation form and current health assessment form, and modified Lysholm score), the magnetic resonance observation of cartilage repair tissue (MOCART) score, and if relevant, time to treatment failure. Safety was assessed by the treatment failure rate. Results: No significant difference between the 2 study groups was found for KOOS, IKDC, or MOCART scores, with all patients achieving high functional values. A significant difference was found in the modified Lysholm score, favoring the young adult group over the adolescent group (22.3 ± 1.9 vs 21.0 ± 2.4, respectively; P =.0123). There were no differences between the rates of treatment failure, with 3% in the adolescent group and 5% in the young adult group. Conclusion: Third-generation MACI using spheroids is a safe and effective treatment for large cartilage defects of the knee in adolescents at midterm follow-up. Outcomes are comparable with those for young adults after ACI.","author":[{"dropping-particle":"","family":"Hoburg","given":"Arnd","non-dropping-particle":"","parse-names":false,"suffix":""},{"dropping-particle":"","family":"Löer","given":"Ingo","non-dropping-particle":"","parse-names":false,"suffix":""},{"dropping-particle":"","family":"Körsmeier","given":"Konrad","non-dropping-particle":"","parse-names":false,"suffix":""},{"dropping-particle":"","family":"Siebold","given":"Rainer","non-dropping-particle":"","parse-names":false,"suffix":""},{"dropping-particle":"","family":"Niemeyer","given":"Philipp","non-dropping-particle":"","parse-names":false,"suffix":""},{"dropping-particle":"","family":"Fickert","given":"Stefan","non-dropping-particle":"","parse-names":false,"suffix":""},{"dropping-particle":"","family":"Ruhnau","given":"Klaus","non-dropping-particle":"","parse-names":false,"suffix":""}],"container-title":"Orthopaedic Journal of Sports Medicine","id":"ITEM-2","issue":"4","issued":{"date-parts":[["2019"]]},"page":"1-7","title":"Matrix-Associated Autologous Chondrocyte Implantation Is an Effective Treatment at Midterm Follow-up in Adolescents and Young Adults","type":"article-journal","volume":"7"},"uris":["http://www.mendeley.com/documents/?uuid=3d5178e1-2a4b-468f-90b6-f641002ac5f4"]}],"mendeley":{"formattedCitation":"[18,19]","plainTextFormattedCitation":"[18,19]","previouslyFormattedCitation":"[18,19]"},"properties":{"noteIndex":0},"schema":"https://github.com/citation-style-language/schema/raw/master/csl-citation.json"}</w:instrText>
      </w:r>
      <w:r w:rsidR="00261587" w:rsidRPr="001C4D50">
        <w:rPr>
          <w:color w:val="2B579A"/>
          <w:shd w:val="clear" w:color="auto" w:fill="E6E6E6"/>
        </w:rPr>
        <w:fldChar w:fldCharType="separate"/>
      </w:r>
      <w:r w:rsidR="00137B42" w:rsidRPr="001C4D50">
        <w:rPr>
          <w:noProof/>
        </w:rPr>
        <w:t>[18,19]</w:t>
      </w:r>
      <w:r w:rsidR="00261587" w:rsidRPr="001C4D50">
        <w:rPr>
          <w:color w:val="2B579A"/>
          <w:shd w:val="clear" w:color="auto" w:fill="E6E6E6"/>
        </w:rPr>
        <w:fldChar w:fldCharType="end"/>
      </w:r>
      <w:r w:rsidR="00D03C21" w:rsidRPr="001C4D50">
        <w:t>. Manufactured</w:t>
      </w:r>
      <w:r w:rsidR="00261587" w:rsidRPr="001C4D50">
        <w:t xml:space="preserve"> </w:t>
      </w:r>
      <w:r w:rsidR="00083748" w:rsidRPr="001C4D50">
        <w:t>by CO.DON AG</w:t>
      </w:r>
      <w:r w:rsidR="00D03C21" w:rsidRPr="001C4D50">
        <w:t>,</w:t>
      </w:r>
      <w:r w:rsidR="00083748" w:rsidRPr="001C4D50">
        <w:t xml:space="preserve"> </w:t>
      </w:r>
      <w:proofErr w:type="spellStart"/>
      <w:r w:rsidR="00261587" w:rsidRPr="001C4D50">
        <w:t>Spherox</w:t>
      </w:r>
      <w:proofErr w:type="spellEnd"/>
      <w:r w:rsidR="00261587" w:rsidRPr="001C4D50">
        <w:t xml:space="preserve"> or </w:t>
      </w:r>
      <w:proofErr w:type="spellStart"/>
      <w:r w:rsidR="00261587" w:rsidRPr="001C4D50">
        <w:t>Chondrosphere</w:t>
      </w:r>
      <w:r w:rsidR="00261587" w:rsidRPr="001C4D50">
        <w:rPr>
          <w:vertAlign w:val="superscript"/>
        </w:rPr>
        <w:t>TM</w:t>
      </w:r>
      <w:proofErr w:type="spellEnd"/>
      <w:r w:rsidR="00261587" w:rsidRPr="001C4D50">
        <w:rPr>
          <w:vertAlign w:val="superscript"/>
        </w:rPr>
        <w:t xml:space="preserve"> </w:t>
      </w:r>
      <w:r w:rsidR="00D03C21" w:rsidRPr="001C4D50">
        <w:t>is currently the only commercially available ACI approved by NICE</w:t>
      </w:r>
      <w:r w:rsidR="0024633A" w:rsidRPr="001C4D50">
        <w:t xml:space="preserve"> </w:t>
      </w:r>
      <w:r w:rsidR="00261587" w:rsidRPr="001C4D50">
        <w:rPr>
          <w:color w:val="2B579A"/>
          <w:shd w:val="clear" w:color="auto" w:fill="E6E6E6"/>
        </w:rPr>
        <w:fldChar w:fldCharType="begin" w:fldLock="1"/>
      </w:r>
      <w:r w:rsidR="00137B42" w:rsidRPr="001C4D50">
        <w:instrText>ADDIN CSL_CITATION {"citationItems":[{"id":"ITEM-1","itemData":{"author":[{"dropping-particle":"","family":"Armoiry","given":"X","non-dropping-particle":"","parse-names":false,"suffix":""},{"dropping-particle":"","family":"Cummins","given":"E","non-dropping-particle":"","parse-names":false,"suffix":""},{"dropping-particle":"","family":"Connock","given":"M","non-dropping-particle":"","parse-names":false,"suffix":""},{"dropping-particle":"","family":"Metcalfe","given":"A","non-dropping-particle":"","parse-names":false,"suffix":""},{"dropping-particle":"","family":"Royle","given":"P","non-dropping-particle":"","parse-names":false,"suffix":""},{"dropping-particle":"","family":"Johnston","given":"R","non-dropping-particle":"","parse-names":false,"suffix":""},{"dropping-particle":"","family":"Rodrigues","given":"J","non-dropping-particle":"","parse-names":false,"suffix":""},{"dropping-particle":"","family":"Waugh","given":"N","non-dropping-particle":"","parse-names":false,"suffix":""},{"dropping-particle":"","family":"Mistry","given":"H","non-dropping-particle":"","parse-names":false,"suffix":""}],"container-title":"PharmacoEconomics","id":"ITEM-1","issued":{"date-parts":[["2019"]]},"page":"879-886","title":"Autologous Chondrocyte Implantation with Chondrosphere for Treating Articular Cartilage Defects in the Knee: An Evidence Review Group Perspective of a NICE Single Technology Appraisal","type":"article-journal","volume":"37"},"uris":["http://www.mendeley.com/documents/?uuid=b29a4062-57c6-43b5-ab0e-a0bad729fe09"]}],"mendeley":{"formattedCitation":"[20]","plainTextFormattedCitation":"[20]","previouslyFormattedCitation":"[20]"},"properties":{"noteIndex":0},"schema":"https://github.com/citation-style-language/schema/raw/master/csl-citation.json"}</w:instrText>
      </w:r>
      <w:r w:rsidR="00261587" w:rsidRPr="001C4D50">
        <w:rPr>
          <w:color w:val="2B579A"/>
          <w:shd w:val="clear" w:color="auto" w:fill="E6E6E6"/>
        </w:rPr>
        <w:fldChar w:fldCharType="separate"/>
      </w:r>
      <w:r w:rsidR="00137B42" w:rsidRPr="001C4D50">
        <w:rPr>
          <w:noProof/>
        </w:rPr>
        <w:t>[20]</w:t>
      </w:r>
      <w:r w:rsidR="00261587" w:rsidRPr="001C4D50">
        <w:rPr>
          <w:color w:val="2B579A"/>
          <w:shd w:val="clear" w:color="auto" w:fill="E6E6E6"/>
        </w:rPr>
        <w:fldChar w:fldCharType="end"/>
      </w:r>
      <w:r w:rsidR="00261587" w:rsidRPr="001C4D50">
        <w:t xml:space="preserve">. </w:t>
      </w:r>
    </w:p>
    <w:p w14:paraId="10F619C0" w14:textId="77777777" w:rsidR="00261587" w:rsidRPr="001C4D50" w:rsidRDefault="00261587" w:rsidP="00960366">
      <w:pPr>
        <w:rPr>
          <w:bCs/>
        </w:rPr>
      </w:pPr>
    </w:p>
    <w:p w14:paraId="4C469E56" w14:textId="744E5FA5" w:rsidR="00261587" w:rsidRPr="001C4D50" w:rsidRDefault="00261587" w:rsidP="00960366">
      <w:r w:rsidRPr="001C4D50">
        <w:t>ACI (including MACI</w:t>
      </w:r>
      <w:r w:rsidRPr="001C4D50">
        <w:rPr>
          <w:vertAlign w:val="superscript"/>
        </w:rPr>
        <w:t>TM</w:t>
      </w:r>
      <w:r w:rsidRPr="001C4D50">
        <w:t xml:space="preserve">) </w:t>
      </w:r>
      <w:r w:rsidR="00D03C21" w:rsidRPr="001C4D50">
        <w:t>is the</w:t>
      </w:r>
      <w:r w:rsidRPr="001C4D50">
        <w:t xml:space="preserve"> prefer</w:t>
      </w:r>
      <w:r w:rsidR="00D03C21" w:rsidRPr="001C4D50">
        <w:t>red</w:t>
      </w:r>
      <w:r w:rsidRPr="001C4D50">
        <w:t xml:space="preserve"> option for the treatment of chondral/osteochondral defects</w:t>
      </w:r>
      <w:r w:rsidR="00D03C21" w:rsidRPr="001C4D50">
        <w:t xml:space="preserve"> greater than 2cm</w:t>
      </w:r>
      <w:r w:rsidR="00D03C21" w:rsidRPr="001C4D50">
        <w:rPr>
          <w:rFonts w:cs="Times New Roman (Body CS)"/>
          <w:vertAlign w:val="superscript"/>
        </w:rPr>
        <w:t>2</w:t>
      </w:r>
      <w:r w:rsidRPr="001C4D50">
        <w:t xml:space="preserve">, particularly </w:t>
      </w:r>
      <w:r w:rsidR="006C67A9" w:rsidRPr="001C4D50">
        <w:t>if</w:t>
      </w:r>
      <w:r w:rsidRPr="001C4D50">
        <w:t xml:space="preserve"> those patients who are likely to benefit </w:t>
      </w:r>
      <w:r w:rsidR="006C67A9" w:rsidRPr="001C4D50">
        <w:t>can be selected for treatment</w:t>
      </w:r>
      <w:r w:rsidR="00F0104E" w:rsidRPr="001C4D50">
        <w:t xml:space="preserve"> </w:t>
      </w:r>
      <w:r w:rsidRPr="001C4D50">
        <w:rPr>
          <w:color w:val="2B579A"/>
          <w:shd w:val="clear" w:color="auto" w:fill="E6E6E6"/>
        </w:rPr>
        <w:fldChar w:fldCharType="begin" w:fldLock="1"/>
      </w:r>
      <w:r w:rsidR="00137B42" w:rsidRPr="001C4D50">
        <w:instrText>ADDIN CSL_CITATION {"citationItems":[{"id":"ITEM-1","itemData":{"DOI":"10.1177/1947603516650002","ISSN":"19476043","PMID":"28345413","abstract":"Objective: The study had 2 objectives: first, to evaluate the success of autologous chondrocyte implantation (ACI) in terms of incidence of surgical re-intervention, including arthroplasty, and investigate predictors of successful treatment outcome. The second objective was to derive a tool predicting a patient’s arthroplasty risk following ACI. Design: In this Level II, prognostic study, 170 ACI-treated patients (110 males [aged 36.8 ± 9.4 years]; 60 females [aged 38.1 ± 10.2 years]) completed a questionnaire about further surgery on their knee treated with ACI 10.9 ± 3.5 years previously. Factors commonly assessed preoperatively (age, gender, defect location and number, previous surgery at this site, and the preoperative Lysholm score) were used as independent factors in regression analyses. Results: At final follow-up (maximum of 19 years post-ACI), 40 patients (23.5%) had undergone surgical re-intervention following ACI. Twenty-six patients (15.3%) underwent arthroplasty, more commonly females (25%) than males (10%; P = 0.001). Cox regression analyses identified 4 factors associated with re-intervention: age at ACI, multiple operations before ACI, patellar defects, and lower pretreatment Lysholm scores (Nagelkerke’s R2 = 0.20). Six predictive items associated with risk of arthroplasty following ACI (Nagelkerke’s R2 = 0.34) were used to develop the Oswestry Risk of Knee Arthroplasty index with internal cross-validation. Conclusion: In a single-center study, we have identified 6 factors (age, gender, location and number of defects, number of previous operations, and Lysholm score before ACI) that appear to influence the likelihood of ACI patients progressing to arthroplasty. We have used this information to propose a formula or “tool” that could aid treatment decisions and improve patient selection for ACI.","author":[{"dropping-particle":"","family":"Dugard","given":"M. Naomi","non-dropping-particle":"","parse-names":false,"suffix":""},{"dropping-particle":"","family":"Kuiper","given":"Jan Herman","non-dropping-particle":"","parse-names":false,"suffix":""},{"dropping-particle":"","family":"Parker","given":"Jane","non-dropping-particle":"","parse-names":false,"suffix":""},{"dropping-particle":"","family":"Roberts","given":"Sally","non-dropping-particle":"","parse-names":false,"suffix":""},{"dropping-particle":"","family":"Robinson","given":"Eric","non-dropping-particle":"","parse-names":false,"suffix":""},{"dropping-particle":"","family":"Harrison","given":"Paul","non-dropping-particle":"","parse-names":false,"suffix":""},{"dropping-particle":"","family":"Richardson","given":"James B.","non-dropping-particle":"","parse-names":false,"suffix":""}],"container-title":"Cartilage","id":"ITEM-1","issue":"2","issued":{"date-parts":[["2017"]]},"page":"119-130","title":"Development of a Tool to Predict Outcome of Autologous Chondrocyte Implantation","type":"article-journal","volume":"8"},"uris":["http://www.mendeley.com/documents/?uuid=4d739fd5-7d9c-432d-871c-0483b3394ed7"]},{"id":"ITEM-2","itemData":{"ISSN":"14786362","author":[{"dropping-particle":"","family":"Hulme","given":"Charlotte H.","non-dropping-particle":"","parse-names":false,"suffix":""},{"dropping-particle":"","family":"Wilson","given":"Emma L.","non-dropping-particle":"","parse-names":false,"suffix":""},{"dropping-particle":"","family":"Fuller","given":"Heidi R.","non-dropping-particle":"","parse-names":false,"suffix":""},{"dropping-particle":"","family":"Roberts","given":"Sally","non-dropping-particle":"","parse-names":false,"suffix":""},{"dropping-particle":"","family":"Richardson","given":"James B.","non-dropping-particle":"","parse-names":false,"suffix":""},{"dropping-particle":"","family":"Gallacher","given":"Pete","non-dropping-particle":"","parse-names":false,"suffix":""},{"dropping-particle":"","family":"Peffers","given":"Mandy J.","non-dropping-particle":"","parse-names":false,"suffix":""},{"dropping-particle":"","family":"Shirran","given":"Sally L.","non-dropping-particle":"","parse-names":false,"suffix":""},{"dropping-particle":"","family":"Botting","given":"Catherine H.","non-dropping-particle":"","parse-names":false,"suffix":""},{"dropping-particle":"","family":"Wright","given":"Karina T.","non-dropping-particle":"","parse-names":false,"suffix":""}],"container-title":"Arthritis Research and Therapy","id":"ITEM-2","issue":"1","issued":{"date-parts":[["2018"]]},"page":"87","title":"Two independent proteomic approaches provide a comprehensive analysis of the synovial fluid proteome response to Autologous Chondrocyte Implantation","type":"article-journal","volume":"20"},"uris":["http://www.mendeley.com/documents/?uuid=2082c6ac-dd6d-3e80-a9db-35a1be59bcae"]}],"mendeley":{"formattedCitation":"[21,22]","plainTextFormattedCitation":"[21,22]","previouslyFormattedCitation":"[21,22]"},"properties":{"noteIndex":0},"schema":"https://github.com/citation-style-language/schema/raw/master/csl-citation.json"}</w:instrText>
      </w:r>
      <w:r w:rsidRPr="001C4D50">
        <w:rPr>
          <w:color w:val="2B579A"/>
          <w:shd w:val="clear" w:color="auto" w:fill="E6E6E6"/>
        </w:rPr>
        <w:fldChar w:fldCharType="separate"/>
      </w:r>
      <w:r w:rsidR="00137B42" w:rsidRPr="001C4D50">
        <w:rPr>
          <w:noProof/>
        </w:rPr>
        <w:t>[21,22]</w:t>
      </w:r>
      <w:r w:rsidRPr="001C4D50">
        <w:rPr>
          <w:color w:val="2B579A"/>
          <w:shd w:val="clear" w:color="auto" w:fill="E6E6E6"/>
        </w:rPr>
        <w:fldChar w:fldCharType="end"/>
      </w:r>
      <w:r w:rsidR="00960366" w:rsidRPr="001C4D50">
        <w:t>.</w:t>
      </w:r>
      <w:r w:rsidR="00074C3B" w:rsidRPr="001C4D50">
        <w:t xml:space="preserve"> </w:t>
      </w:r>
      <w:r w:rsidR="00960366" w:rsidRPr="001C4D50">
        <w:t>Howeve</w:t>
      </w:r>
      <w:r w:rsidRPr="001C4D50">
        <w:t xml:space="preserve">r, </w:t>
      </w:r>
      <w:r w:rsidR="00D03C21" w:rsidRPr="001C4D50">
        <w:t>it</w:t>
      </w:r>
      <w:r w:rsidRPr="001C4D50">
        <w:t xml:space="preserve"> is not without</w:t>
      </w:r>
      <w:r w:rsidR="00D03C21" w:rsidRPr="001C4D50">
        <w:t xml:space="preserve"> its </w:t>
      </w:r>
      <w:r w:rsidR="00960366" w:rsidRPr="001C4D50">
        <w:t xml:space="preserve">limitations. </w:t>
      </w:r>
      <w:r w:rsidR="00D03C21" w:rsidRPr="001C4D50">
        <w:t>Primarily, regulatory constraints</w:t>
      </w:r>
      <w:r w:rsidRPr="001C4D50">
        <w:t xml:space="preserve"> </w:t>
      </w:r>
      <w:r w:rsidR="0024633A" w:rsidRPr="001C4D50">
        <w:t>restrict</w:t>
      </w:r>
      <w:r w:rsidR="00D03C21" w:rsidRPr="001C4D50">
        <w:t xml:space="preserve"> the</w:t>
      </w:r>
      <w:r w:rsidRPr="001C4D50">
        <w:t xml:space="preserve"> number of hospitals that can currently provide this surgical option within the UK. </w:t>
      </w:r>
      <w:r w:rsidR="006C67A9" w:rsidRPr="001C4D50">
        <w:t>T</w:t>
      </w:r>
      <w:r w:rsidRPr="001C4D50">
        <w:t xml:space="preserve">he culture expansion of chondrocytes </w:t>
      </w:r>
      <w:r w:rsidR="00D03C21" w:rsidRPr="001C4D50">
        <w:t xml:space="preserve">for clinical use is expensive, highly regulated and </w:t>
      </w:r>
      <w:r w:rsidRPr="001C4D50">
        <w:t xml:space="preserve">requires a Good Manufacturing Practice (GMP) facility to be able to receive and </w:t>
      </w:r>
      <w:r w:rsidR="000D3C58" w:rsidRPr="001C4D50">
        <w:t>culture-</w:t>
      </w:r>
      <w:r w:rsidRPr="001C4D50">
        <w:t xml:space="preserve">expand the cells </w:t>
      </w:r>
      <w:r w:rsidR="000D3C58" w:rsidRPr="001C4D50">
        <w:t>for</w:t>
      </w:r>
      <w:r w:rsidR="00F0104E" w:rsidRPr="001C4D50">
        <w:t xml:space="preserve"> </w:t>
      </w:r>
      <w:r w:rsidR="00D03C21" w:rsidRPr="001C4D50">
        <w:t xml:space="preserve">a period of </w:t>
      </w:r>
      <w:r w:rsidR="000D3C58" w:rsidRPr="001C4D50">
        <w:t>3</w:t>
      </w:r>
      <w:r w:rsidRPr="001C4D50">
        <w:t>-6 weeks</w:t>
      </w:r>
      <w:r w:rsidR="00D03C21" w:rsidRPr="001C4D50">
        <w:t>. In the UK, manufacturers would require</w:t>
      </w:r>
      <w:r w:rsidR="006C67A9" w:rsidRPr="001C4D50">
        <w:t xml:space="preserve"> licenses from both the Human Tissue Authority and Medicines and Healthcare products Regulatory Authority (MHRA)</w:t>
      </w:r>
      <w:r w:rsidRPr="001C4D50">
        <w:t xml:space="preserve">. </w:t>
      </w:r>
      <w:r w:rsidR="00D03C21" w:rsidRPr="001C4D50">
        <w:t xml:space="preserve">Currently there are no UK based commercial manufacturers of expanded chondrocytes, with only </w:t>
      </w:r>
      <w:proofErr w:type="spellStart"/>
      <w:r w:rsidR="00962D7F" w:rsidRPr="001C4D50">
        <w:t>Co.Don</w:t>
      </w:r>
      <w:proofErr w:type="spellEnd"/>
      <w:r w:rsidR="00962D7F" w:rsidRPr="001C4D50">
        <w:t xml:space="preserve"> (from Berlin) operating here, providing </w:t>
      </w:r>
      <w:proofErr w:type="spellStart"/>
      <w:r w:rsidR="000D3C58" w:rsidRPr="001C4D50">
        <w:t>Chondrosphere</w:t>
      </w:r>
      <w:proofErr w:type="spellEnd"/>
      <w:r w:rsidR="000D3C58" w:rsidRPr="001C4D50">
        <w:t xml:space="preserve">™. </w:t>
      </w:r>
      <w:r w:rsidR="00962D7F" w:rsidRPr="001C4D50">
        <w:t xml:space="preserve">The challenging </w:t>
      </w:r>
      <w:r w:rsidRPr="001C4D50">
        <w:t>commercial</w:t>
      </w:r>
      <w:r w:rsidR="000D3C58" w:rsidRPr="001C4D50">
        <w:t xml:space="preserve"> </w:t>
      </w:r>
      <w:r w:rsidR="00962D7F" w:rsidRPr="001C4D50">
        <w:t xml:space="preserve">environment has consequently resulted in a number of </w:t>
      </w:r>
      <w:r w:rsidR="00074C3B" w:rsidRPr="001C4D50">
        <w:t>entities</w:t>
      </w:r>
      <w:r w:rsidR="00962D7F" w:rsidRPr="001C4D50">
        <w:t xml:space="preserve"> withdrawing from the market e.g. </w:t>
      </w:r>
      <w:proofErr w:type="spellStart"/>
      <w:r w:rsidR="00962D7F" w:rsidRPr="001C4D50">
        <w:t>Carticel</w:t>
      </w:r>
      <w:r w:rsidR="00962D7F" w:rsidRPr="001C4D50">
        <w:rPr>
          <w:vertAlign w:val="superscript"/>
        </w:rPr>
        <w:t>TM</w:t>
      </w:r>
      <w:proofErr w:type="spellEnd"/>
      <w:r w:rsidR="00962D7F" w:rsidRPr="001C4D50">
        <w:t xml:space="preserve"> (Genzyme, USA)</w:t>
      </w:r>
      <w:r w:rsidR="00962D7F" w:rsidRPr="001C4D50">
        <w:fldChar w:fldCharType="begin" w:fldLock="1"/>
      </w:r>
      <w:r w:rsidR="00186E54" w:rsidRPr="001C4D50">
        <w:instrText>ADDIN CSL_CITATION {"citationItems":[{"id":"ITEM-1","itemData":{"DOI":"10.2217/17460751.2.1.95","ISSN":"17460751","PMID":"17465780","abstract":"Finding solutions for patients with unmet needs is at the heart of Genzyme's innovative medical research. While small molecules and enzyme-replacement therapies have made significant strides in improving patients' quality of life and expectancy, the solutions to many conditions, such as heart disease or CNS diseases, rely on the capacity of the body to regenerate cells. Cell and gene therapy lend themselves well to providing solutions for these illnesses with no current cure, by harnessing the body's natural ability to heal. Promising research in these fields continues to evolve and constitutes a long-term investment in addressing serious unmet medical needs in various therapeutic areas. Over the past 15 years, Genzyme has established itself as a pioneer in shaping the research and commercial application of cell and gene therapy. Genzyme's first commercially available innovative cell therapies - Carticel and Epicel - have provided a solid foundation to move into new, cutting-edge areas. © 2007 Future Medicine Ltd.","author":[{"dropping-particle":"","family":"Bie","given":"Caroline","non-dropping-particle":"De","parse-names":false,"suffix":""}],"container-title":"Regenerative Medicine","id":"ITEM-1","issue":"1","issued":{"date-parts":[["2007"]]},"page":"95-97","title":"Genzyme: 15 years of cell and gene therapy research","type":"article-journal","volume":"2"},"uris":["http://www.mendeley.com/documents/?uuid=1c1410fc-d0bf-47e9-8d3a-9280d9e608ee"]}],"mendeley":{"formattedCitation":"[23]","plainTextFormattedCitation":"[23]","previouslyFormattedCitation":"[23]"},"properties":{"noteIndex":0},"schema":"https://github.com/citation-style-language/schema/raw/master/csl-citation.json"}</w:instrText>
      </w:r>
      <w:r w:rsidR="00962D7F" w:rsidRPr="001C4D50">
        <w:fldChar w:fldCharType="separate"/>
      </w:r>
      <w:r w:rsidR="00186E54" w:rsidRPr="001C4D50">
        <w:rPr>
          <w:noProof/>
        </w:rPr>
        <w:t>[23]</w:t>
      </w:r>
      <w:r w:rsidR="00962D7F" w:rsidRPr="001C4D50">
        <w:fldChar w:fldCharType="end"/>
      </w:r>
      <w:r w:rsidR="008A7CCA" w:rsidRPr="001C4D50">
        <w:t xml:space="preserve"> and</w:t>
      </w:r>
      <w:r w:rsidR="00962D7F" w:rsidRPr="001C4D50">
        <w:t xml:space="preserve"> </w:t>
      </w:r>
      <w:proofErr w:type="spellStart"/>
      <w:r w:rsidR="00962D7F" w:rsidRPr="001C4D50">
        <w:t>Chondroselect</w:t>
      </w:r>
      <w:proofErr w:type="spellEnd"/>
      <w:r w:rsidR="00962D7F" w:rsidRPr="001C4D50">
        <w:t xml:space="preserve"> (</w:t>
      </w:r>
      <w:proofErr w:type="spellStart"/>
      <w:r w:rsidR="00962D7F" w:rsidRPr="001C4D50">
        <w:t>Tigenix</w:t>
      </w:r>
      <w:proofErr w:type="spellEnd"/>
      <w:r w:rsidR="00962D7F" w:rsidRPr="001C4D50">
        <w:t>, Belgium)</w:t>
      </w:r>
      <w:r w:rsidRPr="001C4D50">
        <w:t xml:space="preserve">. </w:t>
      </w:r>
      <w:r w:rsidR="005F2C1A" w:rsidRPr="001C4D50">
        <w:t>The regulation and governance of cell therapy treatments (constituting an Advanced Therapeutic Medicinal Product (ATMP)) are greater than for other pharmaceutical products and can be considered a</w:t>
      </w:r>
      <w:r w:rsidR="00873130" w:rsidRPr="001C4D50">
        <w:t xml:space="preserve"> </w:t>
      </w:r>
      <w:r w:rsidR="005F2C1A" w:rsidRPr="001C4D50">
        <w:t>burden for both research and development into a commercial product</w:t>
      </w:r>
      <w:r w:rsidR="0024633A" w:rsidRPr="001C4D50">
        <w:t xml:space="preserve"> </w:t>
      </w:r>
      <w:r w:rsidRPr="001C4D50">
        <w:fldChar w:fldCharType="begin" w:fldLock="1"/>
      </w:r>
      <w:r w:rsidR="00137B42" w:rsidRPr="001C4D50">
        <w:instrText>ADDIN CSL_CITATION {"citationItems":[{"id":"ITEM-1","itemData":{"DOI":"10.1177/0162243917702720","ISBN":"0162243917702","ISSN":"15528251","abstract":"The field of regenerative medicine (RM) has considerable therapeutic promise that is proving difficult to realize. As a result, governments have supported the establishment of intermediary agencies to “accelerate” innovation. This article examines in detail one such agency, the United Kingdom’s Cell and Gene Therapy Catapult (CGTC). We describe CGTC’s role as an accelerator agency and its value narrative, which combines both “health and wealth.” Drawing on the notion of sociotechnical imaginaries, we unpack the tensions within this narrative and its instantiation as the CGTC cell therapy infrastructure is built and engages with other agencies, some of which have different priorities and roles to play within the RM field.","author":[{"dropping-particle":"","family":"Gardner","given":"John","non-dropping-particle":"","parse-names":false,"suffix":""},{"dropping-particle":"","family":"Webster","given":"Andrew","non-dropping-particle":"","parse-names":false,"suffix":""}],"container-title":"Science Technology and Human Values","id":"ITEM-1","issue":"5","issued":{"date-parts":[["2017"]]},"page":"925-946","title":"Accelerating Innovation in the Creation of Biovalue: The Cell and Gene Therapy Catapult","type":"article-journal","volume":"42"},"uris":["http://www.mendeley.com/documents/?uuid=ad22119b-7f2f-4cb5-8e87-ff1e2ebf094d"]}],"mendeley":{"formattedCitation":"[24]","plainTextFormattedCitation":"[24]","previouslyFormattedCitation":"[24]"},"properties":{"noteIndex":0},"schema":"https://github.com/citation-style-language/schema/raw/master/csl-citation.json"}</w:instrText>
      </w:r>
      <w:r w:rsidRPr="001C4D50">
        <w:fldChar w:fldCharType="separate"/>
      </w:r>
      <w:r w:rsidR="00137B42" w:rsidRPr="001C4D50">
        <w:rPr>
          <w:noProof/>
        </w:rPr>
        <w:t>[24]</w:t>
      </w:r>
      <w:r w:rsidRPr="001C4D50">
        <w:fldChar w:fldCharType="end"/>
      </w:r>
      <w:r w:rsidR="00137B42" w:rsidRPr="001C4D50">
        <w:t>.</w:t>
      </w:r>
      <w:r w:rsidR="005F2C1A" w:rsidRPr="001C4D50">
        <w:t xml:space="preserve"> </w:t>
      </w:r>
      <w:r w:rsidRPr="001C4D50">
        <w:t xml:space="preserve">Moreover, </w:t>
      </w:r>
      <w:r w:rsidR="02F26A47" w:rsidRPr="001C4D50">
        <w:t xml:space="preserve">running clinical trials with </w:t>
      </w:r>
      <w:r w:rsidR="02F26A47" w:rsidRPr="001C4D50">
        <w:rPr>
          <w:rFonts w:ascii="Calibri" w:eastAsia="Calibri" w:hAnsi="Calibri" w:cs="Calibri"/>
        </w:rPr>
        <w:t>ATMPs often pose</w:t>
      </w:r>
      <w:r w:rsidR="2A03FD57" w:rsidRPr="001C4D50">
        <w:rPr>
          <w:rFonts w:ascii="Calibri" w:eastAsia="Calibri" w:hAnsi="Calibri" w:cs="Calibri"/>
        </w:rPr>
        <w:t>s</w:t>
      </w:r>
      <w:r w:rsidR="02F26A47" w:rsidRPr="001C4D50">
        <w:rPr>
          <w:rFonts w:ascii="Calibri" w:eastAsia="Calibri" w:hAnsi="Calibri" w:cs="Calibri"/>
        </w:rPr>
        <w:t xml:space="preserve"> specific challenges to their design and conduct</w:t>
      </w:r>
      <w:r w:rsidR="00137B42" w:rsidRPr="001C4D50">
        <w:rPr>
          <w:rFonts w:ascii="Calibri" w:eastAsia="Calibri" w:hAnsi="Calibri" w:cs="Calibri"/>
        </w:rPr>
        <w:t xml:space="preserve"> </w:t>
      </w:r>
      <w:r w:rsidRPr="001C4D50">
        <w:rPr>
          <w:rFonts w:ascii="Calibri" w:eastAsia="Calibri" w:hAnsi="Calibri" w:cs="Calibri"/>
        </w:rPr>
        <w:fldChar w:fldCharType="begin" w:fldLock="1"/>
      </w:r>
      <w:r w:rsidR="004172C0" w:rsidRPr="001C4D50">
        <w:rPr>
          <w:rFonts w:ascii="Calibri" w:eastAsia="Calibri" w:hAnsi="Calibri" w:cs="Calibri"/>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approach.","author":[{"dropping-particle":"","family":"European Comission","given":"","non-dropping-particle":"","parse-names":false,"suffix":""}],"id":"ITEM-1","issue":"9","issued":{"date-parts":[["2019"]]},"page":"1689-1699","title":"Guidelines on Good Clinical Practice specific to Advanced Therapy Medicinal Products","type":"article-journal","volume":"53"},"uris":["http://www.mendeley.com/documents/?uuid=ed126eed-af0b-4b87-9904-118528586dbf"]}],"mendeley":{"formattedCitation":"[25]","plainTextFormattedCitation":"[25]","previouslyFormattedCitation":"[25]"},"properties":{"noteIndex":0},"schema":"https://github.com/citation-style-language/schema/raw/master/csl-citation.json"}</w:instrText>
      </w:r>
      <w:r w:rsidRPr="001C4D50">
        <w:rPr>
          <w:rFonts w:ascii="Calibri" w:eastAsia="Calibri" w:hAnsi="Calibri" w:cs="Calibri"/>
        </w:rPr>
        <w:fldChar w:fldCharType="separate"/>
      </w:r>
      <w:r w:rsidR="00137B42" w:rsidRPr="001C4D50">
        <w:rPr>
          <w:rFonts w:ascii="Calibri" w:eastAsia="Calibri" w:hAnsi="Calibri" w:cs="Calibri"/>
          <w:noProof/>
        </w:rPr>
        <w:t>[25]</w:t>
      </w:r>
      <w:r w:rsidRPr="001C4D50">
        <w:rPr>
          <w:rFonts w:ascii="Calibri" w:eastAsia="Calibri" w:hAnsi="Calibri" w:cs="Calibri"/>
        </w:rPr>
        <w:fldChar w:fldCharType="end"/>
      </w:r>
      <w:r w:rsidR="00137B42" w:rsidRPr="001C4D50">
        <w:rPr>
          <w:rFonts w:ascii="Calibri" w:eastAsia="Calibri" w:hAnsi="Calibri" w:cs="Calibri"/>
        </w:rPr>
        <w:t xml:space="preserve">. </w:t>
      </w:r>
      <w:r w:rsidR="061E98EC" w:rsidRPr="001C4D50">
        <w:t xml:space="preserve">In addition, when using an autologous product such as in ACI, </w:t>
      </w:r>
      <w:r w:rsidRPr="001C4D50">
        <w:t xml:space="preserve">the need for two surgical procedures </w:t>
      </w:r>
      <w:r w:rsidR="0060329D" w:rsidRPr="001C4D50">
        <w:t xml:space="preserve">is costly and logistically challenging. </w:t>
      </w:r>
      <w:r w:rsidR="00962D7F" w:rsidRPr="001C4D50">
        <w:t xml:space="preserve">The 2-stage process also exposes </w:t>
      </w:r>
      <w:r w:rsidRPr="001C4D50">
        <w:t xml:space="preserve">the </w:t>
      </w:r>
      <w:r w:rsidRPr="001C4D50">
        <w:lastRenderedPageBreak/>
        <w:t xml:space="preserve">patient </w:t>
      </w:r>
      <w:r w:rsidR="00A4544D" w:rsidRPr="001C4D50">
        <w:t xml:space="preserve">to increased clinical risk </w:t>
      </w:r>
      <w:r w:rsidRPr="001C4D50">
        <w:t>and requires a long period of post-surgical rehabilitation</w:t>
      </w:r>
      <w:r w:rsidR="00F0104E" w:rsidRPr="001C4D50">
        <w:t xml:space="preserve"> </w:t>
      </w:r>
      <w:r w:rsidRPr="001C4D50">
        <w:rPr>
          <w:color w:val="2B579A"/>
          <w:shd w:val="clear" w:color="auto" w:fill="E6E6E6"/>
        </w:rPr>
        <w:fldChar w:fldCharType="begin" w:fldLock="1"/>
      </w:r>
      <w:r w:rsidR="004172C0" w:rsidRPr="001C4D50">
        <w:instrText>ADDIN CSL_CITATION {"citationItems":[{"id":"ITEM-1","itemData":{"DOI":"10.1123/jsr.12.2.104","ISSN":"10566716","abstract":"Objective: To develop a postoperative rehabilitation protocol for patients receiving autologous-chondrocyte implantation (ACI) to repair articular-cartilage defects of the knee. Data Sources: A careful review of both basic science and clinical literature, personal communication with colleagues dealing with similar cases, and the authors' experience and expertise in rehabilitating numerous patients with knee pathologies, injuries, and trauma. Data Synthesis: Postoperative rehabilitation of the ACI patient plays a critical role in the outcome of the procedure. The goals are to improve function and reduce discomfort by focusing on 3 key elements: weight bearing, range of motion, and strengthening. Conclusions: The authors present 2 flexible postoperative protocols to rehabilitate patients after an ACI procedure to the knee.","author":[{"dropping-particle":"","family":"Bailey","given":"Andrea","non-dropping-particle":"","parse-names":false,"suffix":""},{"dropping-particle":"","family":"Goodstone","given":"Nicola","non-dropping-particle":"","parse-names":false,"suffix":""},{"dropping-particle":"","family":"Roberts","given":"Sharon","non-dropping-particle":"","parse-names":false,"suffix":""},{"dropping-particle":"","family":"Hughes","given":"Jane","non-dropping-particle":"","parse-names":false,"suffix":""},{"dropping-particle":"","family":"Roberts","given":"Simon","non-dropping-particle":"","parse-names":false,"suffix":""},{"dropping-particle":"","family":"Niekerk","given":"Louw","non-dropping-particle":"Van","parse-names":false,"suffix":""},{"dropping-particle":"","family":"Richardson","given":"James","non-dropping-particle":"","parse-names":false,"suffix":""},{"dropping-particle":"","family":"Rees","given":"Dai","non-dropping-particle":"","parse-names":false,"suffix":""}],"container-title":"Journal of Sport Rehabilitation","id":"ITEM-1","issue":"2","issued":{"date-parts":[["2003"]]},"page":"104-118","title":"Rehabilitation after oswestry autologous-chondrocyte implantation: The Oscell protocol","type":"article-journal","volume":"12"},"uris":["http://www.mendeley.com/documents/?uuid=65402d86-8573-430e-a3f8-1d1404708212"]}],"mendeley":{"formattedCitation":"[26]","plainTextFormattedCitation":"[26]","previouslyFormattedCitation":"[26]"},"properties":{"noteIndex":0},"schema":"https://github.com/citation-style-language/schema/raw/master/csl-citation.json"}</w:instrText>
      </w:r>
      <w:r w:rsidRPr="001C4D50">
        <w:rPr>
          <w:color w:val="2B579A"/>
          <w:shd w:val="clear" w:color="auto" w:fill="E6E6E6"/>
        </w:rPr>
        <w:fldChar w:fldCharType="separate"/>
      </w:r>
      <w:r w:rsidR="004172C0" w:rsidRPr="001C4D50">
        <w:rPr>
          <w:noProof/>
        </w:rPr>
        <w:t>[26]</w:t>
      </w:r>
      <w:r w:rsidRPr="001C4D50">
        <w:rPr>
          <w:color w:val="2B579A"/>
          <w:shd w:val="clear" w:color="auto" w:fill="E6E6E6"/>
        </w:rPr>
        <w:fldChar w:fldCharType="end"/>
      </w:r>
      <w:r w:rsidR="00EB75C0" w:rsidRPr="001C4D50">
        <w:t>.</w:t>
      </w:r>
      <w:r w:rsidRPr="001C4D50">
        <w:t xml:space="preserve"> Other considerations include donor site morbidity</w:t>
      </w:r>
      <w:r w:rsidR="06A2CB0E" w:rsidRPr="001C4D50">
        <w:t xml:space="preserve"> </w:t>
      </w:r>
      <w:r w:rsidRPr="001C4D50">
        <w:t xml:space="preserve">at the site of </w:t>
      </w:r>
      <w:r w:rsidR="0024633A" w:rsidRPr="001C4D50">
        <w:t xml:space="preserve">the </w:t>
      </w:r>
      <w:r w:rsidRPr="001C4D50">
        <w:t>cartilage harvest</w:t>
      </w:r>
      <w:r w:rsidR="00F0104E" w:rsidRPr="001C4D50">
        <w:t xml:space="preserve"> </w:t>
      </w:r>
      <w:r w:rsidRPr="001C4D50">
        <w:rPr>
          <w:color w:val="2B579A"/>
          <w:shd w:val="clear" w:color="auto" w:fill="E6E6E6"/>
        </w:rPr>
        <w:fldChar w:fldCharType="begin" w:fldLock="1"/>
      </w:r>
      <w:r w:rsidR="004172C0" w:rsidRPr="001C4D50">
        <w:instrText>ADDIN CSL_CITATION {"citationItems":[{"id":"ITEM-1","itemData":{"author":[{"dropping-particle":"","family":"Matricali","given":"GA","non-dropping-particle":"","parse-names":false,"suffix":""},{"dropping-particle":"","family":"Dereymaeker","given":"GPE","non-dropping-particle":"","parse-names":false,"suffix":""},{"dropping-particle":"","family":"Luyten","given":"FP","non-dropping-particle":"","parse-names":false,"suffix":""}],"container-title":"Acta Orthop Belg.","id":"ITEM-1","issue":"5","issued":{"date-parts":[["2010"]]},"page":"669-74","title":"Donor site morbidity after articular cartilage repair procedures: a review","type":"article-journal","volume":"76"},"uris":["http://www.mendeley.com/documents/?uuid=470f0943-fbad-4546-b5e1-4aadbcc3ac16"]}],"mendeley":{"formattedCitation":"[27]","plainTextFormattedCitation":"[27]","previouslyFormattedCitation":"[27]"},"properties":{"noteIndex":0},"schema":"https://github.com/citation-style-language/schema/raw/master/csl-citation.json"}</w:instrText>
      </w:r>
      <w:r w:rsidRPr="001C4D50">
        <w:rPr>
          <w:color w:val="2B579A"/>
          <w:shd w:val="clear" w:color="auto" w:fill="E6E6E6"/>
        </w:rPr>
        <w:fldChar w:fldCharType="separate"/>
      </w:r>
      <w:r w:rsidR="004172C0" w:rsidRPr="001C4D50">
        <w:rPr>
          <w:noProof/>
        </w:rPr>
        <w:t>[27]</w:t>
      </w:r>
      <w:r w:rsidRPr="001C4D50">
        <w:rPr>
          <w:color w:val="2B579A"/>
          <w:shd w:val="clear" w:color="auto" w:fill="E6E6E6"/>
        </w:rPr>
        <w:fldChar w:fldCharType="end"/>
      </w:r>
      <w:r w:rsidR="00783088" w:rsidRPr="001C4D50">
        <w:t xml:space="preserve">, </w:t>
      </w:r>
      <w:r w:rsidR="005F2C1A" w:rsidRPr="001C4D50">
        <w:t>a</w:t>
      </w:r>
      <w:r w:rsidRPr="001C4D50">
        <w:t xml:space="preserve">lthough </w:t>
      </w:r>
      <w:r w:rsidR="00047C4D" w:rsidRPr="001C4D50">
        <w:t>some authors</w:t>
      </w:r>
      <w:r w:rsidR="00A4544D" w:rsidRPr="001C4D50">
        <w:t xml:space="preserve"> </w:t>
      </w:r>
      <w:r w:rsidRPr="001C4D50">
        <w:t xml:space="preserve">suggest </w:t>
      </w:r>
      <w:r w:rsidR="00A4544D" w:rsidRPr="001C4D50">
        <w:t xml:space="preserve">that </w:t>
      </w:r>
      <w:r w:rsidR="00A53497" w:rsidRPr="001C4D50">
        <w:t>this can heal naturally</w:t>
      </w:r>
      <w:r w:rsidR="004172C0" w:rsidRPr="001C4D50">
        <w:t xml:space="preserve"> </w:t>
      </w:r>
      <w:r w:rsidRPr="001C4D50">
        <w:fldChar w:fldCharType="begin" w:fldLock="1"/>
      </w:r>
      <w:r w:rsidR="004606A0" w:rsidRPr="001C4D50">
        <w:instrText>ADDIN CSL_CITATION {"citationItems":[{"id":"ITEM-1","itemData":{"DOI":"10.3390/biom11010092","ISSN":"2218273X","PMID":"33450893","abstract":"Articular cartilage is considered to have limited regenerative capacity, which has led to the search for therapies to limit or halt the progression of its destruction. Perlecan, a multifunctional heparan sulphate (HS) proteoglycan, promotes embryonic cartilage development and stabilises the mature tissue. We investigated the immunolocalisation of perlecan and collagen between donor-matched biopsies of human articular cartilage defects (n = 10 × 2) that were repaired either naturally or using autologous cell therapy, and with age-matched normal cartilage. We explored how the removal of HS from perlecan affects human chondrocytes in vitro. Immunohistochemistry showed both a pericellular and diffuse matrix staining pattern for perlecan in both natural and cell therapy repaired cartilage, which related to whether the morphology of the newly formed tissue was hyaline cartilage or fibrocartilage. Immunostaining for perlecan was significantly greater in both these repair tissues compared to normal age-matched controls. The immunolocalisation of collagens type III and VI was also dependent on tissue morphology. Heparanase treatment of chondrocytes in vitro resulted in significantly increased proliferation, while the expression of key chondrogenic surface and genetic markers was unaffected. Perlecan was more prominent in chondrocyte clusters than in individual cells after heparanase treatment. Heparanase treatment could be a means of increasing chondrocyte responsiveness to cartilage injury and perhaps to improve repair of defects.","author":[{"dropping-particle":"","family":"Garcia","given":"John","non-dropping-particle":"","parse-names":false,"suffix":""},{"dropping-particle":"","family":"McCarthy","given":"Helen S.","non-dropping-particle":"","parse-names":false,"suffix":""},{"dropping-particle":"","family":"Kuiper","given":"Jan Herman","non-dropping-particle":"","parse-names":false,"suffix":""},{"dropping-particle":"","family":"Melrose","given":"James","non-dropping-particle":"","parse-names":false,"suffix":""},{"dropping-particle":"","family":"Roberts","given":"Sally","non-dropping-particle":"","parse-names":false,"suffix":""}],"container-title":"Biomolecules","id":"ITEM-1","issue":"1","issued":{"date-parts":[["2021"]]},"page":"1-21","title":"Perlecan in the natural and cell therapy repair of human adult articular cartilage: Can modifications in this proteoglycan be a novel therapeutic approach?","type":"article-journal","volume":"11"},"uris":["http://www.mendeley.com/documents/?uuid=2d9ebece-8c68-4d24-b335-38a30144e8d2"]}],"mendeley":{"formattedCitation":"[28]","plainTextFormattedCitation":"[28]","previouslyFormattedCitation":"[28]"},"properties":{"noteIndex":0},"schema":"https://github.com/citation-style-language/schema/raw/master/csl-citation.json"}</w:instrText>
      </w:r>
      <w:r w:rsidRPr="001C4D50">
        <w:fldChar w:fldCharType="separate"/>
      </w:r>
      <w:r w:rsidR="004172C0" w:rsidRPr="001C4D50">
        <w:rPr>
          <w:noProof/>
        </w:rPr>
        <w:t>[28]</w:t>
      </w:r>
      <w:r w:rsidRPr="001C4D50">
        <w:fldChar w:fldCharType="end"/>
      </w:r>
      <w:r w:rsidR="00A53497" w:rsidRPr="001C4D50">
        <w:t xml:space="preserve"> </w:t>
      </w:r>
      <w:r w:rsidR="00A4544D" w:rsidRPr="001C4D50">
        <w:t xml:space="preserve">with </w:t>
      </w:r>
      <w:r w:rsidRPr="001C4D50">
        <w:t xml:space="preserve">no morbidity </w:t>
      </w:r>
      <w:r w:rsidR="0016746C" w:rsidRPr="001C4D50">
        <w:t xml:space="preserve">after 12 months </w:t>
      </w:r>
      <w:r w:rsidRPr="001C4D50">
        <w:t>if taken from the medial or central trochlea</w:t>
      </w:r>
      <w:r w:rsidR="00F0104E" w:rsidRPr="001C4D50">
        <w:t xml:space="preserve"> </w:t>
      </w:r>
      <w:r w:rsidRPr="001C4D50">
        <w:rPr>
          <w:color w:val="2B579A"/>
          <w:shd w:val="clear" w:color="auto" w:fill="E6E6E6"/>
        </w:rPr>
        <w:fldChar w:fldCharType="begin" w:fldLock="1"/>
      </w:r>
      <w:r w:rsidR="004606A0" w:rsidRPr="001C4D50">
        <w:instrText>ADDIN CSL_CITATION {"citationItems":[{"id":"ITEM-1","itemData":{"DOI":"10.1177/1947603515607963","ISBN":"1947603515","author":[{"dropping-particle":"","family":"Mccarthy","given":"Helen S","non-dropping-particle":"","parse-names":false,"suffix":""},{"dropping-particle":"","family":"Richardson","given":"James B","non-dropping-particle":"","parse-names":false,"suffix":""},{"dropping-particle":"","family":"Parker","given":"Jane C E","non-dropping-particle":"","parse-names":false,"suffix":""},{"dropping-particle":"","family":"Roberts","given":"Sally","non-dropping-particle":"","parse-names":false,"suffix":""}],"container-title":"Cartilage","id":"ITEM-1","issue":"1","issued":{"date-parts":[["2016"]]},"page":"7-15","title":"Evaluating Joint Morbidity after Chondral Harvest for Autologous Chondrocyte Implantation ( ACI ): A Study of ACI-Treated Ankles and Hips with a Knee Chondral Harvest","type":"article-journal","volume":"7"},"uris":["http://www.mendeley.com/documents/?uuid=6bc2bfad-3ea4-423f-9696-ded40a5e5949"]}],"mendeley":{"formattedCitation":"[29]","plainTextFormattedCitation":"[29]","previouslyFormattedCitation":"[29]"},"properties":{"noteIndex":0},"schema":"https://github.com/citation-style-language/schema/raw/master/csl-citation.json"}</w:instrText>
      </w:r>
      <w:r w:rsidRPr="001C4D50">
        <w:rPr>
          <w:color w:val="2B579A"/>
          <w:shd w:val="clear" w:color="auto" w:fill="E6E6E6"/>
        </w:rPr>
        <w:fldChar w:fldCharType="separate"/>
      </w:r>
      <w:r w:rsidR="004172C0" w:rsidRPr="001C4D50">
        <w:rPr>
          <w:noProof/>
        </w:rPr>
        <w:t>[29]</w:t>
      </w:r>
      <w:r w:rsidRPr="001C4D50">
        <w:rPr>
          <w:color w:val="2B579A"/>
          <w:shd w:val="clear" w:color="auto" w:fill="E6E6E6"/>
        </w:rPr>
        <w:fldChar w:fldCharType="end"/>
      </w:r>
      <w:r w:rsidRPr="001C4D50">
        <w:t xml:space="preserve">. Although </w:t>
      </w:r>
      <w:r w:rsidR="00A53497" w:rsidRPr="001C4D50">
        <w:t>ACI</w:t>
      </w:r>
      <w:r w:rsidRPr="001C4D50">
        <w:t xml:space="preserve"> has been demonstrated as a viable option in terms of cost-benefit analysis</w:t>
      </w:r>
      <w:r w:rsidR="00F0104E" w:rsidRPr="001C4D50">
        <w:t xml:space="preserve"> </w:t>
      </w:r>
      <w:r w:rsidRPr="001C4D50">
        <w:rPr>
          <w:color w:val="2B579A"/>
          <w:shd w:val="clear" w:color="auto" w:fill="E6E6E6"/>
        </w:rPr>
        <w:fldChar w:fldCharType="begin" w:fldLock="1"/>
      </w:r>
      <w:r w:rsidR="00137B42" w:rsidRPr="001C4D50">
        <w:instrText>ADDIN CSL_CITATION {"citationItems":[{"id":"ITEM-1","itemData":{"author":[{"dropping-particle":"","family":"Mistry","given":"H","non-dropping-particle":"","parse-names":false,"suffix":""},{"dropping-particle":"","family":"Connock","given":"M","non-dropping-particle":"","parse-names":false,"suffix":""},{"dropping-particle":"","family":"Pink","given":"J","non-dropping-particle":"","parse-names":false,"suffix":""},{"dropping-particle":"","family":"Shyangdan","given":"D","non-dropping-particle":"","parse-names":false,"suffix":""},{"dropping-particle":"","family":"Clar","given":"C","non-dropping-particle":"","parse-names":false,"suffix":""},{"dropping-particle":"","family":"Royle","given":"P","non-dropping-particle":"","parse-names":false,"suffix":""},{"dropping-particle":"","family":"Court","given":"R","non-dropping-particle":"","parse-names":false,"suffix":""},{"dropping-particle":"","family":"Biant","given":"LC","non-dropping-particle":"","parse-names":false,"suffix":""},{"dropping-particle":"","family":"Metcalfe","given":"A","non-dropping-particle":"","parse-names":false,"suffix":""},{"dropping-particle":"","family":"Waugh","given":"N","non-dropping-particle":"","parse-names":false,"suffix":""}],"container-title":"Health Technol Assess.","id":"ITEM-1","issue":"6","issued":{"date-parts":[["2017"]]},"page":"1-294","title":"Autologous chondrocyte implantation in the knee: systematic review and economic evaluation","type":"article-journal","volume":"21"},"uris":["http://www.mendeley.com/documents/?uuid=88777670-ca14-44d8-a909-45580531e8d9"]},{"id":"ITEM-2","itemData":{"author":[{"dropping-particle":"","family":"Armoiry","given":"X","non-dropping-particle":"","parse-names":false,"suffix":""},{"dropping-particle":"","family":"Cummins","given":"E","non-dropping-particle":"","parse-names":false,"suffix":""},{"dropping-particle":"","family":"Connock","given":"M","non-dropping-particle":"","parse-names":false,"suffix":""},{"dropping-particle":"","family":"Metcalfe","given":"A","non-dropping-particle":"","parse-names":false,"suffix":""},{"dropping-particle":"","family":"Royle","given":"P","non-dropping-particle":"","parse-names":false,"suffix":""},{"dropping-particle":"","family":"Johnston","given":"R","non-dropping-particle":"","parse-names":false,"suffix":""},{"dropping-particle":"","family":"Rodrigues","given":"J","non-dropping-particle":"","parse-names":false,"suffix":""},{"dropping-particle":"","family":"Waugh","given":"N","non-dropping-particle":"","parse-names":false,"suffix":""},{"dropping-particle":"","family":"Mistry","given":"H","non-dropping-particle":"","parse-names":false,"suffix":""}],"container-title":"PharmacoEconomics","id":"ITEM-2","issued":{"date-parts":[["2019"]]},"page":"879-886","title":"Autologous Chondrocyte Implantation with Chondrosphere for Treating Articular Cartilage Defects in the Knee: An Evidence Review Group Perspective of a NICE Single Technology Appraisal","type":"article-journal","volume":"37"},"uris":["http://www.mendeley.com/documents/?uuid=b29a4062-57c6-43b5-ab0e-a0bad729fe09"]}],"mendeley":{"formattedCitation":"[17,20]","plainTextFormattedCitation":"[17,20]","previouslyFormattedCitation":"[17,20]"},"properties":{"noteIndex":0},"schema":"https://github.com/citation-style-language/schema/raw/master/csl-citation.json"}</w:instrText>
      </w:r>
      <w:r w:rsidRPr="001C4D50">
        <w:rPr>
          <w:color w:val="2B579A"/>
          <w:shd w:val="clear" w:color="auto" w:fill="E6E6E6"/>
        </w:rPr>
        <w:fldChar w:fldCharType="separate"/>
      </w:r>
      <w:r w:rsidR="00137B42" w:rsidRPr="001C4D50">
        <w:rPr>
          <w:noProof/>
        </w:rPr>
        <w:t>[17,20]</w:t>
      </w:r>
      <w:r w:rsidRPr="001C4D50">
        <w:rPr>
          <w:color w:val="2B579A"/>
          <w:shd w:val="clear" w:color="auto" w:fill="E6E6E6"/>
        </w:rPr>
        <w:fldChar w:fldCharType="end"/>
      </w:r>
      <w:r w:rsidRPr="001C4D50">
        <w:t xml:space="preserve">, </w:t>
      </w:r>
      <w:r w:rsidR="00A4544D" w:rsidRPr="001C4D50">
        <w:t xml:space="preserve">a single stage </w:t>
      </w:r>
      <w:r w:rsidRPr="001C4D50">
        <w:t>allogeneic c</w:t>
      </w:r>
      <w:r w:rsidR="0016746C" w:rsidRPr="001C4D50">
        <w:t>ell</w:t>
      </w:r>
      <w:r w:rsidRPr="001C4D50">
        <w:t xml:space="preserve"> therap</w:t>
      </w:r>
      <w:r w:rsidR="00A4544D" w:rsidRPr="001C4D50">
        <w:t xml:space="preserve">y with </w:t>
      </w:r>
      <w:r w:rsidRPr="001C4D50">
        <w:t xml:space="preserve">large-scale </w:t>
      </w:r>
      <w:r w:rsidR="00A4544D" w:rsidRPr="001C4D50">
        <w:t xml:space="preserve">cell manufacture </w:t>
      </w:r>
      <w:r w:rsidRPr="001C4D50">
        <w:t xml:space="preserve">from donors </w:t>
      </w:r>
      <w:r w:rsidR="00A4544D" w:rsidRPr="001C4D50">
        <w:t>potentially has both clinical and economic advantages</w:t>
      </w:r>
      <w:r w:rsidRPr="001C4D50">
        <w:t>.</w:t>
      </w:r>
    </w:p>
    <w:p w14:paraId="3EC1A44F" w14:textId="77777777" w:rsidR="00261587" w:rsidRPr="001C4D50" w:rsidRDefault="00261587" w:rsidP="00960366">
      <w:pPr>
        <w:rPr>
          <w:bCs/>
        </w:rPr>
      </w:pPr>
    </w:p>
    <w:p w14:paraId="311ECB00" w14:textId="223BB477" w:rsidR="007E70D4" w:rsidRPr="001C4D50" w:rsidRDefault="007E70D4" w:rsidP="00960366">
      <w:pPr>
        <w:rPr>
          <w:b/>
          <w:u w:val="single"/>
        </w:rPr>
      </w:pPr>
      <w:r w:rsidRPr="001C4D50">
        <w:rPr>
          <w:b/>
          <w:bCs/>
          <w:u w:val="single"/>
        </w:rPr>
        <w:t xml:space="preserve">Clinical trials </w:t>
      </w:r>
      <w:r w:rsidR="007A5241" w:rsidRPr="001C4D50">
        <w:rPr>
          <w:b/>
          <w:bCs/>
          <w:u w:val="single"/>
        </w:rPr>
        <w:t>of</w:t>
      </w:r>
      <w:r w:rsidR="0008091C" w:rsidRPr="001C4D50">
        <w:rPr>
          <w:b/>
          <w:bCs/>
          <w:u w:val="single"/>
        </w:rPr>
        <w:t xml:space="preserve"> </w:t>
      </w:r>
      <w:r w:rsidRPr="001C4D50">
        <w:rPr>
          <w:b/>
          <w:u w:val="single"/>
        </w:rPr>
        <w:t>Chondrocytes</w:t>
      </w:r>
    </w:p>
    <w:p w14:paraId="1B05D814" w14:textId="77777777" w:rsidR="00873130" w:rsidRPr="001C4D50" w:rsidRDefault="00873130" w:rsidP="00960366">
      <w:pPr>
        <w:rPr>
          <w:b/>
          <w:u w:val="single"/>
        </w:rPr>
      </w:pPr>
    </w:p>
    <w:p w14:paraId="3A7668A0" w14:textId="1D50A2F7" w:rsidR="00207344" w:rsidRPr="001C4D50" w:rsidRDefault="007A5241" w:rsidP="00960366">
      <w:pPr>
        <w:widowControl w:val="0"/>
        <w:autoSpaceDE w:val="0"/>
        <w:autoSpaceDN w:val="0"/>
        <w:adjustRightInd w:val="0"/>
      </w:pPr>
      <w:r w:rsidRPr="001C4D50">
        <w:t xml:space="preserve">The </w:t>
      </w:r>
      <w:r w:rsidR="007578D6" w:rsidRPr="001C4D50">
        <w:t xml:space="preserve">level I and II clinical </w:t>
      </w:r>
      <w:r w:rsidRPr="001C4D50">
        <w:t xml:space="preserve">evidence </w:t>
      </w:r>
      <w:r w:rsidR="007578D6" w:rsidRPr="001C4D50">
        <w:t>for</w:t>
      </w:r>
      <w:r w:rsidRPr="001C4D50">
        <w:t xml:space="preserve"> </w:t>
      </w:r>
      <w:r w:rsidR="00207344" w:rsidRPr="001C4D50">
        <w:t>ACI</w:t>
      </w:r>
      <w:r w:rsidRPr="001C4D50">
        <w:t xml:space="preserve"> </w:t>
      </w:r>
      <w:r w:rsidR="00F93657" w:rsidRPr="001C4D50">
        <w:t>in the treatment of cartilage lesions in the knee is summarised in Table I.</w:t>
      </w:r>
      <w:r w:rsidR="0024633A" w:rsidRPr="001C4D50">
        <w:t xml:space="preserve"> </w:t>
      </w:r>
      <w:r w:rsidR="00207344" w:rsidRPr="001C4D50">
        <w:t xml:space="preserve">The </w:t>
      </w:r>
      <w:proofErr w:type="spellStart"/>
      <w:r w:rsidR="00207344" w:rsidRPr="001C4D50">
        <w:t>S</w:t>
      </w:r>
      <w:r w:rsidR="00A53497" w:rsidRPr="001C4D50">
        <w:t>U</w:t>
      </w:r>
      <w:r w:rsidR="00207344" w:rsidRPr="001C4D50">
        <w:t>periority</w:t>
      </w:r>
      <w:proofErr w:type="spellEnd"/>
      <w:r w:rsidR="00207344" w:rsidRPr="001C4D50">
        <w:t xml:space="preserve"> of Matrix-induced autologous chondrocyte implant</w:t>
      </w:r>
      <w:r w:rsidR="0024633A" w:rsidRPr="001C4D50">
        <w:t>ation</w:t>
      </w:r>
      <w:r w:rsidR="00207344" w:rsidRPr="001C4D50">
        <w:t xml:space="preserve"> versus </w:t>
      </w:r>
      <w:proofErr w:type="spellStart"/>
      <w:r w:rsidR="00207344" w:rsidRPr="001C4D50">
        <w:t>M</w:t>
      </w:r>
      <w:r w:rsidR="00A53497" w:rsidRPr="001C4D50">
        <w:t>I</w:t>
      </w:r>
      <w:r w:rsidR="00207344" w:rsidRPr="001C4D50">
        <w:t>crofracture</w:t>
      </w:r>
      <w:proofErr w:type="spellEnd"/>
      <w:r w:rsidR="00207344" w:rsidRPr="001C4D50">
        <w:t xml:space="preserve"> for Treatment of symptomatic articular cartilage defects (SUMMIT) trial (</w:t>
      </w:r>
      <w:hyperlink r:id="rId12" w:history="1">
        <w:r w:rsidR="005926F4" w:rsidRPr="001C4D50">
          <w:rPr>
            <w:rStyle w:val="Hyperlink"/>
          </w:rPr>
          <w:t>http://clinicaltrials.gov</w:t>
        </w:r>
      </w:hyperlink>
      <w:r w:rsidR="00207344" w:rsidRPr="001C4D50">
        <w:t>: NCT00719576</w:t>
      </w:r>
      <w:proofErr w:type="gramStart"/>
      <w:r w:rsidR="00207344" w:rsidRPr="001C4D50">
        <w:t>),</w:t>
      </w:r>
      <w:proofErr w:type="gramEnd"/>
      <w:r w:rsidR="00207344" w:rsidRPr="001C4D50">
        <w:t xml:space="preserve"> compared MACI</w:t>
      </w:r>
      <w:r w:rsidR="5A54EB84" w:rsidRPr="001C4D50">
        <w:rPr>
          <w:vertAlign w:val="superscript"/>
        </w:rPr>
        <w:t>TM</w:t>
      </w:r>
      <w:r w:rsidR="00207344" w:rsidRPr="001C4D50">
        <w:t xml:space="preserve"> against microfracture</w:t>
      </w:r>
      <w:r w:rsidR="00F93657" w:rsidRPr="001C4D50">
        <w:t>. Superior</w:t>
      </w:r>
      <w:r w:rsidR="00207344" w:rsidRPr="001C4D50">
        <w:t xml:space="preserve"> improvements </w:t>
      </w:r>
      <w:r w:rsidR="00F93657" w:rsidRPr="001C4D50">
        <w:t xml:space="preserve">were found </w:t>
      </w:r>
      <w:r w:rsidR="00207344" w:rsidRPr="001C4D50">
        <w:t xml:space="preserve">in the </w:t>
      </w:r>
      <w:r w:rsidR="00A53497" w:rsidRPr="001C4D50">
        <w:t>K</w:t>
      </w:r>
      <w:r w:rsidR="00207344" w:rsidRPr="001C4D50">
        <w:t xml:space="preserve">nee injury and </w:t>
      </w:r>
      <w:r w:rsidR="00A53497" w:rsidRPr="001C4D50">
        <w:t>O</w:t>
      </w:r>
      <w:r w:rsidR="00207344" w:rsidRPr="001C4D50">
        <w:t xml:space="preserve">steoarthritis </w:t>
      </w:r>
      <w:r w:rsidR="00A53497" w:rsidRPr="001C4D50">
        <w:t>O</w:t>
      </w:r>
      <w:r w:rsidR="00207344" w:rsidRPr="001C4D50">
        <w:t xml:space="preserve">utcome </w:t>
      </w:r>
      <w:r w:rsidR="00A53497" w:rsidRPr="001C4D50">
        <w:t>S</w:t>
      </w:r>
      <w:r w:rsidR="00207344" w:rsidRPr="001C4D50">
        <w:t xml:space="preserve">core (KOOS) </w:t>
      </w:r>
      <w:r w:rsidR="00F93657" w:rsidRPr="001C4D50">
        <w:t>for</w:t>
      </w:r>
      <w:r w:rsidR="00207344" w:rsidRPr="001C4D50">
        <w:t xml:space="preserve"> the MACI group at 5 year follow-u</w:t>
      </w:r>
      <w:r w:rsidR="00403F4C" w:rsidRPr="001C4D50">
        <w:t>p</w:t>
      </w:r>
      <w:r w:rsidR="00F0104E" w:rsidRPr="001C4D50">
        <w:t xml:space="preserve"> </w:t>
      </w:r>
      <w:r w:rsidRPr="001C4D50">
        <w:rPr>
          <w:color w:val="2B579A"/>
        </w:rPr>
        <w:fldChar w:fldCharType="begin" w:fldLock="1"/>
      </w:r>
      <w:r w:rsidRPr="001C4D50">
        <w:instrText>ADDIN CSL_CITATION {"citationItems":[{"id":"ITEM-1","itemData":{"DOI":"10.1177/0363546518756976","ISSN":"15523365","PMID":"29565642","abstract":"Background: Matrix-based cell therapy improves surgical handling, increases patient comfort, and allows for expanded indications with better reliability within the knee joint. Five-year efficacy and safety of autologous cultured chondrocytes on porcine collagen membrane (MACI) versus microfracture for treating cartilage defects have not yet been reported from any randomized controlled clinical trial. Purpose: To examine the clinical efficacy and safety results at 5 years after treatment with MACI and compare these with the efficacy and safety of microfracture treatment for symptomatic cartilage defects of the knee. Study Design: Randomized controlled trial; Level of evidence, 1. Methods: This article describes the 5-year follow-up of the SUMMIT (Superiority of MACI Implant Versus Microfracture Treatment) clinical trial conducted at 14 study sites in Europe. All 144 patients who participated in SUMMIT were eligible to enroll; analyses of the 5-year data were performed with data from patients who signed informed consent and continued in the Extension study. Results: Of the 144 patients randomized in the SUMMIT trial, 128 signed informed consent and continued observation in the Extension study: 65 MACI (90.3%) and 63 microfracture (87.5%). The improvements in Knee injury and Osteoarthritis Outcome Score (KOOS) Pain and Function domains previously described were maintained over the 5-year follow-up. Five years after treatment, the improvement in MACI over microfracture in the co-primary endpoint of KOOS pain and function was maintained and was clinically and statistically significant (P =.022). Improvements in activities of daily living remained statistically significantly better (P =.007) in MACI patients, with quality of life and other symptoms remaining numerically higher in MACI patients but losing statistical significance relative to the results of the SUMMIT 2-year analysis. Magnetic resonance imaging (MRI) evaluation of structural repair was performed in 120 patients at year 5. As in the 2-year SUMMIT (MACI00206) results, the MRI evaluation showed improvement in defect filling for both treatments; however, no statistically significant differences were noted between treatment groups. Conclusion: Symptomatic cartilage knee defects 3 cm2 or larger treated with MACI were clinically and statistically significantly improved at 5 years compared with microfracture treatment. No remarkable adverse events or safety issues were noted in this heterogeneous patie…","author":[{"dropping-particle":"","family":"Brittberg","given":"Mats","non-dropping-particle":"","parse-names":false,"suffix":""},{"dropping-particle":"","family":"Recker","given":"David","non-dropping-particle":"","parse-names":false,"suffix":""},{"dropping-particle":"","family":"Ilgenfritz","given":"John","non-dropping-particle":"","parse-names":false,"suffix":""},{"dropping-particle":"","family":"Saris","given":"Daniel B.F.","non-dropping-particle":"","parse-names":false,"suffix":""}],"container-title":"American Journal of Sports Medicine","id":"ITEM-1","issue":"6","issued":{"date-parts":[["2018"]]},"page":"1343-1351","title":"Matrix-Applied Characterized Autologous Cultured Chondrocytes Versus Microfracture: Five-Year Follow-up of a Prospective Randomized Trial","type":"article-journal","volume":"46"},"uris":["http://www.mendeley.com/documents/?uuid=71440309-611a-4d47-be7a-fecea32ccc0b"]}],"mendeley":{"formattedCitation":"[30]","plainTextFormattedCitation":"[30]","previouslyFormattedCitation":"[30]"},"properties":{"noteIndex":0},"schema":"https://github.com/citation-style-language/schema/raw/master/csl-citation.json"}</w:instrText>
      </w:r>
      <w:r w:rsidRPr="001C4D50">
        <w:rPr>
          <w:color w:val="2B579A"/>
        </w:rPr>
        <w:fldChar w:fldCharType="separate"/>
      </w:r>
      <w:r w:rsidR="004172C0" w:rsidRPr="001C4D50">
        <w:rPr>
          <w:noProof/>
        </w:rPr>
        <w:t>[30]</w:t>
      </w:r>
      <w:r w:rsidRPr="001C4D50">
        <w:rPr>
          <w:color w:val="2B579A"/>
        </w:rPr>
        <w:fldChar w:fldCharType="end"/>
      </w:r>
      <w:r w:rsidR="00207344" w:rsidRPr="001C4D50">
        <w:t xml:space="preserve">. The </w:t>
      </w:r>
      <w:r w:rsidR="00F93657" w:rsidRPr="001C4D50">
        <w:t>TIG/ACT (</w:t>
      </w:r>
      <w:proofErr w:type="spellStart"/>
      <w:r w:rsidR="00207344" w:rsidRPr="001C4D50">
        <w:t>TiGenix</w:t>
      </w:r>
      <w:proofErr w:type="spellEnd"/>
      <w:r w:rsidR="00F93657" w:rsidRPr="001C4D50">
        <w:t>)</w:t>
      </w:r>
      <w:r w:rsidR="00207344" w:rsidRPr="001C4D50">
        <w:t xml:space="preserve"> trial (</w:t>
      </w:r>
      <w:hyperlink r:id="rId13" w:history="1">
        <w:r w:rsidR="005926F4" w:rsidRPr="001C4D50">
          <w:rPr>
            <w:rStyle w:val="Hyperlink"/>
          </w:rPr>
          <w:t>http://clinicaltrials.gov</w:t>
        </w:r>
      </w:hyperlink>
      <w:r w:rsidR="00207344" w:rsidRPr="001C4D50">
        <w:t xml:space="preserve">: NTC00414700) compared ACI using characterised chondrocytes against microfracture and showed improvements for both techniques in terms of KOOS up to 60 months post-op. Further subgroup analysis revealed that ACI treated participants </w:t>
      </w:r>
      <w:r w:rsidR="00F93657" w:rsidRPr="001C4D50">
        <w:t xml:space="preserve">had superior </w:t>
      </w:r>
      <w:r w:rsidR="00207344" w:rsidRPr="001C4D50">
        <w:t xml:space="preserve">KOOS when treatment </w:t>
      </w:r>
      <w:r w:rsidR="00F93657" w:rsidRPr="001C4D50">
        <w:t xml:space="preserve">was undertaken </w:t>
      </w:r>
      <w:r w:rsidR="00207344" w:rsidRPr="001C4D50">
        <w:t>within 3 years of symptom onset</w:t>
      </w:r>
      <w:r w:rsidR="00F0104E" w:rsidRPr="001C4D50">
        <w:t xml:space="preserve"> </w:t>
      </w:r>
      <w:r w:rsidRPr="001C4D50">
        <w:rPr>
          <w:color w:val="2B579A"/>
        </w:rPr>
        <w:fldChar w:fldCharType="begin" w:fldLock="1"/>
      </w:r>
      <w:r w:rsidRPr="001C4D50">
        <w:instrText>ADDIN CSL_CITATION {"citationItems":[{"id":"ITEM-1","itemData":{"DOI":"10.1177/0363546511422220","ISSN":"03635465","PMID":"21908720","abstract":"Background: Characterized chondrocyte implantation (CCI) results in significantly better early structural tissue regeneration than microfracture (MF), and CCI has a midterm clinical benefit over microfracture.Purpose: This study was undertaken to evaluate the 5-year clinical outcome of CCI in a randomized comparison with MF for the treatment of symptomatic cartilage defects of the femoral condyles of the knee.Study Design: Randomized controlled trial; Level of evidence, 1.Methods: Participants aged 18 to 50 years with a symptomatic isolated International Cartilage Repair Society (ICRS) grade III or IV cartilage lesion of the femoral condyles between 1 and 5 cm2 were randomized to either CCI or MF. Clinical outcomes were measured up to 60 months after surgery using the Knee Injury and Osteoarthritis Outcome Score (KOOS). The main outcome parameter was change from baseline in overall KOOS (oKOOS). Adverse events were monitored.Results: Fifty-one participants were treated with CCI and 61 with MF. On average, clinical benefit was maintained through the 60-month follow-up period. The average change from baseline in oKOOS was not different between both groups (least squares [LS] mean ± standard error [SE] 18.84 ± 3.58 for CCI vs 13.21 ± 5.63 for MF; P =.116). Treatment failures were comparable (n = 7 in CCI vs n = 10 in MF), although MF failures tended to occur earlier. Subgroup analysis revealed that CCI resulted in better outcome in participants with time since symptom onset of less than 3 years, which was statistically significant and clinically relevant (change in oKOOS &lt;3 years mean ± SE 25.96 ± 3.45 for CCI vs 15.28 ± 3.17 for MF; P =.026 vs oKOOS &gt;3 years mean ± SE 13.09 ± 4.78 for CCI vs 17.02 ± 4.50 for MF, P =.554). Other subgroup analyses such as age (cutoff 35 years) did not show a difference. Female patients showed more failures irrespective of treatment.Conclusion: At 5 years after treatment, clinical outcomes for CCI and MF were comparable. In the early treatment group, CCI obtained statistically significant and clinically relevant better results than MF. Delayed treatment resulted in less predictable outcomes for CCI. These results provide strong evidence that time since onset of symptoms is an essential variable that should be taken into account in future treatment algorithms for cartilage repair of the knee. © 2011 American Orthopaedic Society for Sports Medicine.","author":[{"dropping-particle":"","family":"Vanlauwe","given":"Johan","non-dropping-particle":"","parse-names":false,"suffix":""},{"dropping-particle":"","family":"Saris","given":"Daniel B.F.","non-dropping-particle":"","parse-names":false,"suffix":""},{"dropping-particle":"","family":"Victor","given":"Jan","non-dropping-particle":"","parse-names":false,"suffix":""},{"dropping-particle":"","family":"Almqvist","given":"Karl Fredrik","non-dropping-particle":"","parse-names":false,"suffix":""},{"dropping-particle":"","family":"Bellemans","given":"Johan","non-dropping-particle":"","parse-names":false,"suffix":""},{"dropping-particle":"","family":"Luyten","given":"Frank P.","non-dropping-particle":"","parse-names":false,"suffix":""}],"container-title":"American Journal of Sports Medicine","id":"ITEM-1","issue":"12","issued":{"date-parts":[["2011"]]},"page":"2566-2574","title":"Five-year outcome of characterized chondrocyte implantation versus microfracture for symptomatic cartilage defects of the knee: early treatment matters","type":"article-journal","volume":"39"},"uris":["http://www.mendeley.com/documents/?uuid=2553a4fd-824d-4aae-a32e-6d00c2038fff"]}],"mendeley":{"formattedCitation":"[31]","plainTextFormattedCitation":"[31]","previouslyFormattedCitation":"[31]"},"properties":{"noteIndex":0},"schema":"https://github.com/citation-style-language/schema/raw/master/csl-citation.json"}</w:instrText>
      </w:r>
      <w:r w:rsidRPr="001C4D50">
        <w:rPr>
          <w:color w:val="2B579A"/>
        </w:rPr>
        <w:fldChar w:fldCharType="separate"/>
      </w:r>
      <w:r w:rsidR="004172C0" w:rsidRPr="001C4D50">
        <w:rPr>
          <w:noProof/>
        </w:rPr>
        <w:t>[31]</w:t>
      </w:r>
      <w:r w:rsidRPr="001C4D50">
        <w:rPr>
          <w:color w:val="2B579A"/>
        </w:rPr>
        <w:fldChar w:fldCharType="end"/>
      </w:r>
      <w:r w:rsidR="00207344" w:rsidRPr="001C4D50">
        <w:t xml:space="preserve">. The Autologous </w:t>
      </w:r>
      <w:r w:rsidRPr="001C4D50">
        <w:t>C</w:t>
      </w:r>
      <w:r w:rsidR="00207344" w:rsidRPr="001C4D50">
        <w:t xml:space="preserve">hondrocyte </w:t>
      </w:r>
      <w:r w:rsidRPr="001C4D50">
        <w:t>T</w:t>
      </w:r>
      <w:r w:rsidR="00207344" w:rsidRPr="001C4D50">
        <w:t>ransplantation/</w:t>
      </w:r>
      <w:r w:rsidRPr="001C4D50">
        <w:t>I</w:t>
      </w:r>
      <w:r w:rsidR="00207344" w:rsidRPr="001C4D50">
        <w:t xml:space="preserve">mplantation </w:t>
      </w:r>
      <w:r w:rsidRPr="001C4D50">
        <w:t>V</w:t>
      </w:r>
      <w:r w:rsidR="00207344" w:rsidRPr="001C4D50">
        <w:t xml:space="preserve">ersus </w:t>
      </w:r>
      <w:r w:rsidRPr="001C4D50">
        <w:t>E</w:t>
      </w:r>
      <w:r w:rsidR="00207344" w:rsidRPr="001C4D50">
        <w:t>xisting treatments (ACTIVE) trial (</w:t>
      </w:r>
      <w:hyperlink r:id="rId14">
        <w:r w:rsidR="00207344" w:rsidRPr="001C4D50">
          <w:rPr>
            <w:rStyle w:val="Hyperlink"/>
          </w:rPr>
          <w:t>https://www.isrctn.com</w:t>
        </w:r>
      </w:hyperlink>
      <w:r w:rsidR="00207344" w:rsidRPr="001C4D50">
        <w:t>: ISRCTN48911177) compar</w:t>
      </w:r>
      <w:r w:rsidR="00F93657" w:rsidRPr="001C4D50">
        <w:t>es</w:t>
      </w:r>
      <w:r w:rsidR="00207344" w:rsidRPr="001C4D50">
        <w:t xml:space="preserve"> ACI against </w:t>
      </w:r>
      <w:r w:rsidR="00F93657" w:rsidRPr="001C4D50">
        <w:t xml:space="preserve">surgeon selected </w:t>
      </w:r>
      <w:r w:rsidR="00207344" w:rsidRPr="001C4D50">
        <w:t xml:space="preserve">standard </w:t>
      </w:r>
      <w:r w:rsidR="00F93657" w:rsidRPr="001C4D50">
        <w:t>of care</w:t>
      </w:r>
      <w:r w:rsidR="00207344" w:rsidRPr="001C4D50">
        <w:t xml:space="preserve">, the majority being microfracture. Data from this ongoing trial </w:t>
      </w:r>
      <w:r w:rsidR="00A53497" w:rsidRPr="001C4D50">
        <w:t>contributed to</w:t>
      </w:r>
      <w:r w:rsidR="00F444A7" w:rsidRPr="001C4D50">
        <w:t xml:space="preserve"> the </w:t>
      </w:r>
      <w:r w:rsidR="00F93657" w:rsidRPr="001C4D50">
        <w:t xml:space="preserve">positive </w:t>
      </w:r>
      <w:r w:rsidR="00F444A7" w:rsidRPr="001C4D50">
        <w:t xml:space="preserve">NICE </w:t>
      </w:r>
      <w:r w:rsidR="00433DC5" w:rsidRPr="001C4D50">
        <w:t>Health Technology Assessment (</w:t>
      </w:r>
      <w:r w:rsidR="00F444A7" w:rsidRPr="001C4D50">
        <w:t>HTA</w:t>
      </w:r>
      <w:r w:rsidR="00433DC5" w:rsidRPr="001C4D50">
        <w:t>)</w:t>
      </w:r>
      <w:r w:rsidR="00F444A7" w:rsidRPr="001C4D50">
        <w:t xml:space="preserve"> </w:t>
      </w:r>
      <w:r w:rsidR="00F93657" w:rsidRPr="001C4D50">
        <w:t xml:space="preserve">TA477 </w:t>
      </w:r>
      <w:r w:rsidR="00F444A7" w:rsidRPr="001C4D50">
        <w:t xml:space="preserve">of ACI in 2017 </w:t>
      </w:r>
      <w:r w:rsidR="00207344" w:rsidRPr="001C4D50">
        <w:t>but the results from the study</w:t>
      </w:r>
      <w:r w:rsidR="009D49A1" w:rsidRPr="001C4D50">
        <w:t xml:space="preserve"> cannot</w:t>
      </w:r>
      <w:r w:rsidR="00207344" w:rsidRPr="001C4D50">
        <w:t xml:space="preserve"> yet be published</w:t>
      </w:r>
      <w:r w:rsidR="009D49A1" w:rsidRPr="001C4D50">
        <w:t xml:space="preserve"> until trial completion</w:t>
      </w:r>
      <w:r w:rsidR="00207344" w:rsidRPr="001C4D50">
        <w:t xml:space="preserve">. </w:t>
      </w:r>
      <w:r w:rsidR="00EE5214" w:rsidRPr="001C4D50">
        <w:t>Based principally on functional outcome over time and survival analysis t</w:t>
      </w:r>
      <w:r w:rsidR="00207344" w:rsidRPr="001C4D50">
        <w:t xml:space="preserve">he concluding message from the </w:t>
      </w:r>
      <w:r w:rsidR="00F444A7" w:rsidRPr="001C4D50">
        <w:t>HTA</w:t>
      </w:r>
      <w:r w:rsidR="00207344" w:rsidRPr="001C4D50">
        <w:t xml:space="preserve"> was </w:t>
      </w:r>
      <w:r w:rsidR="00EE5214" w:rsidRPr="001C4D50">
        <w:t xml:space="preserve">that </w:t>
      </w:r>
      <w:r w:rsidR="00207344" w:rsidRPr="001C4D50">
        <w:t xml:space="preserve">ACI </w:t>
      </w:r>
      <w:r w:rsidR="00EE5214" w:rsidRPr="001C4D50">
        <w:t xml:space="preserve">offered long term superiority </w:t>
      </w:r>
      <w:r w:rsidR="39A75E1D" w:rsidRPr="001C4D50">
        <w:t xml:space="preserve">compared to </w:t>
      </w:r>
      <w:r w:rsidR="00207344" w:rsidRPr="001C4D50">
        <w:t>microfracture and was “cost-effective across a range of scenarios”</w:t>
      </w:r>
      <w:r w:rsidR="00F0104E" w:rsidRPr="001C4D50">
        <w:t xml:space="preserve"> </w:t>
      </w:r>
      <w:r w:rsidRPr="001C4D50">
        <w:rPr>
          <w:color w:val="2B579A"/>
        </w:rPr>
        <w:fldChar w:fldCharType="begin" w:fldLock="1"/>
      </w:r>
      <w:r w:rsidRPr="001C4D50">
        <w:instrText>ADDIN CSL_CITATION {"citationItems":[{"id":"ITEM-1","itemData":{"author":[{"dropping-particle":"","family":"Mistry","given":"H","non-dropping-particle":"","parse-names":false,"suffix":""},{"dropping-particle":"","family":"Connock","given":"M","non-dropping-particle":"","parse-names":false,"suffix":""},{"dropping-particle":"","family":"Pink","given":"J","non-dropping-particle":"","parse-names":false,"suffix":""},{"dropping-particle":"","family":"Shyangdan","given":"D","non-dropping-particle":"","parse-names":false,"suffix":""},{"dropping-particle":"","family":"Clar","given":"C","non-dropping-particle":"","parse-names":false,"suffix":""},{"dropping-particle":"","family":"Royle","given":"P","non-dropping-particle":"","parse-names":false,"suffix":""},{"dropping-particle":"","family":"Court","given":"R","non-dropping-particle":"","parse-names":false,"suffix":""},{"dropping-particle":"","family":"Biant","given":"LC","non-dropping-particle":"","parse-names":false,"suffix":""},{"dropping-particle":"","family":"Metcalfe","given":"A","non-dropping-particle":"","parse-names":false,"suffix":""},{"dropping-particle":"","family":"Waugh","given":"N","non-dropping-particle":"","parse-names":false,"suffix":""}],"container-title":"Health Technol Assess.","id":"ITEM-1","issue":"6","issued":{"date-parts":[["2017"]]},"page":"1-294","title":"Autologous chondrocyte implantation in the knee: systematic review and economic evaluation","type":"article-journal","volume":"21"},"uris":["http://www.mendeley.com/documents/?uuid=88777670-ca14-44d8-a909-45580531e8d9"]}],"mendeley":{"formattedCitation":"[17]","plainTextFormattedCitation":"[17]","previouslyFormattedCitation":"[17]"},"properties":{"noteIndex":0},"schema":"https://github.com/citation-style-language/schema/raw/master/csl-citation.json"}</w:instrText>
      </w:r>
      <w:r w:rsidRPr="001C4D50">
        <w:rPr>
          <w:color w:val="2B579A"/>
        </w:rPr>
        <w:fldChar w:fldCharType="separate"/>
      </w:r>
      <w:r w:rsidR="00137B42" w:rsidRPr="001C4D50">
        <w:rPr>
          <w:noProof/>
        </w:rPr>
        <w:t>[17]</w:t>
      </w:r>
      <w:r w:rsidRPr="001C4D50">
        <w:rPr>
          <w:color w:val="2B579A"/>
        </w:rPr>
        <w:fldChar w:fldCharType="end"/>
      </w:r>
      <w:r w:rsidR="00207344" w:rsidRPr="001C4D50">
        <w:t xml:space="preserve">. </w:t>
      </w:r>
    </w:p>
    <w:p w14:paraId="2B6CAF8E" w14:textId="77777777" w:rsidR="00416A62" w:rsidRPr="001C4D50" w:rsidRDefault="00416A62" w:rsidP="00960366"/>
    <w:p w14:paraId="6B9890F2" w14:textId="65D7254A" w:rsidR="00207344" w:rsidRPr="001C4D50" w:rsidRDefault="00207344" w:rsidP="00960366">
      <w:pPr>
        <w:rPr>
          <w:rFonts w:ascii="Times" w:eastAsia="Times New Roman" w:hAnsi="Times" w:cs="Times New Roman"/>
          <w:sz w:val="20"/>
          <w:szCs w:val="20"/>
          <w:lang w:eastAsia="en-US"/>
        </w:rPr>
      </w:pPr>
      <w:r w:rsidRPr="001C4D50">
        <w:t>A</w:t>
      </w:r>
      <w:r w:rsidR="00EE5214" w:rsidRPr="001C4D50">
        <w:t xml:space="preserve"> 2018</w:t>
      </w:r>
      <w:r w:rsidRPr="001C4D50">
        <w:t xml:space="preserve"> systematic review of </w:t>
      </w:r>
      <w:r w:rsidR="2C1DD92A" w:rsidRPr="001C4D50">
        <w:t>five</w:t>
      </w:r>
      <w:r w:rsidRPr="001C4D50">
        <w:t xml:space="preserve"> ACI trials with a mean 7 year follow-up, showed that the majority of outcome measures reported following ACI </w:t>
      </w:r>
      <w:r w:rsidR="67245E17" w:rsidRPr="001C4D50">
        <w:t>are</w:t>
      </w:r>
      <w:r w:rsidRPr="001C4D50">
        <w:t xml:space="preserve"> comparable to microfracture</w:t>
      </w:r>
      <w:r w:rsidR="00F0104E" w:rsidRPr="001C4D50">
        <w:t xml:space="preserve"> </w:t>
      </w:r>
      <w:r w:rsidRPr="001C4D50">
        <w:rPr>
          <w:color w:val="2B579A"/>
        </w:rPr>
        <w:fldChar w:fldCharType="begin" w:fldLock="1"/>
      </w:r>
      <w:r w:rsidRPr="001C4D50">
        <w:instrText>ADDIN CSL_CITATION {"citationItems":[{"id":"ITEM-1","itemData":{"DOI":"10.1177/0363546517701912","ISSN":"15523365","PMID":"28423287","abstract":"Background: Microfracture (MFx) and autologous chondrocyte implantation (ACI) are 2 surgical treatment options used to treat articular cartilage injuries of the knee joint. Purpose: To compare the midterm to long-term clinical outcomes of MFx versus ACI for focal chondral defects of the knee. Study Design: Systematic review. Methods: A systematic review was performed by searching PubMed, the Cochrane Library, and Embase to locate studies (level of evidence I-III) comparing the minimum average 5-year clinical outcomes of patients undergoing MFx versus ACI. Search terms used were “knee,” “microfracture,” “autologous chondrocyte implantation,” and “autologous chondrocyte transplantation.” Patients were evaluated based on treatment failure rates, magnetic resonance imaging, and patient-reported outcome scores (Lysholm, Knee Injury and Osteoarthritis Outcome Score [KOOS], and Tegner scores). Results: Five studies (3 level I evidence, 2 level II evidence) were identified that met the inclusion criteria, including a total of 210 patients (211 lesions) undergoing MFx and 189 patients (189 lesions) undergoing ACI. The average follow-up among all studies was 7.0 years. Four studies utilized first-generation, periosteum-based ACI (P-ACI), and 1 study utilized third-generation, matrix-associated ACI (M-ACI). Treatment failure occurred in 18.5% of patients undergoing ACI and 17.1% of patients undergoing MFx (P =.70). Lysholm and KOOS scores were found to improve for both groups across studies, without a significant difference in improvement between the groups. The only significant difference in patient-reported outcome scores was found in the 1 study using M-ACI in which Tegner scores improved to a significantly greater extent in the ACI group compared with the MFx group (P =.003). Conclusion: Patients undergoing MFx or first/third-generation ACI for articular cartilage lesions in the knee can be expected to experience improvement in clinical outcomes at midterm to long-term follow-up without any significant difference between the groups.","author":[{"dropping-particle":"","family":"Kraeutler","given":"Matthew J.","non-dropping-particle":"","parse-names":false,"suffix":""},{"dropping-particle":"","family":"Belk","given":"John W.","non-dropping-particle":"","parse-names":false,"suffix":""},{"dropping-particle":"","family":"Purcell","given":"Justin M.","non-dropping-particle":"","parse-names":false,"suffix":""},{"dropping-particle":"","family":"McCarty","given":"Eric C.","non-dropping-particle":"","parse-names":false,"suffix":""}],"container-title":"American Journal of Sports Medicine","id":"ITEM-1","issue":"4","issued":{"date-parts":[["2018"]]},"page":"995-999","title":"Microfracture Versus Autologous Chondrocyte Implantation for Articular Cartilage Lesions in the Knee: A Systematic Review of 5-Year Outcomes","type":"article-journal","volume":"46"},"uris":["http://www.mendeley.com/documents/?uuid=d9264402-2588-42dc-ac89-396c3c0c3813"]}],"mendeley":{"formattedCitation":"[5]","plainTextFormattedCitation":"[5]","previouslyFormattedCitation":"[5]"},"properties":{"noteIndex":0},"schema":"https://github.com/citation-style-language/schema/raw/master/csl-citation.json"}</w:instrText>
      </w:r>
      <w:r w:rsidRPr="001C4D50">
        <w:rPr>
          <w:color w:val="2B579A"/>
        </w:rPr>
        <w:fldChar w:fldCharType="separate"/>
      </w:r>
      <w:r w:rsidR="00632928" w:rsidRPr="001C4D50">
        <w:rPr>
          <w:noProof/>
        </w:rPr>
        <w:t>[5]</w:t>
      </w:r>
      <w:r w:rsidRPr="001C4D50">
        <w:rPr>
          <w:color w:val="2B579A"/>
        </w:rPr>
        <w:fldChar w:fldCharType="end"/>
      </w:r>
      <w:r w:rsidRPr="001C4D50">
        <w:t>. However, in one stud</w:t>
      </w:r>
      <w:r w:rsidR="00EE5214" w:rsidRPr="001C4D50">
        <w:t>y</w:t>
      </w:r>
      <w:r w:rsidRPr="001C4D50">
        <w:t xml:space="preserve"> the </w:t>
      </w:r>
      <w:proofErr w:type="spellStart"/>
      <w:r w:rsidRPr="001C4D50">
        <w:t>Tegner</w:t>
      </w:r>
      <w:proofErr w:type="spellEnd"/>
      <w:r w:rsidRPr="001C4D50">
        <w:t xml:space="preserve"> patient-reported activity score improved to a significantly greater extent in the ACI group compared with the microfracture group</w:t>
      </w:r>
      <w:r w:rsidR="00F0104E" w:rsidRPr="001C4D50">
        <w:t xml:space="preserve"> </w:t>
      </w:r>
      <w:r w:rsidRPr="001C4D50">
        <w:rPr>
          <w:color w:val="2B579A"/>
        </w:rPr>
        <w:fldChar w:fldCharType="begin" w:fldLock="1"/>
      </w:r>
      <w:r w:rsidRPr="001C4D50">
        <w:instrText>ADDIN CSL_CITATION {"citationItems":[{"id":"ITEM-1","itemData":{"DOI":"10.1177/0363546508323256","ISSN":"03635465","PMID":"19059899","abstract":"Background: Various approaches have been proposed to treat articular cartilage lesions, which are plagued by inherent limited healing potential. Purpose: To compare the clinical outcome of patients treated with second-generation autologous chondrocyte implantation implants with those treated with the microfracture repair technique at 5-year follow-up. Study Design: Cohort study; Level of evidence, 2. Methods: Eighty active patients (mean age, 29.8 years) and grade III to IV cartilage lesions of the femoral condyles or trochlea were treated with arthroscopic second-generation autologous chondrocyte implantation Hyalograft C or microfracture (40 patients per group). Patients achieved a minimum 5-year follow-up and were prospectively evaluated. Results: Both groups showed statistically significant improvement of all clinical scores from preoperative interval to 5-year follow-up. There was a significant improvement for the International Knee Documentation Committee subjective score from preoperative to 5-year follow-up (Wilcoxon test, P &lt;.001). In the microfracture group, the International Knee Documentation Committee objective score increased from 2.5% normal and nearly normal knees before the operation to 75% normal and nearly normal knees at 5-year follow-up, and the subjective score increased from 41.1 ± 12.3 preoperatively to 70.2 ± 14.7 at 5-year follow-up. In the group treated with Hyalograft C, the International Knee Documentation Committee objective score increased from 15% normal and nearly normal knees before the operation to 90% normal and nearly normal knees at 5-year follow-up, and its subjective score increased from 40.5 ± 15.2 preoperatively to 80.2 ± 19.1 at 5-year follow-up (Wilcoxon test, P &lt;.001). When comparing the groups, better improvement of the International Knee Documentation Committee objective (P &lt;.001) and subjective (P =.003) scores was observed in the Hyalograft C group at 5-year follow-up. The return to sports at 2 years was similar in both groups and remained stable after 5 years in the Hyalograft C group; it worsened in the microfracture group. Conclusion: Both methods have shown satisfactory clinical outcome at medium-term follow-up. Better clinical results and sport activity resumption were noted in the group treated with second-generation autologous chondrocyte transplantation. © 2009 American Orthopaedic Society for Sports Medicine.","author":[{"dropping-particle":"","family":"Kon","given":"Elizaveta","non-dropping-particle":"","parse-names":false,"suffix":""},{"dropping-particle":"","family":"Gobbi","given":"Alberto","non-dropping-particle":"","parse-names":false,"suffix":""},{"dropping-particle":"","family":"Filardo","given":"Giuseppe","non-dropping-particle":"","parse-names":false,"suffix":""},{"dropping-particle":"","family":"Delcogliano","given":"Marco","non-dropping-particle":"","parse-names":false,"suffix":""},{"dropping-particle":"","family":"Zaffagnini","given":"Stefano","non-dropping-particle":"","parse-names":false,"suffix":""},{"dropping-particle":"","family":"Marcacci","given":"Maurilio","non-dropping-particle":"","parse-names":false,"suffix":""}],"container-title":"American Journal of Sports Medicine","id":"ITEM-1","issue":"1","issued":{"date-parts":[["2009"]]},"page":"33-41","title":"Arthroscopic second-generation autologous chondrocyte implantation compared with microfracture for chondral lesions of the knee: Prospective nonrandomized study at 5 years","type":"article-journal","volume":"37"},"uris":["http://www.mendeley.com/documents/?uuid=268d7342-766e-4beb-a02e-457e2b209479"]}],"mendeley":{"formattedCitation":"[32]","plainTextFormattedCitation":"[32]","previouslyFormattedCitation":"[32]"},"properties":{"noteIndex":0},"schema":"https://github.com/citation-style-language/schema/raw/master/csl-citation.json"}</w:instrText>
      </w:r>
      <w:r w:rsidRPr="001C4D50">
        <w:rPr>
          <w:color w:val="2B579A"/>
        </w:rPr>
        <w:fldChar w:fldCharType="separate"/>
      </w:r>
      <w:r w:rsidR="004172C0" w:rsidRPr="001C4D50">
        <w:rPr>
          <w:noProof/>
        </w:rPr>
        <w:t>[32]</w:t>
      </w:r>
      <w:r w:rsidRPr="001C4D50">
        <w:rPr>
          <w:color w:val="2B579A"/>
        </w:rPr>
        <w:fldChar w:fldCharType="end"/>
      </w:r>
      <w:r w:rsidRPr="001C4D50">
        <w:t xml:space="preserve">. </w:t>
      </w:r>
      <w:r w:rsidR="00EE5214" w:rsidRPr="001C4D50">
        <w:t>The benefits of ACI become more apparent with longer follow-up. In a</w:t>
      </w:r>
      <w:r w:rsidRPr="001C4D50">
        <w:t xml:space="preserve"> long-term study (mean 12.8 year follow-up) that retrospectively gathered data from 224 patients</w:t>
      </w:r>
      <w:r w:rsidR="00EE5214" w:rsidRPr="001C4D50">
        <w:t>,</w:t>
      </w:r>
      <w:r w:rsidRPr="001C4D50">
        <w:t xml:space="preserve"> 92% of participants were satisfied and would have ACI again. In addition, scores for Lysholm, </w:t>
      </w:r>
      <w:proofErr w:type="spellStart"/>
      <w:r w:rsidRPr="001C4D50">
        <w:t>TegnerWallgren</w:t>
      </w:r>
      <w:proofErr w:type="spellEnd"/>
      <w:r w:rsidRPr="001C4D50">
        <w:t xml:space="preserve"> and </w:t>
      </w:r>
      <w:proofErr w:type="spellStart"/>
      <w:r w:rsidRPr="001C4D50">
        <w:t>Brittberg</w:t>
      </w:r>
      <w:proofErr w:type="spellEnd"/>
      <w:r w:rsidRPr="001C4D50">
        <w:t>-Peterson</w:t>
      </w:r>
      <w:r w:rsidR="00F444A7" w:rsidRPr="001C4D50">
        <w:t xml:space="preserve"> assessments</w:t>
      </w:r>
      <w:r w:rsidRPr="001C4D50">
        <w:t xml:space="preserve"> were improved compared to preoperative levels, confirming that ACI had maintained long-term improvements</w:t>
      </w:r>
      <w:r w:rsidR="00047C4D" w:rsidRPr="001C4D50">
        <w:t>. However</w:t>
      </w:r>
      <w:r w:rsidRPr="001C4D50">
        <w:t xml:space="preserve">, participants with bipolar </w:t>
      </w:r>
      <w:r w:rsidRPr="001C4D50">
        <w:rPr>
          <w:rFonts w:cstheme="minorHAnsi"/>
        </w:rPr>
        <w:t>lesions</w:t>
      </w:r>
      <w:r w:rsidR="009D49A1" w:rsidRPr="001C4D50">
        <w:rPr>
          <w:rFonts w:cstheme="minorHAnsi"/>
        </w:rPr>
        <w:t xml:space="preserve"> (also known as “</w:t>
      </w:r>
      <w:r w:rsidR="009D49A1" w:rsidRPr="001C4D50">
        <w:rPr>
          <w:rFonts w:eastAsia="Times New Roman" w:cstheme="minorHAnsi"/>
          <w:color w:val="111111"/>
          <w:shd w:val="clear" w:color="auto" w:fill="FFFFFF"/>
          <w:lang w:eastAsia="en-US"/>
        </w:rPr>
        <w:t xml:space="preserve">kissing” tibiofemoral lesions i.e. opposing lesions of the </w:t>
      </w:r>
      <w:proofErr w:type="spellStart"/>
      <w:r w:rsidR="009D49A1" w:rsidRPr="001C4D50">
        <w:rPr>
          <w:rFonts w:eastAsia="Times New Roman" w:cstheme="minorHAnsi"/>
          <w:color w:val="111111"/>
          <w:shd w:val="clear" w:color="auto" w:fill="FFFFFF"/>
          <w:lang w:eastAsia="en-US"/>
        </w:rPr>
        <w:t>tibial</w:t>
      </w:r>
      <w:proofErr w:type="spellEnd"/>
      <w:r w:rsidR="009D49A1" w:rsidRPr="001C4D50">
        <w:rPr>
          <w:rFonts w:eastAsia="Times New Roman" w:cstheme="minorHAnsi"/>
          <w:color w:val="111111"/>
          <w:shd w:val="clear" w:color="auto" w:fill="FFFFFF"/>
          <w:lang w:eastAsia="en-US"/>
        </w:rPr>
        <w:t xml:space="preserve"> plateau and femoral condyle)</w:t>
      </w:r>
      <w:r w:rsidRPr="001C4D50">
        <w:t xml:space="preserve"> had poorer final outcomes compared to those with multiple unipolar lesions. </w:t>
      </w:r>
      <w:r w:rsidR="00151541" w:rsidRPr="001C4D50">
        <w:t>In addition</w:t>
      </w:r>
      <w:r w:rsidRPr="001C4D50">
        <w:t>, a 20 year follow-up study found that 79% of the 23 patients followed to 20 years were satisfied when evaluated and ha</w:t>
      </w:r>
      <w:r w:rsidR="00CA1933" w:rsidRPr="001C4D50">
        <w:t>d not undergone arthroplasty</w:t>
      </w:r>
      <w:r w:rsidR="00F0104E" w:rsidRPr="001C4D50">
        <w:t xml:space="preserve"> </w:t>
      </w:r>
      <w:r w:rsidRPr="001C4D50">
        <w:rPr>
          <w:color w:val="2B579A"/>
        </w:rPr>
        <w:fldChar w:fldCharType="begin" w:fldLock="1"/>
      </w:r>
      <w:r w:rsidRPr="001C4D50">
        <w:instrText>ADDIN CSL_CITATION {"citationItems":[{"id":"ITEM-1","itemData":{"DOI":"10.1177/0363546517716631","ISBN":"0363546517716","ISSN":"15523365","PMID":"28745972","abstract":"Background: Treating articular cartilage defects is a demanding problem. Although several studies have reported durable and improved clinical outcomes after autologous chondrocyte implantation (ACI) over a long-term period, there is no report with over 20 years' follow-up. Purpose: To evaluate clinical outcomes after first-generation ACI for the treatment of knees with disabling, large single and multiple cartilage defects for which patients wished to avoid prosthetic arthroplasty, with a minimum of 20 years' follow-up. Study Design: Case series; Level of evidence, 4. Methods: The authors reviewed prospectively collected data from 23 patients (24 knees; mean age, 35.4 years [range, 13-52 years]) undergoing ACI for the treatment of symptomatic, full-thickness articular cartilage lesions. A mean of 2.1 lesions per knee were treated over a mean total surface area of 11.8 cm2 (range, 2.4-30.5 cm2) per knee. Kaplan-Meier survival analysis and functional outcome scores, including the modified Cincinnati Knee Rating System, Western Ontario and McMaster Universities Osteoarthritis Index (WOMAC), and Short Form-36 (SF-36), were used. Patients also self-reported an improvement in pain with a visual analog scale and a satisfaction survey. Results: The 20-year survival rate was 63% (95% CI, 40%-78%). The evaluation of the 15 knees with retained grafts demonstrated that all clinical scores except the WOMAC subscore for stiffness and SF-36 mental component summary score improved significantly and were sustained to 20 years postoperatively. Ninety-three percent of these patients rated knee-specific outcomes as good or excellent. The outcomes for 9 of 24 knees were considered failures, including 5 undergoing revision ACI and 4 being converted to arthroplasty at a mean of 1.7 and 5.9 years, respectively. Only 1 of 5 knees that underwent revision ACI was converted to arthroplasty at 1.9 years after the index surgery, and the other 4 patients were able to maintain their biological knee. Overall, 20 years later, 79% of patients maintained their native knee, for which they initially sought treatment, and were satisfied when evaluated. Conclusion: First-generation ACI provided satisfactory survival rates and significant clinical improvements over a 20-year follow-up, which offers an important standard for comparison with newer-generation ACI technologies of the future.","author":[{"dropping-particle":"","family":"Ogura","given":"Takahiro","non-dropping-particle":"","parse-names":false,"suffix":""},{"dropping-particle":"","family":"Mosier","given":"Brian A.","non-dropping-particle":"","parse-names":false,"suffix":""},{"dropping-particle":"","family":"Bryant","given":"Tim","non-dropping-particle":"","parse-names":false,"suffix":""},{"dropping-particle":"","family":"Minas","given":"Tom","non-dropping-particle":"","parse-names":false,"suffix":""}],"container-title":"American Journal of Sports Medicine","id":"ITEM-1","issue":"12","issued":{"date-parts":[["2017"]]},"page":"2751-2761","title":"A 20-Year Follow-up after First-Generation Autologous Chondrocyte Implantation","type":"article-journal","volume":"45"},"uris":["http://www.mendeley.com/documents/?uuid=03c47303-9f73-4616-b10e-06029b35affe"]}],"mendeley":{"formattedCitation":"[12]","plainTextFormattedCitation":"[12]","previouslyFormattedCitation":"[12]"},"properties":{"noteIndex":0},"schema":"https://github.com/citation-style-language/schema/raw/master/csl-citation.json"}</w:instrText>
      </w:r>
      <w:r w:rsidRPr="001C4D50">
        <w:rPr>
          <w:color w:val="2B579A"/>
        </w:rPr>
        <w:fldChar w:fldCharType="separate"/>
      </w:r>
      <w:r w:rsidR="00137B42" w:rsidRPr="001C4D50">
        <w:rPr>
          <w:noProof/>
        </w:rPr>
        <w:t>[12]</w:t>
      </w:r>
      <w:r w:rsidRPr="001C4D50">
        <w:rPr>
          <w:color w:val="2B579A"/>
        </w:rPr>
        <w:fldChar w:fldCharType="end"/>
      </w:r>
      <w:r w:rsidRPr="001C4D50">
        <w:t xml:space="preserve">. </w:t>
      </w:r>
    </w:p>
    <w:p w14:paraId="0397A7C4" w14:textId="77777777" w:rsidR="00416A62" w:rsidRPr="001C4D50" w:rsidRDefault="00416A62" w:rsidP="00960366"/>
    <w:p w14:paraId="56FD976A" w14:textId="398892C8" w:rsidR="00207344" w:rsidRPr="001C4D50" w:rsidRDefault="00147A6B" w:rsidP="00960366">
      <w:r w:rsidRPr="001C4D50">
        <w:t>Clinical t</w:t>
      </w:r>
      <w:r w:rsidR="00207344" w:rsidRPr="001C4D50">
        <w:t xml:space="preserve">rials </w:t>
      </w:r>
      <w:r w:rsidRPr="001C4D50">
        <w:t xml:space="preserve">involving both autologous and allogeneic chondrocytes for the treatment of chondral lesions continue. </w:t>
      </w:r>
      <w:r w:rsidR="00207344" w:rsidRPr="001C4D50">
        <w:t>ACTIVE is a multicentre trial collecting 10 year follow-up data from 390 patients treated with ACI v</w:t>
      </w:r>
      <w:r w:rsidR="00D9288B" w:rsidRPr="001C4D50">
        <w:t>er</w:t>
      </w:r>
      <w:r w:rsidR="00207344" w:rsidRPr="001C4D50">
        <w:t>s</w:t>
      </w:r>
      <w:r w:rsidR="00D9288B" w:rsidRPr="001C4D50">
        <w:t>us</w:t>
      </w:r>
      <w:r w:rsidR="00207344" w:rsidRPr="001C4D50">
        <w:t xml:space="preserve"> other standard treatments as its primary outcome and is due to complete at the end of 2021. </w:t>
      </w:r>
      <w:r w:rsidR="003614F9" w:rsidRPr="001C4D50">
        <w:t xml:space="preserve">The on-going Nose2Knee Phase 2 trial is examining the efficacy of autologous chondrocytes isolated from nasal septa which are </w:t>
      </w:r>
      <w:r w:rsidR="003614F9" w:rsidRPr="001C4D50">
        <w:lastRenderedPageBreak/>
        <w:t xml:space="preserve">expanded </w:t>
      </w:r>
      <w:r w:rsidR="003614F9" w:rsidRPr="001C4D50">
        <w:rPr>
          <w:i/>
        </w:rPr>
        <w:t>in vitro</w:t>
      </w:r>
      <w:r w:rsidR="003614F9" w:rsidRPr="001C4D50">
        <w:t xml:space="preserve"> before seeding onto a collagen I/III scaffold and cultured in </w:t>
      </w:r>
      <w:proofErr w:type="spellStart"/>
      <w:r w:rsidR="003614F9" w:rsidRPr="001C4D50">
        <w:t>chondrogenic</w:t>
      </w:r>
      <w:proofErr w:type="spellEnd"/>
      <w:r w:rsidR="003614F9" w:rsidRPr="001C4D50">
        <w:t xml:space="preserve"> conditions to produce a mature, hyaline-like cartilage graft that is then implanted into the knee cartilage defect (</w:t>
      </w:r>
      <w:hyperlink r:id="rId15" w:history="1">
        <w:r w:rsidR="005926F4" w:rsidRPr="001C4D50">
          <w:rPr>
            <w:rStyle w:val="Hyperlink"/>
            <w:rFonts w:cstheme="minorHAnsi"/>
          </w:rPr>
          <w:t>http://clinicaltrials.gov</w:t>
        </w:r>
      </w:hyperlink>
      <w:r w:rsidR="003614F9" w:rsidRPr="001C4D50">
        <w:rPr>
          <w:rFonts w:cstheme="minorHAnsi"/>
        </w:rPr>
        <w:t xml:space="preserve">: </w:t>
      </w:r>
      <w:r w:rsidR="003614F9" w:rsidRPr="001C4D50">
        <w:rPr>
          <w:rFonts w:cstheme="minorHAnsi"/>
          <w:color w:val="000000"/>
          <w:shd w:val="clear" w:color="auto" w:fill="FFFFFF"/>
        </w:rPr>
        <w:t>NCT02673905)</w:t>
      </w:r>
      <w:r w:rsidR="00283F8B" w:rsidRPr="001C4D50">
        <w:rPr>
          <w:rFonts w:cstheme="minorHAnsi"/>
          <w:color w:val="000000"/>
          <w:shd w:val="clear" w:color="auto" w:fill="FFFFFF"/>
        </w:rPr>
        <w:t>. Results from this trial of 108 patients are due in 2022.</w:t>
      </w:r>
      <w:r w:rsidRPr="001C4D50">
        <w:t xml:space="preserve"> The INVOSSA trial </w:t>
      </w:r>
      <w:r w:rsidR="00283F8B" w:rsidRPr="001C4D50">
        <w:t xml:space="preserve">is noteworthy in </w:t>
      </w:r>
      <w:r w:rsidRPr="001C4D50">
        <w:t>us</w:t>
      </w:r>
      <w:r w:rsidR="00283F8B" w:rsidRPr="001C4D50">
        <w:t xml:space="preserve">ing both allogeneic and genetically modified </w:t>
      </w:r>
      <w:proofErr w:type="gramStart"/>
      <w:r w:rsidR="00283F8B" w:rsidRPr="001C4D50">
        <w:t xml:space="preserve">chondrocytes </w:t>
      </w:r>
      <w:r w:rsidR="00207344" w:rsidRPr="001C4D50">
        <w:t>which</w:t>
      </w:r>
      <w:proofErr w:type="gramEnd"/>
      <w:r w:rsidR="00207344" w:rsidRPr="001C4D50">
        <w:t xml:space="preserve"> are currently being studied in </w:t>
      </w:r>
      <w:r w:rsidR="00171A54" w:rsidRPr="001C4D50">
        <w:t xml:space="preserve">a </w:t>
      </w:r>
      <w:r w:rsidR="00207344" w:rsidRPr="001C4D50">
        <w:t>Phase III trial in the US for the treatment of degenerative osteoarthritis (OA) in the knee (</w:t>
      </w:r>
      <w:hyperlink r:id="rId16" w:history="1">
        <w:r w:rsidR="005926F4" w:rsidRPr="001C4D50">
          <w:rPr>
            <w:rStyle w:val="Hyperlink"/>
          </w:rPr>
          <w:t>http://clinicaltrials.gov</w:t>
        </w:r>
      </w:hyperlink>
      <w:r w:rsidR="00207344" w:rsidRPr="001C4D50">
        <w:t>: NCT03203330). Half of the allogeneic chondrocytes</w:t>
      </w:r>
      <w:r w:rsidR="00283F8B" w:rsidRPr="001C4D50">
        <w:t xml:space="preserve">, sourced from juvenile polydactyl donors, </w:t>
      </w:r>
      <w:r w:rsidR="00207344" w:rsidRPr="001C4D50">
        <w:t>are manipulated to overexpress TGF</w:t>
      </w:r>
      <w:r w:rsidR="00207344" w:rsidRPr="001C4D50">
        <w:rPr>
          <w:rFonts w:ascii="Symbol" w:hAnsi="Symbol"/>
        </w:rPr>
        <w:t></w:t>
      </w:r>
      <w:r w:rsidR="00207344" w:rsidRPr="001C4D50">
        <w:t xml:space="preserve">-1 </w:t>
      </w:r>
      <w:r w:rsidR="003D7606" w:rsidRPr="001C4D50">
        <w:t>with</w:t>
      </w:r>
      <w:r w:rsidR="00207344" w:rsidRPr="001C4D50">
        <w:t xml:space="preserve"> the product (</w:t>
      </w:r>
      <w:proofErr w:type="spellStart"/>
      <w:r w:rsidR="00207344" w:rsidRPr="001C4D50">
        <w:t>Invossa</w:t>
      </w:r>
      <w:proofErr w:type="spellEnd"/>
      <w:r w:rsidR="00207344" w:rsidRPr="001C4D50">
        <w:t>™ (</w:t>
      </w:r>
      <w:proofErr w:type="spellStart"/>
      <w:r w:rsidR="00207344" w:rsidRPr="001C4D50">
        <w:t>TissueGene</w:t>
      </w:r>
      <w:proofErr w:type="spellEnd"/>
      <w:r w:rsidR="00207344" w:rsidRPr="001C4D50">
        <w:t xml:space="preserve"> C)) </w:t>
      </w:r>
      <w:r w:rsidR="003D7606" w:rsidRPr="001C4D50">
        <w:t>being</w:t>
      </w:r>
      <w:r w:rsidR="00207344" w:rsidRPr="001C4D50">
        <w:t xml:space="preserve"> manufactured by the South Korean company</w:t>
      </w:r>
      <w:r w:rsidR="00171A54" w:rsidRPr="001C4D50">
        <w:t>,</w:t>
      </w:r>
      <w:r w:rsidR="00207344" w:rsidRPr="001C4D50">
        <w:t xml:space="preserve"> </w:t>
      </w:r>
      <w:proofErr w:type="spellStart"/>
      <w:r w:rsidR="00207344" w:rsidRPr="001C4D50">
        <w:t>Kolon</w:t>
      </w:r>
      <w:proofErr w:type="spellEnd"/>
      <w:r w:rsidR="00207344" w:rsidRPr="001C4D50">
        <w:t xml:space="preserve">. The INVOSSA Phase III placebo controlled study aims to include 510 patients, but was halted temporarily by the FDA in 2019 due to a reported cellular contaminant of the product and is currently “active but not recruiting” according to the US clinical trials registry. </w:t>
      </w:r>
    </w:p>
    <w:p w14:paraId="78885882" w14:textId="77777777" w:rsidR="00207344" w:rsidRPr="001C4D50" w:rsidRDefault="00207344" w:rsidP="00960366">
      <w:pPr>
        <w:rPr>
          <w:i/>
        </w:rPr>
      </w:pPr>
    </w:p>
    <w:p w14:paraId="5A063A21" w14:textId="596712C1" w:rsidR="002C46EB" w:rsidRPr="001C4D50" w:rsidRDefault="002C46EB" w:rsidP="00960366">
      <w:pPr>
        <w:rPr>
          <w:rFonts w:eastAsia="Times New Roman" w:cstheme="minorHAnsi"/>
          <w:b/>
          <w:noProof/>
          <w:u w:val="single"/>
          <w:shd w:val="clear" w:color="auto" w:fill="FFFFFF"/>
        </w:rPr>
      </w:pPr>
      <w:r w:rsidRPr="001C4D50">
        <w:rPr>
          <w:rFonts w:eastAsia="Times New Roman" w:cstheme="minorHAnsi"/>
          <w:b/>
          <w:noProof/>
          <w:u w:val="single"/>
          <w:shd w:val="clear" w:color="auto" w:fill="FFFFFF"/>
        </w:rPr>
        <w:t>‘Stem’ cells for cartilage repair</w:t>
      </w:r>
      <w:r w:rsidR="00F93EFD" w:rsidRPr="001C4D50">
        <w:rPr>
          <w:rFonts w:eastAsia="Times New Roman" w:cstheme="minorHAnsi"/>
          <w:b/>
          <w:noProof/>
          <w:u w:val="single"/>
          <w:shd w:val="clear" w:color="auto" w:fill="FFFFFF"/>
        </w:rPr>
        <w:t xml:space="preserve"> </w:t>
      </w:r>
    </w:p>
    <w:p w14:paraId="2CE9FC3F" w14:textId="77777777" w:rsidR="00873130" w:rsidRPr="001C4D50" w:rsidRDefault="00873130" w:rsidP="00960366">
      <w:pPr>
        <w:rPr>
          <w:rFonts w:eastAsia="Times New Roman" w:cstheme="minorHAnsi"/>
          <w:b/>
          <w:noProof/>
          <w:u w:val="single"/>
          <w:shd w:val="clear" w:color="auto" w:fill="FFFFFF"/>
        </w:rPr>
      </w:pPr>
    </w:p>
    <w:p w14:paraId="7B99CA6B" w14:textId="4773CD36" w:rsidR="00BC52F4" w:rsidRPr="001C4D50" w:rsidRDefault="00BC52F4" w:rsidP="00960366">
      <w:pPr>
        <w:rPr>
          <w:rFonts w:eastAsia="Times New Roman"/>
          <w:noProof/>
          <w:shd w:val="clear" w:color="auto" w:fill="FFFFFF"/>
        </w:rPr>
      </w:pPr>
      <w:r w:rsidRPr="001C4D50">
        <w:rPr>
          <w:rFonts w:eastAsia="Times New Roman"/>
          <w:noProof/>
        </w:rPr>
        <w:t>Cells that have the potential to differentiate into any cell type are known as stem cells. Stem cells can be either embyronic, f</w:t>
      </w:r>
      <w:r w:rsidR="00710C58" w:rsidRPr="001C4D50">
        <w:rPr>
          <w:rFonts w:eastAsia="Times New Roman"/>
          <w:noProof/>
        </w:rPr>
        <w:t>o</w:t>
      </w:r>
      <w:r w:rsidRPr="001C4D50">
        <w:rPr>
          <w:rFonts w:eastAsia="Times New Roman"/>
          <w:noProof/>
        </w:rPr>
        <w:t>etal or adult in origin</w:t>
      </w:r>
      <w:r w:rsidR="00710C58" w:rsidRPr="001C4D50">
        <w:rPr>
          <w:rFonts w:eastAsia="Times New Roman"/>
          <w:noProof/>
        </w:rPr>
        <w:t>,</w:t>
      </w:r>
      <w:r w:rsidRPr="001C4D50">
        <w:rPr>
          <w:rFonts w:eastAsia="Times New Roman"/>
          <w:noProof/>
        </w:rPr>
        <w:t xml:space="preserve"> each </w:t>
      </w:r>
      <w:r w:rsidR="00710C58" w:rsidRPr="001C4D50">
        <w:rPr>
          <w:rFonts w:eastAsia="Times New Roman"/>
          <w:noProof/>
        </w:rPr>
        <w:t>having</w:t>
      </w:r>
      <w:r w:rsidRPr="001C4D50">
        <w:rPr>
          <w:rFonts w:eastAsia="Times New Roman"/>
          <w:noProof/>
        </w:rPr>
        <w:t xml:space="preserve"> different differentiation potency</w:t>
      </w:r>
      <w:r w:rsidR="00F0104E" w:rsidRPr="001C4D50">
        <w:rPr>
          <w:rFonts w:eastAsia="Times New Roman"/>
          <w:noProof/>
          <w:shd w:val="clear" w:color="auto" w:fill="FFFFFF"/>
        </w:rPr>
        <w:t xml:space="preserve"> </w:t>
      </w:r>
      <w:r w:rsidR="005711A8" w:rsidRPr="001C4D50">
        <w:rPr>
          <w:rFonts w:eastAsia="Times New Roman"/>
          <w:noProof/>
          <w:color w:val="2B579A"/>
          <w:shd w:val="clear" w:color="auto" w:fill="FFFFFF"/>
        </w:rPr>
        <w:fldChar w:fldCharType="begin" w:fldLock="1"/>
      </w:r>
      <w:r w:rsidR="004606A0" w:rsidRPr="001C4D50">
        <w:rPr>
          <w:rFonts w:eastAsia="Times New Roman"/>
          <w:noProof/>
          <w:shd w:val="clear" w:color="auto" w:fill="FFFFFF"/>
        </w:rPr>
        <w:instrText>ADDIN CSL_CITATION {"citationItems":[{"id":"ITEM-1","itemData":{"author":[{"dropping-particle":"","family":"Lanza","given":"R","non-dropping-particle":"","parse-names":false,"suffix":""}],"id":"ITEM-1","issued":{"date-parts":[["2005"]]},"title":"Essentials of Stem Cell Biology","type":"book"},"uris":["http://www.mendeley.com/documents/?uuid=30a22f59-e333-4436-b46c-8cdeb95e82cc"]}],"mendeley":{"formattedCitation":"[33]","plainTextFormattedCitation":"[33]","previouslyFormattedCitation":"[33]"},"properties":{"noteIndex":0},"schema":"https://github.com/citation-style-language/schema/raw/master/csl-citation.json"}</w:instrText>
      </w:r>
      <w:r w:rsidR="005711A8" w:rsidRPr="001C4D50">
        <w:rPr>
          <w:rFonts w:eastAsia="Times New Roman"/>
          <w:noProof/>
          <w:color w:val="2B579A"/>
          <w:shd w:val="clear" w:color="auto" w:fill="FFFFFF"/>
        </w:rPr>
        <w:fldChar w:fldCharType="separate"/>
      </w:r>
      <w:r w:rsidR="004172C0" w:rsidRPr="001C4D50">
        <w:rPr>
          <w:rFonts w:eastAsia="Times New Roman"/>
          <w:noProof/>
          <w:shd w:val="clear" w:color="auto" w:fill="FFFFFF"/>
        </w:rPr>
        <w:t>[33]</w:t>
      </w:r>
      <w:r w:rsidR="005711A8" w:rsidRPr="001C4D50">
        <w:rPr>
          <w:rFonts w:eastAsia="Times New Roman"/>
          <w:noProof/>
          <w:color w:val="2B579A"/>
          <w:shd w:val="clear" w:color="auto" w:fill="FFFFFF"/>
        </w:rPr>
        <w:fldChar w:fldCharType="end"/>
      </w:r>
      <w:r w:rsidRPr="001C4D50">
        <w:rPr>
          <w:rFonts w:eastAsia="Times New Roman"/>
          <w:noProof/>
        </w:rPr>
        <w:t xml:space="preserve">. Zygotic cells (prior to epiblast formation; </w:t>
      </w:r>
      <w:r w:rsidR="00433DC5" w:rsidRPr="001C4D50">
        <w:rPr>
          <w:rFonts w:eastAsia="Times New Roman"/>
          <w:noProof/>
        </w:rPr>
        <w:t xml:space="preserve">human </w:t>
      </w:r>
      <w:r w:rsidRPr="001C4D50">
        <w:rPr>
          <w:rFonts w:eastAsia="Times New Roman"/>
          <w:noProof/>
        </w:rPr>
        <w:t xml:space="preserve">embryonic day 4) are the only source of totipotent cells; these can differentiate into the three primary germ cell layers, as well as, extra-embryonic tissues e.g. the placenta. Embryonic stem cells </w:t>
      </w:r>
      <w:r w:rsidR="00FA54A8" w:rsidRPr="001C4D50">
        <w:rPr>
          <w:rFonts w:eastAsia="Times New Roman"/>
          <w:noProof/>
        </w:rPr>
        <w:t xml:space="preserve">(eSCs) </w:t>
      </w:r>
      <w:r w:rsidRPr="001C4D50">
        <w:rPr>
          <w:rFonts w:eastAsia="Times New Roman"/>
          <w:noProof/>
        </w:rPr>
        <w:t>and induced pluripotent stem cells (iPSCs)</w:t>
      </w:r>
      <w:r w:rsidR="00AB6704" w:rsidRPr="001C4D50">
        <w:rPr>
          <w:rFonts w:eastAsia="Times New Roman"/>
          <w:noProof/>
        </w:rPr>
        <w:t xml:space="preserve"> </w:t>
      </w:r>
      <w:r w:rsidR="005711A8" w:rsidRPr="001C4D50">
        <w:rPr>
          <w:rFonts w:eastAsia="Times New Roman"/>
          <w:noProof/>
          <w:color w:val="2B579A"/>
          <w:shd w:val="clear" w:color="auto" w:fill="FFFFFF"/>
        </w:rPr>
        <w:fldChar w:fldCharType="begin" w:fldLock="1"/>
      </w:r>
      <w:r w:rsidR="004606A0" w:rsidRPr="001C4D50">
        <w:rPr>
          <w:rFonts w:eastAsia="Times New Roman"/>
          <w:noProof/>
          <w:shd w:val="clear" w:color="auto" w:fill="FFFFFF"/>
        </w:rPr>
        <w:instrText>ADDIN CSL_CITATION {"citationItems":[{"id":"ITEM-1","itemData":{"DOI":"10.1016/j.cell.2007.11.019","ISSN":"00928674","PMID":"18035408","abstract":"Successful reprogramming of differentiated human somatic cells into a pluripotent state would allow creation of patient- and disease-specific stem cells. We previously reported generation of induced pluripotent stem (iPS) cells, capable of germline transmission, from mouse somatic cells by transduction of four defined transcription factors. Here, we demonstrate the generation of iPS cells from adult human dermal fibroblasts with the same four factors: Oct3/4, Sox2, Klf4, and c-Myc. Human iPS cells were similar to human embryonic stem (ES) cells in morphology, proliferation, surface antigens, gene expression, epigenetic status of pluripotent cell-specific genes, and telomerase activity. Furthermore, these cells could differentiate into cell types of the three germ layers in vitro and in teratomas. These findings demonstrate that iPS cells can be generated from adult human fibroblasts. © 2007 Elsevier Inc. All rights reserved.","author":[{"dropping-particle":"","family":"Takahashi","given":"Kazutoshi","non-dropping-particle":"","parse-names":false,"suffix":""},{"dropping-particle":"","family":"Tanabe","given":"Koji","non-dropping-particle":"","parse-names":false,"suffix":""},{"dropping-particle":"","family":"Ohnuki","given":"Mari","non-dropping-particle":"","parse-names":false,"suffix":""},{"dropping-particle":"","family":"Narita","given":"Megumi","non-dropping-particle":"","parse-names":false,"suffix":""},{"dropping-particle":"","family":"Ichisaka","given":"Tomoko","non-dropping-particle":"","parse-names":false,"suffix":""},{"dropping-particle":"","family":"Tomoda","given":"Kiichiro","non-dropping-particle":"","parse-names":false,"suffix":""},{"dropping-particle":"","family":"Yamanaka","given":"Shinya","non-dropping-particle":"","parse-names":false,"suffix":""}],"container-title":"Cell","id":"ITEM-1","issue":"5","issued":{"date-parts":[["2007"]]},"page":"861-872","title":"Induction of Pluripotent Stem Cells from Adult Human Fibroblasts by Defined Factors","type":"article-journal","volume":"131"},"uris":["http://www.mendeley.com/documents/?uuid=d1a400ad-c254-4c62-8bf5-c0bd3e9e75b3"]}],"mendeley":{"formattedCitation":"[34]","plainTextFormattedCitation":"[34]","previouslyFormattedCitation":"[34]"},"properties":{"noteIndex":0},"schema":"https://github.com/citation-style-language/schema/raw/master/csl-citation.json"}</w:instrText>
      </w:r>
      <w:r w:rsidR="005711A8" w:rsidRPr="001C4D50">
        <w:rPr>
          <w:rFonts w:eastAsia="Times New Roman"/>
          <w:noProof/>
          <w:color w:val="2B579A"/>
          <w:shd w:val="clear" w:color="auto" w:fill="FFFFFF"/>
        </w:rPr>
        <w:fldChar w:fldCharType="separate"/>
      </w:r>
      <w:r w:rsidR="004172C0" w:rsidRPr="001C4D50">
        <w:rPr>
          <w:rFonts w:eastAsia="Times New Roman"/>
          <w:noProof/>
          <w:shd w:val="clear" w:color="auto" w:fill="FFFFFF"/>
        </w:rPr>
        <w:t>[34]</w:t>
      </w:r>
      <w:r w:rsidR="005711A8" w:rsidRPr="001C4D50">
        <w:rPr>
          <w:rFonts w:eastAsia="Times New Roman"/>
          <w:noProof/>
          <w:color w:val="2B579A"/>
          <w:shd w:val="clear" w:color="auto" w:fill="FFFFFF"/>
        </w:rPr>
        <w:fldChar w:fldCharType="end"/>
      </w:r>
      <w:r w:rsidRPr="001C4D50">
        <w:rPr>
          <w:rFonts w:eastAsia="Times New Roman"/>
          <w:noProof/>
        </w:rPr>
        <w:t xml:space="preserve"> are pluripotent and can give rise to any cells in an organism</w:t>
      </w:r>
      <w:r w:rsidR="003D7606" w:rsidRPr="001C4D50">
        <w:rPr>
          <w:rFonts w:eastAsia="Times New Roman"/>
          <w:noProof/>
        </w:rPr>
        <w:t xml:space="preserve"> except t</w:t>
      </w:r>
      <w:r w:rsidR="009156E9" w:rsidRPr="001C4D50">
        <w:rPr>
          <w:rFonts w:eastAsia="Times New Roman"/>
          <w:noProof/>
        </w:rPr>
        <w:t>he extra-embryonic cells</w:t>
      </w:r>
      <w:r w:rsidRPr="001C4D50">
        <w:rPr>
          <w:rFonts w:eastAsia="Times New Roman"/>
          <w:noProof/>
        </w:rPr>
        <w:t>. The vast majority of work aimed at using stem cells for cartilage repair however has focused upon multipotent stem cells, namely mesenchymal stromal cells (MSCs) that can differentiate into several closely related lineages.</w:t>
      </w:r>
    </w:p>
    <w:p w14:paraId="00489571" w14:textId="77777777" w:rsidR="00BC52F4" w:rsidRPr="001C4D50" w:rsidRDefault="00BC52F4" w:rsidP="00960366">
      <w:pPr>
        <w:rPr>
          <w:rFonts w:eastAsia="Times New Roman" w:cstheme="minorHAnsi"/>
          <w:b/>
          <w:noProof/>
          <w:shd w:val="clear" w:color="auto" w:fill="FFFFFF"/>
        </w:rPr>
      </w:pPr>
    </w:p>
    <w:p w14:paraId="66D8180C" w14:textId="173B0DE5" w:rsidR="003D7606" w:rsidRPr="001C4D50" w:rsidRDefault="00207344" w:rsidP="00960366">
      <w:pPr>
        <w:autoSpaceDE w:val="0"/>
        <w:autoSpaceDN w:val="0"/>
        <w:adjustRightInd w:val="0"/>
        <w:rPr>
          <w:rFonts w:eastAsia="Times New Roman"/>
          <w:noProof/>
          <w:shd w:val="clear" w:color="auto" w:fill="FFFFFF"/>
        </w:rPr>
      </w:pPr>
      <w:r w:rsidRPr="001C4D50">
        <w:rPr>
          <w:rFonts w:eastAsia="Times New Roman"/>
          <w:noProof/>
          <w:shd w:val="clear" w:color="auto" w:fill="FFFFFF"/>
        </w:rPr>
        <w:t>MSC</w:t>
      </w:r>
      <w:r w:rsidR="0D6053FC" w:rsidRPr="001C4D50">
        <w:rPr>
          <w:rFonts w:eastAsia="Times New Roman"/>
          <w:noProof/>
        </w:rPr>
        <w:t>s</w:t>
      </w:r>
      <w:r w:rsidRPr="001C4D50">
        <w:rPr>
          <w:rFonts w:eastAsia="Times New Roman"/>
          <w:noProof/>
          <w:shd w:val="clear" w:color="auto" w:fill="FFFFFF"/>
        </w:rPr>
        <w:t xml:space="preserve"> are heterogeneous cells capable of self renewal and can differentiate into various musculoskeletal lineages (</w:t>
      </w:r>
      <w:r w:rsidRPr="001C4D50">
        <w:rPr>
          <w:rFonts w:eastAsia="Times New Roman"/>
          <w:color w:val="201F1E"/>
          <w:shd w:val="clear" w:color="auto" w:fill="FFFFFF"/>
        </w:rPr>
        <w:t xml:space="preserve">osteogenic, </w:t>
      </w:r>
      <w:proofErr w:type="spellStart"/>
      <w:r w:rsidRPr="001C4D50">
        <w:rPr>
          <w:rFonts w:eastAsia="Times New Roman"/>
          <w:color w:val="201F1E"/>
          <w:shd w:val="clear" w:color="auto" w:fill="FFFFFF"/>
        </w:rPr>
        <w:t>chondrogenic</w:t>
      </w:r>
      <w:proofErr w:type="spellEnd"/>
      <w:r w:rsidRPr="001C4D50">
        <w:rPr>
          <w:rFonts w:eastAsia="Times New Roman"/>
          <w:color w:val="201F1E"/>
          <w:shd w:val="clear" w:color="auto" w:fill="FFFFFF"/>
        </w:rPr>
        <w:t xml:space="preserve"> and </w:t>
      </w:r>
      <w:proofErr w:type="spellStart"/>
      <w:r w:rsidRPr="001C4D50">
        <w:rPr>
          <w:rFonts w:eastAsia="Times New Roman"/>
          <w:color w:val="201F1E"/>
          <w:shd w:val="clear" w:color="auto" w:fill="FFFFFF"/>
        </w:rPr>
        <w:t>adipogenic</w:t>
      </w:r>
      <w:proofErr w:type="spellEnd"/>
      <w:r w:rsidRPr="001C4D50">
        <w:rPr>
          <w:rFonts w:eastAsia="Times New Roman"/>
          <w:noProof/>
          <w:shd w:val="clear" w:color="auto" w:fill="FFFFFF"/>
        </w:rPr>
        <w:t>) as well as neural precusors</w:t>
      </w:r>
      <w:r w:rsidR="00984F87" w:rsidRPr="001C4D50">
        <w:rPr>
          <w:rFonts w:eastAsia="Times New Roman"/>
          <w:noProof/>
          <w:color w:val="2B579A"/>
          <w:shd w:val="clear" w:color="auto" w:fill="FFFFFF"/>
        </w:rPr>
        <w:t xml:space="preserve"> </w:t>
      </w:r>
      <w:r w:rsidRPr="001C4D50">
        <w:rPr>
          <w:rFonts w:eastAsia="Times New Roman"/>
          <w:noProof/>
          <w:color w:val="2B579A"/>
          <w:shd w:val="clear" w:color="auto" w:fill="FFFFFF"/>
        </w:rPr>
        <w:fldChar w:fldCharType="begin" w:fldLock="1"/>
      </w:r>
      <w:r w:rsidR="009156E9" w:rsidRPr="001C4D50">
        <w:rPr>
          <w:rFonts w:eastAsia="Times New Roman"/>
          <w:noProof/>
          <w:shd w:val="clear" w:color="auto" w:fill="FFFFFF"/>
        </w:rPr>
        <w:instrText>ADDIN CSL_CITATION {"citationItems":[{"id":"ITEM-1","itemData":{"DOI":"10.1080/14653240600855905","ISSN":"1465-3249","PMID":"16923606","abstract":"The considerable therapeutic potential of human multipotent mesenchymal stromal cells (MSC) has generated markedly increasing interest in a wide variety of biomedical disciplines. However, investigators report studies of MSC using different methods of isolation and expansion, and different approaches to characterizing the cells. Thus it is increasingly difficult to compare and contrast study outcomes, which hinders progress in the field. To begin to address this issue, the Mesenchymal and Tissue Stem Cell Committee of the International Society for Cellular Therapy proposes minimal criteria to define human MSC. First, MSC must be plastic-adherent when maintained in standard culture conditions. Second, MSC must express CD105, CD73 and CD90, and lack expression of CD45, CD34, CD14 or CD11b, CD79alpha or CD19 and HLA-DR surface molecules. Third, MSC must differentiate to osteoblasts, adipocytes and chondroblasts in vitro. While these criteria will probably require modification as new knowledge unfolds, we believe this minimal set of standard criteria will foster a more uniform characterization of MSC and facilitate the exchange of data among investigators.","author":[{"dropping-particle":"","family":"Dominici","given":"M","non-dropping-particle":"","parse-names":false,"suffix":""},{"dropping-particle":"","family":"Blanc","given":"K","non-dropping-particle":"Le","parse-names":false,"suffix":""},{"dropping-particle":"","family":"Mueller","given":"I","non-dropping-particle":"","parse-names":false,"suffix":""},{"dropping-particle":"","family":"Slaper-Cortenbach","given":"I","non-dropping-particle":"","parse-names":false,"suffix":""},{"dropping-particle":"","family":"Marini","given":"Fc","non-dropping-particle":"","parse-names":false,"suffix":""},{"dropping-particle":"","family":"Krause","given":"Ds","non-dropping-particle":"","parse-names":false,"suffix":""},{"dropping-particle":"","family":"Deans","given":"Rj","non-dropping-particle":"","parse-names":false,"suffix":""},{"dropping-particle":"","family":"Keating","given":"a","non-dropping-particle":"","parse-names":false,"suffix":""},{"dropping-particle":"","family":"Prockop","given":"Dj","non-dropping-particle":"","parse-names":false,"suffix":""},{"dropping-particle":"","family":"Horwitz","given":"Em","non-dropping-particle":"","parse-names":false,"suffix":""}],"container-title":"Cytotherapy","id":"ITEM-1","issue":"4","issued":{"date-parts":[["2006","1"]]},"page":"315-317","title":"Minimal criteria for defining multipotent mesenchymal stromal cells. The International Society for Cellular Therapy position statement.","type":"article-journal","volume":"8"},"uris":["http://www.mendeley.com/documents/?uuid=4f66a201-03ff-439d-b007-09b0a5d77af3"]},{"id":"ITEM-2","itemData":{"DOI":"10.1126/science.284.5411.143","ISSN":"00368075","PMID":"10102814","abstract":"Human mesenchymal stern cells are thought to be multi potent cells, which are present in adult marrow, that can replicate as undifferentiated cells and that have the potential to differentiate to lineages of mesenchymal tissues, including bone, cartilage, fat, tendon, muscle, and marrow stroma. Cells that have the characteristics of human mesenchymal stem cells were isolated from marrow aspirates of volunteer donors. These cells displayed a stable phenotype and remained as a monolayer in vitro. These adult stem cells could be induced to differentiate exclusively into the adipocytic, chondrocytic, or osteocytic lineages. Individual stern cells were identified that, when expanded to colonies, retained their multilineage potential.","author":[{"dropping-particle":"","family":"Pittenger","given":"Mark F","non-dropping-particle":"","parse-names":false,"suffix":""},{"dropping-particle":"","family":"Mackay","given":"Alastair M","non-dropping-particle":"","parse-names":false,"suffix":""},{"dropping-particle":"","family":"Beck","given":"Stephen C","non-dropping-particle":"","parse-names":false,"suffix":""},{"dropping-particle":"","family":"Jaiswal","given":"Rama K","non-dropping-particle":"","parse-names":false,"suffix":""},{"dropping-particle":"","family":"Douglas","given":"Robin","non-dropping-particle":"","parse-names":false,"suffix":""},{"dropping-particle":"","family":"Mosca","given":"Joseph D","non-dropping-particle":"","parse-names":false,"suffix":""},{"dropping-particle":"","family":"Moorman","given":"Mark A","non-dropping-particle":"","parse-names":false,"suffix":""},{"dropping-particle":"","family":"Simonetti","given":"Donald W","non-dropping-particle":"","parse-names":false,"suffix":""},{"dropping-particle":"","family":"Craig","given":"Stewart","non-dropping-particle":"","parse-names":false,"suffix":""},{"dropping-particle":"","family":"Marshak","given":"Daniel R","non-dropping-particle":"","parse-names":false,"suffix":""}],"container-title":"Science","id":"ITEM-2","issue":"5411","issued":{"date-parts":[["1999"]]},"page":"143-147","title":"Multilineage potential of adult human mesenchymal stem cells","type":"article-journal","volume":"284"},"uris":["http://www.mendeley.com/documents/?uuid=05183a93-e9f1-41dd-9679-3b6b01959b68"]}],"mendeley":{"formattedCitation":"[35,36]","plainTextFormattedCitation":"[35,36]","previouslyFormattedCitation":"[35,36]"},"properties":{"noteIndex":0},"schema":"https://github.com/citation-style-language/schema/raw/master/csl-citation.json"}</w:instrText>
      </w:r>
      <w:r w:rsidRPr="001C4D50">
        <w:rPr>
          <w:rFonts w:eastAsia="Times New Roman"/>
          <w:noProof/>
          <w:color w:val="2B579A"/>
          <w:shd w:val="clear" w:color="auto" w:fill="FFFFFF"/>
        </w:rPr>
        <w:fldChar w:fldCharType="separate"/>
      </w:r>
      <w:r w:rsidR="00984F87" w:rsidRPr="001C4D50">
        <w:rPr>
          <w:rFonts w:eastAsia="Times New Roman"/>
          <w:noProof/>
          <w:shd w:val="clear" w:color="auto" w:fill="FFFFFF"/>
        </w:rPr>
        <w:t>[35,36]</w:t>
      </w:r>
      <w:r w:rsidRPr="001C4D50">
        <w:rPr>
          <w:rFonts w:eastAsia="Times New Roman"/>
          <w:noProof/>
          <w:color w:val="2B579A"/>
          <w:shd w:val="clear" w:color="auto" w:fill="FFFFFF"/>
        </w:rPr>
        <w:fldChar w:fldCharType="end"/>
      </w:r>
      <w:r w:rsidR="00433DC5" w:rsidRPr="001C4D50">
        <w:rPr>
          <w:rFonts w:eastAsia="Times New Roman"/>
          <w:noProof/>
        </w:rPr>
        <w:t xml:space="preserve"> (Figure 2)</w:t>
      </w:r>
      <w:r w:rsidR="008D0DDD" w:rsidRPr="001C4D50">
        <w:rPr>
          <w:rFonts w:eastAsia="Times New Roman"/>
          <w:noProof/>
        </w:rPr>
        <w:t xml:space="preserve">; this heterogenous population </w:t>
      </w:r>
      <w:r w:rsidR="008D0DDD" w:rsidRPr="001C4D50">
        <w:t>decreases its clonal complexity with increased passaging</w:t>
      </w:r>
      <w:r w:rsidR="001C418A" w:rsidRPr="001C4D50">
        <w:t xml:space="preserve"> </w:t>
      </w:r>
      <w:r w:rsidR="008D0DDD" w:rsidRPr="001C4D50">
        <w:t>in culture</w:t>
      </w:r>
      <w:r w:rsidR="001C418A" w:rsidRPr="001C4D50">
        <w:t xml:space="preserve"> (</w:t>
      </w:r>
      <w:r w:rsidR="00EF14FE" w:rsidRPr="001C4D50">
        <w:t xml:space="preserve">reseeding </w:t>
      </w:r>
      <w:r w:rsidR="0009792A" w:rsidRPr="001C4D50">
        <w:t xml:space="preserve">at a lower density </w:t>
      </w:r>
      <w:r w:rsidR="00EF14FE" w:rsidRPr="001C4D50">
        <w:t>for the purpose of increasing cell number</w:t>
      </w:r>
      <w:r w:rsidR="001C418A" w:rsidRPr="001C4D50">
        <w:t>)</w:t>
      </w:r>
      <w:r w:rsidR="001A6CA9" w:rsidRPr="001C4D50">
        <w:t xml:space="preserve"> </w:t>
      </w:r>
      <w:r w:rsidR="001A6CA9" w:rsidRPr="001C4D50">
        <w:fldChar w:fldCharType="begin" w:fldLock="1"/>
      </w:r>
      <w:r w:rsidR="00654839" w:rsidRPr="001C4D50">
        <w:instrText>ADDIN CSL_CITATION {"citationItems":[{"id":"ITEM-1","itemData":{"ISSN":"20573995","PMID":"31815001","abstract":"The terms MSC and MSCs have become the preferred acronym to describe a cell and a cell population of multipotential stem/progenitor cells commonly referred to as mesenchymal stem cells, multipotential stromal cells, mesenchymal stromal cells, and mesenchymal progenitor cells. The MSCs can differentiate to important lineages under defined conditions in vitro and in limited situations after implantation in vivo. MSCs were isolated and described about 30 years ago and now there are over 55,000 publications on MSCs readily available. Here, we have focused on human MSCs whenever possible. The MSCs have broad anti-inflammatory and immune-modulatory properties. At present, these provide the greatest focus of human MSCs in clinical testing; however, the properties of cultured MSCs in vitro suggest they can have broader applications. The medical utility of MSCs continues to be investigated in over 950 clinical trials. There has been much progress in understanding MSCs over the years, and there is a strong foundation for future scientific research and clinical applications, but also some important questions remain to be answered. Developing further methods to understand and unlock MSC potential through intracellular and intercellular signaling, biomedical engineering, delivery methods and patient selection should all provide substantial advancements in the coming years and greater clinical opportunities. The expansive and growing field of MSC research is teaching us basic human cell biology as well as how to use this type of cell for cellular therapy in a variety of clinical settings, and while much promise is evident, careful new work is still needed.","author":[{"dropping-particle":"","family":"Pittenger","given":"Mark F","non-dropping-particle":"","parse-names":false,"suffix":""},{"dropping-particle":"","family":"Discher","given":"Dennis E","non-dropping-particle":"","parse-names":false,"suffix":""},{"dropping-particle":"","family":"Péault","given":"Bruno M","non-dropping-particle":"","parse-names":false,"suffix":""},{"dropping-particle":"","family":"Phinney","given":"Donald G","non-dropping-particle":"","parse-names":false,"suffix":""},{"dropping-particle":"","family":"Hare","given":"Joshua M","non-dropping-particle":"","parse-names":false,"suffix":""},{"dropping-particle":"","family":"Caplan","given":"Arnold I","non-dropping-particle":"","parse-names":false,"suffix":""}],"container-title":"npj Regenerative Medicine","id":"ITEM-1","issue":"1","issued":{"date-parts":[["2019"]]},"publisher":"Springer US","title":"Mesenchymal stem cell perspective: cell biology to clinical progress","type":"article-journal","volume":"4"},"uris":["http://www.mendeley.com/documents/?uuid=927d34e7-a421-4da4-8b73-e29e9aa8347d"]}],"mendeley":{"formattedCitation":"[37]","plainTextFormattedCitation":"[37]","previouslyFormattedCitation":"[37]"},"properties":{"noteIndex":0},"schema":"https://github.com/citation-style-language/schema/raw/master/csl-citation.json"}</w:instrText>
      </w:r>
      <w:r w:rsidR="001A6CA9" w:rsidRPr="001C4D50">
        <w:fldChar w:fldCharType="separate"/>
      </w:r>
      <w:r w:rsidR="001A6CA9" w:rsidRPr="001C4D50">
        <w:rPr>
          <w:noProof/>
        </w:rPr>
        <w:t>[37]</w:t>
      </w:r>
      <w:r w:rsidR="001A6CA9" w:rsidRPr="001C4D50">
        <w:fldChar w:fldCharType="end"/>
      </w:r>
      <w:r w:rsidR="001A6CA9" w:rsidRPr="001C4D50">
        <w:t xml:space="preserve">. </w:t>
      </w:r>
      <w:r w:rsidR="00AD4B6C" w:rsidRPr="001C4D50">
        <w:rPr>
          <w:rFonts w:eastAsia="Times New Roman"/>
          <w:color w:val="000000"/>
          <w:shd w:val="clear" w:color="auto" w:fill="FFFFFF"/>
          <w:lang w:eastAsia="en-US"/>
        </w:rPr>
        <w:t xml:space="preserve">It is well known, however, that BM- derived MSCs demonstrate significant heterogeneity in multi-lineage differentiation potential and </w:t>
      </w:r>
      <w:proofErr w:type="spellStart"/>
      <w:r w:rsidR="00AD4B6C" w:rsidRPr="001C4D50">
        <w:rPr>
          <w:rFonts w:eastAsia="Times New Roman"/>
          <w:color w:val="000000"/>
          <w:shd w:val="clear" w:color="auto" w:fill="FFFFFF"/>
          <w:lang w:eastAsia="en-US"/>
        </w:rPr>
        <w:t>clonogenicity</w:t>
      </w:r>
      <w:proofErr w:type="spellEnd"/>
      <w:r w:rsidR="000B2C35" w:rsidRPr="001C4D50">
        <w:rPr>
          <w:rFonts w:eastAsia="Times New Roman"/>
          <w:color w:val="000000"/>
          <w:shd w:val="clear" w:color="auto" w:fill="FFFFFF"/>
          <w:lang w:eastAsia="en-US"/>
        </w:rPr>
        <w:t xml:space="preserve"> </w:t>
      </w:r>
      <w:r w:rsidR="000B2C35" w:rsidRPr="001C4D50">
        <w:rPr>
          <w:rFonts w:eastAsia="Times New Roman"/>
          <w:color w:val="000000"/>
          <w:shd w:val="clear" w:color="auto" w:fill="FFFFFF"/>
          <w:lang w:eastAsia="en-US"/>
        </w:rPr>
        <w:fldChar w:fldCharType="begin" w:fldLock="1"/>
      </w:r>
      <w:r w:rsidR="00C8414E" w:rsidRPr="001C4D50">
        <w:rPr>
          <w:rFonts w:eastAsia="Times New Roman"/>
          <w:color w:val="000000"/>
          <w:shd w:val="clear" w:color="auto" w:fill="FFFFFF"/>
          <w:lang w:eastAsia="en-US"/>
        </w:rPr>
        <w:instrText>ADDIN CSL_CITATION {"citationItems":[{"id":"ITEM-1","itemData":{"DOI":"10.2217/rme-2018-0145","ISSN":"1746076X","PMID":"31115266","abstract":"Mesenchymal stem cells (MSCs) are in development for many clinical indications, based both on 'stem' properties (tissue repair or regeneration) and on signaling repertoire (immunomodulatory and anti-inflammatory effects). Potential conflation of MSC properties with those of tissue-derived stromal cells presents difficulties in comparing study outcomes and represents a source of confusion in cell therapy development. Cultured MSCs demonstrate significant heterogeneity in clonogenicity and multi-lineage differentiation potential. However in vivo biology of MSCs includes native functions unrelated to regenerative medicine applications, so do nomenclature and heterogeneity matter? In this perspective we examine some consequences of the nomenclature debate and heterogeneity of MSCs. Regulatory expectations are considered, emphasizing that product development should prioritize detailed characterization of therapeutic cell populations for specific indications.","author":[{"dropping-particle":"","family":"Wilson","given":"Alison","non-dropping-particle":"","parse-names":false,"suffix":""},{"dropping-particle":"","family":"Webster","given":"Andrew","non-dropping-particle":"","parse-names":false,"suffix":""},{"dropping-particle":"","family":"Genever","given":"Paul","non-dropping-particle":"","parse-names":false,"suffix":""}],"container-title":"Regenerative Medicine","id":"ITEM-1","issue":"6","issued":{"date-parts":[["2019"]]},"page":"595-611","title":"Nomenclature and heterogeneity: Consequences for the use of mesenchymal stem cells in regenerative medicine","type":"article-journal","volume":"14"},"uris":["http://www.mendeley.com/documents/?uuid=8ab3b1a2-cb2f-4124-88ac-6ec5aef1b1d7"]}],"mendeley":{"formattedCitation":"[38]","plainTextFormattedCitation":"[38]","previouslyFormattedCitation":"[38]"},"properties":{"noteIndex":0},"schema":"https://github.com/citation-style-language/schema/raw/master/csl-citation.json"}</w:instrText>
      </w:r>
      <w:r w:rsidR="000B2C35" w:rsidRPr="001C4D50">
        <w:rPr>
          <w:rFonts w:eastAsia="Times New Roman"/>
          <w:color w:val="000000"/>
          <w:shd w:val="clear" w:color="auto" w:fill="FFFFFF"/>
          <w:lang w:eastAsia="en-US"/>
        </w:rPr>
        <w:fldChar w:fldCharType="separate"/>
      </w:r>
      <w:r w:rsidR="000B2C35" w:rsidRPr="001C4D50">
        <w:rPr>
          <w:rFonts w:eastAsia="Times New Roman"/>
          <w:noProof/>
          <w:color w:val="000000"/>
          <w:shd w:val="clear" w:color="auto" w:fill="FFFFFF"/>
          <w:lang w:eastAsia="en-US"/>
        </w:rPr>
        <w:t>[38]</w:t>
      </w:r>
      <w:r w:rsidR="000B2C35" w:rsidRPr="001C4D50">
        <w:rPr>
          <w:rFonts w:eastAsia="Times New Roman"/>
          <w:color w:val="000000"/>
          <w:shd w:val="clear" w:color="auto" w:fill="FFFFFF"/>
          <w:lang w:eastAsia="en-US"/>
        </w:rPr>
        <w:fldChar w:fldCharType="end"/>
      </w:r>
      <w:r w:rsidR="00AD4B6C" w:rsidRPr="001C4D50">
        <w:rPr>
          <w:rFonts w:eastAsia="Times New Roman"/>
          <w:color w:val="000000"/>
          <w:shd w:val="clear" w:color="auto" w:fill="FFFFFF"/>
          <w:lang w:eastAsia="en-US"/>
        </w:rPr>
        <w:t xml:space="preserve">. </w:t>
      </w:r>
      <w:r w:rsidRPr="001C4D50">
        <w:rPr>
          <w:noProof/>
        </w:rPr>
        <w:t xml:space="preserve">MSCs were first identified in 1966 by Friedenstein and Petrakova, who isolated progenitor cells from </w:t>
      </w:r>
      <w:r w:rsidR="00433DC5" w:rsidRPr="001C4D50">
        <w:rPr>
          <w:noProof/>
        </w:rPr>
        <w:t>rat</w:t>
      </w:r>
      <w:r w:rsidRPr="001C4D50">
        <w:rPr>
          <w:noProof/>
        </w:rPr>
        <w:t xml:space="preserve"> bone marrow</w:t>
      </w:r>
      <w:r w:rsidR="004606A0" w:rsidRPr="001C4D50">
        <w:rPr>
          <w:noProof/>
        </w:rPr>
        <w:t xml:space="preserve"> </w:t>
      </w:r>
      <w:r w:rsidRPr="001C4D50">
        <w:rPr>
          <w:noProof/>
        </w:rPr>
        <w:fldChar w:fldCharType="begin" w:fldLock="1"/>
      </w:r>
      <w:r w:rsidR="00C8414E" w:rsidRPr="001C4D50">
        <w:rPr>
          <w:noProof/>
        </w:rPr>
        <w:instrText>ADDIN CSL_CITATION {"citationItems":[{"id":"ITEM-1","itemData":{"author":[{"dropping-particle":"","family":"Friedenstein","given":"A J","non-dropping-particle":"","parse-names":false,"suffix":""},{"dropping-particle":"","family":"Piatetzky-Shapiro","given":"I","non-dropping-particle":"","parse-names":false,"suffix":""},{"dropping-particle":"V","family":"Petrakova","given":"K","non-dropping-particle":"","parse-names":false,"suffix":""}],"container-title":"Embryol. exp. Morph","id":"ITEM-1","issue":"3","issued":{"date-parts":[["1966"]]},"page":"390-581","title":"Osteogenesis in transplants of bone marrow cells","type":"article-journal","volume":"16"},"uris":["http://www.mendeley.com/documents/?uuid=71eeaefa-e42b-41d6-b3f1-28dae8c6b464"]}],"mendeley":{"formattedCitation":"[39]","plainTextFormattedCitation":"[39]","previouslyFormattedCitation":"[39]"},"properties":{"noteIndex":0},"schema":"https://github.com/citation-style-language/schema/raw/master/csl-citation.json"}</w:instrText>
      </w:r>
      <w:r w:rsidRPr="001C4D50">
        <w:rPr>
          <w:noProof/>
        </w:rPr>
        <w:fldChar w:fldCharType="separate"/>
      </w:r>
      <w:r w:rsidR="000B2C35" w:rsidRPr="001C4D50">
        <w:rPr>
          <w:noProof/>
        </w:rPr>
        <w:t>[39]</w:t>
      </w:r>
      <w:r w:rsidRPr="001C4D50">
        <w:rPr>
          <w:noProof/>
        </w:rPr>
        <w:fldChar w:fldCharType="end"/>
      </w:r>
      <w:r w:rsidR="004606A0" w:rsidRPr="001C4D50">
        <w:rPr>
          <w:noProof/>
        </w:rPr>
        <w:t>.</w:t>
      </w:r>
      <w:r w:rsidR="0673BFA8" w:rsidRPr="001C4D50">
        <w:rPr>
          <w:noProof/>
        </w:rPr>
        <w:t xml:space="preserve"> T</w:t>
      </w:r>
      <w:r w:rsidR="00433DC5" w:rsidRPr="001C4D50">
        <w:rPr>
          <w:noProof/>
        </w:rPr>
        <w:t>hey</w:t>
      </w:r>
      <w:r w:rsidRPr="001C4D50">
        <w:rPr>
          <w:noProof/>
        </w:rPr>
        <w:t xml:space="preserve"> were officially coined </w:t>
      </w:r>
      <w:r w:rsidR="00433DC5" w:rsidRPr="001C4D50">
        <w:rPr>
          <w:noProof/>
        </w:rPr>
        <w:t>M</w:t>
      </w:r>
      <w:r w:rsidRPr="001C4D50">
        <w:rPr>
          <w:rFonts w:eastAsia="Times New Roman"/>
          <w:noProof/>
          <w:shd w:val="clear" w:color="auto" w:fill="FFFFFF"/>
        </w:rPr>
        <w:t>esenchymal</w:t>
      </w:r>
      <w:r w:rsidRPr="001C4D50">
        <w:rPr>
          <w:noProof/>
        </w:rPr>
        <w:t xml:space="preserve"> ‘</w:t>
      </w:r>
      <w:r w:rsidR="00433DC5" w:rsidRPr="001C4D50">
        <w:rPr>
          <w:noProof/>
        </w:rPr>
        <w:t>S</w:t>
      </w:r>
      <w:r w:rsidRPr="001C4D50">
        <w:rPr>
          <w:noProof/>
        </w:rPr>
        <w:t xml:space="preserve">tem’ </w:t>
      </w:r>
      <w:r w:rsidR="00433DC5" w:rsidRPr="001C4D50">
        <w:rPr>
          <w:noProof/>
        </w:rPr>
        <w:t>C</w:t>
      </w:r>
      <w:r w:rsidRPr="001C4D50">
        <w:rPr>
          <w:noProof/>
        </w:rPr>
        <w:t xml:space="preserve">ells in 1991 </w:t>
      </w:r>
      <w:r w:rsidRPr="001C4D50">
        <w:rPr>
          <w:color w:val="2B579A"/>
          <w:shd w:val="clear" w:color="auto" w:fill="E6E6E6"/>
        </w:rPr>
        <w:fldChar w:fldCharType="begin" w:fldLock="1"/>
      </w:r>
      <w:r w:rsidR="00C8414E" w:rsidRPr="001C4D50">
        <w:instrText>ADDIN CSL_CITATION {"citationItems":[{"id":"ITEM-1","itemData":{"DOI":"10.1002/jor.1100090504","ISSN":"0736-0266 (Print)","PMID":"1870029","abstract":"Bone and cartilage formation in the embryo and repair and turnover in the adult involve the progeny of a small number of cells called mesenchymal stem cells. These cells divide, and their progeny become committed to a specific and distinctive phenotypic pathway, a lineage with discrete steps and, finally, end-stage cells involved with fabrication of a unique tissue type, e.g., cartilage or bone. Local cuing (extrinsic factors) and the genomic potential (intrinsic factors) interact at each lineage step to control the rate and characteristic phenotype of the cells in the emerging tissue. The study of these mesenchymal stem cells, whether isolated from embryos or adults, provides the basis for the emergence of a new therapeutic technology of self-cell repair. The isolation, mitotic expansion, and site-directed delivery of autologous stem cells can govern the rapid and specific repair of skeletal tissues.","author":[{"dropping-particle":"","family":"Caplan","given":"A I","non-dropping-particle":"","parse-names":false,"suffix":""}],"container-title":"Journal of orthopaedic research : official publication of the Orthopaedic Research Society","id":"ITEM-1","issue":"5","issued":{"date-parts":[["1991","9"]]},"page":"641-650","title":"Mesenchymal stem cells.","type":"article-journal","volume":"9"},"uris":["http://www.mendeley.com/documents/?uuid=0664772a-364e-4d98-bb17-5244d4943656"]}],"mendeley":{"formattedCitation":"[40]","plainTextFormattedCitation":"[40]","previouslyFormattedCitation":"[40]"},"properties":{"noteIndex":0},"schema":"https://github.com/citation-style-language/schema/raw/master/csl-citation.json"}</w:instrText>
      </w:r>
      <w:r w:rsidRPr="001C4D50">
        <w:rPr>
          <w:color w:val="2B579A"/>
          <w:shd w:val="clear" w:color="auto" w:fill="E6E6E6"/>
        </w:rPr>
        <w:fldChar w:fldCharType="separate"/>
      </w:r>
      <w:r w:rsidR="000B2C35" w:rsidRPr="001C4D50">
        <w:rPr>
          <w:noProof/>
        </w:rPr>
        <w:t>[40]</w:t>
      </w:r>
      <w:r w:rsidRPr="001C4D50">
        <w:rPr>
          <w:color w:val="2B579A"/>
          <w:shd w:val="clear" w:color="auto" w:fill="E6E6E6"/>
        </w:rPr>
        <w:fldChar w:fldCharType="end"/>
      </w:r>
      <w:r w:rsidR="00433DC5" w:rsidRPr="001C4D50">
        <w:t xml:space="preserve">, although this term is somewhat </w:t>
      </w:r>
      <w:r w:rsidRPr="001C4D50">
        <w:t>controversial</w:t>
      </w:r>
      <w:r w:rsidR="00817E6D" w:rsidRPr="001C4D50">
        <w:t xml:space="preserve"> </w:t>
      </w:r>
      <w:r w:rsidRPr="001C4D50">
        <w:fldChar w:fldCharType="begin" w:fldLock="1"/>
      </w:r>
      <w:r w:rsidR="00C8414E" w:rsidRPr="001C4D50">
        <w:instrText>ADDIN CSL_CITATION {"citationItems":[{"id":"ITEM-1","itemData":{"DOI":"10.2217/rme-2018-0145","ISSN":"1746076X","PMID":"31115266","abstract":"Mesenchymal stem cells (MSCs) are in development for many clinical indications, based both on 'stem' properties (tissue repair or regeneration) and on signaling repertoire (immunomodulatory and anti-inflammatory effects). Potential conflation of MSC properties with those of tissue-derived stromal cells presents difficulties in comparing study outcomes and represents a source of confusion in cell therapy development. Cultured MSCs demonstrate significant heterogeneity in clonogenicity and multi-lineage differentiation potential. However in vivo biology of MSCs includes native functions unrelated to regenerative medicine applications, so do nomenclature and heterogeneity matter? In this perspective we examine some consequences of the nomenclature debate and heterogeneity of MSCs. Regulatory expectations are considered, emphasizing that product development should prioritize detailed characterization of therapeutic cell populations for specific indications.","author":[{"dropping-particle":"","family":"Wilson","given":"Alison","non-dropping-particle":"","parse-names":false,"suffix":""},{"dropping-particle":"","family":"Webster","given":"Andrew","non-dropping-particle":"","parse-names":false,"suffix":""},{"dropping-particle":"","family":"Genever","given":"Paul","non-dropping-particle":"","parse-names":false,"suffix":""}],"container-title":"Regenerative Medicine","id":"ITEM-1","issue":"6","issued":{"date-parts":[["2019"]]},"page":"595-611","title":"Nomenclature and heterogeneity: Consequences for the use of mesenchymal stem cells in regenerative medicine","type":"article-journal","volume":"14"},"uris":["http://www.mendeley.com/documents/?uuid=8ab3b1a2-cb2f-4124-88ac-6ec5aef1b1d7"]}],"mendeley":{"formattedCitation":"[38]","plainTextFormattedCitation":"[38]","previouslyFormattedCitation":"[38]"},"properties":{"noteIndex":0},"schema":"https://github.com/citation-style-language/schema/raw/master/csl-citation.json"}</w:instrText>
      </w:r>
      <w:r w:rsidRPr="001C4D50">
        <w:fldChar w:fldCharType="separate"/>
      </w:r>
      <w:r w:rsidR="000B2C35" w:rsidRPr="001C4D50">
        <w:rPr>
          <w:noProof/>
        </w:rPr>
        <w:t>[38]</w:t>
      </w:r>
      <w:r w:rsidRPr="001C4D50">
        <w:fldChar w:fldCharType="end"/>
      </w:r>
      <w:r w:rsidR="00433DC5" w:rsidRPr="001C4D50">
        <w:t>,</w:t>
      </w:r>
      <w:r w:rsidR="00710C58" w:rsidRPr="001C4D50">
        <w:t xml:space="preserve"> with m</w:t>
      </w:r>
      <w:r w:rsidRPr="001C4D50">
        <w:t xml:space="preserve">any investigators preferring the term </w:t>
      </w:r>
      <w:r w:rsidR="00433DC5" w:rsidRPr="001C4D50">
        <w:t>M</w:t>
      </w:r>
      <w:r w:rsidRPr="001C4D50">
        <w:rPr>
          <w:rFonts w:eastAsia="Times New Roman"/>
          <w:noProof/>
          <w:shd w:val="clear" w:color="auto" w:fill="FFFFFF"/>
        </w:rPr>
        <w:t>esenchymal ‘</w:t>
      </w:r>
      <w:r w:rsidR="00433DC5" w:rsidRPr="001C4D50">
        <w:rPr>
          <w:rFonts w:eastAsia="Times New Roman"/>
          <w:noProof/>
        </w:rPr>
        <w:t>S</w:t>
      </w:r>
      <w:r w:rsidRPr="001C4D50">
        <w:rPr>
          <w:rFonts w:eastAsia="Times New Roman"/>
          <w:noProof/>
          <w:shd w:val="clear" w:color="auto" w:fill="FFFFFF"/>
        </w:rPr>
        <w:t xml:space="preserve">tromal’ </w:t>
      </w:r>
      <w:r w:rsidR="00433DC5" w:rsidRPr="001C4D50">
        <w:rPr>
          <w:rFonts w:eastAsia="Times New Roman"/>
          <w:noProof/>
        </w:rPr>
        <w:t>C</w:t>
      </w:r>
      <w:r w:rsidRPr="001C4D50">
        <w:rPr>
          <w:rFonts w:eastAsia="Times New Roman"/>
          <w:noProof/>
          <w:shd w:val="clear" w:color="auto" w:fill="FFFFFF"/>
        </w:rPr>
        <w:t xml:space="preserve">ell, as the </w:t>
      </w:r>
      <w:r w:rsidR="00D76821" w:rsidRPr="001C4D50">
        <w:rPr>
          <w:rFonts w:eastAsia="Times New Roman"/>
          <w:noProof/>
        </w:rPr>
        <w:t xml:space="preserve">main mode of action of MSCs in regenerative medicine may not be due to their differentiation into other cell types but rather </w:t>
      </w:r>
      <w:r w:rsidR="00416A62" w:rsidRPr="001C4D50">
        <w:rPr>
          <w:rFonts w:eastAsia="Times New Roman"/>
          <w:noProof/>
        </w:rPr>
        <w:t>via</w:t>
      </w:r>
      <w:r w:rsidR="00D76821" w:rsidRPr="001C4D50">
        <w:rPr>
          <w:rFonts w:eastAsia="Times New Roman"/>
          <w:noProof/>
        </w:rPr>
        <w:t xml:space="preserve"> their paracrine effects. </w:t>
      </w:r>
      <w:r w:rsidR="00CD0971" w:rsidRPr="001C4D50">
        <w:rPr>
          <w:rFonts w:eastAsia="Times New Roman"/>
          <w:noProof/>
        </w:rPr>
        <w:t>Partly because of this</w:t>
      </w:r>
      <w:r w:rsidR="00D76821" w:rsidRPr="001C4D50">
        <w:rPr>
          <w:rFonts w:eastAsia="Times New Roman"/>
          <w:noProof/>
        </w:rPr>
        <w:t>, a</w:t>
      </w:r>
      <w:r w:rsidRPr="001C4D50">
        <w:rPr>
          <w:rFonts w:eastAsia="Times New Roman"/>
          <w:noProof/>
          <w:shd w:val="clear" w:color="auto" w:fill="FFFFFF"/>
        </w:rPr>
        <w:t xml:space="preserve">lternative names have arisen over the years </w:t>
      </w:r>
      <w:r w:rsidR="00D76821" w:rsidRPr="001C4D50">
        <w:rPr>
          <w:rFonts w:eastAsia="Times New Roman"/>
          <w:noProof/>
        </w:rPr>
        <w:t>such as</w:t>
      </w:r>
      <w:r w:rsidRPr="001C4D50">
        <w:rPr>
          <w:rFonts w:eastAsia="Times New Roman"/>
          <w:noProof/>
          <w:shd w:val="clear" w:color="auto" w:fill="FFFFFF"/>
        </w:rPr>
        <w:t xml:space="preserve"> </w:t>
      </w:r>
      <w:r w:rsidR="003D7606" w:rsidRPr="001C4D50">
        <w:rPr>
          <w:rFonts w:eastAsia="Times New Roman"/>
          <w:noProof/>
          <w:shd w:val="clear" w:color="auto" w:fill="FFFFFF"/>
        </w:rPr>
        <w:t>M</w:t>
      </w:r>
      <w:r w:rsidRPr="001C4D50">
        <w:rPr>
          <w:rFonts w:eastAsia="Times New Roman"/>
          <w:noProof/>
          <w:shd w:val="clear" w:color="auto" w:fill="FFFFFF"/>
        </w:rPr>
        <w:t xml:space="preserve">edicinal </w:t>
      </w:r>
      <w:r w:rsidR="003D7606" w:rsidRPr="001C4D50">
        <w:rPr>
          <w:rFonts w:eastAsia="Times New Roman"/>
          <w:noProof/>
          <w:shd w:val="clear" w:color="auto" w:fill="FFFFFF"/>
        </w:rPr>
        <w:t>S</w:t>
      </w:r>
      <w:r w:rsidRPr="001C4D50">
        <w:rPr>
          <w:rFonts w:eastAsia="Times New Roman"/>
          <w:noProof/>
          <w:shd w:val="clear" w:color="auto" w:fill="FFFFFF"/>
        </w:rPr>
        <w:t xml:space="preserve">ignalling </w:t>
      </w:r>
      <w:r w:rsidR="003D7606" w:rsidRPr="001C4D50">
        <w:rPr>
          <w:rFonts w:eastAsia="Times New Roman"/>
          <w:noProof/>
          <w:shd w:val="clear" w:color="auto" w:fill="FFFFFF"/>
        </w:rPr>
        <w:t>C</w:t>
      </w:r>
      <w:r w:rsidRPr="001C4D50">
        <w:rPr>
          <w:rFonts w:eastAsia="Times New Roman"/>
          <w:noProof/>
          <w:shd w:val="clear" w:color="auto" w:fill="FFFFFF"/>
        </w:rPr>
        <w:t>ells</w:t>
      </w:r>
      <w:r w:rsidRPr="001C4D50">
        <w:rPr>
          <w:color w:val="000000" w:themeColor="text1"/>
        </w:rPr>
        <w:t xml:space="preserve">, </w:t>
      </w:r>
      <w:r w:rsidR="00433DC5" w:rsidRPr="001C4D50">
        <w:rPr>
          <w:color w:val="000000" w:themeColor="text1"/>
        </w:rPr>
        <w:t>M</w:t>
      </w:r>
      <w:r w:rsidRPr="001C4D50">
        <w:rPr>
          <w:rFonts w:eastAsia="Times New Roman"/>
          <w:noProof/>
          <w:shd w:val="clear" w:color="auto" w:fill="FFFFFF"/>
        </w:rPr>
        <w:t xml:space="preserve">esodermal </w:t>
      </w:r>
      <w:r w:rsidR="00433DC5" w:rsidRPr="001C4D50">
        <w:rPr>
          <w:rFonts w:eastAsia="Times New Roman"/>
          <w:noProof/>
        </w:rPr>
        <w:t>S</w:t>
      </w:r>
      <w:r w:rsidRPr="001C4D50">
        <w:rPr>
          <w:rFonts w:eastAsia="Times New Roman"/>
          <w:noProof/>
          <w:shd w:val="clear" w:color="auto" w:fill="FFFFFF"/>
        </w:rPr>
        <w:t xml:space="preserve">tem </w:t>
      </w:r>
      <w:r w:rsidR="00433DC5" w:rsidRPr="001C4D50">
        <w:rPr>
          <w:rFonts w:eastAsia="Times New Roman"/>
          <w:noProof/>
        </w:rPr>
        <w:t>C</w:t>
      </w:r>
      <w:r w:rsidRPr="001C4D50">
        <w:rPr>
          <w:rFonts w:eastAsia="Times New Roman"/>
          <w:noProof/>
          <w:shd w:val="clear" w:color="auto" w:fill="FFFFFF"/>
        </w:rPr>
        <w:t xml:space="preserve">ells </w:t>
      </w:r>
      <w:r w:rsidR="00D76821" w:rsidRPr="001C4D50">
        <w:rPr>
          <w:rFonts w:eastAsia="Times New Roman"/>
          <w:noProof/>
        </w:rPr>
        <w:t>or</w:t>
      </w:r>
      <w:r w:rsidRPr="001C4D50">
        <w:rPr>
          <w:rFonts w:eastAsia="Times New Roman"/>
          <w:noProof/>
          <w:shd w:val="clear" w:color="auto" w:fill="FFFFFF"/>
        </w:rPr>
        <w:t xml:space="preserve"> </w:t>
      </w:r>
      <w:r w:rsidR="003D7606" w:rsidRPr="001C4D50">
        <w:rPr>
          <w:rFonts w:eastAsia="Times New Roman"/>
          <w:noProof/>
          <w:shd w:val="clear" w:color="auto" w:fill="FFFFFF"/>
        </w:rPr>
        <w:t>M</w:t>
      </w:r>
      <w:r w:rsidRPr="001C4D50">
        <w:rPr>
          <w:rFonts w:eastAsia="Times New Roman"/>
          <w:noProof/>
          <w:shd w:val="clear" w:color="auto" w:fill="FFFFFF"/>
        </w:rPr>
        <w:t>u</w:t>
      </w:r>
      <w:r w:rsidR="00D76821" w:rsidRPr="001C4D50">
        <w:rPr>
          <w:rFonts w:eastAsia="Times New Roman"/>
          <w:noProof/>
        </w:rPr>
        <w:t>l</w:t>
      </w:r>
      <w:r w:rsidRPr="001C4D50">
        <w:rPr>
          <w:rFonts w:eastAsia="Times New Roman"/>
          <w:noProof/>
          <w:shd w:val="clear" w:color="auto" w:fill="FFFFFF"/>
        </w:rPr>
        <w:t xml:space="preserve">tipotent </w:t>
      </w:r>
      <w:r w:rsidR="00433DC5" w:rsidRPr="001C4D50">
        <w:rPr>
          <w:rFonts w:eastAsia="Times New Roman"/>
          <w:noProof/>
        </w:rPr>
        <w:t>S</w:t>
      </w:r>
      <w:r w:rsidRPr="001C4D50">
        <w:rPr>
          <w:rFonts w:eastAsia="Times New Roman"/>
          <w:noProof/>
          <w:shd w:val="clear" w:color="auto" w:fill="FFFFFF"/>
        </w:rPr>
        <w:t xml:space="preserve">tem </w:t>
      </w:r>
      <w:r w:rsidR="00433DC5" w:rsidRPr="001C4D50">
        <w:rPr>
          <w:rFonts w:eastAsia="Times New Roman"/>
          <w:noProof/>
        </w:rPr>
        <w:t>C</w:t>
      </w:r>
      <w:r w:rsidRPr="001C4D50">
        <w:rPr>
          <w:rFonts w:eastAsia="Times New Roman"/>
          <w:noProof/>
          <w:shd w:val="clear" w:color="auto" w:fill="FFFFFF"/>
        </w:rPr>
        <w:t xml:space="preserve">ells </w:t>
      </w:r>
      <w:r w:rsidRPr="001C4D50">
        <w:rPr>
          <w:rFonts w:eastAsia="Times New Roman"/>
          <w:noProof/>
          <w:color w:val="2B579A"/>
          <w:shd w:val="clear" w:color="auto" w:fill="FFFFFF"/>
        </w:rPr>
        <w:fldChar w:fldCharType="begin" w:fldLock="1"/>
      </w:r>
      <w:r w:rsidR="00A106A1" w:rsidRPr="001C4D50">
        <w:rPr>
          <w:rFonts w:eastAsia="Times New Roman"/>
          <w:noProof/>
          <w:shd w:val="clear" w:color="auto" w:fill="FFFFFF"/>
        </w:rPr>
        <w:instrText>ADDIN CSL_CITATION {"citationItems":[{"id":"ITEM-1","itemData":{"DOI":"10.1002/sctm.17-0051","ISSN":"21576580","PMID":"28452204","abstract":"Mesenchymal stem cells (MSCs) were officially named more than 25 years ago to represent a class of cells from human and mammalian bone marrow and periosteum that could be isolated and expanded in culture while maintaining their in vitro capacity to be induced to form a variety of mesodermal phenotypes and tissues. The in vitro capacity to form bone, cartilage, fat, etc., became an assay for identifying this class of multipotent cells and around which several companies were formed in the 1990s to medically exploit the regenerative capabilities of MSCs. Today, there are hundreds of clinics and hundreds of clinical trials using human MSCs with very few, if any, focusing on the in vitro multipotential capacities of these cells. Unfortunately, the fact that MSCs are called “stem cells” is being used to infer that patients will receive direct medical benefit, because they imagine that these cells will differentiate into regenerating tissueproducing cells. Such a stem cell treatment will presumably cure the patient of their medically relevant difficulties ranging from osteoarthritic (bone-on-bone) knees to various neurological maladies including dementia. I now urge that we change the name of MSCs to Medicinal Signaling Cells to more accurately reflect the fact that these cells home in on sites of injury or disease and secrete bioactive factors that are immunomodulatory and trophic (regenerative) meaning that these cells make therapeutic drugs in situ that are medicinal. It is, indeed, the patient's own site-specific and tissue-specific resident stem cells that construct the new tissue as stimulated by the bioactive factors secreted by the exogenously supplied MSCs.","author":[{"dropping-particle":"","family":"Caplan","given":"Arnold I","non-dropping-particle":"","parse-names":false,"suffix":""}],"container-title":"Stem Cells Translational Medicine","id":"ITEM-1","issue":"6","issued":{"date-parts":[["2017"]]},"page":"1445-1451","title":"Mesenchymal stem cells: Time to change the name!","type":"article-journal","volume":"6"},"uris":["http://www.mendeley.com/documents/?uuid=66ba6f23-47d3-4b05-b901-2f9d6849f0b3"]}],"mendeley":{"formattedCitation":"[41]","plainTextFormattedCitation":"[41]","previouslyFormattedCitation":"[41]"},"properties":{"noteIndex":0},"schema":"https://github.com/citation-style-language/schema/raw/master/csl-citation.json"}</w:instrText>
      </w:r>
      <w:r w:rsidRPr="001C4D50">
        <w:rPr>
          <w:rFonts w:eastAsia="Times New Roman"/>
          <w:noProof/>
          <w:color w:val="2B579A"/>
          <w:shd w:val="clear" w:color="auto" w:fill="FFFFFF"/>
        </w:rPr>
        <w:fldChar w:fldCharType="separate"/>
      </w:r>
      <w:r w:rsidR="001A6CA9" w:rsidRPr="001C4D50">
        <w:rPr>
          <w:rFonts w:eastAsia="Times New Roman"/>
          <w:noProof/>
          <w:shd w:val="clear" w:color="auto" w:fill="FFFFFF"/>
        </w:rPr>
        <w:t>[41]</w:t>
      </w:r>
      <w:r w:rsidRPr="001C4D50">
        <w:rPr>
          <w:rFonts w:eastAsia="Times New Roman"/>
          <w:noProof/>
          <w:color w:val="2B579A"/>
          <w:shd w:val="clear" w:color="auto" w:fill="FFFFFF"/>
        </w:rPr>
        <w:fldChar w:fldCharType="end"/>
      </w:r>
      <w:r w:rsidRPr="001C4D50">
        <w:rPr>
          <w:rFonts w:eastAsia="Times New Roman"/>
          <w:noProof/>
          <w:shd w:val="clear" w:color="auto" w:fill="FFFFFF"/>
        </w:rPr>
        <w:t xml:space="preserve">. </w:t>
      </w:r>
      <w:r w:rsidR="00E14161" w:rsidRPr="001C4D50">
        <w:rPr>
          <w:rFonts w:eastAsia="Times New Roman"/>
          <w:noProof/>
          <w:shd w:val="clear" w:color="auto" w:fill="FFFFFF"/>
        </w:rPr>
        <w:t>An agreed change of name would be beneficial to the field</w:t>
      </w:r>
      <w:r w:rsidR="00151541" w:rsidRPr="001C4D50">
        <w:rPr>
          <w:rFonts w:eastAsia="Times New Roman"/>
          <w:noProof/>
          <w:shd w:val="clear" w:color="auto" w:fill="FFFFFF"/>
        </w:rPr>
        <w:t>;</w:t>
      </w:r>
      <w:r w:rsidR="00E14161" w:rsidRPr="001C4D50">
        <w:rPr>
          <w:rFonts w:eastAsia="Times New Roman"/>
          <w:noProof/>
          <w:shd w:val="clear" w:color="auto" w:fill="FFFFFF"/>
        </w:rPr>
        <w:t xml:space="preserve"> avoid</w:t>
      </w:r>
      <w:r w:rsidR="00151541" w:rsidRPr="001C4D50">
        <w:rPr>
          <w:rFonts w:eastAsia="Times New Roman"/>
          <w:noProof/>
          <w:shd w:val="clear" w:color="auto" w:fill="FFFFFF"/>
        </w:rPr>
        <w:t>ing</w:t>
      </w:r>
      <w:r w:rsidR="00E14161" w:rsidRPr="001C4D50">
        <w:rPr>
          <w:rFonts w:eastAsia="Times New Roman"/>
          <w:noProof/>
          <w:shd w:val="clear" w:color="auto" w:fill="FFFFFF"/>
        </w:rPr>
        <w:t xml:space="preserve"> the use of the term ‘stem cell’ could perhaps be advantageous and reduce </w:t>
      </w:r>
      <w:r w:rsidR="00151541" w:rsidRPr="001C4D50">
        <w:rPr>
          <w:rFonts w:eastAsia="Times New Roman"/>
          <w:noProof/>
          <w:shd w:val="clear" w:color="auto" w:fill="FFFFFF"/>
        </w:rPr>
        <w:t>the</w:t>
      </w:r>
      <w:r w:rsidR="00E14161" w:rsidRPr="001C4D50">
        <w:rPr>
          <w:rFonts w:eastAsia="Times New Roman"/>
          <w:noProof/>
          <w:shd w:val="clear" w:color="auto" w:fill="FFFFFF"/>
        </w:rPr>
        <w:t xml:space="preserve"> hype that these cells can ‘cure’ all ailments</w:t>
      </w:r>
      <w:r w:rsidR="00151541" w:rsidRPr="001C4D50">
        <w:rPr>
          <w:rFonts w:eastAsia="Times New Roman"/>
          <w:noProof/>
          <w:shd w:val="clear" w:color="auto" w:fill="FFFFFF"/>
        </w:rPr>
        <w:t xml:space="preserve">. Clearly delineating this cell population from the ‘minimally manipulated cells’ obtained from marrow or fat may supress the recent upsurge in inappropriate </w:t>
      </w:r>
      <w:r w:rsidR="00E14161" w:rsidRPr="001C4D50">
        <w:rPr>
          <w:rFonts w:eastAsia="Times New Roman"/>
          <w:noProof/>
          <w:shd w:val="clear" w:color="auto" w:fill="FFFFFF"/>
        </w:rPr>
        <w:t>commercialisation of adult MSCs and ‘stem cell tourism’, often in unregulated clinics</w:t>
      </w:r>
      <w:r w:rsidR="00A106A1" w:rsidRPr="001C4D50">
        <w:rPr>
          <w:rFonts w:eastAsia="Times New Roman"/>
          <w:noProof/>
          <w:shd w:val="clear" w:color="auto" w:fill="FFFFFF"/>
        </w:rPr>
        <w:t xml:space="preserve"> </w:t>
      </w:r>
      <w:r w:rsidR="00A106A1" w:rsidRPr="001C4D50">
        <w:rPr>
          <w:rFonts w:eastAsia="Times New Roman"/>
          <w:noProof/>
          <w:shd w:val="clear" w:color="auto" w:fill="FFFFFF"/>
        </w:rPr>
        <w:fldChar w:fldCharType="begin" w:fldLock="1"/>
      </w:r>
      <w:r w:rsidR="00CF69B7" w:rsidRPr="001C4D50">
        <w:rPr>
          <w:rFonts w:eastAsia="Times New Roman"/>
          <w:noProof/>
          <w:shd w:val="clear" w:color="auto" w:fill="FFFFFF"/>
        </w:rPr>
        <w:instrText>ADDIN CSL_CITATION {"citationItems":[{"id":"ITEM-1","itemData":{"author":[{"dropping-particle":"","family":"Sipp","given":"Douglas","non-dropping-particle":"","parse-names":false,"suffix":""},{"dropping-particle":"","family":"Robey","given":"Pamela G","non-dropping-particle":"","parse-names":false,"suffix":""},{"dropping-particle":"","family":"Turner","given":"Leigh","non-dropping-particle":"","parse-names":false,"suffix":""}],"container-title":"Nature","id":"ITEM-1","issued":{"date-parts":[["2018"]]},"page":"455-457","title":"Clear up this stem-cell mess","type":"article-journal","volume":"561"},"uris":["http://www.mendeley.com/documents/?uuid=d177a034-bba7-4120-a720-9813bd825694"]}],"mendeley":{"formattedCitation":"[42]","plainTextFormattedCitation":"[42]","previouslyFormattedCitation":"[42]"},"properties":{"noteIndex":0},"schema":"https://github.com/citation-style-language/schema/raw/master/csl-citation.json"}</w:instrText>
      </w:r>
      <w:r w:rsidR="00A106A1" w:rsidRPr="001C4D50">
        <w:rPr>
          <w:rFonts w:eastAsia="Times New Roman"/>
          <w:noProof/>
          <w:shd w:val="clear" w:color="auto" w:fill="FFFFFF"/>
        </w:rPr>
        <w:fldChar w:fldCharType="separate"/>
      </w:r>
      <w:r w:rsidR="00AA1043" w:rsidRPr="001C4D50">
        <w:rPr>
          <w:rFonts w:eastAsia="Times New Roman"/>
          <w:noProof/>
          <w:shd w:val="clear" w:color="auto" w:fill="FFFFFF"/>
        </w:rPr>
        <w:t>[42]</w:t>
      </w:r>
      <w:r w:rsidR="00A106A1" w:rsidRPr="001C4D50">
        <w:rPr>
          <w:rFonts w:eastAsia="Times New Roman"/>
          <w:noProof/>
          <w:shd w:val="clear" w:color="auto" w:fill="FFFFFF"/>
        </w:rPr>
        <w:fldChar w:fldCharType="end"/>
      </w:r>
      <w:r w:rsidR="00A106A1" w:rsidRPr="001C4D50">
        <w:rPr>
          <w:rFonts w:eastAsia="Times New Roman"/>
          <w:noProof/>
          <w:shd w:val="clear" w:color="auto" w:fill="FFFFFF"/>
        </w:rPr>
        <w:t xml:space="preserve">. </w:t>
      </w:r>
    </w:p>
    <w:p w14:paraId="0B1F6EFC" w14:textId="77777777" w:rsidR="003D7606" w:rsidRPr="001C4D50" w:rsidRDefault="003D7606" w:rsidP="00960366">
      <w:pPr>
        <w:autoSpaceDE w:val="0"/>
        <w:autoSpaceDN w:val="0"/>
        <w:adjustRightInd w:val="0"/>
        <w:rPr>
          <w:rFonts w:eastAsia="Times New Roman"/>
          <w:noProof/>
          <w:shd w:val="clear" w:color="auto" w:fill="FFFFFF"/>
        </w:rPr>
      </w:pPr>
    </w:p>
    <w:p w14:paraId="005C5940" w14:textId="5B6D9A43" w:rsidR="00207344" w:rsidRPr="001C4D50" w:rsidRDefault="00D76821" w:rsidP="00960366">
      <w:pPr>
        <w:autoSpaceDE w:val="0"/>
        <w:autoSpaceDN w:val="0"/>
        <w:adjustRightInd w:val="0"/>
        <w:rPr>
          <w:rFonts w:eastAsia="Times New Roman"/>
          <w:noProof/>
          <w:shd w:val="clear" w:color="auto" w:fill="FFFFFF"/>
        </w:rPr>
      </w:pPr>
      <w:r w:rsidRPr="001C4D50">
        <w:t xml:space="preserve">Whilst most work has focussed on MSCs </w:t>
      </w:r>
      <w:r w:rsidR="001219B9" w:rsidRPr="001C4D50">
        <w:t>isolated</w:t>
      </w:r>
      <w:r w:rsidRPr="001C4D50">
        <w:t xml:space="preserve"> from bone marrow</w:t>
      </w:r>
      <w:r w:rsidR="00FA54A8" w:rsidRPr="001C4D50">
        <w:t xml:space="preserve"> (BM-MSCs)</w:t>
      </w:r>
      <w:r w:rsidRPr="001C4D50">
        <w:t xml:space="preserve">, they are increasingly sourced from other tissues such as adipose tissue, umbilical cord or placenta, with an endogenous population of progenitor cells </w:t>
      </w:r>
      <w:r w:rsidR="001219B9" w:rsidRPr="001C4D50">
        <w:t>identified in most if not all mesenchymal tissues.</w:t>
      </w:r>
      <w:r w:rsidR="00FA54A8" w:rsidRPr="001C4D50">
        <w:t xml:space="preserve"> </w:t>
      </w:r>
      <w:r w:rsidR="00FA54A8" w:rsidRPr="001C4D50">
        <w:rPr>
          <w:color w:val="000000" w:themeColor="text1"/>
        </w:rPr>
        <w:t>MSCs derived from umbilical cord</w:t>
      </w:r>
      <w:r w:rsidR="5720ACFF" w:rsidRPr="001C4D50">
        <w:rPr>
          <w:color w:val="000000" w:themeColor="text1"/>
        </w:rPr>
        <w:t xml:space="preserve"> (UC-MSCs)</w:t>
      </w:r>
      <w:r w:rsidR="00FA54A8" w:rsidRPr="001C4D50">
        <w:rPr>
          <w:color w:val="000000" w:themeColor="text1"/>
        </w:rPr>
        <w:t xml:space="preserve"> and placenta exhibit some of the </w:t>
      </w:r>
      <w:r w:rsidR="00FA54A8" w:rsidRPr="001C4D50">
        <w:rPr>
          <w:color w:val="000000" w:themeColor="text1"/>
        </w:rPr>
        <w:lastRenderedPageBreak/>
        <w:t xml:space="preserve">properties of </w:t>
      </w:r>
      <w:proofErr w:type="spellStart"/>
      <w:r w:rsidR="00FA54A8" w:rsidRPr="001C4D50">
        <w:rPr>
          <w:color w:val="000000" w:themeColor="text1"/>
        </w:rPr>
        <w:t>eSCs</w:t>
      </w:r>
      <w:proofErr w:type="spellEnd"/>
      <w:r w:rsidR="00416A62" w:rsidRPr="001C4D50">
        <w:rPr>
          <w:color w:val="000000" w:themeColor="text1"/>
        </w:rPr>
        <w:t xml:space="preserve"> as well as</w:t>
      </w:r>
      <w:r w:rsidR="00FA54A8" w:rsidRPr="001C4D50">
        <w:rPr>
          <w:color w:val="000000" w:themeColor="text1"/>
        </w:rPr>
        <w:t xml:space="preserve"> shar</w:t>
      </w:r>
      <w:r w:rsidR="00416A62" w:rsidRPr="001C4D50">
        <w:rPr>
          <w:color w:val="000000" w:themeColor="text1"/>
        </w:rPr>
        <w:t>ing</w:t>
      </w:r>
      <w:r w:rsidR="00FA54A8" w:rsidRPr="001C4D50">
        <w:rPr>
          <w:color w:val="000000" w:themeColor="text1"/>
        </w:rPr>
        <w:t xml:space="preserve"> characteristics with BM-MSC derived from adult tissue</w:t>
      </w:r>
      <w:r w:rsidR="00F0104E" w:rsidRPr="001C4D50">
        <w:rPr>
          <w:color w:val="000000"/>
        </w:rPr>
        <w:t xml:space="preserve"> </w:t>
      </w:r>
      <w:r w:rsidR="00765DFA" w:rsidRPr="001C4D50">
        <w:rPr>
          <w:color w:val="000000"/>
          <w:shd w:val="clear" w:color="auto" w:fill="E6E6E6"/>
        </w:rPr>
        <w:fldChar w:fldCharType="begin" w:fldLock="1"/>
      </w:r>
      <w:r w:rsidR="00CF69B7" w:rsidRPr="001C4D50">
        <w:rPr>
          <w:color w:val="000000"/>
        </w:rPr>
        <w:instrText>ADDIN CSL_CITATION {"citationItems":[{"id":"ITEM-1","itemData":{"DOI":"10.1002/2211-5463.12104","ISSN":"22115463","PMID":"27833846","author":[{"dropping-particle":"","family":"Mennan","given":"Claire","non-dropping-particle":"","parse-names":false,"suffix":""},{"dropping-particle":"","family":"Brown","given":"Sharon","non-dropping-particle":"","parse-names":false,"suffix":""},{"dropping-particle":"","family":"McCarthy","given":"Helen","non-dropping-particle":"","parse-names":false,"suffix":""},{"dropping-particle":"","family":"Mavrogonatou","given":"Eleni","non-dropping-particle":"","parse-names":false,"suffix":""},{"dropping-particle":"","family":"Kletsas","given":"Dimitris","non-dropping-particle":"","parse-names":false,"suffix":""},{"dropping-particle":"","family":"Garcia","given":"John","non-dropping-particle":"","parse-names":false,"suffix":""},{"dropping-particle":"","family":"Balain","given":"Birender","non-dropping-particle":"","parse-names":false,"suffix":""},{"dropping-particle":"","family":"Richardson","given":"James","non-dropping-particle":"","parse-names":false,"suffix":""},{"dropping-particle":"","family":"Roberts","given":"Sally","non-dropping-particle":"","parse-names":false,"suffix":""}],"container-title":"FEBS Open Bio","id":"ITEM-1","issued":{"date-parts":[["2016"]]},"page":"1054-1066","title":"Mesenchymal stromal cells derived from whole human umbilical cord exhibit similar properties to those derived from Wharton's jelly and bone marrow","type":"article-journal","volume":"6"},"uris":["http://www.mendeley.com/documents/?uuid=c680ce9c-3d37-4682-82b0-48dd6d6320f1"]}],"mendeley":{"formattedCitation":"[43]","plainTextFormattedCitation":"[43]","previouslyFormattedCitation":"[43]"},"properties":{"noteIndex":0},"schema":"https://github.com/citation-style-language/schema/raw/master/csl-citation.json"}</w:instrText>
      </w:r>
      <w:r w:rsidR="00765DFA" w:rsidRPr="001C4D50">
        <w:rPr>
          <w:color w:val="000000"/>
          <w:shd w:val="clear" w:color="auto" w:fill="E6E6E6"/>
        </w:rPr>
        <w:fldChar w:fldCharType="separate"/>
      </w:r>
      <w:r w:rsidR="00AA1043" w:rsidRPr="001C4D50">
        <w:rPr>
          <w:noProof/>
          <w:color w:val="000000"/>
        </w:rPr>
        <w:t>[43]</w:t>
      </w:r>
      <w:r w:rsidR="00765DFA" w:rsidRPr="001C4D50">
        <w:rPr>
          <w:color w:val="000000"/>
          <w:shd w:val="clear" w:color="auto" w:fill="E6E6E6"/>
        </w:rPr>
        <w:fldChar w:fldCharType="end"/>
      </w:r>
      <w:r w:rsidR="00FA54A8" w:rsidRPr="001C4D50">
        <w:rPr>
          <w:color w:val="000000" w:themeColor="text1"/>
        </w:rPr>
        <w:t xml:space="preserve">. For example, </w:t>
      </w:r>
      <w:r w:rsidR="00FA54A8" w:rsidRPr="001C4D50">
        <w:rPr>
          <w:rFonts w:cstheme="minorHAnsi"/>
          <w:color w:val="000000" w:themeColor="text1"/>
        </w:rPr>
        <w:t xml:space="preserve">unlike BM-MSC, </w:t>
      </w:r>
      <w:proofErr w:type="spellStart"/>
      <w:r w:rsidR="00E3368D" w:rsidRPr="001C4D50">
        <w:rPr>
          <w:rFonts w:cstheme="minorHAnsi"/>
          <w:color w:val="000000" w:themeColor="text1"/>
        </w:rPr>
        <w:t>e</w:t>
      </w:r>
      <w:r w:rsidR="00FA54A8" w:rsidRPr="001C4D50">
        <w:rPr>
          <w:rFonts w:cstheme="minorHAnsi"/>
          <w:color w:val="000000" w:themeColor="text1"/>
        </w:rPr>
        <w:t>SC</w:t>
      </w:r>
      <w:r w:rsidR="00E3368D" w:rsidRPr="001C4D50">
        <w:rPr>
          <w:rFonts w:cstheme="minorHAnsi"/>
          <w:color w:val="000000" w:themeColor="text1"/>
        </w:rPr>
        <w:t>s</w:t>
      </w:r>
      <w:proofErr w:type="spellEnd"/>
      <w:r w:rsidR="00FA54A8" w:rsidRPr="001C4D50">
        <w:rPr>
          <w:rFonts w:cstheme="minorHAnsi"/>
          <w:color w:val="000000" w:themeColor="text1"/>
        </w:rPr>
        <w:t xml:space="preserve"> do not up-regulate </w:t>
      </w:r>
      <w:r w:rsidR="00283F8B" w:rsidRPr="001C4D50">
        <w:rPr>
          <w:rFonts w:cstheme="minorHAnsi"/>
          <w:color w:val="000000" w:themeColor="text1"/>
        </w:rPr>
        <w:t>the major histocompatibility complex (</w:t>
      </w:r>
      <w:r w:rsidR="00FA54A8" w:rsidRPr="001C4D50">
        <w:rPr>
          <w:rFonts w:cstheme="minorHAnsi"/>
          <w:color w:val="000000" w:themeColor="text1"/>
        </w:rPr>
        <w:t>MHC</w:t>
      </w:r>
      <w:r w:rsidR="00283F8B" w:rsidRPr="001C4D50">
        <w:rPr>
          <w:rFonts w:cstheme="minorHAnsi"/>
          <w:color w:val="000000" w:themeColor="text1"/>
        </w:rPr>
        <w:t>) class</w:t>
      </w:r>
      <w:r w:rsidR="00FA54A8" w:rsidRPr="001C4D50">
        <w:rPr>
          <w:rFonts w:cstheme="minorHAnsi"/>
          <w:color w:val="000000" w:themeColor="text1"/>
        </w:rPr>
        <w:t xml:space="preserve"> II</w:t>
      </w:r>
      <w:r w:rsidR="00283F8B" w:rsidRPr="001C4D50">
        <w:rPr>
          <w:rFonts w:cstheme="minorHAnsi"/>
          <w:color w:val="000000" w:themeColor="text1"/>
        </w:rPr>
        <w:t xml:space="preserve"> and </w:t>
      </w:r>
      <w:r w:rsidR="00283F8B" w:rsidRPr="001C4D50">
        <w:rPr>
          <w:rFonts w:cstheme="minorHAnsi"/>
          <w:bCs/>
          <w:color w:val="202122"/>
          <w:shd w:val="clear" w:color="auto" w:fill="FFFFFF"/>
        </w:rPr>
        <w:t>H</w:t>
      </w:r>
      <w:r w:rsidR="00283F8B" w:rsidRPr="001C4D50">
        <w:rPr>
          <w:rFonts w:cstheme="minorHAnsi"/>
          <w:color w:val="202122"/>
          <w:shd w:val="clear" w:color="auto" w:fill="FFFFFF"/>
        </w:rPr>
        <w:t>uman </w:t>
      </w:r>
      <w:r w:rsidR="00283F8B" w:rsidRPr="001C4D50">
        <w:rPr>
          <w:rFonts w:cstheme="minorHAnsi"/>
          <w:bCs/>
          <w:color w:val="202122"/>
          <w:shd w:val="clear" w:color="auto" w:fill="FFFFFF"/>
        </w:rPr>
        <w:t>L</w:t>
      </w:r>
      <w:r w:rsidR="00283F8B" w:rsidRPr="001C4D50">
        <w:rPr>
          <w:rFonts w:cstheme="minorHAnsi"/>
          <w:color w:val="202122"/>
          <w:shd w:val="clear" w:color="auto" w:fill="FFFFFF"/>
        </w:rPr>
        <w:t>eukocyte </w:t>
      </w:r>
      <w:r w:rsidR="00283F8B" w:rsidRPr="001C4D50">
        <w:rPr>
          <w:rFonts w:cstheme="minorHAnsi"/>
          <w:bCs/>
          <w:color w:val="202122"/>
          <w:shd w:val="clear" w:color="auto" w:fill="FFFFFF"/>
        </w:rPr>
        <w:t>A</w:t>
      </w:r>
      <w:r w:rsidR="00283F8B" w:rsidRPr="001C4D50">
        <w:rPr>
          <w:rFonts w:cstheme="minorHAnsi"/>
          <w:color w:val="202122"/>
          <w:shd w:val="clear" w:color="auto" w:fill="FFFFFF"/>
        </w:rPr>
        <w:t>ntigen – </w:t>
      </w:r>
      <w:r w:rsidR="00283F8B" w:rsidRPr="001C4D50">
        <w:rPr>
          <w:rFonts w:cstheme="minorHAnsi"/>
          <w:bCs/>
          <w:color w:val="202122"/>
          <w:shd w:val="clear" w:color="auto" w:fill="FFFFFF"/>
        </w:rPr>
        <w:t>DR</w:t>
      </w:r>
      <w:r w:rsidR="00283F8B" w:rsidRPr="001C4D50">
        <w:rPr>
          <w:rFonts w:cstheme="minorHAnsi"/>
          <w:color w:val="202122"/>
          <w:shd w:val="clear" w:color="auto" w:fill="FFFFFF"/>
        </w:rPr>
        <w:t> isotype</w:t>
      </w:r>
      <w:r w:rsidR="00283F8B" w:rsidRPr="001C4D50">
        <w:rPr>
          <w:rFonts w:cstheme="minorHAnsi"/>
          <w:color w:val="000000" w:themeColor="text1"/>
        </w:rPr>
        <w:t xml:space="preserve"> (</w:t>
      </w:r>
      <w:r w:rsidR="00FA54A8" w:rsidRPr="001C4D50">
        <w:rPr>
          <w:rFonts w:cstheme="minorHAnsi"/>
          <w:color w:val="000000" w:themeColor="text1"/>
        </w:rPr>
        <w:t>H</w:t>
      </w:r>
      <w:r w:rsidR="00FA54A8" w:rsidRPr="001C4D50">
        <w:rPr>
          <w:color w:val="000000" w:themeColor="text1"/>
        </w:rPr>
        <w:t>LA-DR</w:t>
      </w:r>
      <w:r w:rsidR="00283F8B" w:rsidRPr="001C4D50">
        <w:rPr>
          <w:color w:val="000000" w:themeColor="text1"/>
        </w:rPr>
        <w:t>)</w:t>
      </w:r>
      <w:r w:rsidR="00FA54A8" w:rsidRPr="001C4D50">
        <w:rPr>
          <w:color w:val="000000" w:themeColor="text1"/>
        </w:rPr>
        <w:t xml:space="preserve"> molecules after stimulation with IFN-c</w:t>
      </w:r>
      <w:r w:rsidR="006D0382" w:rsidRPr="001C4D50">
        <w:rPr>
          <w:color w:val="000000" w:themeColor="text1"/>
        </w:rPr>
        <w:t xml:space="preserve"> </w:t>
      </w:r>
      <w:r w:rsidR="006D0382" w:rsidRPr="001C4D50">
        <w:rPr>
          <w:color w:val="000000" w:themeColor="text1"/>
        </w:rPr>
        <w:fldChar w:fldCharType="begin" w:fldLock="1"/>
      </w:r>
      <w:r w:rsidR="00CF69B7" w:rsidRPr="001C4D50">
        <w:rPr>
          <w:color w:val="000000" w:themeColor="text1"/>
        </w:rPr>
        <w:instrText>ADDIN CSL_CITATION {"citationItems":[{"id":"ITEM-1","itemData":{"DOI":"10.1073/pnas.142298299","ISSN":"00278424","PMID":"12114532","abstract":"Human embryonic stem (ES) cells are pluripotent cells that may be used in transplantation medicine. These cells can be induced to differentiate into cells from the three embryonic germ layers both in vivo and in vitro. To determine whether human ES cells might be rejected after transplantation, we examined cell surface expression of the MHC proteins in these cells. Our results show very low expression levels of MHC class I (MHC-I) proteins on the surface of human ES cells that moderately increase on in vitro or in vivo differentiation. A dramatic induction of MHC-I proteins was observed when the cells were treated with IFN-γ but not with IFN-α or-β. However, all three IFNs induced expression of MHC-I proteins in differentiated human ES cells. MHC-II proteins and HLA-G were not expressed on the surface of undifferentiated or differentiated cells. Ligands for natural killer cell receptors were either absent or expressed in very low levels in human ES cells and in their differentiated derivatives. In accordance, natural killer cytotoxic assays demonstrated only limited lysis of both undifferentiated and differentiated cells. To initiate a histocompatibility databank of human ES cells, we have isotyped several of the published ES cell lines for their human leukocyte antigens. In conclusion, our results demonstrate that human ES cells can express high levels of MHC-I proteins and thus may be rejected on transplantation.","author":[{"dropping-particle":"","family":"Drukker","given":"Micha","non-dropping-particle":"","parse-names":false,"suffix":""},{"dropping-particle":"","family":"Katz","given":"Gil","non-dropping-particle":"","parse-names":false,"suffix":""},{"dropping-particle":"","family":"Urbach","given":"Achia","non-dropping-particle":"","parse-names":false,"suffix":""},{"dropping-particle":"","family":"Schuldiner","given":"Maya","non-dropping-particle":"","parse-names":false,"suffix":""},{"dropping-particle":"","family":"Markel","given":"Gal","non-dropping-particle":"","parse-names":false,"suffix":""},{"dropping-particle":"","family":"Itskovitz-Eldor","given":"Joseph","non-dropping-particle":"","parse-names":false,"suffix":""},{"dropping-particle":"","family":"Reubinoff","given":"Benjamin","non-dropping-particle":"","parse-names":false,"suffix":""},{"dropping-particle":"","family":"Mandelboim","given":"Ofer","non-dropping-particle":"","parse-names":false,"suffix":""},{"dropping-particle":"","family":"Benvenisty","given":"Nissim","non-dropping-particle":"","parse-names":false,"suffix":""}],"container-title":"Proceedings of the National Academy of Sciences of the United States of America","id":"ITEM-1","issue":"15","issued":{"date-parts":[["2002"]]},"page":"9864-9869","title":"Characterization of the expression of MHC proteins in human embryonic stem cells","type":"article-journal","volume":"99"},"uris":["http://www.mendeley.com/documents/?uuid=6ca5b86d-d04f-432d-be17-0d174086566c"]}],"mendeley":{"formattedCitation":"[44]","plainTextFormattedCitation":"[44]","previouslyFormattedCitation":"[44]"},"properties":{"noteIndex":0},"schema":"https://github.com/citation-style-language/schema/raw/master/csl-citation.json"}</w:instrText>
      </w:r>
      <w:r w:rsidR="006D0382" w:rsidRPr="001C4D50">
        <w:rPr>
          <w:color w:val="000000" w:themeColor="text1"/>
        </w:rPr>
        <w:fldChar w:fldCharType="separate"/>
      </w:r>
      <w:r w:rsidR="00AA1043" w:rsidRPr="001C4D50">
        <w:rPr>
          <w:noProof/>
          <w:color w:val="000000" w:themeColor="text1"/>
        </w:rPr>
        <w:t>[44]</w:t>
      </w:r>
      <w:r w:rsidR="006D0382" w:rsidRPr="001C4D50">
        <w:rPr>
          <w:color w:val="000000" w:themeColor="text1"/>
        </w:rPr>
        <w:fldChar w:fldCharType="end"/>
      </w:r>
      <w:r w:rsidR="006D0382" w:rsidRPr="001C4D50">
        <w:rPr>
          <w:color w:val="0000FF"/>
        </w:rPr>
        <w:t>.</w:t>
      </w:r>
      <w:r w:rsidR="00E3368D" w:rsidRPr="001C4D50">
        <w:rPr>
          <w:color w:val="000000" w:themeColor="text1"/>
        </w:rPr>
        <w:t xml:space="preserve"> </w:t>
      </w:r>
      <w:proofErr w:type="spellStart"/>
      <w:proofErr w:type="gramStart"/>
      <w:r w:rsidR="00E3368D" w:rsidRPr="001C4D50">
        <w:rPr>
          <w:color w:val="000000" w:themeColor="text1"/>
        </w:rPr>
        <w:t>e</w:t>
      </w:r>
      <w:r w:rsidR="00FA54A8" w:rsidRPr="001C4D50">
        <w:rPr>
          <w:color w:val="000000" w:themeColor="text1"/>
        </w:rPr>
        <w:t>SC</w:t>
      </w:r>
      <w:r w:rsidR="00E3368D" w:rsidRPr="001C4D50">
        <w:rPr>
          <w:color w:val="000000" w:themeColor="text1"/>
        </w:rPr>
        <w:t>s</w:t>
      </w:r>
      <w:proofErr w:type="spellEnd"/>
      <w:proofErr w:type="gramEnd"/>
      <w:r w:rsidR="00FA54A8" w:rsidRPr="001C4D50">
        <w:rPr>
          <w:color w:val="000000" w:themeColor="text1"/>
        </w:rPr>
        <w:t xml:space="preserve"> are also well characterized as being pluripotent cells, that lack stage-specific embryonic antigen (SSEA)-1</w:t>
      </w:r>
      <w:r w:rsidR="00E3368D" w:rsidRPr="001C4D50">
        <w:rPr>
          <w:color w:val="000000" w:themeColor="text1"/>
        </w:rPr>
        <w:t xml:space="preserve"> but</w:t>
      </w:r>
      <w:r w:rsidR="00FA54A8" w:rsidRPr="001C4D50">
        <w:rPr>
          <w:color w:val="000000" w:themeColor="text1"/>
        </w:rPr>
        <w:t xml:space="preserve"> </w:t>
      </w:r>
      <w:r w:rsidR="00290671" w:rsidRPr="001C4D50">
        <w:rPr>
          <w:color w:val="000000" w:themeColor="text1"/>
        </w:rPr>
        <w:t xml:space="preserve">do </w:t>
      </w:r>
      <w:r w:rsidR="00FA54A8" w:rsidRPr="001C4D50">
        <w:rPr>
          <w:color w:val="000000" w:themeColor="text1"/>
        </w:rPr>
        <w:t xml:space="preserve">produce SSEA-4, alkaline phosphatase, tumour repressor antigen (TRA)-1-60, TRA-1- 81, OCT3/4, </w:t>
      </w:r>
      <w:proofErr w:type="spellStart"/>
      <w:r w:rsidR="00FA54A8" w:rsidRPr="001C4D50">
        <w:rPr>
          <w:color w:val="000000" w:themeColor="text1"/>
        </w:rPr>
        <w:t>nanog</w:t>
      </w:r>
      <w:proofErr w:type="spellEnd"/>
      <w:r w:rsidR="00FA54A8" w:rsidRPr="001C4D50">
        <w:rPr>
          <w:color w:val="000000" w:themeColor="text1"/>
        </w:rPr>
        <w:t xml:space="preserve"> and REX-1 (Figure </w:t>
      </w:r>
      <w:r w:rsidR="00433DC5" w:rsidRPr="001C4D50">
        <w:rPr>
          <w:color w:val="000000" w:themeColor="text1"/>
        </w:rPr>
        <w:t>3</w:t>
      </w:r>
      <w:r w:rsidR="00FA54A8" w:rsidRPr="001C4D50">
        <w:rPr>
          <w:color w:val="000000" w:themeColor="text1"/>
        </w:rPr>
        <w:t xml:space="preserve">). </w:t>
      </w:r>
      <w:r w:rsidR="001219B9" w:rsidRPr="001C4D50">
        <w:t>Unfortunately</w:t>
      </w:r>
      <w:r w:rsidR="2F6988E4" w:rsidRPr="001C4D50">
        <w:t>,</w:t>
      </w:r>
      <w:r w:rsidR="001219B9" w:rsidRPr="001C4D50">
        <w:t xml:space="preserve"> no unique set of markers has to date been identified for MSCs</w:t>
      </w:r>
      <w:r w:rsidR="00E3368D" w:rsidRPr="001C4D50">
        <w:t xml:space="preserve"> </w:t>
      </w:r>
      <w:r w:rsidR="00E3368D" w:rsidRPr="001C4D50">
        <w:rPr>
          <w:i/>
        </w:rPr>
        <w:t>per se</w:t>
      </w:r>
      <w:r w:rsidR="001219B9" w:rsidRPr="001C4D50">
        <w:t>.</w:t>
      </w:r>
      <w:r w:rsidRPr="001C4D50">
        <w:t xml:space="preserve"> </w:t>
      </w:r>
      <w:r w:rsidR="00207344" w:rsidRPr="001C4D50">
        <w:t xml:space="preserve">Due to </w:t>
      </w:r>
      <w:r w:rsidR="00DD1B67" w:rsidRPr="001C4D50">
        <w:t xml:space="preserve">the </w:t>
      </w:r>
      <w:r w:rsidR="00207344" w:rsidRPr="001C4D50">
        <w:t xml:space="preserve">disparity </w:t>
      </w:r>
      <w:r w:rsidR="00DD1B67" w:rsidRPr="001C4D50">
        <w:t>of markers used by different groups</w:t>
      </w:r>
      <w:r w:rsidR="00207344" w:rsidRPr="001C4D50">
        <w:t xml:space="preserve">, in 2006 the International Society for Cellular Therapy (ISCT) outlined the minimal criteria required to define and characterise human multipotent MSCs for use in scientific research </w:t>
      </w:r>
      <w:r w:rsidR="00207344" w:rsidRPr="001C4D50">
        <w:rPr>
          <w:color w:val="2B579A"/>
          <w:shd w:val="clear" w:color="auto" w:fill="E6E6E6"/>
        </w:rPr>
        <w:fldChar w:fldCharType="begin" w:fldLock="1"/>
      </w:r>
      <w:r w:rsidR="009156E9" w:rsidRPr="001C4D50">
        <w:instrText>ADDIN CSL_CITATION {"citationItems":[{"id":"ITEM-1","itemData":{"DOI":"10.1080/14653240600855905","ISSN":"1465-3249","PMID":"16923606","abstract":"The considerable therapeutic potential of human multipotent mesenchymal stromal cells (MSC) has generated markedly increasing interest in a wide variety of biomedical disciplines. However, investigators report studies of MSC using different methods of isolation and expansion, and different approaches to characterizing the cells. Thus it is increasingly difficult to compare and contrast study outcomes, which hinders progress in the field. To begin to address this issue, the Mesenchymal and Tissue Stem Cell Committee of the International Society for Cellular Therapy proposes minimal criteria to define human MSC. First, MSC must be plastic-adherent when maintained in standard culture conditions. Second, MSC must express CD105, CD73 and CD90, and lack expression of CD45, CD34, CD14 or CD11b, CD79alpha or CD19 and HLA-DR surface molecules. Third, MSC must differentiate to osteoblasts, adipocytes and chondroblasts in vitro. While these criteria will probably require modification as new knowledge unfolds, we believe this minimal set of standard criteria will foster a more uniform characterization of MSC and facilitate the exchange of data among investigators.","author":[{"dropping-particle":"","family":"Dominici","given":"M","non-dropping-particle":"","parse-names":false,"suffix":""},{"dropping-particle":"","family":"Blanc","given":"K","non-dropping-particle":"Le","parse-names":false,"suffix":""},{"dropping-particle":"","family":"Mueller","given":"I","non-dropping-particle":"","parse-names":false,"suffix":""},{"dropping-particle":"","family":"Slaper-Cortenbach","given":"I","non-dropping-particle":"","parse-names":false,"suffix":""},{"dropping-particle":"","family":"Marini","given":"Fc","non-dropping-particle":"","parse-names":false,"suffix":""},{"dropping-particle":"","family":"Krause","given":"Ds","non-dropping-particle":"","parse-names":false,"suffix":""},{"dropping-particle":"","family":"Deans","given":"Rj","non-dropping-particle":"","parse-names":false,"suffix":""},{"dropping-particle":"","family":"Keating","given":"a","non-dropping-particle":"","parse-names":false,"suffix":""},{"dropping-particle":"","family":"Prockop","given":"Dj","non-dropping-particle":"","parse-names":false,"suffix":""},{"dropping-particle":"","family":"Horwitz","given":"Em","non-dropping-particle":"","parse-names":false,"suffix":""}],"container-title":"Cytotherapy","id":"ITEM-1","issue":"4","issued":{"date-parts":[["2006","1"]]},"page":"315-317","title":"Minimal criteria for defining multipotent mesenchymal stromal cells. The International Society for Cellular Therapy position statement.","type":"article-journal","volume":"8"},"uris":["http://www.mendeley.com/documents/?uuid=4f66a201-03ff-439d-b007-09b0a5d77af3"]}],"mendeley":{"formattedCitation":"[35]","plainTextFormattedCitation":"[35]","previouslyFormattedCitation":"[35]"},"properties":{"noteIndex":0},"schema":"https://github.com/citation-style-language/schema/raw/master/csl-citation.json"}</w:instrText>
      </w:r>
      <w:r w:rsidR="00207344" w:rsidRPr="001C4D50">
        <w:rPr>
          <w:color w:val="2B579A"/>
          <w:shd w:val="clear" w:color="auto" w:fill="E6E6E6"/>
        </w:rPr>
        <w:fldChar w:fldCharType="separate"/>
      </w:r>
      <w:r w:rsidR="00984F87" w:rsidRPr="001C4D50">
        <w:rPr>
          <w:noProof/>
        </w:rPr>
        <w:t>[35]</w:t>
      </w:r>
      <w:r w:rsidR="00207344" w:rsidRPr="001C4D50">
        <w:rPr>
          <w:color w:val="2B579A"/>
          <w:shd w:val="clear" w:color="auto" w:fill="E6E6E6"/>
        </w:rPr>
        <w:fldChar w:fldCharType="end"/>
      </w:r>
      <w:r w:rsidR="00433DC5" w:rsidRPr="001C4D50">
        <w:t xml:space="preserve"> (Figure 2)</w:t>
      </w:r>
      <w:r w:rsidR="006841B8" w:rsidRPr="001C4D50">
        <w:t xml:space="preserve">, which </w:t>
      </w:r>
      <w:r w:rsidR="00207344" w:rsidRPr="001C4D50">
        <w:t xml:space="preserve">was subsequently amended for </w:t>
      </w:r>
      <w:r w:rsidR="00207344" w:rsidRPr="001C4D50">
        <w:rPr>
          <w:rFonts w:eastAsia="Times New Roman"/>
          <w:noProof/>
          <w:shd w:val="clear" w:color="auto" w:fill="FFFFFF"/>
        </w:rPr>
        <w:t>adipose-derived MSCs</w:t>
      </w:r>
      <w:r w:rsidR="00207344" w:rsidRPr="001C4D50">
        <w:t xml:space="preserve"> </w:t>
      </w:r>
      <w:r w:rsidR="00207344" w:rsidRPr="001C4D50">
        <w:rPr>
          <w:color w:val="2B579A"/>
          <w:shd w:val="clear" w:color="auto" w:fill="E6E6E6"/>
        </w:rPr>
        <w:fldChar w:fldCharType="begin" w:fldLock="1"/>
      </w:r>
      <w:r w:rsidR="00CF69B7" w:rsidRPr="001C4D50">
        <w:instrText>ADDIN CSL_CITATION {"citationItems":[{"id":"ITEM-1","itemData":{"DOI":"10.1016/j.jcyt.2013.02.006","ISSN":"1477-2566 (Electronic)","PMID":"23570660","abstract":"BACKGROUND AIMS: Adipose tissue is a rich and very convenient source of cells for regenerative medicine therapeutic approaches. However, a characterization of the population of adipose-derived stromal and stem cells (ASCs) with the greatest therapeutic potential remains unclear. Under the authority of International Federation of Adipose Therapeutics and International Society for Cellular Therapy, this paper sets out to establish minimal definitions of stromal cells both as uncultured stromal vascular fraction (SVF) and as an adherent stromal/stem cells population. METHODS: Phenotypic and functional criteria for the identification of adipose-derived cells were drawn from the literature. RESULTS: In the SVF, cells are identified phenotypically by the following markers: CD45-CD235a-CD31-CD34+. Added value may be provided by both a viability marker and the following surface antigens: CD13, CD73, CD90 and CD105. The fibroblastoid colony-forming unit assay permits the evaluation of progenitor frequency in the SVF population. In culture, ASCs retain markers in common with other mesenchymal stromal/stem cells (MSCs), including CD90, CD73, CD105, and CD44 and remain negative for CD45 and CD31. They can be distinguished from bone-marrow-derived MSCs by their positivity for CD36 and negativity for CD106. The CFU-F assay is recommended to calculate population doublings capacity of ASCs. The adipocytic, chondroblastic and osteoblastic differentiation assays serve to complete the cell identification and potency assessment in conjunction with a quantitative evaluation of the differentiation either biochemically or by reverse transcription polymerase chain reaction. CONCLUSIONS: The goal of this paper is to provide initial guidance for the scientific community working with adipose-derived cells and to facilitate development of international standards based on reproducible parameters.","author":[{"dropping-particle":"","family":"Bourin","given":"Philippe","non-dropping-particle":"","parse-names":false,"suffix":""},{"dropping-particle":"","family":"Bunnell","given":"Bruce A","non-dropping-particle":"","parse-names":false,"suffix":""},{"dropping-particle":"","family":"Casteilla","given":"Louis","non-dropping-particle":"","parse-names":false,"suffix":""},{"dropping-particle":"","family":"Dominici","given":"Massimo","non-dropping-particle":"","parse-names":false,"suffix":""},{"dropping-particle":"","family":"Katz","given":"Adam J","non-dropping-particle":"","parse-names":false,"suffix":""},{"dropping-particle":"","family":"March","given":"Keith L","non-dropping-particle":"","parse-names":false,"suffix":""},{"dropping-particle":"","family":"Redl","given":"Heinz","non-dropping-particle":"","parse-names":false,"suffix":""},{"dropping-particle":"","family":"Rubin","given":"J Peter","non-dropping-particle":"","parse-names":false,"suffix":""},{"dropping-particle":"","family":"Yoshimura","given":"Kotaro","non-dropping-particle":"","parse-names":false,"suffix":""},{"dropping-particle":"","family":"Gimble","given":"Jeffrey M","non-dropping-particle":"","parse-names":false,"suffix":""}],"container-title":"Cytotherapy","id":"ITEM-1","issue":"6","issued":{"date-parts":[["2013","6"]]},"page":"641-648","title":"Stromal cells from the adipose tissue-derived stromal vascular fraction and culture expanded adipose tissue-derived stromal/stem cells: a joint statement of the International Federation for Adipose Therapeutics and Science (IFATS) and the International S","type":"article-journal","volume":"15"},"uris":["http://www.mendeley.com/documents/?uuid=a9062352-394d-461b-8f80-affcb22d3cf7"]}],"mendeley":{"formattedCitation":"[45]","plainTextFormattedCitation":"[45]","previouslyFormattedCitation":"[45]"},"properties":{"noteIndex":0},"schema":"https://github.com/citation-style-language/schema/raw/master/csl-citation.json"}</w:instrText>
      </w:r>
      <w:r w:rsidR="00207344" w:rsidRPr="001C4D50">
        <w:rPr>
          <w:color w:val="2B579A"/>
          <w:shd w:val="clear" w:color="auto" w:fill="E6E6E6"/>
        </w:rPr>
        <w:fldChar w:fldCharType="separate"/>
      </w:r>
      <w:r w:rsidR="00AA1043" w:rsidRPr="001C4D50">
        <w:rPr>
          <w:noProof/>
        </w:rPr>
        <w:t>[45]</w:t>
      </w:r>
      <w:r w:rsidR="00207344" w:rsidRPr="001C4D50">
        <w:rPr>
          <w:color w:val="2B579A"/>
          <w:shd w:val="clear" w:color="auto" w:fill="E6E6E6"/>
        </w:rPr>
        <w:fldChar w:fldCharType="end"/>
      </w:r>
      <w:r w:rsidR="00207344" w:rsidRPr="001C4D50">
        <w:t>.</w:t>
      </w:r>
      <w:r w:rsidR="0008091C" w:rsidRPr="001C4D50">
        <w:t xml:space="preserve"> </w:t>
      </w:r>
      <w:r w:rsidR="00207344" w:rsidRPr="001C4D50">
        <w:rPr>
          <w:rFonts w:eastAsia="Times New Roman"/>
          <w:noProof/>
          <w:shd w:val="clear" w:color="auto" w:fill="FFFFFF"/>
        </w:rPr>
        <w:t xml:space="preserve">Clinically, BM-MSCs have been used in both autologous </w:t>
      </w:r>
      <w:r w:rsidR="00207344" w:rsidRPr="001C4D50">
        <w:rPr>
          <w:rFonts w:eastAsia="Times New Roman"/>
          <w:noProof/>
          <w:color w:val="2B579A"/>
          <w:shd w:val="clear" w:color="auto" w:fill="FFFFFF"/>
        </w:rPr>
        <w:fldChar w:fldCharType="begin" w:fldLock="1"/>
      </w:r>
      <w:r w:rsidR="00CF69B7" w:rsidRPr="001C4D50">
        <w:rPr>
          <w:rFonts w:eastAsia="Times New Roman"/>
          <w:noProof/>
          <w:shd w:val="clear" w:color="auto" w:fill="FFFFFF"/>
        </w:rPr>
        <w:instrText>ADDIN CSL_CITATION {"citationItems":[{"id":"ITEM-1","itemData":{"author":[{"dropping-particle":"","family":"Richardson","given":"James B","non-dropping-particle":"","parse-names":false,"suffix":""},{"dropping-particle":"","family":"Wright","given":"K T","non-dropping-particle":"","parse-names":false,"suffix":""},{"dropping-particle":"","family":"Wales","given":"Johanna","non-dropping-particle":"","parse-names":false,"suffix":""},{"dropping-particle":"","family":"Kuiper","given":"Jan Herman","non-dropping-particle":"","parse-names":false,"suffix":""},{"dropping-particle":"","family":"Helen","given":"S","non-dropping-particle":"","parse-names":false,"suffix":""},{"dropping-particle":"","family":"Harrison","given":"Paul E","non-dropping-particle":"","parse-names":false,"suffix":""}],"container-title":"Regenerative Medicine","id":"ITEM-1","issue":"5","issued":{"date-parts":[["2017"]]},"page":"493-501","title":"Efficacy and safety of autologous cell therapies for knee cartilage defects ( autologous stem cells , chondrocytes or the two ): randomized controlled trial design","type":"article-journal","volume":"12"},"uris":["http://www.mendeley.com/documents/?uuid=0dbb7f34-a393-496d-979f-f278ee9c3d01"]},{"id":"ITEM-2","itemData":{"DOI":"10.1159/000333381","ISBN":"1664-5456","ISSN":"1664-5456","PMID":"22566987","abstract":"BACKGROUND: Cell transplantation is a 'hype and hope' in the current scenario. It is in the early stage of development with promises to restore function in chronic diseases. Mesenchymal stem cell (MSC) transplantation in stroke patients has shown significant improvement by reducing clinical and functional deficits. They are feasible and multipotent and have homing characteristics. This study evaluates the safety, feasibility and efficacy of autologous MSC transplantation in patients with chronic stroke using clinical scores and functional imaging (blood oxygen level-dependent and diffusion tensor imaging techniques).$\\$n$\\$nMETHODS: Twelve chronic stroke patients were recruited; inclusion criteria were stroke lasting 3 months to 1 year, motor strength of hand muscles of at least 2, and NIHSS of 4-15, and patients had to be conscious and able to comprehend. Fugl Meyer (FM), modified Barthel index (mBI), MRC, Ashworth tone grade scale scores and functional imaging scans were assessed at baseline, and after 8 and 24 weeks. Bone marrow was aspirated under aseptic conditions and expansion of MSC took 3 weeks with animal serum-free media (Stem Pro SFM). Six patients were administered a mean of 50-60 × 10(6) cells i.v. followed by 8 weeks of physiotherapy. Six patients served as controls. This was a non-randomized experimental controlled trial.$\\$n$\\$nRESULTS: Clinical and radiological scanning was normal for the stem cell group patients. There was no mortality or cell-related adverse reaction. The laboratory tests on days 1, 3, 5 and 7 were also normal in the MSC group till the last follow-up. The FM and mBI showed a modest increase in the stem cell group compared to controls. There was an increased number of cluster activation of Brodmann areas BA 4 and BA 6 after stem cell infusion compared to controls, indicating neural plasticity.$\\$n$\\$nCONCLUSION: MSC therapy aiming to restore function in stroke is safe and feasible. Further randomized controlled trials are needed to evaluate its efficacy.","author":[{"dropping-particle":"","family":"Bhasin","given":"Ashu","non-dropping-particle":"","parse-names":false,"suffix":""},{"dropping-particle":"","family":"Srivastava","given":"M V Padma","non-dropping-particle":"","parse-names":false,"suffix":""},{"dropping-particle":"","family":"Kumaran","given":"S Senthil","non-dropping-particle":"","parse-names":false,"suffix":""},{"dropping-particle":"","family":"Mohanty","given":"Sujata","non-dropping-particle":"","parse-names":false,"suffix":""},{"dropping-particle":"","family":"Bhatia","given":"Rohit","non-dropping-particle":"","parse-names":false,"suffix":""},{"dropping-particle":"","family":"Bose","given":"Sushmita","non-dropping-particle":"","parse-names":false,"suffix":""},{"dropping-particle":"","family":"Gaikwad","given":"Shailesh","non-dropping-particle":"","parse-names":false,"suffix":""},{"dropping-particle":"","family":"Garg","given":"Ajay","non-dropping-particle":"","parse-names":false,"suffix":""},{"dropping-particle":"","family":"Airan","given":"Balram","non-dropping-particle":"","parse-names":false,"suffix":""}],"container-title":"Cerebrovascular diseases extra","id":"ITEM-2","issue":"1","issued":{"date-parts":[["2011"]]},"page":"93-104","title":"Autologous mesenchymal stem cells in chronic stroke.","type":"article-journal","volume":"1"},"uris":["http://www.mendeley.com/documents/?uuid=abf7d3ad-2810-4205-92dd-416129d85c69"]}],"mendeley":{"formattedCitation":"[46,47]","plainTextFormattedCitation":"[46,47]","previouslyFormattedCitation":"[46,47]"},"properties":{"noteIndex":0},"schema":"https://github.com/citation-style-language/schema/raw/master/csl-citation.json"}</w:instrText>
      </w:r>
      <w:r w:rsidR="00207344" w:rsidRPr="001C4D50">
        <w:rPr>
          <w:rFonts w:eastAsia="Times New Roman"/>
          <w:noProof/>
          <w:color w:val="2B579A"/>
          <w:shd w:val="clear" w:color="auto" w:fill="FFFFFF"/>
        </w:rPr>
        <w:fldChar w:fldCharType="separate"/>
      </w:r>
      <w:r w:rsidR="00AA1043" w:rsidRPr="001C4D50">
        <w:rPr>
          <w:rFonts w:eastAsia="Times New Roman"/>
          <w:noProof/>
          <w:shd w:val="clear" w:color="auto" w:fill="FFFFFF"/>
        </w:rPr>
        <w:t>[46,47]</w:t>
      </w:r>
      <w:r w:rsidR="00207344" w:rsidRPr="001C4D50">
        <w:rPr>
          <w:rFonts w:eastAsia="Times New Roman"/>
          <w:noProof/>
          <w:color w:val="2B579A"/>
          <w:shd w:val="clear" w:color="auto" w:fill="FFFFFF"/>
        </w:rPr>
        <w:fldChar w:fldCharType="end"/>
      </w:r>
      <w:r w:rsidR="00207344" w:rsidRPr="001C4D50">
        <w:rPr>
          <w:rFonts w:eastAsia="Times New Roman"/>
          <w:noProof/>
          <w:shd w:val="clear" w:color="auto" w:fill="FFFFFF"/>
        </w:rPr>
        <w:t xml:space="preserve"> and allogeneic cell therapies </w:t>
      </w:r>
      <w:r w:rsidR="00207344" w:rsidRPr="001C4D50">
        <w:rPr>
          <w:rFonts w:eastAsia="Times New Roman"/>
          <w:noProof/>
          <w:color w:val="2B579A"/>
          <w:shd w:val="clear" w:color="auto" w:fill="FFFFFF"/>
        </w:rPr>
        <w:fldChar w:fldCharType="begin" w:fldLock="1"/>
      </w:r>
      <w:r w:rsidR="00CF69B7" w:rsidRPr="001C4D50">
        <w:rPr>
          <w:rFonts w:eastAsia="Times New Roman"/>
          <w:noProof/>
          <w:shd w:val="clear" w:color="auto" w:fill="FFFFFF"/>
        </w:rPr>
        <w:instrText>ADDIN CSL_CITATION {"citationItems":[{"id":"ITEM-1","itemData":{"DOI":"10.1186/1479-5876-11-143","ISSN":"14795876","PMID":"23758736","abstract":"Background: Peripheral vascular disease of the lower extremities comprises a clinical spectrum that extends from no symptoms to presentation with critical limb ischemia (CLI). Bone marrow derived Mesenchymal Stem Cells (BM- MSCs) may ameliorate the consequences of CLI due to their combinatorial potential for inducing angiogenesis and immunomodulatory environment in situ. The primary objective was to determine the safety of BM- MSCs in patients with CLI.Methods: Prospective, double blind randomized placebo controlled multi-center study was conducted in patients with established CLI as per Rutherford classification in category II-4, III-5, or III-6 with infra-inguinal arterial occlusive disease and were not suitable for or had failed revascularization treatment. The primary end point was incidence of treatment - related adverse events (AE). Exploratory efficacy end points were improvement in rest pain, increase in Ankle Brachial Pressure Index (ABPI), ankle pressure, healing of ulcers, and amputation rates. Twenty patients (BM-MSC: Placebo = 1:1) were administered with allogeneic BM-MSCs at a dose of 2 million cells/kg or placebo (PlasmaLyte A) at the gastrocnemius muscle of the ischemic limb.Results: Improvement was observed in the rest pain scores in both the arms. Significant increase in ABPI and ankle pressure was seen in BM-MSC arm compared to the placebo group. Incidence of AEs in the BM-MSC arm was 13 vs. 45 in the placebo arm where as serious adverse events (SAE) were similar in both the arms (5 in BM-MSC and 4 in the placebo group). SAEs resulted in death, infected gangrene, amputations in these patients. It was observed that the SAEs were related to disease progression and not related to stem cells.Conclusion: BM-MSCs are safe when injected IM at a dose of 2 million cells/kg body weight. Few efficacy parameters such as ABPI and ankle pressure showed positive trend warranting further studies.Trial registration: NIH website (http://www.clinicaltrials.gov/ct2/show/NCT00883870). ©2013 Gupta et al.; licensee BioMed Central Ltd.","author":[{"dropping-particle":"","family":"Gupta","given":"Pawan K","non-dropping-particle":"","parse-names":false,"suffix":""},{"dropping-particle":"","family":"Chullikana","given":"Anoop","non-dropping-particle":"","parse-names":false,"suffix":""},{"dropping-particle":"","family":"Parakh","given":"Rajiv","non-dropping-particle":"","parse-names":false,"suffix":""},{"dropping-particle":"","family":"Desai","given":"Sanjay","non-dropping-particle":"","parse-names":false,"suffix":""},{"dropping-particle":"","family":"Das","given":"Anjan","non-dropping-particle":"","parse-names":false,"suffix":""},{"dropping-particle":"","family":"Gottipamula","given":"Sanjay","non-dropping-particle":"","parse-names":false,"suffix":""},{"dropping-particle":"","family":"Krishnamurthy","given":"Sagar","non-dropping-particle":"","parse-names":false,"suffix":""},{"dropping-particle":"","family":"Anthony","given":"Naveen","non-dropping-particle":"","parse-names":false,"suffix":""},{"dropping-particle":"","family":"Pherwani","given":"Arun","non-dropping-particle":"","parse-names":false,"suffix":""},{"dropping-particle":"","family":"Majumdar","given":"Anish S","non-dropping-particle":"","parse-names":false,"suffix":""}],"container-title":"Journal of Translational Medicine","id":"ITEM-1","issue":"1","issued":{"date-parts":[["2013"]]},"page":"1-11","title":"A double blind randomized placebo controlled phase I/II study assessing the safety and efficacy of allogeneic bone marrow derived mesenchymal stem cell in critical limb ischemia","type":"article-journal","volume":"11"},"uris":["http://www.mendeley.com/documents/?uuid=7c6dea75-c09b-4242-a0c5-fe84ae68577e"]},{"id":"ITEM-2","itemData":{"DOI":"10.1016/j.jot.2017.03.005","ISSN":"2214-031X (Print)","PMID":"29662802","abstract":"Osteoarthritis is a degenerative disease of joints with destruction of articular cartilage associated with subchondral bone hypertrophy and inflammation. OA is the leading cause of joint pain resulting in significant worsening of the quality-of-life in the elderly. Numerous efforts have been spent to overcome the inherently poor healing ability of articular cartilage. Mesenchymal stem cells (MSCs) have been in the limelight of cell-based therapies to promote cartilage repair. Despite progressive advancements in MSC manipulation and the introduction of various bioactive scaffolds and growth factors in preclinical studies, current clinical trials are still at early stages with preliminary aims to evaluate safety, feasibility and efficacy. This review summarises recently reported MSC-based clinical trials and discusses new research directions with particular focus on the potential application of MSC-derived extracellular vehicles, miRNAs and advanced gene editing techniques which may shed light on the development of novel treatment strategies. The translational potential of this article: This review summarises recent MSC-related clinical research that focuses on cartilage repair. We also propose a novel possible translational direction for hyaline cartilage formation and a new paradigm making use of extra-cellular signalling and epigenetic regulation in the application of MSCs for cartilage repair.","author":[{"dropping-particle":"","family":"Lee","given":"Wayne Yuk-Wai","non-dropping-particle":"","parse-names":false,"suffix":""},{"dropping-particle":"","family":"Wang","given":"Bin","non-dropping-particle":"","parse-names":false,"suffix":""}],"container-title":"Journal of orthopaedic translation","id":"ITEM-2","issued":{"date-parts":[["2017","4"]]},"page":"76-88","title":"Cartilage repair by mesenchymal stem cells: Clinical trial update and perspectives.","type":"article-journal","volume":"9"},"uris":["http://www.mendeley.com/documents/?uuid=560c20e7-78ec-4ac4-ab13-35f4e306727f"]}],"mendeley":{"formattedCitation":"[48,49]","plainTextFormattedCitation":"[48,49]","previouslyFormattedCitation":"[48,49]"},"properties":{"noteIndex":0},"schema":"https://github.com/citation-style-language/schema/raw/master/csl-citation.json"}</w:instrText>
      </w:r>
      <w:r w:rsidR="00207344" w:rsidRPr="001C4D50">
        <w:rPr>
          <w:rFonts w:eastAsia="Times New Roman"/>
          <w:noProof/>
          <w:color w:val="2B579A"/>
          <w:shd w:val="clear" w:color="auto" w:fill="FFFFFF"/>
        </w:rPr>
        <w:fldChar w:fldCharType="separate"/>
      </w:r>
      <w:r w:rsidR="00AA1043" w:rsidRPr="001C4D50">
        <w:rPr>
          <w:rFonts w:eastAsia="Times New Roman"/>
          <w:noProof/>
          <w:shd w:val="clear" w:color="auto" w:fill="FFFFFF"/>
        </w:rPr>
        <w:t>[48,49]</w:t>
      </w:r>
      <w:r w:rsidR="00207344" w:rsidRPr="001C4D50">
        <w:rPr>
          <w:rFonts w:eastAsia="Times New Roman"/>
          <w:noProof/>
          <w:color w:val="2B579A"/>
          <w:shd w:val="clear" w:color="auto" w:fill="FFFFFF"/>
        </w:rPr>
        <w:fldChar w:fldCharType="end"/>
      </w:r>
      <w:r w:rsidR="00207344" w:rsidRPr="001C4D50">
        <w:rPr>
          <w:rFonts w:eastAsia="Times New Roman"/>
          <w:noProof/>
          <w:shd w:val="clear" w:color="auto" w:fill="FFFFFF"/>
        </w:rPr>
        <w:t>, whilst UC-MSCs are only proposed as an allogen</w:t>
      </w:r>
      <w:r w:rsidR="006841B8" w:rsidRPr="001C4D50">
        <w:rPr>
          <w:rFonts w:eastAsia="Times New Roman"/>
          <w:noProof/>
          <w:shd w:val="clear" w:color="auto" w:fill="FFFFFF"/>
        </w:rPr>
        <w:t>e</w:t>
      </w:r>
      <w:r w:rsidR="00207344" w:rsidRPr="001C4D50">
        <w:rPr>
          <w:rFonts w:eastAsia="Times New Roman"/>
          <w:noProof/>
          <w:shd w:val="clear" w:color="auto" w:fill="FFFFFF"/>
        </w:rPr>
        <w:t xml:space="preserve">ic option </w:t>
      </w:r>
      <w:r w:rsidR="00207344" w:rsidRPr="001C4D50">
        <w:rPr>
          <w:rFonts w:eastAsia="Times New Roman"/>
          <w:noProof/>
          <w:color w:val="2B579A"/>
          <w:shd w:val="clear" w:color="auto" w:fill="FFFFFF"/>
        </w:rPr>
        <w:fldChar w:fldCharType="begin" w:fldLock="1"/>
      </w:r>
      <w:r w:rsidR="00CF69B7" w:rsidRPr="001C4D50">
        <w:rPr>
          <w:rFonts w:eastAsia="Times New Roman"/>
          <w:noProof/>
          <w:shd w:val="clear" w:color="auto" w:fill="FFFFFF"/>
        </w:rPr>
        <w:instrText>ADDIN CSL_CITATION {"citationItems":[{"id":"ITEM-1","itemData":{"DOI":"10.1136/annrheumdis-2017-211073","ISSN":"1468-2060 (Electronic)","PMID":"28478399","abstract":"OBJECTIVE: We evaluate the efficacy of human umbilical cord-derived mesenchymal stem cell (hUC-MSC) for the treatment of lupus nephritis (LN). Previous reports showed hUC-MSC could have dramatic treatment effect. METHODS: Eighteen patients with WHO class III or IV LN were randomly assigned to hUC-MSC (dose 2×10(8) cells) or placebo. All patients received standard immunosuppressive treatment, which consisted of intravenous methylprednisolone and cyclophosphamide, followed by maintenance oral prednisolone and mycophenolate mofetil. RESULTS: Remission occurred in 9 of 12 patients (75%) in the hUC-MSC group and 5 of 6 patients (83%) in the placebo group. Remission was defined as stabilisation or improvement in renal function, reduction in urinary red cells and protein. A similar proportion of patients on hUC-MSC and placebo achieved complete remission. Improvements in serum albumin, complement, renal function, Systemic Lupus Erythematosus Disease Activity Index and British Isles Lupus Assessment Group scores were similar in both groups. One patient on placebo had a stroke and another had ascites. One patient on hUC-MSC had leucopenia, pneumonia and subcutaneous abscess and another died of severe pneumonia. The trial was abandoned after 18 patients were enrolled when it had become obvious it would not demonstrate a positive treatment effect. CONCLUSION: hUC-MSC has no apparent additional effect over and above standard immunosuppression. TRIAL REGISTRATION NUMBER: NCT01539902; Results.","author":[{"dropping-particle":"","family":"Deng","given":"DanQi","non-dropping-particle":"","parse-names":false,"suffix":""},{"dropping-particle":"","family":"Zhang","given":"Peilian","non-dropping-particle":"","parse-names":false,"suffix":""},{"dropping-particle":"","family":"Guo","given":"Yun","non-dropping-particle":"","parse-names":false,"suffix":""},{"dropping-particle":"","family":"Lim","given":"Teck Onn","non-dropping-particle":"","parse-names":false,"suffix":""}],"container-title":"Annals of the rheumatic diseases","id":"ITEM-1","issue":"8","issued":{"date-parts":[["2017","8"]]},"page":"1436-1439","title":"A randomised double-blind, placebo-controlled trial of allogeneic umbilical cord-derived mesenchymal stem cell for lupus nephritis.","type":"article-journal","volume":"76"},"uris":["http://www.mendeley.com/documents/?uuid=ddfc2b29-51f0-4a8f-bde4-beacc0a56091"]},{"id":"ITEM-2","itemData":{"DOI":"10.1002/sctm.18-0053","ISSN":"2157-6564 (Print)","PMID":"30592390","abstract":"Knee osteoarthritis (OA) is a leading cause of pain and disability. Although conventional treatments show modest benefits, pilot and phase I/II trials with bone marrow (BM) and adipose-derived (AD) mesenchymal stromal cells (MSCs) point to the feasibility, safety, and occurrence of clinical and structural improvement in focal or diffuse disease. This study aimed to assess the safety and efficacy of the intra-articular injection of single or repeated umbilical cord-derived (UC) MSCs in knee OA. UC-MSCs were cultured in an International Organization for Standardization 9001:2015 certified Good Manufacturing Practice-type Laboratory. Patients with symptomatic knee OA were randomized to receive hyaluronic acid at baseline and 6 months (HA, n = 8), single-dose (20 x 10(6) ) UC-MSC at baseline (MSC-1, n = 9), or repeated UC-MSC doses at baseline and 6 months (20 x 10(6) x 2; MSC-2, n = 9). Clinical scores and magnetic resonance images (MRIs) were assessed throughout the 12 months follow-up. No severe adverse events were reported. Only MSC-treated patients experienced significant pain and function improvements from baseline (p = .001). At 12 months, Western Ontario and Mc Master Universities Arthritis Index (WOMAC-A; pain subscale) reached significantly lower levels of pain in the MSC-2-treated group (1.1 +/- 1.3) as compared with the HA group (4.3 +/- 3.5; p = .04). Pain Visual Analog scale was significantly lower in the MSC-2 group versus the HA group (2.4 +/- 2.1 vs. 22.1 +/- 9.8, p = .03) at 12 months. For total WOMAC, MSC-2 had lower scores than HA at 12 months (4.2 +/- 3.9 vs. 15.2 +/- 11, p = .05). No differences in MRI scores were detected. In a phase I/II trial (NCT02580695), repeated UC-MSC treatment is safe and superior to active comparator in knee OA at 1-year follow-up. Stem Cells Translational Medicine 2019;8:215&amp;224.","author":[{"dropping-particle":"","family":"Matas","given":"Jose","non-dropping-particle":"","parse-names":false,"suffix":""},{"dropping-particle":"","family":"Orrego","given":"Mario","non-dropping-particle":"","parse-names":false,"suffix":""},{"dropping-particle":"","family":"Amenabar","given":"Diego","non-dropping-particle":"","parse-names":false,"suffix":""},{"dropping-particle":"","family":"Infante","given":"Catalina","non-dropping-particle":"","parse-names":false,"suffix":""},{"dropping-particle":"","family":"Tapia-Limonchi","given":"Rafael","non-dropping-particle":"","parse-names":false,"suffix":""},{"dropping-particle":"","family":"Cadiz","given":"Maria Ignacia","non-dropping-particle":"","parse-names":false,"suffix":""},{"dropping-particle":"","family":"Alcayaga-Miranda","given":"Francisca","non-dropping-particle":"","parse-names":false,"suffix":""},{"dropping-particle":"","family":"Gonzalez","given":"Paz L","non-dropping-particle":"","parse-names":false,"suffix":""},{"dropping-particle":"","family":"Muse","given":"Emilio","non-dropping-particle":"","parse-names":false,"suffix":""},{"dropping-particle":"","family":"Khoury","given":"Maroun","non-dropping-particle":"","parse-names":false,"suffix":""},{"dropping-particle":"","family":"Figueroa","given":"Fernando E","non-dropping-particle":"","parse-names":false,"suffix":""},{"dropping-particle":"","family":"Espinoza","given":"Francisco","non-dropping-particle":"","parse-names":false,"suffix":""}],"container-title":"Stem cells translational medicine","id":"ITEM-2","issue":"3","issued":{"date-parts":[["2019","3"]]},"page":"215-224","title":"Umbilical Cord-Derived Mesenchymal Stromal Cells (MSCs) for Knee Osteoarthritis: Repeated MSC Dosing Is Superior to a Single MSC Dose and to Hyaluronic Acid in a Controlled Randomized Phase I/II Trial.","type":"article-journal","volume":"8"},"uris":["http://www.mendeley.com/documents/?uuid=de6315f3-8f70-4b38-9720-748804b80f10"]}],"mendeley":{"formattedCitation":"[50,51]","plainTextFormattedCitation":"[50,51]","previouslyFormattedCitation":"[50,51]"},"properties":{"noteIndex":0},"schema":"https://github.com/citation-style-language/schema/raw/master/csl-citation.json"}</w:instrText>
      </w:r>
      <w:r w:rsidR="00207344" w:rsidRPr="001C4D50">
        <w:rPr>
          <w:rFonts w:eastAsia="Times New Roman"/>
          <w:noProof/>
          <w:color w:val="2B579A"/>
          <w:shd w:val="clear" w:color="auto" w:fill="FFFFFF"/>
        </w:rPr>
        <w:fldChar w:fldCharType="separate"/>
      </w:r>
      <w:r w:rsidR="00AA1043" w:rsidRPr="001C4D50">
        <w:rPr>
          <w:rFonts w:eastAsia="Times New Roman"/>
          <w:noProof/>
          <w:shd w:val="clear" w:color="auto" w:fill="FFFFFF"/>
        </w:rPr>
        <w:t>[50,51]</w:t>
      </w:r>
      <w:r w:rsidR="00207344" w:rsidRPr="001C4D50">
        <w:rPr>
          <w:rFonts w:eastAsia="Times New Roman"/>
          <w:noProof/>
          <w:color w:val="2B579A"/>
          <w:shd w:val="clear" w:color="auto" w:fill="FFFFFF"/>
        </w:rPr>
        <w:fldChar w:fldCharType="end"/>
      </w:r>
      <w:r w:rsidR="00207344" w:rsidRPr="001C4D50">
        <w:rPr>
          <w:rFonts w:eastAsia="Times New Roman"/>
          <w:noProof/>
          <w:shd w:val="clear" w:color="auto" w:fill="FFFFFF"/>
        </w:rPr>
        <w:t xml:space="preserve">. </w:t>
      </w:r>
    </w:p>
    <w:p w14:paraId="21704E33" w14:textId="77777777" w:rsidR="00207344" w:rsidRPr="001C4D50" w:rsidRDefault="00207344" w:rsidP="00960366">
      <w:pPr>
        <w:rPr>
          <w:rFonts w:cstheme="minorHAnsi"/>
          <w:b/>
          <w:u w:val="single"/>
        </w:rPr>
      </w:pPr>
    </w:p>
    <w:p w14:paraId="78447235" w14:textId="14BFCB27" w:rsidR="009156A7" w:rsidRPr="001C4D50" w:rsidRDefault="00FC303D" w:rsidP="00960366">
      <w:pPr>
        <w:pStyle w:val="NormalWeb"/>
        <w:spacing w:before="0" w:beforeAutospacing="0" w:after="0" w:afterAutospacing="0"/>
        <w:rPr>
          <w:rFonts w:asciiTheme="minorHAnsi" w:hAnsiTheme="minorHAnsi" w:cstheme="minorHAnsi"/>
          <w:b/>
          <w:color w:val="000000"/>
          <w:u w:val="single"/>
        </w:rPr>
      </w:pPr>
      <w:r w:rsidRPr="001C4D50">
        <w:rPr>
          <w:rFonts w:asciiTheme="minorHAnsi" w:hAnsiTheme="minorHAnsi" w:cstheme="minorHAnsi"/>
          <w:b/>
          <w:color w:val="000000"/>
          <w:u w:val="single"/>
        </w:rPr>
        <w:t xml:space="preserve">What are the mechanisms </w:t>
      </w:r>
      <w:r w:rsidR="0080660A" w:rsidRPr="001C4D50">
        <w:rPr>
          <w:rFonts w:asciiTheme="minorHAnsi" w:hAnsiTheme="minorHAnsi" w:cstheme="minorHAnsi"/>
          <w:b/>
          <w:color w:val="000000"/>
          <w:u w:val="single"/>
        </w:rPr>
        <w:t>for</w:t>
      </w:r>
      <w:r w:rsidR="009156A7" w:rsidRPr="001C4D50">
        <w:rPr>
          <w:rFonts w:asciiTheme="minorHAnsi" w:hAnsiTheme="minorHAnsi" w:cstheme="minorHAnsi"/>
          <w:b/>
          <w:color w:val="000000"/>
          <w:u w:val="single"/>
        </w:rPr>
        <w:t xml:space="preserve"> MSCs </w:t>
      </w:r>
      <w:r w:rsidR="0080660A" w:rsidRPr="001C4D50">
        <w:rPr>
          <w:rFonts w:asciiTheme="minorHAnsi" w:hAnsiTheme="minorHAnsi" w:cstheme="minorHAnsi"/>
          <w:b/>
          <w:color w:val="000000"/>
          <w:u w:val="single"/>
        </w:rPr>
        <w:t>in cartilage repair</w:t>
      </w:r>
      <w:r w:rsidR="009156A7" w:rsidRPr="001C4D50">
        <w:rPr>
          <w:rFonts w:asciiTheme="minorHAnsi" w:hAnsiTheme="minorHAnsi" w:cstheme="minorHAnsi"/>
          <w:b/>
          <w:color w:val="000000"/>
          <w:u w:val="single"/>
        </w:rPr>
        <w:t>?</w:t>
      </w:r>
    </w:p>
    <w:p w14:paraId="2C62800C" w14:textId="77777777" w:rsidR="00090420" w:rsidRPr="001C4D50" w:rsidRDefault="00090420" w:rsidP="00960366">
      <w:pPr>
        <w:pStyle w:val="NormalWeb"/>
        <w:spacing w:before="0" w:beforeAutospacing="0" w:after="0" w:afterAutospacing="0"/>
        <w:rPr>
          <w:rFonts w:asciiTheme="minorHAnsi" w:hAnsiTheme="minorHAnsi" w:cstheme="minorHAnsi"/>
          <w:b/>
          <w:color w:val="000000"/>
          <w:u w:val="single"/>
        </w:rPr>
      </w:pPr>
    </w:p>
    <w:p w14:paraId="3CBCEC35" w14:textId="576B41AB" w:rsidR="00261587" w:rsidRPr="001C4D50" w:rsidRDefault="006841B8" w:rsidP="00960366">
      <w:r w:rsidRPr="001C4D50">
        <w:t>For many years</w:t>
      </w:r>
      <w:r w:rsidR="00BC4880" w:rsidRPr="001C4D50">
        <w:t xml:space="preserve"> all</w:t>
      </w:r>
      <w:r w:rsidRPr="001C4D50">
        <w:t xml:space="preserve"> ‘stem’ cells were considered useful in regenerative medici</w:t>
      </w:r>
      <w:r w:rsidR="00BC4880" w:rsidRPr="001C4D50">
        <w:t>ne due to their potential to differentiate into various cell types (Figure 2).</w:t>
      </w:r>
      <w:r w:rsidR="00F97412" w:rsidRPr="001C4D50">
        <w:t xml:space="preserve"> </w:t>
      </w:r>
      <w:r w:rsidR="00B218D1" w:rsidRPr="001C4D50">
        <w:t xml:space="preserve">The therapeutic potential of </w:t>
      </w:r>
      <w:r w:rsidR="00F97412" w:rsidRPr="001C4D50">
        <w:t xml:space="preserve">MSCs </w:t>
      </w:r>
      <w:r w:rsidR="00B218D1" w:rsidRPr="001C4D50">
        <w:t>directed to differentiate in</w:t>
      </w:r>
      <w:r w:rsidR="00F97412" w:rsidRPr="001C4D50">
        <w:t>to articular chondrocytes has been considered</w:t>
      </w:r>
      <w:r w:rsidR="00B218D1" w:rsidRPr="001C4D50">
        <w:t xml:space="preserve">, however, </w:t>
      </w:r>
      <w:r w:rsidR="003F745B" w:rsidRPr="001C4D50">
        <w:t>there are indications that the epigenetic landscape of these cells may be distinct from matched autologous cartilage tissue</w:t>
      </w:r>
      <w:r w:rsidR="00C8414E" w:rsidRPr="001C4D50">
        <w:t xml:space="preserve"> </w:t>
      </w:r>
      <w:r w:rsidR="00C8414E" w:rsidRPr="001C4D50">
        <w:fldChar w:fldCharType="begin" w:fldLock="1"/>
      </w:r>
      <w:r w:rsidR="00C8414E" w:rsidRPr="001C4D50">
        <w:instrText>ADDIN CSL_CITATION {"citationItems":[{"id":"ITEM-1","itemData":{"DOI":"10.1016/j.joca.2016.03.009","ISSN":"1063-4584","author":[{"dropping-particle":"","family":"Bomer","given":"N","non-dropping-particle":"","parse-names":false,"suffix":""},{"dropping-particle":"Den","family":"Hollander","given":"W","non-dropping-particle":"","parse-names":false,"suffix":""},{"dropping-particle":"","family":"Suchiman","given":"H","non-dropping-particle":"","parse-names":false,"suffix":""},{"dropping-particle":"","family":"Houtman","given":"E","non-dropping-particle":"","parse-names":false,"suffix":""},{"dropping-particle":"","family":"Slieker","given":"R C","non-dropping-particle":"","parse-names":false,"suffix":""},{"dropping-particle":"","family":"Heijmans","given":"B T","non-dropping-particle":"","parse-names":false,"suffix":""},{"dropping-particle":"","family":"Slagboom","given":"P E","non-dropping-particle":"","parse-names":false,"suffix":""},{"dropping-particle":"","family":"Nelissen","given":"R G H H","non-dropping-particle":"","parse-names":false,"suffix":""},{"dropping-particle":"","family":"Ramos","given":"Y F M","non-dropping-particle":"","parse-names":false,"suffix":""},{"dropping-particle":"","family":"Meulenbelt","given":"I","non-dropping-particle":"","parse-names":false,"suffix":""}],"container-title":"Osteoarthritis and Cartilage","id":"ITEM-1","issue":"8","issued":{"date-parts":[["2016"]]},"page":"1423-1430","publisher":"Elsevier Ltd","title":"Neo-cartilage engineered from primary chondrocytes is epigenetically similar to autologous cartilage , in contrast to using mesenchymal stem cells","type":"article-journal","volume":"24"},"uris":["http://www.mendeley.com/documents/?uuid=ab2a069c-e92a-4cd2-bf57-19797ef6d542"]}],"mendeley":{"formattedCitation":"[52]","plainTextFormattedCitation":"[52]"},"properties":{"noteIndex":0},"schema":"https://github.com/citation-style-language/schema/raw/master/csl-citation.json"}</w:instrText>
      </w:r>
      <w:r w:rsidR="00C8414E" w:rsidRPr="001C4D50">
        <w:fldChar w:fldCharType="separate"/>
      </w:r>
      <w:r w:rsidR="00C8414E" w:rsidRPr="001C4D50">
        <w:rPr>
          <w:noProof/>
        </w:rPr>
        <w:t>[52]</w:t>
      </w:r>
      <w:r w:rsidR="00C8414E" w:rsidRPr="001C4D50">
        <w:fldChar w:fldCharType="end"/>
      </w:r>
      <w:r w:rsidR="003F745B" w:rsidRPr="001C4D50">
        <w:t>.</w:t>
      </w:r>
      <w:r w:rsidR="00B218D1" w:rsidRPr="001C4D50">
        <w:t xml:space="preserve"> </w:t>
      </w:r>
      <w:r w:rsidR="00BC4880" w:rsidRPr="001C4D50">
        <w:t>However, t</w:t>
      </w:r>
      <w:r w:rsidR="00261587" w:rsidRPr="001C4D50">
        <w:t>he exact mode of action of MSC</w:t>
      </w:r>
      <w:r w:rsidR="00BC4880" w:rsidRPr="001C4D50">
        <w:t>s</w:t>
      </w:r>
      <w:r w:rsidR="00261587" w:rsidRPr="001C4D50">
        <w:t xml:space="preserve"> remains to be conﬁrmed</w:t>
      </w:r>
      <w:r w:rsidR="00BC4880" w:rsidRPr="001C4D50">
        <w:t xml:space="preserve">. Indeed, </w:t>
      </w:r>
      <w:r w:rsidR="00261587" w:rsidRPr="001C4D50">
        <w:t>there is an increasing body of evidence that MSC</w:t>
      </w:r>
      <w:r w:rsidR="00BC4880" w:rsidRPr="001C4D50">
        <w:t>s</w:t>
      </w:r>
      <w:r w:rsidR="00261587" w:rsidRPr="001C4D50">
        <w:t xml:space="preserve"> function through trophic effects on endogenous cells</w:t>
      </w:r>
      <w:r w:rsidR="00BC4880" w:rsidRPr="001C4D50">
        <w:t>, with their production of many growth factors and cytokines,</w:t>
      </w:r>
      <w:r w:rsidR="00261587" w:rsidRPr="001C4D50">
        <w:t xml:space="preserve"> as well as by secretion of powerful immunomodulatory and anti-inflammatory molecules and extracellular vesicles (EVs)</w:t>
      </w:r>
      <w:r w:rsidR="008E0EE4" w:rsidRPr="001C4D50">
        <w:t xml:space="preserve"> </w:t>
      </w:r>
      <w:r w:rsidR="00261587" w:rsidRPr="001C4D50">
        <w:rPr>
          <w:color w:val="2B579A"/>
          <w:shd w:val="clear" w:color="auto" w:fill="E6E6E6"/>
        </w:rPr>
        <w:fldChar w:fldCharType="begin" w:fldLock="1"/>
      </w:r>
      <w:r w:rsidR="00C8414E" w:rsidRPr="001C4D50">
        <w:instrText>ADDIN CSL_CITATION {"citationItems":[{"id":"ITEM-1","itemData":{"DOI":"10.3389/fimmu.2020.591065","ISSN":"16643224","PMID":"33613514","abstract":"Mesenchymal stem cells (MSCs) are non-hematopoietic, multipotent stem cells derived from mesoderm, which can be easily isolated from many sources such as bone marrow, umbilical cord or adipose tissue. MSCs provide support for hematopoietic stem cells and have an ability to differentiate into multiple cell lines. Moreover, they have proangiogenic, protective and immunomodulatory properties. MSCs have the capacity to modulate both innate and adaptive immune responses, which accompany many diseases, by inhibiting pro-inflammatory reactions and stimulating anti-inflammatory activity. Recent findings revealed that the positive effect of MSCs is at least partly associated with the production of extracellular vesicles (EVs). EVs are small membrane structures, containing proteins, lipids and nuclei acids, which take part in intra-cellular communication. Many studies indicate that EVs contain protective and pro-regenerative properties and can modulate an immune response that is activated in various diseases such as CNS diseases, myocardial infarction, liver injury, lung diseases, ulcerative colitis or kidney injury. Thus, EVs have similar functions as their cells of origin and since they do not carry the risk of cell transplantation, such as tumor formation or small vessel blockage, they can be considered a potential therapeutic tool for cell-free therapy.","author":[{"dropping-particle":"","family":"Dabrowska","given":"Sylwia","non-dropping-particle":"","parse-names":false,"suffix":""},{"dropping-particle":"","family":"Andrzejewska","given":"Anna","non-dropping-particle":"","parse-names":false,"suffix":""},{"dropping-particle":"","family":"Janowski","given":"Miroslaw","non-dropping-particle":"","parse-names":false,"suffix":""},{"dropping-particle":"","family":"Lukomska","given":"Barbara","non-dropping-particle":"","parse-names":false,"suffix":""}],"container-title":"Frontiers in Immunology","id":"ITEM-1","issue":"February","issued":{"date-parts":[["2021"]]},"title":"Immunomodulatory and Regenerative Effects of Mesenchymal Stem Cells and Extracellular Vesicles: Therapeutic Outlook for Inflammatory and Degenerative Diseases","type":"article-journal","volume":"11"},"uris":["http://www.mendeley.com/documents/?uuid=d55bc754-8e48-45c2-8be2-3b1ec398486a"]}],"mendeley":{"formattedCitation":"[53]","plainTextFormattedCitation":"[53]","previouslyFormattedCitation":"[52]"},"properties":{"noteIndex":0},"schema":"https://github.com/citation-style-language/schema/raw/master/csl-citation.json"}</w:instrText>
      </w:r>
      <w:r w:rsidR="00261587" w:rsidRPr="001C4D50">
        <w:rPr>
          <w:color w:val="2B579A"/>
          <w:shd w:val="clear" w:color="auto" w:fill="E6E6E6"/>
        </w:rPr>
        <w:fldChar w:fldCharType="separate"/>
      </w:r>
      <w:r w:rsidR="00C8414E" w:rsidRPr="001C4D50">
        <w:rPr>
          <w:noProof/>
        </w:rPr>
        <w:t>[53]</w:t>
      </w:r>
      <w:r w:rsidR="00261587" w:rsidRPr="001C4D50">
        <w:rPr>
          <w:color w:val="2B579A"/>
          <w:shd w:val="clear" w:color="auto" w:fill="E6E6E6"/>
        </w:rPr>
        <w:fldChar w:fldCharType="end"/>
      </w:r>
      <w:r w:rsidR="00261587" w:rsidRPr="001C4D50">
        <w:t xml:space="preserve">. </w:t>
      </w:r>
      <w:r w:rsidR="00E3368D" w:rsidRPr="001C4D50">
        <w:t xml:space="preserve">They </w:t>
      </w:r>
      <w:r w:rsidR="0080660A" w:rsidRPr="001C4D50">
        <w:t>appear</w:t>
      </w:r>
      <w:r w:rsidR="00E3368D" w:rsidRPr="001C4D50">
        <w:t xml:space="preserve"> to minimise any local inflammatory response in an injured or early osteoarthritic joint through the prevention of T-lymphocyte maturation, as well as the reduction of macrophage activation </w:t>
      </w:r>
      <w:r w:rsidR="00571D41" w:rsidRPr="001C4D50">
        <w:t xml:space="preserve">and </w:t>
      </w:r>
      <w:r w:rsidR="00E3368D" w:rsidRPr="001C4D50">
        <w:t>secretion of immunomodulatory factors</w:t>
      </w:r>
      <w:r w:rsidR="00F0104E" w:rsidRPr="001C4D50">
        <w:t xml:space="preserve"> </w:t>
      </w:r>
      <w:r w:rsidR="00564FBE" w:rsidRPr="001C4D50">
        <w:rPr>
          <w:color w:val="2B579A"/>
          <w:shd w:val="clear" w:color="auto" w:fill="E6E6E6"/>
        </w:rPr>
        <w:fldChar w:fldCharType="begin" w:fldLock="1"/>
      </w:r>
      <w:r w:rsidR="00C8414E" w:rsidRPr="001C4D50">
        <w:instrText>ADDIN CSL_CITATION {"citationItems":[{"id":"ITEM-1","itemData":{"DOI":"10.2147/SCCAA.S68073","ISBN":"1550-8943","ISSN":"11786957","PMID":"26357483","abstract":"Osteoarthritis (OA) is a painful chronic condition with a significant impact on quality of life. The societal burden imposed by OA is increasing in parallel with the aging population; however, no therapies have demonstrated efficacy in preventing the progression of this degenerative joint disease. Current mainstays of therapy include activity modification, conservative pain management strategies, weight loss, and if necessary, replacement of the affected joint. Mesenchymal stem cells (MSCs) are a multipotent endogenous population of progenitors capable of differentiation to musculoskeletal tissues. MSCs have a well-documented immunomodulatory role, managing the inflammatory response primarily through paracrine signaling. Given these properties, MSCs have been proposed as a potential regenerative cell therapy source for patients with OA. Research efforts are focused on determining the ideal source for derivation, as MSCs are native to several tissues. Furthermore, optimizing the mode of delivery remains a challenge both for appropriate localization of MSCs and for directed guidance toward stemming the local inflammatory process and initiating a regenerative response. Scaffolds and matrices with growth factor adjuvants may prove critical in this effort. The purpose of this review is to summarize the current state of MSC-based therapeutics for OA and discuss potential barriers that must be overcome for successful implementation of cell-based therapy as a routine treatment strategy in orthopedics.","author":[{"dropping-particle":"","family":"Wyles","given":"Cody C","non-dropping-particle":"","parse-names":false,"suffix":""},{"dropping-particle":"","family":"Houdek","given":"Matthew T","non-dropping-particle":"","parse-names":false,"suffix":""},{"dropping-particle":"","family":"Behfar","given":"Atta","non-dropping-particle":"","parse-names":false,"suffix":""},{"dropping-particle":"","family":"Sierra","given":"Rafael J","non-dropping-particle":"","parse-names":false,"suffix":""}],"container-title":"Stem Cells and Cloning: Advances and Applications","id":"ITEM-1","issued":{"date-parts":[["2015"]]},"page":"117-124","title":"Mesenchymal stem cell therapy for osteoarthritis: Current perspectives","type":"article-journal","volume":"8"},"uris":["http://www.mendeley.com/documents/?uuid=00332880-b1f2-40db-9bfa-ab8239c62b9f"]}],"mendeley":{"formattedCitation":"[54]","plainTextFormattedCitation":"[54]","previouslyFormattedCitation":"[53]"},"properties":{"noteIndex":0},"schema":"https://github.com/citation-style-language/schema/raw/master/csl-citation.json"}</w:instrText>
      </w:r>
      <w:r w:rsidR="00564FBE" w:rsidRPr="001C4D50">
        <w:rPr>
          <w:color w:val="2B579A"/>
          <w:shd w:val="clear" w:color="auto" w:fill="E6E6E6"/>
        </w:rPr>
        <w:fldChar w:fldCharType="separate"/>
      </w:r>
      <w:r w:rsidR="00C8414E" w:rsidRPr="001C4D50">
        <w:rPr>
          <w:noProof/>
        </w:rPr>
        <w:t>[54]</w:t>
      </w:r>
      <w:r w:rsidR="00564FBE" w:rsidRPr="001C4D50">
        <w:rPr>
          <w:color w:val="2B579A"/>
          <w:shd w:val="clear" w:color="auto" w:fill="E6E6E6"/>
        </w:rPr>
        <w:fldChar w:fldCharType="end"/>
      </w:r>
      <w:r w:rsidR="00E3368D" w:rsidRPr="001C4D50">
        <w:t xml:space="preserve">. </w:t>
      </w:r>
      <w:r w:rsidR="00BC4880" w:rsidRPr="001C4D50">
        <w:rPr>
          <w:color w:val="222222"/>
          <w:shd w:val="clear" w:color="auto" w:fill="FFFFFF"/>
        </w:rPr>
        <w:t>I</w:t>
      </w:r>
      <w:r w:rsidR="00261587" w:rsidRPr="001C4D50">
        <w:rPr>
          <w:color w:val="222222"/>
          <w:shd w:val="clear" w:color="auto" w:fill="FFFFFF"/>
        </w:rPr>
        <w:t xml:space="preserve">mportant immunomodulatory </w:t>
      </w:r>
      <w:r w:rsidR="002E515A" w:rsidRPr="001C4D50">
        <w:rPr>
          <w:color w:val="222222"/>
          <w:shd w:val="clear" w:color="auto" w:fill="FFFFFF"/>
        </w:rPr>
        <w:t xml:space="preserve">factors produced by MSCs include </w:t>
      </w:r>
      <w:proofErr w:type="spellStart"/>
      <w:r w:rsidR="00261587" w:rsidRPr="001C4D50">
        <w:rPr>
          <w:color w:val="222222"/>
          <w:shd w:val="clear" w:color="auto" w:fill="FFFFFF"/>
        </w:rPr>
        <w:t>indoleamine</w:t>
      </w:r>
      <w:proofErr w:type="spellEnd"/>
      <w:r w:rsidR="00261587" w:rsidRPr="001C4D50">
        <w:rPr>
          <w:color w:val="222222"/>
          <w:shd w:val="clear" w:color="auto" w:fill="FFFFFF"/>
        </w:rPr>
        <w:t xml:space="preserve"> 2,3-dioxygenase (IDO), prostaglandin E2 (PGE2), macrophage colony-stimulating factor (M-CSF), </w:t>
      </w:r>
      <w:r w:rsidR="00261587" w:rsidRPr="001C4D50">
        <w:t>human leukocyte antigen-G (HLA-G), transforming growth factor-</w:t>
      </w:r>
      <w:r w:rsidR="006219B2" w:rsidRPr="001C4D50">
        <w:t>β</w:t>
      </w:r>
      <w:r w:rsidR="00261587" w:rsidRPr="001C4D50">
        <w:t xml:space="preserve"> (TGF-</w:t>
      </w:r>
      <w:r w:rsidR="006219B2" w:rsidRPr="001C4D50">
        <w:t xml:space="preserve"> β</w:t>
      </w:r>
      <w:r w:rsidR="00261587" w:rsidRPr="001C4D50">
        <w:t xml:space="preserve">), IL-10, and tumour necrosis factor-inducible gene 6 protein (TSG6), </w:t>
      </w:r>
      <w:r w:rsidR="00BC4880" w:rsidRPr="001C4D50">
        <w:t xml:space="preserve">all of </w:t>
      </w:r>
      <w:r w:rsidR="00261587" w:rsidRPr="001C4D50">
        <w:t>which have been shown to have a role in reducing inﬂammation</w:t>
      </w:r>
      <w:r w:rsidR="00F0104E" w:rsidRPr="001C4D50">
        <w:t xml:space="preserve"> </w:t>
      </w:r>
      <w:r w:rsidR="00DB1F58" w:rsidRPr="001C4D50">
        <w:rPr>
          <w:color w:val="2B579A"/>
          <w:shd w:val="clear" w:color="auto" w:fill="E6E6E6"/>
        </w:rPr>
        <w:fldChar w:fldCharType="begin" w:fldLock="1"/>
      </w:r>
      <w:r w:rsidR="00C8414E" w:rsidRPr="001C4D50">
        <w:instrText>ADDIN CSL_CITATION {"citationItems":[{"id":"ITEM-1","itemData":{"author":[{"dropping-particle":"","family":"Lee","given":"J.W.","non-dropping-particle":"","parse-names":false,"suffix":""},{"dropping-particle":"","family":"Fang","given":"X","non-dropping-particle":"","parse-names":false,"suffix":""},{"dropping-particle":"","family":"Krasnodembskaya","given":"A","non-dropping-particle":"","parse-names":false,"suffix":""},{"dropping-particle":"","family":"Howard","given":"J.P.","non-dropping-particle":"","parse-names":false,"suffix":""},{"dropping-particle":"","family":"Matthay","given":"M.A.","non-dropping-particle":"","parse-names":false,"suffix":""}],"container-title":"Stem Cells","id":"ITEM-1","issue":"6","issued":{"date-parts":[["2011"]]},"page":"913-919","title":"Concise Review: Mesenchymal Stem Cells for Acute Lung Injury: Role of Paracrine Soluble Factors","type":"article-journal","volume":"29"},"uris":["http://www.mendeley.com/documents/?uuid=f8bbff53-3d0a-4e98-ac20-0abbd822af1b"]},{"id":"ITEM-2","itemData":{"author":[{"dropping-particle":"","family":"Silini","given":"A","non-dropping-particle":"","parse-names":false,"suffix":""},{"dropping-particle":"","family":"Parolini","given":"O","non-dropping-particle":"","parse-names":false,"suffix":""},{"dropping-particle":"","family":"Huppertz","given":"B","non-dropping-particle":"","parse-names":false,"suffix":""},{"dropping-particle":"","family":"Lang","given":"I","non-dropping-particle":"","parse-names":false,"suffix":""}],"container-title":"Curr Stem Cell Res Ther","id":"ITEM-2","issue":"1","issued":{"date-parts":[["2013"]]},"page":"6-14","title":"Soluble factors of amnion-derived cells in treatment of inflammatory and fibrotic pathologies","type":"article-journal","volume":"8"},"uris":["http://www.mendeley.com/documents/?uuid=8ea4ad42-da02-42d2-bc63-c8e6233544fb"]}],"mendeley":{"formattedCitation":"[55,56]","plainTextFormattedCitation":"[55,56]","previouslyFormattedCitation":"[54,55]"},"properties":{"noteIndex":0},"schema":"https://github.com/citation-style-language/schema/raw/master/csl-citation.json"}</w:instrText>
      </w:r>
      <w:r w:rsidR="00DB1F58" w:rsidRPr="001C4D50">
        <w:rPr>
          <w:color w:val="2B579A"/>
          <w:shd w:val="clear" w:color="auto" w:fill="E6E6E6"/>
        </w:rPr>
        <w:fldChar w:fldCharType="separate"/>
      </w:r>
      <w:r w:rsidR="00C8414E" w:rsidRPr="001C4D50">
        <w:rPr>
          <w:noProof/>
        </w:rPr>
        <w:t>[55,56]</w:t>
      </w:r>
      <w:r w:rsidR="00DB1F58" w:rsidRPr="001C4D50">
        <w:rPr>
          <w:color w:val="2B579A"/>
          <w:shd w:val="clear" w:color="auto" w:fill="E6E6E6"/>
        </w:rPr>
        <w:fldChar w:fldCharType="end"/>
      </w:r>
      <w:r w:rsidR="00261587" w:rsidRPr="001C4D50">
        <w:t>.</w:t>
      </w:r>
    </w:p>
    <w:p w14:paraId="36BE8E23" w14:textId="77777777" w:rsidR="00261587" w:rsidRPr="001C4D50" w:rsidRDefault="00261587" w:rsidP="00960366">
      <w:pPr>
        <w:rPr>
          <w:rFonts w:cstheme="minorHAnsi"/>
        </w:rPr>
      </w:pPr>
    </w:p>
    <w:p w14:paraId="475FA93C" w14:textId="30E869C2" w:rsidR="00261587" w:rsidRPr="001C4D50" w:rsidRDefault="00261587" w:rsidP="00960366">
      <w:pPr>
        <w:shd w:val="clear" w:color="auto" w:fill="FFFFFF" w:themeFill="background1"/>
        <w:rPr>
          <w:rFonts w:eastAsia="Times New Roman"/>
          <w:color w:val="1C1D1E"/>
        </w:rPr>
      </w:pPr>
      <w:r w:rsidRPr="001C4D50">
        <w:t xml:space="preserve">With regard to </w:t>
      </w:r>
      <w:r w:rsidR="00552691" w:rsidRPr="001C4D50">
        <w:t xml:space="preserve">joint injury and </w:t>
      </w:r>
      <w:r w:rsidRPr="001C4D50">
        <w:t xml:space="preserve">OA, </w:t>
      </w:r>
      <w:r w:rsidR="00BC4880" w:rsidRPr="001C4D50">
        <w:rPr>
          <w:rFonts w:cstheme="minorHAnsi"/>
          <w:i/>
          <w:iCs/>
        </w:rPr>
        <w:t>in vivo</w:t>
      </w:r>
      <w:r w:rsidR="00BC4880" w:rsidRPr="001C4D50">
        <w:rPr>
          <w:rFonts w:cstheme="minorHAnsi"/>
        </w:rPr>
        <w:t xml:space="preserve"> models suggest </w:t>
      </w:r>
      <w:r w:rsidRPr="001C4D50">
        <w:t xml:space="preserve">MSCs have been shown to have a regenerative effect in joint disease. Examples include a strong and sustained repair when autologous </w:t>
      </w:r>
      <w:r w:rsidR="006219B2" w:rsidRPr="001C4D50">
        <w:t xml:space="preserve">culture-expanded </w:t>
      </w:r>
      <w:r w:rsidRPr="001C4D50">
        <w:t>MSCs were delivered via intra</w:t>
      </w:r>
      <w:r w:rsidR="006219B2" w:rsidRPr="001C4D50">
        <w:t>-</w:t>
      </w:r>
      <w:r w:rsidRPr="001C4D50">
        <w:t xml:space="preserve">articular injection into </w:t>
      </w:r>
      <w:r w:rsidR="00BC4880" w:rsidRPr="001C4D50">
        <w:t>an</w:t>
      </w:r>
      <w:r w:rsidRPr="001C4D50">
        <w:t xml:space="preserve"> OA knee in a caprine medial meniscectomy (MM) model compared to no cell controls</w:t>
      </w:r>
      <w:r w:rsidR="00F0104E" w:rsidRPr="001C4D50">
        <w:t xml:space="preserve"> </w:t>
      </w:r>
      <w:r w:rsidRPr="001C4D50">
        <w:rPr>
          <w:color w:val="2B579A"/>
        </w:rPr>
        <w:fldChar w:fldCharType="begin" w:fldLock="1"/>
      </w:r>
      <w:r w:rsidR="00C8414E" w:rsidRPr="001C4D50">
        <w:instrText>ADDIN CSL_CITATION {"citationItems":[{"id":"ITEM-1","itemData":{"DOI":"10.1016/j.biocel.2003.11.001","ISBN":"1357-2725 (Print)","ISSN":"1357-2725","PMID":"15010324","abstract":"Mesenchymal stem cells (MSCs) have been isolated from bone marrow, periosteum, trabecular bone, adipose tissue, synovium, skeletal muscle and deciduous teeth. These cells have the capacity to differentiate into cells of connective tissue lineages, including bone, fat, cartilage and muscle. A great deal has been learned in recent years about the isolation and characterization of MSCs, and control of their differentiation. These cells have generated a great deal of interest because of their potential use in regenerative medicine and tissue engineering and there are some dramatic examples, derived from both pre-clinical and clinical studies, that illustrate their therapeutic value. This review summarizes recent findings regarding the potential clinical use of MSCs in cardiovascular, neural and orthopaedic applications. As new methods are developed, there are several aspects to the implanted cell-host interaction that need to be addressed before we can fully understand the underlying mechanisms. These include the host immune response to implanted cells, the homing mechanisms that guide delivered cells to a site of injury and the differentiation in vivo of implanted cells under the influence of local signals.","author":[{"dropping-particle":"","family":"Barry","given":"Frank P","non-dropping-particle":"","parse-names":false,"suffix":""},{"dropping-particle":"","family":"Murphy","given":"J M Mary","non-dropping-particle":"","parse-names":false,"suffix":""}],"container-title":"The international journal of biochemistry &amp; cell biology","id":"ITEM-1","issue":"4","issued":{"date-parts":[["2004"]]},"page":"568-584","title":"Mesenchymal stem cells: clinical applications and biological characterization.","type":"article-journal","volume":"36"},"uris":["http://www.mendeley.com/documents/?uuid=c0d028ce-d0ca-438b-b014-485863898c3f"]}],"mendeley":{"formattedCitation":"[57]","plainTextFormattedCitation":"[57]","previouslyFormattedCitation":"[56]"},"properties":{"noteIndex":0},"schema":"https://github.com/citation-style-language/schema/raw/master/csl-citation.json"}</w:instrText>
      </w:r>
      <w:r w:rsidRPr="001C4D50">
        <w:rPr>
          <w:color w:val="2B579A"/>
        </w:rPr>
        <w:fldChar w:fldCharType="separate"/>
      </w:r>
      <w:r w:rsidR="00C8414E" w:rsidRPr="001C4D50">
        <w:rPr>
          <w:noProof/>
        </w:rPr>
        <w:t>[57]</w:t>
      </w:r>
      <w:r w:rsidRPr="001C4D50">
        <w:rPr>
          <w:color w:val="2B579A"/>
        </w:rPr>
        <w:fldChar w:fldCharType="end"/>
      </w:r>
      <w:r w:rsidRPr="001C4D50">
        <w:t xml:space="preserve">. This </w:t>
      </w:r>
      <w:r w:rsidR="00963F6E" w:rsidRPr="001C4D50">
        <w:t xml:space="preserve">and </w:t>
      </w:r>
      <w:r w:rsidRPr="001C4D50">
        <w:t>later studies show that these cells typically disappear from the joint within a few days and</w:t>
      </w:r>
      <w:r w:rsidR="00963F6E" w:rsidRPr="001C4D50">
        <w:t>, in the goat study,</w:t>
      </w:r>
      <w:r w:rsidRPr="001C4D50">
        <w:t xml:space="preserve"> any that did remain (&lt;3%), were associated with the synovium, fat pad and meniscus</w:t>
      </w:r>
      <w:r w:rsidR="009415D7" w:rsidRPr="001C4D50">
        <w:t xml:space="preserve"> </w:t>
      </w:r>
      <w:r w:rsidR="009415D7" w:rsidRPr="001C4D50">
        <w:rPr>
          <w:color w:val="2B579A"/>
        </w:rPr>
        <w:fldChar w:fldCharType="begin" w:fldLock="1"/>
      </w:r>
      <w:r w:rsidR="00C8414E" w:rsidRPr="001C4D50">
        <w:instrText>ADDIN CSL_CITATION {"citationItems":[{"id":"ITEM-1","itemData":{"DOI":"10.1016/j.biocel.2003.11.001","ISBN":"1357-2725 (Print)","ISSN":"1357-2725","PMID":"15010324","abstract":"Mesenchymal stem cells (MSCs) have been isolated from bone marrow, periosteum, trabecular bone, adipose tissue, synovium, skeletal muscle and deciduous teeth. These cells have the capacity to differentiate into cells of connective tissue lineages, including bone, fat, cartilage and muscle. A great deal has been learned in recent years about the isolation and characterization of MSCs, and control of their differentiation. These cells have generated a great deal of interest because of their potential use in regenerative medicine and tissue engineering and there are some dramatic examples, derived from both pre-clinical and clinical studies, that illustrate their therapeutic value. This review summarizes recent findings regarding the potential clinical use of MSCs in cardiovascular, neural and orthopaedic applications. As new methods are developed, there are several aspects to the implanted cell-host interaction that need to be addressed before we can fully understand the underlying mechanisms. These include the host immune response to implanted cells, the homing mechanisms that guide delivered cells to a site of injury and the differentiation in vivo of implanted cells under the influence of local signals.","author":[{"dropping-particle":"","family":"Barry","given":"Frank P","non-dropping-particle":"","parse-names":false,"suffix":""},{"dropping-particle":"","family":"Murphy","given":"J M Mary","non-dropping-particle":"","parse-names":false,"suffix":""}],"container-title":"The international journal of biochemistry &amp; cell biology","id":"ITEM-1","issue":"4","issued":{"date-parts":[["2004"]]},"page":"568-584","title":"Mesenchymal stem cells: clinical applications and biological characterization.","type":"article-journal","volume":"36"},"uris":["http://www.mendeley.com/documents/?uuid=c0d028ce-d0ca-438b-b014-485863898c3f"]}],"mendeley":{"formattedCitation":"[57]","plainTextFormattedCitation":"[57]","previouslyFormattedCitation":"[56]"},"properties":{"noteIndex":0},"schema":"https://github.com/citation-style-language/schema/raw/master/csl-citation.json"}</w:instrText>
      </w:r>
      <w:r w:rsidR="009415D7" w:rsidRPr="001C4D50">
        <w:rPr>
          <w:color w:val="2B579A"/>
        </w:rPr>
        <w:fldChar w:fldCharType="separate"/>
      </w:r>
      <w:r w:rsidR="00C8414E" w:rsidRPr="001C4D50">
        <w:rPr>
          <w:noProof/>
        </w:rPr>
        <w:t>[57]</w:t>
      </w:r>
      <w:r w:rsidR="009415D7" w:rsidRPr="001C4D50">
        <w:rPr>
          <w:color w:val="2B579A"/>
        </w:rPr>
        <w:fldChar w:fldCharType="end"/>
      </w:r>
      <w:r w:rsidRPr="001C4D50">
        <w:t xml:space="preserve">. </w:t>
      </w:r>
      <w:r w:rsidR="009415D7" w:rsidRPr="001C4D50">
        <w:t xml:space="preserve">Similarly, </w:t>
      </w:r>
      <w:r w:rsidRPr="001C4D50">
        <w:t xml:space="preserve">in a murine </w:t>
      </w:r>
      <w:r w:rsidR="006219B2" w:rsidRPr="001C4D50">
        <w:t>p</w:t>
      </w:r>
      <w:r w:rsidRPr="001C4D50">
        <w:t>artial (P)MM model using human UC-MSCs</w:t>
      </w:r>
      <w:r w:rsidR="009415D7" w:rsidRPr="001C4D50">
        <w:t>,</w:t>
      </w:r>
      <w:r w:rsidRPr="001C4D50">
        <w:t xml:space="preserve"> no cells </w:t>
      </w:r>
      <w:r w:rsidR="009415D7" w:rsidRPr="001C4D50">
        <w:t xml:space="preserve">were </w:t>
      </w:r>
      <w:r w:rsidRPr="001C4D50">
        <w:t>present in the repair tissues or indeed in the injected joint at 8 weeks post injection</w:t>
      </w:r>
      <w:r w:rsidR="008E0EE4" w:rsidRPr="001C4D50">
        <w:t xml:space="preserve"> </w:t>
      </w:r>
      <w:r w:rsidRPr="001C4D50">
        <w:rPr>
          <w:color w:val="2B579A"/>
        </w:rPr>
        <w:fldChar w:fldCharType="begin" w:fldLock="1"/>
      </w:r>
      <w:r w:rsidR="00C8414E" w:rsidRPr="001C4D50">
        <w:instrText>ADDIN CSL_CITATION {"citationItems":[{"id":"ITEM-1","itemData":{"author":[{"dropping-particle":"","family":"Perry","given":"J","non-dropping-particle":"","parse-names":false,"suffix":""},{"dropping-particle":"","family":"McCarthy","given":"H.S.","non-dropping-particle":"","parse-names":false,"suffix":""},{"dropping-particle":"","family":"Bou-Gharios","given":"G","non-dropping-particle":"","parse-names":false,"suffix":""},{"dropping-particle":"","family":"van't Hof","given":"R","non-dropping-particle":"","parse-names":false,"suffix":""},{"dropping-particle":"","family":"Milner","given":"P.I.","non-dropping-particle":"","parse-names":false,"suffix":""},{"dropping-particle":"","family":"Mennan","given":"C","non-dropping-particle":"","parse-names":false,"suffix":""},{"dropping-particle":"","family":"Roberts","given":"S","non-dropping-particle":"","parse-names":false,"suffix":""}],"container-title":"Osteoarthr Cartil Open","id":"ITEM-1","issue":"2","issued":{"date-parts":[["2020"]]},"page":"100044","title":"Injected human umbilical cord-derived mesenchymal stromal cells do not appear to elicit an inflammatory response in a murine model of osteoarthritis","type":"article-journal","volume":"2"},"uris":["http://www.mendeley.com/documents/?uuid=ec9c77d4-d621-4ad0-ba5e-fca925d25240"]}],"mendeley":{"formattedCitation":"[58]","plainTextFormattedCitation":"[58]","previouslyFormattedCitation":"[57]"},"properties":{"noteIndex":0},"schema":"https://github.com/citation-style-language/schema/raw/master/csl-citation.json"}</w:instrText>
      </w:r>
      <w:r w:rsidRPr="001C4D50">
        <w:rPr>
          <w:color w:val="2B579A"/>
        </w:rPr>
        <w:fldChar w:fldCharType="separate"/>
      </w:r>
      <w:r w:rsidR="00C8414E" w:rsidRPr="001C4D50">
        <w:rPr>
          <w:noProof/>
        </w:rPr>
        <w:t>[58]</w:t>
      </w:r>
      <w:r w:rsidRPr="001C4D50">
        <w:rPr>
          <w:color w:val="2B579A"/>
        </w:rPr>
        <w:fldChar w:fldCharType="end"/>
      </w:r>
      <w:r w:rsidRPr="001C4D50">
        <w:t xml:space="preserve">. </w:t>
      </w:r>
      <w:r w:rsidRPr="001C4D50">
        <w:rPr>
          <w:rFonts w:eastAsia="Times New Roman"/>
          <w:color w:val="1C1D1E"/>
        </w:rPr>
        <w:t xml:space="preserve">These experiments </w:t>
      </w:r>
      <w:r w:rsidR="00552691" w:rsidRPr="001C4D50">
        <w:rPr>
          <w:rFonts w:eastAsia="Times New Roman"/>
          <w:color w:val="1C1D1E"/>
        </w:rPr>
        <w:t>support the premise</w:t>
      </w:r>
      <w:r w:rsidRPr="001C4D50">
        <w:rPr>
          <w:rFonts w:eastAsia="Times New Roman"/>
          <w:color w:val="1C1D1E"/>
        </w:rPr>
        <w:t xml:space="preserve"> that MSCs did not act as cell replacement therapy </w:t>
      </w:r>
      <w:r w:rsidR="00552691" w:rsidRPr="001C4D50">
        <w:rPr>
          <w:rFonts w:eastAsia="Times New Roman"/>
          <w:color w:val="1C1D1E"/>
        </w:rPr>
        <w:t>but</w:t>
      </w:r>
      <w:r w:rsidRPr="001C4D50">
        <w:rPr>
          <w:rFonts w:eastAsia="Times New Roman"/>
          <w:color w:val="1C1D1E"/>
        </w:rPr>
        <w:t xml:space="preserve"> exerted their effects by an alternate </w:t>
      </w:r>
      <w:r w:rsidR="009415D7" w:rsidRPr="001C4D50">
        <w:rPr>
          <w:rFonts w:eastAsia="Times New Roman"/>
          <w:color w:val="1C1D1E"/>
        </w:rPr>
        <w:t xml:space="preserve">paracrine </w:t>
      </w:r>
      <w:r w:rsidRPr="001C4D50">
        <w:rPr>
          <w:rFonts w:eastAsia="Times New Roman"/>
          <w:color w:val="1C1D1E"/>
        </w:rPr>
        <w:t xml:space="preserve">mechanism. </w:t>
      </w:r>
    </w:p>
    <w:p w14:paraId="69AB25EB" w14:textId="1ECF0602" w:rsidR="009E3C6B" w:rsidRPr="001C4D50" w:rsidRDefault="009E3C6B" w:rsidP="00960366">
      <w:pPr>
        <w:rPr>
          <w:b/>
          <w:u w:val="single"/>
        </w:rPr>
      </w:pPr>
    </w:p>
    <w:p w14:paraId="353FEA3A" w14:textId="072642D0" w:rsidR="00A75C7F" w:rsidRPr="001C4D50" w:rsidRDefault="743D56FF" w:rsidP="00960366">
      <w:pPr>
        <w:rPr>
          <w:b/>
          <w:bCs/>
          <w:u w:val="single"/>
        </w:rPr>
      </w:pPr>
      <w:r w:rsidRPr="001C4D50">
        <w:rPr>
          <w:b/>
          <w:bCs/>
        </w:rPr>
        <w:t xml:space="preserve"> </w:t>
      </w:r>
      <w:r w:rsidRPr="001C4D50">
        <w:rPr>
          <w:b/>
          <w:bCs/>
          <w:u w:val="single"/>
        </w:rPr>
        <w:t xml:space="preserve">Large </w:t>
      </w:r>
      <w:r w:rsidR="58B922F3" w:rsidRPr="001C4D50">
        <w:rPr>
          <w:b/>
          <w:bCs/>
          <w:u w:val="single"/>
        </w:rPr>
        <w:t>s</w:t>
      </w:r>
      <w:r w:rsidRPr="001C4D50">
        <w:rPr>
          <w:b/>
          <w:bCs/>
          <w:u w:val="single"/>
        </w:rPr>
        <w:t xml:space="preserve">cale </w:t>
      </w:r>
      <w:r w:rsidR="57F1F7BB" w:rsidRPr="001C4D50">
        <w:rPr>
          <w:b/>
          <w:bCs/>
          <w:u w:val="single"/>
        </w:rPr>
        <w:t>e</w:t>
      </w:r>
      <w:r w:rsidRPr="001C4D50">
        <w:rPr>
          <w:b/>
          <w:bCs/>
          <w:u w:val="single"/>
        </w:rPr>
        <w:t xml:space="preserve">xpansion of </w:t>
      </w:r>
      <w:r w:rsidR="3A3E918D" w:rsidRPr="001C4D50">
        <w:rPr>
          <w:b/>
          <w:bCs/>
          <w:u w:val="single"/>
        </w:rPr>
        <w:t>c</w:t>
      </w:r>
      <w:r w:rsidRPr="001C4D50">
        <w:rPr>
          <w:b/>
          <w:bCs/>
          <w:u w:val="single"/>
        </w:rPr>
        <w:t xml:space="preserve">ells for </w:t>
      </w:r>
      <w:r w:rsidR="2158657A" w:rsidRPr="001C4D50">
        <w:rPr>
          <w:b/>
          <w:bCs/>
          <w:u w:val="single"/>
        </w:rPr>
        <w:t>c</w:t>
      </w:r>
      <w:r w:rsidRPr="001C4D50">
        <w:rPr>
          <w:b/>
          <w:bCs/>
          <w:u w:val="single"/>
        </w:rPr>
        <w:t xml:space="preserve">artilage </w:t>
      </w:r>
      <w:r w:rsidR="16FDE1B4" w:rsidRPr="001C4D50">
        <w:rPr>
          <w:b/>
          <w:bCs/>
          <w:u w:val="single"/>
        </w:rPr>
        <w:t>r</w:t>
      </w:r>
      <w:r w:rsidRPr="001C4D50">
        <w:rPr>
          <w:b/>
          <w:bCs/>
          <w:u w:val="single"/>
        </w:rPr>
        <w:t>epair</w:t>
      </w:r>
    </w:p>
    <w:p w14:paraId="5E29D6CD" w14:textId="77777777" w:rsidR="003357D3" w:rsidRPr="001C4D50" w:rsidRDefault="003357D3" w:rsidP="00960366">
      <w:pPr>
        <w:rPr>
          <w:b/>
          <w:bCs/>
          <w:u w:val="single"/>
        </w:rPr>
      </w:pPr>
    </w:p>
    <w:p w14:paraId="46C71279" w14:textId="76BCA123" w:rsidR="00A75C7F" w:rsidRPr="001C4D50" w:rsidRDefault="00A75C7F" w:rsidP="00960366">
      <w:r w:rsidRPr="001C4D50">
        <w:t xml:space="preserve">As stated, one of the major potential advantages of using MSCs (or chondrocytes) for cartilage repair is that it is possible to culture these </w:t>
      </w:r>
      <w:r w:rsidR="00313401" w:rsidRPr="001C4D50">
        <w:t xml:space="preserve">cells </w:t>
      </w:r>
      <w:r w:rsidRPr="001C4D50">
        <w:t xml:space="preserve">on a large-scale and without </w:t>
      </w:r>
      <w:r w:rsidRPr="001C4D50">
        <w:lastRenderedPageBreak/>
        <w:t>altering their phenotypes</w:t>
      </w:r>
      <w:r w:rsidR="00F0104E" w:rsidRPr="001C4D50">
        <w:t xml:space="preserve"> </w:t>
      </w:r>
      <w:r w:rsidR="008F2887" w:rsidRPr="001C4D50">
        <w:rPr>
          <w:color w:val="2B579A"/>
          <w:shd w:val="clear" w:color="auto" w:fill="E6E6E6"/>
        </w:rPr>
        <w:fldChar w:fldCharType="begin" w:fldLock="1"/>
      </w:r>
      <w:r w:rsidR="00C8414E" w:rsidRPr="001C4D50">
        <w:instrText>ADDIN CSL_CITATION {"citationItems":[{"id":"ITEM-1","itemData":{"author":[{"dropping-particle":"","family":"Mennan","given":"Claire","non-dropping-particle":"","parse-names":false,"suffix":""},{"dropping-particle":"","family":"Garcia","given":"John","non-dropping-particle":"","parse-names":false,"suffix":""},{"dropping-particle":"","family":"Roberts","given":"Sally","non-dropping-particle":"","parse-names":false,"suffix":""},{"dropping-particle":"","family":"Hulme","given":"Charlotte","non-dropping-particle":"","parse-names":false,"suffix":""},{"dropping-particle":"","family":"Wright","given":"Karina","non-dropping-particle":"","parse-names":false,"suffix":""}],"id":"ITEM-1","issued":{"date-parts":[["2019"]]},"page":"1-15","publisher":"Stem Cell Research &amp; Therapy","title":"A comprehensive characterisation of large- scale expanded human bone marrow and umbilical cord mesenchymal stem cells","type":"article-journal","volume":"4"},"uris":["http://www.mendeley.com/documents/?uuid=9f3c2fe1-bf0c-4d6d-a483-aa8b89ccb2cb"]}],"mendeley":{"formattedCitation":"[59]","plainTextFormattedCitation":"[59]","previouslyFormattedCitation":"[58]"},"properties":{"noteIndex":0},"schema":"https://github.com/citation-style-language/schema/raw/master/csl-citation.json"}</w:instrText>
      </w:r>
      <w:r w:rsidR="008F2887" w:rsidRPr="001C4D50">
        <w:rPr>
          <w:color w:val="2B579A"/>
          <w:shd w:val="clear" w:color="auto" w:fill="E6E6E6"/>
        </w:rPr>
        <w:fldChar w:fldCharType="separate"/>
      </w:r>
      <w:r w:rsidR="00C8414E" w:rsidRPr="001C4D50">
        <w:rPr>
          <w:noProof/>
        </w:rPr>
        <w:t>[59]</w:t>
      </w:r>
      <w:r w:rsidR="008F2887" w:rsidRPr="001C4D50">
        <w:rPr>
          <w:color w:val="2B579A"/>
          <w:shd w:val="clear" w:color="auto" w:fill="E6E6E6"/>
        </w:rPr>
        <w:fldChar w:fldCharType="end"/>
      </w:r>
      <w:r w:rsidR="008F2887" w:rsidRPr="001C4D50">
        <w:t xml:space="preserve">, </w:t>
      </w:r>
      <w:r w:rsidR="009415D7" w:rsidRPr="001C4D50">
        <w:t>enabling the treatment of</w:t>
      </w:r>
      <w:r w:rsidRPr="001C4D50">
        <w:t xml:space="preserve"> many patients </w:t>
      </w:r>
      <w:r w:rsidR="009415D7" w:rsidRPr="001C4D50">
        <w:t xml:space="preserve">from </w:t>
      </w:r>
      <w:r w:rsidRPr="001C4D50">
        <w:t>a single batch of cells in a more cost-effective manner. Moreover, as tissue-engineering approaches aim to better recapitulate the</w:t>
      </w:r>
      <w:r w:rsidR="00531506" w:rsidRPr="001C4D50">
        <w:t xml:space="preserve"> complexity of a normal</w:t>
      </w:r>
      <w:r w:rsidRPr="001C4D50">
        <w:t xml:space="preserve"> joint</w:t>
      </w:r>
      <w:r w:rsidR="00531506" w:rsidRPr="001C4D50">
        <w:t>,</w:t>
      </w:r>
      <w:r w:rsidRPr="001C4D50">
        <w:t xml:space="preserve"> </w:t>
      </w:r>
      <w:r w:rsidR="00531506" w:rsidRPr="001C4D50">
        <w:t>t</w:t>
      </w:r>
      <w:r w:rsidRPr="001C4D50">
        <w:t>he use of bioreactors can overcome limitations of static culture environments</w:t>
      </w:r>
      <w:r w:rsidR="00F0104E" w:rsidRPr="001C4D50">
        <w:t xml:space="preserve"> </w:t>
      </w:r>
      <w:r w:rsidR="00A14FF0" w:rsidRPr="001C4D50">
        <w:rPr>
          <w:color w:val="2B579A"/>
          <w:shd w:val="clear" w:color="auto" w:fill="E6E6E6"/>
        </w:rPr>
        <w:fldChar w:fldCharType="begin" w:fldLock="1"/>
      </w:r>
      <w:r w:rsidR="00C8414E" w:rsidRPr="001C4D50">
        <w:instrText>ADDIN CSL_CITATION {"citationItems":[{"id":"ITEM-1","itemData":{"author":[{"dropping-particle":"","family":"Mabvuure","given":"N.","non-dropping-particle":"","parse-names":false,"suffix":""},{"dropping-particle":"","family":"Hindocha","given":"S.","non-dropping-particle":"","parse-names":false,"suffix":""},{"dropping-particle":"","family":"Khan","given":"W.S.","non-dropping-particle":"","parse-names":false,"suffix":""}],"container-title":"Curr Stem Cell Res Ther","id":"ITEM-1","issue":"4","issued":{"date-parts":[["2012"]]},"page":"287-92","title":"The role of bioreactors in cartilage tissue engineering","type":"article-journal","volume":"7"},"uris":["http://www.mendeley.com/documents/?uuid=b30045c1-ab6e-47a1-8d08-a737736ccab5"]}],"mendeley":{"formattedCitation":"[60]","plainTextFormattedCitation":"[60]","previouslyFormattedCitation":"[59]"},"properties":{"noteIndex":0},"schema":"https://github.com/citation-style-language/schema/raw/master/csl-citation.json"}</w:instrText>
      </w:r>
      <w:r w:rsidR="00A14FF0" w:rsidRPr="001C4D50">
        <w:rPr>
          <w:color w:val="2B579A"/>
          <w:shd w:val="clear" w:color="auto" w:fill="E6E6E6"/>
        </w:rPr>
        <w:fldChar w:fldCharType="separate"/>
      </w:r>
      <w:r w:rsidR="00C8414E" w:rsidRPr="001C4D50">
        <w:rPr>
          <w:noProof/>
        </w:rPr>
        <w:t>[60]</w:t>
      </w:r>
      <w:r w:rsidR="00A14FF0" w:rsidRPr="001C4D50">
        <w:rPr>
          <w:color w:val="2B579A"/>
          <w:shd w:val="clear" w:color="auto" w:fill="E6E6E6"/>
        </w:rPr>
        <w:fldChar w:fldCharType="end"/>
      </w:r>
      <w:r w:rsidRPr="001C4D50">
        <w:t>. Bioreactors can be used to mimic mechanical stimulation, hydrostatic pressure, shear and compressive forces, as well as, physiological related factors such as pH and oxygen</w:t>
      </w:r>
      <w:r w:rsidR="00290671" w:rsidRPr="001C4D50">
        <w:t>,</w:t>
      </w:r>
      <w:r w:rsidRPr="001C4D50">
        <w:t xml:space="preserve"> all of which are more permissive to </w:t>
      </w:r>
      <w:proofErr w:type="spellStart"/>
      <w:r w:rsidRPr="001C4D50">
        <w:t>chondrogenesis</w:t>
      </w:r>
      <w:proofErr w:type="spellEnd"/>
      <w:r w:rsidR="00F0104E" w:rsidRPr="001C4D50">
        <w:t xml:space="preserve"> </w:t>
      </w:r>
      <w:r w:rsidR="008E377F" w:rsidRPr="001C4D50">
        <w:rPr>
          <w:color w:val="2B579A"/>
          <w:shd w:val="clear" w:color="auto" w:fill="E6E6E6"/>
        </w:rPr>
        <w:fldChar w:fldCharType="begin" w:fldLock="1"/>
      </w:r>
      <w:r w:rsidR="00C8414E" w:rsidRPr="001C4D50">
        <w:instrText>ADDIN CSL_CITATION {"citationItems":[{"id":"ITEM-1","itemData":{"author":[{"dropping-particle":"","family":"Fu","given":"L","non-dropping-particle":"","parse-names":false,"suffix":""},{"dropping-particle":"","family":"Li","given":"P","non-dropping-particle":"","parse-names":false,"suffix":""},{"dropping-particle":"","family":"Li","given":"H","non-dropping-particle":"","parse-names":false,"suffix":""},{"dropping-particle":"","family":"Gao","given":"C","non-dropping-particle":"","parse-names":false,"suffix":""},{"dropping-particle":"","family":"Yang","given":"Z","non-dropping-particle":"","parse-names":false,"suffix":""},{"dropping-particle":"","family":"Zhao","given":"T","non-dropping-particle":"","parse-names":false,"suffix":""},{"dropping-particle":"","family":"Chen","given":"W","non-dropping-particle":"","parse-names":false,"suffix":""},{"dropping-particle":"","family":"Liao","given":"Z","non-dropping-particle":"","parse-names":false,"suffix":""},{"dropping-particle":"","family":"Peng","given":"Y","non-dropping-particle":"","parse-names":false,"suffix":""},{"dropping-particle":"","family":"Cao","given":"F","non-dropping-particle":"","parse-names":false,"suffix":""},{"dropping-particle":"","family":"Sui","given":"X","non-dropping-particle":"","parse-names":false,"suffix":""},{"dropping-particle":"","family":"Liu","given":"S","non-dropping-particle":"","parse-names":false,"suffix":""},{"dropping-particle":"","family":"Guo","given":"Q","non-dropping-particle":"","parse-names":false,"suffix":""}],"container-title":"Stem Cells International","id":"ITEM-1","issued":{"date-parts":[["2021"]]},"page":"6621806","title":"The Application of Bioreactors for Cartilage Tissue Engineering: Advances, Limitations and Future Perspectives","type":"article-journal"},"uris":["http://www.mendeley.com/documents/?uuid=c07ac197-f089-4593-b236-b0de96d8323b"]}],"mendeley":{"formattedCitation":"[61]","plainTextFormattedCitation":"[61]","previouslyFormattedCitation":"[60]"},"properties":{"noteIndex":0},"schema":"https://github.com/citation-style-language/schema/raw/master/csl-citation.json"}</w:instrText>
      </w:r>
      <w:r w:rsidR="008E377F" w:rsidRPr="001C4D50">
        <w:rPr>
          <w:color w:val="2B579A"/>
          <w:shd w:val="clear" w:color="auto" w:fill="E6E6E6"/>
        </w:rPr>
        <w:fldChar w:fldCharType="separate"/>
      </w:r>
      <w:r w:rsidR="00C8414E" w:rsidRPr="001C4D50">
        <w:rPr>
          <w:noProof/>
        </w:rPr>
        <w:t>[61]</w:t>
      </w:r>
      <w:r w:rsidR="008E377F" w:rsidRPr="001C4D50">
        <w:rPr>
          <w:color w:val="2B579A"/>
          <w:shd w:val="clear" w:color="auto" w:fill="E6E6E6"/>
        </w:rPr>
        <w:fldChar w:fldCharType="end"/>
      </w:r>
      <w:r w:rsidR="00A57478" w:rsidRPr="001C4D50">
        <w:t>.</w:t>
      </w:r>
      <w:r w:rsidRPr="001C4D50">
        <w:t xml:space="preserve"> </w:t>
      </w:r>
    </w:p>
    <w:p w14:paraId="32980620" w14:textId="61DDCEFF" w:rsidR="009E3C6B" w:rsidRPr="001C4D50" w:rsidRDefault="009E3C6B" w:rsidP="00960366">
      <w:pPr>
        <w:rPr>
          <w:b/>
          <w:u w:val="single"/>
        </w:rPr>
      </w:pPr>
    </w:p>
    <w:p w14:paraId="1DC09D85" w14:textId="0D2FB9B1" w:rsidR="00A75C7F" w:rsidRPr="001C4D50" w:rsidRDefault="00A75C7F" w:rsidP="00960366">
      <w:pPr>
        <w:rPr>
          <w:b/>
          <w:u w:val="single"/>
        </w:rPr>
      </w:pPr>
      <w:r w:rsidRPr="001C4D50">
        <w:rPr>
          <w:b/>
          <w:u w:val="single"/>
        </w:rPr>
        <w:t>Non-culture-expanded BM-MSCs</w:t>
      </w:r>
    </w:p>
    <w:p w14:paraId="1431175B" w14:textId="77777777" w:rsidR="003357D3" w:rsidRPr="001C4D50" w:rsidRDefault="003357D3" w:rsidP="00960366">
      <w:pPr>
        <w:rPr>
          <w:b/>
          <w:u w:val="single"/>
        </w:rPr>
      </w:pPr>
    </w:p>
    <w:p w14:paraId="36715A1B" w14:textId="3D7EBF81" w:rsidR="00665CA2" w:rsidRPr="001C4D50" w:rsidRDefault="00A75C7F" w:rsidP="00960366">
      <w:pPr>
        <w:rPr>
          <w:rFonts w:eastAsia="Times New Roman" w:cstheme="minorHAnsi"/>
          <w:color w:val="212121"/>
          <w:shd w:val="clear" w:color="auto" w:fill="FFFFFF"/>
          <w:lang w:eastAsia="en-US"/>
        </w:rPr>
      </w:pPr>
      <w:r w:rsidRPr="001C4D50">
        <w:rPr>
          <w:i/>
          <w:iCs/>
          <w:color w:val="000000" w:themeColor="text1"/>
        </w:rPr>
        <w:t>In</w:t>
      </w:r>
      <w:r w:rsidR="00290671" w:rsidRPr="001C4D50">
        <w:rPr>
          <w:i/>
          <w:iCs/>
          <w:color w:val="000000" w:themeColor="text1"/>
        </w:rPr>
        <w:t xml:space="preserve"> vitro</w:t>
      </w:r>
      <w:r w:rsidRPr="001C4D50">
        <w:rPr>
          <w:color w:val="000000" w:themeColor="text1"/>
        </w:rPr>
        <w:t xml:space="preserve"> culture </w:t>
      </w:r>
      <w:r w:rsidRPr="001C4D50">
        <w:t>expansion of BM</w:t>
      </w:r>
      <w:r w:rsidR="009E3C6B" w:rsidRPr="001C4D50">
        <w:t>-M</w:t>
      </w:r>
      <w:r w:rsidRPr="001C4D50">
        <w:t xml:space="preserve">SCs can be a time consuming and costly procedure, with </w:t>
      </w:r>
      <w:r w:rsidR="00313401" w:rsidRPr="001C4D50">
        <w:t xml:space="preserve">a </w:t>
      </w:r>
      <w:r w:rsidRPr="001C4D50">
        <w:t xml:space="preserve">significant </w:t>
      </w:r>
      <w:r w:rsidR="00313401" w:rsidRPr="001C4D50">
        <w:t xml:space="preserve">associated </w:t>
      </w:r>
      <w:r w:rsidRPr="001C4D50">
        <w:t xml:space="preserve">regulatory </w:t>
      </w:r>
      <w:r w:rsidR="00313401" w:rsidRPr="001C4D50">
        <w:t>burden</w:t>
      </w:r>
      <w:r w:rsidRPr="001C4D50">
        <w:t xml:space="preserve">. </w:t>
      </w:r>
      <w:r w:rsidR="00313401" w:rsidRPr="001C4D50">
        <w:t>The use of</w:t>
      </w:r>
      <w:r w:rsidRPr="001C4D50">
        <w:t xml:space="preserve"> aspirated bone-marrow (bone marrow aspirate, BMA) directly, thus negat</w:t>
      </w:r>
      <w:r w:rsidR="00313401" w:rsidRPr="001C4D50">
        <w:t>es</w:t>
      </w:r>
      <w:r w:rsidRPr="001C4D50">
        <w:t xml:space="preserve"> the need for culture-expansion</w:t>
      </w:r>
      <w:r w:rsidR="00665CA2" w:rsidRPr="001C4D50">
        <w:t xml:space="preserve"> and</w:t>
      </w:r>
      <w:r w:rsidRPr="001C4D50">
        <w:t xml:space="preserve"> has </w:t>
      </w:r>
      <w:r w:rsidR="00665CA2" w:rsidRPr="001C4D50">
        <w:t>generated significant interest as an alternative, low cost and easily accessible cell source</w:t>
      </w:r>
      <w:r w:rsidR="00A06E44" w:rsidRPr="001C4D50">
        <w:t xml:space="preserve"> (sometimes known as ‘minimally manipulated’ cells)</w:t>
      </w:r>
      <w:r w:rsidRPr="001C4D50">
        <w:t>. However, of all the nucleated cells found within BMA,</w:t>
      </w:r>
      <w:r w:rsidR="009E3C6B" w:rsidRPr="001C4D50">
        <w:t xml:space="preserve"> only</w:t>
      </w:r>
      <w:r w:rsidRPr="001C4D50">
        <w:t xml:space="preserve"> ~0.001-</w:t>
      </w:r>
      <w:r w:rsidR="009E3C6B" w:rsidRPr="001C4D50">
        <w:t xml:space="preserve">0.01% of these are actually </w:t>
      </w:r>
      <w:r w:rsidRPr="001C4D50">
        <w:t xml:space="preserve">MSCs </w:t>
      </w:r>
      <w:r w:rsidRPr="001C4D50">
        <w:rPr>
          <w:color w:val="2B579A"/>
          <w:shd w:val="clear" w:color="auto" w:fill="E6E6E6"/>
        </w:rPr>
        <w:fldChar w:fldCharType="begin" w:fldLock="1"/>
      </w:r>
      <w:r w:rsidR="009156E9" w:rsidRPr="001C4D50">
        <w:instrText>ADDIN CSL_CITATION {"citationItems":[{"id":"ITEM-1","itemData":{"DOI":"10.1126/science.284.5411.143","ISSN":"00368075","PMID":"10102814","abstract":"Human mesenchymal stern cells are thought to be multi potent cells, which are present in adult marrow, that can replicate as undifferentiated cells and that have the potential to differentiate to lineages of mesenchymal tissues, including bone, cartilage, fat, tendon, muscle, and marrow stroma. Cells that have the characteristics of human mesenchymal stem cells were isolated from marrow aspirates of volunteer donors. These cells displayed a stable phenotype and remained as a monolayer in vitro. These adult stem cells could be induced to differentiate exclusively into the adipocytic, chondrocytic, or osteocytic lineages. Individual stern cells were identified that, when expanded to colonies, retained their multilineage potential.","author":[{"dropping-particle":"","family":"Pittenger","given":"Mark F","non-dropping-particle":"","parse-names":false,"suffix":""},{"dropping-particle":"","family":"Mackay","given":"Alastair M","non-dropping-particle":"","parse-names":false,"suffix":""},{"dropping-particle":"","family":"Beck","given":"Stephen C","non-dropping-particle":"","parse-names":false,"suffix":""},{"dropping-particle":"","family":"Jaiswal","given":"Rama K","non-dropping-particle":"","parse-names":false,"suffix":""},{"dropping-particle":"","family":"Douglas","given":"Robin","non-dropping-particle":"","parse-names":false,"suffix":""},{"dropping-particle":"","family":"Mosca","given":"Joseph D","non-dropping-particle":"","parse-names":false,"suffix":""},{"dropping-particle":"","family":"Moorman","given":"Mark A","non-dropping-particle":"","parse-names":false,"suffix":""},{"dropping-particle":"","family":"Simonetti","given":"Donald W","non-dropping-particle":"","parse-names":false,"suffix":""},{"dropping-particle":"","family":"Craig","given":"Stewart","non-dropping-particle":"","parse-names":false,"suffix":""},{"dropping-particle":"","family":"Marshak","given":"Daniel R","non-dropping-particle":"","parse-names":false,"suffix":""}],"container-title":"Science","id":"ITEM-1","issue":"5411","issued":{"date-parts":[["1999"]]},"page":"143-147","title":"Multilineage potential of adult human mesenchymal stem cells","type":"article-journal","volume":"284"},"uris":["http://www.mendeley.com/documents/?uuid=05183a93-e9f1-41dd-9679-3b6b01959b68"]}],"mendeley":{"formattedCitation":"[36]","plainTextFormattedCitation":"[36]","previouslyFormattedCitation":"[36]"},"properties":{"noteIndex":0},"schema":"https://github.com/citation-style-language/schema/raw/master/csl-citation.json"}</w:instrText>
      </w:r>
      <w:r w:rsidRPr="001C4D50">
        <w:rPr>
          <w:color w:val="2B579A"/>
          <w:shd w:val="clear" w:color="auto" w:fill="E6E6E6"/>
        </w:rPr>
        <w:fldChar w:fldCharType="separate"/>
      </w:r>
      <w:r w:rsidR="00984F87" w:rsidRPr="001C4D50">
        <w:rPr>
          <w:noProof/>
        </w:rPr>
        <w:t>[36]</w:t>
      </w:r>
      <w:r w:rsidRPr="001C4D50">
        <w:rPr>
          <w:color w:val="2B579A"/>
          <w:shd w:val="clear" w:color="auto" w:fill="E6E6E6"/>
        </w:rPr>
        <w:fldChar w:fldCharType="end"/>
      </w:r>
      <w:r w:rsidRPr="001C4D50">
        <w:t>. Th</w:t>
      </w:r>
      <w:r w:rsidR="009E3C6B" w:rsidRPr="001C4D50">
        <w:t xml:space="preserve">is percentage </w:t>
      </w:r>
      <w:r w:rsidR="00960DBE" w:rsidRPr="001C4D50">
        <w:t>can be increased by centrifugation of the aspirate,</w:t>
      </w:r>
      <w:r w:rsidRPr="001C4D50">
        <w:t xml:space="preserve"> produc</w:t>
      </w:r>
      <w:r w:rsidR="00960DBE" w:rsidRPr="001C4D50">
        <w:t>ing</w:t>
      </w:r>
      <w:r w:rsidRPr="001C4D50">
        <w:t xml:space="preserve"> </w:t>
      </w:r>
      <w:r w:rsidR="00960DBE" w:rsidRPr="001C4D50">
        <w:t>‘</w:t>
      </w:r>
      <w:r w:rsidRPr="001C4D50">
        <w:t>bone-marrow aspirate concentrate</w:t>
      </w:r>
      <w:r w:rsidR="00960DBE" w:rsidRPr="001C4D50">
        <w:t>’</w:t>
      </w:r>
      <w:r w:rsidRPr="001C4D50">
        <w:t xml:space="preserve"> (BMAC) </w:t>
      </w:r>
      <w:r w:rsidR="00960DBE" w:rsidRPr="001C4D50">
        <w:t xml:space="preserve">which </w:t>
      </w:r>
      <w:r w:rsidRPr="001C4D50">
        <w:t xml:space="preserve">is </w:t>
      </w:r>
      <w:r w:rsidR="00960DBE" w:rsidRPr="001C4D50">
        <w:t xml:space="preserve">also </w:t>
      </w:r>
      <w:r w:rsidRPr="001C4D50">
        <w:t xml:space="preserve">believed to be rich in growth factors and cytokines </w:t>
      </w:r>
      <w:r w:rsidRPr="001C4D50">
        <w:rPr>
          <w:color w:val="2B579A"/>
          <w:shd w:val="clear" w:color="auto" w:fill="E6E6E6"/>
        </w:rPr>
        <w:fldChar w:fldCharType="begin" w:fldLock="1"/>
      </w:r>
      <w:r w:rsidR="00C8414E" w:rsidRPr="001C4D50">
        <w:instrText>ADDIN CSL_CITATION {"citationItems":[{"id":"ITEM-1","itemData":{"DOI":"10.1007/s00167-016-3981-9","ISSN":"14337347","PMID":"26831858","abstract":"Purpose: Bone marrow concentrate (BMC) and platelet-rich plasma (PRP) are used extensively in regenerative medicine. The aim of this study was to determine differences in the cellular composition and cytokine concentrations of BMC and PRP and to compare two commercial BMC systems in the same patient cohort. Methods: Patients (29) undergoing orthopaedic surgery were enrolled. Bone marrow aspirate (BMA) was processed to generate BMC from two commercial systems (BMC-A and BMC-B). Blood was obtained to make PRP utilizing the same system as BMC-A. Bone marrow-derived samples were cultured to measure colony-forming units, and flow cytometry was performed to assess mesenchymal stem cell (MSC) markers. Cellular concentrations were assessed for all samples. Catabolic cytokines and growth factors important for cartilage repair were measured using multiplex ELISA. Results: Colony-forming units were increased in both BMCs compared to BMA (p &lt; 0.0001). Surface markers were consistent with MSCs. Platelet counts were not significantly different between BMC-A and PRP, but there were differences in leucocyte concentrations. TGF-β1 and PDGF were not different between BMC-A and PRP. IL-1ra concentrations were greater (p = 0.0018) in BMC-A samples (13,432 pg/mL) than in PRP (588 pg/mL). The IL-1ra/IL-1β ratio in all BMC samples was above the value reported to inhibit IL-1β. Conclusions: The bioactive factors examined in this study have differing clinical effects on musculoskeletal tissue. Differences in the cellular and cytokine composition between PRP and BMC and between BMC systems should be taken into consideration by the clinician when choosing a biologic for therapeutic application. Level of evidence: Clinical, Level II.","author":[{"dropping-particle":"","family":"Cassano","given":"Jennifer M.","non-dropping-particle":"","parse-names":false,"suffix":""},{"dropping-particle":"","family":"Kennedy","given":"John G.","non-dropping-particle":"","parse-names":false,"suffix":""},{"dropping-particle":"","family":"Ross","given":"Keir A.","non-dropping-particle":"","parse-names":false,"suffix":""},{"dropping-particle":"","family":"Fraser","given":"Ethan J.","non-dropping-particle":"","parse-names":false,"suffix":""},{"dropping-particle":"","family":"Goodale","given":"Margaret B.","non-dropping-particle":"","parse-names":false,"suffix":""},{"dropping-particle":"","family":"Fortier","given":"Lisa A.","non-dropping-particle":"","parse-names":false,"suffix":""}],"container-title":"Knee Surgery, Sports Traumatology, Arthroscopy","id":"ITEM-1","issue":"1","issued":{"date-parts":[["2018","1"]]},"page":"333-342","publisher":"Springer Verlag","title":"Bone marrow concentrate and platelet-rich plasma differ in cell distribution and interleukin 1 receptor antagonist protein concentration","type":"article-journal","volume":"26"},"uris":["http://www.mendeley.com/documents/?uuid=12068378-07aa-3f1d-876a-df02e31506d8","http://www.mendeley.com/documents/?uuid=206d3251-8c55-4b23-bca9-e136fb0a97c1"]},{"id":"ITEM-2","itemData":{"DOI":"10.1308/rcsann.2017.0223","ISSN":"00358843","PMID":"29493355","abstract":"INTRODUCTION The morbidity and significant health economic impact associated with the chondral lesion has led to a large number of strategies for therapeutic neochondrogenesis. The challenge has been to develop techniques that are cost effective single-stage procedures with minimal surgical trauma that have undergone rigorous preclinical scrutiny and robust reproducible assessment of effectiveness. A biological repair requires the generation of a cellular and matrix composite with appropriate signalling for chondrogenic differentiation. METHODS AND RESULTS A technique was developed that allowed chondrogenic primary (uncultured) cells from bone marrow aspirate concentrate, combined with a composite hydrophilic and fibrillar matrix to be applied arthroscopically to a site of a chondral lesion. The construct was tested in vitro and in animal experiments before clinical trials. Clinical trials involved 60 patients in a prospective study. Symptomatic International Cartilage Repair Society grade 3 and 4a lesions were mapped and treated. Pre- and postoperative clinical assessments showed statistically significant improved outcomes; Lysholm Knee Scoring Scale (mean 52.8 to &gt; 76.4; P &lt; 0.05) International Knee Documentation Committee (mean 39 to &gt; 79 P &lt; 0.05) and Knee injury and Osteoarthritis Outcome Score (64.5 to &gt; 89.2 P &lt; 0.05). Postoperative magnetic resonance imaging was evaluated morphologically (magnetic resonance observation of cartilage repair tissue, average MOCART score 72) and qualitatively; the regenerate was comparable to native cartilage. CONCLUSIONS This technique is effective, affordable, requires no complex tools and delivers a single-stage treatment that is potentially accessible to any centre capable of performing arthroscopic surgery. Good clinical results were found to be sustained at five years of follow-up with a regenerate that appears hyaline like using multiple magnetic resonance measures.","author":[{"dropping-particle":"","family":"Shetty","given":"A. A.","non-dropping-particle":"","parse-names":false,"suffix":""},{"dropping-particle":"","family":"Kim","given":"Seok Jung","non-dropping-particle":"","parse-names":false,"suffix":""},{"dropping-particle":"","family":"Ahmed","given":"S.","non-dropping-particle":"","parse-names":false,"suffix":""},{"dropping-particle":"","family":"Trattnig","given":"S.","non-dropping-particle":"","parse-names":false,"suffix":""},{"dropping-particle":"","family":"Kim","given":"S. A.","non-dropping-particle":"","parse-names":false,"suffix":""},{"dropping-particle":"","family":"Jang","given":"H. J.","non-dropping-particle":"","parse-names":false,"suffix":""}],"container-title":"Annals of the Royal College of Surgeons of England","id":"ITEM-2","issue":"3","issued":{"date-parts":[["2018","3"]]},"page":"240-246","publisher":"Royal College of Surgeons of England","title":"A cost-effective cell- and matrix-based minimally invasive single-stage chondroregenerative technique developed with validated vertical translation methodology","type":"article-journal","volume":"100"},"uris":["http://www.mendeley.com/documents/?uuid=2e8f3a82-f7ea-3e7b-bf12-1effcaf84e4d","http://www.mendeley.com/documents/?uuid=801fe484-4c3e-4114-ab91-c7173efa2c68"]}],"mendeley":{"formattedCitation":"[62,63]","plainTextFormattedCitation":"[62,63]","previouslyFormattedCitation":"[61,62]"},"properties":{"noteIndex":0},"schema":"https://github.com/citation-style-language/schema/raw/master/csl-citation.json"}</w:instrText>
      </w:r>
      <w:r w:rsidRPr="001C4D50">
        <w:rPr>
          <w:color w:val="2B579A"/>
          <w:shd w:val="clear" w:color="auto" w:fill="E6E6E6"/>
        </w:rPr>
        <w:fldChar w:fldCharType="separate"/>
      </w:r>
      <w:r w:rsidR="00C8414E" w:rsidRPr="001C4D50">
        <w:rPr>
          <w:noProof/>
        </w:rPr>
        <w:t>[62,63]</w:t>
      </w:r>
      <w:r w:rsidRPr="001C4D50">
        <w:rPr>
          <w:color w:val="2B579A"/>
          <w:shd w:val="clear" w:color="auto" w:fill="E6E6E6"/>
        </w:rPr>
        <w:fldChar w:fldCharType="end"/>
      </w:r>
      <w:r w:rsidRPr="001C4D50">
        <w:t>. Th</w:t>
      </w:r>
      <w:r w:rsidR="00960DBE" w:rsidRPr="001C4D50">
        <w:t xml:space="preserve">us </w:t>
      </w:r>
      <w:r w:rsidR="00665CA2" w:rsidRPr="001C4D50">
        <w:t xml:space="preserve">autologous BMAC can be prepared </w:t>
      </w:r>
      <w:r w:rsidRPr="001C4D50">
        <w:t xml:space="preserve">in </w:t>
      </w:r>
      <w:r w:rsidR="00665CA2" w:rsidRPr="001C4D50">
        <w:t xml:space="preserve">the operating </w:t>
      </w:r>
      <w:r w:rsidRPr="001C4D50">
        <w:t xml:space="preserve">theatre and implanted into </w:t>
      </w:r>
      <w:r w:rsidR="00960DBE" w:rsidRPr="001C4D50">
        <w:t>a chondral</w:t>
      </w:r>
      <w:r w:rsidR="00307D39" w:rsidRPr="001C4D50">
        <w:t xml:space="preserve"> or </w:t>
      </w:r>
      <w:r w:rsidR="00960DBE" w:rsidRPr="001C4D50">
        <w:t>osteochondral</w:t>
      </w:r>
      <w:r w:rsidRPr="001C4D50">
        <w:t xml:space="preserve"> defect in </w:t>
      </w:r>
      <w:r w:rsidR="00960DBE" w:rsidRPr="001C4D50">
        <w:t xml:space="preserve">a </w:t>
      </w:r>
      <w:r w:rsidRPr="001C4D50">
        <w:t>single stage procedure</w:t>
      </w:r>
      <w:r w:rsidR="00665CA2" w:rsidRPr="001C4D50">
        <w:t xml:space="preserve">, often in combination with a scaffold </w:t>
      </w:r>
      <w:proofErr w:type="spellStart"/>
      <w:r w:rsidR="00665CA2" w:rsidRPr="001C4D50">
        <w:t>e.g</w:t>
      </w:r>
      <w:proofErr w:type="spellEnd"/>
      <w:r w:rsidR="00665CA2" w:rsidRPr="001C4D50">
        <w:t xml:space="preserve"> </w:t>
      </w:r>
      <w:proofErr w:type="spellStart"/>
      <w:r w:rsidR="00665CA2" w:rsidRPr="001C4D50">
        <w:t>hyaluronan</w:t>
      </w:r>
      <w:proofErr w:type="spellEnd"/>
      <w:r w:rsidR="00665CA2" w:rsidRPr="001C4D50">
        <w:t xml:space="preserve">, fibrin gel or collagen membrane </w:t>
      </w:r>
      <w:r w:rsidR="00665CA2" w:rsidRPr="001C4D50">
        <w:rPr>
          <w:color w:val="2B579A"/>
          <w:shd w:val="clear" w:color="auto" w:fill="E6E6E6"/>
        </w:rPr>
        <w:fldChar w:fldCharType="begin" w:fldLock="1"/>
      </w:r>
      <w:r w:rsidR="00C8414E" w:rsidRPr="001C4D50">
        <w:instrText>ADDIN CSL_CITATION {"citationItems":[{"id":"ITEM-1","itemData":{"DOI":"10.1007/s13770-014-0061-4","ISSN":"22125469","abstract":"We describe a single stage arthroscopic procedure for the treatment of articular cartilage defects in the knee. The novel procedure involves microfracture and application of bone marrow aspirate concentrate cells (BMAC) with hyaluronic acid and fibrin gel. The aim of the study was to evaluate the clinical and radiological outcomes at 2 years. A prospective study of 30 patients with symptomatic ICRS grade III/IV chondral defects, ranging from 2-9 cm2, who were assessed clinically and radiologically. The surgical procedure involved debridement of the lesion, microfracture and application of concentrated BMAC with HA and fibrin gel under CO2 insufflation. Patients underwent morphological MRI, quantitative T2-mapping and d-GEMRIC scan. Clinical assessment used the Lysholm, IKDC and KOOS scores. Radiological assessment used the MOCART score. At 2 year follow-up, Lysholm score was 80.1, as compared to 50.8 pre-operatively (p &lt; 0.05). KOOS (symptomatic) was 92.1, as compared to 65.7 pre-operatively. IKDC (subjective) was 83, up from 39 preoperatively. The mean T2relaxation-times for the repair tissue and native cartilage were 29.1 and 29.9 respectively. Average MOCART score for all lesions was 72. Our technique shows encouraging clinical results at 2 year follow-up. Clinical outcome scores show significant benefit. The morphological MRI shows good cartilage defect filling and the biochemical MRI (T2-mapping) suggests hyaline like repair tissue. © 2014 The Korean Tissue Engineering and Regenerative Medicine Society and Springer Science+Business Media Dordrecht.","author":[{"dropping-particle":"","family":"Shetty","given":"Asode Ananthram","non-dropping-particle":"","parse-names":false,"suffix":""},{"dropping-particle":"","family":"Kim","given":"Seok Jung","non-dropping-particle":"","parse-names":false,"suffix":""},{"dropping-particle":"","family":"Shetty","given":"Vishvas","non-dropping-particle":"","parse-names":false,"suffix":""},{"dropping-particle":"","family":"Stelzeneder","given":"David","non-dropping-particle":"","parse-names":false,"suffix":""},{"dropping-particle":"","family":"Shetty","given":"Neha","non-dropping-particle":"","parse-names":false,"suffix":""},{"dropping-particle":"","family":"Bilagi","given":"Praveen","non-dropping-particle":"","parse-names":false,"suffix":""},{"dropping-particle":"","family":"Lee","given":"Hyun Jin","non-dropping-particle":"","parse-names":false,"suffix":""}],"container-title":"Tissue Engineering and Regenerative Medicine","id":"ITEM-1","issue":"3","issued":{"date-parts":[["2014"]]},"page":"247-253","publisher":"Kluwer Academic Publishers","title":"Autologous bone-marrow mesenchymal cell induced chondrogenesis: Single-stage arthroscopic cartilage repair","type":"article-journal","volume":"11"},"uris":["http://www.mendeley.com/documents/?uuid=c8599852-edb9-3559-bf67-9bdfabf2a325","http://www.mendeley.com/documents/?uuid=aa86467b-1842-4e08-8a5e-ca39e666ec4a"]},{"id":"ITEM-2","itemData":{"DOI":"10.1177/1947603514563597","ISSN":"19476043","abstract":"Objective. To compare the outcome of matrix-induced autologous chondrocyte implantation (MACI) and bone marrow aspirate concentrate (BMAC)–derived multipotent stem cells (MSCs) implantation in patellofemoral chondral lesions, using the same HYAFF11 scaffold. Methods. From January 2005 to December 2010, 37 patients with patellofemoral chondral lesions were prospectively followed up, for a minimum of 3 years; 19 of these patients were treated with MACI and 18 with BMAC. Radiographs, magnetic resonance imaging, and clinical scores (International Knee Documentation Committee, Knee Injury and Osteoarthritis Outcome Score, visual analog scale, and Tegner) were collected preoperatively, at 2-year and final follow-up. Five patients of MACI and 6 of the BMAC group underwent second-look arthroscopy; 4 patients of each group consented to a concomitant biopsy. Results. No adverse reactions or postoperative infections were noted. Baseline characteristics were similar in both groups (P &gt; 0.05). Both groups showed significant improvement in all scores, from preoperative to final follow-up (P = 0.001), but there was no significant difference in improvement between the 2 groups, except for the IKDC subjective score (P = 0.015), which favored the BMAC group. Deterioration in MACI and improvement in BMAC group scores were noticed, from 2-year to final follow-up, but was nonsignificant. MACI patients with trochlear lesions showed better results than patellar lesions, while location was not a prognostic factor in the BMAC group. MRI showed complete filling of the defects in 76% of patients in MACI and 81% of patients in BMAC, and histological analysis revealed hyaline-like features. Conclusion. Both techniques are viable and effective for large patellofemoral chondral lesions at minimum 3-year follow-up.","author":[{"dropping-particle":"","family":"Gobbi","given":"Alberto","non-dropping-particle":"","parse-names":false,"suffix":""},{"dropping-particle":"","family":"Chaurasia","given":"Sanyam","non-dropping-particle":"","parse-names":false,"suffix":""},{"dropping-particle":"","family":"Karnatzikos","given":"Georgios","non-dropping-particle":"","parse-names":false,"suffix":""},{"dropping-particle":"","family":"Nakamura","given":"Norimasa","non-dropping-particle":"","parse-names":false,"suffix":""}],"container-title":"Cartilage","id":"ITEM-2","issue":"2","issued":{"date-parts":[["2015","4"]]},"page":"82-97","publisher":"SAGE Publications Inc.","title":"Matrix-Induced Autologous Chondrocyte Implantation versus Multipotent Stem Cells for the Treatment of Large Patellofemoral Chondral Lesions: A Nonrandomized Prospective Trial","type":"article-journal","volume":"6"},"uris":["http://www.mendeley.com/documents/?uuid=0b45c660-a87d-3f72-b72e-5d09d7a6b0be","http://www.mendeley.com/documents/?uuid=d36e7c01-f728-4459-a604-f4bbd7372b5c"]},{"id":"ITEM-3","itemData":{"DOI":"10.1016/j.eats.2020.05.001","ISSN":"2212-6287","PMID":"33024662","abstract":"Chondral defects of the knee are prevalent and often encountered during arthroscopic procedures. Despite the limited healing potential of chondral defects, several treatment options have been proposed. However, microfracture, osteochondral autograft (or allograft) transfer, autologous chondrocyte implantation, and matrix-induced autologous chondrocyte implantation are all associated with their respective shortcomings. As such, the optimal treatment for chondral defects of the knee remains unclear. Recently, many authors have advocated treating chondral defects with biological therapies and scaffold-based treatments. Bone marrow aspirate concentrate, a cell-based injection, has gained particular attention because of its differentiation capacity and potential role in tissue regeneration. In addition, scaffold cartilage treatments have emerged and reached clinical practice. BioCartilage is one form of scaffold, which consists of extracellular matrix, and has been claimed to promote the regeneration of hyaline-like cartilage. This article presents our technique of arthroscopic chondral defect repair using BMAC and BioCartilage.","author":[{"dropping-particle":"","family":"Dávila Castrodad","given":"Iciar M","non-dropping-particle":"","parse-names":false,"suffix":""},{"dropping-particle":"","family":"Mease","given":"Samuel J","non-dropping-particle":"","parse-names":false,"suffix":""},{"dropping-particle":"","family":"Werheim","given":"Erik","non-dropping-particle":"","parse-names":false,"suffix":""},{"dropping-particle":"","family":"McInerney","given":"Vincent K","non-dropping-particle":"","parse-names":false,"suffix":""},{"dropping-particle":"","family":"Scillia","given":"Anthony J","non-dropping-particle":"","parse-names":false,"suffix":""}],"container-title":"Arthroscopy techniques","id":"ITEM-3","issue":"9","issued":{"date-parts":[["2020","9"]]},"page":"e1241-e1247","publisher":"Elsevier B.V.","title":"Arthroscopic Chondral Defect Repair With Extracellular Matrix Scaffold and Bone Marrow Aspirate Concentrate.","type":"article-journal","volume":"9"},"uris":["http://www.mendeley.com/documents/?uuid=3834ca1b-3b27-3271-ab5f-26c69d7443be","http://www.mendeley.com/documents/?uuid=e78dbaf8-a09e-4392-91b0-9f18e29e3061"]},{"id":"ITEM-4","itemData":{"DOI":"10.1177/0363546513518007","ISSN":"03635465","PMID":"24458240","abstract":"Background: Chondral lesions in athletically active patients cause considerable morbidity, and treatment with existing cell-based therapies can be challenging. Bone marrow has been shown as a possible source of multipotent stem cells (MSCs) with chondrogenic potential and is easy to harvest during the same surgical procedure. Purpose: To investigate the clinical outcome in a group of active patients with large full-thickness chondral defects of the knee treated with 1-step surgery using bone marrow-derived MSCs and a second-generation matrix. Study Design: Case series; Level of evidence, 4. Methods: From January 2007 to February 2010, 25 patients (average age, 46.5 years) with symptomatic large chondral defects of the knee (International Cartilage Repair Society grade 4) who underwent cartilage transplantation with MSCs and a collagen type I/III matrix were followed up for a minimum of 3 years. The average lesion size was 8.3 cm2. Coexisting injuries were treated during the same surgical procedure in 18 patients. All patients underwent a standard postoperative rehabilitation program. Preoperative and postoperative evaluations at 1-year, 2-year, and final follow-up included radiographs, magnetic resonance imaging (MRI), and visual analog scale (VAS) for pain, International Knee Documentation Committee (IKDC), Knee injury and Osteoarthritis Outcome Score (KOOS), Lysholm, Marx, and Tegner scores. Seven patients underwent second-look arthroscopic surgery, with 4 consenting to a tissue biopsy. Results: No patients were lost at final follow-up. The average preoperative values for the evaluated scores were significantly improved at final follow-up (P&lt;.001): VAS, 5.4 ± 0.37 to 0.48 ± 0.19; IKDC subjective, 37.92 ± 4.52 to 81.73 ± 2.42; KOOS pain, 61.04 ± 3.95 to 93.32 ± 1.92; KOOS symptoms, 55.64 ± 3.23 to 89.32 ± 2.32; KOOS activities of daily living, 63.96 ± 4.48 to 91.20 ± 2.74; KOOS sports, 34.20 ± 5.04 to 80.00 ± 3.92; KOOS quality of life, 32.20 ± 4.43 to 83.04 ± 3.37; Lysholm, 46.36 ± 2.25 to 86.52 ± 2.73; Marx, 3.00 ± 0.79 to 9.04 ± 0.79; and Tegner, 2.12 ± 0.32 to 5.64 ± 0.26. Patients younger than 45 years of age and those with smaller or single lesions showed better outcomes. The MRI scans showed good stability of the implant and complete filling of the defect in 80% of patients, and hyaline-like cartilage was found in the histological analysis of the biopsied tissue. No adverse reactions or postoperative complications were noted. Conclusion: The tre…","author":[{"dropping-particle":"","family":"Gobbi","given":"Alberto","non-dropping-particle":"","parse-names":false,"suffix":""},{"dropping-particle":"","family":"Karnatzikos","given":"Georgios","non-dropping-particle":"","parse-names":false,"suffix":""},{"dropping-particle":"","family":"Sankineani","given":"Sukesh Rao","non-dropping-particle":"","parse-names":false,"suffix":""}],"container-title":"American Journal of Sports Medicine","id":"ITEM-4","issue":"3","issued":{"date-parts":[["2014","3"]]},"page":"648-657","title":"One-step surgery with multipotent stem cells for the treatment of large full-thickness chondral defects of the knee","type":"article-journal","volume":"42"},"uris":["http://www.mendeley.com/documents/?uuid=b94d6e2e-21d1-305c-96f7-7c5969ee397c","http://www.mendeley.com/documents/?uuid=b6d86595-e993-469a-a2ff-6a52c9d29446"]}],"mendeley":{"formattedCitation":"[64–67]","plainTextFormattedCitation":"[64–67]","previouslyFormattedCitation":"[63–66]"},"properties":{"noteIndex":0},"schema":"https://github.com/citation-style-language/schema/raw/master/csl-citation.json"}</w:instrText>
      </w:r>
      <w:r w:rsidR="00665CA2" w:rsidRPr="001C4D50">
        <w:rPr>
          <w:color w:val="2B579A"/>
          <w:shd w:val="clear" w:color="auto" w:fill="E6E6E6"/>
        </w:rPr>
        <w:fldChar w:fldCharType="separate"/>
      </w:r>
      <w:r w:rsidR="00C8414E" w:rsidRPr="001C4D50">
        <w:rPr>
          <w:noProof/>
        </w:rPr>
        <w:t>[64–67]</w:t>
      </w:r>
      <w:r w:rsidR="00665CA2" w:rsidRPr="001C4D50">
        <w:rPr>
          <w:color w:val="2B579A"/>
          <w:shd w:val="clear" w:color="auto" w:fill="E6E6E6"/>
        </w:rPr>
        <w:fldChar w:fldCharType="end"/>
      </w:r>
      <w:r w:rsidRPr="001C4D50">
        <w:t xml:space="preserve">. </w:t>
      </w:r>
      <w:r w:rsidR="00665CA2" w:rsidRPr="001C4D50">
        <w:t>A recent systematic review</w:t>
      </w:r>
      <w:r w:rsidR="001902A9" w:rsidRPr="001C4D50">
        <w:t xml:space="preserve"> </w:t>
      </w:r>
      <w:r w:rsidR="001902A9" w:rsidRPr="001C4D50">
        <w:fldChar w:fldCharType="begin" w:fldLock="1"/>
      </w:r>
      <w:r w:rsidR="00C8414E" w:rsidRPr="001C4D50">
        <w:instrText>ADDIN CSL_CITATION {"citationItems":[{"id":"ITEM-1","itemData":{"DOI":"10.1016/j.arthro.2018.11.073","ISSN":"0749-8063","author":[{"dropping-particle":"","family":"Cavinatto","given":"Leonardo","non-dropping-particle":"","parse-names":false,"suffix":""},{"dropping-particle":"","family":"Hinckel","given":"Betina B","non-dropping-particle":"","parse-names":false,"suffix":""},{"dropping-particle":"","family":"Tomlinson","given":"Ryan E","non-dropping-particle":"","parse-names":false,"suffix":""},{"dropping-particle":"","family":"Gupta","given":"Sunny","non-dropping-particle":"","parse-names":false,"suffix":""},{"dropping-particle":"","family":"Farr","given":"Jack","non-dropping-particle":"","parse-names":false,"suffix":""},{"dropping-particle":"","family":"Bartolozzi","given":"Arthur R","non-dropping-particle":"","parse-names":false,"suffix":""}],"container-title":"Arthroscopy","id":"ITEM-1","issue":"6","issued":{"date-parts":[["2019","6","1"]]},"note":"doi: 10.1016/j.arthro.2018.11.073","page":"1860-1877","publisher":"Elsevier","title":"The Role of Bone Marrow Aspirate Concentrate for the Treatment of Focal Chondral Lesions of the Knee: A Systematic Review and Critical Analysis of Animal and Clinical Studies","type":"article-journal","volume":"35"},"uris":["http://www.mendeley.com/documents/?uuid=14bae7f8-f94c-42ec-ae20-784bf3d641ef"]}],"mendeley":{"formattedCitation":"[68]","plainTextFormattedCitation":"[68]","previouslyFormattedCitation":"[67]"},"properties":{"noteIndex":0},"schema":"https://github.com/citation-style-language/schema/raw/master/csl-citation.json"}</w:instrText>
      </w:r>
      <w:r w:rsidR="001902A9" w:rsidRPr="001C4D50">
        <w:fldChar w:fldCharType="separate"/>
      </w:r>
      <w:r w:rsidR="00C8414E" w:rsidRPr="001C4D50">
        <w:rPr>
          <w:noProof/>
        </w:rPr>
        <w:t>[68]</w:t>
      </w:r>
      <w:r w:rsidR="001902A9" w:rsidRPr="001C4D50">
        <w:fldChar w:fldCharType="end"/>
      </w:r>
      <w:r w:rsidR="00665CA2" w:rsidRPr="001C4D50">
        <w:t xml:space="preserve"> of animal and </w:t>
      </w:r>
      <w:r w:rsidRPr="001C4D50">
        <w:t>clinical studies have shown some promising</w:t>
      </w:r>
      <w:r w:rsidR="00665CA2" w:rsidRPr="001C4D50">
        <w:t xml:space="preserve"> early to mid-term results</w:t>
      </w:r>
      <w:r w:rsidRPr="001C4D50">
        <w:t>, although</w:t>
      </w:r>
      <w:r w:rsidR="00665CA2" w:rsidRPr="001C4D50">
        <w:t xml:space="preserve"> </w:t>
      </w:r>
      <w:r w:rsidRPr="001C4D50">
        <w:t xml:space="preserve">the therapy </w:t>
      </w:r>
      <w:r w:rsidR="00960DBE" w:rsidRPr="001C4D50">
        <w:t xml:space="preserve">currently lacks </w:t>
      </w:r>
      <w:r w:rsidRPr="001C4D50">
        <w:t xml:space="preserve">standardisation and </w:t>
      </w:r>
      <w:r w:rsidR="4DD28CF3" w:rsidRPr="001C4D50">
        <w:t xml:space="preserve">there is </w:t>
      </w:r>
      <w:r w:rsidR="00960DBE" w:rsidRPr="001C4D50">
        <w:t>little</w:t>
      </w:r>
      <w:r w:rsidRPr="001C4D50">
        <w:t xml:space="preserve"> understanding of its mechanism of action </w:t>
      </w:r>
      <w:r w:rsidRPr="001C4D50">
        <w:rPr>
          <w:color w:val="2B579A"/>
          <w:shd w:val="clear" w:color="auto" w:fill="E6E6E6"/>
        </w:rPr>
        <w:fldChar w:fldCharType="begin" w:fldLock="1"/>
      </w:r>
      <w:r w:rsidR="00C8414E" w:rsidRPr="001C4D50">
        <w:instrText>ADDIN CSL_CITATION {"citationItems":[{"id":"ITEM-1","itemData":{"DOI":"10.4081/or.2016.6659","ISSN":"20358164","abstract":"There has been great interest in bone marrow aspirate concentrate (BMAC) as a cost effective method in delivering mesenchymal stem cells (MSCs) to aid in the repair and regeneration of cartilage defects. Alongside MSCs, BMAC contains a range of growth factors and cytokines to support cell growth following injury. However, there is paucity of information relating to the basic science underlying BMAC and its exact biological role in supporting the growth and regeneration of chondrocytes. The focus of this review is the basic science underlying BMAC in relation to chondral damage and regeneration.","author":[{"dropping-particle":"","family":"Holton","given":"James","non-dropping-particle":"","parse-names":false,"suffix":""},{"dropping-particle":"","family":"Imam","given":"Mohamed","non-dropping-particle":"","parse-names":false,"suffix":""},{"dropping-particle":"","family":"Ward","given":"Jonathan","non-dropping-particle":"","parse-names":false,"suffix":""},{"dropping-particle":"","family":"Snow","given":"Martyn","non-dropping-particle":"","parse-names":false,"suffix":""}],"container-title":"Orthopedic Reviews","id":"ITEM-1","issue":"3","issued":{"date-parts":[["2016","9"]]},"page":"80-84","publisher":"Page Press Publications","title":"The basic science of bone marrow aspirate concentrate in chondral injuries","type":"article","volume":"8"},"uris":["http://www.mendeley.com/documents/?uuid=3a7694dc-b1cd-34a6-80dd-05ed1ba4ae33","http://www.mendeley.com/documents/?uuid=a4034af0-892e-4f1b-ba64-7d2e51a8f667"]}],"mendeley":{"formattedCitation":"[69]","plainTextFormattedCitation":"[69]","previouslyFormattedCitation":"[68]"},"properties":{"noteIndex":0},"schema":"https://github.com/citation-style-language/schema/raw/master/csl-citation.json"}</w:instrText>
      </w:r>
      <w:r w:rsidRPr="001C4D50">
        <w:rPr>
          <w:color w:val="2B579A"/>
          <w:shd w:val="clear" w:color="auto" w:fill="E6E6E6"/>
        </w:rPr>
        <w:fldChar w:fldCharType="separate"/>
      </w:r>
      <w:r w:rsidR="00C8414E" w:rsidRPr="001C4D50">
        <w:rPr>
          <w:noProof/>
        </w:rPr>
        <w:t>[69]</w:t>
      </w:r>
      <w:r w:rsidRPr="001C4D50">
        <w:rPr>
          <w:color w:val="2B579A"/>
          <w:shd w:val="clear" w:color="auto" w:fill="E6E6E6"/>
        </w:rPr>
        <w:fldChar w:fldCharType="end"/>
      </w:r>
      <w:r w:rsidRPr="001C4D50">
        <w:t xml:space="preserve">. </w:t>
      </w:r>
      <w:r w:rsidR="00665CA2" w:rsidRPr="001C4D50">
        <w:t xml:space="preserve">A review of the effectiveness of BMAC as an injection to treat knee OA was performed by </w:t>
      </w:r>
      <w:proofErr w:type="spellStart"/>
      <w:r w:rsidR="00665CA2" w:rsidRPr="001C4D50">
        <w:t>Cavallo</w:t>
      </w:r>
      <w:proofErr w:type="spellEnd"/>
      <w:r w:rsidR="00665CA2" w:rsidRPr="001C4D50">
        <w:t xml:space="preserve"> et al (</w:t>
      </w:r>
      <w:r w:rsidR="00665CA2" w:rsidRPr="001C4D50">
        <w:rPr>
          <w:rFonts w:cstheme="minorHAnsi"/>
        </w:rPr>
        <w:t>2020)</w:t>
      </w:r>
      <w:r w:rsidR="001902A9" w:rsidRPr="001C4D50">
        <w:rPr>
          <w:rFonts w:cstheme="minorHAnsi"/>
        </w:rPr>
        <w:t xml:space="preserve"> </w:t>
      </w:r>
      <w:r w:rsidR="001902A9" w:rsidRPr="001C4D50">
        <w:rPr>
          <w:rFonts w:cstheme="minorHAnsi"/>
        </w:rPr>
        <w:fldChar w:fldCharType="begin" w:fldLock="1"/>
      </w:r>
      <w:r w:rsidR="00C8414E" w:rsidRPr="001C4D50">
        <w:rPr>
          <w:rFonts w:cstheme="minorHAnsi"/>
        </w:rPr>
        <w:instrText>ADDIN CSL_CITATION {"citationItems":[{"id":"ITEM-1","itemData":{"DOI":"10.1007/s00264-020-04703-w","ISSN":"14325195","PMID":"32661635","abstract":"Purpose: To investigate the available literature on the use of bone marrow aspirate concentrate (BMAC) and summarize the current evidence supporting its potential for the injective treatment of joints affected by osteoarthritis (OA). Methods: A systematic literature search was conducted on three electronic databases (PubMed, Embase, and Cochrane Library) in April 2020, using the following string: “((bone marrow concentrate) OR (BMC) OR (bone marrow aspirate concentrate) OR (BMAC)) AND (osteoarthritis)”, and inclusion criteria: clinical and preclinical (animal) studies of any level of evidence, written in English language, and evaluating the intra-articular or subchondral use of BMAC for the injective treatment of OA joints. Results: The publication trend remarkably increased over time. A total of 22 studies were included in the qualitative data synthesis: four preclinical studies and 18 clinical studies, for a total number of 4626 patients. Safety was documented by all studies, with a low number of adverse events. An overall improvement in pain and function was documented in most of the studies, but the clinical studies present significant heterogeneity, few patients, short-term follow-up, and overall poor methodology. Conclusion: There is a growing interest in the field of BMAC injections for the treatment of OA, with promising results in preclinical and clinical studies in terms of safety and effectiveness. Nevertheless, the current knowledge is still preliminary. Preclinical research is still needed to optimize BMAC use, as well as high-level large controlled trials to better understand the real potential of BMAC injections for the treatment of patients affected by OA.","author":[{"dropping-particle":"","family":"Cavallo","given":"Carola","non-dropping-particle":"","parse-names":false,"suffix":""},{"dropping-particle":"","family":"Boffa","given":"Angelo","non-dropping-particle":"","parse-names":false,"suffix":""},{"dropping-particle":"","family":"Andriolo","given":"Luca","non-dropping-particle":"","parse-names":false,"suffix":""},{"dropping-particle":"","family":"Silva","given":"Simone","non-dropping-particle":"","parse-names":false,"suffix":""},{"dropping-particle":"","family":"Grigolo","given":"Brunella","non-dropping-particle":"","parse-names":false,"suffix":""},{"dropping-particle":"","family":"Zaffagnini","given":"Stefano","non-dropping-particle":"","parse-names":false,"suffix":""},{"dropping-particle":"","family":"Filardo","given":"Giuseppe","non-dropping-particle":"","parse-names":false,"suffix":""}],"container-title":"International Orthopaedics","id":"ITEM-1","issue":"2","issued":{"date-parts":[["2021"]]},"page":"525-538","publisher":"International Orthopaedics","title":"Bone marrow concentrate injections for the treatment of osteoarthritis: evidence from preclinical findings to the clinical application","type":"article-journal","volume":"45"},"uris":["http://www.mendeley.com/documents/?uuid=347daad2-d9b5-419d-bede-5216d81d7af5"]}],"mendeley":{"formattedCitation":"[70]","plainTextFormattedCitation":"[70]","previouslyFormattedCitation":"[69]"},"properties":{"noteIndex":0},"schema":"https://github.com/citation-style-language/schema/raw/master/csl-citation.json"}</w:instrText>
      </w:r>
      <w:r w:rsidR="001902A9" w:rsidRPr="001C4D50">
        <w:rPr>
          <w:rFonts w:cstheme="minorHAnsi"/>
        </w:rPr>
        <w:fldChar w:fldCharType="separate"/>
      </w:r>
      <w:r w:rsidR="00C8414E" w:rsidRPr="001C4D50">
        <w:rPr>
          <w:rFonts w:cstheme="minorHAnsi"/>
          <w:noProof/>
        </w:rPr>
        <w:t>[70]</w:t>
      </w:r>
      <w:r w:rsidR="001902A9" w:rsidRPr="001C4D50">
        <w:rPr>
          <w:rFonts w:cstheme="minorHAnsi"/>
        </w:rPr>
        <w:fldChar w:fldCharType="end"/>
      </w:r>
      <w:r w:rsidR="00665CA2" w:rsidRPr="001C4D50">
        <w:rPr>
          <w:rFonts w:cstheme="minorHAnsi"/>
        </w:rPr>
        <w:t xml:space="preserve">. A total of 4626 patients in 18 clinical studies were analysed and it was concluded that BMAC injections were safe and that </w:t>
      </w:r>
      <w:r w:rsidR="00665CA2" w:rsidRPr="001C4D50">
        <w:rPr>
          <w:rFonts w:eastAsia="Times New Roman" w:cstheme="minorHAnsi"/>
          <w:color w:val="212121"/>
          <w:shd w:val="clear" w:color="auto" w:fill="FFFFFF"/>
          <w:lang w:eastAsia="en-US"/>
        </w:rPr>
        <w:t>overall improvements in pain and function were documented in most of the studies, but the overall quality of evidence was considered low.</w:t>
      </w:r>
    </w:p>
    <w:p w14:paraId="7B12FF69" w14:textId="77777777" w:rsidR="00032213" w:rsidRPr="001C4D50" w:rsidRDefault="00032213" w:rsidP="00960366">
      <w:pPr>
        <w:rPr>
          <w:rFonts w:eastAsia="Times New Roman" w:cstheme="minorHAnsi"/>
          <w:color w:val="212121"/>
          <w:shd w:val="clear" w:color="auto" w:fill="FFFFFF"/>
          <w:lang w:eastAsia="en-US"/>
        </w:rPr>
      </w:pPr>
    </w:p>
    <w:p w14:paraId="7803A476" w14:textId="5A5E3837" w:rsidR="00807250" w:rsidRPr="001C4D50" w:rsidRDefault="00032213" w:rsidP="00960366">
      <w:pPr>
        <w:rPr>
          <w:rFonts w:cstheme="minorHAnsi"/>
        </w:rPr>
      </w:pPr>
      <w:r w:rsidRPr="001C4D50">
        <w:rPr>
          <w:rFonts w:eastAsia="Times New Roman" w:cstheme="minorHAnsi"/>
          <w:lang w:eastAsia="en-US"/>
        </w:rPr>
        <w:t>Unfortunately there is not a standard nomenclature</w:t>
      </w:r>
      <w:r w:rsidR="00932FE6" w:rsidRPr="001C4D50">
        <w:rPr>
          <w:rFonts w:eastAsia="Times New Roman" w:cstheme="minorHAnsi"/>
          <w:lang w:eastAsia="en-US"/>
        </w:rPr>
        <w:t xml:space="preserve"> accepted in the field for describing different cell populations, whether they are culture-expanded (and so more homogenous than e</w:t>
      </w:r>
      <w:r w:rsidR="00070CF7" w:rsidRPr="001C4D50">
        <w:rPr>
          <w:rFonts w:eastAsia="Times New Roman" w:cstheme="minorHAnsi"/>
          <w:lang w:eastAsia="en-US"/>
        </w:rPr>
        <w:t>.</w:t>
      </w:r>
      <w:r w:rsidR="00932FE6" w:rsidRPr="001C4D50">
        <w:rPr>
          <w:rFonts w:eastAsia="Times New Roman" w:cstheme="minorHAnsi"/>
          <w:lang w:eastAsia="en-US"/>
        </w:rPr>
        <w:t>g</w:t>
      </w:r>
      <w:r w:rsidR="00070CF7" w:rsidRPr="001C4D50">
        <w:rPr>
          <w:rFonts w:eastAsia="Times New Roman" w:cstheme="minorHAnsi"/>
          <w:lang w:eastAsia="en-US"/>
        </w:rPr>
        <w:t>.</w:t>
      </w:r>
      <w:r w:rsidR="00932FE6" w:rsidRPr="001C4D50">
        <w:rPr>
          <w:rFonts w:eastAsia="Times New Roman" w:cstheme="minorHAnsi"/>
          <w:lang w:eastAsia="en-US"/>
        </w:rPr>
        <w:t xml:space="preserve"> BMA</w:t>
      </w:r>
      <w:r w:rsidR="00A10A94" w:rsidRPr="001C4D50">
        <w:rPr>
          <w:rFonts w:eastAsia="Times New Roman" w:cstheme="minorHAnsi"/>
          <w:lang w:eastAsia="en-US"/>
        </w:rPr>
        <w:t xml:space="preserve"> or BMAC</w:t>
      </w:r>
      <w:r w:rsidR="00E137C6" w:rsidRPr="001C4D50">
        <w:rPr>
          <w:rFonts w:eastAsia="Times New Roman" w:cstheme="minorHAnsi"/>
          <w:lang w:eastAsia="en-US"/>
        </w:rPr>
        <w:t xml:space="preserve">) nor for </w:t>
      </w:r>
      <w:r w:rsidR="00932FE6" w:rsidRPr="001C4D50">
        <w:rPr>
          <w:rFonts w:eastAsia="Times New Roman" w:cstheme="minorHAnsi"/>
          <w:lang w:eastAsia="en-US"/>
        </w:rPr>
        <w:t>what characterisation has been performed etc. Lack of a unified approach about how cell products should be described and even about their biological properties makes it easier for businesses to sell treatments allegedly based on MSCs and particularly ‘stem cells’</w:t>
      </w:r>
      <w:r w:rsidR="001902A9" w:rsidRPr="001C4D50">
        <w:rPr>
          <w:rFonts w:eastAsia="Times New Roman" w:cstheme="minorHAnsi"/>
          <w:lang w:eastAsia="en-US"/>
        </w:rPr>
        <w:t xml:space="preserve"> </w:t>
      </w:r>
      <w:r w:rsidR="001902A9" w:rsidRPr="001C4D50">
        <w:rPr>
          <w:rFonts w:eastAsia="Times New Roman" w:cstheme="minorHAnsi"/>
          <w:lang w:eastAsia="en-US"/>
        </w:rPr>
        <w:fldChar w:fldCharType="begin" w:fldLock="1"/>
      </w:r>
      <w:r w:rsidR="00CF69B7" w:rsidRPr="001C4D50">
        <w:rPr>
          <w:rFonts w:eastAsia="Times New Roman" w:cstheme="minorHAnsi"/>
          <w:lang w:eastAsia="en-US"/>
        </w:rPr>
        <w:instrText>ADDIN CSL_CITATION {"citationItems":[{"id":"ITEM-1","itemData":{"author":[{"dropping-particle":"","family":"Sipp","given":"Douglas","non-dropping-particle":"","parse-names":false,"suffix":""},{"dropping-particle":"","family":"Robey","given":"Pamela G","non-dropping-particle":"","parse-names":false,"suffix":""},{"dropping-particle":"","family":"Turner","given":"Leigh","non-dropping-particle":"","parse-names":false,"suffix":""}],"container-title":"Nature","id":"ITEM-1","issued":{"date-parts":[["2018"]]},"page":"455-457","title":"Clear up this stem-cell mess","type":"article-journal","volume":"561"},"uris":["http://www.mendeley.com/documents/?uuid=d177a034-bba7-4120-a720-9813bd825694"]}],"mendeley":{"formattedCitation":"[42]","plainTextFormattedCitation":"[42]","previouslyFormattedCitation":"[42]"},"properties":{"noteIndex":0},"schema":"https://github.com/citation-style-language/schema/raw/master/csl-citation.json"}</w:instrText>
      </w:r>
      <w:r w:rsidR="001902A9" w:rsidRPr="001C4D50">
        <w:rPr>
          <w:rFonts w:eastAsia="Times New Roman" w:cstheme="minorHAnsi"/>
          <w:lang w:eastAsia="en-US"/>
        </w:rPr>
        <w:fldChar w:fldCharType="separate"/>
      </w:r>
      <w:r w:rsidR="00AA1043" w:rsidRPr="001C4D50">
        <w:rPr>
          <w:rFonts w:eastAsia="Times New Roman" w:cstheme="minorHAnsi"/>
          <w:noProof/>
          <w:lang w:eastAsia="en-US"/>
        </w:rPr>
        <w:t>[42]</w:t>
      </w:r>
      <w:r w:rsidR="001902A9" w:rsidRPr="001C4D50">
        <w:rPr>
          <w:rFonts w:eastAsia="Times New Roman" w:cstheme="minorHAnsi"/>
          <w:lang w:eastAsia="en-US"/>
        </w:rPr>
        <w:fldChar w:fldCharType="end"/>
      </w:r>
      <w:r w:rsidR="001902A9" w:rsidRPr="001C4D50">
        <w:rPr>
          <w:rFonts w:eastAsia="Times New Roman" w:cstheme="minorHAnsi"/>
          <w:lang w:eastAsia="en-US"/>
        </w:rPr>
        <w:t>.</w:t>
      </w:r>
      <w:r w:rsidR="00932FE6" w:rsidRPr="001C4D50">
        <w:rPr>
          <w:rFonts w:eastAsia="Times New Roman" w:cstheme="minorHAnsi"/>
          <w:lang w:eastAsia="en-US"/>
        </w:rPr>
        <w:t xml:space="preserve"> </w:t>
      </w:r>
      <w:r w:rsidR="00932FE6" w:rsidRPr="001C4D50">
        <w:rPr>
          <w:rFonts w:cstheme="minorHAnsi"/>
        </w:rPr>
        <w:t xml:space="preserve">An international consensus group have provided good guidance on how cells applied in cell therapies should be described; the DOSES </w:t>
      </w:r>
      <w:r w:rsidR="00A10A94" w:rsidRPr="001C4D50">
        <w:rPr>
          <w:rFonts w:cstheme="minorHAnsi"/>
        </w:rPr>
        <w:t xml:space="preserve">cell therapy communication </w:t>
      </w:r>
      <w:r w:rsidR="00932FE6" w:rsidRPr="001C4D50">
        <w:rPr>
          <w:rFonts w:cstheme="minorHAnsi"/>
        </w:rPr>
        <w:t>tool requires reporting of 5 core items: Donor (i.e., autologous, allogeneic, xenogeneic), Origin of tissue, Separation from other cell types/preparation method, Exhibited cell characteristics associated with behaviour, and the Site of delivery</w:t>
      </w:r>
      <w:r w:rsidR="001902A9" w:rsidRPr="001C4D50">
        <w:rPr>
          <w:rFonts w:cstheme="minorHAnsi"/>
        </w:rPr>
        <w:t xml:space="preserve"> </w:t>
      </w:r>
      <w:r w:rsidR="001902A9" w:rsidRPr="001C4D50">
        <w:rPr>
          <w:rFonts w:cstheme="minorHAnsi"/>
        </w:rPr>
        <w:fldChar w:fldCharType="begin" w:fldLock="1"/>
      </w:r>
      <w:r w:rsidR="00C8414E" w:rsidRPr="001C4D50">
        <w:rPr>
          <w:rFonts w:cstheme="minorHAnsi"/>
        </w:rPr>
        <w:instrText>ADDIN CSL_CITATION {"citationItems":[{"id":"ITEM-1","itemData":{"DOI":"10.2106/JBJS.18.00915","ISSN":"15351386","PMID":"31094982","abstract":"Background:The lack of a standardized system for describing cell therapies acts as a barrier to advancement in clinical and basic research and practice. The aim of this study was to establish an international expert consensus on strategies to improve standardization and transparency when describing cell therapies. The secondary aim was to develop a consensus among experts on the contents of a standardized tool for describing cell therapies.Methods:The need for expert consensus on strategies to improve cell therapy communication was confirmed at the American Academy of Orthopaedic Surgeons/National Institutes of Health Optimizing Clinical Use of Biologics Symposium in 2018. A working group of 6 experts convened an international consensus process involving clinicians and basic scientists using validated Delphi methodology. This iterative process was used to define statements on communication of cell therapies and develop a standardized tool for describing cell therapies.Results:Thirty-four experts completed 3 rounds survey with use of the Delphi process. After 3 rounds, 27 statements relating to existing nomenclature, solutions to improve communication, ideal characteristics of a framework, mandatory elements of a new framework, and future work to facilitate application reached consensus with &gt;80% agreement and &lt;5% disagreement. Consensus was reached on the contents of a tool for improving standardization and transparency when describing cell therapies. This tool, dubbed \"DOSES,\" is based on the reporting of 5 core items: donor (i.e., autologous, allogeneic, xenogeneic), origin of tissue, separation from other cell types/preparation method, exhibited cell characteristics associated with behavior, and the site of delivery.Conclusions:This study has established expert consensus on the communication of cell therapies. The DOSES tool has been developed to improve standardization and transparency in describing cell therapies.Clinical Relevance:The DOSES tool for describing cell therapies can be utilized by researchers, clinicians, regulators, and industry professionals to improve standardization and transparency when describing cell therapies. The use of this tool may allow clinicians and patients to better understand the characteristics of current and future cell preparations.","author":[{"dropping-particle":"","family":"Murray","given":"Iain R.","non-dropping-particle":"","parse-names":false,"suffix":""},{"dropping-particle":"","family":"Chahla","given":"Jorge","non-dropping-particle":"","parse-names":false,"suffix":""},{"dropping-particle":"","family":"Safran","given":"Marc R.","non-dropping-particle":"","parse-names":false,"suffix":""},{"dropping-particle":"","family":"Krych","given":"Aaron J.","non-dropping-particle":"","parse-names":false,"suffix":""},{"dropping-particle":"","family":"Saris","given":"Daniel B.F.","non-dropping-particle":"","parse-names":false,"suffix":""},{"dropping-particle":"","family":"Caplan","given":"Arnold I.","non-dropping-particle":"","parse-names":false,"suffix":""},{"dropping-particle":"","family":"Laprade","given":"Robert F.","non-dropping-particle":"","parse-names":false,"suffix":""},{"dropping-particle":"","family":"Cole","given":"Brian J.","non-dropping-particle":"","parse-names":false,"suffix":""},{"dropping-particle":"","family":"Guilak","given":"Farshid","non-dropping-particle":"","parse-names":false,"suffix":""},{"dropping-particle":"","family":"Rodeo","given":"Scott A.","non-dropping-particle":"","parse-names":false,"suffix":""},{"dropping-particle":"","family":"Lattermann","given":"Christian","non-dropping-particle":"","parse-names":false,"suffix":""},{"dropping-particle":"","family":"Birch","given":"Mark A.","non-dropping-particle":"","parse-names":false,"suffix":""},{"dropping-particle":"","family":"Peault","given":"Bruno","non-dropping-particle":"","parse-names":false,"suffix":""},{"dropping-particle":"","family":"Biant","given":"Leela C.","non-dropping-particle":"","parse-names":false,"suffix":""},{"dropping-particle":"","family":"Chu","given":"Constance R.","non-dropping-particle":"","parse-names":false,"suffix":""},{"dropping-particle":"","family":"Dalby","given":"Matthew J.","non-dropping-particle":"","parse-names":false,"suffix":""},{"dropping-particle":"","family":"Dietz","given":"Allan B.","non-dropping-particle":"","parse-names":false,"suffix":""},{"dropping-particle":"","family":"Dragoo","given":"Jason L.","non-dropping-particle":"","parse-names":false,"suffix":""},{"dropping-particle":"","family":"Engebretsen","given":"Lars","non-dropping-particle":"","parse-names":false,"suffix":""},{"dropping-particle":"","family":"Evseenko","given":"Denis","non-dropping-particle":"","parse-names":false,"suffix":""},{"dropping-particle":"","family":"Getgood","given":"Alan","non-dropping-particle":"","parse-names":false,"suffix":""},{"dropping-particle":"","family":"Geeslin","given":"Andrew G.","non-dropping-particle":"","parse-names":false,"suffix":""},{"dropping-particle":"","family":"Hollander","given":"Anthony P.","non-dropping-particle":"","parse-names":false,"suffix":""},{"dropping-particle":"","family":"Huard","given":"Johnny","non-dropping-particle":"","parse-names":false,"suffix":""},{"dropping-particle":"","family":"Kon","given":"Elizaveta","non-dropping-particle":"","parse-names":false,"suffix":""},{"dropping-particle":"","family":"Maffulli","given":"Nicola","non-dropping-particle":"","parse-names":false,"suffix":""},{"dropping-particle":"","family":"Mandelbaum","given":"Bert R.","non-dropping-particle":"","parse-names":false,"suffix":""},{"dropping-particle":"","family":"Mardones","given":"Rodrigo","non-dropping-particle":"","parse-names":false,"suffix":""},{"dropping-particle":"","family":"Petrigliano","given":"Frank A.","non-dropping-particle":"","parse-names":false,"suffix":""},{"dropping-particle":"","family":"Simpson","given":"A. Hamish R.W.","non-dropping-particle":"","parse-names":false,"suffix":""},{"dropping-particle":"","family":"Wang","given":"James H.C.","non-dropping-particle":"","parse-names":false,"suffix":""},{"dropping-particle":"","family":"Madry","given":"Henning","non-dropping-particle":"","parse-names":false,"suffix":""},{"dropping-particle":"","family":"Jo","given":"Chris H.","non-dropping-particle":"","parse-names":false,"suffix":""},{"dropping-particle":"","family":"Nakamura","given":"Norimasa","non-dropping-particle":"","parse-names":false,"suffix":""}],"container-title":"Journal of Bone and Joint Surgery - American Volume","id":"ITEM-1","issue":"10","issued":{"date-parts":[["2019"]]},"page":"904-911","title":"International Expert Consensus on a Cell Therapy Communication Tool: DOSES","type":"article-journal","volume":"101"},"uris":["http://www.mendeley.com/documents/?uuid=fa68a057-967e-4a51-b081-033aa2665de6"]}],"mendeley":{"formattedCitation":"[71]","plainTextFormattedCitation":"[71]","previouslyFormattedCitation":"[70]"},"properties":{"noteIndex":0},"schema":"https://github.com/citation-style-language/schema/raw/master/csl-citation.json"}</w:instrText>
      </w:r>
      <w:r w:rsidR="001902A9" w:rsidRPr="001C4D50">
        <w:rPr>
          <w:rFonts w:cstheme="minorHAnsi"/>
        </w:rPr>
        <w:fldChar w:fldCharType="separate"/>
      </w:r>
      <w:r w:rsidR="00C8414E" w:rsidRPr="001C4D50">
        <w:rPr>
          <w:rFonts w:cstheme="minorHAnsi"/>
          <w:noProof/>
        </w:rPr>
        <w:t>[71]</w:t>
      </w:r>
      <w:r w:rsidR="001902A9" w:rsidRPr="001C4D50">
        <w:rPr>
          <w:rFonts w:cstheme="minorHAnsi"/>
        </w:rPr>
        <w:fldChar w:fldCharType="end"/>
      </w:r>
      <w:r w:rsidR="001902A9" w:rsidRPr="001C4D50">
        <w:rPr>
          <w:rFonts w:cstheme="minorHAnsi"/>
        </w:rPr>
        <w:t>.</w:t>
      </w:r>
      <w:r w:rsidR="00932FE6" w:rsidRPr="001C4D50">
        <w:rPr>
          <w:rFonts w:cstheme="minorHAnsi"/>
        </w:rPr>
        <w:t xml:space="preserve"> If this form of reporting is made mandatory it would clear up much ambiguity in the field.</w:t>
      </w:r>
    </w:p>
    <w:p w14:paraId="131FAA24" w14:textId="77777777" w:rsidR="001902A9" w:rsidRPr="001C4D50" w:rsidRDefault="001902A9" w:rsidP="00960366">
      <w:pPr>
        <w:rPr>
          <w:rStyle w:val="HTMLCite"/>
          <w:rFonts w:cstheme="minorHAnsi"/>
          <w:iCs w:val="0"/>
          <w:color w:val="1C1D1E"/>
          <w:shd w:val="clear" w:color="auto" w:fill="EFEFF0"/>
        </w:rPr>
      </w:pPr>
    </w:p>
    <w:p w14:paraId="70A043D7" w14:textId="31C9664F" w:rsidR="00207344" w:rsidRPr="001C4D50" w:rsidRDefault="00207344" w:rsidP="00960366">
      <w:pPr>
        <w:rPr>
          <w:b/>
          <w:bCs/>
          <w:u w:val="single"/>
        </w:rPr>
      </w:pPr>
      <w:r w:rsidRPr="001C4D50">
        <w:rPr>
          <w:b/>
          <w:bCs/>
          <w:u w:val="single"/>
        </w:rPr>
        <w:t>Pre-clinical models</w:t>
      </w:r>
      <w:r w:rsidR="4DB522DB" w:rsidRPr="001C4D50">
        <w:rPr>
          <w:b/>
          <w:bCs/>
          <w:u w:val="single"/>
        </w:rPr>
        <w:t xml:space="preserve"> used for studying chondral/osteochondral repair</w:t>
      </w:r>
    </w:p>
    <w:p w14:paraId="3B043C94" w14:textId="77777777" w:rsidR="00E137C6" w:rsidRPr="001C4D50" w:rsidRDefault="00E137C6" w:rsidP="00960366">
      <w:pPr>
        <w:rPr>
          <w:b/>
          <w:bCs/>
          <w:u w:val="single"/>
        </w:rPr>
      </w:pPr>
    </w:p>
    <w:p w14:paraId="6B6CAF1A" w14:textId="428595E6" w:rsidR="00207344" w:rsidRPr="001C4D50" w:rsidRDefault="00207344" w:rsidP="00960366">
      <w:pPr>
        <w:rPr>
          <w:rFonts w:cstheme="minorHAnsi"/>
          <w:color w:val="000000" w:themeColor="text1"/>
        </w:rPr>
      </w:pPr>
      <w:r w:rsidRPr="001C4D50">
        <w:rPr>
          <w:color w:val="000000" w:themeColor="text1"/>
        </w:rPr>
        <w:t xml:space="preserve">Studying the </w:t>
      </w:r>
      <w:r w:rsidR="00307D39" w:rsidRPr="001C4D50">
        <w:rPr>
          <w:color w:val="000000" w:themeColor="text1"/>
        </w:rPr>
        <w:t xml:space="preserve">mechanisms and pathways </w:t>
      </w:r>
      <w:r w:rsidRPr="001C4D50">
        <w:t>of cartilage repair in humans remains a challenge, as there is restricted availability of disease</w:t>
      </w:r>
      <w:r w:rsidR="00307D39" w:rsidRPr="001C4D50">
        <w:t>d</w:t>
      </w:r>
      <w:r w:rsidRPr="001C4D50">
        <w:t xml:space="preserve"> tissues, particularly at the early stage of OA </w:t>
      </w:r>
      <w:r w:rsidR="00963F6E" w:rsidRPr="001C4D50">
        <w:t xml:space="preserve">in humans </w:t>
      </w:r>
      <w:r w:rsidRPr="001C4D50">
        <w:rPr>
          <w:color w:val="2B579A"/>
        </w:rPr>
        <w:fldChar w:fldCharType="begin" w:fldLock="1"/>
      </w:r>
      <w:r w:rsidR="00C8414E" w:rsidRPr="001C4D50">
        <w:instrText>ADDIN CSL_CITATION {"citationItems":[{"id":"ITEM-1","itemData":{"DOI":"10.1016/J.PAIN.2011.09.007","ISSN":"0304-3959","abstract":"Murine models of osteoarthritis (OA) provide a potentially powerful tool to elucidate mechanisms responsible for OA pain. However, few studies have examined pain behaviours in relevant OA models in mice. We have therefore characterized the time course and pharmacological sensitivities of pain-related behaviours in a model of OA in C57Bl/6 mice induced by partial medial meniscectomy. Progressive degenerative joint damage developed in a time-dependent manner and was first detected 4weeks after surgery. Pain was assessed by monitoring weight bearing, mechanical hyperalgesia, cold allodynia, mechanical allodynia and vocalisation in response to knee compression for 12weeks postsurgery. No significant weight-bearing deficits were observed during the course of the study. Significant mechanical allodynia was present in the ipsilateral hind limb from 9weeks after surgery. Hind limb mechanical hyperalgesia and cold allodynia, and increased vocalisation in response to knee compression developed in the ipsilateral limb in 2 phases. An early phase of hypersensitivities lasted for up to 3weeks and was reversed by treatment with a nonsteroidal anti-inflammatory drug (NSAID), diclofenac. Pain then resolved for several weeks, followed by a second phase of NSAID-insensitive pain after 7weeks postsurgery. During this phase, all pain behaviours could be reversed by morphine. In contrast, other analgesic drugs (paracetamol, gabapentin, and tramadol) had selective effects on only 1 or 2 modalities. Pain levels fluctuated during the second phase, with transient periods of reduced pain. At these times, underlying hypersensitivities could be unmasked by administration of naloxone, indicating that reduced pain was due to endogenous opioids.","author":[{"dropping-particle":"","family":"Knights","given":"Chancie Bayer","non-dropping-particle":"","parse-names":false,"suffix":""},{"dropping-particle":"","family":"Gentry","given":"Clive","non-dropping-particle":"","parse-names":false,"suffix":""},{"dropping-particle":"","family":"Bevan","given":"Stuart","non-dropping-particle":"","parse-names":false,"suffix":""}],"container-title":"PAIN","id":"ITEM-1","issue":"2","issued":{"date-parts":[["2012","2"]]},"page":"281-292","publisher":"No longer published by Elsevier","title":"Partial medial meniscectomy produces osteoarthritis pain-related behaviour in female C57BL/6 mice","type":"article-journal","volume":"153"},"uris":["http://www.mendeley.com/documents/?uuid=d5fc3fc7-05ed-4c98-b96e-41728c7ebb6a"]}],"mendeley":{"formattedCitation":"[72]","plainTextFormattedCitation":"[72]","previouslyFormattedCitation":"[71]"},"properties":{"noteIndex":0},"schema":"https://github.com/citation-style-language/schema/raw/master/csl-citation.json"}</w:instrText>
      </w:r>
      <w:r w:rsidRPr="001C4D50">
        <w:rPr>
          <w:color w:val="2B579A"/>
        </w:rPr>
        <w:fldChar w:fldCharType="separate"/>
      </w:r>
      <w:r w:rsidR="00C8414E" w:rsidRPr="001C4D50">
        <w:rPr>
          <w:noProof/>
        </w:rPr>
        <w:t>[72]</w:t>
      </w:r>
      <w:r w:rsidRPr="001C4D50">
        <w:rPr>
          <w:color w:val="2B579A"/>
        </w:rPr>
        <w:fldChar w:fldCharType="end"/>
      </w:r>
      <w:r w:rsidRPr="001C4D50">
        <w:t xml:space="preserve">. </w:t>
      </w:r>
      <w:r w:rsidRPr="001C4D50">
        <w:rPr>
          <w:color w:val="000000" w:themeColor="text1"/>
        </w:rPr>
        <w:t xml:space="preserve">As a result of this, animal models remain an increasingly popular choice for basic science studies to identify the underlying molecular mechanisms of </w:t>
      </w:r>
      <w:r w:rsidR="00307D39" w:rsidRPr="001C4D50">
        <w:rPr>
          <w:color w:val="000000" w:themeColor="text1"/>
        </w:rPr>
        <w:t xml:space="preserve">both </w:t>
      </w:r>
      <w:r w:rsidRPr="001C4D50">
        <w:rPr>
          <w:color w:val="000000" w:themeColor="text1"/>
        </w:rPr>
        <w:t xml:space="preserve">cartilage </w:t>
      </w:r>
      <w:r w:rsidR="00307D39" w:rsidRPr="001C4D50">
        <w:rPr>
          <w:color w:val="000000" w:themeColor="text1"/>
        </w:rPr>
        <w:t xml:space="preserve">degeneration and its progression to OA, cartilage repair or </w:t>
      </w:r>
      <w:r w:rsidRPr="001C4D50">
        <w:rPr>
          <w:color w:val="000000" w:themeColor="text1"/>
        </w:rPr>
        <w:t>regeneration,</w:t>
      </w:r>
      <w:r w:rsidR="00552691" w:rsidRPr="001C4D50">
        <w:rPr>
          <w:color w:val="000000" w:themeColor="text1"/>
        </w:rPr>
        <w:t xml:space="preserve"> </w:t>
      </w:r>
      <w:r w:rsidR="00307D39" w:rsidRPr="001C4D50">
        <w:rPr>
          <w:color w:val="000000" w:themeColor="text1"/>
        </w:rPr>
        <w:t>as well as</w:t>
      </w:r>
      <w:r w:rsidRPr="001C4D50">
        <w:rPr>
          <w:color w:val="000000" w:themeColor="text1"/>
        </w:rPr>
        <w:t xml:space="preserve"> </w:t>
      </w:r>
      <w:r w:rsidRPr="001C4D50">
        <w:t xml:space="preserve">studying </w:t>
      </w:r>
      <w:r w:rsidRPr="001C4D50">
        <w:lastRenderedPageBreak/>
        <w:t>pharmacological interventions longitudinally</w:t>
      </w:r>
      <w:r w:rsidR="00552691" w:rsidRPr="001C4D50">
        <w:t xml:space="preserve"> (Figure 4)</w:t>
      </w:r>
      <w:r w:rsidRPr="001C4D50">
        <w:t>. While spontaneous OA models exist (e.g. in mice, guinea pigs, rabbits and dogs)</w:t>
      </w:r>
      <w:r w:rsidR="00E70541" w:rsidRPr="001C4D50">
        <w:t xml:space="preserve"> </w:t>
      </w:r>
      <w:r w:rsidR="00E70541" w:rsidRPr="001C4D50">
        <w:fldChar w:fldCharType="begin" w:fldLock="1"/>
      </w:r>
      <w:r w:rsidR="00C8414E" w:rsidRPr="001C4D50">
        <w:instrText>ADDIN CSL_CITATION {"citationItems":[{"id":"ITEM-1","itemData":{"DOI":"10.1007/s00223-020-00670-x","ISBN":"0022302000670","ISSN":"14320827","PMID":"32062692","abstract":"Osteoarthritis (OA) is a progressive and disabling musculoskeletal disease affecting millions of people and resulting in major healthcare costs worldwide. It is the most common form of arthritis, characterised by degradation of the articular cartilage, formation of osteophytes, subchondral sclerosis, synovial inflammation and ultimate loss of joint function. Understanding the pathogenesis of OA and its multifactorial aetiology will lead to the development of effective treatments, which are currently lacking. Two-dimensional (2D) in vitro tissue models of OA allow affordable, high-throughput analysis and stringent control over specific variables. However, they are linear in fashion and are not representative of physiological conditions. Recent in vitro studies have adopted three-dimensional (3D) tissue models of OA, which retain the advantages of 2D models and are able to mimic physiological conditions, thereby allowing investigation of additional variables including interactions between the cells and their surrounding extracellular matrix. Numerous spontaneous and induced animal models are used to reproduce the onset and monitor the progression of OA based on the aetiology under investigation. This therefore allows elucidation of the pathogenesis of OA and will ultimately enable the development of novel and specific therapeutic interventions. This review summarises the current understanding of in vitro and in vivo OA models in the context of disease pathophysiology, classification and relevance, thus providing new insights and directions for OA research.","author":[{"dropping-particle":"","family":"Samvelyan","given":"Hasmik Jasmine","non-dropping-particle":"","parse-names":false,"suffix":""},{"dropping-particle":"","family":"Hughes","given":"David","non-dropping-particle":"","parse-names":false,"suffix":""},{"dropping-particle":"","family":"Stevens","given":"Craig","non-dropping-particle":"","parse-names":false,"suffix":""},{"dropping-particle":"","family":"Staines","given":"Katherine Ann","non-dropping-particle":"","parse-names":false,"suffix":""}],"container-title":"Calcified Tissue International","id":"ITEM-1","issue":"0123456789","issued":{"date-parts":[["2020"]]},"publisher":"Springer US","title":"Models of Osteoarthritis: Relevance and New Insights","type":"article-journal"},"uris":["http://www.mendeley.com/documents/?uuid=eb0e8887-c688-49f5-a2b2-da939e934330"]}],"mendeley":{"formattedCitation":"[73]","plainTextFormattedCitation":"[73]","previouslyFormattedCitation":"[72]"},"properties":{"noteIndex":0},"schema":"https://github.com/citation-style-language/schema/raw/master/csl-citation.json"}</w:instrText>
      </w:r>
      <w:r w:rsidR="00E70541" w:rsidRPr="001C4D50">
        <w:fldChar w:fldCharType="separate"/>
      </w:r>
      <w:r w:rsidR="00C8414E" w:rsidRPr="001C4D50">
        <w:rPr>
          <w:noProof/>
        </w:rPr>
        <w:t>[73]</w:t>
      </w:r>
      <w:r w:rsidR="00E70541" w:rsidRPr="001C4D50">
        <w:fldChar w:fldCharType="end"/>
      </w:r>
      <w:r w:rsidR="00E70541" w:rsidRPr="001C4D50">
        <w:t xml:space="preserve">, </w:t>
      </w:r>
      <w:r w:rsidRPr="001C4D50">
        <w:t xml:space="preserve">surgical models of joint injury can provide numerous advantages, including </w:t>
      </w:r>
      <w:r w:rsidRPr="001C4D50">
        <w:rPr>
          <w:noProof/>
        </w:rPr>
        <w:t xml:space="preserve">reduced variability, </w:t>
      </w:r>
      <w:r w:rsidR="00F21D02" w:rsidRPr="001C4D50">
        <w:rPr>
          <w:noProof/>
          <w:color w:val="000000"/>
          <w:lang w:val="en-US"/>
        </w:rPr>
        <w:t xml:space="preserve">a wider range of disease stages, reduced reliance on genotype and a </w:t>
      </w:r>
      <w:r w:rsidR="00F21D02" w:rsidRPr="001C4D50">
        <w:rPr>
          <w:color w:val="000000"/>
          <w:lang w:val="en-US"/>
        </w:rPr>
        <w:t>faster onset of disease</w:t>
      </w:r>
      <w:r w:rsidR="00B177E4" w:rsidRPr="001C4D50">
        <w:rPr>
          <w:color w:val="000000"/>
          <w:lang w:val="en-US"/>
        </w:rPr>
        <w:t>,</w:t>
      </w:r>
      <w:r w:rsidR="00F21D02" w:rsidRPr="001C4D50">
        <w:rPr>
          <w:color w:val="000000"/>
          <w:lang w:val="en-US"/>
        </w:rPr>
        <w:t xml:space="preserve"> thereby shortening study timeframes and husbandry costs </w:t>
      </w:r>
      <w:r w:rsidR="00B177E4" w:rsidRPr="001C4D50">
        <w:rPr>
          <w:color w:val="2B579A"/>
        </w:rPr>
        <w:fldChar w:fldCharType="begin" w:fldLock="1"/>
      </w:r>
      <w:r w:rsidR="00C8414E" w:rsidRPr="001C4D50">
        <w:instrText>ADDIN CSL_CITATION {"citationItems":[{"id":"ITEM-1","itemData":{"DOI":"10.1016/J.PAIN.2011.09.007","ISSN":"0304-3959","abstract":"Murine models of osteoarthritis (OA) provide a potentially powerful tool to elucidate mechanisms responsible for OA pain. However, few studies have examined pain behaviours in relevant OA models in mice. We have therefore characterized the time course and pharmacological sensitivities of pain-related behaviours in a model of OA in C57Bl/6 mice induced by partial medial meniscectomy. Progressive degenerative joint damage developed in a time-dependent manner and was first detected 4weeks after surgery. Pain was assessed by monitoring weight bearing, mechanical hyperalgesia, cold allodynia, mechanical allodynia and vocalisation in response to knee compression for 12weeks postsurgery. No significant weight-bearing deficits were observed during the course of the study. Significant mechanical allodynia was present in the ipsilateral hind limb from 9weeks after surgery. Hind limb mechanical hyperalgesia and cold allodynia, and increased vocalisation in response to knee compression developed in the ipsilateral limb in 2 phases. An early phase of hypersensitivities lasted for up to 3weeks and was reversed by treatment with a nonsteroidal anti-inflammatory drug (NSAID), diclofenac. Pain then resolved for several weeks, followed by a second phase of NSAID-insensitive pain after 7weeks postsurgery. During this phase, all pain behaviours could be reversed by morphine. In contrast, other analgesic drugs (paracetamol, gabapentin, and tramadol) had selective effects on only 1 or 2 modalities. Pain levels fluctuated during the second phase, with transient periods of reduced pain. At these times, underlying hypersensitivities could be unmasked by administration of naloxone, indicating that reduced pain was due to endogenous opioids.","author":[{"dropping-particle":"","family":"Knights","given":"Chancie Bayer","non-dropping-particle":"","parse-names":false,"suffix":""},{"dropping-particle":"","family":"Gentry","given":"Clive","non-dropping-particle":"","parse-names":false,"suffix":""},{"dropping-particle":"","family":"Bevan","given":"Stuart","non-dropping-particle":"","parse-names":false,"suffix":""}],"container-title":"PAIN","id":"ITEM-1","issue":"2","issued":{"date-parts":[["2012","2"]]},"page":"281-292","publisher":"No longer published by Elsevier","title":"Partial medial meniscectomy produces osteoarthritis pain-related behaviour in female C57BL/6 mice","type":"article-journal","volume":"153"},"uris":["http://www.mendeley.com/documents/?uuid=d5fc3fc7-05ed-4c98-b96e-41728c7ebb6a"]},{"id":"ITEM-2","itemData":{"DOI":"10.1007/s00223-020-00670-x","ISBN":"0022302000670","ISSN":"14320827","PMID":"32062692","abstract":"Osteoarthritis (OA) is a progressive and disabling musculoskeletal disease affecting millions of people and resulting in major healthcare costs worldwide. It is the most common form of arthritis, characterised by degradation of the articular cartilage, formation of osteophytes, subchondral sclerosis, synovial inflammation and ultimate loss of joint function. Understanding the pathogenesis of OA and its multifactorial aetiology will lead to the development of effective treatments, which are currently lacking. Two-dimensional (2D) in vitro tissue models of OA allow affordable, high-throughput analysis and stringent control over specific variables. However, they are linear in fashion and are not representative of physiological conditions. Recent in vitro studies have adopted three-dimensional (3D) tissue models of OA, which retain the advantages of 2D models and are able to mimic physiological conditions, thereby allowing investigation of additional variables including interactions between the cells and their surrounding extracellular matrix. Numerous spontaneous and induced animal models are used to reproduce the onset and monitor the progression of OA based on the aetiology under investigation. This therefore allows elucidation of the pathogenesis of OA and will ultimately enable the development of novel and specific therapeutic interventions. This review summarises the current understanding of in vitro and in vivo OA models in the context of disease pathophysiology, classification and relevance, thus providing new insights and directions for OA research.","author":[{"dropping-particle":"","family":"Samvelyan","given":"Hasmik Jasmine","non-dropping-particle":"","parse-names":false,"suffix":""},{"dropping-particle":"","family":"Hughes","given":"David","non-dropping-particle":"","parse-names":false,"suffix":""},{"dropping-particle":"","family":"Stevens","given":"Craig","non-dropping-particle":"","parse-names":false,"suffix":""},{"dropping-particle":"","family":"Staines","given":"Katherine Ann","non-dropping-particle":"","parse-names":false,"suffix":""}],"container-title":"Calcified Tissue International","id":"ITEM-2","issue":"0123456789","issued":{"date-parts":[["2020"]]},"publisher":"Springer US","title":"Models of Osteoarthritis: Relevance and New Insights","type":"article-journal"},"uris":["http://www.mendeley.com/documents/?uuid=eb0e8887-c688-49f5-a2b2-da939e934330"]}],"mendeley":{"formattedCitation":"[72,73]","plainTextFormattedCitation":"[72,73]","previouslyFormattedCitation":"[71,72]"},"properties":{"noteIndex":0},"schema":"https://github.com/citation-style-language/schema/raw/master/csl-citation.json"}</w:instrText>
      </w:r>
      <w:r w:rsidR="00B177E4" w:rsidRPr="001C4D50">
        <w:rPr>
          <w:color w:val="2B579A"/>
        </w:rPr>
        <w:fldChar w:fldCharType="separate"/>
      </w:r>
      <w:r w:rsidR="00C8414E" w:rsidRPr="001C4D50">
        <w:rPr>
          <w:noProof/>
        </w:rPr>
        <w:t>[72,73]</w:t>
      </w:r>
      <w:r w:rsidR="00B177E4" w:rsidRPr="001C4D50">
        <w:rPr>
          <w:color w:val="2B579A"/>
        </w:rPr>
        <w:fldChar w:fldCharType="end"/>
      </w:r>
      <w:r w:rsidR="00F21D02" w:rsidRPr="001C4D50">
        <w:t>.</w:t>
      </w:r>
      <w:r w:rsidR="00963F6E" w:rsidRPr="001C4D50">
        <w:t xml:space="preserve"> </w:t>
      </w:r>
      <w:r w:rsidR="00665CA2" w:rsidRPr="001C4D50">
        <w:rPr>
          <w:rFonts w:cstheme="minorHAnsi"/>
        </w:rPr>
        <w:t xml:space="preserve">However, it is difficult to validate these models and quantify their relevance to the development of OA in man, which tends to develop much slower and over many years. </w:t>
      </w:r>
    </w:p>
    <w:p w14:paraId="43866564" w14:textId="77777777" w:rsidR="00207344" w:rsidRPr="001C4D50" w:rsidRDefault="00207344" w:rsidP="00960366">
      <w:pPr>
        <w:rPr>
          <w:rFonts w:cstheme="minorHAnsi"/>
        </w:rPr>
      </w:pPr>
    </w:p>
    <w:p w14:paraId="1F44C2BC" w14:textId="2C3A353B" w:rsidR="00207344" w:rsidRPr="001C4D50" w:rsidRDefault="00207344" w:rsidP="00960366">
      <w:r w:rsidRPr="001C4D50">
        <w:t>Typically</w:t>
      </w:r>
      <w:r w:rsidR="00EF7B4E" w:rsidRPr="001C4D50">
        <w:t>,</w:t>
      </w:r>
      <w:r w:rsidRPr="001C4D50">
        <w:t xml:space="preserve"> in order to progress a novel therapy from bench-to-bedside, it needs to undergo safety and efficacy testing in pre-clinical models, </w:t>
      </w:r>
      <w:r w:rsidR="00164382" w:rsidRPr="001C4D50">
        <w:t>often</w:t>
      </w:r>
      <w:r w:rsidR="00552691" w:rsidRPr="001C4D50">
        <w:t xml:space="preserve"> to fulfil regulatory requirement for </w:t>
      </w:r>
      <w:r w:rsidR="00E37D24" w:rsidRPr="001C4D50">
        <w:t xml:space="preserve">licensing by, for example, the MHRA or </w:t>
      </w:r>
      <w:r w:rsidR="00EF7B4E" w:rsidRPr="001C4D50">
        <w:t xml:space="preserve">the </w:t>
      </w:r>
      <w:r w:rsidR="00E37D24" w:rsidRPr="001C4D50">
        <w:t>Federal and Drug Administration (FDA)</w:t>
      </w:r>
      <w:r w:rsidRPr="001C4D50">
        <w:t>.</w:t>
      </w:r>
      <w:r w:rsidR="00E37D24" w:rsidRPr="001C4D50">
        <w:t xml:space="preserve"> </w:t>
      </w:r>
      <w:r w:rsidRPr="001C4D50">
        <w:t>Both small and large animal models have been developed and used to investigate the pathogenesis of cartilage defects and OA, for example the joint surface injury model in mice</w:t>
      </w:r>
      <w:r w:rsidR="00E37D24" w:rsidRPr="001C4D50">
        <w:t xml:space="preserve"> </w:t>
      </w:r>
      <w:r w:rsidRPr="001C4D50">
        <w:rPr>
          <w:color w:val="2B579A"/>
        </w:rPr>
        <w:fldChar w:fldCharType="begin" w:fldLock="1"/>
      </w:r>
      <w:r w:rsidR="00C8414E" w:rsidRPr="001C4D50">
        <w:instrText>ADDIN CSL_CITATION {"citationItems":[{"id":"ITEM-1","itemData":{"ISBN":"2041-1723","ISSN":"20411723","PMID":"28508891","abstract":"The stem cells that maintain and repair adult joint tissues in mammals, including articular cartilage, remain incompletely defined. Here the authors perform lineage tracing studies in adult mice and find an ontogenetically defined progenitor cell population that is functional in the synovial joint and distinct from previously reported mesenchymal stem cell populations.","author":[{"dropping-particle":"","family":"Roelofs","given":"Anke J","non-dropping-particle":"","parse-names":false,"suffix":""},{"dropping-particle":"","family":"Zupan","given":"Janja","non-dropping-particle":"","parse-names":false,"suffix":""},{"dropping-particle":"","family":"Riemen","given":"Anna H K","non-dropping-particle":"","parse-names":false,"suffix":""},{"dropping-particle":"","family":"Kania","given":"Karolina","non-dropping-particle":"","parse-names":false,"suffix":""},{"dropping-particle":"","family":"Ansboro","given":"Sharon","non-dropping-particle":"","parse-names":false,"suffix":""},{"dropping-particle":"","family":"White","given":"Nathan","non-dropping-particle":"","parse-names":false,"suffix":""},{"dropping-particle":"","family":"Clark","given":"Susan M","non-dropping-particle":"","parse-names":false,"suffix":""},{"dropping-particle":"","family":"Bari","given":"Cosimo","non-dropping-particle":"De","parse-names":false,"suffix":""}],"container-title":"Nature Communications","id":"ITEM-1","issue":"May","issued":{"date-parts":[["2017"]]},"page":"1-14","publisher":"Nature Publishing Group","title":"Joint morphogenetic cells in the adult mammalian synovium","type":"article-journal","volume":"8"},"uris":["http://www.mendeley.com/documents/?uuid=b6d59730-9466-4fe9-81a5-748203de8c89"]}],"mendeley":{"formattedCitation":"[74]","plainTextFormattedCitation":"[74]","previouslyFormattedCitation":"[73]"},"properties":{"noteIndex":0},"schema":"https://github.com/citation-style-language/schema/raw/master/csl-citation.json"}</w:instrText>
      </w:r>
      <w:r w:rsidRPr="001C4D50">
        <w:rPr>
          <w:color w:val="2B579A"/>
        </w:rPr>
        <w:fldChar w:fldCharType="separate"/>
      </w:r>
      <w:r w:rsidR="00C8414E" w:rsidRPr="001C4D50">
        <w:rPr>
          <w:noProof/>
        </w:rPr>
        <w:t>[74]</w:t>
      </w:r>
      <w:r w:rsidRPr="001C4D50">
        <w:rPr>
          <w:color w:val="2B579A"/>
        </w:rPr>
        <w:fldChar w:fldCharType="end"/>
      </w:r>
      <w:r w:rsidRPr="001C4D50">
        <w:t xml:space="preserve"> and </w:t>
      </w:r>
      <w:r w:rsidR="00164382" w:rsidRPr="001C4D50">
        <w:t xml:space="preserve">the </w:t>
      </w:r>
      <w:r w:rsidR="006244E8" w:rsidRPr="001C4D50">
        <w:t>OA</w:t>
      </w:r>
      <w:r w:rsidRPr="001C4D50">
        <w:t xml:space="preserve"> induction model in sheep</w:t>
      </w:r>
      <w:r w:rsidR="00F0104E" w:rsidRPr="001C4D50">
        <w:t xml:space="preserve"> </w:t>
      </w:r>
      <w:r w:rsidRPr="001C4D50">
        <w:rPr>
          <w:color w:val="2B579A"/>
        </w:rPr>
        <w:fldChar w:fldCharType="begin" w:fldLock="1"/>
      </w:r>
      <w:r w:rsidR="00C8414E" w:rsidRPr="001C4D50">
        <w:instrText>ADDIN CSL_CITATION {"citationItems":[{"id":"ITEM-1","itemData":{"DOI":"10.1002/jor.23790","ISSN":"1554527X","PMID":"29087600","abstract":"Many potential treatments for orthopedic disease fail at the animal to human translational hurdle. One reason for this failure is that the majority of pre-clinical outcome measurements emphasize structural changes, such as gross morphology and histology, and do not address pain or its alleviation, which is a key component of treatment success in man. With increasing emphasis on “patient reported outcome measurements (PROM)” in clinical practice, in this study we have used two different telemetric methods (geolocation and Fitbark activity trackers, Kansas City, MO) to measure movement behavior, i.e., an indirect PROM, in an ovine osteoarthritis induction and an osteochondral defect model performed in adult female Welsh Mountain sheep. This study demonstrates that both systems can be used to track movement and activity of experimental sheep before and after surgery and that the Geolocator system recorded a decrease in distance moved and activity at the end of the experimental period in both models. The Fitbark activity tracker also recorded significant alterations in movement behavior at the end of these studies and this method of recording showed a correlation between Fitbark data and radiography, macroscopic and histological scoring (well recognized outcome measurements), particularly in animals with large (10 mm) defects, i.e., more severe pathology. These results suggest that telemetry is able to track movement behavior in experimental sheep and that the methodology should be considered for inclusion in outcome measures in preclinical orthopedic research. ©2017 The Authors. Journal of Orthopaedic Research®Published by Wiley Periodicals, Inc. on behalf of Orthopaedic Research Society. J Orthop Res 36:1498–1507, 2018.","author":[{"dropping-particle":"","family":"Newell","given":"Karin","non-dropping-particle":"","parse-names":false,"suffix":""},{"dropping-particle":"","family":"Chitty","given":"Jose","non-dropping-particle":"","parse-names":false,"suffix":""},{"dropping-particle":"","family":"Henson","given":"Frances M","non-dropping-particle":"","parse-names":false,"suffix":""}],"container-title":"Journal of Orthopaedic Research","id":"ITEM-1","issue":"5","issued":{"date-parts":[["2018"]]},"page":"1498-1507","title":"“Patient reported outcomes” following experimental surgery—using telemetry to assess movement in experimental ovine models","type":"article-journal","volume":"36"},"uris":["http://www.mendeley.com/documents/?uuid=e87243ad-b4e4-48b3-84fe-f856a7a4f208"]}],"mendeley":{"formattedCitation":"[75]","plainTextFormattedCitation":"[75]","previouslyFormattedCitation":"[74]"},"properties":{"noteIndex":0},"schema":"https://github.com/citation-style-language/schema/raw/master/csl-citation.json"}</w:instrText>
      </w:r>
      <w:r w:rsidRPr="001C4D50">
        <w:rPr>
          <w:color w:val="2B579A"/>
        </w:rPr>
        <w:fldChar w:fldCharType="separate"/>
      </w:r>
      <w:r w:rsidR="00C8414E" w:rsidRPr="001C4D50">
        <w:rPr>
          <w:noProof/>
        </w:rPr>
        <w:t>[75]</w:t>
      </w:r>
      <w:r w:rsidRPr="001C4D50">
        <w:rPr>
          <w:color w:val="2B579A"/>
        </w:rPr>
        <w:fldChar w:fldCharType="end"/>
      </w:r>
      <w:r w:rsidRPr="001C4D50">
        <w:t>. Choosing the most appropriate animal model depends on the following: the duration, objective and type of study (as different animals enter skeletal maturity at different ages, have different gestation periods and life-spans), outcome measures, ease of handling, treatment and maintenance costs. Furthermore, different regulatory approvals are required for different animal models and the genetics of the animal</w:t>
      </w:r>
      <w:r w:rsidR="00963F6E" w:rsidRPr="001C4D50">
        <w:t>s</w:t>
      </w:r>
      <w:r w:rsidRPr="001C4D50">
        <w:t xml:space="preserve"> also need to be considered. </w:t>
      </w:r>
      <w:r w:rsidR="0051482C" w:rsidRPr="001C4D50">
        <w:t>Hence various</w:t>
      </w:r>
      <w:r w:rsidRPr="001C4D50">
        <w:t xml:space="preserve"> models develop different types of cartilage injury to end-stage OA and have </w:t>
      </w:r>
      <w:r w:rsidR="0051482C" w:rsidRPr="001C4D50">
        <w:t>varying</w:t>
      </w:r>
      <w:r w:rsidRPr="001C4D50">
        <w:t xml:space="preserve"> repair capacities, e.g. rabbits have a high intrinsic repair capacity, whereas humans have a lack of intrinsic repair </w:t>
      </w:r>
      <w:r w:rsidRPr="001C4D50">
        <w:rPr>
          <w:color w:val="2B579A"/>
        </w:rPr>
        <w:fldChar w:fldCharType="begin" w:fldLock="1"/>
      </w:r>
      <w:r w:rsidR="00C8414E" w:rsidRPr="001C4D50">
        <w:instrText>ADDIN CSL_CITATION {"citationItems":[{"id":"ITEM-1","itemData":{"DOI":"10.1177/1947603511401905","ISBN":"1947-6035$\\$n1947-6043","ISSN":"1947-6035","PMID":"26069576","abstract":"Investigational devices for articular cartilage repair or replacement are considered to be significant risk devices by regulatory bodies. Therefore animal models are needed to provide proof of efficacy and safety prior to clinical testing. The financial commitment and regulatory steps needed to bring a new technology to clinical use can be major obstacles, so the implementation of highly predictive animal models is a pressing issue. Until recently, a reductionist approach using acute chondral defects in immature laboratory species, particularly the rabbit, was considered adequate; however, if successful and timely translation from animal models to regulatory approval and clinical use is the goal, a step-wise development using laboratory animals for screening and early development work followed by larger species such as the goat, sheep and horse for late development and pivotal studies is recommended. Such animals must have fully organized and mature cartilage. Both acute and chronic chondral defects can be used but the later are more like the lesions found in patients and may be more predictive. Quantitative and qualitative outcome measures such as macroscopic appearance, histology, biochemistry, functional imaging, and biomechanical testing of cartilage, provide reliable data to support investment decisions and subsequent applications to regulatory bodies for clinical trials. No one model or species can be considered ideal for pivotal studies, but the larger animal species are recommended for pivotal studies. Larger species such as the horse, goat and pig also allow arthroscopic delivery, and press-fit or sutured implant fixation in thick cartilage as well as second look arthroscopies","author":[{"dropping-particle":"","family":"Hurtig","given":"M B","non-dropping-particle":"","parse-names":false,"suffix":""},{"dropping-particle":"","family":"Buschmann","given":"M D","non-dropping-particle":"","parse-names":false,"suffix":""},{"dropping-particle":"","family":"Fortier","given":"L a.","non-dropping-particle":"","parse-names":false,"suffix":""},{"dropping-particle":"","family":"Hoemann","given":"C D","non-dropping-particle":"","parse-names":false,"suffix":""},{"dropping-particle":"","family":"Hunziker","given":"E B","non-dropping-particle":"","parse-names":false,"suffix":""},{"dropping-particle":"","family":"Jurvelin","given":"J S","non-dropping-particle":"","parse-names":false,"suffix":""},{"dropping-particle":"","family":"Mainil-Varlet","given":"P","non-dropping-particle":"","parse-names":false,"suffix":""},{"dropping-particle":"","family":"McIlwraith","given":"C W","non-dropping-particle":"","parse-names":false,"suffix":""},{"dropping-particle":"","family":"Sah","given":"R L","non-dropping-particle":"","parse-names":false,"suffix":""},{"dropping-particle":"","family":"Whiteside","given":"R a.","non-dropping-particle":"","parse-names":false,"suffix":""}],"container-title":"Cartilage","id":"ITEM-1","issue":"2","issued":{"date-parts":[["2011"]]},"page":"137-152","title":"Preclinical Studies for Cartilage Repair: Recommendations from the International Cartilage Repair Society","type":"article-journal","volume":"2"},"uris":["http://www.mendeley.com/documents/?uuid=22e459b9-90c2-4d47-94d9-a8fdb83f49b2"]}],"mendeley":{"formattedCitation":"[76]","plainTextFormattedCitation":"[76]","previouslyFormattedCitation":"[75]"},"properties":{"noteIndex":0},"schema":"https://github.com/citation-style-language/schema/raw/master/csl-citation.json"}</w:instrText>
      </w:r>
      <w:r w:rsidRPr="001C4D50">
        <w:rPr>
          <w:color w:val="2B579A"/>
        </w:rPr>
        <w:fldChar w:fldCharType="separate"/>
      </w:r>
      <w:r w:rsidR="00C8414E" w:rsidRPr="001C4D50">
        <w:rPr>
          <w:noProof/>
        </w:rPr>
        <w:t>[76]</w:t>
      </w:r>
      <w:r w:rsidRPr="001C4D50">
        <w:rPr>
          <w:color w:val="2B579A"/>
        </w:rPr>
        <w:fldChar w:fldCharType="end"/>
      </w:r>
      <w:r w:rsidRPr="001C4D50">
        <w:t>. It is therefore advisable for researchers focusing on pre-clinical models to consult and consider the key design queries outlined in the Design and Execution of Protocols for Animal Research and Treatment (DEPART), prior to experimental start-up as well as during and after the experimental procedure</w:t>
      </w:r>
      <w:r w:rsidR="00F0104E" w:rsidRPr="001C4D50">
        <w:t xml:space="preserve"> </w:t>
      </w:r>
      <w:r w:rsidRPr="001C4D50">
        <w:rPr>
          <w:color w:val="2B579A"/>
        </w:rPr>
        <w:fldChar w:fldCharType="begin" w:fldLock="1"/>
      </w:r>
      <w:r w:rsidR="00C8414E" w:rsidRPr="001C4D50">
        <w:instrText>ADDIN CSL_CITATION {"citationItems":[{"id":"ITEM-1","itemData":{"author":[{"dropping-particle":"","family":"Smith","given":"M M","non-dropping-particle":"","parse-names":false,"suffix":""},{"dropping-particle":"","family":"Clarke","given":"E C","non-dropping-particle":"","parse-names":false,"suffix":""},{"dropping-particle":"","family":"Little","given":"C B","non-dropping-particle":"","parse-names":false,"suffix":""}],"container-title":"Osteoarthritis and Cartilage","id":"ITEM-1","issue":"3","issued":{"date-parts":[["2017"]]},"page":"354-363","title":"Considerations for the design and execution of protocols for animal research and treatment to improve reproducibility and standardization: “DEPART well-prepared and ARRIVE safely”","type":"article-journal","volume":"25"},"uris":["http://www.mendeley.com/documents/?uuid=fa2e817e-5ef9-4b40-a801-5644bc350fec"]}],"mendeley":{"formattedCitation":"[77]","plainTextFormattedCitation":"[77]","previouslyFormattedCitation":"[76]"},"properties":{"noteIndex":0},"schema":"https://github.com/citation-style-language/schema/raw/master/csl-citation.json"}</w:instrText>
      </w:r>
      <w:r w:rsidRPr="001C4D50">
        <w:rPr>
          <w:color w:val="2B579A"/>
        </w:rPr>
        <w:fldChar w:fldCharType="separate"/>
      </w:r>
      <w:r w:rsidR="00C8414E" w:rsidRPr="001C4D50">
        <w:rPr>
          <w:noProof/>
        </w:rPr>
        <w:t>[77]</w:t>
      </w:r>
      <w:r w:rsidRPr="001C4D50">
        <w:rPr>
          <w:color w:val="2B579A"/>
        </w:rPr>
        <w:fldChar w:fldCharType="end"/>
      </w:r>
      <w:r w:rsidRPr="001C4D50">
        <w:t>.</w:t>
      </w:r>
    </w:p>
    <w:p w14:paraId="5810EEF9" w14:textId="12B0B40D" w:rsidR="00AF6AB7" w:rsidRPr="001C4D50" w:rsidRDefault="00AF6AB7" w:rsidP="00960366"/>
    <w:p w14:paraId="629EDFAE" w14:textId="566EEE3F" w:rsidR="000B5894" w:rsidRPr="001C4D50" w:rsidRDefault="009156A7" w:rsidP="00960366">
      <w:pPr>
        <w:rPr>
          <w:rFonts w:cstheme="minorHAnsi"/>
          <w:b/>
          <w:u w:val="single"/>
        </w:rPr>
      </w:pPr>
      <w:r w:rsidRPr="001C4D50">
        <w:rPr>
          <w:rFonts w:cstheme="minorHAnsi"/>
          <w:b/>
          <w:u w:val="single"/>
        </w:rPr>
        <w:t xml:space="preserve">Clinical Trials using </w:t>
      </w:r>
      <w:r w:rsidR="005921F8" w:rsidRPr="001C4D50">
        <w:rPr>
          <w:rFonts w:cstheme="minorHAnsi"/>
          <w:b/>
          <w:u w:val="single"/>
        </w:rPr>
        <w:t xml:space="preserve">Culture Expanded </w:t>
      </w:r>
      <w:r w:rsidR="000B5894" w:rsidRPr="001C4D50">
        <w:rPr>
          <w:rFonts w:cstheme="minorHAnsi"/>
          <w:b/>
          <w:u w:val="single"/>
        </w:rPr>
        <w:t>MSCs</w:t>
      </w:r>
    </w:p>
    <w:p w14:paraId="7BCD04C3" w14:textId="77777777" w:rsidR="006244E8" w:rsidRPr="001C4D50" w:rsidRDefault="006244E8" w:rsidP="00960366">
      <w:pPr>
        <w:rPr>
          <w:rFonts w:cstheme="minorHAnsi"/>
          <w:b/>
          <w:u w:val="single"/>
        </w:rPr>
      </w:pPr>
    </w:p>
    <w:p w14:paraId="2175E63D" w14:textId="05F90115" w:rsidR="00B21B6B" w:rsidRPr="001C4D50" w:rsidRDefault="000B5894" w:rsidP="00960366">
      <w:r w:rsidRPr="001C4D50">
        <w:t>Culture expanded</w:t>
      </w:r>
      <w:r w:rsidR="00963F6E" w:rsidRPr="001C4D50">
        <w:t xml:space="preserve"> </w:t>
      </w:r>
      <w:r w:rsidRPr="001C4D50">
        <w:t>MSCs sourced from the bone marrow, adipose tissues and umbilical cords represent the second most commonly used cell type in clinical cartilage repair strategies</w:t>
      </w:r>
      <w:r w:rsidR="00164382" w:rsidRPr="001C4D50">
        <w:t>. They have been utilised</w:t>
      </w:r>
      <w:r w:rsidRPr="001C4D50">
        <w:t xml:space="preserve"> for the treatment of </w:t>
      </w:r>
      <w:r w:rsidR="00164382" w:rsidRPr="001C4D50">
        <w:t>isolated</w:t>
      </w:r>
      <w:r w:rsidRPr="001C4D50">
        <w:t xml:space="preserve"> cartilage defects, </w:t>
      </w:r>
      <w:r w:rsidR="00164382" w:rsidRPr="001C4D50">
        <w:t>as well as in the treatment of early to moderate</w:t>
      </w:r>
      <w:r w:rsidRPr="001C4D50">
        <w:t xml:space="preserve"> OA. </w:t>
      </w:r>
      <w:r w:rsidR="00164382" w:rsidRPr="001C4D50">
        <w:t xml:space="preserve">MSCs have been in clinical use for a relatively short period of time, consequently the available body of evidence supporting their use is significantly less </w:t>
      </w:r>
      <w:r w:rsidRPr="001C4D50">
        <w:t xml:space="preserve">compared </w:t>
      </w:r>
      <w:r w:rsidR="00A75C7F" w:rsidRPr="001C4D50">
        <w:t>with</w:t>
      </w:r>
      <w:r w:rsidRPr="001C4D50">
        <w:t xml:space="preserve"> </w:t>
      </w:r>
      <w:r w:rsidR="00164382" w:rsidRPr="001C4D50">
        <w:t xml:space="preserve">that for </w:t>
      </w:r>
      <w:r w:rsidRPr="001C4D50">
        <w:t>chondrocytes</w:t>
      </w:r>
      <w:r w:rsidR="00164382" w:rsidRPr="001C4D50">
        <w:t>.</w:t>
      </w:r>
      <w:r w:rsidRPr="001C4D50">
        <w:t xml:space="preserve"> </w:t>
      </w:r>
      <w:proofErr w:type="spellStart"/>
      <w:r w:rsidR="00164382" w:rsidRPr="001C4D50">
        <w:t>Wakitani</w:t>
      </w:r>
      <w:proofErr w:type="spellEnd"/>
      <w:r w:rsidR="00164382" w:rsidRPr="001C4D50">
        <w:t xml:space="preserve"> in 2002 </w:t>
      </w:r>
      <w:r w:rsidR="00164382" w:rsidRPr="001C4D50">
        <w:rPr>
          <w:color w:val="2B579A"/>
          <w:shd w:val="clear" w:color="auto" w:fill="E6E6E6"/>
        </w:rPr>
        <w:fldChar w:fldCharType="begin" w:fldLock="1"/>
      </w:r>
      <w:r w:rsidR="00C8414E" w:rsidRPr="001C4D50">
        <w:instrText>ADDIN CSL_CITATION {"citationItems":[{"id":"ITEM-1","itemData":{"DOI":"10.1053/joca.2001.0504","ISBN":"8126337265","ISSN":"10634584","PMID":"11869080","abstract":"Objective: There is no widely accepted method to repair articular cartilage defects. Bone marrow mesenchymal cells have the potential to differentiate into bone, cartilage, fat and muscle. Bone marrow mesenchymal cell transplantation is easy to use clinically because cells can be easily obtained and can be multiplied without losing their capacity of differentiation. The objective of this study was to apply these cell transplantations to repair human articular cartilage defects in osteoarthritic knee joints. Design: Twenty-four knees of 24 patients with knee osteoarthritis (OA) who underwent a high tibial osteotomy comprised the study group. Adherent cells in bone marrow aspirates were culture expanded, embedded in collagen gel, transplanted into the articular cartilage defect in the medial femoral condyle and covered with autologous periosteum at the time of 12 high tibial osteotomies. The other 12 subjects served as cell-free controls. Results: In the cell-transplanted group, as early as 6.3 weeks after transplantation the defects were covered with white to pink soft tissue, in which metachromasia was partially observed. Forty-two weeks after transplantation, the defects were covered with white soft tissue, in which metachromasia was observed in almost all areas of the sampled tissue and hyaline cartilage-like tissue was partially observed. Although the clinical improvement was not significantly different, the arthroscopic and histological grading score was better in the cell-transplanted group than in the cell-free control group. Conclusions: This procedure highlights the availability of autologous culture expanded bone marrow mesenchymal cell transplantation for the repair of articular cartilage defects in humans. © 2002 OsteoArthritis Research Society International.","author":[{"dropping-particle":"","family":"Wakitani","given":"S.","non-dropping-particle":"","parse-names":false,"suffix":""},{"dropping-particle":"","family":"Imoto","given":"K.","non-dropping-particle":"","parse-names":false,"suffix":""},{"dropping-particle":"","family":"Yamamoto","given":"T.","non-dropping-particle":"","parse-names":false,"suffix":""},{"dropping-particle":"","family":"Saito","given":"M.","non-dropping-particle":"","parse-names":false,"suffix":""},{"dropping-particle":"","family":"Murata","given":"N.","non-dropping-particle":"","parse-names":false,"suffix":""},{"dropping-particle":"","family":"Yoneda","given":"M.","non-dropping-particle":"","parse-names":false,"suffix":""}],"container-title":"Osteoarthritis and Cartilage","id":"ITEM-1","issue":"3","issued":{"date-parts":[["2002"]]},"page":"199-206","title":"Human autologous culture expanded bone marrow-mesenchymal cell transplantation for repair of cartilage defects in osteoarthritic knees","type":"article-journal","volume":"10"},"uris":["http://www.mendeley.com/documents/?uuid=d0a16575-a648-44a2-9605-b5aea7954ddc"]}],"mendeley":{"formattedCitation":"[78]","plainTextFormattedCitation":"[78]","previouslyFormattedCitation":"[77]"},"properties":{"noteIndex":0},"schema":"https://github.com/citation-style-language/schema/raw/master/csl-citation.json"}</w:instrText>
      </w:r>
      <w:r w:rsidR="00164382" w:rsidRPr="001C4D50">
        <w:rPr>
          <w:color w:val="2B579A"/>
          <w:shd w:val="clear" w:color="auto" w:fill="E6E6E6"/>
        </w:rPr>
        <w:fldChar w:fldCharType="separate"/>
      </w:r>
      <w:r w:rsidR="00C8414E" w:rsidRPr="001C4D50">
        <w:rPr>
          <w:noProof/>
        </w:rPr>
        <w:t>[78]</w:t>
      </w:r>
      <w:r w:rsidR="00164382" w:rsidRPr="001C4D50">
        <w:rPr>
          <w:color w:val="2B579A"/>
          <w:shd w:val="clear" w:color="auto" w:fill="E6E6E6"/>
        </w:rPr>
        <w:fldChar w:fldCharType="end"/>
      </w:r>
      <w:r w:rsidR="00164382" w:rsidRPr="001C4D50">
        <w:t xml:space="preserve"> was the first to report the results of </w:t>
      </w:r>
      <w:r w:rsidRPr="001C4D50">
        <w:t xml:space="preserve">high </w:t>
      </w:r>
      <w:proofErr w:type="spellStart"/>
      <w:r w:rsidRPr="001C4D50">
        <w:t>tibial</w:t>
      </w:r>
      <w:proofErr w:type="spellEnd"/>
      <w:r w:rsidRPr="001C4D50">
        <w:t xml:space="preserve"> osteotomy with or without </w:t>
      </w:r>
      <w:r w:rsidR="02169604" w:rsidRPr="001C4D50">
        <w:t>BM-</w:t>
      </w:r>
      <w:r w:rsidRPr="001C4D50">
        <w:t>MSC-transplantation</w:t>
      </w:r>
      <w:r w:rsidR="00164382" w:rsidRPr="001C4D50">
        <w:t xml:space="preserve"> in 23 patients with OA. He</w:t>
      </w:r>
      <w:r w:rsidRPr="001C4D50">
        <w:t xml:space="preserve"> found that in the MSC treated group, </w:t>
      </w:r>
      <w:r w:rsidR="00164382" w:rsidRPr="001C4D50">
        <w:t xml:space="preserve">arthroscopic and histological scores were improved at around 42 weeks </w:t>
      </w:r>
      <w:r w:rsidRPr="001C4D50">
        <w:t xml:space="preserve">although clinical improvements were not significantly </w:t>
      </w:r>
      <w:r w:rsidR="00164382" w:rsidRPr="001C4D50">
        <w:t xml:space="preserve">different between </w:t>
      </w:r>
      <w:r w:rsidRPr="001C4D50">
        <w:t>group</w:t>
      </w:r>
      <w:r w:rsidR="00164382" w:rsidRPr="001C4D50">
        <w:t>s</w:t>
      </w:r>
      <w:r w:rsidR="00F0104E" w:rsidRPr="001C4D50">
        <w:t xml:space="preserve"> </w:t>
      </w:r>
      <w:r w:rsidRPr="001C4D50">
        <w:rPr>
          <w:color w:val="2B579A"/>
          <w:shd w:val="clear" w:color="auto" w:fill="E6E6E6"/>
        </w:rPr>
        <w:fldChar w:fldCharType="begin" w:fldLock="1"/>
      </w:r>
      <w:r w:rsidR="00C8414E" w:rsidRPr="001C4D50">
        <w:instrText>ADDIN CSL_CITATION {"citationItems":[{"id":"ITEM-1","itemData":{"DOI":"10.1053/joca.2001.0504","ISBN":"8126337265","ISSN":"10634584","PMID":"11869080","abstract":"Objective: There is no widely accepted method to repair articular cartilage defects. Bone marrow mesenchymal cells have the potential to differentiate into bone, cartilage, fat and muscle. Bone marrow mesenchymal cell transplantation is easy to use clinically because cells can be easily obtained and can be multiplied without losing their capacity of differentiation. The objective of this study was to apply these cell transplantations to repair human articular cartilage defects in osteoarthritic knee joints. Design: Twenty-four knees of 24 patients with knee osteoarthritis (OA) who underwent a high tibial osteotomy comprised the study group. Adherent cells in bone marrow aspirates were culture expanded, embedded in collagen gel, transplanted into the articular cartilage defect in the medial femoral condyle and covered with autologous periosteum at the time of 12 high tibial osteotomies. The other 12 subjects served as cell-free controls. Results: In the cell-transplanted group, as early as 6.3 weeks after transplantation the defects were covered with white to pink soft tissue, in which metachromasia was partially observed. Forty-two weeks after transplantation, the defects were covered with white soft tissue, in which metachromasia was observed in almost all areas of the sampled tissue and hyaline cartilage-like tissue was partially observed. Although the clinical improvement was not significantly different, the arthroscopic and histological grading score was better in the cell-transplanted group than in the cell-free control group. Conclusions: This procedure highlights the availability of autologous culture expanded bone marrow mesenchymal cell transplantation for the repair of articular cartilage defects in humans. © 2002 OsteoArthritis Research Society International.","author":[{"dropping-particle":"","family":"Wakitani","given":"S.","non-dropping-particle":"","parse-names":false,"suffix":""},{"dropping-particle":"","family":"Imoto","given":"K.","non-dropping-particle":"","parse-names":false,"suffix":""},{"dropping-particle":"","family":"Yamamoto","given":"T.","non-dropping-particle":"","parse-names":false,"suffix":""},{"dropping-particle":"","family":"Saito","given":"M.","non-dropping-particle":"","parse-names":false,"suffix":""},{"dropping-particle":"","family":"Murata","given":"N.","non-dropping-particle":"","parse-names":false,"suffix":""},{"dropping-particle":"","family":"Yoneda","given":"M.","non-dropping-particle":"","parse-names":false,"suffix":""}],"container-title":"Osteoarthritis and Cartilage","id":"ITEM-1","issue":"3","issued":{"date-parts":[["2002"]]},"page":"199-206","title":"Human autologous culture expanded bone marrow-mesenchymal cell transplantation for repair of cartilage defects in osteoarthritic knees","type":"article-journal","volume":"10"},"uris":["http://www.mendeley.com/documents/?uuid=d0a16575-a648-44a2-9605-b5aea7954ddc"]}],"mendeley":{"formattedCitation":"[78]","plainTextFormattedCitation":"[78]","previouslyFormattedCitation":"[77]"},"properties":{"noteIndex":0},"schema":"https://github.com/citation-style-language/schema/raw/master/csl-citation.json"}</w:instrText>
      </w:r>
      <w:r w:rsidRPr="001C4D50">
        <w:rPr>
          <w:color w:val="2B579A"/>
          <w:shd w:val="clear" w:color="auto" w:fill="E6E6E6"/>
        </w:rPr>
        <w:fldChar w:fldCharType="separate"/>
      </w:r>
      <w:r w:rsidR="00C8414E" w:rsidRPr="001C4D50">
        <w:rPr>
          <w:noProof/>
        </w:rPr>
        <w:t>[78]</w:t>
      </w:r>
      <w:r w:rsidRPr="001C4D50">
        <w:rPr>
          <w:color w:val="2B579A"/>
          <w:shd w:val="clear" w:color="auto" w:fill="E6E6E6"/>
        </w:rPr>
        <w:fldChar w:fldCharType="end"/>
      </w:r>
      <w:r w:rsidRPr="001C4D50">
        <w:t xml:space="preserve">. </w:t>
      </w:r>
    </w:p>
    <w:p w14:paraId="1F6895D2" w14:textId="77777777" w:rsidR="00B21B6B" w:rsidRPr="001C4D50" w:rsidRDefault="00B21B6B" w:rsidP="00960366"/>
    <w:p w14:paraId="6B87E56F" w14:textId="00667426" w:rsidR="009015FD" w:rsidRPr="001C4D50" w:rsidRDefault="009015FD" w:rsidP="00960366">
      <w:pPr>
        <w:autoSpaceDE w:val="0"/>
        <w:autoSpaceDN w:val="0"/>
        <w:adjustRightInd w:val="0"/>
        <w:rPr>
          <w:rFonts w:cstheme="minorHAnsi"/>
        </w:rPr>
      </w:pPr>
      <w:r w:rsidRPr="001C4D50">
        <w:rPr>
          <w:rFonts w:cstheme="minorHAnsi"/>
        </w:rPr>
        <w:t xml:space="preserve">A systematic review of 17 studies of the application of intra-articular MSCs for cartilage repair and OA (11 with culture expanded cells and 6 not) is fairly critical of the quality of trials and studies in this area, concluding that whilst benefit has been demonstrated in the short term in some cases, the evidence is limited and there is a need for further high quality studies with long-term follow-up to validate the clinical efficacy of MSC therapy in knee OA </w:t>
      </w:r>
      <w:r w:rsidR="00A15DCF" w:rsidRPr="001C4D50">
        <w:rPr>
          <w:rFonts w:cstheme="minorHAnsi"/>
        </w:rPr>
        <w:fldChar w:fldCharType="begin" w:fldLock="1"/>
      </w:r>
      <w:r w:rsidR="00C8414E" w:rsidRPr="001C4D50">
        <w:rPr>
          <w:rFonts w:cstheme="minorHAnsi"/>
        </w:rPr>
        <w:instrText>ADDIN CSL_CITATION {"citationItems":[{"id":"ITEM-1","itemData":{"DOI":"10.1016/j.arthro.2018.07.028","ISSN":"0749-8063","author":[{"dropping-particle":"","family":"Ha","given":"Chul-Won","non-dropping-particle":"","parse-names":false,"suffix":""},{"dropping-particle":"","family":"Park","given":"Yong-Beom","non-dropping-particle":"","parse-names":false,"suffix":""},{"dropping-particle":"","family":"Kim","given":"Seong Hwan","non-dropping-particle":"","parse-names":false,"suffix":""},{"dropping-particle":"","family":"Lee","given":"Han-Jun","non-dropping-particle":"","parse-names":false,"suffix":""}],"container-title":"Arthroscopy","id":"ITEM-1","issue":"1","issued":{"date-parts":[["2019","1","1"]]},"note":"doi: 10.1016/j.arthro.2018.07.028","page":"277-288.e2","publisher":"Elsevier","title":"Intra-articular Mesenchymal Stem Cells in Osteoarthritis of the Knee: A Systematic Review of Clinical Outcomes and Evidence of Cartilage Repair","type":"article-journal","volume":"35"},"uris":["http://www.mendeley.com/documents/?uuid=f8b343b6-88b5-40d8-ae90-17baf994ddf6"]}],"mendeley":{"formattedCitation":"[79]","plainTextFormattedCitation":"[79]","previouslyFormattedCitation":"[78]"},"properties":{"noteIndex":0},"schema":"https://github.com/citation-style-language/schema/raw/master/csl-citation.json"}</w:instrText>
      </w:r>
      <w:r w:rsidR="00A15DCF" w:rsidRPr="001C4D50">
        <w:rPr>
          <w:rFonts w:cstheme="minorHAnsi"/>
        </w:rPr>
        <w:fldChar w:fldCharType="separate"/>
      </w:r>
      <w:r w:rsidR="00C8414E" w:rsidRPr="001C4D50">
        <w:rPr>
          <w:rFonts w:cstheme="minorHAnsi"/>
          <w:noProof/>
        </w:rPr>
        <w:t>[79]</w:t>
      </w:r>
      <w:r w:rsidR="00A15DCF" w:rsidRPr="001C4D50">
        <w:rPr>
          <w:rFonts w:cstheme="minorHAnsi"/>
        </w:rPr>
        <w:fldChar w:fldCharType="end"/>
      </w:r>
      <w:r w:rsidRPr="001C4D50">
        <w:rPr>
          <w:rFonts w:cstheme="minorHAnsi"/>
        </w:rPr>
        <w:t xml:space="preserve">. </w:t>
      </w:r>
    </w:p>
    <w:p w14:paraId="4DC5675B" w14:textId="77777777" w:rsidR="009015FD" w:rsidRPr="001C4D50" w:rsidRDefault="009015FD" w:rsidP="00960366">
      <w:pPr>
        <w:autoSpaceDE w:val="0"/>
        <w:autoSpaceDN w:val="0"/>
        <w:adjustRightInd w:val="0"/>
      </w:pPr>
    </w:p>
    <w:p w14:paraId="03F80B67" w14:textId="57AB8756" w:rsidR="000B5894" w:rsidRPr="001C4D50" w:rsidRDefault="000B5894" w:rsidP="00960366">
      <w:r w:rsidRPr="001C4D50">
        <w:t>A</w:t>
      </w:r>
      <w:r w:rsidR="00B21B6B" w:rsidRPr="001C4D50">
        <w:t xml:space="preserve"> current</w:t>
      </w:r>
      <w:r w:rsidRPr="001C4D50">
        <w:t xml:space="preserve"> ongoing clinical trial (</w:t>
      </w:r>
      <w:hyperlink r:id="rId17" w:history="1">
        <w:r w:rsidR="005926F4" w:rsidRPr="001C4D50">
          <w:rPr>
            <w:rStyle w:val="Hyperlink"/>
          </w:rPr>
          <w:t>http://clinicaltrials.gov</w:t>
        </w:r>
      </w:hyperlink>
      <w:r w:rsidRPr="001C4D50">
        <w:t xml:space="preserve">: NCT03477942) is aiming to “evaluate the safety and tolerability of a single intra-articular injection of autologous </w:t>
      </w:r>
      <w:r w:rsidR="16FF5AE7" w:rsidRPr="001C4D50">
        <w:t>BM-</w:t>
      </w:r>
      <w:r w:rsidRPr="001C4D50">
        <w:t xml:space="preserve">MSCs in 16 subjects, 8 who have knee OA and 8 who have a focal chondral defect in the knee”. A </w:t>
      </w:r>
      <w:r w:rsidRPr="001C4D50">
        <w:lastRenderedPageBreak/>
        <w:t xml:space="preserve">published study of adipose derived MSCs injected into the knees of 24 patients with isolated cartilage lesions demonstrated improved International Knee Documentation Committee (IKDC), </w:t>
      </w:r>
      <w:proofErr w:type="spellStart"/>
      <w:r w:rsidRPr="001C4D50">
        <w:t>Tegner</w:t>
      </w:r>
      <w:proofErr w:type="spellEnd"/>
      <w:r w:rsidRPr="001C4D50">
        <w:t xml:space="preserve"> and MRI scores at 29 months</w:t>
      </w:r>
      <w:r w:rsidR="00F0104E" w:rsidRPr="001C4D50">
        <w:t xml:space="preserve"> </w:t>
      </w:r>
      <w:r w:rsidRPr="001C4D50">
        <w:rPr>
          <w:color w:val="2B579A"/>
          <w:shd w:val="clear" w:color="auto" w:fill="E6E6E6"/>
        </w:rPr>
        <w:fldChar w:fldCharType="begin" w:fldLock="1"/>
      </w:r>
      <w:r w:rsidR="00C8414E" w:rsidRPr="001C4D50">
        <w:instrText>ADDIN CSL_CITATION {"citationItems":[{"id":"ITEM-1","itemData":{"DOI":"10.1016/j.joca.2015.08.009","ISSN":"15229653","PMID":"26318655","abstract":"Objective: Cartilage regenerative procedures using the cell-based tissue engineering approach involving mesenchymal stem cells (MSCs) have been receiving increased interest because of their potential for altering the progression of osteoarthritis (OA) by repairing cartilage lesions.The aim of this study was to investigate the clinical and magnetic resonance imaging (MRI) outcomes of MSC implantation in OA knees and to determine the association between clinical and MRI outcomes. Design: Twenty patients (24 knees) who underwent arthroscopic MSC implantation for cartilage lesions in their OA knees were evaluated at 2 years after surgery. Clinical outcomes were evaluated according to the International Knee Documentation Committee (IKDC) score and the Tegner activity scale, and cartilage repair was assessed according to the MRI Osteoarthritis Knee Score (MOAKS) and Magnetic Resonance Observation of Cartilage Repair Tissue (MOCART) score. Results: The clinical outcomes significantly improved (P &lt; 0.001 for both). The cartilage lesion grades (as described in MOAKS [grades for size of cartilage-loss area and percentage of full-thickness cartilage loss]) at follow-up MRI were significantly better than the preoperative values (P &lt; 0.001 for both). The clinical outcomes at final follow-up were significantly correlated with the MOAKS and MOCART score at follow-up MRI (P &lt; 0.05 for all). Conclusions: Considering the encouraging clinical and MRI outcomes obtained and the significant correlations noted between the clinical and MRI outcomes, MSC implantation seems to be useful for repairing cartilage lesions in OA knees. However, a larger sample size and long-term studies are needed to confirm our findings.","author":[{"dropping-particle":"","family":"Kim","given":"Y. S.","non-dropping-particle":"","parse-names":false,"suffix":""},{"dropping-particle":"","family":"Choi","given":"Y. J.","non-dropping-particle":"","parse-names":false,"suffix":""},{"dropping-particle":"","family":"Lee","given":"S. W.","non-dropping-particle":"","parse-names":false,"suffix":""},{"dropping-particle":"","family":"Kwon","given":"O. R.","non-dropping-particle":"","parse-names":false,"suffix":""},{"dropping-particle":"","family":"Suh","given":"D. S.","non-dropping-particle":"","parse-names":false,"suffix":""},{"dropping-particle":"","family":"Heo","given":"D. B.","non-dropping-particle":"","parse-names":false,"suffix":""},{"dropping-particle":"","family":"Koh","given":"Y. G.","non-dropping-particle":"","parse-names":false,"suffix":""}],"container-title":"Osteoarthritis and Cartilage","id":"ITEM-1","issue":"2","issued":{"date-parts":[["2016"]]},"page":"237-245","publisher":"Elsevier Ltd","title":"Assessment of clinical and MRI outcomes after mesenchymal stem cell implantation in patients with knee osteoarthritis: A prospective study","type":"article-journal","volume":"24"},"uris":["http://www.mendeley.com/documents/?uuid=a6c663b5-db1f-4c16-92e6-2c9bc51beb51"]}],"mendeley":{"formattedCitation":"[80]","plainTextFormattedCitation":"[80]","previouslyFormattedCitation":"[79]"},"properties":{"noteIndex":0},"schema":"https://github.com/citation-style-language/schema/raw/master/csl-citation.json"}</w:instrText>
      </w:r>
      <w:r w:rsidRPr="001C4D50">
        <w:rPr>
          <w:color w:val="2B579A"/>
          <w:shd w:val="clear" w:color="auto" w:fill="E6E6E6"/>
        </w:rPr>
        <w:fldChar w:fldCharType="separate"/>
      </w:r>
      <w:r w:rsidR="00C8414E" w:rsidRPr="001C4D50">
        <w:rPr>
          <w:noProof/>
        </w:rPr>
        <w:t>[80]</w:t>
      </w:r>
      <w:r w:rsidRPr="001C4D50">
        <w:rPr>
          <w:color w:val="2B579A"/>
          <w:shd w:val="clear" w:color="auto" w:fill="E6E6E6"/>
        </w:rPr>
        <w:fldChar w:fldCharType="end"/>
      </w:r>
      <w:r w:rsidR="00FA717E" w:rsidRPr="001C4D50">
        <w:rPr>
          <w:rStyle w:val="CommentReference"/>
        </w:rPr>
        <w:t xml:space="preserve">. </w:t>
      </w:r>
      <w:r w:rsidRPr="001C4D50">
        <w:t>A new clinical trial aiming to “confirm cartilage regeneration through arthroscopy after a single administration of autologous adipose tissue derived mesenchymal stem cells (JOINTSTEM) in patients with degenerative arthritis” has also very recently been registered and is due to start recruiting in July 2021 (</w:t>
      </w:r>
      <w:hyperlink r:id="rId18" w:history="1">
        <w:r w:rsidR="005926F4" w:rsidRPr="001C4D50">
          <w:rPr>
            <w:rStyle w:val="Hyperlink"/>
          </w:rPr>
          <w:t>http://clinicaltrials.gov</w:t>
        </w:r>
      </w:hyperlink>
      <w:r w:rsidRPr="001C4D50">
        <w:t>: NCT04821102).</w:t>
      </w:r>
    </w:p>
    <w:p w14:paraId="0C41F3CD" w14:textId="77777777" w:rsidR="007C0D5B" w:rsidRPr="001C4D50" w:rsidRDefault="007C0D5B" w:rsidP="00960366"/>
    <w:p w14:paraId="5DDA3393" w14:textId="0DDC55C3" w:rsidR="000B5894" w:rsidRPr="001C4D50" w:rsidRDefault="000B5894" w:rsidP="00960366">
      <w:r w:rsidRPr="001C4D50">
        <w:t xml:space="preserve">CARTISTEM® is an umbilical cord blood derived MSC product combined with sodium </w:t>
      </w:r>
      <w:proofErr w:type="spellStart"/>
      <w:r w:rsidRPr="001C4D50">
        <w:t>hyaluronate</w:t>
      </w:r>
      <w:proofErr w:type="spellEnd"/>
      <w:r w:rsidRPr="001C4D50">
        <w:t xml:space="preserve"> </w:t>
      </w:r>
      <w:r w:rsidR="007C0D5B" w:rsidRPr="001C4D50">
        <w:t>which</w:t>
      </w:r>
      <w:r w:rsidRPr="001C4D50">
        <w:t xml:space="preserve"> has been used in several studies and trials as a therapeutic agent for cartilage regeneration (</w:t>
      </w:r>
      <w:hyperlink r:id="rId19" w:history="1">
        <w:r w:rsidR="005926F4" w:rsidRPr="001C4D50">
          <w:rPr>
            <w:rStyle w:val="Hyperlink"/>
          </w:rPr>
          <w:t>http://clinicaltrials.gov</w:t>
        </w:r>
      </w:hyperlink>
      <w:r w:rsidRPr="001C4D50">
        <w:t>: NCT01041001, NCT01626677 NCT01733186). In a 7-year follow-up study of 7 patients receiving CARTISTEM®,</w:t>
      </w:r>
      <w:r w:rsidR="007C0D5B" w:rsidRPr="001C4D50">
        <w:t xml:space="preserve"> visual analogue score (</w:t>
      </w:r>
      <w:r w:rsidRPr="001C4D50">
        <w:t>VAS</w:t>
      </w:r>
      <w:r w:rsidR="007C0D5B" w:rsidRPr="001C4D50">
        <w:t>)</w:t>
      </w:r>
      <w:r w:rsidRPr="001C4D50">
        <w:t xml:space="preserve"> and the IKDC subjective score</w:t>
      </w:r>
      <w:r w:rsidR="006244E8" w:rsidRPr="001C4D50">
        <w:t>s were improved at 24 weeks and</w:t>
      </w:r>
      <w:r w:rsidR="00B21B6B" w:rsidRPr="001C4D50">
        <w:t xml:space="preserve"> </w:t>
      </w:r>
      <w:r w:rsidRPr="001C4D50">
        <w:t xml:space="preserve">maintained </w:t>
      </w:r>
      <w:r w:rsidR="007C0D5B" w:rsidRPr="001C4D50">
        <w:t xml:space="preserve">for </w:t>
      </w:r>
      <w:r w:rsidRPr="001C4D50">
        <w:t>up to 7 years. Further, histological assessments of the repair tissue indicated the presence of hyaline-like cartilage and MRIs at 3 years showed a persistence of regenerated cartilage</w:t>
      </w:r>
      <w:r w:rsidR="00F0104E" w:rsidRPr="001C4D50">
        <w:t xml:space="preserve"> </w:t>
      </w:r>
      <w:r w:rsidR="00CC6D0B" w:rsidRPr="001C4D50">
        <w:rPr>
          <w:color w:val="2B579A"/>
          <w:shd w:val="clear" w:color="auto" w:fill="E6E6E6"/>
        </w:rPr>
        <w:fldChar w:fldCharType="begin" w:fldLock="1"/>
      </w:r>
      <w:r w:rsidR="00C8414E" w:rsidRPr="001C4D50">
        <w:instrText>ADDIN CSL_CITATION {"citationItems":[{"id":"ITEM-1","itemData":{"author":[{"dropping-particle":"","family":"Park","given":"Y.B.","non-dropping-particle":"","parse-names":false,"suffix":""},{"dropping-particle":"","family":"Ha","given":"C.W","non-dropping-particle":"","parse-names":false,"suffix":""},{"dropping-particle":"","family":"Lee","given":"C.H.","non-dropping-particle":"","parse-names":false,"suffix":""},{"dropping-particle":"","family":"Yoon","given":"Y.C.","non-dropping-particle":"","parse-names":false,"suffix":""},{"dropping-particle":"","family":"Park","given":"Y.G.","non-dropping-particle":"","parse-names":false,"suffix":""}],"container-title":"Stem cells translational medicine","id":"ITEM-1","issued":{"date-parts":[["2017"]]},"page":"613-621","title":"Cartilage Regeneration in Osteoarthritic Patients by a Composite of Allogeneic Umbilical Cord Blood-Derived Mesenchymal Stem Clles and Hyaluronate Hydrogel: Results from a Clinical Trial for Safetu and Proof-of-Concept with 7 years of Extended Follow-up","type":"article-journal","volume":"6"},"uris":["http://www.mendeley.com/documents/?uuid=6a57c246-16c2-4110-a80e-6018c78f7eb9"]}],"mendeley":{"formattedCitation":"[81]","plainTextFormattedCitation":"[81]","previouslyFormattedCitation":"[80]"},"properties":{"noteIndex":0},"schema":"https://github.com/citation-style-language/schema/raw/master/csl-citation.json"}</w:instrText>
      </w:r>
      <w:r w:rsidR="00CC6D0B" w:rsidRPr="001C4D50">
        <w:rPr>
          <w:color w:val="2B579A"/>
          <w:shd w:val="clear" w:color="auto" w:fill="E6E6E6"/>
        </w:rPr>
        <w:fldChar w:fldCharType="separate"/>
      </w:r>
      <w:r w:rsidR="00C8414E" w:rsidRPr="001C4D50">
        <w:rPr>
          <w:noProof/>
        </w:rPr>
        <w:t>[81]</w:t>
      </w:r>
      <w:r w:rsidR="00CC6D0B" w:rsidRPr="001C4D50">
        <w:rPr>
          <w:color w:val="2B579A"/>
          <w:shd w:val="clear" w:color="auto" w:fill="E6E6E6"/>
        </w:rPr>
        <w:fldChar w:fldCharType="end"/>
      </w:r>
      <w:r w:rsidRPr="001C4D50">
        <w:t>. A Phase III CARTISTEM® randomised multicentre trial has recently reported on 5 year outcomes from 89 patients treated with either CARTISTEM® or microfracture</w:t>
      </w:r>
      <w:r w:rsidR="002937FF" w:rsidRPr="001C4D50">
        <w:t xml:space="preserve"> </w:t>
      </w:r>
      <w:r w:rsidR="002937FF" w:rsidRPr="001C4D50">
        <w:fldChar w:fldCharType="begin" w:fldLock="1"/>
      </w:r>
      <w:r w:rsidR="00C8414E" w:rsidRPr="001C4D50">
        <w:instrText>ADDIN CSL_CITATION {"citationItems":[{"id":"ITEM-1","itemData":{"DOI":"10.1177/2325967120973052","ISBN":"2325967120973","ISSN":"23259671","abstract":"Background: There is currently no optimal method for cartilage restoration in large, full-thickness cartilage defects in older patients. Purpose: To determine whether implantation of a composite of allogeneic umbilical cord blood–derived mesenchymal stem cells and 4% hyaluronate (UCB-MSC-HA) will result in reliable cartilage restoration in patients with large, full-thickness cartilage defects and whether any clinical improvements can be maintained up to 5 years postoperatively. Study Design: Randomized controlled trial; Level of evidence, 1. Methods: A randomized controlled phase 3 clinical trial was conducted for 48 weeks, and the participants then underwent extended 5-year observational follow-up. Enrolled were patients with large, full-thickness cartilage defects (International Cartilage Repair Society [ICRS] grade 4) in a single compartment of the knee joint, as confirmed by arthroscopy. The defect was treated either with UCB-MSC-HA implantation through mini-arthrotomy or with microfracture. The primary outcome was proportion of participants who improved by ≥1 grade on the ICRS Macroscopic Cartilage Repair Assessment (blinded evaluation) at 48-week arthroscopy. Secondary outcomes included histologic assessment; changes in pain visual analog scale (VAS) score, Western Ontario and McMaster Universities Osteoarthritis Index (WOMAC), and International Knee Documentation Committee (IKDC) score from baseline; and adverse events. Results: Among 114 randomized participants (mean age, 55.9 years; 67% female; body mass index, 26.2 kg/m2), 89 completed the phase 3 clinical trial and 73 were enrolled in the 5-year follow-up study. The mean defect size was 4.9 cm2 in the UCB-MSC-HA group and 4.0 cm2 in the microfracture group (P =.051). At 48 weeks, improvement by ≥1 ICRS grade was seen in 97.7% of the UCB-MSC-HA group versus 71.7% of the microfracture group (P =.001); the overall histologic assessment score was also superior in the UCB-MSC-HA group (P =.036). Improvement in VAS pain, WOMAC, and IKDC scores were not significantly different between the groups at 48 weeks, however the clinical results were significantly better in the UCB-MSC-HA group at 3- to 5-year follow-up (P &lt;.05). There were no differences between the groups in adverse events. Conclusion: In older patients with symptomatic, large, full-thickness cartilage defects with or without osteoarthritis, UCB-MSC-HA implantation resulted in improved cartilage grade at second-look arthroscopy and provide…","author":[{"dropping-particle":"","family":"Lim","given":"Hong Chul","non-dropping-particle":"","parse-names":false,"suffix":""},{"dropping-particle":"","family":"Park","given":"Yong Beom","non-dropping-particle":"","parse-names":false,"suffix":""},{"dropping-particle":"","family":"Ha","given":"Chul Won","non-dropping-particle":"","parse-names":false,"suffix":""},{"dropping-particle":"","family":"Cole","given":"Brian J.","non-dropping-particle":"","parse-names":false,"suffix":""},{"dropping-particle":"","family":"Lee","given":"Beom Koo","non-dropping-particle":"","parse-names":false,"suffix":""},{"dropping-particle":"","family":"Jeong","given":"Hwa Jae","non-dropping-particle":"","parse-names":false,"suffix":""},{"dropping-particle":"","family":"Kim","given":"Myung Ku","non-dropping-particle":"","parse-names":false,"suffix":""},{"dropping-particle":"Il","family":"Bin","given":"Seong","non-dropping-particle":"","parse-names":false,"suffix":""},{"dropping-particle":"","family":"Choi","given":"Chong Hyuk","non-dropping-particle":"","parse-names":false,"suffix":""},{"dropping-particle":"","family":"Choi","given":"Choong Hyeok","non-dropping-particle":"","parse-names":false,"suffix":""},{"dropping-particle":"","family":"Yoo","given":"Jae Doo","non-dropping-particle":"","parse-names":false,"suffix":""},{"dropping-particle":"","family":"Yoon","given":"Jung Ro","non-dropping-particle":"","parse-names":false,"suffix":""},{"dropping-particle":"","family":"Chung","given":"Jun Young","non-dropping-particle":"","parse-names":false,"suffix":""}],"container-title":"Orthopaedic Journal of Sports Medicine","id":"ITEM-1","issue":"1","issued":{"date-parts":[["2021"]]},"page":"1-15","title":"Allogeneic Umbilical Cord Blood–Derived Mesenchymal Stem Cell Implantation Versus Microfracture for Large, Full-Thickness Cartilage Defects in Older Patients: A Multicenter Randomized Clinical Trial and Extended 5-Year Clinical Follow-up","type":"article-journal","volume":"9"},"uris":["http://www.mendeley.com/documents/?uuid=437289d4-7d39-4435-a50f-68aec13e89be"]}],"mendeley":{"formattedCitation":"[82]","plainTextFormattedCitation":"[82]","previouslyFormattedCitation":"[81]"},"properties":{"noteIndex":0},"schema":"https://github.com/citation-style-language/schema/raw/master/csl-citation.json"}</w:instrText>
      </w:r>
      <w:r w:rsidR="002937FF" w:rsidRPr="001C4D50">
        <w:fldChar w:fldCharType="separate"/>
      </w:r>
      <w:r w:rsidR="00C8414E" w:rsidRPr="001C4D50">
        <w:rPr>
          <w:noProof/>
        </w:rPr>
        <w:t>[82]</w:t>
      </w:r>
      <w:r w:rsidR="002937FF" w:rsidRPr="001C4D50">
        <w:fldChar w:fldCharType="end"/>
      </w:r>
      <w:r w:rsidRPr="001C4D50">
        <w:t xml:space="preserve">. At 48 weeks, histological improvement was seen in 97.7% of the CARTISTEM® treated patients vs. 71.7% in the microfracture group. Improvement in VAS pain, WOMAC, and IKDC scores were not significantly different between the treatment groups at 48 weeks, but were improved </w:t>
      </w:r>
      <w:r w:rsidR="004D0022" w:rsidRPr="001C4D50">
        <w:t xml:space="preserve">over baseline </w:t>
      </w:r>
      <w:r w:rsidRPr="001C4D50">
        <w:t>in the CARTISTEM® treated patients at 3-5 year follow-up</w:t>
      </w:r>
      <w:r w:rsidR="00F0104E" w:rsidRPr="001C4D50">
        <w:t xml:space="preserve"> </w:t>
      </w:r>
      <w:r w:rsidR="004D0022" w:rsidRPr="001C4D50">
        <w:t xml:space="preserve">whereas they had deteriorated at this time point in the microfracture patients </w:t>
      </w:r>
      <w:r w:rsidR="000F4774" w:rsidRPr="001C4D50">
        <w:rPr>
          <w:color w:val="2B579A"/>
          <w:shd w:val="clear" w:color="auto" w:fill="E6E6E6"/>
        </w:rPr>
        <w:fldChar w:fldCharType="begin" w:fldLock="1"/>
      </w:r>
      <w:r w:rsidR="00C8414E" w:rsidRPr="001C4D50">
        <w:instrText>ADDIN CSL_CITATION {"citationItems":[{"id":"ITEM-1","itemData":{"DOI":"10.1177/2325967120973052","ISBN":"2325967120973","ISSN":"23259671","abstract":"Background: There is currently no optimal method for cartilage restoration in large, full-thickness cartilage defects in older patients. Purpose: To determine whether implantation of a composite of allogeneic umbilical cord blood–derived mesenchymal stem cells and 4% hyaluronate (UCB-MSC-HA) will result in reliable cartilage restoration in patients with large, full-thickness cartilage defects and whether any clinical improvements can be maintained up to 5 years postoperatively. Study Design: Randomized controlled trial; Level of evidence, 1. Methods: A randomized controlled phase 3 clinical trial was conducted for 48 weeks, and the participants then underwent extended 5-year observational follow-up. Enrolled were patients with large, full-thickness cartilage defects (International Cartilage Repair Society [ICRS] grade 4) in a single compartment of the knee joint, as confirmed by arthroscopy. The defect was treated either with UCB-MSC-HA implantation through mini-arthrotomy or with microfracture. The primary outcome was proportion of participants who improved by ≥1 grade on the ICRS Macroscopic Cartilage Repair Assessment (blinded evaluation) at 48-week arthroscopy. Secondary outcomes included histologic assessment; changes in pain visual analog scale (VAS) score, Western Ontario and McMaster Universities Osteoarthritis Index (WOMAC), and International Knee Documentation Committee (IKDC) score from baseline; and adverse events. Results: Among 114 randomized participants (mean age, 55.9 years; 67% female; body mass index, 26.2 kg/m2), 89 completed the phase 3 clinical trial and 73 were enrolled in the 5-year follow-up study. The mean defect size was 4.9 cm2 in the UCB-MSC-HA group and 4.0 cm2 in the microfracture group (P =.051). At 48 weeks, improvement by ≥1 ICRS grade was seen in 97.7% of the UCB-MSC-HA group versus 71.7% of the microfracture group (P =.001); the overall histologic assessment score was also superior in the UCB-MSC-HA group (P =.036). Improvement in VAS pain, WOMAC, and IKDC scores were not significantly different between the groups at 48 weeks, however the clinical results were significantly better in the UCB-MSC-HA group at 3- to 5-year follow-up (P &lt;.05). There were no differences between the groups in adverse events. Conclusion: In older patients with symptomatic, large, full-thickness cartilage defects with or without osteoarthritis, UCB-MSC-HA implantation resulted in improved cartilage grade at second-look arthroscopy and provide…","author":[{"dropping-particle":"","family":"Lim","given":"Hong Chul","non-dropping-particle":"","parse-names":false,"suffix":""},{"dropping-particle":"","family":"Park","given":"Yong Beom","non-dropping-particle":"","parse-names":false,"suffix":""},{"dropping-particle":"","family":"Ha","given":"Chul Won","non-dropping-particle":"","parse-names":false,"suffix":""},{"dropping-particle":"","family":"Cole","given":"Brian J.","non-dropping-particle":"","parse-names":false,"suffix":""},{"dropping-particle":"","family":"Lee","given":"Beom Koo","non-dropping-particle":"","parse-names":false,"suffix":""},{"dropping-particle":"","family":"Jeong","given":"Hwa Jae","non-dropping-particle":"","parse-names":false,"suffix":""},{"dropping-particle":"","family":"Kim","given":"Myung Ku","non-dropping-particle":"","parse-names":false,"suffix":""},{"dropping-particle":"Il","family":"Bin","given":"Seong","non-dropping-particle":"","parse-names":false,"suffix":""},{"dropping-particle":"","family":"Choi","given":"Chong Hyuk","non-dropping-particle":"","parse-names":false,"suffix":""},{"dropping-particle":"","family":"Choi","given":"Choong Hyeok","non-dropping-particle":"","parse-names":false,"suffix":""},{"dropping-particle":"","family":"Yoo","given":"Jae Doo","non-dropping-particle":"","parse-names":false,"suffix":""},{"dropping-particle":"","family":"Yoon","given":"Jung Ro","non-dropping-particle":"","parse-names":false,"suffix":""},{"dropping-particle":"","family":"Chung","given":"Jun Young","non-dropping-particle":"","parse-names":false,"suffix":""}],"container-title":"Orthopaedic Journal of Sports Medicine","id":"ITEM-1","issue":"1","issued":{"date-parts":[["2021"]]},"page":"1-15","title":"Allogeneic Umbilical Cord Blood–Derived Mesenchymal Stem Cell Implantation Versus Microfracture for Large, Full-Thickness Cartilage Defects in Older Patients: A Multicenter Randomized Clinical Trial and Extended 5-Year Clinical Follow-up","type":"article-journal","volume":"9"},"uris":["http://www.mendeley.com/documents/?uuid=437289d4-7d39-4435-a50f-68aec13e89be"]}],"mendeley":{"formattedCitation":"[82]","plainTextFormattedCitation":"[82]","previouslyFormattedCitation":"[81]"},"properties":{"noteIndex":0},"schema":"https://github.com/citation-style-language/schema/raw/master/csl-citation.json"}</w:instrText>
      </w:r>
      <w:r w:rsidR="000F4774" w:rsidRPr="001C4D50">
        <w:rPr>
          <w:color w:val="2B579A"/>
          <w:shd w:val="clear" w:color="auto" w:fill="E6E6E6"/>
        </w:rPr>
        <w:fldChar w:fldCharType="separate"/>
      </w:r>
      <w:r w:rsidR="00C8414E" w:rsidRPr="001C4D50">
        <w:rPr>
          <w:noProof/>
        </w:rPr>
        <w:t>[82]</w:t>
      </w:r>
      <w:r w:rsidR="000F4774" w:rsidRPr="001C4D50">
        <w:rPr>
          <w:color w:val="2B579A"/>
          <w:shd w:val="clear" w:color="auto" w:fill="E6E6E6"/>
        </w:rPr>
        <w:fldChar w:fldCharType="end"/>
      </w:r>
      <w:r w:rsidRPr="001C4D50">
        <w:t>.</w:t>
      </w:r>
    </w:p>
    <w:p w14:paraId="3B05D6DB" w14:textId="77777777" w:rsidR="00207344" w:rsidRPr="001C4D50" w:rsidRDefault="00207344" w:rsidP="00960366">
      <w:pPr>
        <w:rPr>
          <w:i/>
        </w:rPr>
      </w:pPr>
    </w:p>
    <w:p w14:paraId="16F98158" w14:textId="77777777" w:rsidR="000B5894" w:rsidRPr="001C4D50" w:rsidRDefault="000B5894" w:rsidP="00960366">
      <w:pPr>
        <w:rPr>
          <w:i/>
        </w:rPr>
      </w:pPr>
      <w:r w:rsidRPr="001C4D50">
        <w:rPr>
          <w:i/>
        </w:rPr>
        <w:t>Chondrocytes and MSCs</w:t>
      </w:r>
    </w:p>
    <w:p w14:paraId="7CE3D8DE" w14:textId="5FA01995" w:rsidR="000B5894" w:rsidRPr="001C4D50" w:rsidRDefault="000B5894" w:rsidP="00960366">
      <w:r w:rsidRPr="001C4D50">
        <w:t>There are few published studies to have directly compared the efficacy of MSCs versus the gold standard (ACI)</w:t>
      </w:r>
      <w:r w:rsidR="003101E1" w:rsidRPr="001C4D50">
        <w:t xml:space="preserve"> </w:t>
      </w:r>
      <w:r w:rsidR="003101E1" w:rsidRPr="001C4D50">
        <w:fldChar w:fldCharType="begin" w:fldLock="1"/>
      </w:r>
      <w:r w:rsidR="000B2C35" w:rsidRPr="001C4D50">
        <w:instrText>ADDIN CSL_CITATION {"citationItems":[{"id":"ITEM-1","itemData":{"DOI":"https://www.nice.org.uk/guidance/ta477/resources/autologous-chondrocyte- implantation-for-treating-symptomatic-articular-cartilage-defects-of-the- knee-pdf-82604971061701.","author":[{"dropping-particle":"","family":"National Institute for Health and Care Excellence (NICE)","given":"","non-dropping-particle":"","parse-names":false,"suffix":""}],"id":"ITEM-1","issued":{"date-parts":[["2017"]]},"title":"Autologous chondrocyte implantation for treating symptomatic articular cartilage defects of the knee. Technology appraisal guidance [TA477]","type":"webpage"},"uris":["http://www.mendeley.com/documents/?uuid=14023f52-511e-3eb6-8413-d1ddc53ce470"]}],"mendeley":{"formattedCitation":"[16]","plainTextFormattedCitation":"[16]","previouslyFormattedCitation":"[16]"},"properties":{"noteIndex":0},"schema":"https://github.com/citation-style-language/schema/raw/master/csl-citation.json"}</w:instrText>
      </w:r>
      <w:r w:rsidR="003101E1" w:rsidRPr="001C4D50">
        <w:fldChar w:fldCharType="separate"/>
      </w:r>
      <w:r w:rsidR="003101E1" w:rsidRPr="001C4D50">
        <w:rPr>
          <w:noProof/>
        </w:rPr>
        <w:t>[16]</w:t>
      </w:r>
      <w:r w:rsidR="003101E1" w:rsidRPr="001C4D50">
        <w:fldChar w:fldCharType="end"/>
      </w:r>
      <w:r w:rsidRPr="001C4D50">
        <w:t xml:space="preserve"> technique. A level 3 evidence cohort study compared 36 ACI v 36 expanded MSCs and showed no significant clinical differences in outcome up to 24 months, although outcomes </w:t>
      </w:r>
      <w:r w:rsidR="007C0D5B" w:rsidRPr="001C4D50">
        <w:t xml:space="preserve">were </w:t>
      </w:r>
      <w:r w:rsidRPr="001C4D50">
        <w:t>better in &lt;45yr old patients in ACI treated participants</w:t>
      </w:r>
      <w:r w:rsidR="00F0104E" w:rsidRPr="001C4D50">
        <w:t xml:space="preserve"> </w:t>
      </w:r>
      <w:r w:rsidRPr="001C4D50">
        <w:rPr>
          <w:color w:val="2B579A"/>
          <w:shd w:val="clear" w:color="auto" w:fill="E6E6E6"/>
        </w:rPr>
        <w:fldChar w:fldCharType="begin" w:fldLock="1"/>
      </w:r>
      <w:r w:rsidR="00C8414E" w:rsidRPr="001C4D50">
        <w:instrText>ADDIN CSL_CITATION {"citationItems":[{"id":"ITEM-1","itemData":{"DOI":"10.1177/0363546509359067","ISSN":"03635465","PMID":"20392971","abstract":"Background: First-generation autologous chondrocyte implantation has limitations, and introducing new effective cell sources can improve cartilage repair. Purpose: This study was conducted to compare the clinical outcomes of patients treated with first-generation autologous chondrocyte implantation to patients treated with autologous bone marrow-derived mesenchymal stem cells (BMSCs). Study Design: Cohort study; Level of evidence, 3. Methods: Seventy-two matched (lesion site and age) patients underwent cartilage repair using chondrocytes (n = 36) or BMSCs (n = 36). Clinical outcomes were measured before operation and 3, 6, 9, 12, 18, and 24 months after operation using the International Cartilage Repair Society (ICRS) Cartilage Injury Evaluation Package, which included questions from the Short-Form Health Survey, International Knee Documentation Committee (IKDC) subjective knee evaluation form, Lysholm knee scale, and Tegner activity level scale. Results: There was significant improvement in the patients quality of life (physical and mental components of the Short Form-36 questionnaire included in the ICRS package) after cartilage repair in both groups (autologous chondrocyte implantation and BMSCs). However, there was no difference between the BMSC and the autologous chondrocyte implantation group in terms of clinical outcomes except for Physical Role Functioning, with a greater improvement over time in the BMSC group (P =.044 for interaction effect). The IKDC subjective knee evaluation (P =.861), Lysholm (P =.627), and Tegner (P =.200) scores did not show any significant difference between groups over time. However, in general, men showed significantly better improvements than women. Patients younger than 45 years of age scored significantly better than patients older than 45 years in the autologous chondrocyte implantation group, but age did not make a difference in outcomes in the BMSC group. Conclusion: Using BMSCs in cartilage repair is as effective as chondrocytes for articular cartilage repair. In addition, it required 1 less knee surgery, reduced costs, and minimized donor-site morbidity. © 2010 The Author(s).","author":[{"dropping-particle":"","family":"Nejadnik","given":"Hossein","non-dropping-particle":"","parse-names":false,"suffix":""},{"dropping-particle":"","family":"Hui","given":"James H.","non-dropping-particle":"","parse-names":false,"suffix":""},{"dropping-particle":"","family":"Choong","given":"Erica Pei Feng","non-dropping-particle":"","parse-names":false,"suffix":""},{"dropping-particle":"","family":"Tai","given":"Bee Choo","non-dropping-particle":"","parse-names":false,"suffix":""},{"dropping-particle":"","family":"Eng Hin Lee","given":"","non-dropping-particle":"","parse-names":false,"suffix":""}],"container-title":"American Journal of Sports Medicine","id":"ITEM-1","issue":"6","issued":{"date-parts":[["2010"]]},"page":"1110-1116","title":"Autologous bone marrow-derived mesenchymal stem cells versus autologous chondrocyte implantation: An observational cohort study","type":"article-journal","volume":"38"},"uris":["http://www.mendeley.com/documents/?uuid=c0cb21d2-65cd-412d-bda3-d13db603f45a"]}],"mendeley":{"formattedCitation":"[83]","plainTextFormattedCitation":"[83]","previouslyFormattedCitation":"[82]"},"properties":{"noteIndex":0},"schema":"https://github.com/citation-style-language/schema/raw/master/csl-citation.json"}</w:instrText>
      </w:r>
      <w:r w:rsidRPr="001C4D50">
        <w:rPr>
          <w:color w:val="2B579A"/>
          <w:shd w:val="clear" w:color="auto" w:fill="E6E6E6"/>
        </w:rPr>
        <w:fldChar w:fldCharType="separate"/>
      </w:r>
      <w:r w:rsidR="00C8414E" w:rsidRPr="001C4D50">
        <w:rPr>
          <w:noProof/>
        </w:rPr>
        <w:t>[83]</w:t>
      </w:r>
      <w:r w:rsidRPr="001C4D50">
        <w:rPr>
          <w:color w:val="2B579A"/>
          <w:shd w:val="clear" w:color="auto" w:fill="E6E6E6"/>
        </w:rPr>
        <w:fldChar w:fldCharType="end"/>
      </w:r>
      <w:r w:rsidRPr="001C4D50">
        <w:t xml:space="preserve">. A recent level 2 cohort study compared the outcomes of 72 patients who received either ACI or </w:t>
      </w:r>
      <w:r w:rsidR="14E76F29" w:rsidRPr="001C4D50">
        <w:t>BM-</w:t>
      </w:r>
      <w:r w:rsidRPr="001C4D50">
        <w:t>MSC transplantation</w:t>
      </w:r>
      <w:r w:rsidR="004D0022" w:rsidRPr="001C4D50">
        <w:t>. They reported</w:t>
      </w:r>
      <w:r w:rsidRPr="001C4D50">
        <w:t xml:space="preserve"> no significant difference in any of the patient-reported outcomes </w:t>
      </w:r>
      <w:r w:rsidR="004D0022" w:rsidRPr="001C4D50">
        <w:t xml:space="preserve">measures </w:t>
      </w:r>
      <w:r w:rsidRPr="001C4D50">
        <w:t xml:space="preserve">between cohorts </w:t>
      </w:r>
      <w:r w:rsidR="004D0022" w:rsidRPr="001C4D50">
        <w:t xml:space="preserve">at </w:t>
      </w:r>
      <w:r w:rsidRPr="001C4D50">
        <w:t xml:space="preserve">10 year </w:t>
      </w:r>
      <w:r w:rsidR="004D0022" w:rsidRPr="001C4D50">
        <w:t xml:space="preserve">mean </w:t>
      </w:r>
      <w:r w:rsidRPr="001C4D50">
        <w:t>follow up</w:t>
      </w:r>
      <w:r w:rsidR="00F0104E" w:rsidRPr="001C4D50">
        <w:t xml:space="preserve"> </w:t>
      </w:r>
      <w:r w:rsidRPr="001C4D50">
        <w:rPr>
          <w:color w:val="2B579A"/>
          <w:shd w:val="clear" w:color="auto" w:fill="E6E6E6"/>
        </w:rPr>
        <w:fldChar w:fldCharType="begin" w:fldLock="1"/>
      </w:r>
      <w:r w:rsidR="00C8414E" w:rsidRPr="001C4D50">
        <w:instrText>ADDIN CSL_CITATION {"citationItems":[{"id":"ITEM-1","itemData":{"DOI":"10.1177/0363546519867933","ISSN":"15523365","PMID":"31433674","abstract":"Background: The use of bone marrow–derived mesenchymal stem cells (BMSCs) in cartilage repair procedures circumvents some of the limitations of autologous chondrocyte implantation (ACI), but long-term outcomes for this newer procedure are lacking. The authors previously reported comparable outcomes for the 2 procedures at 2-year follow-up. Purpose/Hypothesis: The purpose was to compare the long-term clinical outcomes of ACI versus BMSCs. It was hypothesized that there would be no significant difference between the groups in terms of patient-reported outcome scores and safety outcomes at 10-year follow-up. Study Design: Cohort study; Level of evidence, 2. Methods: Seventy-two patients who underwent either ACI or BMSC implantation—matched in terms of age and lesion site— were followed up to a median of at least 10 years. Patients were assessed with the 36-item Short Form Health Survey (SF-36), the International Knee Documentation Committee knee evaluation form, the Lysholm Knee Score, and the Tegner Activity Scale. In addition, information was obtained regarding any additional surgical procedures as well as safety data, with particular attention to infection and tumor formation. Results: There was an improvement in all patient-reported outcomes scores apart from the Mental Component Summary of the SF-36 after cartilage repair surgery. There was no significant difference in any of the patient-reported outcomes between cohorts at any time point. Six and 5 patients in the ACI and BMSC groups, respectively, underwent subsequent surgical procedures, including 1 total knee replacement in the BMSC group. None of the patients in either group developed any deep infection or tumor within the follow-up period. Conclusion: BMSC implantation used for the treatment of chondral defects of the knee appears to result in equivalent clinical outcomes to first-generation ACI at up to 10 years, with no apparent increased tumor formation risk.","author":[{"dropping-particle":"","family":"Teo","given":"Alex Quok An","non-dropping-particle":"","parse-names":false,"suffix":""},{"dropping-particle":"","family":"Wong","given":"Keng Lin","non-dropping-particle":"","parse-names":false,"suffix":""},{"dropping-particle":"","family":"Shen","given":"Liang","non-dropping-particle":"","parse-names":false,"suffix":""},{"dropping-particle":"","family":"Lim","given":"Jia Ying","non-dropping-particle":"","parse-names":false,"suffix":""},{"dropping-particle":"","family":"Toh","given":"Wei Seong","non-dropping-particle":"","parse-names":false,"suffix":""},{"dropping-particle":"","family":"Lee","given":"Eng Hin","non-dropping-particle":"","parse-names":false,"suffix":""},{"dropping-particle":"","family":"Hui","given":"James Hoi Po","non-dropping-particle":"","parse-names":false,"suffix":""}],"container-title":"American Journal of Sports Medicine","id":"ITEM-1","issue":"12","issued":{"date-parts":[["2019"]]},"page":"2881-2887","title":"Equivalent 10-Year Outcomes After Implantation of Autologous Bone Marrow–Derived Mesenchymal Stem Cells Versus Autologous Chondrocyte Implantation for Chondral Defects of the Knee","type":"article-journal","volume":"47"},"uris":["http://www.mendeley.com/documents/?uuid=ac077ddb-8834-4d5f-849d-4ea5c5e58262"]}],"mendeley":{"formattedCitation":"[84]","plainTextFormattedCitation":"[84]","previouslyFormattedCitation":"[83]"},"properties":{"noteIndex":0},"schema":"https://github.com/citation-style-language/schema/raw/master/csl-citation.json"}</w:instrText>
      </w:r>
      <w:r w:rsidRPr="001C4D50">
        <w:rPr>
          <w:color w:val="2B579A"/>
          <w:shd w:val="clear" w:color="auto" w:fill="E6E6E6"/>
        </w:rPr>
        <w:fldChar w:fldCharType="separate"/>
      </w:r>
      <w:r w:rsidR="00C8414E" w:rsidRPr="001C4D50">
        <w:rPr>
          <w:noProof/>
        </w:rPr>
        <w:t>[84]</w:t>
      </w:r>
      <w:r w:rsidRPr="001C4D50">
        <w:rPr>
          <w:color w:val="2B579A"/>
          <w:shd w:val="clear" w:color="auto" w:fill="E6E6E6"/>
        </w:rPr>
        <w:fldChar w:fldCharType="end"/>
      </w:r>
      <w:r w:rsidRPr="001C4D50">
        <w:t>.</w:t>
      </w:r>
    </w:p>
    <w:p w14:paraId="0123B6D7" w14:textId="77777777" w:rsidR="007C0D5B" w:rsidRPr="001C4D50" w:rsidRDefault="007C0D5B" w:rsidP="00960366"/>
    <w:p w14:paraId="5D6AF2C2" w14:textId="6734F93B" w:rsidR="004D0022" w:rsidRPr="001C4D50" w:rsidRDefault="004D0022" w:rsidP="00960366">
      <w:r w:rsidRPr="001C4D50">
        <w:t>The IMPACT trial (</w:t>
      </w:r>
      <w:hyperlink r:id="rId20" w:history="1">
        <w:r w:rsidR="005926F4" w:rsidRPr="001C4D50">
          <w:rPr>
            <w:rStyle w:val="Hyperlink"/>
          </w:rPr>
          <w:t>http://clinicaltrials.gov</w:t>
        </w:r>
      </w:hyperlink>
      <w:r w:rsidRPr="001C4D50">
        <w:t>: NCT02037204)</w:t>
      </w:r>
      <w:r w:rsidR="00307D39" w:rsidRPr="001C4D50">
        <w:t xml:space="preserve"> </w:t>
      </w:r>
      <w:r w:rsidRPr="001C4D50">
        <w:t>assessed the safety and efficacy of a single-stage procedure for focal cartilage lesions in the knee using a combination of autologous chondrocytes and allogeneic BM-MSCs. In this study, 35 patients were treated using autologous ‘</w:t>
      </w:r>
      <w:proofErr w:type="spellStart"/>
      <w:r w:rsidRPr="001C4D50">
        <w:t>chondrons</w:t>
      </w:r>
      <w:proofErr w:type="spellEnd"/>
      <w:r w:rsidRPr="001C4D50">
        <w:t xml:space="preserve">’ and allogeneic MSCs in a fibrin glue carrier. The 5 year outcome data demonstrated that the majority of patients showed statistically significant and clinically relevant improvement in the KOOS and all its subscales from baseline </w:t>
      </w:r>
      <w:r w:rsidRPr="001C4D50">
        <w:rPr>
          <w:color w:val="2B579A"/>
          <w:shd w:val="clear" w:color="auto" w:fill="E6E6E6"/>
        </w:rPr>
        <w:fldChar w:fldCharType="begin" w:fldLock="1"/>
      </w:r>
      <w:r w:rsidR="00C8414E" w:rsidRPr="001C4D50">
        <w:instrText>ADDIN CSL_CITATION {"citationItems":[{"id":"ITEM-1","itemData":{"DOI":"10.1177/0363546520988069","ISSN":"15523365","PMID":"33591794","abstract":"Background: Long-term clinical evaluation of patient outcomes can steer treatment choices and further research for cartilage repair. Using mesenchymal stromal cells (MSCs) as signaling cells instead of stem cells is a novel approach in the field. Purpose: To report the 5-year follow-up of safety, clinical efficacy, and durability after treatment of symptomatic cartilage defects in the knee with allogenic MSCs mixed with recycled autologous chondrons in first-in-human study of 1-stage cartilage repair. Study Design: Case series; Level of evidence, 4. Methods: This study is an investigator-driven study aiming at the feasibility and safety of this innovative cartilage repair procedure. Between 2013 and 2014, a total of 35 patients (mean ± SD age, 36 ± 8 years) were treated with a 1-stage cartilage repair procedure called IMPACT (Instant MSC Product Accompanying Autologous Chondron Transplantation) for a symptomatic cartilage defect on the femoral condyle or trochlear groove. Subsequent follow-up after initial publication was performed annually using online patient-reported outcome measures with a mean follow-up of 61 months (range, 56-71 months). Patient-reported outcome measures included the KOOS (Knee injury and Osteoarthritis Outcome Score), visual analog scale for pain, and EuroQol–5 Dimensions. All clinical data and serious adverse events, including additional treatment received after IMPACT, were recorded. A failure of IMPACT was defined as a chondral defect of at least 20% of the index lesion with a need for a reintervention including a surgical procedure or an intra-articular injection. Results: Using allogenic MSCs, no signs of a foreign body response or serious adverse reactions were recorded after 5 years. The majority of patients showed statistically significant and clinically relevant improvement in the KOOS and all its subscales from baseline to 60 months: overall, 57.9 ± 16.3 to 78.9 ± 17.7 (P &lt;.001); Pain, 62.3 ± 18.9 to 79.9 ± 20.0 (P =.03); Function, 61.6 ± 16.5 to 79.4 ± 17.3 (P =.01); Activities of Daily Living, 69.0 ± 19.0 to 89.9 ± 14.9 (P &lt;.001); Sports and Recreation, 32.3 ± 22.6 to 57.5 ± 30.0 (P =.02); and Quality of Life, 25.9 ± 12.9 to 55.8 ± 26.8 (P &lt;.001). The visual analog scale score for pain improved significantly from baseline (45.3 ± 23.6) to 60 months (15.4 ± 13.4) (P &lt;.001). Five cases required reintervention. Conclusion: This is the first study showing the midterm safety and efficacy of the proof of concept that alloge…","author":[{"dropping-particle":"","family":"Saris","given":"Tim F.F.","non-dropping-particle":"","parse-names":false,"suffix":""},{"dropping-particle":"","family":"Windt","given":"Tommy S.","non-dropping-particle":"de","parse-names":false,"suffix":""},{"dropping-particle":"","family":"Kester","given":"Esmee C.","non-dropping-particle":"","parse-names":false,"suffix":""},{"dropping-particle":"","family":"Vonk","given":"Lucienne A.","non-dropping-particle":"","parse-names":false,"suffix":""},{"dropping-particle":"","family":"Custers","given":"Roel J.H.","non-dropping-particle":"","parse-names":false,"suffix":""},{"dropping-particle":"","family":"Saris","given":"Daniel B.F.","non-dropping-particle":"","parse-names":false,"suffix":""}],"container-title":"American Journal of Sports Medicine","id":"ITEM-1","issue":"4","issued":{"date-parts":[["2021"]]},"page":"941-947","title":"Five-Year Outcome of 1-Stage Cell-Based Cartilage Repair Using Recycled Autologous Chondrons and Allogenic Mesenchymal Stromal Cells: A First-in-Human Clinical Trial","type":"article-journal","volume":"49"},"uris":["http://www.mendeley.com/documents/?uuid=6815dc50-31c4-4d1d-921d-c4469f65fb18"]}],"mendeley":{"formattedCitation":"[85]","plainTextFormattedCitation":"[85]","previouslyFormattedCitation":"[84]"},"properties":{"noteIndex":0},"schema":"https://github.com/citation-style-language/schema/raw/master/csl-citation.json"}</w:instrText>
      </w:r>
      <w:r w:rsidRPr="001C4D50">
        <w:rPr>
          <w:color w:val="2B579A"/>
          <w:shd w:val="clear" w:color="auto" w:fill="E6E6E6"/>
        </w:rPr>
        <w:fldChar w:fldCharType="separate"/>
      </w:r>
      <w:r w:rsidR="00C8414E" w:rsidRPr="001C4D50">
        <w:rPr>
          <w:noProof/>
        </w:rPr>
        <w:t>[85]</w:t>
      </w:r>
      <w:r w:rsidRPr="001C4D50">
        <w:rPr>
          <w:color w:val="2B579A"/>
          <w:shd w:val="clear" w:color="auto" w:fill="E6E6E6"/>
        </w:rPr>
        <w:fldChar w:fldCharType="end"/>
      </w:r>
      <w:r w:rsidRPr="001C4D50">
        <w:t xml:space="preserve">. The study protocol for a follow-on 60 patient randomised placebo controlled IMPACT2 trial has now been outlined </w:t>
      </w:r>
      <w:r w:rsidRPr="001C4D50">
        <w:rPr>
          <w:color w:val="2B579A"/>
          <w:shd w:val="clear" w:color="auto" w:fill="E6E6E6"/>
        </w:rPr>
        <w:fldChar w:fldCharType="begin" w:fldLock="1"/>
      </w:r>
      <w:r w:rsidR="00C8414E" w:rsidRPr="001C4D50">
        <w:instrText>ADDIN CSL_CITATION {"citationItems":[{"id":"ITEM-1","itemData":{"DOI":"10.1186/s13063-020-04771-8","ISSN":"17456215","PMID":"33036661","abstract":"Background: Articular cartilage defects in the knee have poor intrinsic healing capacity and may lead to functional disability and osteoarthritis (OA). \"Instant MSC Product accompanying Autologous Chondron Transplantation\"(IMPACT) combines rapidly isolated recycled autologous chondrons with allogeneic MSCs in a one-stage surgery. IMPACT was successfully executed in a first-in-man investigator-driven phase I/II clinical trial in 35 patients. The purpose of this study is to compare the efficacy of IMPACT to nonsurgical treatment for the treatment of large (2-8 cm2) articular cartilage defects in the knee. Methods: Sixty patients will be randomized to receive nonsurgical care or IMPACT. After 9 months of nonsurgical care, patients in the control group are allowed to receive IMPACT surgery. The Knee Injury and Osteoarthritis Outcome Score (KOOS), pain (numeric rating scale, NRS), and EuroQol five dimensions five levels (EQ5D-5 L) will be used to compare outcomes at baseline and 3, 6, 9, 12, and 18 months after inclusion. Cartilage formation will be assessed at baseline, and 6 and 18 months after inclusion using MRI. An independent rheumatologist will monitor the onset of a potential inflammatory response. (Severe) adverse events will be recorded. Lastly, the difference between IMPACT and nonsurgical care in terms of societal costs will be assessed by monitoring healthcare resource use and productivity losses during the study period. A health economic model will be developed to estimate the incremental cost-effectiveness ratio of IMPACT vs. nonsurgical treatment in terms of costs per quality adjusted life year over a 5-year time horizon. Discussion: This study is designed to evaluate the efficacy of IMPACT compared to nonsurgical care. Additionally, safety of IMPACT will be assessed in 30 to 60 patients. Lastly, this study will evaluate the cost-effectiveness of IMPACT compared to nonsurgical care. Trial registration: NL67161.000.18 [Registry ID: CCMO] 2018#003470#27 [EU-CTR; registered on 26 March 2019] NCT04236739 [ ClinicalTrials.gov ] [registered after start of inclusion; 22 January 2020]","author":[{"dropping-particle":"V.","family":"Korpershoek","given":"J.","non-dropping-particle":"","parse-names":false,"suffix":""},{"dropping-particle":"","family":"Vonk","given":"L. A.","non-dropping-particle":"","parse-names":false,"suffix":""},{"dropping-particle":"","family":"Kester","given":"E. C.","non-dropping-particle":"","parse-names":false,"suffix":""},{"dropping-particle":"","family":"Creemers","given":"L. B.","non-dropping-particle":"","parse-names":false,"suffix":""},{"dropping-particle":"","family":"Windt","given":"T. S.","non-dropping-particle":"De","parse-names":false,"suffix":""},{"dropping-particle":"","family":"Kip","given":"M. M.A.","non-dropping-particle":"","parse-names":false,"suffix":""},{"dropping-particle":"","family":"Saris","given":"D. B.F.","non-dropping-particle":"","parse-names":false,"suffix":""},{"dropping-particle":"","family":"Custers","given":"R. J.H.","non-dropping-particle":"","parse-names":false,"suffix":""}],"container-title":"Trials","id":"ITEM-1","issue":"1","issued":{"date-parts":[["2020"]]},"page":"1-11","publisher":"Trials","title":"Efficacy of one-stage cartilage repair using allogeneic mesenchymal stromal cells and autologous chondron transplantation (IMPACT) compared to nonsurgical treatment for focal articular cartilage lesions of the knee: Study protocol for a crossover randomiz","type":"article-journal","volume":"21"},"uris":["http://www.mendeley.com/documents/?uuid=50838665-0345-4239-8237-539c7e8e5464"]}],"mendeley":{"formattedCitation":"[86]","plainTextFormattedCitation":"[86]","previouslyFormattedCitation":"[85]"},"properties":{"noteIndex":0},"schema":"https://github.com/citation-style-language/schema/raw/master/csl-citation.json"}</w:instrText>
      </w:r>
      <w:r w:rsidRPr="001C4D50">
        <w:rPr>
          <w:color w:val="2B579A"/>
          <w:shd w:val="clear" w:color="auto" w:fill="E6E6E6"/>
        </w:rPr>
        <w:fldChar w:fldCharType="separate"/>
      </w:r>
      <w:r w:rsidR="00C8414E" w:rsidRPr="001C4D50">
        <w:rPr>
          <w:noProof/>
        </w:rPr>
        <w:t>[86]</w:t>
      </w:r>
      <w:r w:rsidRPr="001C4D50">
        <w:rPr>
          <w:color w:val="2B579A"/>
          <w:shd w:val="clear" w:color="auto" w:fill="E6E6E6"/>
        </w:rPr>
        <w:fldChar w:fldCharType="end"/>
      </w:r>
      <w:r w:rsidRPr="001C4D50">
        <w:t xml:space="preserve"> and is currently recruiting (</w:t>
      </w:r>
      <w:hyperlink r:id="rId21" w:history="1">
        <w:r w:rsidR="005926F4" w:rsidRPr="001C4D50">
          <w:rPr>
            <w:rStyle w:val="Hyperlink"/>
          </w:rPr>
          <w:t>http://clinicaltrials.gov</w:t>
        </w:r>
      </w:hyperlink>
      <w:r w:rsidRPr="001C4D50">
        <w:t>: NCT04236739).</w:t>
      </w:r>
    </w:p>
    <w:p w14:paraId="6AEFF5C9" w14:textId="77777777" w:rsidR="004D0022" w:rsidRPr="001C4D50" w:rsidRDefault="004D0022" w:rsidP="00960366"/>
    <w:p w14:paraId="4C03BCED" w14:textId="1CBAAB69" w:rsidR="000B5894" w:rsidRPr="001C4D50" w:rsidRDefault="000B5894" w:rsidP="00960366">
      <w:r w:rsidRPr="001C4D50">
        <w:t>An ongoing trial aiming to elucidate w</w:t>
      </w:r>
      <w:r w:rsidR="004D0022" w:rsidRPr="001C4D50">
        <w:t xml:space="preserve">hether </w:t>
      </w:r>
      <w:r w:rsidR="007B5EC4" w:rsidRPr="001C4D50">
        <w:t xml:space="preserve">culture-expanded </w:t>
      </w:r>
      <w:r w:rsidR="004D0022" w:rsidRPr="001C4D50">
        <w:t>MSCs or chondrocytes</w:t>
      </w:r>
      <w:r w:rsidRPr="001C4D50">
        <w:t xml:space="preserve"> (either alone or in combination) provides </w:t>
      </w:r>
      <w:r w:rsidR="004D0022" w:rsidRPr="001C4D50">
        <w:t xml:space="preserve">superior </w:t>
      </w:r>
      <w:r w:rsidRPr="001C4D50">
        <w:t xml:space="preserve">clinical benefit </w:t>
      </w:r>
      <w:r w:rsidR="00B92AA2" w:rsidRPr="001C4D50">
        <w:t xml:space="preserve">for repair of cartilage defects </w:t>
      </w:r>
      <w:r w:rsidRPr="001C4D50">
        <w:t xml:space="preserve">is the Autologous Stem cells Chondrocytes </w:t>
      </w:r>
      <w:r w:rsidR="004D0022" w:rsidRPr="001C4D50">
        <w:t>O</w:t>
      </w:r>
      <w:r w:rsidRPr="001C4D50">
        <w:t>r the Two (ASCOT) trial (</w:t>
      </w:r>
      <w:hyperlink r:id="rId22" w:history="1">
        <w:r w:rsidRPr="001C4D50">
          <w:rPr>
            <w:rStyle w:val="Hyperlink"/>
          </w:rPr>
          <w:t>https://www.isrctn.com</w:t>
        </w:r>
      </w:hyperlink>
      <w:r w:rsidRPr="001C4D50">
        <w:t>: ISRCTN98997175),</w:t>
      </w:r>
      <w:r w:rsidR="004D0022" w:rsidRPr="001C4D50">
        <w:t xml:space="preserve"> which</w:t>
      </w:r>
      <w:r w:rsidRPr="001C4D50">
        <w:t xml:space="preserve"> is due to complete in 2023. The ASCOT trial</w:t>
      </w:r>
      <w:r w:rsidR="00B92AA2" w:rsidRPr="001C4D50">
        <w:t xml:space="preserve">, </w:t>
      </w:r>
      <w:r w:rsidR="00EF14FE" w:rsidRPr="001C4D50">
        <w:t xml:space="preserve">recruiting 114 patients with a </w:t>
      </w:r>
      <w:proofErr w:type="gramStart"/>
      <w:r w:rsidR="00EF14FE" w:rsidRPr="001C4D50">
        <w:t>15 month</w:t>
      </w:r>
      <w:proofErr w:type="gramEnd"/>
      <w:r w:rsidR="00EF14FE" w:rsidRPr="001C4D50">
        <w:t xml:space="preserve"> follow up, aims</w:t>
      </w:r>
      <w:r w:rsidRPr="001C4D50">
        <w:t xml:space="preserve"> to evaluate directly which cell type (</w:t>
      </w:r>
      <w:r w:rsidR="00B92AA2" w:rsidRPr="001C4D50">
        <w:t xml:space="preserve">autologous bone marrow derived MSCs or chondrocytes, </w:t>
      </w:r>
      <w:r w:rsidRPr="001C4D50">
        <w:t>alone or in combination) is the most beneficial to patients</w:t>
      </w:r>
      <w:r w:rsidR="00EF14FE" w:rsidRPr="001C4D50">
        <w:t>. A</w:t>
      </w:r>
      <w:r w:rsidRPr="001C4D50">
        <w:t xml:space="preserve"> series of exploratory objectives (evaluating the properties </w:t>
      </w:r>
      <w:r w:rsidRPr="001C4D50">
        <w:lastRenderedPageBreak/>
        <w:t>of the cells and the environment that the cells are transplanted into) aim to elucidate the biological reasons for any clinical benefits observed</w:t>
      </w:r>
      <w:r w:rsidR="00F0104E" w:rsidRPr="001C4D50">
        <w:t xml:space="preserve"> </w:t>
      </w:r>
      <w:r w:rsidR="00A70D7D" w:rsidRPr="001C4D50">
        <w:rPr>
          <w:color w:val="2B579A"/>
          <w:shd w:val="clear" w:color="auto" w:fill="E6E6E6"/>
        </w:rPr>
        <w:fldChar w:fldCharType="begin" w:fldLock="1"/>
      </w:r>
      <w:r w:rsidR="00C8414E" w:rsidRPr="001C4D50">
        <w:instrText>ADDIN CSL_CITATION {"citationItems":[{"id":"ITEM-1","itemData":{"author":[{"dropping-particle":"","family":"Richardson","given":"J.B.","non-dropping-particle":"","parse-names":false,"suffix":""},{"dropping-particle":"","family":"Wright","given":"K.T.","non-dropping-particle":"","parse-names":false,"suffix":""},{"dropping-particle":"","family":"Wales","given":"J.","non-dropping-particle":"","parse-names":false,"suffix":""},{"dropping-particle":"","family":"Kuiper","given":"J. H.","non-dropping-particle":"","parse-names":false,"suffix":""},{"dropping-particle":"","family":"McCarthy","given":"H.S.","non-dropping-particle":"","parse-names":false,"suffix":""},{"dropping-particle":"","family":"Gallacher","given":"P.","non-dropping-particle":"","parse-names":false,"suffix":""},{"dropping-particle":"","family":"Harrison","given":"P.E.","non-dropping-particle":"","parse-names":false,"suffix":""},{"dropping-particle":"","family":"Roberts","given":"S.","non-dropping-particle":"","parse-names":false,"suffix":""}],"container-title":"Regenerative Medicine","id":"ITEM-1","issue":"5","issued":{"date-parts":[["2017"]]},"page":"493-501","title":"Efficacy and safety of autologous cell therapies for cartilage defects (autologous stem cells, chondrocytes or the two): randomized controlled trial design","type":"article-journal","volume":"12"},"uris":["http://www.mendeley.com/documents/?uuid=44d7b7f6-07a7-4b0f-a2a5-5394e5b53ed1"]}],"mendeley":{"formattedCitation":"[87]","plainTextFormattedCitation":"[87]","previouslyFormattedCitation":"[86]"},"properties":{"noteIndex":0},"schema":"https://github.com/citation-style-language/schema/raw/master/csl-citation.json"}</w:instrText>
      </w:r>
      <w:r w:rsidR="00A70D7D" w:rsidRPr="001C4D50">
        <w:rPr>
          <w:color w:val="2B579A"/>
          <w:shd w:val="clear" w:color="auto" w:fill="E6E6E6"/>
        </w:rPr>
        <w:fldChar w:fldCharType="separate"/>
      </w:r>
      <w:r w:rsidR="00C8414E" w:rsidRPr="001C4D50">
        <w:rPr>
          <w:noProof/>
        </w:rPr>
        <w:t>[87]</w:t>
      </w:r>
      <w:r w:rsidR="00A70D7D" w:rsidRPr="001C4D50">
        <w:rPr>
          <w:color w:val="2B579A"/>
          <w:shd w:val="clear" w:color="auto" w:fill="E6E6E6"/>
        </w:rPr>
        <w:fldChar w:fldCharType="end"/>
      </w:r>
      <w:r w:rsidRPr="001C4D50">
        <w:t xml:space="preserve">. </w:t>
      </w:r>
    </w:p>
    <w:p w14:paraId="6D4CB016" w14:textId="77777777" w:rsidR="00207344" w:rsidRPr="001C4D50" w:rsidRDefault="00207344" w:rsidP="00960366">
      <w:pPr>
        <w:rPr>
          <w:b/>
          <w:u w:val="single"/>
        </w:rPr>
      </w:pPr>
    </w:p>
    <w:p w14:paraId="4BF51169" w14:textId="77777777" w:rsidR="00FA54A8" w:rsidRPr="001C4D50" w:rsidRDefault="00FA54A8" w:rsidP="00960366">
      <w:pPr>
        <w:rPr>
          <w:rFonts w:cstheme="minorHAnsi"/>
          <w:b/>
          <w:bCs/>
          <w:u w:val="single"/>
        </w:rPr>
      </w:pPr>
      <w:r w:rsidRPr="001C4D50">
        <w:rPr>
          <w:rFonts w:cstheme="minorHAnsi"/>
          <w:b/>
          <w:bCs/>
          <w:u w:val="single"/>
        </w:rPr>
        <w:t>Conclusion</w:t>
      </w:r>
    </w:p>
    <w:p w14:paraId="4B34B6FA" w14:textId="77777777" w:rsidR="006244E8" w:rsidRPr="001C4D50" w:rsidRDefault="006244E8" w:rsidP="00960366">
      <w:pPr>
        <w:rPr>
          <w:rFonts w:cstheme="minorHAnsi"/>
          <w:b/>
          <w:bCs/>
          <w:u w:val="single"/>
        </w:rPr>
      </w:pPr>
    </w:p>
    <w:p w14:paraId="55B6C2E6" w14:textId="204980DE" w:rsidR="00960366" w:rsidRPr="001C4D50" w:rsidRDefault="00A06E44" w:rsidP="00654839">
      <w:pPr>
        <w:autoSpaceDE w:val="0"/>
        <w:autoSpaceDN w:val="0"/>
        <w:adjustRightInd w:val="0"/>
        <w:rPr>
          <w:rFonts w:cstheme="minorHAnsi"/>
        </w:rPr>
      </w:pPr>
      <w:r w:rsidRPr="001C4D50">
        <w:rPr>
          <w:rFonts w:cstheme="minorHAnsi"/>
        </w:rPr>
        <w:t xml:space="preserve">With the use of cell therapy for cartilage repair being one of the </w:t>
      </w:r>
      <w:r w:rsidR="007B5EC4" w:rsidRPr="001C4D50">
        <w:rPr>
          <w:rFonts w:cstheme="minorHAnsi"/>
        </w:rPr>
        <w:t>front-runners</w:t>
      </w:r>
      <w:r w:rsidRPr="001C4D50">
        <w:rPr>
          <w:rFonts w:cstheme="minorHAnsi"/>
        </w:rPr>
        <w:t xml:space="preserve"> </w:t>
      </w:r>
      <w:r w:rsidR="008A53BA" w:rsidRPr="001C4D50">
        <w:rPr>
          <w:rFonts w:cstheme="minorHAnsi"/>
        </w:rPr>
        <w:t>in the regenerative medicine fi</w:t>
      </w:r>
      <w:r w:rsidRPr="001C4D50">
        <w:rPr>
          <w:rFonts w:cstheme="minorHAnsi"/>
        </w:rPr>
        <w:t>e</w:t>
      </w:r>
      <w:r w:rsidR="008A53BA" w:rsidRPr="001C4D50">
        <w:rPr>
          <w:rFonts w:cstheme="minorHAnsi"/>
        </w:rPr>
        <w:t>l</w:t>
      </w:r>
      <w:r w:rsidRPr="001C4D50">
        <w:rPr>
          <w:rFonts w:cstheme="minorHAnsi"/>
        </w:rPr>
        <w:t xml:space="preserve">d, it is perhaps now at an important crossroads. The current use of ambiguous terms to describe cell therapies in general is </w:t>
      </w:r>
      <w:r w:rsidR="004C1ED1" w:rsidRPr="001C4D50">
        <w:rPr>
          <w:rFonts w:cstheme="minorHAnsi"/>
        </w:rPr>
        <w:t>both l</w:t>
      </w:r>
      <w:r w:rsidRPr="001C4D50">
        <w:rPr>
          <w:rFonts w:cstheme="minorHAnsi"/>
        </w:rPr>
        <w:t xml:space="preserve">imiting our scientific understanding of the basic attributes of cell therapies and </w:t>
      </w:r>
      <w:r w:rsidR="004C1ED1" w:rsidRPr="001C4D50">
        <w:rPr>
          <w:rFonts w:cstheme="minorHAnsi"/>
        </w:rPr>
        <w:t xml:space="preserve">undermining </w:t>
      </w:r>
      <w:r w:rsidRPr="001C4D50">
        <w:rPr>
          <w:rFonts w:cstheme="minorHAnsi"/>
        </w:rPr>
        <w:t>clinical practice</w:t>
      </w:r>
      <w:r w:rsidR="004C1ED1" w:rsidRPr="001C4D50">
        <w:rPr>
          <w:rFonts w:cstheme="minorHAnsi"/>
          <w:noProof/>
        </w:rPr>
        <w:t xml:space="preserve"> </w:t>
      </w:r>
      <w:r w:rsidR="004C1ED1" w:rsidRPr="001C4D50">
        <w:rPr>
          <w:rFonts w:cstheme="minorHAnsi"/>
        </w:rPr>
        <w:fldChar w:fldCharType="begin" w:fldLock="1"/>
      </w:r>
      <w:r w:rsidR="00C8414E" w:rsidRPr="001C4D50">
        <w:rPr>
          <w:rFonts w:cstheme="minorHAnsi"/>
        </w:rPr>
        <w:instrText>ADDIN CSL_CITATION {"citationItems":[{"id":"ITEM-1","itemData":{"DOI":"10.2106/JBJS.18.00915","ISSN":"15351386","PMID":"31094982","abstract":"Background:The lack of a standardized system for describing cell therapies acts as a barrier to advancement in clinical and basic research and practice. The aim of this study was to establish an international expert consensus on strategies to improve standardization and transparency when describing cell therapies. The secondary aim was to develop a consensus among experts on the contents of a standardized tool for describing cell therapies.Methods:The need for expert consensus on strategies to improve cell therapy communication was confirmed at the American Academy of Orthopaedic Surgeons/National Institutes of Health Optimizing Clinical Use of Biologics Symposium in 2018. A working group of 6 experts convened an international consensus process involving clinicians and basic scientists using validated Delphi methodology. This iterative process was used to define statements on communication of cell therapies and develop a standardized tool for describing cell therapies.Results:Thirty-four experts completed 3 rounds survey with use of the Delphi process. After 3 rounds, 27 statements relating to existing nomenclature, solutions to improve communication, ideal characteristics of a framework, mandatory elements of a new framework, and future work to facilitate application reached consensus with &gt;80% agreement and &lt;5% disagreement. Consensus was reached on the contents of a tool for improving standardization and transparency when describing cell therapies. This tool, dubbed \"DOSES,\" is based on the reporting of 5 core items: donor (i.e., autologous, allogeneic, xenogeneic), origin of tissue, separation from other cell types/preparation method, exhibited cell characteristics associated with behavior, and the site of delivery.Conclusions:This study has established expert consensus on the communication of cell therapies. The DOSES tool has been developed to improve standardization and transparency in describing cell therapies.Clinical Relevance:The DOSES tool for describing cell therapies can be utilized by researchers, clinicians, regulators, and industry professionals to improve standardization and transparency when describing cell therapies. The use of this tool may allow clinicians and patients to better understand the characteristics of current and future cell preparations.","author":[{"dropping-particle":"","family":"Murray","given":"Iain R.","non-dropping-particle":"","parse-names":false,"suffix":""},{"dropping-particle":"","family":"Chahla","given":"Jorge","non-dropping-particle":"","parse-names":false,"suffix":""},{"dropping-particle":"","family":"Safran","given":"Marc R.","non-dropping-particle":"","parse-names":false,"suffix":""},{"dropping-particle":"","family":"Krych","given":"Aaron J.","non-dropping-particle":"","parse-names":false,"suffix":""},{"dropping-particle":"","family":"Saris","given":"Daniel B.F.","non-dropping-particle":"","parse-names":false,"suffix":""},{"dropping-particle":"","family":"Caplan","given":"Arnold I.","non-dropping-particle":"","parse-names":false,"suffix":""},{"dropping-particle":"","family":"Laprade","given":"Robert F.","non-dropping-particle":"","parse-names":false,"suffix":""},{"dropping-particle":"","family":"Cole","given":"Brian J.","non-dropping-particle":"","parse-names":false,"suffix":""},{"dropping-particle":"","family":"Guilak","given":"Farshid","non-dropping-particle":"","parse-names":false,"suffix":""},{"dropping-particle":"","family":"Rodeo","given":"Scott A.","non-dropping-particle":"","parse-names":false,"suffix":""},{"dropping-particle":"","family":"Lattermann","given":"Christian","non-dropping-particle":"","parse-names":false,"suffix":""},{"dropping-particle":"","family":"Birch","given":"Mark A.","non-dropping-particle":"","parse-names":false,"suffix":""},{"dropping-particle":"","family":"Peault","given":"Bruno","non-dropping-particle":"","parse-names":false,"suffix":""},{"dropping-particle":"","family":"Biant","given":"Leela C.","non-dropping-particle":"","parse-names":false,"suffix":""},{"dropping-particle":"","family":"Chu","given":"Constance R.","non-dropping-particle":"","parse-names":false,"suffix":""},{"dropping-particle":"","family":"Dalby","given":"Matthew J.","non-dropping-particle":"","parse-names":false,"suffix":""},{"dropping-particle":"","family":"Dietz","given":"Allan B.","non-dropping-particle":"","parse-names":false,"suffix":""},{"dropping-particle":"","family":"Dragoo","given":"Jason L.","non-dropping-particle":"","parse-names":false,"suffix":""},{"dropping-particle":"","family":"Engebretsen","given":"Lars","non-dropping-particle":"","parse-names":false,"suffix":""},{"dropping-particle":"","family":"Evseenko","given":"Denis","non-dropping-particle":"","parse-names":false,"suffix":""},{"dropping-particle":"","family":"Getgood","given":"Alan","non-dropping-particle":"","parse-names":false,"suffix":""},{"dropping-particle":"","family":"Geeslin","given":"Andrew G.","non-dropping-particle":"","parse-names":false,"suffix":""},{"dropping-particle":"","family":"Hollander","given":"Anthony P.","non-dropping-particle":"","parse-names":false,"suffix":""},{"dropping-particle":"","family":"Huard","given":"Johnny","non-dropping-particle":"","parse-names":false,"suffix":""},{"dropping-particle":"","family":"Kon","given":"Elizaveta","non-dropping-particle":"","parse-names":false,"suffix":""},{"dropping-particle":"","family":"Maffulli","given":"Nicola","non-dropping-particle":"","parse-names":false,"suffix":""},{"dropping-particle":"","family":"Mandelbaum","given":"Bert R.","non-dropping-particle":"","parse-names":false,"suffix":""},{"dropping-particle":"","family":"Mardones","given":"Rodrigo","non-dropping-particle":"","parse-names":false,"suffix":""},{"dropping-particle":"","family":"Petrigliano","given":"Frank A.","non-dropping-particle":"","parse-names":false,"suffix":""},{"dropping-particle":"","family":"Simpson","given":"A. Hamish R.W.","non-dropping-particle":"","parse-names":false,"suffix":""},{"dropping-particle":"","family":"Wang","given":"James H.C.","non-dropping-particle":"","parse-names":false,"suffix":""},{"dropping-particle":"","family":"Madry","given":"Henning","non-dropping-particle":"","parse-names":false,"suffix":""},{"dropping-particle":"","family":"Jo","given":"Chris H.","non-dropping-particle":"","parse-names":false,"suffix":""},{"dropping-particle":"","family":"Nakamura","given":"Norimasa","non-dropping-particle":"","parse-names":false,"suffix":""}],"container-title":"Journal of Bone and Joint Surgery - American Volume","id":"ITEM-1","issue":"10","issued":{"date-parts":[["2019"]]},"page":"904-911","title":"International Expert Consensus on a Cell Therapy Communication Tool: DOSES","type":"article-journal","volume":"101"},"uris":["http://www.mendeley.com/documents/?uuid=fa68a057-967e-4a51-b081-033aa2665de6"]}],"mendeley":{"formattedCitation":"[71]","plainTextFormattedCitation":"[71]","previouslyFormattedCitation":"[70]"},"properties":{"noteIndex":0},"schema":"https://github.com/citation-style-language/schema/raw/master/csl-citation.json"}</w:instrText>
      </w:r>
      <w:r w:rsidR="004C1ED1" w:rsidRPr="001C4D50">
        <w:rPr>
          <w:rFonts w:cstheme="minorHAnsi"/>
        </w:rPr>
        <w:fldChar w:fldCharType="separate"/>
      </w:r>
      <w:r w:rsidR="00C8414E" w:rsidRPr="001C4D50">
        <w:rPr>
          <w:rFonts w:cstheme="minorHAnsi"/>
          <w:noProof/>
        </w:rPr>
        <w:t>[71]</w:t>
      </w:r>
      <w:r w:rsidR="004C1ED1" w:rsidRPr="001C4D50">
        <w:rPr>
          <w:rFonts w:cstheme="minorHAnsi"/>
        </w:rPr>
        <w:fldChar w:fldCharType="end"/>
      </w:r>
      <w:r w:rsidR="004C1ED1" w:rsidRPr="001C4D50">
        <w:rPr>
          <w:rFonts w:cstheme="minorHAnsi"/>
        </w:rPr>
        <w:t>)</w:t>
      </w:r>
      <w:r w:rsidRPr="001C4D50">
        <w:rPr>
          <w:rFonts w:cstheme="minorHAnsi"/>
        </w:rPr>
        <w:t>.</w:t>
      </w:r>
      <w:r w:rsidR="008A53BA" w:rsidRPr="001C4D50">
        <w:rPr>
          <w:rFonts w:cstheme="minorHAnsi"/>
        </w:rPr>
        <w:t xml:space="preserve"> Improved and more standardised nomenclature</w:t>
      </w:r>
      <w:r w:rsidR="00D06BAC" w:rsidRPr="001C4D50">
        <w:rPr>
          <w:rFonts w:cstheme="minorHAnsi"/>
        </w:rPr>
        <w:t xml:space="preserve"> </w:t>
      </w:r>
      <w:r w:rsidR="002E515A" w:rsidRPr="001C4D50">
        <w:rPr>
          <w:rFonts w:cstheme="minorHAnsi"/>
        </w:rPr>
        <w:t>regarding</w:t>
      </w:r>
      <w:r w:rsidR="00D06BAC" w:rsidRPr="001C4D50">
        <w:rPr>
          <w:rFonts w:cstheme="minorHAnsi"/>
        </w:rPr>
        <w:t xml:space="preserve"> the cells, such as </w:t>
      </w:r>
      <w:r w:rsidR="002E515A" w:rsidRPr="001C4D50">
        <w:rPr>
          <w:rFonts w:cstheme="minorHAnsi"/>
        </w:rPr>
        <w:t xml:space="preserve">the </w:t>
      </w:r>
      <w:r w:rsidR="00D06BAC" w:rsidRPr="001C4D50">
        <w:rPr>
          <w:rFonts w:cstheme="minorHAnsi"/>
        </w:rPr>
        <w:t xml:space="preserve">use of the DOSES tool </w:t>
      </w:r>
      <w:r w:rsidR="004C1ED1" w:rsidRPr="001C4D50">
        <w:rPr>
          <w:rFonts w:cstheme="minorHAnsi"/>
        </w:rPr>
        <w:fldChar w:fldCharType="begin" w:fldLock="1"/>
      </w:r>
      <w:r w:rsidR="00C8414E" w:rsidRPr="001C4D50">
        <w:rPr>
          <w:rFonts w:cstheme="minorHAnsi"/>
        </w:rPr>
        <w:instrText>ADDIN CSL_CITATION {"citationItems":[{"id":"ITEM-1","itemData":{"DOI":"10.2106/JBJS.18.00915","ISSN":"15351386","PMID":"31094982","abstract":"Background:The lack of a standardized system for describing cell therapies acts as a barrier to advancement in clinical and basic research and practice. The aim of this study was to establish an international expert consensus on strategies to improve standardization and transparency when describing cell therapies. The secondary aim was to develop a consensus among experts on the contents of a standardized tool for describing cell therapies.Methods:The need for expert consensus on strategies to improve cell therapy communication was confirmed at the American Academy of Orthopaedic Surgeons/National Institutes of Health Optimizing Clinical Use of Biologics Symposium in 2018. A working group of 6 experts convened an international consensus process involving clinicians and basic scientists using validated Delphi methodology. This iterative process was used to define statements on communication of cell therapies and develop a standardized tool for describing cell therapies.Results:Thirty-four experts completed 3 rounds survey with use of the Delphi process. After 3 rounds, 27 statements relating to existing nomenclature, solutions to improve communication, ideal characteristics of a framework, mandatory elements of a new framework, and future work to facilitate application reached consensus with &gt;80% agreement and &lt;5% disagreement. Consensus was reached on the contents of a tool for improving standardization and transparency when describing cell therapies. This tool, dubbed \"DOSES,\" is based on the reporting of 5 core items: donor (i.e., autologous, allogeneic, xenogeneic), origin of tissue, separation from other cell types/preparation method, exhibited cell characteristics associated with behavior, and the site of delivery.Conclusions:This study has established expert consensus on the communication of cell therapies. The DOSES tool has been developed to improve standardization and transparency in describing cell therapies.Clinical Relevance:The DOSES tool for describing cell therapies can be utilized by researchers, clinicians, regulators, and industry professionals to improve standardization and transparency when describing cell therapies. The use of this tool may allow clinicians and patients to better understand the characteristics of current and future cell preparations.","author":[{"dropping-particle":"","family":"Murray","given":"Iain R.","non-dropping-particle":"","parse-names":false,"suffix":""},{"dropping-particle":"","family":"Chahla","given":"Jorge","non-dropping-particle":"","parse-names":false,"suffix":""},{"dropping-particle":"","family":"Safran","given":"Marc R.","non-dropping-particle":"","parse-names":false,"suffix":""},{"dropping-particle":"","family":"Krych","given":"Aaron J.","non-dropping-particle":"","parse-names":false,"suffix":""},{"dropping-particle":"","family":"Saris","given":"Daniel B.F.","non-dropping-particle":"","parse-names":false,"suffix":""},{"dropping-particle":"","family":"Caplan","given":"Arnold I.","non-dropping-particle":"","parse-names":false,"suffix":""},{"dropping-particle":"","family":"Laprade","given":"Robert F.","non-dropping-particle":"","parse-names":false,"suffix":""},{"dropping-particle":"","family":"Cole","given":"Brian J.","non-dropping-particle":"","parse-names":false,"suffix":""},{"dropping-particle":"","family":"Guilak","given":"Farshid","non-dropping-particle":"","parse-names":false,"suffix":""},{"dropping-particle":"","family":"Rodeo","given":"Scott A.","non-dropping-particle":"","parse-names":false,"suffix":""},{"dropping-particle":"","family":"Lattermann","given":"Christian","non-dropping-particle":"","parse-names":false,"suffix":""},{"dropping-particle":"","family":"Birch","given":"Mark A.","non-dropping-particle":"","parse-names":false,"suffix":""},{"dropping-particle":"","family":"Peault","given":"Bruno","non-dropping-particle":"","parse-names":false,"suffix":""},{"dropping-particle":"","family":"Biant","given":"Leela C.","non-dropping-particle":"","parse-names":false,"suffix":""},{"dropping-particle":"","family":"Chu","given":"Constance R.","non-dropping-particle":"","parse-names":false,"suffix":""},{"dropping-particle":"","family":"Dalby","given":"Matthew J.","non-dropping-particle":"","parse-names":false,"suffix":""},{"dropping-particle":"","family":"Dietz","given":"Allan B.","non-dropping-particle":"","parse-names":false,"suffix":""},{"dropping-particle":"","family":"Dragoo","given":"Jason L.","non-dropping-particle":"","parse-names":false,"suffix":""},{"dropping-particle":"","family":"Engebretsen","given":"Lars","non-dropping-particle":"","parse-names":false,"suffix":""},{"dropping-particle":"","family":"Evseenko","given":"Denis","non-dropping-particle":"","parse-names":false,"suffix":""},{"dropping-particle":"","family":"Getgood","given":"Alan","non-dropping-particle":"","parse-names":false,"suffix":""},{"dropping-particle":"","family":"Geeslin","given":"Andrew G.","non-dropping-particle":"","parse-names":false,"suffix":""},{"dropping-particle":"","family":"Hollander","given":"Anthony P.","non-dropping-particle":"","parse-names":false,"suffix":""},{"dropping-particle":"","family":"Huard","given":"Johnny","non-dropping-particle":"","parse-names":false,"suffix":""},{"dropping-particle":"","family":"Kon","given":"Elizaveta","non-dropping-particle":"","parse-names":false,"suffix":""},{"dropping-particle":"","family":"Maffulli","given":"Nicola","non-dropping-particle":"","parse-names":false,"suffix":""},{"dropping-particle":"","family":"Mandelbaum","given":"Bert R.","non-dropping-particle":"","parse-names":false,"suffix":""},{"dropping-particle":"","family":"Mardones","given":"Rodrigo","non-dropping-particle":"","parse-names":false,"suffix":""},{"dropping-particle":"","family":"Petrigliano","given":"Frank A.","non-dropping-particle":"","parse-names":false,"suffix":""},{"dropping-particle":"","family":"Simpson","given":"A. Hamish R.W.","non-dropping-particle":"","parse-names":false,"suffix":""},{"dropping-particle":"","family":"Wang","given":"James H.C.","non-dropping-particle":"","parse-names":false,"suffix":""},{"dropping-particle":"","family":"Madry","given":"Henning","non-dropping-particle":"","parse-names":false,"suffix":""},{"dropping-particle":"","family":"Jo","given":"Chris H.","non-dropping-particle":"","parse-names":false,"suffix":""},{"dropping-particle":"","family":"Nakamura","given":"Norimasa","non-dropping-particle":"","parse-names":false,"suffix":""}],"container-title":"Journal of Bone and Joint Surgery - American Volume","id":"ITEM-1","issue":"10","issued":{"date-parts":[["2019"]]},"page":"904-911","title":"International Expert Consensus on a Cell Therapy Communication Tool: DOSES","type":"article-journal","volume":"101"},"uris":["http://www.mendeley.com/documents/?uuid=fa68a057-967e-4a51-b081-033aa2665de6"]}],"mendeley":{"formattedCitation":"[71]","plainTextFormattedCitation":"[71]","previouslyFormattedCitation":"[70]"},"properties":{"noteIndex":0},"schema":"https://github.com/citation-style-language/schema/raw/master/csl-citation.json"}</w:instrText>
      </w:r>
      <w:r w:rsidR="004C1ED1" w:rsidRPr="001C4D50">
        <w:rPr>
          <w:rFonts w:cstheme="minorHAnsi"/>
        </w:rPr>
        <w:fldChar w:fldCharType="separate"/>
      </w:r>
      <w:r w:rsidR="00C8414E" w:rsidRPr="001C4D50">
        <w:rPr>
          <w:rFonts w:cstheme="minorHAnsi"/>
          <w:noProof/>
        </w:rPr>
        <w:t>[71]</w:t>
      </w:r>
      <w:r w:rsidR="004C1ED1" w:rsidRPr="001C4D50">
        <w:rPr>
          <w:rFonts w:cstheme="minorHAnsi"/>
        </w:rPr>
        <w:fldChar w:fldCharType="end"/>
      </w:r>
      <w:r w:rsidR="00D06BAC" w:rsidRPr="001C4D50">
        <w:rPr>
          <w:rFonts w:cstheme="minorHAnsi"/>
        </w:rPr>
        <w:t>, would help</w:t>
      </w:r>
      <w:r w:rsidR="00654839" w:rsidRPr="001C4D50">
        <w:rPr>
          <w:rFonts w:cstheme="minorHAnsi"/>
        </w:rPr>
        <w:t>, as</w:t>
      </w:r>
      <w:r w:rsidR="002E515A" w:rsidRPr="001C4D50">
        <w:rPr>
          <w:rFonts w:cstheme="minorHAnsi"/>
        </w:rPr>
        <w:t xml:space="preserve"> </w:t>
      </w:r>
      <w:r w:rsidR="008A53BA" w:rsidRPr="001C4D50">
        <w:rPr>
          <w:rFonts w:cstheme="minorHAnsi"/>
        </w:rPr>
        <w:t>might improved characterisation</w:t>
      </w:r>
      <w:r w:rsidR="002E515A" w:rsidRPr="001C4D50">
        <w:rPr>
          <w:rFonts w:cstheme="minorHAnsi"/>
        </w:rPr>
        <w:t>,</w:t>
      </w:r>
      <w:r w:rsidR="008A53BA" w:rsidRPr="001C4D50">
        <w:rPr>
          <w:rFonts w:cstheme="minorHAnsi"/>
        </w:rPr>
        <w:t xml:space="preserve"> </w:t>
      </w:r>
      <w:r w:rsidR="004C1ED1" w:rsidRPr="001C4D50">
        <w:rPr>
          <w:rFonts w:cstheme="minorHAnsi"/>
        </w:rPr>
        <w:t>e</w:t>
      </w:r>
      <w:r w:rsidR="007B5EC4" w:rsidRPr="001C4D50">
        <w:rPr>
          <w:rFonts w:cstheme="minorHAnsi"/>
        </w:rPr>
        <w:t>.</w:t>
      </w:r>
      <w:r w:rsidR="004C1ED1" w:rsidRPr="001C4D50">
        <w:rPr>
          <w:rFonts w:cstheme="minorHAnsi"/>
        </w:rPr>
        <w:t>g</w:t>
      </w:r>
      <w:r w:rsidR="007B5EC4" w:rsidRPr="001C4D50">
        <w:rPr>
          <w:rFonts w:cstheme="minorHAnsi"/>
        </w:rPr>
        <w:t>.</w:t>
      </w:r>
      <w:r w:rsidR="004C1ED1" w:rsidRPr="001C4D50">
        <w:rPr>
          <w:rFonts w:cstheme="minorHAnsi"/>
        </w:rPr>
        <w:t xml:space="preserve"> with</w:t>
      </w:r>
      <w:r w:rsidR="008F5DEA" w:rsidRPr="001C4D50">
        <w:rPr>
          <w:rFonts w:cstheme="minorHAnsi"/>
        </w:rPr>
        <w:t xml:space="preserve"> transformative technologies, such as</w:t>
      </w:r>
      <w:r w:rsidR="004C1ED1" w:rsidRPr="001C4D50">
        <w:rPr>
          <w:rFonts w:cstheme="minorHAnsi"/>
        </w:rPr>
        <w:t xml:space="preserve"> </w:t>
      </w:r>
      <w:r w:rsidR="008F5DEA" w:rsidRPr="001C4D50">
        <w:rPr>
          <w:rFonts w:cstheme="minorHAnsi"/>
        </w:rPr>
        <w:t xml:space="preserve">large scale </w:t>
      </w:r>
      <w:r w:rsidR="004C1ED1" w:rsidRPr="001C4D50">
        <w:rPr>
          <w:rFonts w:cstheme="minorHAnsi"/>
        </w:rPr>
        <w:t>‘omic</w:t>
      </w:r>
      <w:r w:rsidR="008F5DEA" w:rsidRPr="001C4D50">
        <w:rPr>
          <w:rFonts w:cstheme="minorHAnsi"/>
        </w:rPr>
        <w:t>s</w:t>
      </w:r>
      <w:r w:rsidR="004C1ED1" w:rsidRPr="001C4D50">
        <w:rPr>
          <w:rFonts w:cstheme="minorHAnsi"/>
        </w:rPr>
        <w:t xml:space="preserve"> </w:t>
      </w:r>
      <w:r w:rsidR="008F5DEA" w:rsidRPr="001C4D50">
        <w:rPr>
          <w:rFonts w:cstheme="minorHAnsi"/>
        </w:rPr>
        <w:t>or use of single cell sequencing</w:t>
      </w:r>
      <w:r w:rsidR="004C1ED1" w:rsidRPr="001C4D50">
        <w:rPr>
          <w:rFonts w:cstheme="minorHAnsi"/>
        </w:rPr>
        <w:t xml:space="preserve">, </w:t>
      </w:r>
      <w:r w:rsidR="00D06BAC" w:rsidRPr="001C4D50">
        <w:rPr>
          <w:rFonts w:cstheme="minorHAnsi"/>
        </w:rPr>
        <w:t>of cell therap</w:t>
      </w:r>
      <w:r w:rsidR="002E515A" w:rsidRPr="001C4D50">
        <w:rPr>
          <w:rFonts w:cstheme="minorHAnsi"/>
        </w:rPr>
        <w:t>y products</w:t>
      </w:r>
      <w:r w:rsidR="00D06BAC" w:rsidRPr="001C4D50">
        <w:rPr>
          <w:rFonts w:cstheme="minorHAnsi"/>
        </w:rPr>
        <w:t>, whether ATMPs or minimally manipulated cells</w:t>
      </w:r>
      <w:r w:rsidR="00654839" w:rsidRPr="001C4D50">
        <w:rPr>
          <w:rFonts w:cstheme="minorHAnsi"/>
        </w:rPr>
        <w:t xml:space="preserve"> </w:t>
      </w:r>
      <w:r w:rsidR="00654839" w:rsidRPr="001C4D50">
        <w:rPr>
          <w:rFonts w:cstheme="minorHAnsi"/>
        </w:rPr>
        <w:fldChar w:fldCharType="begin" w:fldLock="1"/>
      </w:r>
      <w:r w:rsidR="00654839" w:rsidRPr="001C4D50">
        <w:rPr>
          <w:rFonts w:cstheme="minorHAnsi"/>
        </w:rPr>
        <w:instrText>ADDIN CSL_CITATION {"citationItems":[{"id":"ITEM-1","itemData":{"ISSN":"20573995","PMID":"31815001","abstract":"The terms MSC and MSCs have become the preferred acronym to describe a cell and a cell population of multipotential stem/progenitor cells commonly referred to as mesenchymal stem cells, multipotential stromal cells, mesenchymal stromal cells, and mesenchymal progenitor cells. The MSCs can differentiate to important lineages under defined conditions in vitro and in limited situations after implantation in vivo. MSCs were isolated and described about 30 years ago and now there are over 55,000 publications on MSCs readily available. Here, we have focused on human MSCs whenever possible. The MSCs have broad anti-inflammatory and immune-modulatory properties. At present, these provide the greatest focus of human MSCs in clinical testing; however, the properties of cultured MSCs in vitro suggest they can have broader applications. The medical utility of MSCs continues to be investigated in over 950 clinical trials. There has been much progress in understanding MSCs over the years, and there is a strong foundation for future scientific research and clinical applications, but also some important questions remain to be answered. Developing further methods to understand and unlock MSC potential through intracellular and intercellular signaling, biomedical engineering, delivery methods and patient selection should all provide substantial advancements in the coming years and greater clinical opportunities. The expansive and growing field of MSC research is teaching us basic human cell biology as well as how to use this type of cell for cellular therapy in a variety of clinical settings, and while much promise is evident, careful new work is still needed.","author":[{"dropping-particle":"","family":"Pittenger","given":"Mark F","non-dropping-particle":"","parse-names":false,"suffix":""},{"dropping-particle":"","family":"Discher","given":"Dennis E","non-dropping-particle":"","parse-names":false,"suffix":""},{"dropping-particle":"","family":"Péault","given":"Bruno M","non-dropping-particle":"","parse-names":false,"suffix":""},{"dropping-particle":"","family":"Phinney","given":"Donald G","non-dropping-particle":"","parse-names":false,"suffix":""},{"dropping-particle":"","family":"Hare","given":"Joshua M","non-dropping-particle":"","parse-names":false,"suffix":""},{"dropping-particle":"","family":"Caplan","given":"Arnold I","non-dropping-particle":"","parse-names":false,"suffix":""}],"container-title":"npj Regenerative Medicine","id":"ITEM-1","issue":"1","issued":{"date-parts":[["2019"]]},"publisher":"Springer US","title":"Mesenchymal stem cell perspective: cell biology to clinical progress","type":"article-journal","volume":"4"},"uris":["http://www.mendeley.com/documents/?uuid=927d34e7-a421-4da4-8b73-e29e9aa8347d"]}],"mendeley":{"formattedCitation":"[37]","plainTextFormattedCitation":"[37]","previouslyFormattedCitation":"[37]"},"properties":{"noteIndex":0},"schema":"https://github.com/citation-style-language/schema/raw/master/csl-citation.json"}</w:instrText>
      </w:r>
      <w:r w:rsidR="00654839" w:rsidRPr="001C4D50">
        <w:rPr>
          <w:rFonts w:cstheme="minorHAnsi"/>
        </w:rPr>
        <w:fldChar w:fldCharType="separate"/>
      </w:r>
      <w:r w:rsidR="00654839" w:rsidRPr="001C4D50">
        <w:rPr>
          <w:rFonts w:cstheme="minorHAnsi"/>
          <w:noProof/>
        </w:rPr>
        <w:t>[37]</w:t>
      </w:r>
      <w:r w:rsidR="00654839" w:rsidRPr="001C4D50">
        <w:rPr>
          <w:rFonts w:cstheme="minorHAnsi"/>
        </w:rPr>
        <w:fldChar w:fldCharType="end"/>
      </w:r>
      <w:r w:rsidR="005F4A14" w:rsidRPr="001C4D50">
        <w:rPr>
          <w:rFonts w:cstheme="minorHAnsi"/>
        </w:rPr>
        <w:t xml:space="preserve">. </w:t>
      </w:r>
      <w:r w:rsidR="00D06BAC" w:rsidRPr="001C4D50">
        <w:rPr>
          <w:rFonts w:cstheme="minorHAnsi"/>
        </w:rPr>
        <w:t xml:space="preserve">This in turn could guide regulatory control, which is currently cumbersome and </w:t>
      </w:r>
      <w:r w:rsidR="005F4A14" w:rsidRPr="001C4D50">
        <w:rPr>
          <w:rFonts w:cstheme="minorHAnsi"/>
        </w:rPr>
        <w:t>a definite hurdle to entering the field, both clinically and commercially. Hopefully these can be addressed in the not too distant future to move cell therapy in orthopaedics to its next phase, perhaps delivering well characterised, efficacious, allogeneic cell products in a simple and single procedure, e</w:t>
      </w:r>
      <w:r w:rsidR="00070CF7" w:rsidRPr="001C4D50">
        <w:rPr>
          <w:rFonts w:cstheme="minorHAnsi"/>
        </w:rPr>
        <w:t>.</w:t>
      </w:r>
      <w:r w:rsidR="005F4A14" w:rsidRPr="001C4D50">
        <w:rPr>
          <w:rFonts w:cstheme="minorHAnsi"/>
        </w:rPr>
        <w:t>g</w:t>
      </w:r>
      <w:r w:rsidR="00070CF7" w:rsidRPr="001C4D50">
        <w:rPr>
          <w:rFonts w:cstheme="minorHAnsi"/>
        </w:rPr>
        <w:t>.</w:t>
      </w:r>
      <w:r w:rsidR="005F4A14" w:rsidRPr="001C4D50">
        <w:rPr>
          <w:rFonts w:cstheme="minorHAnsi"/>
        </w:rPr>
        <w:t xml:space="preserve"> via injection.</w:t>
      </w:r>
    </w:p>
    <w:p w14:paraId="7D3B618D" w14:textId="64C3E154" w:rsidR="180A1622" w:rsidRPr="001C4D50" w:rsidRDefault="180A1622" w:rsidP="428DD730">
      <w:pPr>
        <w:shd w:val="clear" w:color="auto" w:fill="FFFFFF" w:themeFill="background1"/>
        <w:spacing w:beforeAutospacing="1" w:afterAutospacing="1"/>
        <w:rPr>
          <w:rFonts w:ascii="Calibri" w:eastAsia="Calibri" w:hAnsi="Calibri" w:cs="Calibri"/>
          <w:b/>
          <w:iCs/>
          <w:color w:val="1A1A1A"/>
          <w:u w:val="single"/>
        </w:rPr>
      </w:pPr>
      <w:r w:rsidRPr="001C4D50">
        <w:rPr>
          <w:rFonts w:ascii="Calibri" w:eastAsia="Calibri" w:hAnsi="Calibri" w:cs="Calibri"/>
          <w:b/>
          <w:iCs/>
          <w:color w:val="1A1A1A"/>
          <w:u w:val="single"/>
        </w:rPr>
        <w:t xml:space="preserve">Summary Points </w:t>
      </w:r>
    </w:p>
    <w:p w14:paraId="190D6F07" w14:textId="679EB02D" w:rsidR="00CC5CFA" w:rsidRPr="001C4D50" w:rsidRDefault="00CC5CFA" w:rsidP="00CC5CFA">
      <w:pPr>
        <w:pStyle w:val="ListParagraph"/>
        <w:numPr>
          <w:ilvl w:val="0"/>
          <w:numId w:val="2"/>
        </w:numPr>
        <w:shd w:val="clear" w:color="auto" w:fill="FFFFFF" w:themeFill="background1"/>
        <w:rPr>
          <w:rFonts w:cstheme="minorHAnsi"/>
          <w:color w:val="000000" w:themeColor="text1"/>
        </w:rPr>
      </w:pPr>
      <w:r w:rsidRPr="001C4D50">
        <w:rPr>
          <w:rFonts w:cstheme="minorHAnsi"/>
          <w:color w:val="000000"/>
        </w:rPr>
        <w:t>Cell therapy for treating chondral/osteochondral defects is an excellent exemplar o</w:t>
      </w:r>
      <w:r w:rsidR="004D0DF7" w:rsidRPr="001C4D50">
        <w:rPr>
          <w:rFonts w:cstheme="minorHAnsi"/>
          <w:color w:val="000000"/>
        </w:rPr>
        <w:t xml:space="preserve">f a successful regenerative </w:t>
      </w:r>
      <w:r w:rsidR="00531506" w:rsidRPr="001C4D50">
        <w:rPr>
          <w:rFonts w:cstheme="minorHAnsi"/>
          <w:color w:val="000000"/>
        </w:rPr>
        <w:t>medicine, which</w:t>
      </w:r>
      <w:r w:rsidR="004D0DF7" w:rsidRPr="001C4D50">
        <w:rPr>
          <w:rFonts w:cstheme="minorHAnsi"/>
          <w:color w:val="000000"/>
        </w:rPr>
        <w:t xml:space="preserve"> has provided meaningful clinical improvement in patients for nearly three decades. </w:t>
      </w:r>
    </w:p>
    <w:p w14:paraId="6D0C6518" w14:textId="602A33E4" w:rsidR="00B664D2" w:rsidRPr="001C4D50" w:rsidRDefault="00B664D2" w:rsidP="00CC5CFA">
      <w:pPr>
        <w:pStyle w:val="ListParagraph"/>
        <w:numPr>
          <w:ilvl w:val="0"/>
          <w:numId w:val="2"/>
        </w:numPr>
        <w:shd w:val="clear" w:color="auto" w:fill="FFFFFF" w:themeFill="background1"/>
        <w:rPr>
          <w:rFonts w:cstheme="minorHAnsi"/>
          <w:color w:val="000000" w:themeColor="text1"/>
        </w:rPr>
      </w:pPr>
      <w:r w:rsidRPr="001C4D50">
        <w:rPr>
          <w:rFonts w:cstheme="minorHAnsi"/>
          <w:color w:val="000000"/>
        </w:rPr>
        <w:t xml:space="preserve">Whilst autologous chondrocyte implantation has been shown to be cost-effective, its widespread use has been restricted principally by the governance and licensing associated with an autologous cell therapy. </w:t>
      </w:r>
    </w:p>
    <w:p w14:paraId="6AEAEB47" w14:textId="40F89231" w:rsidR="00A301F8" w:rsidRPr="001C4D50" w:rsidRDefault="00A301F8" w:rsidP="00A301F8">
      <w:pPr>
        <w:numPr>
          <w:ilvl w:val="0"/>
          <w:numId w:val="2"/>
        </w:numPr>
        <w:shd w:val="clear" w:color="auto" w:fill="FFFFFF"/>
        <w:rPr>
          <w:rFonts w:ascii="Times New Roman" w:eastAsia="Times New Roman" w:hAnsi="Times New Roman" w:cs="Times New Roman"/>
          <w:color w:val="000000"/>
          <w:lang w:eastAsia="en-US"/>
        </w:rPr>
      </w:pPr>
      <w:r w:rsidRPr="001C4D50">
        <w:rPr>
          <w:rFonts w:ascii="Calibri" w:eastAsia="Times New Roman" w:hAnsi="Calibri" w:cs="Times New Roman"/>
          <w:color w:val="000000"/>
          <w:bdr w:val="none" w:sz="0" w:space="0" w:color="auto" w:frame="1"/>
          <w:lang w:eastAsia="en-US"/>
        </w:rPr>
        <w:t>A clinically efficacious allogeneic cell therapy, delivered in a minimally invasive mann</w:t>
      </w:r>
      <w:r w:rsidR="006E1E83" w:rsidRPr="001C4D50">
        <w:rPr>
          <w:rFonts w:ascii="Calibri" w:eastAsia="Times New Roman" w:hAnsi="Calibri" w:cs="Times New Roman"/>
          <w:color w:val="000000"/>
          <w:bdr w:val="none" w:sz="0" w:space="0" w:color="auto" w:frame="1"/>
          <w:lang w:eastAsia="en-US"/>
        </w:rPr>
        <w:t>er,</w:t>
      </w:r>
      <w:r w:rsidRPr="001C4D50">
        <w:rPr>
          <w:rFonts w:ascii="Calibri" w:eastAsia="Times New Roman" w:hAnsi="Calibri" w:cs="Times New Roman"/>
          <w:color w:val="000000"/>
          <w:bdr w:val="none" w:sz="0" w:space="0" w:color="auto" w:frame="1"/>
          <w:lang w:eastAsia="en-US"/>
        </w:rPr>
        <w:t> has the potential to result in a paradigm shift in cell therapy for chondral defects. An allogeneic therapy </w:t>
      </w:r>
      <w:r w:rsidRPr="001C4D50">
        <w:rPr>
          <w:rFonts w:ascii="Calibri" w:eastAsia="Times New Roman" w:hAnsi="Calibri" w:cs="Times New Roman"/>
          <w:color w:val="000000"/>
          <w:bdr w:val="none" w:sz="0" w:space="0" w:color="auto" w:frame="1"/>
          <w:shd w:val="clear" w:color="auto" w:fill="FFFF00"/>
          <w:lang w:eastAsia="en-US"/>
        </w:rPr>
        <w:t>may reduce </w:t>
      </w:r>
      <w:r w:rsidRPr="001C4D50">
        <w:rPr>
          <w:rFonts w:ascii="Calibri" w:eastAsia="Times New Roman" w:hAnsi="Calibri" w:cs="Times New Roman"/>
          <w:color w:val="000000"/>
          <w:bdr w:val="none" w:sz="0" w:space="0" w:color="auto" w:frame="1"/>
          <w:lang w:eastAsia="en-US"/>
        </w:rPr>
        <w:t>current regulatory barriers to use </w:t>
      </w:r>
      <w:r w:rsidRPr="001C4D50">
        <w:rPr>
          <w:rFonts w:ascii="Calibri" w:eastAsia="Times New Roman" w:hAnsi="Calibri" w:cs="Times New Roman"/>
          <w:color w:val="000000"/>
          <w:bdr w:val="none" w:sz="0" w:space="0" w:color="auto" w:frame="1"/>
          <w:shd w:val="clear" w:color="auto" w:fill="FFFF00"/>
          <w:lang w:eastAsia="en-US"/>
        </w:rPr>
        <w:t>in the clinic </w:t>
      </w:r>
      <w:r w:rsidRPr="001C4D50">
        <w:rPr>
          <w:rFonts w:ascii="Calibri" w:eastAsia="Times New Roman" w:hAnsi="Calibri" w:cs="Times New Roman"/>
          <w:color w:val="000000"/>
          <w:bdr w:val="none" w:sz="0" w:space="0" w:color="auto" w:frame="1"/>
          <w:lang w:eastAsia="en-US"/>
        </w:rPr>
        <w:t>and </w:t>
      </w:r>
      <w:r w:rsidRPr="001C4D50">
        <w:rPr>
          <w:rFonts w:ascii="Calibri" w:eastAsia="Times New Roman" w:hAnsi="Calibri" w:cs="Times New Roman"/>
          <w:color w:val="000000"/>
          <w:bdr w:val="none" w:sz="0" w:space="0" w:color="auto" w:frame="1"/>
          <w:shd w:val="clear" w:color="auto" w:fill="FFFF00"/>
          <w:lang w:eastAsia="en-US"/>
        </w:rPr>
        <w:t>should</w:t>
      </w:r>
      <w:r w:rsidRPr="001C4D50">
        <w:rPr>
          <w:rFonts w:ascii="Calibri" w:eastAsia="Times New Roman" w:hAnsi="Calibri" w:cs="Times New Roman"/>
          <w:color w:val="000000"/>
          <w:bdr w:val="none" w:sz="0" w:space="0" w:color="auto" w:frame="1"/>
          <w:lang w:eastAsia="en-US"/>
        </w:rPr>
        <w:t> reduce manufacturing costs, improving its cost-effectiveness. </w:t>
      </w:r>
    </w:p>
    <w:p w14:paraId="1F7CA4DF" w14:textId="2ED851A1" w:rsidR="009A6A50" w:rsidRPr="001C4D50" w:rsidRDefault="009A6A50" w:rsidP="004D0DF7">
      <w:pPr>
        <w:pStyle w:val="ListParagraph"/>
        <w:numPr>
          <w:ilvl w:val="0"/>
          <w:numId w:val="2"/>
        </w:numPr>
        <w:textAlignment w:val="baseline"/>
        <w:rPr>
          <w:rFonts w:cstheme="minorHAnsi"/>
          <w:color w:val="000000"/>
        </w:rPr>
      </w:pPr>
      <w:r w:rsidRPr="001C4D50">
        <w:rPr>
          <w:rFonts w:cstheme="minorHAnsi"/>
          <w:color w:val="000000"/>
        </w:rPr>
        <w:t xml:space="preserve">However, </w:t>
      </w:r>
      <w:r w:rsidR="007B6C76" w:rsidRPr="001C4D50">
        <w:rPr>
          <w:rFonts w:cstheme="minorHAnsi"/>
          <w:color w:val="000000"/>
        </w:rPr>
        <w:t>continuing improvements in transformative scientific technologies,</w:t>
      </w:r>
      <w:r w:rsidRPr="001C4D50">
        <w:rPr>
          <w:rFonts w:cstheme="minorHAnsi"/>
          <w:color w:val="000000"/>
        </w:rPr>
        <w:t xml:space="preserve"> will help us better un</w:t>
      </w:r>
      <w:r w:rsidR="007B6C76" w:rsidRPr="001C4D50">
        <w:rPr>
          <w:rFonts w:cstheme="minorHAnsi"/>
          <w:color w:val="000000"/>
        </w:rPr>
        <w:t>der</w:t>
      </w:r>
      <w:r w:rsidRPr="001C4D50">
        <w:rPr>
          <w:rFonts w:cstheme="minorHAnsi"/>
          <w:color w:val="000000"/>
        </w:rPr>
        <w:t xml:space="preserve">stand the main </w:t>
      </w:r>
      <w:r w:rsidR="007B6C76" w:rsidRPr="001C4D50">
        <w:rPr>
          <w:rFonts w:cstheme="minorHAnsi"/>
          <w:color w:val="000000"/>
        </w:rPr>
        <w:t xml:space="preserve">mechanism </w:t>
      </w:r>
      <w:r w:rsidRPr="001C4D50">
        <w:rPr>
          <w:rFonts w:cstheme="minorHAnsi"/>
          <w:color w:val="000000"/>
        </w:rPr>
        <w:t>o</w:t>
      </w:r>
      <w:r w:rsidR="007B6C76" w:rsidRPr="001C4D50">
        <w:rPr>
          <w:rFonts w:cstheme="minorHAnsi"/>
          <w:color w:val="000000"/>
        </w:rPr>
        <w:t xml:space="preserve">f action </w:t>
      </w:r>
      <w:r w:rsidRPr="001C4D50">
        <w:rPr>
          <w:rFonts w:cstheme="minorHAnsi"/>
          <w:color w:val="000000"/>
        </w:rPr>
        <w:t>of MSCs</w:t>
      </w:r>
      <w:r w:rsidR="007B6C76" w:rsidRPr="001C4D50">
        <w:rPr>
          <w:rFonts w:cstheme="minorHAnsi"/>
          <w:color w:val="000000"/>
        </w:rPr>
        <w:t>, whether that be in</w:t>
      </w:r>
      <w:r w:rsidRPr="001C4D50">
        <w:rPr>
          <w:rFonts w:cstheme="minorHAnsi"/>
          <w:color w:val="000000"/>
        </w:rPr>
        <w:t xml:space="preserve"> influencing the environment</w:t>
      </w:r>
      <w:r w:rsidR="007B6C76" w:rsidRPr="001C4D50">
        <w:rPr>
          <w:rFonts w:cstheme="minorHAnsi"/>
          <w:color w:val="000000"/>
        </w:rPr>
        <w:t xml:space="preserve"> in which they are transplanted</w:t>
      </w:r>
      <w:r w:rsidRPr="001C4D50">
        <w:rPr>
          <w:rFonts w:cstheme="minorHAnsi"/>
          <w:color w:val="000000"/>
        </w:rPr>
        <w:t xml:space="preserve"> or </w:t>
      </w:r>
      <w:r w:rsidR="007B6C76" w:rsidRPr="001C4D50">
        <w:rPr>
          <w:rFonts w:cstheme="minorHAnsi"/>
          <w:color w:val="000000"/>
        </w:rPr>
        <w:t xml:space="preserve">whether </w:t>
      </w:r>
      <w:r w:rsidRPr="001C4D50">
        <w:rPr>
          <w:rFonts w:cstheme="minorHAnsi"/>
          <w:color w:val="000000"/>
        </w:rPr>
        <w:t>the cells themselves differentiat</w:t>
      </w:r>
      <w:r w:rsidR="007B6C76" w:rsidRPr="001C4D50">
        <w:rPr>
          <w:rFonts w:cstheme="minorHAnsi"/>
          <w:color w:val="000000"/>
        </w:rPr>
        <w:t>e</w:t>
      </w:r>
      <w:r w:rsidRPr="001C4D50">
        <w:rPr>
          <w:rFonts w:cstheme="minorHAnsi"/>
          <w:color w:val="000000"/>
        </w:rPr>
        <w:t xml:space="preserve"> into chondrocytes</w:t>
      </w:r>
      <w:r w:rsidR="007B6C76" w:rsidRPr="001C4D50">
        <w:rPr>
          <w:rFonts w:cstheme="minorHAnsi"/>
          <w:color w:val="000000"/>
        </w:rPr>
        <w:t xml:space="preserve">. </w:t>
      </w:r>
    </w:p>
    <w:p w14:paraId="328D03D8" w14:textId="77777777" w:rsidR="00B664D2" w:rsidRPr="001C4D50" w:rsidRDefault="00B664D2" w:rsidP="00B664D2">
      <w:pPr>
        <w:pStyle w:val="ListParagraph"/>
        <w:textAlignment w:val="baseline"/>
        <w:rPr>
          <w:rFonts w:cstheme="minorHAnsi"/>
          <w:color w:val="000000"/>
        </w:rPr>
      </w:pPr>
    </w:p>
    <w:p w14:paraId="4D3872D6" w14:textId="77777777" w:rsidR="00B019C2" w:rsidRPr="001C4D50" w:rsidRDefault="00B019C2" w:rsidP="008767A6">
      <w:pPr>
        <w:textAlignment w:val="baseline"/>
        <w:rPr>
          <w:rFonts w:cstheme="minorHAnsi"/>
          <w:color w:val="000000"/>
        </w:rPr>
      </w:pPr>
    </w:p>
    <w:p w14:paraId="07294DC4" w14:textId="49A999C2" w:rsidR="00B019C2" w:rsidRPr="001C4D50" w:rsidRDefault="00A15DCF" w:rsidP="008767A6">
      <w:pPr>
        <w:textAlignment w:val="baseline"/>
        <w:rPr>
          <w:rFonts w:cstheme="minorHAnsi"/>
          <w:b/>
          <w:color w:val="000000"/>
          <w:u w:val="single"/>
        </w:rPr>
      </w:pPr>
      <w:r w:rsidRPr="001C4D50">
        <w:rPr>
          <w:rFonts w:cstheme="minorHAnsi"/>
          <w:b/>
          <w:color w:val="000000"/>
          <w:u w:val="single"/>
        </w:rPr>
        <w:t>Author Contributions</w:t>
      </w:r>
    </w:p>
    <w:p w14:paraId="6566F391" w14:textId="77777777" w:rsidR="008767A6" w:rsidRPr="001C4D50" w:rsidRDefault="008767A6" w:rsidP="008767A6">
      <w:pPr>
        <w:textAlignment w:val="baseline"/>
        <w:rPr>
          <w:rFonts w:cstheme="minorHAnsi"/>
          <w:b/>
          <w:color w:val="000000"/>
        </w:rPr>
      </w:pPr>
    </w:p>
    <w:p w14:paraId="7D15BD21" w14:textId="7AFB3762" w:rsidR="00A15DCF" w:rsidRPr="001C4D50" w:rsidRDefault="008767A6" w:rsidP="008767A6">
      <w:pPr>
        <w:textAlignment w:val="baseline"/>
        <w:rPr>
          <w:rFonts w:cstheme="minorHAnsi"/>
          <w:color w:val="000000"/>
        </w:rPr>
      </w:pPr>
      <w:r w:rsidRPr="001C4D50">
        <w:rPr>
          <w:rFonts w:cstheme="minorHAnsi"/>
          <w:color w:val="000000"/>
        </w:rPr>
        <w:t xml:space="preserve">All authors contributed to the planning, writing and editing of the manuscript. </w:t>
      </w:r>
    </w:p>
    <w:p w14:paraId="5B34C4A7" w14:textId="77777777" w:rsidR="00B019C2" w:rsidRPr="001C4D50" w:rsidRDefault="00B019C2" w:rsidP="00B019C2">
      <w:pPr>
        <w:pStyle w:val="NormalWeb"/>
        <w:shd w:val="clear" w:color="auto" w:fill="FFFFFF"/>
        <w:spacing w:before="0" w:after="0"/>
        <w:textAlignment w:val="baseline"/>
        <w:rPr>
          <w:rFonts w:asciiTheme="minorHAnsi" w:hAnsiTheme="minorHAnsi"/>
          <w:b/>
          <w:i/>
          <w:color w:val="1A1A1A"/>
          <w:u w:val="single"/>
        </w:rPr>
      </w:pPr>
      <w:r w:rsidRPr="001C4D50">
        <w:rPr>
          <w:rStyle w:val="Emphasis"/>
          <w:rFonts w:asciiTheme="minorHAnsi" w:hAnsiTheme="minorHAnsi"/>
          <w:b/>
          <w:i w:val="0"/>
          <w:color w:val="1A1A1A"/>
          <w:u w:val="single"/>
          <w:bdr w:val="none" w:sz="0" w:space="0" w:color="auto" w:frame="1"/>
        </w:rPr>
        <w:t>Declaration of Interests</w:t>
      </w:r>
    </w:p>
    <w:p w14:paraId="6DD0B50E" w14:textId="1A99DC02" w:rsidR="00B019C2" w:rsidRPr="001C4D50" w:rsidRDefault="00B019C2" w:rsidP="00B019C2">
      <w:pPr>
        <w:pStyle w:val="NormalWeb"/>
        <w:shd w:val="clear" w:color="auto" w:fill="FFFFFF"/>
        <w:textAlignment w:val="baseline"/>
        <w:rPr>
          <w:rFonts w:asciiTheme="minorHAnsi" w:hAnsiTheme="minorHAnsi"/>
          <w:color w:val="1A1A1A"/>
        </w:rPr>
      </w:pPr>
      <w:r w:rsidRPr="001C4D50">
        <w:rPr>
          <w:rFonts w:asciiTheme="minorHAnsi" w:hAnsiTheme="minorHAnsi"/>
          <w:color w:val="1A1A1A"/>
        </w:rPr>
        <w:t>The authors have no competing interests to declare.</w:t>
      </w:r>
    </w:p>
    <w:p w14:paraId="05E3ED97" w14:textId="77777777" w:rsidR="00B019C2" w:rsidRPr="001C4D50" w:rsidRDefault="00B019C2" w:rsidP="00B019C2">
      <w:pPr>
        <w:pStyle w:val="NormalWeb"/>
        <w:shd w:val="clear" w:color="auto" w:fill="FFFFFF"/>
        <w:spacing w:before="0" w:after="0"/>
        <w:textAlignment w:val="baseline"/>
        <w:rPr>
          <w:rFonts w:asciiTheme="minorHAnsi" w:hAnsiTheme="minorHAnsi" w:cstheme="minorHAnsi"/>
          <w:b/>
          <w:i/>
          <w:color w:val="1A1A1A"/>
          <w:u w:val="single"/>
        </w:rPr>
      </w:pPr>
      <w:r w:rsidRPr="001C4D50">
        <w:rPr>
          <w:rStyle w:val="Emphasis"/>
          <w:rFonts w:asciiTheme="minorHAnsi" w:hAnsiTheme="minorHAnsi" w:cstheme="minorHAnsi"/>
          <w:b/>
          <w:i w:val="0"/>
          <w:color w:val="1A1A1A"/>
          <w:u w:val="single"/>
          <w:bdr w:val="none" w:sz="0" w:space="0" w:color="auto" w:frame="1"/>
        </w:rPr>
        <w:t>Funding</w:t>
      </w:r>
    </w:p>
    <w:p w14:paraId="7C767214" w14:textId="3E9F146A" w:rsidR="00B019C2" w:rsidRPr="001C4D50" w:rsidRDefault="008767A6" w:rsidP="00654839">
      <w:pPr>
        <w:rPr>
          <w:rFonts w:eastAsia="Times New Roman" w:cstheme="minorHAnsi"/>
          <w:color w:val="000000"/>
          <w:shd w:val="clear" w:color="auto" w:fill="FFFFFF"/>
          <w:lang w:eastAsia="en-US"/>
        </w:rPr>
      </w:pPr>
      <w:r w:rsidRPr="001C4D50">
        <w:rPr>
          <w:rFonts w:cstheme="minorHAnsi"/>
          <w:color w:val="000000"/>
        </w:rPr>
        <w:t>The authors would like to thank the funders for their support of this work</w:t>
      </w:r>
      <w:r w:rsidR="0088285E" w:rsidRPr="001C4D50">
        <w:rPr>
          <w:rFonts w:cstheme="minorHAnsi"/>
          <w:color w:val="000000"/>
        </w:rPr>
        <w:t>, including</w:t>
      </w:r>
      <w:r w:rsidR="002D340E" w:rsidRPr="001C4D50">
        <w:rPr>
          <w:rFonts w:eastAsia="Times New Roman" w:cstheme="minorHAnsi"/>
          <w:color w:val="000000"/>
          <w:shd w:val="clear" w:color="auto" w:fill="FFFFFF"/>
          <w:lang w:eastAsia="en-US"/>
        </w:rPr>
        <w:t> Versus Arthritis (Grants 18480, 19429, 21156 and 20815)</w:t>
      </w:r>
      <w:r w:rsidR="0088285E" w:rsidRPr="001C4D50">
        <w:rPr>
          <w:rFonts w:eastAsia="Times New Roman" w:cstheme="minorHAnsi"/>
          <w:color w:val="000000"/>
          <w:shd w:val="clear" w:color="auto" w:fill="FFFFFF"/>
          <w:lang w:eastAsia="en-US"/>
        </w:rPr>
        <w:t>,</w:t>
      </w:r>
      <w:r w:rsidR="002D340E" w:rsidRPr="001C4D50">
        <w:rPr>
          <w:rFonts w:eastAsia="Times New Roman" w:cstheme="minorHAnsi"/>
          <w:color w:val="000000"/>
          <w:shd w:val="clear" w:color="auto" w:fill="FFFFFF"/>
          <w:lang w:eastAsia="en-US"/>
        </w:rPr>
        <w:t xml:space="preserve"> the Medical Research Council (</w:t>
      </w:r>
      <w:r w:rsidR="0088285E" w:rsidRPr="001C4D50">
        <w:rPr>
          <w:rFonts w:eastAsia="Times New Roman" w:cstheme="minorHAnsi"/>
          <w:color w:val="000000"/>
          <w:shd w:val="clear" w:color="auto" w:fill="FFFFFF"/>
          <w:lang w:eastAsia="en-US"/>
        </w:rPr>
        <w:t xml:space="preserve">Grants </w:t>
      </w:r>
      <w:r w:rsidR="002D340E" w:rsidRPr="001C4D50">
        <w:rPr>
          <w:rFonts w:eastAsia="Times New Roman" w:cstheme="minorHAnsi"/>
          <w:color w:val="000000"/>
          <w:shd w:val="clear" w:color="auto" w:fill="FFFFFF"/>
          <w:lang w:eastAsia="en-US"/>
        </w:rPr>
        <w:lastRenderedPageBreak/>
        <w:t>MR/L010453/1, MR/N02706X/1 and MR/S015167/1) </w:t>
      </w:r>
      <w:r w:rsidR="0088285E" w:rsidRPr="001C4D50">
        <w:rPr>
          <w:rFonts w:eastAsia="Times New Roman" w:cstheme="minorHAnsi"/>
          <w:color w:val="000000"/>
          <w:shd w:val="clear" w:color="auto" w:fill="FFFFFF"/>
          <w:lang w:eastAsia="en-US"/>
        </w:rPr>
        <w:t xml:space="preserve">and the Orthopaedic Institute, Oswestry (Grant RPG 188) </w:t>
      </w:r>
      <w:r w:rsidR="002D340E" w:rsidRPr="001C4D50">
        <w:rPr>
          <w:rFonts w:eastAsia="Times New Roman" w:cstheme="minorHAnsi"/>
          <w:color w:val="000000"/>
          <w:shd w:val="clear" w:color="auto" w:fill="FFFFFF"/>
          <w:lang w:eastAsia="en-US"/>
        </w:rPr>
        <w:t>for supporting the salaries of the authors and associated research. </w:t>
      </w:r>
    </w:p>
    <w:p w14:paraId="13153408" w14:textId="77777777" w:rsidR="00B019C2" w:rsidRPr="001C4D50" w:rsidRDefault="00B019C2" w:rsidP="008767A6">
      <w:pPr>
        <w:textAlignment w:val="baseline"/>
        <w:rPr>
          <w:rFonts w:cstheme="minorHAnsi"/>
          <w:color w:val="000000"/>
        </w:rPr>
      </w:pPr>
    </w:p>
    <w:p w14:paraId="3E29CE4D" w14:textId="77777777" w:rsidR="00960366" w:rsidRPr="001C4D50" w:rsidRDefault="00960366" w:rsidP="428DD730">
      <w:pPr>
        <w:rPr>
          <w:b/>
          <w:bCs/>
          <w:color w:val="000000" w:themeColor="text1"/>
          <w:u w:val="single"/>
        </w:rPr>
      </w:pPr>
    </w:p>
    <w:p w14:paraId="2A57B01F" w14:textId="4515D731" w:rsidR="0064570F" w:rsidRPr="001C4D50" w:rsidRDefault="00BC59F8" w:rsidP="428DD730">
      <w:pPr>
        <w:rPr>
          <w:b/>
          <w:bCs/>
          <w:color w:val="000000" w:themeColor="text1"/>
          <w:u w:val="single"/>
        </w:rPr>
      </w:pPr>
      <w:r w:rsidRPr="001C4D50">
        <w:rPr>
          <w:b/>
          <w:bCs/>
          <w:color w:val="000000" w:themeColor="text1"/>
          <w:u w:val="single"/>
        </w:rPr>
        <w:t>References</w:t>
      </w:r>
    </w:p>
    <w:p w14:paraId="1837DF49" w14:textId="77777777" w:rsidR="00654839" w:rsidRPr="001C4D50" w:rsidRDefault="00654839" w:rsidP="428DD730">
      <w:pPr>
        <w:rPr>
          <w:b/>
          <w:bCs/>
          <w:color w:val="000000" w:themeColor="text1"/>
          <w:u w:val="single"/>
        </w:rPr>
      </w:pPr>
    </w:p>
    <w:p w14:paraId="6A664670" w14:textId="48B6C865" w:rsidR="00C8414E" w:rsidRPr="001C4D50" w:rsidRDefault="0064570F" w:rsidP="00C8414E">
      <w:pPr>
        <w:widowControl w:val="0"/>
        <w:autoSpaceDE w:val="0"/>
        <w:autoSpaceDN w:val="0"/>
        <w:adjustRightInd w:val="0"/>
        <w:ind w:left="640" w:hanging="640"/>
        <w:rPr>
          <w:rFonts w:ascii="Calibri" w:hAnsi="Calibri"/>
          <w:noProof/>
          <w:lang w:val="en-US"/>
        </w:rPr>
      </w:pPr>
      <w:r w:rsidRPr="001C4D50">
        <w:rPr>
          <w:rFonts w:cstheme="minorHAnsi"/>
          <w:color w:val="000000" w:themeColor="text1"/>
          <w:shd w:val="clear" w:color="auto" w:fill="E6E6E6"/>
        </w:rPr>
        <w:fldChar w:fldCharType="begin" w:fldLock="1"/>
      </w:r>
      <w:r w:rsidRPr="001C4D50">
        <w:rPr>
          <w:rFonts w:cstheme="minorHAnsi"/>
          <w:color w:val="000000" w:themeColor="text1"/>
        </w:rPr>
        <w:instrText xml:space="preserve">ADDIN Mendeley Bibliography CSL_BIBLIOGRAPHY </w:instrText>
      </w:r>
      <w:r w:rsidRPr="001C4D50">
        <w:rPr>
          <w:rFonts w:cstheme="minorHAnsi"/>
          <w:color w:val="000000" w:themeColor="text1"/>
          <w:shd w:val="clear" w:color="auto" w:fill="E6E6E6"/>
        </w:rPr>
        <w:fldChar w:fldCharType="separate"/>
      </w:r>
      <w:r w:rsidR="00C8414E" w:rsidRPr="001C4D50">
        <w:rPr>
          <w:rFonts w:ascii="Calibri" w:hAnsi="Calibri"/>
          <w:noProof/>
          <w:lang w:val="en-US"/>
        </w:rPr>
        <w:t xml:space="preserve">1. </w:t>
      </w:r>
      <w:r w:rsidR="00C8414E" w:rsidRPr="001C4D50">
        <w:rPr>
          <w:rFonts w:ascii="Calibri" w:hAnsi="Calibri"/>
          <w:noProof/>
          <w:lang w:val="en-US"/>
        </w:rPr>
        <w:tab/>
        <w:t xml:space="preserve">Hunter W. VI. Of the structure and diseases of articu­lating cartilages. Philos Trans R Soc London. 1743 Dec;42(470):514–21. </w:t>
      </w:r>
    </w:p>
    <w:p w14:paraId="70A93996"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2. </w:t>
      </w:r>
      <w:r w:rsidRPr="001C4D50">
        <w:rPr>
          <w:rFonts w:ascii="Calibri" w:hAnsi="Calibri"/>
          <w:noProof/>
          <w:lang w:val="en-US"/>
        </w:rPr>
        <w:tab/>
        <w:t xml:space="preserve">Wang Y, Ding C, Wluka AE, Davis S, Ebeling PR, Jones G, et al. Factors affecting progression of knee cartilage defects in normal subjects over 2 years. Rheumatology. 2006;45(1):79–84. </w:t>
      </w:r>
    </w:p>
    <w:p w14:paraId="271315D9"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3. </w:t>
      </w:r>
      <w:r w:rsidRPr="001C4D50">
        <w:rPr>
          <w:rFonts w:ascii="Calibri" w:hAnsi="Calibri"/>
          <w:noProof/>
          <w:lang w:val="en-US"/>
        </w:rPr>
        <w:tab/>
        <w:t xml:space="preserve">Registry NJ. 17th Annual Report 2020. 2020; </w:t>
      </w:r>
    </w:p>
    <w:p w14:paraId="2239DE1B"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4. </w:t>
      </w:r>
      <w:r w:rsidRPr="001C4D50">
        <w:rPr>
          <w:rFonts w:ascii="Calibri" w:hAnsi="Calibri"/>
          <w:noProof/>
          <w:lang w:val="en-US"/>
        </w:rPr>
        <w:tab/>
        <w:t xml:space="preserve">OARSI White Paper- OA as a Serious Disease | Osteoarthritis Research Society International (OARSI). </w:t>
      </w:r>
    </w:p>
    <w:p w14:paraId="210A7519"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5. </w:t>
      </w:r>
      <w:r w:rsidRPr="001C4D50">
        <w:rPr>
          <w:rFonts w:ascii="Calibri" w:hAnsi="Calibri"/>
          <w:noProof/>
          <w:lang w:val="en-US"/>
        </w:rPr>
        <w:tab/>
        <w:t xml:space="preserve">Kraeutler MJ, Belk JW, Purcell JM, McCarty EC. Microfracture Versus Autologous Chondrocyte Implantation for Articular Cartilage Lesions in the Knee: A Systematic Review of 5-Year Outcomes. Am J Sports Med. 2018;46(4):995–9. </w:t>
      </w:r>
    </w:p>
    <w:p w14:paraId="293AF7E8"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6. </w:t>
      </w:r>
      <w:r w:rsidRPr="001C4D50">
        <w:rPr>
          <w:rFonts w:ascii="Calibri" w:hAnsi="Calibri"/>
          <w:noProof/>
          <w:lang w:val="en-US"/>
        </w:rPr>
        <w:tab/>
        <w:t xml:space="preserve">Bartha L, Andrá´s Vajda A, Duska ZZ, Rahmeh H, Hangody L. Autologous Osteochondral Mosaicplasty Grafting. J Orthop Sport Phys Ther. 2006;36(10):739–50. </w:t>
      </w:r>
    </w:p>
    <w:p w14:paraId="56453F1E"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7. </w:t>
      </w:r>
      <w:r w:rsidRPr="001C4D50">
        <w:rPr>
          <w:rFonts w:ascii="Calibri" w:hAnsi="Calibri"/>
          <w:noProof/>
          <w:lang w:val="en-US"/>
        </w:rPr>
        <w:tab/>
        <w:t xml:space="preserve">Robinson A, Lindsay A, Vidal A, Frank RM. Osteochondral Autograft Transfer (OATS). Oper Tech Sports Med. 2020 Dec;28(4):150781. </w:t>
      </w:r>
    </w:p>
    <w:p w14:paraId="399358CF"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8. </w:t>
      </w:r>
      <w:r w:rsidRPr="001C4D50">
        <w:rPr>
          <w:rFonts w:ascii="Calibri" w:hAnsi="Calibri"/>
          <w:noProof/>
          <w:lang w:val="en-US"/>
        </w:rPr>
        <w:tab/>
        <w:t xml:space="preserve">LaPrade RF, Botker JC. Donor-site morbidity after osteochondral autograft transfer procedures. Arthrosc J Arthrosc Relat Surg. 2004 Sep;20(7):e69–73. </w:t>
      </w:r>
    </w:p>
    <w:p w14:paraId="64C2E127"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9. </w:t>
      </w:r>
      <w:r w:rsidRPr="001C4D50">
        <w:rPr>
          <w:rFonts w:ascii="Calibri" w:hAnsi="Calibri"/>
          <w:noProof/>
          <w:lang w:val="en-US"/>
        </w:rPr>
        <w:tab/>
        <w:t xml:space="preserve">Andrade R, Vasta S, Pereira R, Pereira H, Papalia R, Karahan M, et al. Knee donor-site morbidity after mosaicplasty – a systematic review. Vol. 3, Journal of Experimental Orthopaedics. Springer Berlin Heidelberg; 2016. p. 31. </w:t>
      </w:r>
    </w:p>
    <w:p w14:paraId="23447AD9"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10. </w:t>
      </w:r>
      <w:r w:rsidRPr="001C4D50">
        <w:rPr>
          <w:rFonts w:ascii="Calibri" w:hAnsi="Calibri"/>
          <w:noProof/>
          <w:lang w:val="en-US"/>
        </w:rPr>
        <w:tab/>
        <w:t xml:space="preserve">Brittberg M, Lindahl A, Nilsson A, Ohlsson C, Isaksson O, Peterson L. Treatment of Deep Cartilage Defects in the Knee with Autologous Chondrocyte Transplantation. N Engl J Med. 1994;331(14):889–95. </w:t>
      </w:r>
    </w:p>
    <w:p w14:paraId="15299CF8"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11. </w:t>
      </w:r>
      <w:r w:rsidRPr="001C4D50">
        <w:rPr>
          <w:rFonts w:ascii="Calibri" w:hAnsi="Calibri"/>
          <w:noProof/>
          <w:lang w:val="en-US"/>
        </w:rPr>
        <w:tab/>
        <w:t xml:space="preserve">Davies RL, Kuiper NJ. Regenerative Medicine: A Review of the Evolution of Autologous Chondrocyte Implantation (ACI) Therapy. Bioengineering. 2019;6(1):1–16. </w:t>
      </w:r>
    </w:p>
    <w:p w14:paraId="78778A2A"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12. </w:t>
      </w:r>
      <w:r w:rsidRPr="001C4D50">
        <w:rPr>
          <w:rFonts w:ascii="Calibri" w:hAnsi="Calibri"/>
          <w:noProof/>
          <w:lang w:val="en-US"/>
        </w:rPr>
        <w:tab/>
        <w:t xml:space="preserve">Ogura T, Mosier BA, Bryant T, Minas T. A 20-Year Follow-up after First-Generation Autologous Chondrocyte Implantation. Am J Sports Med. 2017;45(12):2751–61. </w:t>
      </w:r>
    </w:p>
    <w:p w14:paraId="1CFC76AE" w14:textId="518A67C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13. </w:t>
      </w:r>
      <w:r w:rsidRPr="001C4D50">
        <w:rPr>
          <w:rFonts w:ascii="Calibri" w:hAnsi="Calibri"/>
          <w:noProof/>
          <w:lang w:val="en-US"/>
        </w:rPr>
        <w:tab/>
        <w:t xml:space="preserve">Wood JJ, Malek MA, Frassica FJ, Polder JA, Mohan AK, Bloom ET, et al. Autologous cultured chondrocytes: adverse events reported to the United States Food and Drug Administration. J Bone Joint Surg Am. 2006 Mar;88(3):503–7. </w:t>
      </w:r>
    </w:p>
    <w:p w14:paraId="1C61A9C9"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14. </w:t>
      </w:r>
      <w:r w:rsidRPr="001C4D50">
        <w:rPr>
          <w:rFonts w:ascii="Calibri" w:hAnsi="Calibri"/>
          <w:noProof/>
          <w:lang w:val="en-US"/>
        </w:rPr>
        <w:tab/>
        <w:t xml:space="preserve">Brittberg M. Autologous Chondrocyte Implantation- Technique and long-term follow-up. Inj Int J Care Inj. 2008;39(1):40–9. </w:t>
      </w:r>
    </w:p>
    <w:p w14:paraId="69BB3CD0"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15. </w:t>
      </w:r>
      <w:r w:rsidRPr="001C4D50">
        <w:rPr>
          <w:rFonts w:ascii="Calibri" w:hAnsi="Calibri"/>
          <w:noProof/>
          <w:lang w:val="en-US"/>
        </w:rPr>
        <w:tab/>
        <w:t xml:space="preserve">Anders S, Schaumburger J, Schubert T, Grifka J, Behrens P. Matrix-Associated Autologous Chondrocyte Transplantation (MACT). Minimally Invasive Technique in the Knee. Orthop Traumatol. 2008;20:208–19. </w:t>
      </w:r>
    </w:p>
    <w:p w14:paraId="4F18EBA0"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16. </w:t>
      </w:r>
      <w:r w:rsidRPr="001C4D50">
        <w:rPr>
          <w:rFonts w:ascii="Calibri" w:hAnsi="Calibri"/>
          <w:noProof/>
          <w:lang w:val="en-US"/>
        </w:rPr>
        <w:tab/>
        <w:t xml:space="preserve">National Institute for Health and Care Excellence (NICE). Autologous chondrocyte implantation for treating symptomatic articular cartilage defects of the knee. Technology appraisal guidance [TA477]. 2017. </w:t>
      </w:r>
    </w:p>
    <w:p w14:paraId="0A1440D4"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17. </w:t>
      </w:r>
      <w:r w:rsidRPr="001C4D50">
        <w:rPr>
          <w:rFonts w:ascii="Calibri" w:hAnsi="Calibri"/>
          <w:noProof/>
          <w:lang w:val="en-US"/>
        </w:rPr>
        <w:tab/>
        <w:t xml:space="preserve">Mistry H, Connock M, Pink J, Shyangdan D, Clar C, Royle P, et al. Autologous chondrocyte implantation in the knee: systematic review and economic evaluation. Heal Technol Assess. 2017;21(6):1–294. </w:t>
      </w:r>
    </w:p>
    <w:p w14:paraId="4607C77A"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18. </w:t>
      </w:r>
      <w:r w:rsidRPr="001C4D50">
        <w:rPr>
          <w:rFonts w:ascii="Calibri" w:hAnsi="Calibri"/>
          <w:noProof/>
          <w:lang w:val="en-US"/>
        </w:rPr>
        <w:tab/>
        <w:t xml:space="preserve">Anderer U, Libera J. In vitro engineering of human autogenous cartilage. J Bone Miner </w:t>
      </w:r>
      <w:r w:rsidRPr="001C4D50">
        <w:rPr>
          <w:rFonts w:ascii="Calibri" w:hAnsi="Calibri"/>
          <w:noProof/>
          <w:lang w:val="en-US"/>
        </w:rPr>
        <w:lastRenderedPageBreak/>
        <w:t xml:space="preserve">Res. 2002;17(8):1420–9. </w:t>
      </w:r>
    </w:p>
    <w:p w14:paraId="337C7195"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19. </w:t>
      </w:r>
      <w:r w:rsidRPr="001C4D50">
        <w:rPr>
          <w:rFonts w:ascii="Calibri" w:hAnsi="Calibri"/>
          <w:noProof/>
          <w:lang w:val="en-US"/>
        </w:rPr>
        <w:tab/>
        <w:t xml:space="preserve">Hoburg A, Löer I, Körsmeier K, Siebold R, Niemeyer P, Fickert S, et al. Matrix-Associated Autologous Chondrocyte Implantation Is an Effective Treatment at Midterm Follow-up in Adolescents and Young Adults. Orthop J Sport Med. 2019;7(4):1–7. </w:t>
      </w:r>
    </w:p>
    <w:p w14:paraId="481E27F0"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20. </w:t>
      </w:r>
      <w:r w:rsidRPr="001C4D50">
        <w:rPr>
          <w:rFonts w:ascii="Calibri" w:hAnsi="Calibri"/>
          <w:noProof/>
          <w:lang w:val="en-US"/>
        </w:rPr>
        <w:tab/>
        <w:t xml:space="preserve">Armoiry X, Cummins E, Connock M, Metcalfe A, Royle P, Johnston R, et al. Autologous Chondrocyte Implantation with Chondrosphere for Treating Articular Cartilage Defects in the Knee: An Evidence Review Group Perspective of a NICE Single Technology Appraisal. Pharmacoeconomics. 2019;37:879–86. </w:t>
      </w:r>
    </w:p>
    <w:p w14:paraId="47EEEE9D"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21. </w:t>
      </w:r>
      <w:r w:rsidRPr="001C4D50">
        <w:rPr>
          <w:rFonts w:ascii="Calibri" w:hAnsi="Calibri"/>
          <w:noProof/>
          <w:lang w:val="en-US"/>
        </w:rPr>
        <w:tab/>
        <w:t xml:space="preserve">Dugard MN, Kuiper JH, Parker J, Roberts S, Robinson E, Harrison P, et al. Development of a Tool to Predict Outcome of Autologous Chondrocyte Implantation. Cartilage. 2017;8(2):119–30. </w:t>
      </w:r>
    </w:p>
    <w:p w14:paraId="3444E15D"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22. </w:t>
      </w:r>
      <w:r w:rsidRPr="001C4D50">
        <w:rPr>
          <w:rFonts w:ascii="Calibri" w:hAnsi="Calibri"/>
          <w:noProof/>
          <w:lang w:val="en-US"/>
        </w:rPr>
        <w:tab/>
        <w:t xml:space="preserve">Hulme CH, Wilson EL, Fuller HR, Roberts S, Richardson JB, Gallacher P, et al. Two independent proteomic approaches provide a comprehensive analysis of the synovial fluid proteome response to Autologous Chondrocyte Implantation. Arthritis Res Ther. 2018;20(1):87. </w:t>
      </w:r>
    </w:p>
    <w:p w14:paraId="51868EF1"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23. </w:t>
      </w:r>
      <w:r w:rsidRPr="001C4D50">
        <w:rPr>
          <w:rFonts w:ascii="Calibri" w:hAnsi="Calibri"/>
          <w:noProof/>
          <w:lang w:val="en-US"/>
        </w:rPr>
        <w:tab/>
        <w:t xml:space="preserve">De Bie C. Genzyme: 15 years of cell and gene therapy research. Regen Med. 2007;2(1):95–7. </w:t>
      </w:r>
    </w:p>
    <w:p w14:paraId="32268B71"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24. </w:t>
      </w:r>
      <w:r w:rsidRPr="001C4D50">
        <w:rPr>
          <w:rFonts w:ascii="Calibri" w:hAnsi="Calibri"/>
          <w:noProof/>
          <w:lang w:val="en-US"/>
        </w:rPr>
        <w:tab/>
        <w:t xml:space="preserve">Gardner J, Webster A. Accelerating Innovation in the Creation of Biovalue: The Cell and Gene Therapy Catapult. Sci Technol Hum Values. 2017;42(5):925–46. </w:t>
      </w:r>
    </w:p>
    <w:p w14:paraId="0BC04A5E"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25. </w:t>
      </w:r>
      <w:r w:rsidRPr="001C4D50">
        <w:rPr>
          <w:rFonts w:ascii="Calibri" w:hAnsi="Calibri"/>
          <w:noProof/>
          <w:lang w:val="en-US"/>
        </w:rPr>
        <w:tab/>
        <w:t xml:space="preserve">European Comission. Guidelines on Good Clinical Practice specific to Advanced Therapy Medicinal Products. 2019;53(9):1689–99. </w:t>
      </w:r>
    </w:p>
    <w:p w14:paraId="6AF1A33B"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26. </w:t>
      </w:r>
      <w:r w:rsidRPr="001C4D50">
        <w:rPr>
          <w:rFonts w:ascii="Calibri" w:hAnsi="Calibri"/>
          <w:noProof/>
          <w:lang w:val="en-US"/>
        </w:rPr>
        <w:tab/>
        <w:t xml:space="preserve">Bailey A, Goodstone N, Roberts S, Hughes J, Roberts S, Van Niekerk L, et al. Rehabilitation after oswestry autologous-chondrocyte implantation: The Oscell protocol. J Sport Rehabil. 2003;12(2):104–18. </w:t>
      </w:r>
    </w:p>
    <w:p w14:paraId="530FF948"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27. </w:t>
      </w:r>
      <w:r w:rsidRPr="001C4D50">
        <w:rPr>
          <w:rFonts w:ascii="Calibri" w:hAnsi="Calibri"/>
          <w:noProof/>
          <w:lang w:val="en-US"/>
        </w:rPr>
        <w:tab/>
        <w:t xml:space="preserve">Matricali G, Dereymaeker G, Luyten F. Donor site morbidity after articular cartilage repair procedures: a review. Acta Orthop Belg. 2010;76(5):669–74. </w:t>
      </w:r>
    </w:p>
    <w:p w14:paraId="26DB19E5"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28. </w:t>
      </w:r>
      <w:r w:rsidRPr="001C4D50">
        <w:rPr>
          <w:rFonts w:ascii="Calibri" w:hAnsi="Calibri"/>
          <w:noProof/>
          <w:lang w:val="en-US"/>
        </w:rPr>
        <w:tab/>
        <w:t xml:space="preserve">Garcia J, McCarthy HS, Kuiper JH, Melrose J, Roberts S. Perlecan in the natural and cell therapy repair of human adult articular cartilage: Can modifications in this proteoglycan be a novel therapeutic approach? Biomolecules. 2021;11(1):1–21. </w:t>
      </w:r>
    </w:p>
    <w:p w14:paraId="3E7D3EC2"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29. </w:t>
      </w:r>
      <w:r w:rsidRPr="001C4D50">
        <w:rPr>
          <w:rFonts w:ascii="Calibri" w:hAnsi="Calibri"/>
          <w:noProof/>
          <w:lang w:val="en-US"/>
        </w:rPr>
        <w:tab/>
        <w:t xml:space="preserve">Mccarthy HS, Richardson JB, Parker JCE, Roberts S. Evaluating Joint Morbidity after Chondral Harvest for Autologous Chondrocyte Implantation ( ACI ): A Study of ACI-Treated Ankles and Hips with a Knee Chondral Harvest. Cartilage. 2016;7(1):7–15. </w:t>
      </w:r>
    </w:p>
    <w:p w14:paraId="65DD66C6"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30. </w:t>
      </w:r>
      <w:r w:rsidRPr="001C4D50">
        <w:rPr>
          <w:rFonts w:ascii="Calibri" w:hAnsi="Calibri"/>
          <w:noProof/>
          <w:lang w:val="en-US"/>
        </w:rPr>
        <w:tab/>
        <w:t xml:space="preserve">Brittberg M, Recker D, Ilgenfritz J, Saris DBF. Matrix-Applied Characterized Autologous Cultured Chondrocytes Versus Microfracture: Five-Year Follow-up of a Prospective Randomized Trial. Am J Sports Med. 2018;46(6):1343–51. </w:t>
      </w:r>
    </w:p>
    <w:p w14:paraId="79BCB303"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31. </w:t>
      </w:r>
      <w:r w:rsidRPr="001C4D50">
        <w:rPr>
          <w:rFonts w:ascii="Calibri" w:hAnsi="Calibri"/>
          <w:noProof/>
          <w:lang w:val="en-US"/>
        </w:rPr>
        <w:tab/>
        <w:t xml:space="preserve">Vanlauwe J, Saris DBF, Victor J, Almqvist KF, Bellemans J, Luyten FP. Five-year outcome of characterized chondrocyte implantation versus microfracture for symptomatic cartilage defects of the knee: early treatment matters. Am J Sports Med. 2011;39(12):2566–74. </w:t>
      </w:r>
    </w:p>
    <w:p w14:paraId="572C684F"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32. </w:t>
      </w:r>
      <w:r w:rsidRPr="001C4D50">
        <w:rPr>
          <w:rFonts w:ascii="Calibri" w:hAnsi="Calibri"/>
          <w:noProof/>
          <w:lang w:val="en-US"/>
        </w:rPr>
        <w:tab/>
        <w:t xml:space="preserve">Kon E, Gobbi A, Filardo G, Delcogliano M, Zaffagnini S, Marcacci M. Arthroscopic second-generation autologous chondrocyte implantation compared with microfracture for chondral lesions of the knee: Prospective nonrandomized study at 5 years. Am J Sports Med. 2009;37(1):33–41. </w:t>
      </w:r>
    </w:p>
    <w:p w14:paraId="5DAA8008"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33. </w:t>
      </w:r>
      <w:r w:rsidRPr="001C4D50">
        <w:rPr>
          <w:rFonts w:ascii="Calibri" w:hAnsi="Calibri"/>
          <w:noProof/>
          <w:lang w:val="en-US"/>
        </w:rPr>
        <w:tab/>
        <w:t xml:space="preserve">Lanza R. Essentials of Stem Cell Biology. 2005. </w:t>
      </w:r>
    </w:p>
    <w:p w14:paraId="70FE8ADF"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34. </w:t>
      </w:r>
      <w:r w:rsidRPr="001C4D50">
        <w:rPr>
          <w:rFonts w:ascii="Calibri" w:hAnsi="Calibri"/>
          <w:noProof/>
          <w:lang w:val="en-US"/>
        </w:rPr>
        <w:tab/>
        <w:t xml:space="preserve">Takahashi K, Tanabe K, Ohnuki M, Narita M, Ichisaka T, Tomoda K, et al. Induction of Pluripotent Stem Cells from Adult Human Fibroblasts by Defined Factors. Cell. 2007;131(5):861–72. </w:t>
      </w:r>
    </w:p>
    <w:p w14:paraId="7022704A"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35. </w:t>
      </w:r>
      <w:r w:rsidRPr="001C4D50">
        <w:rPr>
          <w:rFonts w:ascii="Calibri" w:hAnsi="Calibri"/>
          <w:noProof/>
          <w:lang w:val="en-US"/>
        </w:rPr>
        <w:tab/>
        <w:t xml:space="preserve">Dominici M, Le Blanc K, Mueller I, Slaper-Cortenbach I, Marini F, Krause D, et al. </w:t>
      </w:r>
      <w:r w:rsidRPr="001C4D50">
        <w:rPr>
          <w:rFonts w:ascii="Calibri" w:hAnsi="Calibri"/>
          <w:noProof/>
          <w:lang w:val="en-US"/>
        </w:rPr>
        <w:lastRenderedPageBreak/>
        <w:t xml:space="preserve">Minimal criteria for defining multipotent mesenchymal stromal cells. The International Society for Cellular Therapy position statement. Cytotherapy. 2006 Jan;8(4):315–7. </w:t>
      </w:r>
    </w:p>
    <w:p w14:paraId="743ABAA5"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36. </w:t>
      </w:r>
      <w:r w:rsidRPr="001C4D50">
        <w:rPr>
          <w:rFonts w:ascii="Calibri" w:hAnsi="Calibri"/>
          <w:noProof/>
          <w:lang w:val="en-US"/>
        </w:rPr>
        <w:tab/>
        <w:t xml:space="preserve">Pittenger MF, Mackay AM, Beck SC, Jaiswal RK, Douglas R, Mosca JD, et al. Multilineage potential of adult human mesenchymal stem cells. Science (80- ). 1999;284(5411):143–7. </w:t>
      </w:r>
    </w:p>
    <w:p w14:paraId="0C173E36"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37. </w:t>
      </w:r>
      <w:r w:rsidRPr="001C4D50">
        <w:rPr>
          <w:rFonts w:ascii="Calibri" w:hAnsi="Calibri"/>
          <w:noProof/>
          <w:lang w:val="en-US"/>
        </w:rPr>
        <w:tab/>
        <w:t xml:space="preserve">Pittenger MF, Discher DE, Péault BM, Phinney DG, Hare JM, Caplan AI. Mesenchymal stem cell perspective: cell biology to clinical progress. npj Regen Med. 2019;4(1). </w:t>
      </w:r>
    </w:p>
    <w:p w14:paraId="72BA513D"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38. </w:t>
      </w:r>
      <w:r w:rsidRPr="001C4D50">
        <w:rPr>
          <w:rFonts w:ascii="Calibri" w:hAnsi="Calibri"/>
          <w:noProof/>
          <w:lang w:val="en-US"/>
        </w:rPr>
        <w:tab/>
        <w:t xml:space="preserve">Wilson A, Webster A, Genever P. Nomenclature and heterogeneity: Consequences for the use of mesenchymal stem cells in regenerative medicine. Regen Med. 2019;14(6):595–611. </w:t>
      </w:r>
    </w:p>
    <w:p w14:paraId="70CB9721"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39. </w:t>
      </w:r>
      <w:r w:rsidRPr="001C4D50">
        <w:rPr>
          <w:rFonts w:ascii="Calibri" w:hAnsi="Calibri"/>
          <w:noProof/>
          <w:lang w:val="en-US"/>
        </w:rPr>
        <w:tab/>
        <w:t xml:space="preserve">Friedenstein AJ, Piatetzky-Shapiro I, Petrakova K V. Osteogenesis in transplants of bone marrow cells. Embryol exp Morph. 1966;16(3):390–581. </w:t>
      </w:r>
    </w:p>
    <w:p w14:paraId="4D71C480"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40. </w:t>
      </w:r>
      <w:r w:rsidRPr="001C4D50">
        <w:rPr>
          <w:rFonts w:ascii="Calibri" w:hAnsi="Calibri"/>
          <w:noProof/>
          <w:lang w:val="en-US"/>
        </w:rPr>
        <w:tab/>
        <w:t xml:space="preserve">Caplan AI. Mesenchymal stem cells. J Orthop Res. 1991 Sep;9(5):641–50. </w:t>
      </w:r>
    </w:p>
    <w:p w14:paraId="208C318D"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41. </w:t>
      </w:r>
      <w:r w:rsidRPr="001C4D50">
        <w:rPr>
          <w:rFonts w:ascii="Calibri" w:hAnsi="Calibri"/>
          <w:noProof/>
          <w:lang w:val="en-US"/>
        </w:rPr>
        <w:tab/>
        <w:t xml:space="preserve">Caplan AI. Mesenchymal stem cells: Time to change the name! Stem Cells Transl Med. 2017;6(6):1445–51. </w:t>
      </w:r>
    </w:p>
    <w:p w14:paraId="3D55B9E7"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42. </w:t>
      </w:r>
      <w:r w:rsidRPr="001C4D50">
        <w:rPr>
          <w:rFonts w:ascii="Calibri" w:hAnsi="Calibri"/>
          <w:noProof/>
          <w:lang w:val="en-US"/>
        </w:rPr>
        <w:tab/>
        <w:t xml:space="preserve">Sipp D, Robey PG, Turner L. Clear up this stem-cell mess. Nature. 2018;561:455–7. </w:t>
      </w:r>
    </w:p>
    <w:p w14:paraId="1CC997EE"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43. </w:t>
      </w:r>
      <w:r w:rsidRPr="001C4D50">
        <w:rPr>
          <w:rFonts w:ascii="Calibri" w:hAnsi="Calibri"/>
          <w:noProof/>
          <w:lang w:val="en-US"/>
        </w:rPr>
        <w:tab/>
        <w:t xml:space="preserve">Mennan C, Brown S, McCarthy H, Mavrogonatou E, Kletsas D, Garcia J, et al. Mesenchymal stromal cells derived from whole human umbilical cord exhibit similar properties to those derived from Wharton’s jelly and bone marrow. FEBS Open Bio. 2016;6:1054–66. </w:t>
      </w:r>
    </w:p>
    <w:p w14:paraId="7CD64419"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44. </w:t>
      </w:r>
      <w:r w:rsidRPr="001C4D50">
        <w:rPr>
          <w:rFonts w:ascii="Calibri" w:hAnsi="Calibri"/>
          <w:noProof/>
          <w:lang w:val="en-US"/>
        </w:rPr>
        <w:tab/>
        <w:t xml:space="preserve">Drukker M, Katz G, Urbach A, Schuldiner M, Markel G, Itskovitz-Eldor J, et al. Characterization of the expression of MHC proteins in human embryonic stem cells. Proc Natl Acad Sci U S A. 2002;99(15):9864–9. </w:t>
      </w:r>
    </w:p>
    <w:p w14:paraId="42FF6D97"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45. </w:t>
      </w:r>
      <w:r w:rsidRPr="001C4D50">
        <w:rPr>
          <w:rFonts w:ascii="Calibri" w:hAnsi="Calibri"/>
          <w:noProof/>
          <w:lang w:val="en-US"/>
        </w:rPr>
        <w:tab/>
        <w:t xml:space="preserve">Bourin P, Bunnell BA, Casteilla L, Dominici M, Katz AJ, March KL, et al. Stromal cells from the adipose tissue-derived stromal vascular fraction and culture expanded adipose tissue-derived stromal/stem cells: a joint statement of the International Federation for Adipose Therapeutics and Science (IFATS) and the International S. Cytotherapy. 2013 Jun;15(6):641–8. </w:t>
      </w:r>
    </w:p>
    <w:p w14:paraId="5C1C1318"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46. </w:t>
      </w:r>
      <w:r w:rsidRPr="001C4D50">
        <w:rPr>
          <w:rFonts w:ascii="Calibri" w:hAnsi="Calibri"/>
          <w:noProof/>
          <w:lang w:val="en-US"/>
        </w:rPr>
        <w:tab/>
        <w:t xml:space="preserve">Richardson JB, Wright KT, Wales J, Kuiper JH, Helen S, Harrison PE. Efficacy and safety of autologous cell therapies for knee cartilage defects ( autologous stem cells , chondrocytes or the two ): randomized controlled trial design. Regen Med. 2017;12(5):493–501. </w:t>
      </w:r>
    </w:p>
    <w:p w14:paraId="3C15665F"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47. </w:t>
      </w:r>
      <w:r w:rsidRPr="001C4D50">
        <w:rPr>
          <w:rFonts w:ascii="Calibri" w:hAnsi="Calibri"/>
          <w:noProof/>
          <w:lang w:val="en-US"/>
        </w:rPr>
        <w:tab/>
        <w:t xml:space="preserve">Bhasin A, Srivastava MVP, Kumaran SS, Mohanty S, Bhatia R, Bose S, et al. Autologous mesenchymal stem cells in chronic stroke. Cerebrovasc Dis Extra. 2011;1(1):93–104. </w:t>
      </w:r>
    </w:p>
    <w:p w14:paraId="1C051E82"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48. </w:t>
      </w:r>
      <w:r w:rsidRPr="001C4D50">
        <w:rPr>
          <w:rFonts w:ascii="Calibri" w:hAnsi="Calibri"/>
          <w:noProof/>
          <w:lang w:val="en-US"/>
        </w:rPr>
        <w:tab/>
        <w:t xml:space="preserve">Gupta PK, Chullikana A, Parakh R, Desai S, Das A, Gottipamula S, et al. A double blind randomized placebo controlled phase I/II study assessing the safety and efficacy of allogeneic bone marrow derived mesenchymal stem cell in critical limb ischemia. J Transl Med. 2013;11(1):1–11. </w:t>
      </w:r>
    </w:p>
    <w:p w14:paraId="0B702C75"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49. </w:t>
      </w:r>
      <w:r w:rsidRPr="001C4D50">
        <w:rPr>
          <w:rFonts w:ascii="Calibri" w:hAnsi="Calibri"/>
          <w:noProof/>
          <w:lang w:val="en-US"/>
        </w:rPr>
        <w:tab/>
        <w:t xml:space="preserve">Lee WY-W, Wang B. Cartilage repair by mesenchymal stem cells: Clinical trial update and perspectives. J Orthop Transl. 2017 Apr;9:76–88. </w:t>
      </w:r>
    </w:p>
    <w:p w14:paraId="69664610"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50. </w:t>
      </w:r>
      <w:r w:rsidRPr="001C4D50">
        <w:rPr>
          <w:rFonts w:ascii="Calibri" w:hAnsi="Calibri"/>
          <w:noProof/>
          <w:lang w:val="en-US"/>
        </w:rPr>
        <w:tab/>
        <w:t xml:space="preserve">Deng D, Zhang P, Guo Y, Lim TO. A randomised double-blind, placebo-controlled trial of allogeneic umbilical cord-derived mesenchymal stem cell for lupus nephritis. Ann Rheum Dis. 2017 Aug;76(8):1436–9. </w:t>
      </w:r>
    </w:p>
    <w:p w14:paraId="139AD18C"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51. </w:t>
      </w:r>
      <w:r w:rsidRPr="001C4D50">
        <w:rPr>
          <w:rFonts w:ascii="Calibri" w:hAnsi="Calibri"/>
          <w:noProof/>
          <w:lang w:val="en-US"/>
        </w:rPr>
        <w:tab/>
        <w:t xml:space="preserve">Matas J, Orrego M, Amenabar D, Infante C, Tapia-Limonchi R, Cadiz MI, et al. Umbilical Cord-Derived Mesenchymal Stromal Cells (MSCs) for Knee Osteoarthritis: Repeated MSC Dosing Is Superior to a Single MSC Dose and to Hyaluronic Acid in a Controlled Randomized Phase I/II Trial. Stem Cells Transl Med. 2019 Mar;8(3):215–24. </w:t>
      </w:r>
    </w:p>
    <w:p w14:paraId="35659365"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52. </w:t>
      </w:r>
      <w:r w:rsidRPr="001C4D50">
        <w:rPr>
          <w:rFonts w:ascii="Calibri" w:hAnsi="Calibri"/>
          <w:noProof/>
          <w:lang w:val="en-US"/>
        </w:rPr>
        <w:tab/>
        <w:t xml:space="preserve">Bomer N, Hollander W Den, Suchiman H, Houtman E, Slieker RC, Heijmans BT, et al. </w:t>
      </w:r>
      <w:r w:rsidRPr="001C4D50">
        <w:rPr>
          <w:rFonts w:ascii="Calibri" w:hAnsi="Calibri"/>
          <w:noProof/>
          <w:lang w:val="en-US"/>
        </w:rPr>
        <w:lastRenderedPageBreak/>
        <w:t>Neo-cartilage engineered from primary chondrocytes is epigenetically similar to autologous cartilage , in contrast to using mesenchymal stem cells. Osteoarthr Cartil [Internet]. 2016;24(8):1423–30. Available from: http://dx.doi.org/10.1016/j.joca.2016.03.009</w:t>
      </w:r>
    </w:p>
    <w:p w14:paraId="14D451A0"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53. </w:t>
      </w:r>
      <w:r w:rsidRPr="001C4D50">
        <w:rPr>
          <w:rFonts w:ascii="Calibri" w:hAnsi="Calibri"/>
          <w:noProof/>
          <w:lang w:val="en-US"/>
        </w:rPr>
        <w:tab/>
        <w:t xml:space="preserve">Dabrowska S, Andrzejewska A, Janowski M, Lukomska B. Immunomodulatory and Regenerative Effects of Mesenchymal Stem Cells and Extracellular Vesicles: Therapeutic Outlook for Inflammatory and Degenerative Diseases. Front Immunol. 2021;11(February). </w:t>
      </w:r>
    </w:p>
    <w:p w14:paraId="304C28FD"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54. </w:t>
      </w:r>
      <w:r w:rsidRPr="001C4D50">
        <w:rPr>
          <w:rFonts w:ascii="Calibri" w:hAnsi="Calibri"/>
          <w:noProof/>
          <w:lang w:val="en-US"/>
        </w:rPr>
        <w:tab/>
        <w:t xml:space="preserve">Wyles CC, Houdek MT, Behfar A, Sierra RJ. Mesenchymal stem cell therapy for osteoarthritis: Current perspectives. Stem Cells Cloning Adv Appl. 2015;8:117–24. </w:t>
      </w:r>
    </w:p>
    <w:p w14:paraId="74CD3EC9"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55. </w:t>
      </w:r>
      <w:r w:rsidRPr="001C4D50">
        <w:rPr>
          <w:rFonts w:ascii="Calibri" w:hAnsi="Calibri"/>
          <w:noProof/>
          <w:lang w:val="en-US"/>
        </w:rPr>
        <w:tab/>
        <w:t xml:space="preserve">Lee JW, Fang X, Krasnodembskaya A, Howard JP, Matthay MA. Concise Review: Mesenchymal Stem Cells for Acute Lung Injury: Role of Paracrine Soluble Factors. Stem Cells. 2011;29(6):913–9. </w:t>
      </w:r>
    </w:p>
    <w:p w14:paraId="00EE8CCD"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56. </w:t>
      </w:r>
      <w:r w:rsidRPr="001C4D50">
        <w:rPr>
          <w:rFonts w:ascii="Calibri" w:hAnsi="Calibri"/>
          <w:noProof/>
          <w:lang w:val="en-US"/>
        </w:rPr>
        <w:tab/>
        <w:t xml:space="preserve">Silini A, Parolini O, Huppertz B, Lang I. Soluble factors of amnion-derived cells in treatment of inflammatory and fibrotic pathologies. Curr Stem Cell Res Ther. 2013;8(1):6–14. </w:t>
      </w:r>
    </w:p>
    <w:p w14:paraId="5A9C379D"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57. </w:t>
      </w:r>
      <w:r w:rsidRPr="001C4D50">
        <w:rPr>
          <w:rFonts w:ascii="Calibri" w:hAnsi="Calibri"/>
          <w:noProof/>
          <w:lang w:val="en-US"/>
        </w:rPr>
        <w:tab/>
        <w:t xml:space="preserve">Barry FP, Murphy JMM. Mesenchymal stem cells: clinical applications and biological characterization. Int J Biochem Cell Biol. 2004;36(4):568–84. </w:t>
      </w:r>
    </w:p>
    <w:p w14:paraId="360E6325"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58. </w:t>
      </w:r>
      <w:r w:rsidRPr="001C4D50">
        <w:rPr>
          <w:rFonts w:ascii="Calibri" w:hAnsi="Calibri"/>
          <w:noProof/>
          <w:lang w:val="en-US"/>
        </w:rPr>
        <w:tab/>
        <w:t xml:space="preserve">Perry J, McCarthy HS, Bou-Gharios G, van’t Hof R, Milner PI, Mennan C, et al. Injected human umbilical cord-derived mesenchymal stromal cells do not appear to elicit an inflammatory response in a murine model of osteoarthritis. Osteoarthr Cart Open. 2020;2(2):100044. </w:t>
      </w:r>
    </w:p>
    <w:p w14:paraId="60FE50F7"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59. </w:t>
      </w:r>
      <w:r w:rsidRPr="001C4D50">
        <w:rPr>
          <w:rFonts w:ascii="Calibri" w:hAnsi="Calibri"/>
          <w:noProof/>
          <w:lang w:val="en-US"/>
        </w:rPr>
        <w:tab/>
        <w:t xml:space="preserve">Mennan C, Garcia J, Roberts S, Hulme C, Wright K. A comprehensive characterisation of large- scale expanded human bone marrow and umbilical cord mesenchymal stem cells. 2019;4:1–15. </w:t>
      </w:r>
    </w:p>
    <w:p w14:paraId="1774FB5C"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60. </w:t>
      </w:r>
      <w:r w:rsidRPr="001C4D50">
        <w:rPr>
          <w:rFonts w:ascii="Calibri" w:hAnsi="Calibri"/>
          <w:noProof/>
          <w:lang w:val="en-US"/>
        </w:rPr>
        <w:tab/>
        <w:t xml:space="preserve">Mabvuure N, Hindocha S, Khan WS. The role of bioreactors in cartilage tissue engineering. Curr Stem Cell Res Ther. 2012;7(4):287–92. </w:t>
      </w:r>
    </w:p>
    <w:p w14:paraId="7DDBB3E9"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61. </w:t>
      </w:r>
      <w:r w:rsidRPr="001C4D50">
        <w:rPr>
          <w:rFonts w:ascii="Calibri" w:hAnsi="Calibri"/>
          <w:noProof/>
          <w:lang w:val="en-US"/>
        </w:rPr>
        <w:tab/>
        <w:t xml:space="preserve">Fu L, Li P, Li H, Gao C, Yang Z, Zhao T, et al. The Application of Bioreactors for Cartilage Tissue Engineering: Advances, Limitations and Future Perspectives. Stem Cells Int. 2021;6621806. </w:t>
      </w:r>
    </w:p>
    <w:p w14:paraId="7091FA63"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62. </w:t>
      </w:r>
      <w:r w:rsidRPr="001C4D50">
        <w:rPr>
          <w:rFonts w:ascii="Calibri" w:hAnsi="Calibri"/>
          <w:noProof/>
          <w:lang w:val="en-US"/>
        </w:rPr>
        <w:tab/>
        <w:t xml:space="preserve">Cassano JM, Kennedy JG, Ross KA, Fraser EJ, Goodale MB, Fortier LA. Bone marrow concentrate and platelet-rich plasma differ in cell distribution and interleukin 1 receptor antagonist protein concentration. Knee Surgery, Sport Traumatol Arthrosc. 2018 Jan;26(1):333–42. </w:t>
      </w:r>
    </w:p>
    <w:p w14:paraId="2B3F94D6"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63. </w:t>
      </w:r>
      <w:r w:rsidRPr="001C4D50">
        <w:rPr>
          <w:rFonts w:ascii="Calibri" w:hAnsi="Calibri"/>
          <w:noProof/>
          <w:lang w:val="en-US"/>
        </w:rPr>
        <w:tab/>
        <w:t xml:space="preserve">Shetty AA, Kim SJ, Ahmed S, Trattnig S, Kim SA, Jang HJ. A cost-effective cell- and matrix-based minimally invasive single-stage chondroregenerative technique developed with validated vertical translation methodology. Ann R Coll Surg Engl. 2018 Mar;100(3):240–6. </w:t>
      </w:r>
    </w:p>
    <w:p w14:paraId="413DACBC"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64. </w:t>
      </w:r>
      <w:r w:rsidRPr="001C4D50">
        <w:rPr>
          <w:rFonts w:ascii="Calibri" w:hAnsi="Calibri"/>
          <w:noProof/>
          <w:lang w:val="en-US"/>
        </w:rPr>
        <w:tab/>
        <w:t xml:space="preserve">Shetty AA, Kim SJ, Shetty V, Stelzeneder D, Shetty N, Bilagi P, et al. Autologous bone-marrow mesenchymal cell induced chondrogenesis: Single-stage arthroscopic cartilage repair. Tissue Eng Regen Med. 2014;11(3):247–53. </w:t>
      </w:r>
    </w:p>
    <w:p w14:paraId="76187DB6"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65. </w:t>
      </w:r>
      <w:r w:rsidRPr="001C4D50">
        <w:rPr>
          <w:rFonts w:ascii="Calibri" w:hAnsi="Calibri"/>
          <w:noProof/>
          <w:lang w:val="en-US"/>
        </w:rPr>
        <w:tab/>
        <w:t xml:space="preserve">Gobbi A, Chaurasia S, Karnatzikos G, Nakamura N. Matrix-Induced Autologous Chondrocyte Implantation versus Multipotent Stem Cells for the Treatment of Large Patellofemoral Chondral Lesions: A Nonrandomized Prospective Trial. Cartilage. 2015 Apr;6(2):82–97. </w:t>
      </w:r>
    </w:p>
    <w:p w14:paraId="249BB205"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66. </w:t>
      </w:r>
      <w:r w:rsidRPr="001C4D50">
        <w:rPr>
          <w:rFonts w:ascii="Calibri" w:hAnsi="Calibri"/>
          <w:noProof/>
          <w:lang w:val="en-US"/>
        </w:rPr>
        <w:tab/>
        <w:t xml:space="preserve">Dávila Castrodad IM, Mease SJ, Werheim E, McInerney VK, Scillia AJ. Arthroscopic Chondral Defect Repair With Extracellular Matrix Scaffold and Bone Marrow Aspirate Concentrate. Arthrosc Tech. 2020 Sep;9(9):e1241–7. </w:t>
      </w:r>
    </w:p>
    <w:p w14:paraId="040929E2"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67. </w:t>
      </w:r>
      <w:r w:rsidRPr="001C4D50">
        <w:rPr>
          <w:rFonts w:ascii="Calibri" w:hAnsi="Calibri"/>
          <w:noProof/>
          <w:lang w:val="en-US"/>
        </w:rPr>
        <w:tab/>
        <w:t xml:space="preserve">Gobbi A, Karnatzikos G, Sankineani SR. One-step surgery with multipotent stem cells </w:t>
      </w:r>
      <w:r w:rsidRPr="001C4D50">
        <w:rPr>
          <w:rFonts w:ascii="Calibri" w:hAnsi="Calibri"/>
          <w:noProof/>
          <w:lang w:val="en-US"/>
        </w:rPr>
        <w:lastRenderedPageBreak/>
        <w:t xml:space="preserve">for the treatment of large full-thickness chondral defects of the knee. Am J Sports Med. 2014 Mar;42(3):648–57. </w:t>
      </w:r>
    </w:p>
    <w:p w14:paraId="6E988230"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68. </w:t>
      </w:r>
      <w:r w:rsidRPr="001C4D50">
        <w:rPr>
          <w:rFonts w:ascii="Calibri" w:hAnsi="Calibri"/>
          <w:noProof/>
          <w:lang w:val="en-US"/>
        </w:rPr>
        <w:tab/>
        <w:t xml:space="preserve">Cavinatto L, Hinckel BB, Tomlinson RE, Gupta S, Farr J, Bartolozzi AR. The Role of Bone Marrow Aspirate Concentrate for the Treatment of Focal Chondral Lesions of the Knee: A Systematic Review and Critical Analysis of Animal and Clinical Studies. Arthroscopy. 2019 Jun 1;35(6):1860–77. </w:t>
      </w:r>
    </w:p>
    <w:p w14:paraId="6BC76964"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69. </w:t>
      </w:r>
      <w:r w:rsidRPr="001C4D50">
        <w:rPr>
          <w:rFonts w:ascii="Calibri" w:hAnsi="Calibri"/>
          <w:noProof/>
          <w:lang w:val="en-US"/>
        </w:rPr>
        <w:tab/>
        <w:t xml:space="preserve">Holton J, Imam M, Ward J, Snow M. The basic science of bone marrow aspirate concentrate in chondral injuries. Vol. 8, Orthopedic Reviews. Page Press Publications; 2016. p. 80–4. </w:t>
      </w:r>
    </w:p>
    <w:p w14:paraId="5C230834"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70. </w:t>
      </w:r>
      <w:r w:rsidRPr="001C4D50">
        <w:rPr>
          <w:rFonts w:ascii="Calibri" w:hAnsi="Calibri"/>
          <w:noProof/>
          <w:lang w:val="en-US"/>
        </w:rPr>
        <w:tab/>
        <w:t xml:space="preserve">Cavallo C, Boffa A, Andriolo L, Silva S, Grigolo B, Zaffagnini S, et al. Bone marrow concentrate injections for the treatment of osteoarthritis: evidence from preclinical findings to the clinical application. Int Orthop. 2021;45(2):525–38. </w:t>
      </w:r>
    </w:p>
    <w:p w14:paraId="46FE9BDD"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71. </w:t>
      </w:r>
      <w:r w:rsidRPr="001C4D50">
        <w:rPr>
          <w:rFonts w:ascii="Calibri" w:hAnsi="Calibri"/>
          <w:noProof/>
          <w:lang w:val="en-US"/>
        </w:rPr>
        <w:tab/>
        <w:t xml:space="preserve">Murray IR, Chahla J, Safran MR, Krych AJ, Saris DBF, Caplan AI, et al. International Expert Consensus on a Cell Therapy Communication Tool: DOSES. J Bone Jt Surg - Am Vol. 2019;101(10):904–11. </w:t>
      </w:r>
    </w:p>
    <w:p w14:paraId="30AE597C"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72. </w:t>
      </w:r>
      <w:r w:rsidRPr="001C4D50">
        <w:rPr>
          <w:rFonts w:ascii="Calibri" w:hAnsi="Calibri"/>
          <w:noProof/>
          <w:lang w:val="en-US"/>
        </w:rPr>
        <w:tab/>
        <w:t xml:space="preserve">Knights CB, Gentry C, Bevan S. Partial medial meniscectomy produces osteoarthritis pain-related behaviour in female C57BL/6 mice. Pain. 2012 Feb;153(2):281–92. </w:t>
      </w:r>
    </w:p>
    <w:p w14:paraId="2BABA89D"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73. </w:t>
      </w:r>
      <w:r w:rsidRPr="001C4D50">
        <w:rPr>
          <w:rFonts w:ascii="Calibri" w:hAnsi="Calibri"/>
          <w:noProof/>
          <w:lang w:val="en-US"/>
        </w:rPr>
        <w:tab/>
        <w:t xml:space="preserve">Samvelyan HJ, Hughes D, Stevens C, Staines KA. Models of Osteoarthritis: Relevance and New Insights. Calcif Tissue Int. 2020;(0123456789). </w:t>
      </w:r>
    </w:p>
    <w:p w14:paraId="73705C35"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74. </w:t>
      </w:r>
      <w:r w:rsidRPr="001C4D50">
        <w:rPr>
          <w:rFonts w:ascii="Calibri" w:hAnsi="Calibri"/>
          <w:noProof/>
          <w:lang w:val="en-US"/>
        </w:rPr>
        <w:tab/>
        <w:t xml:space="preserve">Roelofs AJ, Zupan J, Riemen AHK, Kania K, Ansboro S, White N, et al. Joint morphogenetic cells in the adult mammalian synovium. Nat Commun. 2017;8(May):1–14. </w:t>
      </w:r>
    </w:p>
    <w:p w14:paraId="388E60E7"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75. </w:t>
      </w:r>
      <w:r w:rsidRPr="001C4D50">
        <w:rPr>
          <w:rFonts w:ascii="Calibri" w:hAnsi="Calibri"/>
          <w:noProof/>
          <w:lang w:val="en-US"/>
        </w:rPr>
        <w:tab/>
        <w:t xml:space="preserve">Newell K, Chitty J, Henson FM. “Patient reported outcomes” following experimental surgery—using telemetry to assess movement in experimental ovine models. J Orthop Res. 2018;36(5):1498–507. </w:t>
      </w:r>
    </w:p>
    <w:p w14:paraId="49285D4D"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76. </w:t>
      </w:r>
      <w:r w:rsidRPr="001C4D50">
        <w:rPr>
          <w:rFonts w:ascii="Calibri" w:hAnsi="Calibri"/>
          <w:noProof/>
          <w:lang w:val="en-US"/>
        </w:rPr>
        <w:tab/>
        <w:t xml:space="preserve">Hurtig MB, Buschmann MD, Fortier L a., Hoemann CD, Hunziker EB, Jurvelin JS, et al. Preclinical Studies for Cartilage Repair: Recommendations from the International Cartilage Repair Society. Cartilage. 2011;2(2):137–52. </w:t>
      </w:r>
    </w:p>
    <w:p w14:paraId="2C903594"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77. </w:t>
      </w:r>
      <w:r w:rsidRPr="001C4D50">
        <w:rPr>
          <w:rFonts w:ascii="Calibri" w:hAnsi="Calibri"/>
          <w:noProof/>
          <w:lang w:val="en-US"/>
        </w:rPr>
        <w:tab/>
        <w:t xml:space="preserve">Smith MM, Clarke EC, Little CB. Considerations for the design and execution of protocols for animal research and treatment to improve reproducibility and standardization: “DEPART well-prepared and ARRIVE safely.” Osteoarthr Cartil. 2017;25(3):354–63. </w:t>
      </w:r>
    </w:p>
    <w:p w14:paraId="33644A1B"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78. </w:t>
      </w:r>
      <w:r w:rsidRPr="001C4D50">
        <w:rPr>
          <w:rFonts w:ascii="Calibri" w:hAnsi="Calibri"/>
          <w:noProof/>
          <w:lang w:val="en-US"/>
        </w:rPr>
        <w:tab/>
        <w:t xml:space="preserve">Wakitani S, Imoto K, Yamamoto T, Saito M, Murata N, Yoneda M. Human autologous culture expanded bone marrow-mesenchymal cell transplantation for repair of cartilage defects in osteoarthritic knees. Osteoarthr Cartil. 2002;10(3):199–206. </w:t>
      </w:r>
    </w:p>
    <w:p w14:paraId="297BB165"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79. </w:t>
      </w:r>
      <w:r w:rsidRPr="001C4D50">
        <w:rPr>
          <w:rFonts w:ascii="Calibri" w:hAnsi="Calibri"/>
          <w:noProof/>
          <w:lang w:val="en-US"/>
        </w:rPr>
        <w:tab/>
        <w:t xml:space="preserve">Ha C-W, Park Y-B, Kim SH, Lee H-J. Intra-articular Mesenchymal Stem Cells in Osteoarthritis of the Knee: A Systematic Review of Clinical Outcomes and Evidence of Cartilage Repair. Arthroscopy. 2019 Jan 1;35(1):277-288.e2. </w:t>
      </w:r>
    </w:p>
    <w:p w14:paraId="09514364"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80. </w:t>
      </w:r>
      <w:r w:rsidRPr="001C4D50">
        <w:rPr>
          <w:rFonts w:ascii="Calibri" w:hAnsi="Calibri"/>
          <w:noProof/>
          <w:lang w:val="en-US"/>
        </w:rPr>
        <w:tab/>
        <w:t>Kim YS, Choi YJ, Lee SW, Kwon OR, Suh DS, Heo DB, et al. Assessment of clinical and MRI outcomes after mesenchymal stem cell implantation in patients with knee osteoarthritis: A prospective study. Osteoarthr Cartil [Internet]. 2016;24(2):237–45. Available from: http://dx.doi.org/10.1016/j.joca.2015.08.009</w:t>
      </w:r>
    </w:p>
    <w:p w14:paraId="0D9302B0"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81. </w:t>
      </w:r>
      <w:r w:rsidRPr="001C4D50">
        <w:rPr>
          <w:rFonts w:ascii="Calibri" w:hAnsi="Calibri"/>
          <w:noProof/>
          <w:lang w:val="en-US"/>
        </w:rPr>
        <w:tab/>
        <w:t xml:space="preserve">Park YB, Ha C., Lee CH, Yoon YC, Park YG. Cartilage Regeneration in Osteoarthritic Patients by a Composite of Allogeneic Umbilical Cord Blood-Derived Mesenchymal Stem Clles and Hyaluronate Hydrogel: Results from a Clinical Trial for Safetu and Proof-of-Concept with 7 years of Extended Follow-up. Stem Cells Transl Med. 2017;6:613–21. </w:t>
      </w:r>
    </w:p>
    <w:p w14:paraId="5BDAC59F"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82. </w:t>
      </w:r>
      <w:r w:rsidRPr="001C4D50">
        <w:rPr>
          <w:rFonts w:ascii="Calibri" w:hAnsi="Calibri"/>
          <w:noProof/>
          <w:lang w:val="en-US"/>
        </w:rPr>
        <w:tab/>
        <w:t xml:space="preserve">Lim HC, Park YB, Ha CW, Cole BJ, Lee BK, Jeong HJ, et al. Allogeneic Umbilical Cord Blood–Derived Mesenchymal Stem Cell Implantation Versus Microfracture for Large, </w:t>
      </w:r>
      <w:r w:rsidRPr="001C4D50">
        <w:rPr>
          <w:rFonts w:ascii="Calibri" w:hAnsi="Calibri"/>
          <w:noProof/>
          <w:lang w:val="en-US"/>
        </w:rPr>
        <w:lastRenderedPageBreak/>
        <w:t xml:space="preserve">Full-Thickness Cartilage Defects in Older Patients: A Multicenter Randomized Clinical Trial and Extended 5-Year Clinical Follow-up. Orthop J Sport Med. 2021;9(1):1–15. </w:t>
      </w:r>
    </w:p>
    <w:p w14:paraId="72DC3AA0"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83. </w:t>
      </w:r>
      <w:r w:rsidRPr="001C4D50">
        <w:rPr>
          <w:rFonts w:ascii="Calibri" w:hAnsi="Calibri"/>
          <w:noProof/>
          <w:lang w:val="en-US"/>
        </w:rPr>
        <w:tab/>
        <w:t xml:space="preserve">Nejadnik H, Hui JH, Choong EPF, Tai BC, Eng Hin Lee. Autologous bone marrow-derived mesenchymal stem cells versus autologous chondrocyte implantation: An observational cohort study. Am J Sports Med. 2010;38(6):1110–6. </w:t>
      </w:r>
    </w:p>
    <w:p w14:paraId="05C2127A"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84. </w:t>
      </w:r>
      <w:r w:rsidRPr="001C4D50">
        <w:rPr>
          <w:rFonts w:ascii="Calibri" w:hAnsi="Calibri"/>
          <w:noProof/>
          <w:lang w:val="en-US"/>
        </w:rPr>
        <w:tab/>
        <w:t xml:space="preserve">Teo AQA, Wong KL, Shen L, Lim JY, Toh WS, Lee EH, et al. Equivalent 10-Year Outcomes After Implantation of Autologous Bone Marrow–Derived Mesenchymal Stem Cells Versus Autologous Chondrocyte Implantation for Chondral Defects of the Knee. Am J Sports Med. 2019;47(12):2881–7. </w:t>
      </w:r>
    </w:p>
    <w:p w14:paraId="014B79A9"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85. </w:t>
      </w:r>
      <w:r w:rsidRPr="001C4D50">
        <w:rPr>
          <w:rFonts w:ascii="Calibri" w:hAnsi="Calibri"/>
          <w:noProof/>
          <w:lang w:val="en-US"/>
        </w:rPr>
        <w:tab/>
        <w:t xml:space="preserve">Saris TFF, de Windt TS, Kester EC, Vonk LA, Custers RJH, Saris DBF. Five-Year Outcome of 1-Stage Cell-Based Cartilage Repair Using Recycled Autologous Chondrons and Allogenic Mesenchymal Stromal Cells: A First-in-Human Clinical Trial. Am J Sports Med. 2021;49(4):941–7. </w:t>
      </w:r>
    </w:p>
    <w:p w14:paraId="478709BB"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86. </w:t>
      </w:r>
      <w:r w:rsidRPr="001C4D50">
        <w:rPr>
          <w:rFonts w:ascii="Calibri" w:hAnsi="Calibri"/>
          <w:noProof/>
          <w:lang w:val="en-US"/>
        </w:rPr>
        <w:tab/>
        <w:t xml:space="preserve">Korpershoek J V., Vonk LA, Kester EC, Creemers LB, De Windt TS, Kip MMA, et al. Efficacy of one-stage cartilage repair using allogeneic mesenchymal stromal cells and autologous chondron transplantation (IMPACT) compared to nonsurgical treatment for focal articular cartilage lesions of the knee: Study protocol for a crossover randomiz. Trials. 2020;21(1):1–11. </w:t>
      </w:r>
    </w:p>
    <w:p w14:paraId="228D33C3"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87. </w:t>
      </w:r>
      <w:r w:rsidRPr="001C4D50">
        <w:rPr>
          <w:rFonts w:ascii="Calibri" w:hAnsi="Calibri"/>
          <w:noProof/>
          <w:lang w:val="en-US"/>
        </w:rPr>
        <w:tab/>
        <w:t xml:space="preserve">Richardson JB, Wright KT, Wales J, Kuiper JH, McCarthy HS, Gallacher P, et al. Efficacy and safety of autologous cell therapies for cartilage defects (autologous stem cells, chondrocytes or the two): randomized controlled trial design. Regen Med. 2017;12(5):493–501. </w:t>
      </w:r>
    </w:p>
    <w:p w14:paraId="1E078334"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88. </w:t>
      </w:r>
      <w:r w:rsidRPr="001C4D50">
        <w:rPr>
          <w:rFonts w:ascii="Calibri" w:hAnsi="Calibri"/>
          <w:noProof/>
          <w:lang w:val="en-US"/>
        </w:rPr>
        <w:tab/>
        <w:t xml:space="preserve">McCoy AM. Animal Models of Osteoarthritis: Comparisons and Key Considerations. Vet Pathol. 2015;52(5):803–18. </w:t>
      </w:r>
    </w:p>
    <w:p w14:paraId="214120AF" w14:textId="7A02FB60"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89. </w:t>
      </w:r>
      <w:r w:rsidRPr="001C4D50">
        <w:rPr>
          <w:rFonts w:ascii="Calibri" w:hAnsi="Calibri"/>
          <w:noProof/>
          <w:lang w:val="en-US"/>
        </w:rPr>
        <w:tab/>
        <w:t xml:space="preserve">Frisbie DD, Cross MW, McIlwraith CW. A comparative study of articular cartilage thickness in the stifle of animal species used in human pre-clinical studies compared to articular cartilage thickness in the human knee. Vet Comp Orthop Traumatol. 2006;19(3):142–6. </w:t>
      </w:r>
    </w:p>
    <w:p w14:paraId="5A8F954A"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90. </w:t>
      </w:r>
      <w:r w:rsidRPr="001C4D50">
        <w:rPr>
          <w:rFonts w:ascii="Calibri" w:hAnsi="Calibri"/>
          <w:noProof/>
          <w:lang w:val="en-US"/>
        </w:rPr>
        <w:tab/>
        <w:t xml:space="preserve">Ahern BJ, Parvizi J, Boston R, Schaer TP. Preclinical animal models in single site cartilage defect testing: a systematic review. Osteoarthr Cartil. 2009;17(6):705–13. </w:t>
      </w:r>
    </w:p>
    <w:p w14:paraId="515F2F2B"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91. </w:t>
      </w:r>
      <w:r w:rsidRPr="001C4D50">
        <w:rPr>
          <w:rFonts w:ascii="Calibri" w:hAnsi="Calibri"/>
          <w:noProof/>
          <w:lang w:val="en-US"/>
        </w:rPr>
        <w:tab/>
        <w:t xml:space="preserve">Mcllwraith C, Fortier LA, Frisbie DD, Nixon AJ. Equine models of articular cartilage repair. Cartilage. 2011;2(4):317–26. </w:t>
      </w:r>
    </w:p>
    <w:p w14:paraId="4BA1650E"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92. </w:t>
      </w:r>
      <w:r w:rsidRPr="001C4D50">
        <w:rPr>
          <w:rFonts w:ascii="Calibri" w:hAnsi="Calibri"/>
          <w:noProof/>
          <w:lang w:val="en-US"/>
        </w:rPr>
        <w:tab/>
        <w:t xml:space="preserve">Kamisan N, Naveen SV, Ahmad RE, Tunku K. Chondrocyte density, proteoglycan content and gene expressions from native cartilage are species specific and not dependent on cartilage thickness: A comparative analysis between rat, rabbit and goat. BMC Vet Res. 2013;9(August 2014). </w:t>
      </w:r>
    </w:p>
    <w:p w14:paraId="09AE9B29"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93. </w:t>
      </w:r>
      <w:r w:rsidRPr="001C4D50">
        <w:rPr>
          <w:rFonts w:ascii="Calibri" w:hAnsi="Calibri"/>
          <w:noProof/>
          <w:lang w:val="en-US"/>
        </w:rPr>
        <w:tab/>
        <w:t xml:space="preserve">Katagiri H, Mendes LF, Luyten FP. Definition of a Critical Size Osteochondral Knee Defect and its Negative Effect on the Surrounding Articular Cartilage in the Rat. Osteoarthr Cartil. 2017;25(9):1531–40. </w:t>
      </w:r>
    </w:p>
    <w:p w14:paraId="0A833BE7"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94. </w:t>
      </w:r>
      <w:r w:rsidRPr="001C4D50">
        <w:rPr>
          <w:rFonts w:ascii="Calibri" w:hAnsi="Calibri"/>
          <w:noProof/>
          <w:lang w:val="en-US"/>
        </w:rPr>
        <w:tab/>
        <w:t xml:space="preserve">Saris F, Victor J, Haspl M. Results in Better Structural Repair When Treating Symptomatic Cartilage Defects of the Knee in a Randomized Controlled Trial. 2008;36(2):235–46. </w:t>
      </w:r>
    </w:p>
    <w:p w14:paraId="679DD5BF"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95. </w:t>
      </w:r>
      <w:r w:rsidRPr="001C4D50">
        <w:rPr>
          <w:rFonts w:ascii="Calibri" w:hAnsi="Calibri"/>
          <w:noProof/>
          <w:lang w:val="en-US"/>
        </w:rPr>
        <w:tab/>
        <w:t xml:space="preserve">Choi NY, Kim BW, Yeo WJ, Kim HB, Suh DS, Kim JS, et al. Gel-type autologous chondrocyte (Chondron) implantation for treatment of articular cartilage defects of the knee. BMC Musculoskelet Disord. 2010;11. </w:t>
      </w:r>
    </w:p>
    <w:p w14:paraId="2D1DEF82"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t xml:space="preserve">96. </w:t>
      </w:r>
      <w:r w:rsidRPr="001C4D50">
        <w:rPr>
          <w:rFonts w:ascii="Calibri" w:hAnsi="Calibri"/>
          <w:noProof/>
          <w:lang w:val="en-US"/>
        </w:rPr>
        <w:tab/>
        <w:t xml:space="preserve">Lee KT, Kim JS, Young KW, Lee YK, Park YU, Kim YH, et al. The use of fibrin matrix-mixed gel-type autologous chondrocyte implantation in the treatment for osteochondral lesions of the talus. Knee Surgery, Sport Traumatol Arthrosc. 2013;21(6):1251–60. </w:t>
      </w:r>
    </w:p>
    <w:p w14:paraId="707A1003" w14:textId="77777777" w:rsidR="00C8414E" w:rsidRPr="001C4D50" w:rsidRDefault="00C8414E" w:rsidP="00C8414E">
      <w:pPr>
        <w:widowControl w:val="0"/>
        <w:autoSpaceDE w:val="0"/>
        <w:autoSpaceDN w:val="0"/>
        <w:adjustRightInd w:val="0"/>
        <w:ind w:left="640" w:hanging="640"/>
        <w:rPr>
          <w:rFonts w:ascii="Calibri" w:hAnsi="Calibri"/>
          <w:noProof/>
          <w:lang w:val="en-US"/>
        </w:rPr>
      </w:pPr>
      <w:r w:rsidRPr="001C4D50">
        <w:rPr>
          <w:rFonts w:ascii="Calibri" w:hAnsi="Calibri"/>
          <w:noProof/>
          <w:lang w:val="en-US"/>
        </w:rPr>
        <w:lastRenderedPageBreak/>
        <w:t xml:space="preserve">97. </w:t>
      </w:r>
      <w:r w:rsidRPr="001C4D50">
        <w:rPr>
          <w:rFonts w:ascii="Calibri" w:hAnsi="Calibri"/>
          <w:noProof/>
          <w:lang w:val="en-US"/>
        </w:rPr>
        <w:tab/>
        <w:t xml:space="preserve">Clavé A, Potel JF, Servien E, Neyret P, Dubrana F, Stindel E. Third-generation autologous chondrocyte implantation versus mosaicplasty for knee cartilage injury: 2-year randomized trial. J Orthop Res. 2016;34(4):658–65. </w:t>
      </w:r>
    </w:p>
    <w:p w14:paraId="15C52F5D" w14:textId="77777777" w:rsidR="00C8414E" w:rsidRPr="001C4D50" w:rsidRDefault="00C8414E" w:rsidP="00C8414E">
      <w:pPr>
        <w:widowControl w:val="0"/>
        <w:autoSpaceDE w:val="0"/>
        <w:autoSpaceDN w:val="0"/>
        <w:adjustRightInd w:val="0"/>
        <w:ind w:left="640" w:hanging="640"/>
        <w:rPr>
          <w:rFonts w:ascii="Calibri" w:hAnsi="Calibri"/>
          <w:noProof/>
        </w:rPr>
      </w:pPr>
      <w:r w:rsidRPr="001C4D50">
        <w:rPr>
          <w:rFonts w:ascii="Calibri" w:hAnsi="Calibri"/>
          <w:noProof/>
          <w:lang w:val="en-US"/>
        </w:rPr>
        <w:t xml:space="preserve">98. </w:t>
      </w:r>
      <w:r w:rsidRPr="001C4D50">
        <w:rPr>
          <w:rFonts w:ascii="Calibri" w:hAnsi="Calibri"/>
          <w:noProof/>
          <w:lang w:val="en-US"/>
        </w:rPr>
        <w:tab/>
        <w:t xml:space="preserve">Zak L, Albrecht C, Wondrasch B, Widhalm H, Vekszler G, Trattnig S, et al. Results 2 years after matrix-associated autologous chondrocyte transplantation using the Novocart 3D scaffold: An analysis of clinical and radiological data. Am J Sports Med. 2014;42(7):1618–27. </w:t>
      </w:r>
    </w:p>
    <w:p w14:paraId="190555C7" w14:textId="1AC75414" w:rsidR="0064570F" w:rsidRPr="00282D2D" w:rsidRDefault="0064570F" w:rsidP="00C8414E">
      <w:pPr>
        <w:widowControl w:val="0"/>
        <w:autoSpaceDE w:val="0"/>
        <w:autoSpaceDN w:val="0"/>
        <w:adjustRightInd w:val="0"/>
        <w:ind w:left="640" w:hanging="640"/>
        <w:rPr>
          <w:rFonts w:cstheme="minorHAnsi"/>
          <w:color w:val="000000" w:themeColor="text1"/>
        </w:rPr>
      </w:pPr>
      <w:r w:rsidRPr="001C4D50">
        <w:rPr>
          <w:rFonts w:cstheme="minorHAnsi"/>
          <w:color w:val="000000" w:themeColor="text1"/>
          <w:shd w:val="clear" w:color="auto" w:fill="E6E6E6"/>
        </w:rPr>
        <w:fldChar w:fldCharType="end"/>
      </w:r>
    </w:p>
    <w:p w14:paraId="0C3FEFC9" w14:textId="585FC884" w:rsidR="00011FBF" w:rsidRDefault="00011FBF">
      <w:pPr>
        <w:rPr>
          <w:rFonts w:cstheme="minorHAnsi"/>
          <w:b/>
          <w:color w:val="000000" w:themeColor="text1"/>
          <w:u w:val="single"/>
        </w:rPr>
      </w:pPr>
      <w:r w:rsidRPr="00011FBF">
        <w:rPr>
          <w:rFonts w:cstheme="minorHAnsi"/>
          <w:b/>
          <w:color w:val="000000" w:themeColor="text1"/>
          <w:u w:val="single"/>
        </w:rPr>
        <w:t>Figure Legends</w:t>
      </w:r>
      <w:r w:rsidR="000D3BEE">
        <w:rPr>
          <w:rFonts w:cstheme="minorHAnsi"/>
          <w:b/>
          <w:color w:val="000000" w:themeColor="text1"/>
          <w:u w:val="single"/>
        </w:rPr>
        <w:t xml:space="preserve"> </w:t>
      </w:r>
    </w:p>
    <w:p w14:paraId="34CD83BC" w14:textId="77777777" w:rsidR="00062428" w:rsidRDefault="00062428" w:rsidP="003922C8">
      <w:pPr>
        <w:rPr>
          <w:b/>
          <w:bCs/>
          <w:color w:val="000000" w:themeColor="text1"/>
        </w:rPr>
      </w:pPr>
    </w:p>
    <w:p w14:paraId="39E8EFF4" w14:textId="26AF54F0" w:rsidR="00141550" w:rsidRDefault="00141550" w:rsidP="00141550">
      <w:pPr>
        <w:rPr>
          <w:color w:val="000000" w:themeColor="text1"/>
        </w:rPr>
      </w:pPr>
      <w:r w:rsidRPr="428DD730">
        <w:rPr>
          <w:b/>
          <w:bCs/>
          <w:color w:val="000000" w:themeColor="text1"/>
        </w:rPr>
        <w:t>Figure 1</w:t>
      </w:r>
      <w:r w:rsidR="00A96A5B">
        <w:rPr>
          <w:b/>
          <w:bCs/>
          <w:color w:val="000000" w:themeColor="text1"/>
        </w:rPr>
        <w:t>.</w:t>
      </w:r>
      <w:r w:rsidRPr="428DD730">
        <w:rPr>
          <w:color w:val="000000" w:themeColor="text1"/>
        </w:rPr>
        <w:t xml:space="preserve"> Cell therapy repair of cartilage defects. A-C) Representative 3-T magnetic resonance imaging (MRI) scans from a 35-year-old patient who underwent treatment with ACI. Proton density-weighted turbo spin-echo fat-suppressed (PD-TSE-FS) sequence MRI, showing (A) coronal and (B) sagittal view of the knee joint with an osteochondral defect (red arrow) prior to ACI treatment and (C) the treated defect 13 months post-ACI. Yellow arrow indicates normal healthy cartilage. D-F) Representative histological images of haematoxylin and eosin stained sections of (D) normal, healthy articular cartilage, (E) fibrillated, degenerative cartilage and (F) repair tissue formed 12 months post-ACI. </w:t>
      </w:r>
      <w:proofErr w:type="gramStart"/>
      <w:r w:rsidRPr="428DD730">
        <w:rPr>
          <w:color w:val="000000" w:themeColor="text1"/>
        </w:rPr>
        <w:t>c</w:t>
      </w:r>
      <w:proofErr w:type="gramEnd"/>
      <w:r w:rsidRPr="428DD730">
        <w:rPr>
          <w:color w:val="000000" w:themeColor="text1"/>
        </w:rPr>
        <w:t>: cartilage and b: bone. Scale bars = 500µm.</w:t>
      </w:r>
    </w:p>
    <w:p w14:paraId="59837547" w14:textId="77777777" w:rsidR="0071188C" w:rsidRDefault="0071188C" w:rsidP="00141550">
      <w:pPr>
        <w:rPr>
          <w:color w:val="000000" w:themeColor="text1"/>
        </w:rPr>
      </w:pPr>
    </w:p>
    <w:p w14:paraId="5D8ADAAB" w14:textId="466AE1BB" w:rsidR="0071188C" w:rsidRPr="0071188C" w:rsidRDefault="0071188C" w:rsidP="00141550">
      <w:pPr>
        <w:rPr>
          <w:color w:val="000000" w:themeColor="text1"/>
        </w:rPr>
      </w:pPr>
      <w:r w:rsidRPr="0071188C">
        <w:rPr>
          <w:b/>
          <w:color w:val="000000" w:themeColor="text1"/>
        </w:rPr>
        <w:t xml:space="preserve">Figure 2. </w:t>
      </w:r>
      <w:proofErr w:type="gramStart"/>
      <w:r>
        <w:rPr>
          <w:color w:val="000000" w:themeColor="text1"/>
        </w:rPr>
        <w:t>Sources and characteristics of multipotent mesenchymal stromal cells (MSCs).</w:t>
      </w:r>
      <w:proofErr w:type="gramEnd"/>
      <w:r>
        <w:rPr>
          <w:color w:val="000000" w:themeColor="text1"/>
        </w:rPr>
        <w:t xml:space="preserve"> MSCs can be readily isolated from numerous adult and perinatal sources. The minimal criteria for MSC characterisation, published by the International Society for Cellular Therapy (ISCT; </w:t>
      </w:r>
      <w:r>
        <w:rPr>
          <w:color w:val="000000" w:themeColor="text1"/>
        </w:rPr>
        <w:fldChar w:fldCharType="begin" w:fldLock="1"/>
      </w:r>
      <w:r>
        <w:rPr>
          <w:color w:val="000000" w:themeColor="text1"/>
        </w:rPr>
        <w:instrText>ADDIN CSL_CITATION {"citationItems":[{"id":"ITEM-1","itemData":{"DOI":"10.1080/14653240600855905","ISSN":"1465-3249","PMID":"16923606","abstract":"The considerable therapeutic potential of human multipotent mesenchymal stromal cells (MSC) has generated markedly increasing interest in a wide variety of biomedical disciplines. However, investigators report studies of MSC using different methods of isolation and expansion, and different approaches to characterizing the cells. Thus it is increasingly difficult to compare and contrast study outcomes, which hinders progress in the field. To begin to address this issue, the Mesenchymal and Tissue Stem Cell Committee of the International Society for Cellular Therapy proposes minimal criteria to define human MSC. First, MSC must be plastic-adherent when maintained in standard culture conditions. Second, MSC must express CD105, CD73 and CD90, and lack expression of CD45, CD34, CD14 or CD11b, CD79alpha or CD19 and HLA-DR surface molecules. Third, MSC must differentiate to osteoblasts, adipocytes and chondroblasts in vitro. While these criteria will probably require modification as new knowledge unfolds, we believe this minimal set of standard criteria will foster a more uniform characterization of MSC and facilitate the exchange of data among investigators.","author":[{"dropping-particle":"","family":"Dominici","given":"M","non-dropping-particle":"","parse-names":false,"suffix":""},{"dropping-particle":"","family":"Blanc","given":"K","non-dropping-particle":"Le","parse-names":false,"suffix":""},{"dropping-particle":"","family":"Mueller","given":"I","non-dropping-particle":"","parse-names":false,"suffix":""},{"dropping-particle":"","family":"Slaper-Cortenbach","given":"I","non-dropping-particle":"","parse-names":false,"suffix":""},{"dropping-particle":"","family":"Marini","given":"Fc","non-dropping-particle":"","parse-names":false,"suffix":""},{"dropping-particle":"","family":"Krause","given":"Ds","non-dropping-particle":"","parse-names":false,"suffix":""},{"dropping-particle":"","family":"Deans","given":"Rj","non-dropping-particle":"","parse-names":false,"suffix":""},{"dropping-particle":"","family":"Keating","given":"a","non-dropping-particle":"","parse-names":false,"suffix":""},{"dropping-particle":"","family":"Prockop","given":"Dj","non-dropping-particle":"","parse-names":false,"suffix":""},{"dropping-particle":"","family":"Horwitz","given":"Em","non-dropping-particle":"","parse-names":false,"suffix":""}],"container-title":"Cytotherapy","id":"ITEM-1","issue":"4","issued":{"date-parts":[["2006","1"]]},"page":"315-317","title":"Minimal criteria for defining multipotent mesenchymal stromal cells. The International Society for Cellular Therapy position statement.","type":"article-journal","volume":"8"},"uris":["http://www.mendeley.com/documents/?uuid=4f66a201-03ff-439d-b007-09b0a5d77af3"]}],"mendeley":{"formattedCitation":"[35]","plainTextFormattedCitation":"[35]","previouslyFormattedCitation":"[35]"},"properties":{"noteIndex":0},"schema":"https://github.com/citation-style-language/schema/raw/master/csl-citation.json"}</w:instrText>
      </w:r>
      <w:r>
        <w:rPr>
          <w:color w:val="000000" w:themeColor="text1"/>
        </w:rPr>
        <w:fldChar w:fldCharType="separate"/>
      </w:r>
      <w:r w:rsidRPr="0071188C">
        <w:rPr>
          <w:noProof/>
          <w:color w:val="000000" w:themeColor="text1"/>
        </w:rPr>
        <w:t>[35]</w:t>
      </w:r>
      <w:r>
        <w:rPr>
          <w:color w:val="000000" w:themeColor="text1"/>
        </w:rPr>
        <w:fldChar w:fldCharType="end"/>
      </w:r>
      <w:r>
        <w:rPr>
          <w:color w:val="000000" w:themeColor="text1"/>
        </w:rPr>
        <w:t xml:space="preserve">), states that MSCs must be plastic-adherent in the standard tissue culture conditions, demonstrate a specific CD </w:t>
      </w:r>
      <w:proofErr w:type="spellStart"/>
      <w:r>
        <w:rPr>
          <w:color w:val="000000" w:themeColor="text1"/>
        </w:rPr>
        <w:t>immunoprofile</w:t>
      </w:r>
      <w:proofErr w:type="spellEnd"/>
      <w:r>
        <w:rPr>
          <w:color w:val="000000" w:themeColor="text1"/>
        </w:rPr>
        <w:t xml:space="preserve"> as measure by flow cytometry (subsequently amended for adipose-derived MSCs </w:t>
      </w:r>
      <w:r>
        <w:rPr>
          <w:color w:val="000000" w:themeColor="text1"/>
        </w:rPr>
        <w:fldChar w:fldCharType="begin" w:fldLock="1"/>
      </w:r>
      <w:r w:rsidR="00CF69B7">
        <w:rPr>
          <w:color w:val="000000" w:themeColor="text1"/>
        </w:rPr>
        <w:instrText>ADDIN CSL_CITATION {"citationItems":[{"id":"ITEM-1","itemData":{"DOI":"10.1016/j.jcyt.2013.02.006","ISSN":"1477-2566 (Electronic)","PMID":"23570660","abstract":"BACKGROUND AIMS: Adipose tissue is a rich and very convenient source of cells for regenerative medicine therapeutic approaches. However, a characterization of the population of adipose-derived stromal and stem cells (ASCs) with the greatest therapeutic potential remains unclear. Under the authority of International Federation of Adipose Therapeutics and International Society for Cellular Therapy, this paper sets out to establish minimal definitions of stromal cells both as uncultured stromal vascular fraction (SVF) and as an adherent stromal/stem cells population. METHODS: Phenotypic and functional criteria for the identification of adipose-derived cells were drawn from the literature. RESULTS: In the SVF, cells are identified phenotypically by the following markers: CD45-CD235a-CD31-CD34+. Added value may be provided by both a viability marker and the following surface antigens: CD13, CD73, CD90 and CD105. The fibroblastoid colony-forming unit assay permits the evaluation of progenitor frequency in the SVF population. In culture, ASCs retain markers in common with other mesenchymal stromal/stem cells (MSCs), including CD90, CD73, CD105, and CD44 and remain negative for CD45 and CD31. They can be distinguished from bone-marrow-derived MSCs by their positivity for CD36 and negativity for CD106. The CFU-F assay is recommended to calculate population doublings capacity of ASCs. The adipocytic, chondroblastic and osteoblastic differentiation assays serve to complete the cell identification and potency assessment in conjunction with a quantitative evaluation of the differentiation either biochemically or by reverse transcription polymerase chain reaction. CONCLUSIONS: The goal of this paper is to provide initial guidance for the scientific community working with adipose-derived cells and to facilitate development of international standards based on reproducible parameters.","author":[{"dropping-particle":"","family":"Bourin","given":"Philippe","non-dropping-particle":"","parse-names":false,"suffix":""},{"dropping-particle":"","family":"Bunnell","given":"Bruce A","non-dropping-particle":"","parse-names":false,"suffix":""},{"dropping-particle":"","family":"Casteilla","given":"Louis","non-dropping-particle":"","parse-names":false,"suffix":""},{"dropping-particle":"","family":"Dominici","given":"Massimo","non-dropping-particle":"","parse-names":false,"suffix":""},{"dropping-particle":"","family":"Katz","given":"Adam J","non-dropping-particle":"","parse-names":false,"suffix":""},{"dropping-particle":"","family":"March","given":"Keith L","non-dropping-particle":"","parse-names":false,"suffix":""},{"dropping-particle":"","family":"Redl","given":"Heinz","non-dropping-particle":"","parse-names":false,"suffix":""},{"dropping-particle":"","family":"Rubin","given":"J Peter","non-dropping-particle":"","parse-names":false,"suffix":""},{"dropping-particle":"","family":"Yoshimura","given":"Kotaro","non-dropping-particle":"","parse-names":false,"suffix":""},{"dropping-particle":"","family":"Gimble","given":"Jeffrey M","non-dropping-particle":"","parse-names":false,"suffix":""}],"container-title":"Cytotherapy","id":"ITEM-1","issue":"6","issued":{"date-parts":[["2013","6"]]},"page":"641-648","title":"Stromal cells from the adipose tissue-derived stromal vascular fraction and culture expanded adipose tissue-derived stromal/stem cells: a joint statement of the International Federation for Adipose Therapeutics and Science (IFATS) and the International S","type":"article-journal","volume":"15"},"uris":["http://www.mendeley.com/documents/?uuid=a9062352-394d-461b-8f80-affcb22d3cf7"]}],"mendeley":{"formattedCitation":"[45]","plainTextFormattedCitation":"[45]","previouslyFormattedCitation":"[45]"},"properties":{"noteIndex":0},"schema":"https://github.com/citation-style-language/schema/raw/master/csl-citation.json"}</w:instrText>
      </w:r>
      <w:r>
        <w:rPr>
          <w:color w:val="000000" w:themeColor="text1"/>
        </w:rPr>
        <w:fldChar w:fldCharType="separate"/>
      </w:r>
      <w:r w:rsidR="00AA1043" w:rsidRPr="00AA1043">
        <w:rPr>
          <w:noProof/>
          <w:color w:val="000000" w:themeColor="text1"/>
        </w:rPr>
        <w:t>[45]</w:t>
      </w:r>
      <w:r>
        <w:rPr>
          <w:color w:val="000000" w:themeColor="text1"/>
        </w:rPr>
        <w:fldChar w:fldCharType="end"/>
      </w:r>
      <w:r>
        <w:rPr>
          <w:color w:val="000000" w:themeColor="text1"/>
        </w:rPr>
        <w:t xml:space="preserve">) and demonstrate a specific </w:t>
      </w:r>
      <w:r>
        <w:rPr>
          <w:i/>
          <w:color w:val="000000" w:themeColor="text1"/>
        </w:rPr>
        <w:t>in vitro</w:t>
      </w:r>
      <w:r>
        <w:rPr>
          <w:color w:val="000000" w:themeColor="text1"/>
        </w:rPr>
        <w:t xml:space="preserve"> differentiation potential by </w:t>
      </w:r>
      <w:proofErr w:type="spellStart"/>
      <w:r>
        <w:rPr>
          <w:color w:val="000000" w:themeColor="text1"/>
        </w:rPr>
        <w:t>differetiaiting</w:t>
      </w:r>
      <w:proofErr w:type="spellEnd"/>
      <w:r>
        <w:rPr>
          <w:color w:val="000000" w:themeColor="text1"/>
        </w:rPr>
        <w:t xml:space="preserve"> down, osteogenic, </w:t>
      </w:r>
      <w:proofErr w:type="spellStart"/>
      <w:r>
        <w:rPr>
          <w:color w:val="000000" w:themeColor="text1"/>
        </w:rPr>
        <w:t>adipogenic</w:t>
      </w:r>
      <w:proofErr w:type="spellEnd"/>
      <w:r>
        <w:rPr>
          <w:color w:val="000000" w:themeColor="text1"/>
        </w:rPr>
        <w:t xml:space="preserve"> and </w:t>
      </w:r>
      <w:proofErr w:type="spellStart"/>
      <w:r>
        <w:rPr>
          <w:color w:val="000000" w:themeColor="text1"/>
        </w:rPr>
        <w:t>chondrogenic</w:t>
      </w:r>
      <w:proofErr w:type="spellEnd"/>
      <w:r>
        <w:rPr>
          <w:color w:val="000000" w:themeColor="text1"/>
        </w:rPr>
        <w:t xml:space="preserve"> lineages </w:t>
      </w:r>
      <w:r w:rsidRPr="0071188C">
        <w:rPr>
          <w:i/>
          <w:color w:val="000000" w:themeColor="text1"/>
        </w:rPr>
        <w:t>in vitro</w:t>
      </w:r>
      <w:r>
        <w:rPr>
          <w:i/>
          <w:color w:val="000000" w:themeColor="text1"/>
        </w:rPr>
        <w:t xml:space="preserve"> </w:t>
      </w:r>
      <w:r>
        <w:rPr>
          <w:i/>
          <w:color w:val="000000" w:themeColor="text1"/>
        </w:rPr>
        <w:fldChar w:fldCharType="begin" w:fldLock="1"/>
      </w:r>
      <w:r w:rsidR="00544EFE">
        <w:rPr>
          <w:i/>
          <w:color w:val="000000" w:themeColor="text1"/>
        </w:rPr>
        <w:instrText>ADDIN CSL_CITATION {"citationItems":[{"id":"ITEM-1","itemData":{"DOI":"10.1080/14653240600855905","ISSN":"1465-3249","PMID":"16923606","abstract":"The considerable therapeutic potential of human multipotent mesenchymal stromal cells (MSC) has generated markedly increasing interest in a wide variety of biomedical disciplines. However, investigators report studies of MSC using different methods of isolation and expansion, and different approaches to characterizing the cells. Thus it is increasingly difficult to compare and contrast study outcomes, which hinders progress in the field. To begin to address this issue, the Mesenchymal and Tissue Stem Cell Committee of the International Society for Cellular Therapy proposes minimal criteria to define human MSC. First, MSC must be plastic-adherent when maintained in standard culture conditions. Second, MSC must express CD105, CD73 and CD90, and lack expression of CD45, CD34, CD14 or CD11b, CD79alpha or CD19 and HLA-DR surface molecules. Third, MSC must differentiate to osteoblasts, adipocytes and chondroblasts in vitro. While these criteria will probably require modification as new knowledge unfolds, we believe this minimal set of standard criteria will foster a more uniform characterization of MSC and facilitate the exchange of data among investigators.","author":[{"dropping-particle":"","family":"Dominici","given":"M","non-dropping-particle":"","parse-names":false,"suffix":""},{"dropping-particle":"","family":"Blanc","given":"K","non-dropping-particle":"Le","parse-names":false,"suffix":""},{"dropping-particle":"","family":"Mueller","given":"I","non-dropping-particle":"","parse-names":false,"suffix":""},{"dropping-particle":"","family":"Slaper-Cortenbach","given":"I","non-dropping-particle":"","parse-names":false,"suffix":""},{"dropping-particle":"","family":"Marini","given":"Fc","non-dropping-particle":"","parse-names":false,"suffix":""},{"dropping-particle":"","family":"Krause","given":"Ds","non-dropping-particle":"","parse-names":false,"suffix":""},{"dropping-particle":"","family":"Deans","given":"Rj","non-dropping-particle":"","parse-names":false,"suffix":""},{"dropping-particle":"","family":"Keating","given":"a","non-dropping-particle":"","parse-names":false,"suffix":""},{"dropping-particle":"","family":"Prockop","given":"Dj","non-dropping-particle":"","parse-names":false,"suffix":""},{"dropping-particle":"","family":"Horwitz","given":"Em","non-dropping-particle":"","parse-names":false,"suffix":""}],"container-title":"Cytotherapy","id":"ITEM-1","issue":"4","issued":{"date-parts":[["2006","1"]]},"page":"315-317","title":"Minimal criteria for defining multipotent mesenchymal stromal cells. The International Society for Cellular Therapy position statement.","type":"article-journal","volume":"8"},"uris":["http://www.mendeley.com/documents/?uuid=4f66a201-03ff-439d-b007-09b0a5d77af3"]}],"mendeley":{"formattedCitation":"[35]","plainTextFormattedCitation":"[35]","previouslyFormattedCitation":"[35]"},"properties":{"noteIndex":0},"schema":"https://github.com/citation-style-language/schema/raw/master/csl-citation.json"}</w:instrText>
      </w:r>
      <w:r>
        <w:rPr>
          <w:i/>
          <w:color w:val="000000" w:themeColor="text1"/>
        </w:rPr>
        <w:fldChar w:fldCharType="separate"/>
      </w:r>
      <w:r w:rsidRPr="0071188C">
        <w:rPr>
          <w:noProof/>
          <w:color w:val="000000" w:themeColor="text1"/>
        </w:rPr>
        <w:t>[35]</w:t>
      </w:r>
      <w:r>
        <w:rPr>
          <w:i/>
          <w:color w:val="000000" w:themeColor="text1"/>
        </w:rPr>
        <w:fldChar w:fldCharType="end"/>
      </w:r>
      <w:r>
        <w:rPr>
          <w:i/>
          <w:color w:val="000000" w:themeColor="text1"/>
        </w:rPr>
        <w:t xml:space="preserve">. </w:t>
      </w:r>
      <w:r>
        <w:rPr>
          <w:color w:val="000000" w:themeColor="text1"/>
        </w:rPr>
        <w:t xml:space="preserve">Specific stimuli can also promote MSCs to differentiate down myogenic and </w:t>
      </w:r>
      <w:proofErr w:type="spellStart"/>
      <w:r>
        <w:rPr>
          <w:color w:val="000000" w:themeColor="text1"/>
        </w:rPr>
        <w:t>tenogenic</w:t>
      </w:r>
      <w:proofErr w:type="spellEnd"/>
      <w:r>
        <w:rPr>
          <w:color w:val="000000" w:themeColor="text1"/>
        </w:rPr>
        <w:t xml:space="preserve"> lineages. Alongside traditional tissue culture for cell expansion, MSCs have been effectively up-scaled using bioreactors, thus enabling a switch from autologous to allogeneic multi-dose cell banking for therapeutic uses </w:t>
      </w:r>
      <w:r w:rsidR="00544EFE">
        <w:rPr>
          <w:color w:val="000000" w:themeColor="text1"/>
        </w:rPr>
        <w:fldChar w:fldCharType="begin" w:fldLock="1"/>
      </w:r>
      <w:r w:rsidR="00C8414E">
        <w:rPr>
          <w:color w:val="000000" w:themeColor="text1"/>
        </w:rPr>
        <w:instrText>ADDIN CSL_CITATION {"citationItems":[{"id":"ITEM-1","itemData":{"author":[{"dropping-particle":"","family":"Mennan","given":"Claire","non-dropping-particle":"","parse-names":false,"suffix":""},{"dropping-particle":"","family":"Garcia","given":"John","non-dropping-particle":"","parse-names":false,"suffix":""},{"dropping-particle":"","family":"Roberts","given":"Sally","non-dropping-particle":"","parse-names":false,"suffix":""},{"dropping-particle":"","family":"Hulme","given":"Charlotte","non-dropping-particle":"","parse-names":false,"suffix":""},{"dropping-particle":"","family":"Wright","given":"Karina","non-dropping-particle":"","parse-names":false,"suffix":""}],"id":"ITEM-1","issued":{"date-parts":[["2019"]]},"page":"1-15","publisher":"Stem Cell Research &amp; Therapy","title":"A comprehensive characterisation of large- scale expanded human bone marrow and umbilical cord mesenchymal stem cells","type":"article-journal","volume":"4"},"uris":["http://www.mendeley.com/documents/?uuid=9f3c2fe1-bf0c-4d6d-a483-aa8b89ccb2cb"]}],"mendeley":{"formattedCitation":"[59]","plainTextFormattedCitation":"[59]","previouslyFormattedCitation":"[58]"},"properties":{"noteIndex":0},"schema":"https://github.com/citation-style-language/schema/raw/master/csl-citation.json"}</w:instrText>
      </w:r>
      <w:r w:rsidR="00544EFE">
        <w:rPr>
          <w:color w:val="000000" w:themeColor="text1"/>
        </w:rPr>
        <w:fldChar w:fldCharType="separate"/>
      </w:r>
      <w:r w:rsidR="00C8414E" w:rsidRPr="00C8414E">
        <w:rPr>
          <w:noProof/>
          <w:color w:val="000000" w:themeColor="text1"/>
        </w:rPr>
        <w:t>[59]</w:t>
      </w:r>
      <w:r w:rsidR="00544EFE">
        <w:rPr>
          <w:color w:val="000000" w:themeColor="text1"/>
        </w:rPr>
        <w:fldChar w:fldCharType="end"/>
      </w:r>
      <w:r w:rsidR="00544EFE">
        <w:rPr>
          <w:color w:val="000000" w:themeColor="text1"/>
        </w:rPr>
        <w:t xml:space="preserve">. Evidence suggests that MSCs secrete large numbers of soluble and vesicle-bound growth factors and immunomodulatory proteins, which may not only have trophic effects on endogenous cells but also modulate the environment for repair </w:t>
      </w:r>
      <w:r w:rsidR="00544EFE">
        <w:rPr>
          <w:color w:val="000000" w:themeColor="text1"/>
        </w:rPr>
        <w:fldChar w:fldCharType="begin" w:fldLock="1"/>
      </w:r>
      <w:r w:rsidR="00544EFE">
        <w:rPr>
          <w:color w:val="000000" w:themeColor="text1"/>
        </w:rPr>
        <w:instrText>ADDIN CSL_CITATION {"citationItems":[{"id":"ITEM-1","itemData":{"ISSN":"20573995","PMID":"31815001","abstract":"The terms MSC and MSCs have become the preferred acronym to describe a cell and a cell population of multipotential stem/progenitor cells commonly referred to as mesenchymal stem cells, multipotential stromal cells, mesenchymal stromal cells, and mesenchymal progenitor cells. The MSCs can differentiate to important lineages under defined conditions in vitro and in limited situations after implantation in vivo. MSCs were isolated and described about 30 years ago and now there are over 55,000 publications on MSCs readily available. Here, we have focused on human MSCs whenever possible. The MSCs have broad anti-inflammatory and immune-modulatory properties. At present, these provide the greatest focus of human MSCs in clinical testing; however, the properties of cultured MSCs in vitro suggest they can have broader applications. The medical utility of MSCs continues to be investigated in over 950 clinical trials. There has been much progress in understanding MSCs over the years, and there is a strong foundation for future scientific research and clinical applications, but also some important questions remain to be answered. Developing further methods to understand and unlock MSC potential through intracellular and intercellular signaling, biomedical engineering, delivery methods and patient selection should all provide substantial advancements in the coming years and greater clinical opportunities. The expansive and growing field of MSC research is teaching us basic human cell biology as well as how to use this type of cell for cellular therapy in a variety of clinical settings, and while much promise is evident, careful new work is still needed.","author":[{"dropping-particle":"","family":"Pittenger","given":"Mark F","non-dropping-particle":"","parse-names":false,"suffix":""},{"dropping-particle":"","family":"Discher","given":"Dennis E","non-dropping-particle":"","parse-names":false,"suffix":""},{"dropping-particle":"","family":"Péault","given":"Bruno M","non-dropping-particle":"","parse-names":false,"suffix":""},{"dropping-particle":"","family":"Phinney","given":"Donald G","non-dropping-particle":"","parse-names":false,"suffix":""},{"dropping-particle":"","family":"Hare","given":"Joshua M","non-dropping-particle":"","parse-names":false,"suffix":""},{"dropping-particle":"","family":"Caplan","given":"Arnold I","non-dropping-particle":"","parse-names":false,"suffix":""}],"container-title":"npj Regenerative Medicine","id":"ITEM-1","issue":"1","issued":{"date-parts":[["2019"]]},"publisher":"Springer US","title":"Mesenchymal stem cell perspective: cell biology to clinical progress","type":"article-journal","volume":"4"},"uris":["http://www.mendeley.com/documents/?uuid=927d34e7-a421-4da4-8b73-e29e9aa8347d"]}],"mendeley":{"formattedCitation":"[37]","plainTextFormattedCitation":"[37]","previouslyFormattedCitation":"[37]"},"properties":{"noteIndex":0},"schema":"https://github.com/citation-style-language/schema/raw/master/csl-citation.json"}</w:instrText>
      </w:r>
      <w:r w:rsidR="00544EFE">
        <w:rPr>
          <w:color w:val="000000" w:themeColor="text1"/>
        </w:rPr>
        <w:fldChar w:fldCharType="separate"/>
      </w:r>
      <w:r w:rsidR="00544EFE" w:rsidRPr="00544EFE">
        <w:rPr>
          <w:noProof/>
          <w:color w:val="000000" w:themeColor="text1"/>
        </w:rPr>
        <w:t>[37]</w:t>
      </w:r>
      <w:r w:rsidR="00544EFE">
        <w:rPr>
          <w:color w:val="000000" w:themeColor="text1"/>
        </w:rPr>
        <w:fldChar w:fldCharType="end"/>
      </w:r>
      <w:r w:rsidR="00544EFE">
        <w:rPr>
          <w:color w:val="000000" w:themeColor="text1"/>
        </w:rPr>
        <w:t xml:space="preserve">. </w:t>
      </w:r>
      <w:r w:rsidR="007B5EC4">
        <w:rPr>
          <w:color w:val="000000" w:themeColor="text1"/>
        </w:rPr>
        <w:t>(</w:t>
      </w:r>
      <w:r w:rsidR="00497715" w:rsidRPr="00A301F8">
        <w:rPr>
          <w:highlight w:val="yellow"/>
        </w:rPr>
        <w:t>Created using Biorender.com.</w:t>
      </w:r>
      <w:r w:rsidR="007B5EC4" w:rsidRPr="00A301F8">
        <w:rPr>
          <w:highlight w:val="yellow"/>
        </w:rPr>
        <w:t>)</w:t>
      </w:r>
    </w:p>
    <w:p w14:paraId="7113CDE4" w14:textId="77777777" w:rsidR="00141550" w:rsidRDefault="00141550" w:rsidP="00141550">
      <w:pPr>
        <w:rPr>
          <w:color w:val="2B579A"/>
        </w:rPr>
      </w:pPr>
    </w:p>
    <w:p w14:paraId="432B7894" w14:textId="379E2A0F" w:rsidR="00141550" w:rsidRDefault="00141550" w:rsidP="00141550">
      <w:pPr>
        <w:rPr>
          <w:rFonts w:hAnsi="Calibri"/>
          <w:color w:val="000000" w:themeColor="text1"/>
          <w:kern w:val="24"/>
          <w:lang w:val="en-US"/>
        </w:rPr>
      </w:pPr>
      <w:r w:rsidRPr="002E1F10">
        <w:rPr>
          <w:rFonts w:hAnsi="Calibri"/>
          <w:b/>
          <w:color w:val="000000" w:themeColor="text1"/>
          <w:kern w:val="24"/>
          <w:lang w:val="en-US"/>
        </w:rPr>
        <w:t>Figure 3.</w:t>
      </w:r>
      <w:r w:rsidRPr="00955318">
        <w:rPr>
          <w:rFonts w:hAnsi="Calibri"/>
          <w:color w:val="000000" w:themeColor="text1"/>
          <w:kern w:val="24"/>
          <w:lang w:val="en-US"/>
        </w:rPr>
        <w:t xml:space="preserve"> The expression of pluripotency markers</w:t>
      </w:r>
      <w:r>
        <w:rPr>
          <w:rFonts w:hAnsi="Calibri"/>
          <w:color w:val="000000" w:themeColor="text1"/>
          <w:kern w:val="24"/>
          <w:lang w:val="en-US"/>
        </w:rPr>
        <w:t>,</w:t>
      </w:r>
      <w:r w:rsidRPr="00955318">
        <w:rPr>
          <w:rFonts w:hAnsi="Calibri"/>
          <w:color w:val="000000" w:themeColor="text1"/>
          <w:kern w:val="24"/>
          <w:lang w:val="en-US"/>
        </w:rPr>
        <w:t xml:space="preserve"> </w:t>
      </w:r>
      <w:proofErr w:type="spellStart"/>
      <w:r w:rsidRPr="00955318">
        <w:rPr>
          <w:rFonts w:hAnsi="Calibri"/>
          <w:color w:val="000000" w:themeColor="text1"/>
          <w:kern w:val="24"/>
          <w:lang w:val="en-US"/>
        </w:rPr>
        <w:t>Nanog</w:t>
      </w:r>
      <w:proofErr w:type="spellEnd"/>
      <w:r w:rsidRPr="00955318">
        <w:rPr>
          <w:rFonts w:hAnsi="Calibri"/>
          <w:color w:val="000000" w:themeColor="text1"/>
          <w:kern w:val="24"/>
          <w:lang w:val="en-US"/>
        </w:rPr>
        <w:t xml:space="preserve">, REX-1 and OCT </w:t>
      </w:r>
      <w:r>
        <w:rPr>
          <w:rFonts w:hAnsi="Calibri"/>
          <w:color w:val="000000" w:themeColor="text1"/>
          <w:kern w:val="24"/>
          <w:lang w:val="en-US"/>
        </w:rPr>
        <w:t>3/4, is more common</w:t>
      </w:r>
      <w:r w:rsidRPr="00955318">
        <w:rPr>
          <w:rFonts w:hAnsi="Calibri"/>
          <w:color w:val="000000" w:themeColor="text1"/>
          <w:kern w:val="24"/>
          <w:lang w:val="en-US"/>
        </w:rPr>
        <w:t xml:space="preserve"> on </w:t>
      </w:r>
      <w:r>
        <w:rPr>
          <w:rFonts w:hAnsi="Calibri"/>
          <w:color w:val="000000" w:themeColor="text1"/>
          <w:kern w:val="24"/>
          <w:lang w:val="en-US"/>
        </w:rPr>
        <w:t xml:space="preserve">MSCs </w:t>
      </w:r>
      <w:r w:rsidRPr="00955318">
        <w:rPr>
          <w:rFonts w:hAnsi="Calibri"/>
          <w:color w:val="000000" w:themeColor="text1"/>
          <w:kern w:val="24"/>
          <w:lang w:val="en-US"/>
        </w:rPr>
        <w:t xml:space="preserve">isolated from </w:t>
      </w:r>
      <w:r>
        <w:rPr>
          <w:rFonts w:hAnsi="Calibri"/>
          <w:color w:val="000000" w:themeColor="text1"/>
          <w:kern w:val="24"/>
          <w:lang w:val="en-US"/>
        </w:rPr>
        <w:t>umbilical cords (either as a mixed population from all the whole cord (mixed) or from the Wharton’s jelly) than those isolated from bone marrow (BM-MSCs).</w:t>
      </w:r>
      <w:r w:rsidRPr="00955318">
        <w:rPr>
          <w:rFonts w:hAnsi="Calibri"/>
          <w:color w:val="000000" w:themeColor="text1"/>
          <w:kern w:val="24"/>
          <w:lang w:val="en-US"/>
        </w:rPr>
        <w:t xml:space="preserve"> Scale bar represent</w:t>
      </w:r>
      <w:r>
        <w:rPr>
          <w:rFonts w:hAnsi="Calibri"/>
          <w:color w:val="000000" w:themeColor="text1"/>
          <w:kern w:val="24"/>
          <w:lang w:val="en-US"/>
        </w:rPr>
        <w:t>s</w:t>
      </w:r>
      <w:r w:rsidRPr="00955318">
        <w:rPr>
          <w:rFonts w:hAnsi="Calibri"/>
          <w:color w:val="000000" w:themeColor="text1"/>
          <w:kern w:val="24"/>
          <w:lang w:val="en-US"/>
        </w:rPr>
        <w:t xml:space="preserve"> 100 </w:t>
      </w:r>
      <w:proofErr w:type="spellStart"/>
      <w:r w:rsidRPr="00955318">
        <w:rPr>
          <w:rFonts w:hAnsi="Calibri"/>
          <w:color w:val="000000" w:themeColor="text1"/>
          <w:kern w:val="24"/>
          <w:lang w:val="en-US"/>
        </w:rPr>
        <w:t>μm</w:t>
      </w:r>
      <w:proofErr w:type="spellEnd"/>
      <w:r w:rsidRPr="00955318">
        <w:rPr>
          <w:rFonts w:hAnsi="Calibri"/>
          <w:color w:val="000000" w:themeColor="text1"/>
          <w:kern w:val="24"/>
          <w:lang w:val="en-US"/>
        </w:rPr>
        <w:t>.</w:t>
      </w:r>
      <w:r>
        <w:rPr>
          <w:rFonts w:hAnsi="Calibri"/>
          <w:color w:val="000000" w:themeColor="text1"/>
          <w:kern w:val="24"/>
          <w:lang w:val="en-US"/>
        </w:rPr>
        <w:t xml:space="preserve"> (Reproduced from</w:t>
      </w:r>
      <w:r w:rsidR="00544EFE">
        <w:rPr>
          <w:rFonts w:hAnsi="Calibri"/>
          <w:color w:val="000000" w:themeColor="text1"/>
          <w:kern w:val="24"/>
          <w:lang w:val="en-US"/>
        </w:rPr>
        <w:t xml:space="preserve"> </w:t>
      </w:r>
      <w:r w:rsidR="00544EFE">
        <w:rPr>
          <w:rFonts w:hAnsi="Calibri"/>
          <w:color w:val="000000" w:themeColor="text1"/>
          <w:kern w:val="24"/>
          <w:lang w:val="en-US"/>
        </w:rPr>
        <w:fldChar w:fldCharType="begin" w:fldLock="1"/>
      </w:r>
      <w:r w:rsidR="00CF69B7">
        <w:rPr>
          <w:rFonts w:hAnsi="Calibri"/>
          <w:color w:val="000000" w:themeColor="text1"/>
          <w:kern w:val="24"/>
          <w:lang w:val="en-US"/>
        </w:rPr>
        <w:instrText>ADDIN CSL_CITATION {"citationItems":[{"id":"ITEM-1","itemData":{"DOI":"10.1002/2211-5463.12104","ISSN":"22115463","PMID":"27833846","author":[{"dropping-particle":"","family":"Mennan","given":"Claire","non-dropping-particle":"","parse-names":false,"suffix":""},{"dropping-particle":"","family":"Brown","given":"Sharon","non-dropping-particle":"","parse-names":false,"suffix":""},{"dropping-particle":"","family":"McCarthy","given":"Helen","non-dropping-particle":"","parse-names":false,"suffix":""},{"dropping-particle":"","family":"Mavrogonatou","given":"Eleni","non-dropping-particle":"","parse-names":false,"suffix":""},{"dropping-particle":"","family":"Kletsas","given":"Dimitris","non-dropping-particle":"","parse-names":false,"suffix":""},{"dropping-particle":"","family":"Garcia","given":"John","non-dropping-particle":"","parse-names":false,"suffix":""},{"dropping-particle":"","family":"Balain","given":"Birender","non-dropping-particle":"","parse-names":false,"suffix":""},{"dropping-particle":"","family":"Richardson","given":"James","non-dropping-particle":"","parse-names":false,"suffix":""},{"dropping-particle":"","family":"Roberts","given":"Sally","non-dropping-particle":"","parse-names":false,"suffix":""}],"container-title":"FEBS Open Bio","id":"ITEM-1","issued":{"date-parts":[["2016"]]},"page":"1054-1066","title":"Mesenchymal stromal cells derived from whole human umbilical cord exhibit similar properties to those derived from Wharton's jelly and bone marrow","type":"article-journal","volume":"6"},"uris":["http://www.mendeley.com/documents/?uuid=c680ce9c-3d37-4682-82b0-48dd6d6320f1"]}],"mendeley":{"formattedCitation":"[43]","plainTextFormattedCitation":"[43]","previouslyFormattedCitation":"[43]"},"properties":{"noteIndex":0},"schema":"https://github.com/citation-style-language/schema/raw/master/csl-citation.json"}</w:instrText>
      </w:r>
      <w:r w:rsidR="00544EFE">
        <w:rPr>
          <w:rFonts w:hAnsi="Calibri"/>
          <w:color w:val="000000" w:themeColor="text1"/>
          <w:kern w:val="24"/>
          <w:lang w:val="en-US"/>
        </w:rPr>
        <w:fldChar w:fldCharType="separate"/>
      </w:r>
      <w:r w:rsidR="00AA1043" w:rsidRPr="00AA1043">
        <w:rPr>
          <w:rFonts w:hAnsi="Calibri"/>
          <w:noProof/>
          <w:color w:val="000000" w:themeColor="text1"/>
          <w:kern w:val="24"/>
          <w:lang w:val="en-US"/>
        </w:rPr>
        <w:t>[43]</w:t>
      </w:r>
      <w:r w:rsidR="00544EFE">
        <w:rPr>
          <w:rFonts w:hAnsi="Calibri"/>
          <w:color w:val="000000" w:themeColor="text1"/>
          <w:kern w:val="24"/>
          <w:lang w:val="en-US"/>
        </w:rPr>
        <w:fldChar w:fldCharType="end"/>
      </w:r>
      <w:r>
        <w:rPr>
          <w:rFonts w:hAnsi="Calibri"/>
          <w:color w:val="000000" w:themeColor="text1"/>
          <w:kern w:val="24"/>
          <w:lang w:val="en-US"/>
        </w:rPr>
        <w:t>)</w:t>
      </w:r>
      <w:r w:rsidR="00544EFE">
        <w:rPr>
          <w:rFonts w:hAnsi="Calibri"/>
          <w:color w:val="000000" w:themeColor="text1"/>
          <w:kern w:val="24"/>
          <w:lang w:val="en-US"/>
        </w:rPr>
        <w:t>.</w:t>
      </w:r>
    </w:p>
    <w:p w14:paraId="3357B7E7" w14:textId="77777777" w:rsidR="00D3427B" w:rsidRDefault="00D3427B" w:rsidP="00141550">
      <w:pPr>
        <w:rPr>
          <w:rFonts w:hAnsi="Calibri"/>
          <w:color w:val="000000" w:themeColor="text1"/>
          <w:kern w:val="24"/>
          <w:lang w:val="en-US"/>
        </w:rPr>
      </w:pPr>
    </w:p>
    <w:p w14:paraId="6FB025DD" w14:textId="04A9DAD4" w:rsidR="00D3427B" w:rsidRPr="00507737" w:rsidRDefault="00544EFE" w:rsidP="00141550">
      <w:pPr>
        <w:rPr>
          <w:rFonts w:cstheme="minorHAnsi"/>
          <w:color w:val="000000" w:themeColor="text1"/>
        </w:rPr>
      </w:pPr>
      <w:r w:rsidRPr="2DA03832">
        <w:rPr>
          <w:b/>
          <w:bCs/>
          <w:color w:val="000000" w:themeColor="text1"/>
        </w:rPr>
        <w:t>Figure 4.</w:t>
      </w:r>
      <w:r w:rsidRPr="2DA03832">
        <w:rPr>
          <w:color w:val="000000" w:themeColor="text1"/>
        </w:rPr>
        <w:t xml:space="preserve"> </w:t>
      </w:r>
      <w:r>
        <w:t xml:space="preserve">Selected characteristics of animals used for cartilage repair models. </w:t>
      </w:r>
      <w:r>
        <w:rPr>
          <w:shd w:val="clear" w:color="auto" w:fill="FFFFFF"/>
        </w:rPr>
        <w:t xml:space="preserve">The most commonly used small animal models include the mouse, rat, guinea pig and rabbit, whilst typically the dog, sheep, goat, pig or horse are considered ‘large animal’ models. </w:t>
      </w:r>
      <w:r>
        <w:t xml:space="preserve">With numerous models currently available, choosing the most appropriate remains a challenge, although it is vital to note that a single model cannot encompass all of the extensive aspects involved in human cartilage repair </w:t>
      </w:r>
      <w:r>
        <w:fldChar w:fldCharType="begin" w:fldLock="1"/>
      </w:r>
      <w:r w:rsidR="00C8414E">
        <w:instrText>ADDIN CSL_CITATION {"citationItems":[{"id":"ITEM-1","itemData":{"DOI":"10.1177/0300985815588611","ISSN":"1544-2217","PMID":"26063173","abstract":"Osteoarthritis (OA) is unquestionably one of the most important chronic health issues in humans, affecting millions of individuals and costing billions of dollars annually. Despite widespread awareness of this disease and its devastating impact, the pathogenesis of early OA is not completely understood, hampering the development of effective tools for early diagnosis and disease-modifying therapeutics. Most human tissue available for study is obtained at the time of joint replacement, when OA lesions are end stage and little can be concluded about the factors that played a role in disease development. To overcome this limitation, over the past 50 years, numerous induced and spontaneous animal models have been utilized to study disease onset and progression, as well as to test novel therapeutic interventions. Reflecting the heterogeneity of OA itself, no single \"gold standard\" animal model for OA exists; thus, a challenge for researchers lies in selecting the most appropriate model to answer a particular scientific question of interest. This review provides general considerations for model selection, as well as important features of species such as mouse, rat, guinea pig, sheep, goat, and horse, which researchers should be mindful of when choosing the \"best\" animal model for their intended purpose. Special consideration is given to key variations in pathology among species as well as recommended guidelines for reporting the histologic features of each model.","author":[{"dropping-particle":"","family":"McCoy","given":"A M","non-dropping-particle":"","parse-names":false,"suffix":""}],"container-title":"Veterinary pathology","id":"ITEM-1","issue":"5","issued":{"date-parts":[["2015"]]},"page":"803-18","title":"Animal Models of Osteoarthritis: Comparisons and Key Considerations.","type":"article-journal","volume":"52"},"uris":["http://www.mendeley.com/documents/?uuid=36261898-4f33-48d0-aea0-e2e90621341b"]}],"mendeley":{"formattedCitation":"[88]","plainTextFormattedCitation":"[88]","previouslyFormattedCitation":"[87]"},"properties":{"noteIndex":0},"schema":"https://github.com/citation-style-language/schema/raw/master/csl-citation.json"}</w:instrText>
      </w:r>
      <w:r>
        <w:fldChar w:fldCharType="separate"/>
      </w:r>
      <w:r w:rsidR="00C8414E" w:rsidRPr="00C8414E">
        <w:rPr>
          <w:noProof/>
        </w:rPr>
        <w:t>[88]</w:t>
      </w:r>
      <w:r>
        <w:fldChar w:fldCharType="end"/>
      </w:r>
      <w:r>
        <w:t xml:space="preserve">. Both small and large animals have their advantages and disadvantages for example; small animal models reach skeletal maturity faster, thereby reducing husbandry costs, experimental durations, drug and housing requirements. However, larger animals present with greater anatomical similarity in regards to thickness of </w:t>
      </w:r>
      <w:r>
        <w:lastRenderedPageBreak/>
        <w:t xml:space="preserve">articular cartilage, joint size and biomechanics to humans. For example, in mice the average articular cartilage thickness (mm) in the knee joint is ~0.03mm, whereas in horses it is ~ 1.5-2.00mm and in humans it is ~2.2-2.5mm </w:t>
      </w:r>
      <w:r>
        <w:fldChar w:fldCharType="begin" w:fldLock="1"/>
      </w:r>
      <w:r w:rsidR="00C8414E">
        <w:instrText>ADDIN CSL_CITATION {"citationItems":[{"id":"ITEM-1","itemData":{"ISSN":"0932-0814 (Print)","PMID":"16971996","abstract":"Histological measurements of the thickness of non-calcified and calcified cartilage,  as well as the subchondral bone plate in five locations on the femoral trochlea and medial femoral condyles of species were used in preclinical studies of articular cartilage and compared to those of the human knee. Cadaver specimens were obtained of six human knees, as well as six equine, six goat, six dog, six sheep and six rabbit stifle joints (the animal equivalent of the human knee). Specimens were taken from the lateral trochlear ridge, medial trochlear ridge and medial femoral condyle. After histopathological processing, the thickness of non-calcified and calcified cartilage layers, as well as the subchondral bone plate, was measured. Average articular cartilage thickness over five locations were 2.2-2.5 mm for human, 0.3 mm for rabbit, 0.4-0.5 mm for sheep, 0.6-1.3 mm for dog, 0.7-1.5 mm for goat and 1.5-2 mm for horse. The horse provides the closest approximation to humans in terms of articular cartilage thickness, and this approximation is considered relevant in pre-clinical studies of cartilage healing.","author":[{"dropping-particle":"","family":"Frisbie","given":"D D","non-dropping-particle":"","parse-names":false,"suffix":""},{"dropping-particle":"","family":"Cross","given":"M W","non-dropping-particle":"","parse-names":false,"suffix":""},{"dropping-particle":"","family":"McIlwraith","given":"C W","non-dropping-particle":"","parse-names":false,"suffix":""}],"container-title":"Veterinary and comparative orthopaedics and traumatology : V.C.O.T","id":"ITEM-1","issue":"3","issued":{"date-parts":[["2006"]]},"language":"eng","page":"142-146","publisher-place":"Germany","title":"A comparative study of articular cartilage thickness in the stifle of animal species  used in human pre-clinical studies compared to articular cartilage thickness in the human knee.","type":"article-journal","volume":"19"},"uris":["http://www.mendeley.com/documents/?uuid=68db2593-7f6d-4c0e-a041-55592d662f8c"]},{"id":"ITEM-2","itemData":{"DOI":"10.1016/j.joca.2008.11.008","ISSN":"10634584","PMID":"19101179","abstract":"Objective: Review the literature for single site cartilage defect research and evaluate the respective strengths and weaknesses of different preclinical animal models. Method: A literature search for animal models evaluating single site cartilage defects was performed. Variables tabulated and analyzed included animal species, age and number, defect depth and diameter and study duration. Cluster analyses were then used to separate animals with only distal femoral defects into similar groups based on defect dimensions. Representative human studies were included allowing comparison of common clinical lesions to animal models. The suitability of each species for single site cartilage defect research and its relevance to clinical human practice is then discussed. Results: One hundred thirteen studies relating to single site cartilage defects were reviewed. Cluster analysis included 101 studies and placed the murine, laprine, ovine, canine, porcine and caprine models in group 1. Group 2 contained ovine, canine, porcine, caprine and equine models. Group 3 contained only equine models and humans. Species in each group are similar with regard to defect dimensions. Some species occur in multiple groups reflecting utilization of a variety defect sizes. We report and discuss factors to be considered when selecting a preclinical animal model for single site cartilage defect research. Discussion: Standardization of study design and outcome parameters would help to compare different studies evaluating various novel therapeutic concepts. Comparison to the human clinical counterpart during study design may help increase the predictive value of preclinical research using animal models and improve the process of developing efficacious therapies. © 2008 Osteoarthritis Research Society International.","author":[{"dropping-particle":"","family":"Ahern","given":"B. J.","non-dropping-particle":"","parse-names":false,"suffix":""},{"dropping-particle":"","family":"Parvizi","given":"J.","non-dropping-particle":"","parse-names":false,"suffix":""},{"dropping-particle":"","family":"Boston","given":"R.","non-dropping-particle":"","parse-names":false,"suffix":""},{"dropping-particle":"","family":"Schaer","given":"T. P.","non-dropping-particle":"","parse-names":false,"suffix":""}],"container-title":"Osteoarthritis and Cartilage","id":"ITEM-2","issue":"6","issued":{"date-parts":[["2009"]]},"page":"705-713","publisher":"Elsevier Ltd","title":"Preclinical animal models in single site cartilage defect testing: a systematic review","type":"article-journal","volume":"17"},"uris":["http://www.mendeley.com/documents/?uuid=77a0dbdd-d040-4d5f-a017-846cfcbc4e4e"]},{"id":"ITEM-3","itemData":{"DOI":"10.1177/1947603511406531","ISSN":"19476035","abstract":"Articular cartilage injuries of the knee and ankle are common, and a number of different methods have been developed in an attempt to improve their repair. Clinically, there are 2 distinct aims of cartilage repair: 1) restoration of joint function and 2) prevention or at least delay of the onset of osteoarthritis. These goals can potentially be achieved through replacement of damaged or lost articular cartilage with tissue capable of functioning under normal physiological environments for an extended period, but limitations of the final repair product have long been recognized and still exist today. Screening of potential procedures for human clinical use is done by preclinical studies using animal models. This article reviews equine chondral defect models that have been recently recognized to have specific advantages for translation into human articular cartilage regeneration. Defect models in the femoropatellar, femorotibial, and tibiotalar joints have been developed. The horse provides the closest approximation to humans in terms of articular cartilage and subchondral bone thickness, and it is possible to selectively leave the entire calcified cartilage layer or completely remove it. The defect on the equine medial femoral condyle emulates medial femoral condylar lesions in humans. Other advantages of the equine model include an ability to use an arthroscope to create lesions and perform second-look arthroscopies, the large lesion size allowing for more tissue for evaluation, and the ability to have controlled exercise and test the ability of the repair to cope with athletic exercise as well as institute rehabilitation regimens. © The Author(s) 2011.","author":[{"dropping-particle":"","family":"Mcllwraith","given":"CW.","non-dropping-particle":"","parse-names":false,"suffix":""},{"dropping-particle":"","family":"Fortier","given":"Lisa A.","non-dropping-particle":"","parse-names":false,"suffix":""},{"dropping-particle":"","family":"Frisbie","given":"David D.","non-dropping-particle":"","parse-names":false,"suffix":""},{"dropping-particle":"","family":"Nixon","given":"Alan J.","non-dropping-particle":"","parse-names":false,"suffix":""}],"container-title":"Cartilage","id":"ITEM-3","issue":"4","issued":{"date-parts":[["2011"]]},"page":"317-326","title":"Equine models of articular cartilage repair","type":"article-journal","volume":"2"},"uris":["http://www.mendeley.com/documents/?uuid=37b13bc9-2881-42fa-9022-6097a80aa6ae"]},{"id":"ITEM-4","itemData":{"DOI":"10.1186/1746-6148-9-62","ISSN":"17466148","PMID":"23547659","abstract":"Background: In many pre-clinical studies of cartilage tissue, it has been generally assumed that the major difference of the tissue between the species is the tissue thickness, which is related to the size of the animal itself. At present, there appear to be lack of studies demonstrating the relationship between chondrocyte densities, protein content, gene expressions and cartilage thickness in the various animal models that are commonly used. The present study was conducted to determine whether or not chondrocyte density, proteoglycan/protein content and selective chondrocyte gene expression are merely related to the cartilage thickness (thus animal size), and not the intrinsic nature of the species being investigated. Mature animals (rabbit, rats and goats) were sacrificed for their hind knee cartilages. Image analyses were performed on five consecutive histological sections, sampled from three pre-defined locations at the lateral and medial femoral condyles. Cartilage thickness, chondrocyte density, Glycosaminoglycan (GAGs)/protein content and gene expression levels for collagen II and SOX-9 were compared across the groups. Correlation analysis was done between cartilage thickness and the other variables.Results: The mean cartilage thickness of rats, rabbits and goats were 166.5 ± 10.9, 356.2 ± 25.0 907.5 ± 114.6 μm, respectively. The mean cartilage cell densities were 3.3 ± 0.4×10-3for rats, 2.6 ± 0.3×10-3for rabbits and 1.3 ± 0.2×10-3cells/μm2for goats. The mean μg GAG/mg protein content were 23.8 ± 8.6 in rats, 20.5 ± 5.3 in rabbits and 328.7 ± 64.5 in goats; collagen II gene expressions were increased by 0.5 ± 0.1 folds in rats; 0.6 ± 0.1 folds in rabbits, and 0.1 ± 0.1 folds in goats, whilst the fold increase of SOX-9 gene expression was 0.5 ± 0.1 in rats, 0.7 ± 0.1 in rabbits and 0.1 ± 0.0 in goats. Cartilage thickness correlated positively with animals' weight (R2 =0.9856, p = 0.001) and GAG/protein content (R2 =0.6163, p = &lt;0.001). Whereas, it correlates negatively with cell density (R2 = 0.7981, p &lt; 0.001) and cartilage gene expression levels (R2 = 0.6395, p &lt; 0.001).Conclusion: There are differences in the composition of the articular cartilage in diverse species, which are not directly dependent on the cartilage thickness of these animals but rather the unique characteristics of that species. Therefore, the species-specific nature of the cartilage tissue should be considered during any data interpretation. © 2013 Kamisan et al.; licensee B…","author":[{"dropping-particle":"","family":"Kamisan","given":"Norazian","non-dropping-particle":"","parse-names":false,"suffix":""},{"dropping-particle":"","family":"Naveen","given":"Sangeetha Vasudevaraj","non-dropping-particle":"","parse-names":false,"suffix":""},{"dropping-particle":"","family":"Ahmad","given":"Raja Elina","non-dropping-particle":"","parse-names":false,"suffix":""},{"dropping-particle":"","family":"Tunku","given":"Kamarul","non-dropping-particle":"","parse-names":false,"suffix":""}],"container-title":"BMC Veterinary Research","id":"ITEM-4","issue":"August 2014","issued":{"date-parts":[["2013"]]},"title":"Chondrocyte density, proteoglycan content and gene expressions from native cartilage are species specific and not dependent on cartilage thickness: A comparative analysis between rat, rabbit and goat","type":"article-journal","volume":"9"},"uris":["http://www.mendeley.com/documents/?uuid=6a457f8b-f942-44a4-924a-33d2200b6ac0"]},{"id":"ITEM-5","itemData":{"DOI":"10.1177/0300985815588611","ISSN":"1544-2217","PMID":"26063173","abstract":"Osteoarthritis (OA) is unquestionably one of the most important chronic health issues in humans, affecting millions of individuals and costing billions of dollars annually. Despite widespread awareness of this disease and its devastating impact, the pathogenesis of early OA is not completely understood, hampering the development of effective tools for early diagnosis and disease-modifying therapeutics. Most human tissue available for study is obtained at the time of joint replacement, when OA lesions are end stage and little can be concluded about the factors that played a role in disease development. To overcome this limitation, over the past 50 years, numerous induced and spontaneous animal models have been utilized to study disease onset and progression, as well as to test novel therapeutic interventions. Reflecting the heterogeneity of OA itself, no single \"gold standard\" animal model for OA exists; thus, a challenge for researchers lies in selecting the most appropriate model to answer a particular scientific question of interest. This review provides general considerations for model selection, as well as important features of species such as mouse, rat, guinea pig, sheep, goat, and horse, which researchers should be mindful of when choosing the \"best\" animal model for their intended purpose. Special consideration is given to key variations in pathology among species as well as recommended guidelines for reporting the histologic features of each model.","author":[{"dropping-particle":"","family":"McCoy","given":"A M","non-dropping-particle":"","parse-names":false,"suffix":""}],"container-title":"Veterinary pathology","id":"ITEM-5","issue":"5","issued":{"date-parts":[["2015"]]},"page":"803-18","title":"Animal Models of Osteoarthritis: Comparisons and Key Considerations.","type":"article-journal","volume":"52"},"uris":["http://www.mendeley.com/documents/?uuid=36261898-4f33-48d0-aea0-e2e90621341b"]}],"mendeley":{"formattedCitation":"[88–92]","plainTextFormattedCitation":"[88–92]","previouslyFormattedCitation":"[87–91]"},"properties":{"noteIndex":0},"schema":"https://github.com/citation-style-language/schema/raw/master/csl-citation.json"}</w:instrText>
      </w:r>
      <w:r>
        <w:fldChar w:fldCharType="separate"/>
      </w:r>
      <w:r w:rsidR="00C8414E" w:rsidRPr="00C8414E">
        <w:rPr>
          <w:noProof/>
        </w:rPr>
        <w:t>[88–92]</w:t>
      </w:r>
      <w:r>
        <w:fldChar w:fldCharType="end"/>
      </w:r>
      <w:r>
        <w:t xml:space="preserve">. </w:t>
      </w:r>
      <w:r w:rsidR="00791A53">
        <w:rPr>
          <w:rStyle w:val="normaltextrun"/>
          <w:rFonts w:ascii="Calibri" w:hAnsi="Calibri" w:cs="Segoe UI"/>
        </w:rPr>
        <w:t xml:space="preserve">Both chondral and osteochondral defects of varying sizes are used in cartilage repair models; all known critical-size defects in the knee joint from the different animal species are displayed here </w:t>
      </w:r>
      <w:r w:rsidR="00791A53">
        <w:rPr>
          <w:rStyle w:val="normaltextrun"/>
          <w:rFonts w:ascii="Calibri" w:hAnsi="Calibri" w:cs="Segoe UI"/>
        </w:rPr>
        <w:fldChar w:fldCharType="begin" w:fldLock="1"/>
      </w:r>
      <w:r w:rsidR="00C8414E">
        <w:rPr>
          <w:rStyle w:val="normaltextrun"/>
          <w:rFonts w:ascii="Calibri" w:hAnsi="Calibri" w:cs="Segoe UI"/>
        </w:rPr>
        <w:instrText>ADDIN CSL_CITATION {"citationItems":[{"id":"ITEM-1","itemData":{"DOI":"10.1016/j.joca.2008.11.008","ISSN":"10634584","PMID":"19101179","abstract":"Objective: Review the literature for single site cartilage defect research and evaluate the respective strengths and weaknesses of different preclinical animal models. Method: A literature search for animal models evaluating single site cartilage defects was performed. Variables tabulated and analyzed included animal species, age and number, defect depth and diameter and study duration. Cluster analyses were then used to separate animals with only distal femoral defects into similar groups based on defect dimensions. Representative human studies were included allowing comparison of common clinical lesions to animal models. The suitability of each species for single site cartilage defect research and its relevance to clinical human practice is then discussed. Results: One hundred thirteen studies relating to single site cartilage defects were reviewed. Cluster analysis included 101 studies and placed the murine, laprine, ovine, canine, porcine and caprine models in group 1. Group 2 contained ovine, canine, porcine, caprine and equine models. Group 3 contained only equine models and humans. Species in each group are similar with regard to defect dimensions. Some species occur in multiple groups reflecting utilization of a variety defect sizes. We report and discuss factors to be considered when selecting a preclinical animal model for single site cartilage defect research. Discussion: Standardization of study design and outcome parameters would help to compare different studies evaluating various novel therapeutic concepts. Comparison to the human clinical counterpart during study design may help increase the predictive value of preclinical research using animal models and improve the process of developing efficacious therapies. © 2008 Osteoarthritis Research Society International.","author":[{"dropping-particle":"","family":"Ahern","given":"B. J.","non-dropping-particle":"","parse-names":false,"suffix":""},{"dropping-particle":"","family":"Parvizi","given":"J.","non-dropping-particle":"","parse-names":false,"suffix":""},{"dropping-particle":"","family":"Boston","given":"R.","non-dropping-particle":"","parse-names":false,"suffix":""},{"dropping-particle":"","family":"Schaer","given":"T. P.","non-dropping-particle":"","parse-names":false,"suffix":""}],"container-title":"Osteoarthritis and Cartilage","id":"ITEM-1","issue":"6","issued":{"date-parts":[["2009"]]},"page":"705-713","publisher":"Elsevier Ltd","title":"Preclinical animal models in single site cartilage defect testing: a systematic review","type":"article-journal","volume":"17"},"uris":["http://www.mendeley.com/documents/?uuid=77a0dbdd-d040-4d5f-a017-846cfcbc4e4e"]},{"id":"ITEM-2","itemData":{"DOI":"10.1177/0300985815588611","ISSN":"1544-2217","PMID":"26063173","abstract":"Osteoarthritis (OA) is unquestionably one of the most important chronic health issues in humans, affecting millions of individuals and costing billions of dollars annually. Despite widespread awareness of this disease and its devastating impact, the pathogenesis of early OA is not completely understood, hampering the development of effective tools for early diagnosis and disease-modifying therapeutics. Most human tissue available for study is obtained at the time of joint replacement, when OA lesions are end stage and little can be concluded about the factors that played a role in disease development. To overcome this limitation, over the past 50 years, numerous induced and spontaneous animal models have been utilized to study disease onset and progression, as well as to test novel therapeutic interventions. Reflecting the heterogeneity of OA itself, no single \"gold standard\" animal model for OA exists; thus, a challenge for researchers lies in selecting the most appropriate model to answer a particular scientific question of interest. This review provides general considerations for model selection, as well as important features of species such as mouse, rat, guinea pig, sheep, goat, and horse, which researchers should be mindful of when choosing the \"best\" animal model for their intended purpose. Special consideration is given to key variations in pathology among species as well as recommended guidelines for reporting the histologic features of each model.","author":[{"dropping-particle":"","family":"McCoy","given":"A M","non-dropping-particle":"","parse-names":false,"suffix":""}],"container-title":"Veterinary pathology","id":"ITEM-2","issue":"5","issued":{"date-parts":[["2015"]]},"page":"803-18","title":"Animal Models of Osteoarthritis: Comparisons and Key Considerations.","type":"article-journal","volume":"52"},"uris":["http://www.mendeley.com/documents/?uuid=36261898-4f33-48d0-aea0-e2e90621341b"]},{"id":"ITEM-3","itemData":{"DOI":"10.1016/j.joca.2017.05.006","ISSN":"15229653","PMID":"28506841","abstract":"Background Joint trauma is predisposing to the incidence of osteoarthritis (OA) of the knee. There is a limited knowledge on the impact of posttraumatic osteochondral defects on the whole joint. This study was designed to define a critical size osteochondral defect in the knee of rats and to investigate a possible association between osteochondral defects and degeneration of the surrounding joint surface. Methods Cylindrical osteochondral defects of different sizes were created in the knee joint of rats. The natural course of these lesions was studied by macroscopic observation, histology, and immunohistochemistry. Gene expression of the articular cartilage surrounding the defects in vivo and of articular chondrocytes cultured in vitro in IL1β and fibroblast growth factor 2 (FGF2) supplemented media was evaluated by quantitative polymerase chain reaction (qPCR). Results In defects of 0.9 mm diameter, spontaneous joint surface healing was observed but also upward advancing of the subchondral bone plate at 16 weeks. Larger 1.4 mm diameter defects were critical size, not resulting in successful healing at any time point. Importantly, the articular cartilage surrounding the defects expressed FGF2 and IL1β, but not ACAN and Col2. Chondrocytes cultured in IL1β and FGF2 supplemented media lost the natural fibroblast growth factor receptors – FGFr1/FGFr3 balance and showed decreased viability. Conclusions A critical size osteochondral defect was defined as 1.4 mm in diameter in rat. Subchondral bone plate advancement occured rapidly. The articular cartilage surrounding osteochondral defects showed catabolic activity with expression of IL1β, FGF2 and a disturbed FGFr1/FGFr3 balance, potentially initiating a process of early osteoarthritic disease.","author":[{"dropping-particle":"","family":"Katagiri","given":"H.","non-dropping-particle":"","parse-names":false,"suffix":""},{"dropping-particle":"","family":"Mendes","given":"L. F.","non-dropping-particle":"","parse-names":false,"suffix":""},{"dropping-particle":"","family":"Luyten","given":"F. P.","non-dropping-particle":"","parse-names":false,"suffix":""}],"container-title":"Osteoarthritis and Cartilage","id":"ITEM-3","issue":"9","issued":{"date-parts":[["2017"]]},"page":"1531-1540","publisher":"Elsevier Ltd","title":"Definition of a Critical Size Osteochondral Knee Defect and its Negative Effect on the Surrounding Articular Cartilage in the Rat","type":"article-journal","volume":"25"},"uris":["http://www.mendeley.com/documents/?uuid=18ee1c07-0126-40f9-8bad-169dc10d6b8d"]}],"mendeley":{"formattedCitation":"[88,90,93]","plainTextFormattedCitation":"[88,90,93]","previouslyFormattedCitation":"[87,89,92]"},"properties":{"noteIndex":0},"schema":"https://github.com/citation-style-language/schema/raw/master/csl-citation.json"}</w:instrText>
      </w:r>
      <w:r w:rsidR="00791A53">
        <w:rPr>
          <w:rStyle w:val="normaltextrun"/>
          <w:rFonts w:ascii="Calibri" w:hAnsi="Calibri" w:cs="Segoe UI"/>
        </w:rPr>
        <w:fldChar w:fldCharType="separate"/>
      </w:r>
      <w:r w:rsidR="00C8414E" w:rsidRPr="00C8414E">
        <w:rPr>
          <w:rStyle w:val="normaltextrun"/>
          <w:rFonts w:ascii="Calibri" w:hAnsi="Calibri" w:cs="Segoe UI"/>
          <w:noProof/>
        </w:rPr>
        <w:t>[88,90,93]</w:t>
      </w:r>
      <w:r w:rsidR="00791A53">
        <w:rPr>
          <w:rStyle w:val="normaltextrun"/>
          <w:rFonts w:ascii="Calibri" w:hAnsi="Calibri" w:cs="Segoe UI"/>
        </w:rPr>
        <w:fldChar w:fldCharType="end"/>
      </w:r>
      <w:r w:rsidR="00791A53">
        <w:rPr>
          <w:rStyle w:val="normaltextrun"/>
          <w:rFonts w:ascii="Calibri" w:hAnsi="Calibri" w:cs="Segoe UI"/>
        </w:rPr>
        <w:t>.</w:t>
      </w:r>
      <w:r w:rsidR="00497715">
        <w:rPr>
          <w:rStyle w:val="normaltextrun"/>
          <w:rFonts w:ascii="Calibri" w:hAnsi="Calibri" w:cs="Segoe UI"/>
        </w:rPr>
        <w:t xml:space="preserve"> </w:t>
      </w:r>
      <w:r w:rsidR="007B5EC4">
        <w:rPr>
          <w:rStyle w:val="normaltextrun"/>
          <w:rFonts w:ascii="Calibri" w:hAnsi="Calibri" w:cs="Segoe UI"/>
        </w:rPr>
        <w:t>(</w:t>
      </w:r>
      <w:r w:rsidR="00497715">
        <w:t>Created using Biorender.com</w:t>
      </w:r>
      <w:r w:rsidR="00497715" w:rsidRPr="009D4FBC">
        <w:t>.</w:t>
      </w:r>
      <w:r w:rsidR="007B5EC4">
        <w:t>)</w:t>
      </w:r>
    </w:p>
    <w:p w14:paraId="77E827D0" w14:textId="77777777" w:rsidR="00062428" w:rsidRDefault="00062428" w:rsidP="00062428">
      <w:pPr>
        <w:rPr>
          <w:rFonts w:cstheme="minorHAnsi"/>
          <w:b/>
          <w:color w:val="000000" w:themeColor="text1"/>
        </w:rPr>
      </w:pPr>
    </w:p>
    <w:p w14:paraId="5FADF653" w14:textId="04DC3848" w:rsidR="00062428" w:rsidRDefault="00062428" w:rsidP="00062428">
      <w:pPr>
        <w:rPr>
          <w:rFonts w:cstheme="minorHAnsi"/>
          <w:szCs w:val="20"/>
        </w:rPr>
      </w:pPr>
      <w:r>
        <w:rPr>
          <w:rFonts w:cstheme="minorHAnsi"/>
          <w:b/>
          <w:color w:val="000000" w:themeColor="text1"/>
        </w:rPr>
        <w:t>T</w:t>
      </w:r>
      <w:r w:rsidR="003922C8" w:rsidRPr="003922C8">
        <w:rPr>
          <w:rFonts w:cstheme="minorHAnsi"/>
          <w:b/>
          <w:color w:val="000000" w:themeColor="text1"/>
        </w:rPr>
        <w:t>able 1</w:t>
      </w:r>
      <w:r w:rsidR="003922C8">
        <w:rPr>
          <w:rFonts w:cstheme="minorHAnsi"/>
          <w:color w:val="000000" w:themeColor="text1"/>
        </w:rPr>
        <w:t xml:space="preserve">: </w:t>
      </w:r>
      <w:r w:rsidRPr="00062428">
        <w:rPr>
          <w:rFonts w:cstheme="minorHAnsi"/>
          <w:szCs w:val="20"/>
        </w:rPr>
        <w:t>Clinical trials using chondrocytes to repair chondral defects, registered on Clinical Trials.gov or the International Standard Randomised Controlled Trial Number (ISRCT) databases</w:t>
      </w:r>
    </w:p>
    <w:p w14:paraId="70894FCB" w14:textId="77777777" w:rsidR="00791A53" w:rsidRDefault="00791A53" w:rsidP="00062428">
      <w:pPr>
        <w:rPr>
          <w:rFonts w:cstheme="minorHAnsi"/>
          <w:szCs w:val="20"/>
        </w:rPr>
      </w:pPr>
    </w:p>
    <w:p w14:paraId="5EAA1797" w14:textId="77777777" w:rsidR="00791A53" w:rsidRDefault="00791A53" w:rsidP="00062428">
      <w:pPr>
        <w:rPr>
          <w:rFonts w:cstheme="minorHAnsi"/>
          <w:szCs w:val="20"/>
        </w:rPr>
      </w:pPr>
    </w:p>
    <w:p w14:paraId="74BD7023" w14:textId="77777777" w:rsidR="00791A53" w:rsidRDefault="00791A53" w:rsidP="00062428">
      <w:pPr>
        <w:rPr>
          <w:rFonts w:cstheme="minorHAnsi"/>
          <w:szCs w:val="20"/>
        </w:rPr>
      </w:pPr>
    </w:p>
    <w:p w14:paraId="3659D467" w14:textId="77777777" w:rsidR="00791A53" w:rsidRDefault="00791A53" w:rsidP="00062428">
      <w:pPr>
        <w:rPr>
          <w:rFonts w:cstheme="minorHAnsi"/>
          <w:szCs w:val="20"/>
        </w:rPr>
      </w:pPr>
    </w:p>
    <w:p w14:paraId="0E5642E6" w14:textId="77777777" w:rsidR="00791A53" w:rsidRDefault="00791A53" w:rsidP="00062428">
      <w:pPr>
        <w:rPr>
          <w:rFonts w:cstheme="minorHAnsi"/>
          <w:szCs w:val="20"/>
        </w:rPr>
      </w:pPr>
    </w:p>
    <w:p w14:paraId="16BD6669" w14:textId="77777777" w:rsidR="00791A53" w:rsidRDefault="00791A53" w:rsidP="00062428">
      <w:pPr>
        <w:rPr>
          <w:rFonts w:cstheme="minorHAnsi"/>
          <w:szCs w:val="20"/>
        </w:rPr>
      </w:pPr>
    </w:p>
    <w:p w14:paraId="729B18EA" w14:textId="770606EC" w:rsidR="0064570F" w:rsidRPr="00062428" w:rsidRDefault="00DD1B67" w:rsidP="0064570F">
      <w:pPr>
        <w:rPr>
          <w:rFonts w:cstheme="minorHAnsi"/>
          <w:b/>
          <w:color w:val="000000" w:themeColor="text1"/>
        </w:rPr>
      </w:pPr>
      <w:r w:rsidRPr="00062428">
        <w:rPr>
          <w:rFonts w:cstheme="minorHAnsi"/>
          <w:b/>
          <w:color w:val="000000" w:themeColor="text1"/>
        </w:rPr>
        <w:t>TABLES &amp; FIGURES</w:t>
      </w:r>
    </w:p>
    <w:p w14:paraId="2C419327" w14:textId="77777777" w:rsidR="00DD1B67" w:rsidRPr="00DD1B67" w:rsidRDefault="00DD1B67" w:rsidP="0064570F">
      <w:pPr>
        <w:rPr>
          <w:rFonts w:cstheme="minorHAnsi"/>
          <w:color w:val="000000" w:themeColor="text1"/>
        </w:rPr>
      </w:pPr>
    </w:p>
    <w:p w14:paraId="7BEDAE8A" w14:textId="7DEFF5C3" w:rsidR="00DD1B67" w:rsidRDefault="00DD1B67" w:rsidP="0064570F">
      <w:pPr>
        <w:rPr>
          <w:rFonts w:cstheme="minorHAnsi"/>
          <w:color w:val="000000" w:themeColor="text1"/>
        </w:rPr>
      </w:pPr>
      <w:r>
        <w:rPr>
          <w:rFonts w:cstheme="minorHAnsi"/>
          <w:color w:val="000000" w:themeColor="text1"/>
        </w:rPr>
        <w:t>Figure 1</w:t>
      </w:r>
    </w:p>
    <w:p w14:paraId="0EE1252B" w14:textId="77777777" w:rsidR="00955318" w:rsidRDefault="00955318" w:rsidP="0064570F">
      <w:pPr>
        <w:rPr>
          <w:rFonts w:cstheme="minorHAnsi"/>
          <w:color w:val="000000" w:themeColor="text1"/>
        </w:rPr>
      </w:pPr>
    </w:p>
    <w:p w14:paraId="0EE18D21" w14:textId="1FEB655C" w:rsidR="00DD1B67" w:rsidRDefault="00955318" w:rsidP="0064570F">
      <w:pPr>
        <w:rPr>
          <w:rFonts w:cstheme="minorHAnsi"/>
          <w:color w:val="000000" w:themeColor="text1"/>
        </w:rPr>
      </w:pPr>
      <w:r>
        <w:rPr>
          <w:noProof/>
          <w:lang w:val="en-US" w:eastAsia="en-US"/>
        </w:rPr>
        <w:drawing>
          <wp:inline distT="0" distB="0" distL="0" distR="0" wp14:anchorId="249C444E" wp14:editId="20FD3D45">
            <wp:extent cx="3941064" cy="322783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3941064" cy="3227832"/>
                    </a:xfrm>
                    <a:prstGeom prst="rect">
                      <a:avLst/>
                    </a:prstGeom>
                  </pic:spPr>
                </pic:pic>
              </a:graphicData>
            </a:graphic>
          </wp:inline>
        </w:drawing>
      </w:r>
    </w:p>
    <w:p w14:paraId="2B40C23E" w14:textId="77777777" w:rsidR="00955318" w:rsidRDefault="00955318" w:rsidP="0064570F">
      <w:pPr>
        <w:rPr>
          <w:rFonts w:cstheme="minorHAnsi"/>
          <w:color w:val="000000" w:themeColor="text1"/>
        </w:rPr>
      </w:pPr>
    </w:p>
    <w:p w14:paraId="79B444AE" w14:textId="77777777" w:rsidR="00DD1B67" w:rsidRPr="00955318" w:rsidRDefault="00DD1B67" w:rsidP="0064570F">
      <w:pPr>
        <w:rPr>
          <w:rFonts w:cstheme="minorHAnsi"/>
          <w:color w:val="000000" w:themeColor="text1"/>
        </w:rPr>
      </w:pPr>
    </w:p>
    <w:p w14:paraId="2E892EE1" w14:textId="77777777" w:rsidR="002E1F10" w:rsidRDefault="002E1F10" w:rsidP="00DD1B67">
      <w:pPr>
        <w:rPr>
          <w:rFonts w:cstheme="minorHAnsi"/>
          <w:color w:val="000000" w:themeColor="text1"/>
        </w:rPr>
      </w:pPr>
    </w:p>
    <w:p w14:paraId="5FD84C99" w14:textId="77777777" w:rsidR="002E1F10" w:rsidRDefault="002E1F10" w:rsidP="00DD1B67">
      <w:pPr>
        <w:rPr>
          <w:rFonts w:cstheme="minorHAnsi"/>
          <w:color w:val="000000" w:themeColor="text1"/>
        </w:rPr>
      </w:pPr>
    </w:p>
    <w:p w14:paraId="07FF61C7" w14:textId="77777777" w:rsidR="002E1F10" w:rsidRDefault="002E1F10" w:rsidP="00DD1B67">
      <w:pPr>
        <w:rPr>
          <w:rFonts w:cstheme="minorHAnsi"/>
          <w:color w:val="000000" w:themeColor="text1"/>
        </w:rPr>
      </w:pPr>
    </w:p>
    <w:p w14:paraId="6B56BAC0" w14:textId="77777777" w:rsidR="002E1F10" w:rsidRDefault="002E1F10" w:rsidP="00DD1B67">
      <w:pPr>
        <w:rPr>
          <w:rFonts w:cstheme="minorHAnsi"/>
          <w:color w:val="000000" w:themeColor="text1"/>
        </w:rPr>
      </w:pPr>
    </w:p>
    <w:p w14:paraId="79473F13" w14:textId="77777777" w:rsidR="002E1F10" w:rsidRDefault="002E1F10" w:rsidP="00DD1B67">
      <w:pPr>
        <w:rPr>
          <w:rFonts w:cstheme="minorHAnsi"/>
          <w:color w:val="000000" w:themeColor="text1"/>
        </w:rPr>
      </w:pPr>
    </w:p>
    <w:p w14:paraId="3D4BA853" w14:textId="77777777" w:rsidR="002E1F10" w:rsidRDefault="002E1F10" w:rsidP="00DD1B67">
      <w:pPr>
        <w:rPr>
          <w:rFonts w:cstheme="minorHAnsi"/>
          <w:color w:val="000000" w:themeColor="text1"/>
        </w:rPr>
      </w:pPr>
    </w:p>
    <w:p w14:paraId="1A854BB3" w14:textId="77777777" w:rsidR="002E1F10" w:rsidRDefault="002E1F10" w:rsidP="00DD1B67">
      <w:pPr>
        <w:rPr>
          <w:rFonts w:cstheme="minorHAnsi"/>
          <w:color w:val="000000" w:themeColor="text1"/>
        </w:rPr>
      </w:pPr>
    </w:p>
    <w:p w14:paraId="06B5D9D0" w14:textId="77777777" w:rsidR="002E1F10" w:rsidRDefault="002E1F10" w:rsidP="00DD1B67">
      <w:pPr>
        <w:rPr>
          <w:rFonts w:cstheme="minorHAnsi"/>
          <w:color w:val="000000" w:themeColor="text1"/>
        </w:rPr>
      </w:pPr>
    </w:p>
    <w:p w14:paraId="339D5D14" w14:textId="3475BCC6" w:rsidR="002E1F10" w:rsidRDefault="002E1F10">
      <w:pPr>
        <w:rPr>
          <w:rFonts w:cstheme="minorHAnsi"/>
          <w:color w:val="000000" w:themeColor="text1"/>
        </w:rPr>
      </w:pPr>
      <w:r>
        <w:rPr>
          <w:rFonts w:cstheme="minorHAnsi"/>
          <w:color w:val="000000" w:themeColor="text1"/>
        </w:rPr>
        <w:br/>
      </w:r>
      <w:r>
        <w:rPr>
          <w:rFonts w:cstheme="minorHAnsi"/>
          <w:color w:val="000000" w:themeColor="text1"/>
        </w:rPr>
        <w:br w:type="page"/>
      </w:r>
    </w:p>
    <w:p w14:paraId="2376DAEF" w14:textId="0478C7BC" w:rsidR="00DD1B67" w:rsidRDefault="002E1F10" w:rsidP="00DD1B67">
      <w:pPr>
        <w:rPr>
          <w:rFonts w:cstheme="minorHAnsi"/>
          <w:color w:val="000000" w:themeColor="text1"/>
        </w:rPr>
      </w:pPr>
      <w:r>
        <w:rPr>
          <w:rFonts w:cstheme="minorHAnsi"/>
          <w:color w:val="000000" w:themeColor="text1"/>
        </w:rPr>
        <w:lastRenderedPageBreak/>
        <w:t>F</w:t>
      </w:r>
      <w:r w:rsidR="00DD1B67">
        <w:rPr>
          <w:rFonts w:cstheme="minorHAnsi"/>
          <w:color w:val="000000" w:themeColor="text1"/>
        </w:rPr>
        <w:t>igure 2</w:t>
      </w:r>
    </w:p>
    <w:p w14:paraId="4FA04CDC" w14:textId="46CF675A" w:rsidR="002E1F10" w:rsidRDefault="002E1F10" w:rsidP="00DD1B67">
      <w:pPr>
        <w:rPr>
          <w:rFonts w:cstheme="minorHAnsi"/>
          <w:color w:val="000000" w:themeColor="text1"/>
        </w:rPr>
      </w:pPr>
    </w:p>
    <w:p w14:paraId="5F7BBE58" w14:textId="2E8A6DE8" w:rsidR="428DD730" w:rsidRDefault="428DD730" w:rsidP="428DD730">
      <w:pPr>
        <w:rPr>
          <w:color w:val="000000" w:themeColor="text1"/>
        </w:rPr>
      </w:pPr>
    </w:p>
    <w:p w14:paraId="14F10231" w14:textId="06D4575C" w:rsidR="428DD730" w:rsidRDefault="428DD730" w:rsidP="428DD730">
      <w:pPr>
        <w:rPr>
          <w:color w:val="000000" w:themeColor="text1"/>
        </w:rPr>
      </w:pPr>
    </w:p>
    <w:p w14:paraId="4E55F0F4" w14:textId="38EF6593" w:rsidR="428DD730" w:rsidRDefault="428DD730" w:rsidP="428DD730">
      <w:pPr>
        <w:rPr>
          <w:color w:val="000000" w:themeColor="text1"/>
        </w:rPr>
      </w:pPr>
    </w:p>
    <w:p w14:paraId="7A340632" w14:textId="617043E4" w:rsidR="56B12FE6" w:rsidRDefault="56B12FE6" w:rsidP="428DD730">
      <w:pPr>
        <w:rPr>
          <w:color w:val="000000" w:themeColor="text1"/>
        </w:rPr>
      </w:pPr>
      <w:r>
        <w:rPr>
          <w:noProof/>
          <w:lang w:val="en-US" w:eastAsia="en-US"/>
        </w:rPr>
        <w:drawing>
          <wp:inline distT="0" distB="0" distL="0" distR="0" wp14:anchorId="31651062" wp14:editId="20AD2E32">
            <wp:extent cx="4572000" cy="3657600"/>
            <wp:effectExtent l="0" t="0" r="0" b="0"/>
            <wp:docPr id="75443240" name="Picture 7544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572000" cy="3657600"/>
                    </a:xfrm>
                    <a:prstGeom prst="rect">
                      <a:avLst/>
                    </a:prstGeom>
                  </pic:spPr>
                </pic:pic>
              </a:graphicData>
            </a:graphic>
          </wp:inline>
        </w:drawing>
      </w:r>
    </w:p>
    <w:p w14:paraId="50CAF1D0" w14:textId="76BB8DC3" w:rsidR="428DD730" w:rsidRDefault="428DD730" w:rsidP="428DD730">
      <w:pPr>
        <w:rPr>
          <w:color w:val="000000" w:themeColor="text1"/>
        </w:rPr>
      </w:pPr>
    </w:p>
    <w:p w14:paraId="19EDE7BF" w14:textId="77777777" w:rsidR="005816E4" w:rsidRDefault="005816E4" w:rsidP="428DD730">
      <w:pPr>
        <w:rPr>
          <w:color w:val="000000" w:themeColor="text1"/>
        </w:rPr>
      </w:pPr>
    </w:p>
    <w:p w14:paraId="7EC8F1AB" w14:textId="770CF520" w:rsidR="428DD730" w:rsidRDefault="428DD730" w:rsidP="428DD730">
      <w:pPr>
        <w:rPr>
          <w:color w:val="000000" w:themeColor="text1"/>
        </w:rPr>
      </w:pPr>
    </w:p>
    <w:p w14:paraId="6E5B8E60" w14:textId="77777777" w:rsidR="00955318" w:rsidRDefault="00955318" w:rsidP="00DD1B67">
      <w:pPr>
        <w:rPr>
          <w:rFonts w:cstheme="minorHAnsi"/>
          <w:color w:val="000000" w:themeColor="text1"/>
        </w:rPr>
      </w:pPr>
    </w:p>
    <w:p w14:paraId="6554C8BA" w14:textId="1B344925" w:rsidR="00CC5CFA" w:rsidRDefault="00CC5CFA" w:rsidP="00DD1B67">
      <w:pPr>
        <w:rPr>
          <w:rFonts w:cstheme="minorHAnsi"/>
          <w:color w:val="000000" w:themeColor="text1"/>
        </w:rPr>
      </w:pPr>
    </w:p>
    <w:p w14:paraId="00A57C2A" w14:textId="77777777" w:rsidR="00CC5CFA" w:rsidRDefault="00CC5CFA" w:rsidP="00DD1B67">
      <w:pPr>
        <w:rPr>
          <w:rFonts w:cstheme="minorHAnsi"/>
          <w:color w:val="000000" w:themeColor="text1"/>
        </w:rPr>
      </w:pPr>
    </w:p>
    <w:p w14:paraId="6798FCA5" w14:textId="77777777" w:rsidR="00CC5CFA" w:rsidRDefault="00CC5CFA" w:rsidP="00DD1B67">
      <w:pPr>
        <w:rPr>
          <w:rFonts w:cstheme="minorHAnsi"/>
          <w:color w:val="000000" w:themeColor="text1"/>
        </w:rPr>
      </w:pPr>
    </w:p>
    <w:p w14:paraId="73213848" w14:textId="77777777" w:rsidR="00CC5CFA" w:rsidRDefault="00CC5CFA" w:rsidP="00DD1B67">
      <w:pPr>
        <w:rPr>
          <w:rFonts w:cstheme="minorHAnsi"/>
          <w:color w:val="000000" w:themeColor="text1"/>
        </w:rPr>
      </w:pPr>
    </w:p>
    <w:p w14:paraId="5C790E80" w14:textId="77777777" w:rsidR="00CC5CFA" w:rsidRDefault="00CC5CFA" w:rsidP="00DD1B67">
      <w:pPr>
        <w:rPr>
          <w:rFonts w:cstheme="minorHAnsi"/>
          <w:color w:val="000000" w:themeColor="text1"/>
        </w:rPr>
      </w:pPr>
    </w:p>
    <w:p w14:paraId="71CEFA94" w14:textId="77777777" w:rsidR="00791A53" w:rsidRDefault="00791A53" w:rsidP="00DD1B67">
      <w:pPr>
        <w:rPr>
          <w:rFonts w:cstheme="minorHAnsi"/>
          <w:color w:val="000000" w:themeColor="text1"/>
        </w:rPr>
      </w:pPr>
    </w:p>
    <w:p w14:paraId="24F5415F" w14:textId="77777777" w:rsidR="00791A53" w:rsidRDefault="00791A53" w:rsidP="00DD1B67">
      <w:pPr>
        <w:rPr>
          <w:rFonts w:cstheme="minorHAnsi"/>
          <w:color w:val="000000" w:themeColor="text1"/>
        </w:rPr>
      </w:pPr>
    </w:p>
    <w:p w14:paraId="7A19B002" w14:textId="77777777" w:rsidR="00791A53" w:rsidRDefault="00791A53" w:rsidP="00DD1B67">
      <w:pPr>
        <w:rPr>
          <w:rFonts w:cstheme="minorHAnsi"/>
          <w:color w:val="000000" w:themeColor="text1"/>
        </w:rPr>
      </w:pPr>
    </w:p>
    <w:p w14:paraId="29BA5E9F" w14:textId="77777777" w:rsidR="00791A53" w:rsidRDefault="00791A53" w:rsidP="00DD1B67">
      <w:pPr>
        <w:rPr>
          <w:rFonts w:cstheme="minorHAnsi"/>
          <w:color w:val="000000" w:themeColor="text1"/>
        </w:rPr>
      </w:pPr>
    </w:p>
    <w:p w14:paraId="16ED08B5" w14:textId="77777777" w:rsidR="00791A53" w:rsidRDefault="00791A53" w:rsidP="00DD1B67">
      <w:pPr>
        <w:rPr>
          <w:rFonts w:cstheme="minorHAnsi"/>
          <w:color w:val="000000" w:themeColor="text1"/>
        </w:rPr>
      </w:pPr>
    </w:p>
    <w:p w14:paraId="6F91CA8F" w14:textId="77777777" w:rsidR="00791A53" w:rsidRDefault="00791A53" w:rsidP="00DD1B67">
      <w:pPr>
        <w:rPr>
          <w:rFonts w:cstheme="minorHAnsi"/>
          <w:color w:val="000000" w:themeColor="text1"/>
        </w:rPr>
      </w:pPr>
    </w:p>
    <w:p w14:paraId="28E50E29" w14:textId="77777777" w:rsidR="00791A53" w:rsidRDefault="00791A53" w:rsidP="00DD1B67">
      <w:pPr>
        <w:rPr>
          <w:rFonts w:cstheme="minorHAnsi"/>
          <w:color w:val="000000" w:themeColor="text1"/>
        </w:rPr>
      </w:pPr>
    </w:p>
    <w:p w14:paraId="1FB040CB" w14:textId="77777777" w:rsidR="00791A53" w:rsidRDefault="00791A53" w:rsidP="00DD1B67">
      <w:pPr>
        <w:rPr>
          <w:rFonts w:cstheme="minorHAnsi"/>
          <w:color w:val="000000" w:themeColor="text1"/>
        </w:rPr>
      </w:pPr>
    </w:p>
    <w:p w14:paraId="2C1D5FA6" w14:textId="77777777" w:rsidR="00791A53" w:rsidRDefault="00791A53" w:rsidP="00DD1B67">
      <w:pPr>
        <w:rPr>
          <w:rFonts w:cstheme="minorHAnsi"/>
          <w:color w:val="000000" w:themeColor="text1"/>
        </w:rPr>
      </w:pPr>
    </w:p>
    <w:p w14:paraId="53BF728A" w14:textId="77777777" w:rsidR="00791A53" w:rsidRDefault="00791A53" w:rsidP="00DD1B67">
      <w:pPr>
        <w:rPr>
          <w:rFonts w:cstheme="minorHAnsi"/>
          <w:color w:val="000000" w:themeColor="text1"/>
        </w:rPr>
      </w:pPr>
    </w:p>
    <w:p w14:paraId="32EDBD40" w14:textId="77777777" w:rsidR="00791A53" w:rsidRDefault="00791A53" w:rsidP="00DD1B67">
      <w:pPr>
        <w:rPr>
          <w:rFonts w:cstheme="minorHAnsi"/>
          <w:color w:val="000000" w:themeColor="text1"/>
        </w:rPr>
      </w:pPr>
    </w:p>
    <w:p w14:paraId="7367DD75" w14:textId="77777777" w:rsidR="00791A53" w:rsidRDefault="00791A53" w:rsidP="00DD1B67">
      <w:pPr>
        <w:rPr>
          <w:rFonts w:cstheme="minorHAnsi"/>
          <w:color w:val="000000" w:themeColor="text1"/>
        </w:rPr>
      </w:pPr>
    </w:p>
    <w:p w14:paraId="458F823A" w14:textId="77777777" w:rsidR="00791A53" w:rsidRDefault="00791A53" w:rsidP="00DD1B67">
      <w:pPr>
        <w:rPr>
          <w:rFonts w:cstheme="minorHAnsi"/>
          <w:color w:val="000000" w:themeColor="text1"/>
        </w:rPr>
      </w:pPr>
    </w:p>
    <w:p w14:paraId="1FCA1DFD" w14:textId="77777777" w:rsidR="00791A53" w:rsidRDefault="00791A53" w:rsidP="00DD1B67">
      <w:pPr>
        <w:rPr>
          <w:rFonts w:cstheme="minorHAnsi"/>
          <w:color w:val="000000" w:themeColor="text1"/>
        </w:rPr>
      </w:pPr>
    </w:p>
    <w:p w14:paraId="2B2E375E" w14:textId="77777777" w:rsidR="00CC5CFA" w:rsidRDefault="00CC5CFA" w:rsidP="00DD1B67">
      <w:pPr>
        <w:rPr>
          <w:rFonts w:cstheme="minorHAnsi"/>
          <w:color w:val="000000" w:themeColor="text1"/>
        </w:rPr>
      </w:pPr>
    </w:p>
    <w:p w14:paraId="56E044AE" w14:textId="77777777" w:rsidR="005816E4" w:rsidRDefault="005816E4" w:rsidP="00DD1B67">
      <w:pPr>
        <w:rPr>
          <w:rFonts w:cstheme="minorHAnsi"/>
          <w:color w:val="000000" w:themeColor="text1"/>
        </w:rPr>
      </w:pPr>
    </w:p>
    <w:p w14:paraId="55DB71B6" w14:textId="3B1C96FF" w:rsidR="00DD1B67" w:rsidRDefault="00DD1B67" w:rsidP="00DD1B67">
      <w:pPr>
        <w:rPr>
          <w:rFonts w:cstheme="minorHAnsi"/>
          <w:color w:val="000000" w:themeColor="text1"/>
        </w:rPr>
      </w:pPr>
      <w:r>
        <w:rPr>
          <w:rFonts w:cstheme="minorHAnsi"/>
          <w:color w:val="000000" w:themeColor="text1"/>
        </w:rPr>
        <w:lastRenderedPageBreak/>
        <w:t>Figure 3</w:t>
      </w:r>
    </w:p>
    <w:p w14:paraId="017236F6" w14:textId="4445D6BB" w:rsidR="00CD0971" w:rsidRDefault="00507737" w:rsidP="00DD1B67">
      <w:pPr>
        <w:rPr>
          <w:rFonts w:cstheme="minorHAnsi"/>
          <w:color w:val="000000" w:themeColor="text1"/>
        </w:rPr>
      </w:pPr>
      <w:r>
        <w:rPr>
          <w:noProof/>
          <w:lang w:val="en-US" w:eastAsia="en-US"/>
        </w:rPr>
        <w:drawing>
          <wp:inline distT="0" distB="0" distL="0" distR="0" wp14:anchorId="464BA8B6" wp14:editId="5547F2A9">
            <wp:extent cx="4749800" cy="3562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5">
                      <a:extLst>
                        <a:ext uri="{28A0092B-C50C-407E-A947-70E740481C1C}">
                          <a14:useLocalDpi xmlns:a14="http://schemas.microsoft.com/office/drawing/2010/main" val="0"/>
                        </a:ext>
                      </a:extLst>
                    </a:blip>
                    <a:stretch>
                      <a:fillRect/>
                    </a:stretch>
                  </pic:blipFill>
                  <pic:spPr>
                    <a:xfrm>
                      <a:off x="0" y="0"/>
                      <a:ext cx="4749800" cy="3562350"/>
                    </a:xfrm>
                    <a:prstGeom prst="rect">
                      <a:avLst/>
                    </a:prstGeom>
                  </pic:spPr>
                </pic:pic>
              </a:graphicData>
            </a:graphic>
          </wp:inline>
        </w:drawing>
      </w:r>
    </w:p>
    <w:p w14:paraId="29D150EB" w14:textId="27D35E8A" w:rsidR="00DD1B67" w:rsidRDefault="00DD1B67" w:rsidP="00DD1B67">
      <w:pPr>
        <w:rPr>
          <w:rFonts w:cstheme="minorHAnsi"/>
          <w:color w:val="000000" w:themeColor="text1"/>
        </w:rPr>
      </w:pPr>
    </w:p>
    <w:p w14:paraId="37853685" w14:textId="77777777" w:rsidR="00507737" w:rsidRDefault="00507737" w:rsidP="00DD1B67">
      <w:pPr>
        <w:rPr>
          <w:rFonts w:cstheme="minorHAnsi"/>
          <w:color w:val="000000" w:themeColor="text1"/>
        </w:rPr>
      </w:pPr>
    </w:p>
    <w:p w14:paraId="722836B3" w14:textId="77777777" w:rsidR="005816E4" w:rsidRDefault="005816E4" w:rsidP="00DD1B67">
      <w:pPr>
        <w:rPr>
          <w:color w:val="000000" w:themeColor="text1"/>
        </w:rPr>
      </w:pPr>
    </w:p>
    <w:p w14:paraId="0BC76612" w14:textId="77777777" w:rsidR="005816E4" w:rsidRDefault="005816E4" w:rsidP="00DD1B67">
      <w:pPr>
        <w:rPr>
          <w:color w:val="000000" w:themeColor="text1"/>
        </w:rPr>
      </w:pPr>
    </w:p>
    <w:p w14:paraId="470E617D" w14:textId="77777777" w:rsidR="005816E4" w:rsidRDefault="005816E4">
      <w:pPr>
        <w:rPr>
          <w:color w:val="000000" w:themeColor="text1"/>
        </w:rPr>
      </w:pPr>
      <w:r>
        <w:rPr>
          <w:color w:val="000000" w:themeColor="text1"/>
        </w:rPr>
        <w:br w:type="page"/>
      </w:r>
    </w:p>
    <w:p w14:paraId="386C7E27" w14:textId="1017641C" w:rsidR="00DD1B67" w:rsidRDefault="00DD1B67" w:rsidP="00DD1B67">
      <w:pPr>
        <w:rPr>
          <w:rFonts w:cstheme="minorHAnsi"/>
          <w:color w:val="000000" w:themeColor="text1"/>
        </w:rPr>
      </w:pPr>
      <w:r w:rsidRPr="20E75BA8">
        <w:rPr>
          <w:color w:val="000000" w:themeColor="text1"/>
        </w:rPr>
        <w:lastRenderedPageBreak/>
        <w:t>Figure 4</w:t>
      </w:r>
    </w:p>
    <w:p w14:paraId="457BEC72" w14:textId="77777777" w:rsidR="005816E4" w:rsidRDefault="005816E4" w:rsidP="002E1F10">
      <w:pPr>
        <w:ind w:right="78"/>
        <w:rPr>
          <w:b/>
          <w:bCs/>
          <w:color w:val="000000" w:themeColor="text1"/>
        </w:rPr>
      </w:pPr>
    </w:p>
    <w:p w14:paraId="4F07B5D4" w14:textId="6E53CA08" w:rsidR="002E1F10" w:rsidRPr="00D3427B" w:rsidRDefault="005816E4" w:rsidP="002E1F10">
      <w:pPr>
        <w:ind w:right="78"/>
        <w:rPr>
          <w:rStyle w:val="normaltextrun"/>
          <w:b/>
          <w:bCs/>
          <w:color w:val="000000" w:themeColor="text1"/>
        </w:rPr>
      </w:pPr>
      <w:r>
        <w:rPr>
          <w:noProof/>
          <w:color w:val="000000" w:themeColor="text1"/>
          <w:lang w:val="en-US" w:eastAsia="en-US"/>
        </w:rPr>
        <w:drawing>
          <wp:inline distT="0" distB="0" distL="0" distR="0" wp14:anchorId="2F7EEB8A" wp14:editId="430A032A">
            <wp:extent cx="5727700" cy="52070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v2.png"/>
                    <pic:cNvPicPr/>
                  </pic:nvPicPr>
                  <pic:blipFill>
                    <a:blip r:embed="rId26">
                      <a:extLst>
                        <a:ext uri="{28A0092B-C50C-407E-A947-70E740481C1C}">
                          <a14:useLocalDpi xmlns:a14="http://schemas.microsoft.com/office/drawing/2010/main" val="0"/>
                        </a:ext>
                      </a:extLst>
                    </a:blip>
                    <a:stretch>
                      <a:fillRect/>
                    </a:stretch>
                  </pic:blipFill>
                  <pic:spPr>
                    <a:xfrm>
                      <a:off x="0" y="0"/>
                      <a:ext cx="5727700" cy="5207000"/>
                    </a:xfrm>
                    <a:prstGeom prst="rect">
                      <a:avLst/>
                    </a:prstGeom>
                  </pic:spPr>
                </pic:pic>
              </a:graphicData>
            </a:graphic>
          </wp:inline>
        </w:drawing>
      </w:r>
    </w:p>
    <w:p w14:paraId="2C337610" w14:textId="6D2B1CE2" w:rsidR="002E1F10" w:rsidRDefault="002E1F10" w:rsidP="00DD1B67">
      <w:pPr>
        <w:rPr>
          <w:rFonts w:cstheme="minorHAnsi"/>
          <w:color w:val="000000" w:themeColor="text1"/>
        </w:rPr>
      </w:pPr>
    </w:p>
    <w:p w14:paraId="121936BD" w14:textId="77777777" w:rsidR="00DD1B67" w:rsidRDefault="00DD1B67" w:rsidP="00DD1B67">
      <w:pPr>
        <w:rPr>
          <w:rFonts w:cstheme="minorHAnsi"/>
          <w:color w:val="000000" w:themeColor="text1"/>
        </w:rPr>
      </w:pPr>
    </w:p>
    <w:p w14:paraId="7AB6C16A" w14:textId="77777777" w:rsidR="00791A53" w:rsidRDefault="00791A53" w:rsidP="0064570F">
      <w:pPr>
        <w:rPr>
          <w:rFonts w:cstheme="minorHAnsi"/>
          <w:color w:val="000000" w:themeColor="text1"/>
        </w:rPr>
      </w:pPr>
    </w:p>
    <w:p w14:paraId="09340545" w14:textId="77777777" w:rsidR="00791A53" w:rsidRDefault="00791A53" w:rsidP="0064570F">
      <w:pPr>
        <w:rPr>
          <w:rFonts w:cstheme="minorHAnsi"/>
          <w:color w:val="000000" w:themeColor="text1"/>
        </w:rPr>
      </w:pPr>
    </w:p>
    <w:p w14:paraId="0C0FBD3B" w14:textId="77777777" w:rsidR="00791A53" w:rsidRDefault="00791A53" w:rsidP="0064570F">
      <w:pPr>
        <w:rPr>
          <w:rFonts w:cstheme="minorHAnsi"/>
          <w:color w:val="000000" w:themeColor="text1"/>
        </w:rPr>
      </w:pPr>
    </w:p>
    <w:p w14:paraId="6610ABBE" w14:textId="77777777" w:rsidR="00791A53" w:rsidRDefault="00791A53" w:rsidP="0064570F">
      <w:pPr>
        <w:rPr>
          <w:rFonts w:cstheme="minorHAnsi"/>
          <w:color w:val="000000" w:themeColor="text1"/>
        </w:rPr>
      </w:pPr>
    </w:p>
    <w:p w14:paraId="42A8587F" w14:textId="77777777" w:rsidR="00791A53" w:rsidRDefault="00791A53" w:rsidP="0064570F">
      <w:pPr>
        <w:rPr>
          <w:rFonts w:cstheme="minorHAnsi"/>
          <w:color w:val="000000" w:themeColor="text1"/>
        </w:rPr>
      </w:pPr>
    </w:p>
    <w:p w14:paraId="714F4F09" w14:textId="77777777" w:rsidR="00791A53" w:rsidRDefault="00791A53" w:rsidP="0064570F">
      <w:pPr>
        <w:rPr>
          <w:rFonts w:cstheme="minorHAnsi"/>
          <w:color w:val="000000" w:themeColor="text1"/>
        </w:rPr>
      </w:pPr>
    </w:p>
    <w:p w14:paraId="01706A75" w14:textId="77777777" w:rsidR="00CF69B7" w:rsidRDefault="00CF69B7" w:rsidP="0064570F">
      <w:pPr>
        <w:rPr>
          <w:rFonts w:cstheme="minorHAnsi"/>
          <w:color w:val="000000" w:themeColor="text1"/>
        </w:rPr>
      </w:pPr>
    </w:p>
    <w:p w14:paraId="34C9B8DE" w14:textId="77777777" w:rsidR="00CF69B7" w:rsidRDefault="00CF69B7" w:rsidP="0064570F">
      <w:pPr>
        <w:rPr>
          <w:rFonts w:cstheme="minorHAnsi"/>
          <w:color w:val="000000" w:themeColor="text1"/>
        </w:rPr>
      </w:pPr>
    </w:p>
    <w:p w14:paraId="534E95CD" w14:textId="77777777" w:rsidR="00CF69B7" w:rsidRDefault="00CF69B7" w:rsidP="0064570F">
      <w:pPr>
        <w:rPr>
          <w:rFonts w:cstheme="minorHAnsi"/>
          <w:color w:val="000000" w:themeColor="text1"/>
        </w:rPr>
      </w:pPr>
    </w:p>
    <w:p w14:paraId="622B8747" w14:textId="77777777" w:rsidR="00CF69B7" w:rsidRDefault="00CF69B7" w:rsidP="0064570F">
      <w:pPr>
        <w:rPr>
          <w:rFonts w:cstheme="minorHAnsi"/>
          <w:color w:val="000000" w:themeColor="text1"/>
        </w:rPr>
      </w:pPr>
    </w:p>
    <w:p w14:paraId="4AEF91ED" w14:textId="77777777" w:rsidR="00CF69B7" w:rsidRDefault="00CF69B7" w:rsidP="0064570F">
      <w:pPr>
        <w:rPr>
          <w:rFonts w:cstheme="minorHAnsi"/>
          <w:color w:val="000000" w:themeColor="text1"/>
        </w:rPr>
      </w:pPr>
    </w:p>
    <w:p w14:paraId="7984405E" w14:textId="77777777" w:rsidR="00CF69B7" w:rsidRDefault="00CF69B7" w:rsidP="0064570F">
      <w:pPr>
        <w:rPr>
          <w:rFonts w:cstheme="minorHAnsi"/>
          <w:color w:val="000000" w:themeColor="text1"/>
        </w:rPr>
      </w:pPr>
    </w:p>
    <w:p w14:paraId="0A69F190" w14:textId="77777777" w:rsidR="00CF69B7" w:rsidRDefault="00CF69B7" w:rsidP="0064570F">
      <w:pPr>
        <w:rPr>
          <w:rFonts w:cstheme="minorHAnsi"/>
          <w:color w:val="000000" w:themeColor="text1"/>
        </w:rPr>
      </w:pPr>
    </w:p>
    <w:p w14:paraId="67C0B75C" w14:textId="77777777" w:rsidR="00CF69B7" w:rsidRDefault="00CF69B7" w:rsidP="0064570F">
      <w:pPr>
        <w:rPr>
          <w:rFonts w:cstheme="minorHAnsi"/>
          <w:color w:val="000000" w:themeColor="text1"/>
        </w:rPr>
      </w:pPr>
    </w:p>
    <w:p w14:paraId="4FBC1C22" w14:textId="77777777" w:rsidR="00CF69B7" w:rsidRDefault="00CF69B7" w:rsidP="0064570F">
      <w:pPr>
        <w:rPr>
          <w:rFonts w:cstheme="minorHAnsi"/>
          <w:color w:val="000000" w:themeColor="text1"/>
        </w:rPr>
      </w:pPr>
    </w:p>
    <w:p w14:paraId="2C23E8D0" w14:textId="77777777" w:rsidR="00791A53" w:rsidRDefault="00791A53" w:rsidP="0064570F">
      <w:pPr>
        <w:rPr>
          <w:rFonts w:cstheme="minorHAnsi"/>
          <w:color w:val="000000" w:themeColor="text1"/>
        </w:rPr>
      </w:pPr>
    </w:p>
    <w:p w14:paraId="62CCA7E7" w14:textId="77777777" w:rsidR="00791A53" w:rsidRDefault="00791A53" w:rsidP="0064570F">
      <w:pPr>
        <w:rPr>
          <w:rFonts w:cstheme="minorHAnsi"/>
          <w:color w:val="000000" w:themeColor="text1"/>
        </w:rPr>
      </w:pPr>
    </w:p>
    <w:p w14:paraId="14133A86" w14:textId="77777777" w:rsidR="00CF69B7" w:rsidRDefault="00CF69B7" w:rsidP="0064570F">
      <w:pPr>
        <w:rPr>
          <w:rFonts w:cstheme="minorHAnsi"/>
          <w:color w:val="000000" w:themeColor="text1"/>
        </w:rPr>
        <w:sectPr w:rsidR="00CF69B7" w:rsidSect="004C3C47">
          <w:footerReference w:type="even" r:id="rId27"/>
          <w:footerReference w:type="default" r:id="rId28"/>
          <w:pgSz w:w="11900" w:h="16840"/>
          <w:pgMar w:top="1135" w:right="1440" w:bottom="1134" w:left="1440" w:header="708" w:footer="708" w:gutter="0"/>
          <w:lnNumType w:countBy="1" w:restart="continuous"/>
          <w:cols w:space="708"/>
          <w:docGrid w:linePitch="360"/>
        </w:sectPr>
      </w:pPr>
    </w:p>
    <w:p w14:paraId="61BFECFB" w14:textId="05DC9D1A" w:rsidR="00660F67" w:rsidRDefault="00E33E1D" w:rsidP="0064570F">
      <w:pPr>
        <w:rPr>
          <w:rFonts w:cstheme="minorHAnsi"/>
          <w:color w:val="000000" w:themeColor="text1"/>
        </w:rPr>
      </w:pPr>
      <w:r>
        <w:rPr>
          <w:rFonts w:cstheme="minorHAnsi"/>
          <w:color w:val="000000" w:themeColor="text1"/>
        </w:rPr>
        <w:lastRenderedPageBreak/>
        <w:t>Table 1</w:t>
      </w:r>
    </w:p>
    <w:p w14:paraId="474BFA8C" w14:textId="77777777" w:rsidR="00CF69B7" w:rsidRDefault="00CF69B7" w:rsidP="0064570F">
      <w:pPr>
        <w:rPr>
          <w:rFonts w:cstheme="minorHAnsi"/>
          <w:color w:val="000000" w:themeColor="text1"/>
        </w:rPr>
      </w:pPr>
    </w:p>
    <w:tbl>
      <w:tblPr>
        <w:tblStyle w:val="TableGrid"/>
        <w:tblW w:w="0" w:type="auto"/>
        <w:tblLook w:val="04A0" w:firstRow="1" w:lastRow="0" w:firstColumn="1" w:lastColumn="0" w:noHBand="0" w:noVBand="1"/>
      </w:tblPr>
      <w:tblGrid>
        <w:gridCol w:w="2740"/>
        <w:gridCol w:w="2097"/>
        <w:gridCol w:w="2027"/>
        <w:gridCol w:w="1983"/>
        <w:gridCol w:w="1959"/>
        <w:gridCol w:w="1968"/>
        <w:gridCol w:w="1993"/>
      </w:tblGrid>
      <w:tr w:rsidR="00E33E1D" w14:paraId="587D1034" w14:textId="77777777" w:rsidTr="00E33E1D">
        <w:tc>
          <w:tcPr>
            <w:tcW w:w="2109" w:type="dxa"/>
          </w:tcPr>
          <w:p w14:paraId="6DFEFF22" w14:textId="5353A009" w:rsidR="00CF69B7" w:rsidRDefault="00CF69B7" w:rsidP="00CF69B7">
            <w:pPr>
              <w:rPr>
                <w:rFonts w:cstheme="minorHAnsi"/>
                <w:color w:val="000000" w:themeColor="text1"/>
              </w:rPr>
            </w:pPr>
            <w:r w:rsidRPr="00282991">
              <w:rPr>
                <w:rFonts w:ascii="Arial" w:hAnsi="Arial" w:cs="Arial"/>
                <w:b/>
                <w:sz w:val="22"/>
                <w:szCs w:val="20"/>
              </w:rPr>
              <w:t>Trial Name</w:t>
            </w:r>
          </w:p>
        </w:tc>
        <w:tc>
          <w:tcPr>
            <w:tcW w:w="2109" w:type="dxa"/>
          </w:tcPr>
          <w:p w14:paraId="6A8EA66C" w14:textId="459E8665" w:rsidR="00CF69B7" w:rsidRDefault="00CF69B7" w:rsidP="00CF69B7">
            <w:pPr>
              <w:rPr>
                <w:rFonts w:cstheme="minorHAnsi"/>
                <w:color w:val="000000" w:themeColor="text1"/>
              </w:rPr>
            </w:pPr>
            <w:r w:rsidRPr="00282991">
              <w:rPr>
                <w:rFonts w:ascii="Arial" w:hAnsi="Arial" w:cs="Arial"/>
                <w:b/>
                <w:sz w:val="22"/>
                <w:szCs w:val="20"/>
              </w:rPr>
              <w:t>Tr</w:t>
            </w:r>
            <w:r w:rsidR="005926F4">
              <w:rPr>
                <w:rFonts w:ascii="Arial" w:hAnsi="Arial" w:cs="Arial"/>
                <w:b/>
                <w:sz w:val="22"/>
                <w:szCs w:val="20"/>
              </w:rPr>
              <w:t>ia</w:t>
            </w:r>
            <w:r w:rsidRPr="00282991">
              <w:rPr>
                <w:rFonts w:ascii="Arial" w:hAnsi="Arial" w:cs="Arial"/>
                <w:b/>
                <w:sz w:val="22"/>
                <w:szCs w:val="20"/>
              </w:rPr>
              <w:t>l ID (Clin</w:t>
            </w:r>
            <w:r w:rsidR="005926F4">
              <w:rPr>
                <w:rFonts w:ascii="Arial" w:hAnsi="Arial" w:cs="Arial"/>
                <w:b/>
                <w:sz w:val="22"/>
                <w:szCs w:val="20"/>
              </w:rPr>
              <w:t>ical</w:t>
            </w:r>
            <w:r w:rsidRPr="00282991">
              <w:rPr>
                <w:rFonts w:ascii="Arial" w:hAnsi="Arial" w:cs="Arial"/>
                <w:b/>
                <w:sz w:val="22"/>
                <w:szCs w:val="20"/>
              </w:rPr>
              <w:t>trials.gov or ISRCTN.com)</w:t>
            </w:r>
          </w:p>
        </w:tc>
        <w:tc>
          <w:tcPr>
            <w:tcW w:w="2109" w:type="dxa"/>
          </w:tcPr>
          <w:p w14:paraId="7D936CCD" w14:textId="1831C134" w:rsidR="00CF69B7" w:rsidRDefault="00CF69B7" w:rsidP="00E33E1D">
            <w:pPr>
              <w:jc w:val="center"/>
              <w:rPr>
                <w:rFonts w:cstheme="minorHAnsi"/>
                <w:color w:val="000000" w:themeColor="text1"/>
              </w:rPr>
            </w:pPr>
            <w:r w:rsidRPr="00282991">
              <w:rPr>
                <w:rFonts w:ascii="Arial" w:hAnsi="Arial" w:cs="Arial"/>
                <w:b/>
                <w:sz w:val="22"/>
                <w:szCs w:val="20"/>
              </w:rPr>
              <w:t>Trial Summary</w:t>
            </w:r>
          </w:p>
        </w:tc>
        <w:tc>
          <w:tcPr>
            <w:tcW w:w="2110" w:type="dxa"/>
          </w:tcPr>
          <w:p w14:paraId="1BC1E012" w14:textId="47CDAAA7" w:rsidR="00CF69B7" w:rsidRDefault="00CF69B7" w:rsidP="00E33E1D">
            <w:pPr>
              <w:jc w:val="center"/>
              <w:rPr>
                <w:rFonts w:cstheme="minorHAnsi"/>
                <w:color w:val="000000" w:themeColor="text1"/>
              </w:rPr>
            </w:pPr>
            <w:r w:rsidRPr="00282991">
              <w:rPr>
                <w:rFonts w:ascii="Arial" w:hAnsi="Arial" w:cs="Arial"/>
                <w:b/>
                <w:sz w:val="22"/>
                <w:szCs w:val="20"/>
              </w:rPr>
              <w:t>Study Participants</w:t>
            </w:r>
          </w:p>
        </w:tc>
        <w:tc>
          <w:tcPr>
            <w:tcW w:w="2110" w:type="dxa"/>
          </w:tcPr>
          <w:p w14:paraId="77BDE615" w14:textId="38189C70" w:rsidR="00CF69B7" w:rsidRDefault="00CF69B7" w:rsidP="00E33E1D">
            <w:pPr>
              <w:jc w:val="center"/>
              <w:rPr>
                <w:rFonts w:cstheme="minorHAnsi"/>
                <w:color w:val="000000" w:themeColor="text1"/>
              </w:rPr>
            </w:pPr>
            <w:r w:rsidRPr="00282991">
              <w:rPr>
                <w:rFonts w:ascii="Arial" w:hAnsi="Arial" w:cs="Arial"/>
                <w:b/>
                <w:sz w:val="22"/>
                <w:szCs w:val="20"/>
              </w:rPr>
              <w:t>Participant Age</w:t>
            </w:r>
          </w:p>
        </w:tc>
        <w:tc>
          <w:tcPr>
            <w:tcW w:w="2110" w:type="dxa"/>
          </w:tcPr>
          <w:p w14:paraId="4B30A1C6" w14:textId="23365160" w:rsidR="00CF69B7" w:rsidRDefault="00CF69B7" w:rsidP="00E33E1D">
            <w:pPr>
              <w:jc w:val="center"/>
              <w:rPr>
                <w:rFonts w:cstheme="minorHAnsi"/>
                <w:color w:val="000000" w:themeColor="text1"/>
              </w:rPr>
            </w:pPr>
            <w:r w:rsidRPr="00282991">
              <w:rPr>
                <w:rFonts w:ascii="Arial" w:hAnsi="Arial" w:cs="Arial"/>
                <w:b/>
                <w:sz w:val="22"/>
                <w:szCs w:val="20"/>
              </w:rPr>
              <w:t>Location(s)</w:t>
            </w:r>
          </w:p>
        </w:tc>
        <w:tc>
          <w:tcPr>
            <w:tcW w:w="2110" w:type="dxa"/>
          </w:tcPr>
          <w:p w14:paraId="23BB035F" w14:textId="75DC9DCC" w:rsidR="00CF69B7" w:rsidRDefault="00CF69B7" w:rsidP="00E33E1D">
            <w:pPr>
              <w:jc w:val="center"/>
              <w:rPr>
                <w:rFonts w:cstheme="minorHAnsi"/>
                <w:color w:val="000000" w:themeColor="text1"/>
              </w:rPr>
            </w:pPr>
            <w:r>
              <w:rPr>
                <w:rFonts w:ascii="Arial" w:hAnsi="Arial" w:cs="Arial"/>
                <w:b/>
                <w:sz w:val="22"/>
                <w:szCs w:val="20"/>
              </w:rPr>
              <w:t xml:space="preserve">Related </w:t>
            </w:r>
            <w:r w:rsidRPr="00282991">
              <w:rPr>
                <w:rFonts w:ascii="Arial" w:hAnsi="Arial" w:cs="Arial"/>
                <w:b/>
                <w:sz w:val="22"/>
                <w:szCs w:val="20"/>
              </w:rPr>
              <w:t>Publications</w:t>
            </w:r>
          </w:p>
        </w:tc>
      </w:tr>
      <w:tr w:rsidR="00E33E1D" w14:paraId="4D0814F7" w14:textId="77777777" w:rsidTr="00E33E1D">
        <w:tc>
          <w:tcPr>
            <w:tcW w:w="2109" w:type="dxa"/>
          </w:tcPr>
          <w:p w14:paraId="50E379AD" w14:textId="62C745D7" w:rsidR="00CF69B7" w:rsidRDefault="00CF69B7" w:rsidP="00CF69B7">
            <w:pPr>
              <w:rPr>
                <w:rFonts w:cstheme="minorHAnsi"/>
                <w:color w:val="000000" w:themeColor="text1"/>
              </w:rPr>
            </w:pPr>
            <w:r w:rsidRPr="00282991">
              <w:rPr>
                <w:rFonts w:ascii="Arial" w:hAnsi="Arial" w:cs="Arial"/>
                <w:b/>
                <w:sz w:val="20"/>
                <w:szCs w:val="20"/>
              </w:rPr>
              <w:t>SUMMIT</w:t>
            </w:r>
            <w:r w:rsidRPr="00282991">
              <w:rPr>
                <w:rFonts w:ascii="Arial" w:hAnsi="Arial" w:cs="Arial"/>
                <w:sz w:val="20"/>
                <w:szCs w:val="20"/>
              </w:rPr>
              <w:t>- Superiority of Matrix-induced autologous chondrocyte implant versus Microfracture for Treatment of symptomatic articular cartilage defects</w:t>
            </w:r>
          </w:p>
        </w:tc>
        <w:tc>
          <w:tcPr>
            <w:tcW w:w="2109" w:type="dxa"/>
          </w:tcPr>
          <w:p w14:paraId="41BFB312" w14:textId="11CF2259" w:rsidR="00CF69B7" w:rsidRDefault="00CF69B7" w:rsidP="00A301F8">
            <w:pPr>
              <w:jc w:val="center"/>
              <w:rPr>
                <w:rFonts w:cstheme="minorHAnsi"/>
                <w:color w:val="000000" w:themeColor="text1"/>
              </w:rPr>
            </w:pPr>
            <w:r w:rsidRPr="00282991">
              <w:rPr>
                <w:rFonts w:ascii="Arial" w:hAnsi="Arial" w:cs="Arial"/>
                <w:sz w:val="20"/>
                <w:szCs w:val="20"/>
              </w:rPr>
              <w:t>NCT00719576</w:t>
            </w:r>
          </w:p>
        </w:tc>
        <w:tc>
          <w:tcPr>
            <w:tcW w:w="2109" w:type="dxa"/>
          </w:tcPr>
          <w:p w14:paraId="72458F7B" w14:textId="5265709F" w:rsidR="00CF69B7" w:rsidRDefault="00CF69B7" w:rsidP="00CF69B7">
            <w:pPr>
              <w:rPr>
                <w:rFonts w:cstheme="minorHAnsi"/>
                <w:color w:val="000000" w:themeColor="text1"/>
              </w:rPr>
            </w:pPr>
            <w:r w:rsidRPr="00282991">
              <w:rPr>
                <w:rFonts w:ascii="Arial" w:hAnsi="Arial" w:cs="Arial"/>
                <w:sz w:val="20"/>
                <w:szCs w:val="20"/>
              </w:rPr>
              <w:t>Autologous cultured chondrocytes on porcine collagen membrane (MACI) vs. Microfracture</w:t>
            </w:r>
          </w:p>
        </w:tc>
        <w:tc>
          <w:tcPr>
            <w:tcW w:w="2110" w:type="dxa"/>
          </w:tcPr>
          <w:p w14:paraId="719E48A2" w14:textId="189E57C2" w:rsidR="00CF69B7" w:rsidRDefault="00CF69B7" w:rsidP="00E33E1D">
            <w:pPr>
              <w:jc w:val="center"/>
              <w:rPr>
                <w:rFonts w:cstheme="minorHAnsi"/>
                <w:color w:val="000000" w:themeColor="text1"/>
              </w:rPr>
            </w:pPr>
            <w:r w:rsidRPr="00282991">
              <w:rPr>
                <w:rFonts w:ascii="Arial" w:hAnsi="Arial" w:cs="Arial"/>
                <w:sz w:val="20"/>
                <w:szCs w:val="20"/>
              </w:rPr>
              <w:t>144</w:t>
            </w:r>
          </w:p>
        </w:tc>
        <w:tc>
          <w:tcPr>
            <w:tcW w:w="2110" w:type="dxa"/>
          </w:tcPr>
          <w:p w14:paraId="60555EDE" w14:textId="0D9978B5" w:rsidR="00CF69B7" w:rsidRDefault="00CF69B7" w:rsidP="00E33E1D">
            <w:pPr>
              <w:jc w:val="center"/>
              <w:rPr>
                <w:rFonts w:cstheme="minorHAnsi"/>
                <w:color w:val="000000" w:themeColor="text1"/>
              </w:rPr>
            </w:pPr>
            <w:r w:rsidRPr="00282991">
              <w:rPr>
                <w:rFonts w:ascii="Arial" w:eastAsia="Times New Roman" w:hAnsi="Arial" w:cs="Arial"/>
                <w:color w:val="000000"/>
                <w:sz w:val="20"/>
                <w:szCs w:val="20"/>
                <w:shd w:val="clear" w:color="auto" w:fill="FFFFFF"/>
                <w:lang w:eastAsia="en-US"/>
              </w:rPr>
              <w:t>18-55</w:t>
            </w:r>
          </w:p>
        </w:tc>
        <w:tc>
          <w:tcPr>
            <w:tcW w:w="2110" w:type="dxa"/>
          </w:tcPr>
          <w:p w14:paraId="53B87951" w14:textId="77777777" w:rsidR="00CF69B7" w:rsidRPr="00282991" w:rsidRDefault="00CF69B7" w:rsidP="00E33E1D">
            <w:pPr>
              <w:jc w:val="center"/>
              <w:rPr>
                <w:rFonts w:ascii="Arial" w:eastAsia="Times New Roman" w:hAnsi="Arial" w:cs="Arial"/>
                <w:color w:val="000000"/>
                <w:sz w:val="20"/>
                <w:szCs w:val="20"/>
                <w:shd w:val="clear" w:color="auto" w:fill="FFFFFF"/>
                <w:lang w:eastAsia="en-US"/>
              </w:rPr>
            </w:pPr>
            <w:proofErr w:type="spellStart"/>
            <w:r w:rsidRPr="00282991">
              <w:rPr>
                <w:rFonts w:ascii="Arial" w:eastAsia="Times New Roman" w:hAnsi="Arial" w:cs="Arial"/>
                <w:color w:val="000000"/>
                <w:sz w:val="20"/>
                <w:szCs w:val="20"/>
                <w:shd w:val="clear" w:color="auto" w:fill="FFFFFF"/>
                <w:lang w:eastAsia="en-US"/>
              </w:rPr>
              <w:t>Czechia</w:t>
            </w:r>
            <w:proofErr w:type="spellEnd"/>
            <w:r w:rsidRPr="00282991">
              <w:rPr>
                <w:rFonts w:ascii="Arial" w:eastAsia="Times New Roman" w:hAnsi="Arial" w:cs="Arial"/>
                <w:color w:val="000000"/>
                <w:sz w:val="20"/>
                <w:szCs w:val="20"/>
                <w:shd w:val="clear" w:color="auto" w:fill="FFFFFF"/>
                <w:lang w:eastAsia="en-US"/>
              </w:rPr>
              <w:t>,</w:t>
            </w:r>
          </w:p>
          <w:p w14:paraId="6712EFCA" w14:textId="77777777" w:rsidR="00CF69B7" w:rsidRPr="00282991" w:rsidRDefault="00CF69B7" w:rsidP="00E33E1D">
            <w:pPr>
              <w:jc w:val="center"/>
              <w:rPr>
                <w:rFonts w:ascii="Arial" w:eastAsia="Times New Roman" w:hAnsi="Arial" w:cs="Arial"/>
                <w:color w:val="000000"/>
                <w:sz w:val="20"/>
                <w:szCs w:val="20"/>
                <w:shd w:val="clear" w:color="auto" w:fill="FFFFFF"/>
                <w:lang w:eastAsia="en-US"/>
              </w:rPr>
            </w:pPr>
            <w:r w:rsidRPr="00282991">
              <w:rPr>
                <w:rFonts w:ascii="Arial" w:eastAsia="Times New Roman" w:hAnsi="Arial" w:cs="Arial"/>
                <w:color w:val="000000"/>
                <w:sz w:val="20"/>
                <w:szCs w:val="20"/>
                <w:shd w:val="clear" w:color="auto" w:fill="FFFFFF"/>
                <w:lang w:eastAsia="en-US"/>
              </w:rPr>
              <w:t>France,</w:t>
            </w:r>
          </w:p>
          <w:p w14:paraId="5C8610A4" w14:textId="77777777" w:rsidR="00CF69B7" w:rsidRPr="00282991" w:rsidRDefault="00CF69B7" w:rsidP="00E33E1D">
            <w:pPr>
              <w:jc w:val="center"/>
              <w:rPr>
                <w:rFonts w:ascii="Arial" w:eastAsia="Times New Roman" w:hAnsi="Arial" w:cs="Arial"/>
                <w:color w:val="000000"/>
                <w:sz w:val="20"/>
                <w:szCs w:val="20"/>
                <w:shd w:val="clear" w:color="auto" w:fill="FFFFFF"/>
                <w:lang w:eastAsia="en-US"/>
              </w:rPr>
            </w:pPr>
            <w:r w:rsidRPr="00282991">
              <w:rPr>
                <w:rFonts w:ascii="Arial" w:eastAsia="Times New Roman" w:hAnsi="Arial" w:cs="Arial"/>
                <w:color w:val="000000"/>
                <w:sz w:val="20"/>
                <w:szCs w:val="20"/>
                <w:shd w:val="clear" w:color="auto" w:fill="FFFFFF"/>
                <w:lang w:eastAsia="en-US"/>
              </w:rPr>
              <w:t>Netherlands,</w:t>
            </w:r>
          </w:p>
          <w:p w14:paraId="1E3951E0" w14:textId="77777777" w:rsidR="00CF69B7" w:rsidRPr="00282991" w:rsidRDefault="00CF69B7" w:rsidP="00E33E1D">
            <w:pPr>
              <w:jc w:val="center"/>
              <w:rPr>
                <w:rFonts w:ascii="Arial" w:eastAsia="Times New Roman" w:hAnsi="Arial" w:cs="Arial"/>
                <w:color w:val="000000"/>
                <w:sz w:val="20"/>
                <w:szCs w:val="20"/>
                <w:shd w:val="clear" w:color="auto" w:fill="FFFFFF"/>
                <w:lang w:eastAsia="en-US"/>
              </w:rPr>
            </w:pPr>
            <w:r w:rsidRPr="00282991">
              <w:rPr>
                <w:rFonts w:ascii="Arial" w:eastAsia="Times New Roman" w:hAnsi="Arial" w:cs="Arial"/>
                <w:color w:val="000000"/>
                <w:sz w:val="20"/>
                <w:szCs w:val="20"/>
                <w:shd w:val="clear" w:color="auto" w:fill="FFFFFF"/>
                <w:lang w:eastAsia="en-US"/>
              </w:rPr>
              <w:t>Norway,</w:t>
            </w:r>
          </w:p>
          <w:p w14:paraId="1806C03D" w14:textId="77777777" w:rsidR="00CF69B7" w:rsidRPr="00282991" w:rsidRDefault="00CF69B7" w:rsidP="00E33E1D">
            <w:pPr>
              <w:jc w:val="center"/>
              <w:rPr>
                <w:rFonts w:ascii="Arial" w:eastAsia="Times New Roman" w:hAnsi="Arial" w:cs="Arial"/>
                <w:color w:val="000000"/>
                <w:sz w:val="20"/>
                <w:szCs w:val="20"/>
                <w:shd w:val="clear" w:color="auto" w:fill="FFFFFF"/>
                <w:lang w:eastAsia="en-US"/>
              </w:rPr>
            </w:pPr>
            <w:r w:rsidRPr="00282991">
              <w:rPr>
                <w:rFonts w:ascii="Arial" w:eastAsia="Times New Roman" w:hAnsi="Arial" w:cs="Arial"/>
                <w:color w:val="000000"/>
                <w:sz w:val="20"/>
                <w:szCs w:val="20"/>
                <w:shd w:val="clear" w:color="auto" w:fill="FFFFFF"/>
                <w:lang w:eastAsia="en-US"/>
              </w:rPr>
              <w:t>Poland,</w:t>
            </w:r>
          </w:p>
          <w:p w14:paraId="5609B109" w14:textId="77777777" w:rsidR="00CF69B7" w:rsidRPr="00282991" w:rsidRDefault="00CF69B7" w:rsidP="00E33E1D">
            <w:pPr>
              <w:jc w:val="center"/>
              <w:rPr>
                <w:rFonts w:ascii="Arial" w:eastAsia="Times New Roman" w:hAnsi="Arial" w:cs="Arial"/>
                <w:color w:val="000000"/>
                <w:sz w:val="20"/>
                <w:szCs w:val="20"/>
                <w:shd w:val="clear" w:color="auto" w:fill="FFFFFF"/>
                <w:lang w:eastAsia="en-US"/>
              </w:rPr>
            </w:pPr>
            <w:r w:rsidRPr="00282991">
              <w:rPr>
                <w:rFonts w:ascii="Arial" w:eastAsia="Times New Roman" w:hAnsi="Arial" w:cs="Arial"/>
                <w:color w:val="000000"/>
                <w:sz w:val="20"/>
                <w:szCs w:val="20"/>
                <w:shd w:val="clear" w:color="auto" w:fill="FFFFFF"/>
                <w:lang w:eastAsia="en-US"/>
              </w:rPr>
              <w:t>Sweden,</w:t>
            </w:r>
          </w:p>
          <w:p w14:paraId="4CD98E0B" w14:textId="77777777" w:rsidR="00CF69B7" w:rsidRPr="00282991" w:rsidRDefault="00CF69B7" w:rsidP="00E33E1D">
            <w:pPr>
              <w:jc w:val="center"/>
              <w:rPr>
                <w:rFonts w:ascii="Arial" w:eastAsia="Times New Roman" w:hAnsi="Arial" w:cs="Arial"/>
                <w:color w:val="000000"/>
                <w:sz w:val="20"/>
                <w:szCs w:val="20"/>
                <w:shd w:val="clear" w:color="auto" w:fill="FFFFFF"/>
                <w:lang w:eastAsia="en-US"/>
              </w:rPr>
            </w:pPr>
            <w:r w:rsidRPr="00282991">
              <w:rPr>
                <w:rFonts w:ascii="Arial" w:eastAsia="Times New Roman" w:hAnsi="Arial" w:cs="Arial"/>
                <w:color w:val="000000"/>
                <w:sz w:val="20"/>
                <w:szCs w:val="20"/>
                <w:shd w:val="clear" w:color="auto" w:fill="FFFFFF"/>
                <w:lang w:eastAsia="en-US"/>
              </w:rPr>
              <w:t>United Kingdom</w:t>
            </w:r>
          </w:p>
          <w:p w14:paraId="462559C4" w14:textId="77777777" w:rsidR="00CF69B7" w:rsidRDefault="00CF69B7" w:rsidP="00E33E1D">
            <w:pPr>
              <w:jc w:val="center"/>
              <w:rPr>
                <w:rFonts w:cstheme="minorHAnsi"/>
                <w:color w:val="000000" w:themeColor="text1"/>
              </w:rPr>
            </w:pPr>
          </w:p>
        </w:tc>
        <w:tc>
          <w:tcPr>
            <w:tcW w:w="2110" w:type="dxa"/>
          </w:tcPr>
          <w:p w14:paraId="21F19C5B" w14:textId="7FD60DEB" w:rsidR="00CF69B7" w:rsidRDefault="00CF69B7" w:rsidP="00E33E1D">
            <w:pPr>
              <w:jc w:val="center"/>
              <w:rPr>
                <w:rFonts w:cstheme="minorHAnsi"/>
                <w:color w:val="000000" w:themeColor="text1"/>
              </w:rPr>
            </w:pPr>
            <w:r>
              <w:rPr>
                <w:rFonts w:cstheme="minorHAnsi"/>
                <w:color w:val="000000" w:themeColor="text1"/>
              </w:rPr>
              <w:fldChar w:fldCharType="begin" w:fldLock="1"/>
            </w:r>
            <w:r>
              <w:rPr>
                <w:rFonts w:cstheme="minorHAnsi"/>
                <w:color w:val="000000" w:themeColor="text1"/>
              </w:rPr>
              <w:instrText>ADDIN CSL_CITATION {"citationItems":[{"id":"ITEM-1","itemData":{"DOI":"10.1177/0363546518756976","ISSN":"15523365","PMID":"29565642","abstract":"Background: Matrix-based cell therapy improves surgical handling, increases patient comfort, and allows for expanded indications with better reliability within the knee joint. Five-year efficacy and safety of autologous cultured chondrocytes on porcine collagen membrane (MACI) versus microfracture for treating cartilage defects have not yet been reported from any randomized controlled clinical trial. Purpose: To examine the clinical efficacy and safety results at 5 years after treatment with MACI and compare these with the efficacy and safety of microfracture treatment for symptomatic cartilage defects of the knee. Study Design: Randomized controlled trial; Level of evidence, 1. Methods: This article describes the 5-year follow-up of the SUMMIT (Superiority of MACI Implant Versus Microfracture Treatment) clinical trial conducted at 14 study sites in Europe. All 144 patients who participated in SUMMIT were eligible to enroll; analyses of the 5-year data were performed with data from patients who signed informed consent and continued in the Extension study. Results: Of the 144 patients randomized in the SUMMIT trial, 128 signed informed consent and continued observation in the Extension study: 65 MACI (90.3%) and 63 microfracture (87.5%). The improvements in Knee injury and Osteoarthritis Outcome Score (KOOS) Pain and Function domains previously described were maintained over the 5-year follow-up. Five years after treatment, the improvement in MACI over microfracture in the co-primary endpoint of KOOS pain and function was maintained and was clinically and statistically significant (P =.022). Improvements in activities of daily living remained statistically significantly better (P =.007) in MACI patients, with quality of life and other symptoms remaining numerically higher in MACI patients but losing statistical significance relative to the results of the SUMMIT 2-year analysis. Magnetic resonance imaging (MRI) evaluation of structural repair was performed in 120 patients at year 5. As in the 2-year SUMMIT (MACI00206) results, the MRI evaluation showed improvement in defect filling for both treatments; however, no statistically significant differences were noted between treatment groups. Conclusion: Symptomatic cartilage knee defects 3 cm2 or larger treated with MACI were clinically and statistically significantly improved at 5 years compared with microfracture treatment. No remarkable adverse events or safety issues were noted in this heterogeneous patie…","author":[{"dropping-particle":"","family":"Brittberg","given":"Mats","non-dropping-particle":"","parse-names":false,"suffix":""},{"dropping-particle":"","family":"Recker","given":"David","non-dropping-particle":"","parse-names":false,"suffix":""},{"dropping-particle":"","family":"Ilgenfritz","given":"John","non-dropping-particle":"","parse-names":false,"suffix":""},{"dropping-particle":"","family":"Saris","given":"Daniel B.F.","non-dropping-particle":"","parse-names":false,"suffix":""}],"container-title":"American Journal of Sports Medicine","id":"ITEM-1","issue":"6","issued":{"date-parts":[["2018"]]},"page":"1343-1351","title":"Matrix-Applied Characterized Autologous Cultured Chondrocytes Versus Microfracture: Five-Year Follow-up of a Prospective Randomized Trial","type":"article-journal","volume":"46"},"uris":["http://www.mendeley.com/documents/?uuid=a31dd2b7-c06f-4747-95b1-5b4e6df6652b"]}],"mendeley":{"formattedCitation":"[30]","plainTextFormattedCitation":"[30]","previouslyFormattedCitation":"[30]"},"properties":{"noteIndex":0},"schema":"https://github.com/citation-style-language/schema/raw/master/csl-citation.json"}</w:instrText>
            </w:r>
            <w:r>
              <w:rPr>
                <w:rFonts w:cstheme="minorHAnsi"/>
                <w:color w:val="000000" w:themeColor="text1"/>
              </w:rPr>
              <w:fldChar w:fldCharType="separate"/>
            </w:r>
            <w:r w:rsidRPr="00CF69B7">
              <w:rPr>
                <w:rFonts w:cstheme="minorHAnsi"/>
                <w:noProof/>
                <w:color w:val="000000" w:themeColor="text1"/>
              </w:rPr>
              <w:t>[30]</w:t>
            </w:r>
            <w:r>
              <w:rPr>
                <w:rFonts w:cstheme="minorHAnsi"/>
                <w:color w:val="000000" w:themeColor="text1"/>
              </w:rPr>
              <w:fldChar w:fldCharType="end"/>
            </w:r>
          </w:p>
        </w:tc>
      </w:tr>
      <w:tr w:rsidR="00E33E1D" w14:paraId="041DC701" w14:textId="77777777" w:rsidTr="00E33E1D">
        <w:tc>
          <w:tcPr>
            <w:tcW w:w="2109" w:type="dxa"/>
          </w:tcPr>
          <w:p w14:paraId="4A1933A0" w14:textId="512B2BCA" w:rsidR="00CF69B7" w:rsidRDefault="00CF69B7" w:rsidP="00CF69B7">
            <w:pPr>
              <w:rPr>
                <w:rFonts w:cstheme="minorHAnsi"/>
                <w:color w:val="000000" w:themeColor="text1"/>
              </w:rPr>
            </w:pPr>
            <w:r w:rsidRPr="00282991">
              <w:rPr>
                <w:rFonts w:ascii="Arial" w:hAnsi="Arial" w:cs="Arial"/>
                <w:b/>
                <w:bCs/>
                <w:sz w:val="20"/>
                <w:szCs w:val="20"/>
              </w:rPr>
              <w:t>TIGACT01</w:t>
            </w:r>
            <w:r w:rsidRPr="00282991">
              <w:rPr>
                <w:rFonts w:ascii="Arial" w:hAnsi="Arial" w:cs="Arial"/>
                <w:bCs/>
                <w:sz w:val="20"/>
                <w:szCs w:val="20"/>
              </w:rPr>
              <w:t xml:space="preserve">- RCT of </w:t>
            </w:r>
            <w:proofErr w:type="spellStart"/>
            <w:r w:rsidRPr="00282991">
              <w:rPr>
                <w:rFonts w:ascii="Arial" w:hAnsi="Arial" w:cs="Arial"/>
                <w:bCs/>
                <w:sz w:val="20"/>
                <w:szCs w:val="20"/>
              </w:rPr>
              <w:t>ChondroCelect</w:t>
            </w:r>
            <w:proofErr w:type="spellEnd"/>
            <w:r w:rsidRPr="00282991">
              <w:rPr>
                <w:rFonts w:ascii="Arial" w:hAnsi="Arial" w:cs="Arial"/>
                <w:bCs/>
                <w:sz w:val="20"/>
                <w:szCs w:val="20"/>
              </w:rPr>
              <w:t>® (in an ACI Procedure) vs</w:t>
            </w:r>
            <w:r>
              <w:rPr>
                <w:rFonts w:ascii="Arial" w:hAnsi="Arial" w:cs="Arial"/>
                <w:bCs/>
                <w:sz w:val="20"/>
                <w:szCs w:val="20"/>
              </w:rPr>
              <w:t>.</w:t>
            </w:r>
            <w:r w:rsidRPr="00282991">
              <w:rPr>
                <w:rFonts w:ascii="Arial" w:hAnsi="Arial" w:cs="Arial"/>
                <w:bCs/>
                <w:sz w:val="20"/>
                <w:szCs w:val="20"/>
              </w:rPr>
              <w:t xml:space="preserve"> Microfracture in the Repair of Cartilage Defects of the Knee</w:t>
            </w:r>
          </w:p>
        </w:tc>
        <w:tc>
          <w:tcPr>
            <w:tcW w:w="2109" w:type="dxa"/>
          </w:tcPr>
          <w:p w14:paraId="43DE708B" w14:textId="003BBE87" w:rsidR="00CF69B7" w:rsidRDefault="00CF69B7" w:rsidP="00A301F8">
            <w:pPr>
              <w:jc w:val="center"/>
              <w:rPr>
                <w:rFonts w:cstheme="minorHAnsi"/>
                <w:color w:val="000000" w:themeColor="text1"/>
              </w:rPr>
            </w:pPr>
            <w:r w:rsidRPr="00282991">
              <w:rPr>
                <w:rFonts w:ascii="Arial" w:hAnsi="Arial" w:cs="Arial"/>
                <w:sz w:val="20"/>
                <w:szCs w:val="20"/>
              </w:rPr>
              <w:t>NCTC00414700</w:t>
            </w:r>
          </w:p>
        </w:tc>
        <w:tc>
          <w:tcPr>
            <w:tcW w:w="2109" w:type="dxa"/>
          </w:tcPr>
          <w:p w14:paraId="0F08E1DD" w14:textId="77777777" w:rsidR="00CF69B7" w:rsidRPr="00282991" w:rsidRDefault="00CF69B7" w:rsidP="00A301F8">
            <w:pPr>
              <w:rPr>
                <w:rFonts w:ascii="Arial" w:eastAsia="Times New Roman" w:hAnsi="Arial" w:cs="Arial"/>
                <w:i/>
                <w:iCs/>
                <w:color w:val="1F3763" w:themeColor="accent1" w:themeShade="7F"/>
                <w:sz w:val="20"/>
                <w:szCs w:val="20"/>
                <w:lang w:eastAsia="en-US"/>
              </w:rPr>
            </w:pPr>
            <w:proofErr w:type="spellStart"/>
            <w:r w:rsidRPr="00282991">
              <w:rPr>
                <w:rFonts w:ascii="Arial" w:eastAsia="Times New Roman" w:hAnsi="Arial" w:cs="Arial"/>
                <w:color w:val="000000"/>
                <w:sz w:val="20"/>
                <w:szCs w:val="20"/>
                <w:shd w:val="clear" w:color="auto" w:fill="FFFFFF"/>
                <w:lang w:eastAsia="en-US"/>
              </w:rPr>
              <w:t>ChondroCelect</w:t>
            </w:r>
            <w:proofErr w:type="spellEnd"/>
            <w:r>
              <w:rPr>
                <w:rFonts w:ascii="Arial" w:eastAsia="Times New Roman" w:hAnsi="Arial" w:cs="Arial"/>
                <w:color w:val="000000"/>
                <w:sz w:val="20"/>
                <w:szCs w:val="20"/>
                <w:shd w:val="clear" w:color="auto" w:fill="FFFFFF"/>
                <w:lang w:eastAsia="en-US"/>
              </w:rPr>
              <w:t>®</w:t>
            </w:r>
            <w:r w:rsidRPr="00282991">
              <w:rPr>
                <w:rFonts w:ascii="Arial" w:eastAsia="Times New Roman" w:hAnsi="Arial" w:cs="Arial"/>
                <w:color w:val="000000"/>
                <w:sz w:val="20"/>
                <w:szCs w:val="20"/>
                <w:shd w:val="clear" w:color="auto" w:fill="FFFFFF"/>
                <w:lang w:eastAsia="en-US"/>
              </w:rPr>
              <w:t xml:space="preserve"> implantation Procedure (ACI) vs. Microfracture</w:t>
            </w:r>
          </w:p>
          <w:p w14:paraId="47906228" w14:textId="77777777" w:rsidR="00CF69B7" w:rsidRDefault="00CF69B7" w:rsidP="00CF69B7">
            <w:pPr>
              <w:rPr>
                <w:rFonts w:cstheme="minorHAnsi"/>
                <w:color w:val="000000" w:themeColor="text1"/>
              </w:rPr>
            </w:pPr>
          </w:p>
        </w:tc>
        <w:tc>
          <w:tcPr>
            <w:tcW w:w="2110" w:type="dxa"/>
          </w:tcPr>
          <w:p w14:paraId="09127452" w14:textId="62CDA431" w:rsidR="00CF69B7" w:rsidRDefault="00CF69B7" w:rsidP="00E33E1D">
            <w:pPr>
              <w:jc w:val="center"/>
              <w:rPr>
                <w:rFonts w:cstheme="minorHAnsi"/>
                <w:color w:val="000000" w:themeColor="text1"/>
              </w:rPr>
            </w:pPr>
            <w:r w:rsidRPr="00282991">
              <w:rPr>
                <w:rFonts w:ascii="Arial" w:hAnsi="Arial" w:cs="Arial"/>
                <w:sz w:val="20"/>
                <w:szCs w:val="20"/>
              </w:rPr>
              <w:t>118</w:t>
            </w:r>
          </w:p>
        </w:tc>
        <w:tc>
          <w:tcPr>
            <w:tcW w:w="2110" w:type="dxa"/>
          </w:tcPr>
          <w:p w14:paraId="240534D3" w14:textId="0620C9E5" w:rsidR="00CF69B7" w:rsidRDefault="00CF69B7" w:rsidP="00E33E1D">
            <w:pPr>
              <w:jc w:val="center"/>
              <w:rPr>
                <w:rFonts w:cstheme="minorHAnsi"/>
                <w:color w:val="000000" w:themeColor="text1"/>
              </w:rPr>
            </w:pPr>
            <w:r w:rsidRPr="00282991">
              <w:rPr>
                <w:rFonts w:ascii="Arial" w:hAnsi="Arial" w:cs="Arial"/>
                <w:sz w:val="20"/>
                <w:szCs w:val="20"/>
              </w:rPr>
              <w:t>18-50</w:t>
            </w:r>
          </w:p>
        </w:tc>
        <w:tc>
          <w:tcPr>
            <w:tcW w:w="2110" w:type="dxa"/>
          </w:tcPr>
          <w:p w14:paraId="32EE16EE" w14:textId="77777777" w:rsidR="00CF69B7" w:rsidRPr="00282991" w:rsidRDefault="00CF69B7" w:rsidP="00E33E1D">
            <w:pPr>
              <w:jc w:val="center"/>
              <w:rPr>
                <w:rFonts w:ascii="Arial" w:hAnsi="Arial" w:cs="Arial"/>
                <w:sz w:val="20"/>
                <w:szCs w:val="20"/>
              </w:rPr>
            </w:pPr>
            <w:r w:rsidRPr="00282991">
              <w:rPr>
                <w:rFonts w:ascii="Arial" w:hAnsi="Arial" w:cs="Arial"/>
                <w:sz w:val="20"/>
                <w:szCs w:val="20"/>
              </w:rPr>
              <w:t>Belgium,</w:t>
            </w:r>
          </w:p>
          <w:p w14:paraId="72F27FE6" w14:textId="77777777" w:rsidR="00CF69B7" w:rsidRPr="00282991" w:rsidRDefault="00CF69B7" w:rsidP="00E33E1D">
            <w:pPr>
              <w:jc w:val="center"/>
              <w:rPr>
                <w:rFonts w:ascii="Arial" w:hAnsi="Arial" w:cs="Arial"/>
                <w:sz w:val="20"/>
                <w:szCs w:val="20"/>
              </w:rPr>
            </w:pPr>
            <w:r w:rsidRPr="00282991">
              <w:rPr>
                <w:rFonts w:ascii="Arial" w:hAnsi="Arial" w:cs="Arial"/>
                <w:sz w:val="20"/>
                <w:szCs w:val="20"/>
              </w:rPr>
              <w:t>Croatia,</w:t>
            </w:r>
          </w:p>
          <w:p w14:paraId="5C2199C8" w14:textId="77777777" w:rsidR="00CF69B7" w:rsidRPr="00282991" w:rsidRDefault="00CF69B7" w:rsidP="00E33E1D">
            <w:pPr>
              <w:jc w:val="center"/>
              <w:rPr>
                <w:rFonts w:ascii="Arial" w:hAnsi="Arial" w:cs="Arial"/>
                <w:sz w:val="20"/>
                <w:szCs w:val="20"/>
              </w:rPr>
            </w:pPr>
            <w:r w:rsidRPr="00282991">
              <w:rPr>
                <w:rFonts w:ascii="Arial" w:hAnsi="Arial" w:cs="Arial"/>
                <w:sz w:val="20"/>
                <w:szCs w:val="20"/>
              </w:rPr>
              <w:t>Germany,</w:t>
            </w:r>
          </w:p>
          <w:p w14:paraId="76C83D9E" w14:textId="101577FC" w:rsidR="00CF69B7" w:rsidRDefault="00CF69B7" w:rsidP="00E33E1D">
            <w:pPr>
              <w:jc w:val="center"/>
              <w:rPr>
                <w:rFonts w:cstheme="minorHAnsi"/>
                <w:color w:val="000000" w:themeColor="text1"/>
              </w:rPr>
            </w:pPr>
            <w:r w:rsidRPr="00282991">
              <w:rPr>
                <w:rFonts w:ascii="Arial" w:hAnsi="Arial" w:cs="Arial"/>
                <w:sz w:val="20"/>
                <w:szCs w:val="20"/>
              </w:rPr>
              <w:t>Netherlands</w:t>
            </w:r>
          </w:p>
        </w:tc>
        <w:tc>
          <w:tcPr>
            <w:tcW w:w="2110" w:type="dxa"/>
          </w:tcPr>
          <w:p w14:paraId="7AF0D4B9" w14:textId="7631ED72" w:rsidR="00CF69B7" w:rsidRDefault="00CF69B7" w:rsidP="00E33E1D">
            <w:pPr>
              <w:jc w:val="center"/>
              <w:rPr>
                <w:rFonts w:cstheme="minorHAnsi"/>
                <w:color w:val="000000" w:themeColor="text1"/>
              </w:rPr>
            </w:pPr>
            <w:r>
              <w:rPr>
                <w:rFonts w:cstheme="minorHAnsi"/>
                <w:color w:val="000000" w:themeColor="text1"/>
              </w:rPr>
              <w:fldChar w:fldCharType="begin" w:fldLock="1"/>
            </w:r>
            <w:r w:rsidR="00C8414E">
              <w:rPr>
                <w:rFonts w:cstheme="minorHAnsi"/>
                <w:color w:val="000000" w:themeColor="text1"/>
              </w:rPr>
              <w:instrText>ADDIN CSL_CITATION {"citationItems":[{"id":"ITEM-1","itemData":{"ISBN":"0363546507311","author":[{"dropping-particle":"","family":"Saris","given":"F","non-dropping-particle":"","parse-names":false,"suffix":""},{"dropping-particle":"","family":"Victor","given":"Jan","non-dropping-particle":"","parse-names":false,"suffix":""},{"dropping-particle":"","family":"Haspl","given":"Miroslav","non-dropping-particle":"","parse-names":false,"suffix":""}],"id":"ITEM-1","issue":"2","issued":{"date-parts":[["2008"]]},"page":"235-246","title":"Results in Better Structural Repair When Treating Symptomatic Cartilage Defects of the Knee in a Randomized Controlled Trial","type":"article-journal","volume":"36"},"uris":["http://www.mendeley.com/documents/?uuid=264f3de6-b4ef-4088-ad1e-38b145e39d70"]}],"mendeley":{"formattedCitation":"[94]","plainTextFormattedCitation":"[94]","previouslyFormattedCitation":"[93]"},"properties":{"noteIndex":0},"schema":"https://github.com/citation-style-language/schema/raw/master/csl-citation.json"}</w:instrText>
            </w:r>
            <w:r>
              <w:rPr>
                <w:rFonts w:cstheme="minorHAnsi"/>
                <w:color w:val="000000" w:themeColor="text1"/>
              </w:rPr>
              <w:fldChar w:fldCharType="separate"/>
            </w:r>
            <w:r w:rsidR="00C8414E" w:rsidRPr="00C8414E">
              <w:rPr>
                <w:rFonts w:cstheme="minorHAnsi"/>
                <w:noProof/>
                <w:color w:val="000000" w:themeColor="text1"/>
              </w:rPr>
              <w:t>[94]</w:t>
            </w:r>
            <w:r>
              <w:rPr>
                <w:rFonts w:cstheme="minorHAnsi"/>
                <w:color w:val="000000" w:themeColor="text1"/>
              </w:rPr>
              <w:fldChar w:fldCharType="end"/>
            </w:r>
          </w:p>
        </w:tc>
      </w:tr>
      <w:tr w:rsidR="00E33E1D" w14:paraId="284C4AA8" w14:textId="77777777" w:rsidTr="00E33E1D">
        <w:tc>
          <w:tcPr>
            <w:tcW w:w="2109" w:type="dxa"/>
          </w:tcPr>
          <w:p w14:paraId="05682657" w14:textId="22A8A85C" w:rsidR="00CF69B7" w:rsidRDefault="00CF69B7" w:rsidP="00CF69B7">
            <w:pPr>
              <w:rPr>
                <w:rFonts w:cstheme="minorHAnsi"/>
                <w:color w:val="000000" w:themeColor="text1"/>
              </w:rPr>
            </w:pPr>
            <w:r w:rsidRPr="00282991">
              <w:rPr>
                <w:rFonts w:ascii="Arial" w:eastAsia="Times New Roman" w:hAnsi="Arial" w:cs="Arial"/>
                <w:color w:val="000000"/>
                <w:sz w:val="20"/>
                <w:szCs w:val="20"/>
                <w:shd w:val="clear" w:color="auto" w:fill="FFFFFF"/>
                <w:lang w:eastAsia="en-US"/>
              </w:rPr>
              <w:t xml:space="preserve">An Investigational Clinical Trial for the Safety and Efficacy Evaluation of </w:t>
            </w:r>
            <w:proofErr w:type="spellStart"/>
            <w:r w:rsidRPr="00282991">
              <w:rPr>
                <w:rFonts w:ascii="Arial" w:eastAsia="Times New Roman" w:hAnsi="Arial" w:cs="Arial"/>
                <w:color w:val="000000"/>
                <w:sz w:val="20"/>
                <w:szCs w:val="20"/>
                <w:shd w:val="clear" w:color="auto" w:fill="FFFFFF"/>
                <w:lang w:eastAsia="en-US"/>
              </w:rPr>
              <w:t>Chondron</w:t>
            </w:r>
            <w:r>
              <w:rPr>
                <w:rFonts w:ascii="Arial" w:eastAsia="Times New Roman" w:hAnsi="Arial" w:cs="Arial"/>
                <w:color w:val="000000"/>
                <w:sz w:val="20"/>
                <w:szCs w:val="20"/>
                <w:shd w:val="clear" w:color="auto" w:fill="FFFFFF"/>
                <w:vertAlign w:val="superscript"/>
                <w:lang w:eastAsia="en-US"/>
              </w:rPr>
              <w:t>TM</w:t>
            </w:r>
            <w:proofErr w:type="spellEnd"/>
            <w:r>
              <w:rPr>
                <w:rFonts w:ascii="Arial" w:eastAsia="Times New Roman" w:hAnsi="Arial" w:cs="Arial"/>
                <w:color w:val="000000"/>
                <w:sz w:val="20"/>
                <w:szCs w:val="20"/>
                <w:shd w:val="clear" w:color="auto" w:fill="FFFFFF"/>
                <w:lang w:eastAsia="en-US"/>
              </w:rPr>
              <w:t xml:space="preserve"> </w:t>
            </w:r>
            <w:r w:rsidRPr="00282991">
              <w:rPr>
                <w:rFonts w:ascii="Arial" w:eastAsia="Times New Roman" w:hAnsi="Arial" w:cs="Arial"/>
                <w:color w:val="000000"/>
                <w:sz w:val="20"/>
                <w:szCs w:val="20"/>
                <w:shd w:val="clear" w:color="auto" w:fill="FFFFFF"/>
                <w:lang w:eastAsia="en-US"/>
              </w:rPr>
              <w:t>(Autologous Cultured Chondrocyte)</w:t>
            </w:r>
            <w:r>
              <w:rPr>
                <w:rFonts w:ascii="Arial" w:eastAsia="Times New Roman" w:hAnsi="Arial" w:cs="Arial"/>
                <w:color w:val="000000"/>
                <w:sz w:val="20"/>
                <w:szCs w:val="20"/>
                <w:shd w:val="clear" w:color="auto" w:fill="FFFFFF"/>
                <w:lang w:eastAsia="en-US"/>
              </w:rPr>
              <w:t xml:space="preserve"> </w:t>
            </w:r>
            <w:r w:rsidRPr="00282991">
              <w:rPr>
                <w:rFonts w:ascii="Arial" w:eastAsia="Times New Roman" w:hAnsi="Arial" w:cs="Arial"/>
                <w:color w:val="000000"/>
                <w:sz w:val="20"/>
                <w:szCs w:val="20"/>
                <w:shd w:val="clear" w:color="auto" w:fill="FFFFFF"/>
                <w:lang w:eastAsia="en-US"/>
              </w:rPr>
              <w:t>Compared</w:t>
            </w:r>
            <w:r>
              <w:rPr>
                <w:rFonts w:ascii="Arial" w:eastAsia="Times New Roman" w:hAnsi="Arial" w:cs="Arial"/>
                <w:color w:val="000000"/>
                <w:sz w:val="20"/>
                <w:szCs w:val="20"/>
                <w:shd w:val="clear" w:color="auto" w:fill="FFFFFF"/>
                <w:lang w:eastAsia="en-US"/>
              </w:rPr>
              <w:t xml:space="preserve"> With Mi</w:t>
            </w:r>
            <w:r w:rsidRPr="00282991">
              <w:rPr>
                <w:rFonts w:ascii="Arial" w:eastAsia="Times New Roman" w:hAnsi="Arial" w:cs="Arial"/>
                <w:color w:val="000000"/>
                <w:sz w:val="20"/>
                <w:szCs w:val="20"/>
                <w:shd w:val="clear" w:color="auto" w:fill="FFFFFF"/>
                <w:lang w:eastAsia="en-US"/>
              </w:rPr>
              <w:t>crofracture Surgery in Subjects With Cartilage</w:t>
            </w:r>
            <w:r>
              <w:rPr>
                <w:rFonts w:ascii="Arial" w:eastAsia="Times New Roman" w:hAnsi="Arial" w:cs="Arial"/>
                <w:color w:val="000000"/>
                <w:sz w:val="20"/>
                <w:szCs w:val="20"/>
                <w:shd w:val="clear" w:color="auto" w:fill="FFFFFF"/>
                <w:lang w:eastAsia="en-US"/>
              </w:rPr>
              <w:t xml:space="preserve"> Defects </w:t>
            </w:r>
            <w:r w:rsidRPr="00282991">
              <w:rPr>
                <w:rFonts w:ascii="Arial" w:eastAsia="Times New Roman" w:hAnsi="Arial" w:cs="Arial"/>
                <w:color w:val="000000"/>
                <w:sz w:val="20"/>
                <w:szCs w:val="20"/>
                <w:shd w:val="clear" w:color="auto" w:fill="FFFFFF"/>
                <w:lang w:eastAsia="en-US"/>
              </w:rPr>
              <w:t>of the Knee Joint</w:t>
            </w:r>
          </w:p>
        </w:tc>
        <w:tc>
          <w:tcPr>
            <w:tcW w:w="2109" w:type="dxa"/>
          </w:tcPr>
          <w:p w14:paraId="3B4F9289" w14:textId="77777777" w:rsidR="00CF69B7" w:rsidRPr="00282991" w:rsidRDefault="00CF69B7" w:rsidP="00CF69B7">
            <w:pPr>
              <w:jc w:val="center"/>
              <w:rPr>
                <w:rFonts w:ascii="Arial" w:eastAsia="Times New Roman" w:hAnsi="Arial" w:cs="Arial"/>
                <w:sz w:val="20"/>
                <w:szCs w:val="20"/>
                <w:lang w:eastAsia="en-US"/>
              </w:rPr>
            </w:pPr>
            <w:r w:rsidRPr="00282991">
              <w:rPr>
                <w:rFonts w:ascii="Arial" w:eastAsia="Times New Roman" w:hAnsi="Arial" w:cs="Arial"/>
                <w:color w:val="000000"/>
                <w:sz w:val="20"/>
                <w:szCs w:val="20"/>
                <w:shd w:val="clear" w:color="auto" w:fill="FFFFFF"/>
                <w:lang w:eastAsia="en-US"/>
              </w:rPr>
              <w:t>NCT02524509</w:t>
            </w:r>
          </w:p>
          <w:p w14:paraId="07939B32" w14:textId="77777777" w:rsidR="00CF69B7" w:rsidRDefault="00CF69B7" w:rsidP="00CF69B7">
            <w:pPr>
              <w:rPr>
                <w:rFonts w:cstheme="minorHAnsi"/>
                <w:color w:val="000000" w:themeColor="text1"/>
              </w:rPr>
            </w:pPr>
          </w:p>
        </w:tc>
        <w:tc>
          <w:tcPr>
            <w:tcW w:w="2109" w:type="dxa"/>
          </w:tcPr>
          <w:p w14:paraId="44B57A7F" w14:textId="76B565B0" w:rsidR="00CF69B7" w:rsidRDefault="00CF69B7" w:rsidP="00CF69B7">
            <w:pPr>
              <w:rPr>
                <w:rFonts w:cstheme="minorHAnsi"/>
                <w:color w:val="000000" w:themeColor="text1"/>
              </w:rPr>
            </w:pPr>
            <w:proofErr w:type="spellStart"/>
            <w:r w:rsidRPr="00282991">
              <w:rPr>
                <w:rFonts w:ascii="Arial" w:eastAsia="Times New Roman" w:hAnsi="Arial" w:cs="Arial"/>
                <w:color w:val="000000"/>
                <w:sz w:val="20"/>
                <w:szCs w:val="20"/>
                <w:shd w:val="clear" w:color="auto" w:fill="FFFFFF"/>
                <w:lang w:eastAsia="en-US"/>
              </w:rPr>
              <w:t>Chondron</w:t>
            </w:r>
            <w:r>
              <w:rPr>
                <w:rFonts w:ascii="Arial" w:eastAsia="Times New Roman" w:hAnsi="Arial" w:cs="Arial"/>
                <w:color w:val="000000"/>
                <w:sz w:val="20"/>
                <w:szCs w:val="20"/>
                <w:shd w:val="clear" w:color="auto" w:fill="FFFFFF"/>
                <w:vertAlign w:val="superscript"/>
                <w:lang w:eastAsia="en-US"/>
              </w:rPr>
              <w:t>TM</w:t>
            </w:r>
            <w:proofErr w:type="spellEnd"/>
            <w:r w:rsidRPr="00282991">
              <w:rPr>
                <w:rFonts w:ascii="Arial" w:eastAsia="Times New Roman" w:hAnsi="Arial" w:cs="Arial"/>
                <w:color w:val="000000"/>
                <w:sz w:val="20"/>
                <w:szCs w:val="20"/>
                <w:shd w:val="clear" w:color="auto" w:fill="FFFFFF"/>
                <w:lang w:eastAsia="en-US"/>
              </w:rPr>
              <w:t xml:space="preserve"> (</w:t>
            </w:r>
            <w:r>
              <w:rPr>
                <w:rFonts w:ascii="Arial" w:eastAsia="Times New Roman" w:hAnsi="Arial" w:cs="Arial"/>
                <w:color w:val="000000"/>
                <w:sz w:val="20"/>
                <w:szCs w:val="20"/>
                <w:shd w:val="clear" w:color="auto" w:fill="FFFFFF"/>
                <w:lang w:eastAsia="en-US"/>
              </w:rPr>
              <w:t xml:space="preserve">gel type ACI) </w:t>
            </w:r>
            <w:r w:rsidRPr="00282991">
              <w:rPr>
                <w:rFonts w:ascii="Arial" w:eastAsia="Times New Roman" w:hAnsi="Arial" w:cs="Arial"/>
                <w:color w:val="000000"/>
                <w:sz w:val="20"/>
                <w:szCs w:val="20"/>
                <w:shd w:val="clear" w:color="auto" w:fill="FFFFFF"/>
                <w:lang w:eastAsia="en-US"/>
              </w:rPr>
              <w:t>vs microfracture</w:t>
            </w:r>
          </w:p>
        </w:tc>
        <w:tc>
          <w:tcPr>
            <w:tcW w:w="2110" w:type="dxa"/>
          </w:tcPr>
          <w:p w14:paraId="01292FDC" w14:textId="280AFB90" w:rsidR="00CF69B7" w:rsidRDefault="00CF69B7" w:rsidP="00E33E1D">
            <w:pPr>
              <w:jc w:val="center"/>
              <w:rPr>
                <w:rFonts w:cstheme="minorHAnsi"/>
                <w:color w:val="000000" w:themeColor="text1"/>
              </w:rPr>
            </w:pPr>
            <w:r w:rsidRPr="00282991">
              <w:rPr>
                <w:rFonts w:ascii="Arial" w:hAnsi="Arial" w:cs="Arial"/>
                <w:sz w:val="20"/>
                <w:szCs w:val="20"/>
              </w:rPr>
              <w:t>50</w:t>
            </w:r>
          </w:p>
        </w:tc>
        <w:tc>
          <w:tcPr>
            <w:tcW w:w="2110" w:type="dxa"/>
          </w:tcPr>
          <w:p w14:paraId="241DB69B" w14:textId="48618912" w:rsidR="00CF69B7" w:rsidRDefault="00CF69B7" w:rsidP="00E33E1D">
            <w:pPr>
              <w:jc w:val="center"/>
              <w:rPr>
                <w:rFonts w:cstheme="minorHAnsi"/>
                <w:color w:val="000000" w:themeColor="text1"/>
              </w:rPr>
            </w:pPr>
            <w:r w:rsidRPr="00282991">
              <w:rPr>
                <w:rFonts w:ascii="Arial" w:hAnsi="Arial" w:cs="Arial"/>
                <w:sz w:val="20"/>
                <w:szCs w:val="20"/>
              </w:rPr>
              <w:t>Any</w:t>
            </w:r>
          </w:p>
        </w:tc>
        <w:tc>
          <w:tcPr>
            <w:tcW w:w="2110" w:type="dxa"/>
          </w:tcPr>
          <w:p w14:paraId="22F32E2E" w14:textId="60D4557F" w:rsidR="00CF69B7" w:rsidRDefault="00CF69B7" w:rsidP="00E33E1D">
            <w:pPr>
              <w:jc w:val="center"/>
              <w:rPr>
                <w:rFonts w:cstheme="minorHAnsi"/>
                <w:color w:val="000000" w:themeColor="text1"/>
              </w:rPr>
            </w:pPr>
            <w:r w:rsidRPr="00282991">
              <w:rPr>
                <w:rFonts w:ascii="Arial" w:eastAsia="Times New Roman" w:hAnsi="Arial" w:cs="Arial"/>
                <w:color w:val="000000"/>
                <w:sz w:val="20"/>
                <w:szCs w:val="20"/>
                <w:shd w:val="clear" w:color="auto" w:fill="FFFFFF"/>
                <w:lang w:eastAsia="en-US"/>
              </w:rPr>
              <w:t>Korea</w:t>
            </w:r>
          </w:p>
        </w:tc>
        <w:tc>
          <w:tcPr>
            <w:tcW w:w="2110" w:type="dxa"/>
          </w:tcPr>
          <w:p w14:paraId="663F5FD5" w14:textId="55452A4A" w:rsidR="00CF69B7" w:rsidRDefault="00CF69B7" w:rsidP="00E33E1D">
            <w:pPr>
              <w:jc w:val="center"/>
              <w:rPr>
                <w:rFonts w:cstheme="minorHAnsi"/>
                <w:color w:val="000000" w:themeColor="text1"/>
              </w:rPr>
            </w:pPr>
            <w:r>
              <w:rPr>
                <w:rFonts w:cstheme="minorHAnsi"/>
                <w:color w:val="000000" w:themeColor="text1"/>
              </w:rPr>
              <w:fldChar w:fldCharType="begin" w:fldLock="1"/>
            </w:r>
            <w:r w:rsidR="00C8414E">
              <w:rPr>
                <w:rFonts w:cstheme="minorHAnsi"/>
                <w:color w:val="000000" w:themeColor="text1"/>
              </w:rPr>
              <w:instrText>ADDIN CSL_CITATION {"citationItems":[{"id":"ITEM-1","itemData":{"DOI":"10.1186/1471-2474-11-103","ISSN":"14712474","PMID":"20507640","abstract":"Background. Gel-type autologous chondrocyte (Chondron) implantations have been used for several years without using periosteum or membrane. This study involves evaluations of the clinical results of Chondron at many clinical centers at various time points during the postoperative patient follow-up. Methods. Data from 98 patients with articular cartilage injury of the knee joint and who underwent Chondron implantation at ten Korean hospitals between January 2005 and November 2008, were included and were divided into two groups based on the patient follow-up period, i.e. 13</w:instrText>
            </w:r>
            <w:r w:rsidR="00C8414E">
              <w:rPr>
                <w:rFonts w:ascii="Bradley Hand Bold" w:hAnsi="Bradley Hand Bold" w:cs="Bradley Hand Bold"/>
                <w:color w:val="000000" w:themeColor="text1"/>
              </w:rPr>
              <w:instrText>∼</w:instrText>
            </w:r>
            <w:r w:rsidR="00C8414E">
              <w:rPr>
                <w:rFonts w:cstheme="minorHAnsi"/>
                <w:color w:val="000000" w:themeColor="text1"/>
              </w:rPr>
              <w:instrText>24-month follow-up and greater than 25-month follow-up. The telephone Knee Society Score obtained during telephone interviews with patients, was used as the evaluation tool. Results. On the tKSS-A (telephone Knee Society Score-A), the score improved from 43.52 20.20 to 89.71 13.69 (P &lt; 0.05), and on the tKSS-B (telephone Knee Society Score-B), the score improved from 50.66 20.05 to 89.38 15.76 (P &lt; 0.05). The total improvement was from 94.18 31.43 to 179.10 24.69 (P &lt; 0.05). Conclusion. Gel-type autologous chondrocyte implantation for chondral knee defects appears to be a safe and effective method for both decreasing pain and improving knee function. © 2010 Choi et al; licensee BioMed Central Ltd.","author":[{"dropping-particle":"","family":"Choi","given":"Nam Yong","non-dropping-particle":"","parse-names":false,"suffix":""},{"dropping-particle":"","family":"Kim","given":"Byoung Woo","non-dropping-particle":"","parse-names":false,"suffix":""},{"dropping-particle":"","family":"Yeo","given":"Woo Jin","non-dropping-particle":"","parse-names":false,"suffix":""},{"dropping-particle":"","family":"Kim","given":"Haeng Boo","non-dropping-particle":"","parse-names":false,"suffix":""},{"dropping-particle":"","family":"Suh","given":"Dong Sam","non-dropping-particle":"","parse-names":false,"suffix":""},{"dropping-particle":"","family":"Kim","given":"Jin Soo","non-dropping-particle":"","parse-names":false,"suffix":""},{"dropping-particle":"","family":"Kim","given":"Yoon Sik","non-dropping-particle":"","parse-names":false,"suffix":""},{"dropping-particle":"","family":"Seo","given":"Yong Ho","non-dropping-particle":"","parse-names":false,"suffix":""},{"dropping-particle":"","family":"Cho","given":"Jea Yeong","non-dropping-particle":"","parse-names":false,"suffix":""},{"dropping-particle":"","family":"Chun","given":"Chung Woo","non-dropping-particle":"","parse-names":false,"suffix":""},{"dropping-particle":"","family":"Park","given":"Hyun Shin","non-dropping-particle":"","parse-names":false,"suffix":""},{"dropping-particle":"","family":"Shetty","given":"Asode Ananthram","non-dropping-particle":"","parse-names":false,"suffix":""},{"dropping-particle":"","family":"Kim","given":"Seok Jung","non-dropping-particle":"","parse-names":false,"suffix":""}],"container-title":"BMC Musculoskeletal Disorders","id":"ITEM-1","issued":{"date-parts":[["2010"]]},"title":"Gel-type autologous chondrocyte (Chondron) implantation for treatment of articular cartilage defects of the knee","type":"article-journal","volume":"11"},"uris":["http://www.mendeley.com/documents/?uuid=ebc40aac-d1de-426a-9a59-6d0cef04cc1f"]}],"mendeley":{"formattedCitation":"[95]","plainTextFormattedCitation":"[95]","previouslyFormattedCitation":"[94]"},"properties":{"noteIndex":0},"schema":"https://github.com/citation-style-language/schema/raw/master/csl-citation.json"}</w:instrText>
            </w:r>
            <w:r>
              <w:rPr>
                <w:rFonts w:cstheme="minorHAnsi"/>
                <w:color w:val="000000" w:themeColor="text1"/>
              </w:rPr>
              <w:fldChar w:fldCharType="separate"/>
            </w:r>
            <w:r w:rsidR="00C8414E" w:rsidRPr="00C8414E">
              <w:rPr>
                <w:rFonts w:cstheme="minorHAnsi"/>
                <w:noProof/>
                <w:color w:val="000000" w:themeColor="text1"/>
              </w:rPr>
              <w:t>[95]</w:t>
            </w:r>
            <w:r>
              <w:rPr>
                <w:rFonts w:cstheme="minorHAnsi"/>
                <w:color w:val="000000" w:themeColor="text1"/>
              </w:rPr>
              <w:fldChar w:fldCharType="end"/>
            </w:r>
          </w:p>
        </w:tc>
      </w:tr>
      <w:tr w:rsidR="00E33E1D" w14:paraId="38AEC59D" w14:textId="77777777" w:rsidTr="00E33E1D">
        <w:tc>
          <w:tcPr>
            <w:tcW w:w="2109" w:type="dxa"/>
          </w:tcPr>
          <w:p w14:paraId="11D8C9C7" w14:textId="4CE0E0CC" w:rsidR="00CF69B7" w:rsidRDefault="00CF69B7" w:rsidP="00CF69B7">
            <w:pPr>
              <w:rPr>
                <w:rFonts w:cstheme="minorHAnsi"/>
                <w:color w:val="000000" w:themeColor="text1"/>
              </w:rPr>
            </w:pPr>
            <w:r w:rsidRPr="00282991">
              <w:rPr>
                <w:rFonts w:ascii="Arial" w:eastAsia="Times New Roman" w:hAnsi="Arial" w:cs="Arial"/>
                <w:color w:val="000000"/>
                <w:sz w:val="20"/>
                <w:szCs w:val="20"/>
                <w:shd w:val="clear" w:color="auto" w:fill="FFFFFF"/>
                <w:lang w:eastAsia="en-US"/>
              </w:rPr>
              <w:t>An Investigator Clinical Trial to Observe Effects of CHONDRON (Autologous Chondrocytes) for 12 Months in Patients With Ankle Cartilage</w:t>
            </w:r>
            <w:r>
              <w:rPr>
                <w:rFonts w:ascii="Arial" w:eastAsia="Times New Roman" w:hAnsi="Arial" w:cs="Arial"/>
                <w:color w:val="000000"/>
                <w:sz w:val="20"/>
                <w:szCs w:val="20"/>
                <w:shd w:val="clear" w:color="auto" w:fill="FFFFFF"/>
                <w:lang w:eastAsia="en-US"/>
              </w:rPr>
              <w:t xml:space="preserve"> Defect</w:t>
            </w:r>
          </w:p>
        </w:tc>
        <w:tc>
          <w:tcPr>
            <w:tcW w:w="2109" w:type="dxa"/>
          </w:tcPr>
          <w:p w14:paraId="6A1CCF05" w14:textId="77777777" w:rsidR="00CF69B7" w:rsidRPr="00282991" w:rsidRDefault="00CF69B7" w:rsidP="00CF69B7">
            <w:pPr>
              <w:jc w:val="center"/>
              <w:rPr>
                <w:rFonts w:ascii="Arial" w:eastAsia="Times New Roman" w:hAnsi="Arial" w:cs="Arial"/>
                <w:sz w:val="20"/>
                <w:szCs w:val="20"/>
                <w:lang w:eastAsia="en-US"/>
              </w:rPr>
            </w:pPr>
            <w:r w:rsidRPr="00282991">
              <w:rPr>
                <w:rFonts w:ascii="Arial" w:eastAsia="Times New Roman" w:hAnsi="Arial" w:cs="Arial"/>
                <w:color w:val="000000"/>
                <w:sz w:val="20"/>
                <w:szCs w:val="20"/>
                <w:shd w:val="clear" w:color="auto" w:fill="FFFFFF"/>
                <w:lang w:eastAsia="en-US"/>
              </w:rPr>
              <w:t>NCT01056900</w:t>
            </w:r>
          </w:p>
          <w:p w14:paraId="44C19A5B" w14:textId="77777777" w:rsidR="00CF69B7" w:rsidRDefault="00CF69B7" w:rsidP="00CF69B7">
            <w:pPr>
              <w:rPr>
                <w:rFonts w:cstheme="minorHAnsi"/>
                <w:color w:val="000000" w:themeColor="text1"/>
              </w:rPr>
            </w:pPr>
          </w:p>
        </w:tc>
        <w:tc>
          <w:tcPr>
            <w:tcW w:w="2109" w:type="dxa"/>
          </w:tcPr>
          <w:p w14:paraId="6E3ED5A5" w14:textId="77777777" w:rsidR="00CF69B7" w:rsidRPr="00282991" w:rsidRDefault="00CF69B7" w:rsidP="00A301F8">
            <w:pPr>
              <w:rPr>
                <w:rFonts w:ascii="Arial" w:eastAsia="Times New Roman" w:hAnsi="Arial" w:cs="Arial"/>
                <w:i/>
                <w:iCs/>
                <w:color w:val="1F3763" w:themeColor="accent1" w:themeShade="7F"/>
                <w:sz w:val="20"/>
                <w:szCs w:val="20"/>
                <w:lang w:eastAsia="en-US"/>
              </w:rPr>
            </w:pPr>
            <w:proofErr w:type="spellStart"/>
            <w:r w:rsidRPr="00282991">
              <w:rPr>
                <w:rFonts w:ascii="Arial" w:eastAsia="Times New Roman" w:hAnsi="Arial" w:cs="Arial"/>
                <w:color w:val="000000"/>
                <w:sz w:val="20"/>
                <w:szCs w:val="20"/>
                <w:shd w:val="clear" w:color="auto" w:fill="FFFFFF"/>
                <w:lang w:eastAsia="en-US"/>
              </w:rPr>
              <w:t>Chondron</w:t>
            </w:r>
            <w:r>
              <w:rPr>
                <w:rFonts w:ascii="Arial" w:eastAsia="Times New Roman" w:hAnsi="Arial" w:cs="Arial"/>
                <w:color w:val="000000"/>
                <w:sz w:val="20"/>
                <w:szCs w:val="20"/>
                <w:shd w:val="clear" w:color="auto" w:fill="FFFFFF"/>
                <w:vertAlign w:val="superscript"/>
                <w:lang w:eastAsia="en-US"/>
              </w:rPr>
              <w:t>TM</w:t>
            </w:r>
            <w:proofErr w:type="spellEnd"/>
            <w:r w:rsidRPr="00282991">
              <w:rPr>
                <w:rFonts w:ascii="Arial" w:eastAsia="Times New Roman" w:hAnsi="Arial" w:cs="Arial"/>
                <w:color w:val="000000"/>
                <w:sz w:val="20"/>
                <w:szCs w:val="20"/>
                <w:shd w:val="clear" w:color="auto" w:fill="FFFFFF"/>
                <w:lang w:eastAsia="en-US"/>
              </w:rPr>
              <w:t xml:space="preserve"> (</w:t>
            </w:r>
            <w:r>
              <w:rPr>
                <w:rFonts w:ascii="Arial" w:eastAsia="Times New Roman" w:hAnsi="Arial" w:cs="Arial"/>
                <w:color w:val="000000"/>
                <w:sz w:val="20"/>
                <w:szCs w:val="20"/>
                <w:shd w:val="clear" w:color="auto" w:fill="FFFFFF"/>
                <w:lang w:eastAsia="en-US"/>
              </w:rPr>
              <w:t>gel type ACI)</w:t>
            </w:r>
            <w:r w:rsidRPr="00282991">
              <w:rPr>
                <w:rFonts w:ascii="Arial" w:eastAsia="Times New Roman" w:hAnsi="Arial" w:cs="Arial"/>
                <w:color w:val="000000"/>
                <w:sz w:val="20"/>
                <w:szCs w:val="20"/>
                <w:shd w:val="clear" w:color="auto" w:fill="FFFFFF"/>
                <w:lang w:eastAsia="en-US"/>
              </w:rPr>
              <w:t xml:space="preserve"> in the ankle</w:t>
            </w:r>
          </w:p>
          <w:p w14:paraId="524B5E56" w14:textId="77777777" w:rsidR="00CF69B7" w:rsidRDefault="00CF69B7" w:rsidP="00F53A89">
            <w:pPr>
              <w:rPr>
                <w:rFonts w:cstheme="minorHAnsi"/>
                <w:color w:val="000000" w:themeColor="text1"/>
              </w:rPr>
            </w:pPr>
          </w:p>
        </w:tc>
        <w:tc>
          <w:tcPr>
            <w:tcW w:w="2110" w:type="dxa"/>
          </w:tcPr>
          <w:p w14:paraId="306EFBCF" w14:textId="7B970B2E" w:rsidR="00CF69B7" w:rsidRDefault="00CF69B7" w:rsidP="00E33E1D">
            <w:pPr>
              <w:jc w:val="center"/>
              <w:rPr>
                <w:rFonts w:cstheme="minorHAnsi"/>
                <w:color w:val="000000" w:themeColor="text1"/>
              </w:rPr>
            </w:pPr>
            <w:r w:rsidRPr="00282991">
              <w:rPr>
                <w:rFonts w:ascii="Arial" w:hAnsi="Arial" w:cs="Arial"/>
                <w:sz w:val="20"/>
                <w:szCs w:val="20"/>
              </w:rPr>
              <w:t>127</w:t>
            </w:r>
          </w:p>
        </w:tc>
        <w:tc>
          <w:tcPr>
            <w:tcW w:w="2110" w:type="dxa"/>
          </w:tcPr>
          <w:p w14:paraId="2CBF03A0" w14:textId="6C94E7CF" w:rsidR="00CF69B7" w:rsidRDefault="00CF69B7" w:rsidP="00E33E1D">
            <w:pPr>
              <w:jc w:val="center"/>
              <w:rPr>
                <w:rFonts w:cstheme="minorHAnsi"/>
                <w:color w:val="000000" w:themeColor="text1"/>
              </w:rPr>
            </w:pPr>
            <w:r w:rsidRPr="00282991">
              <w:rPr>
                <w:rFonts w:ascii="Arial" w:hAnsi="Arial" w:cs="Arial"/>
                <w:sz w:val="20"/>
                <w:szCs w:val="20"/>
              </w:rPr>
              <w:t>15-65</w:t>
            </w:r>
          </w:p>
        </w:tc>
        <w:tc>
          <w:tcPr>
            <w:tcW w:w="2110" w:type="dxa"/>
          </w:tcPr>
          <w:p w14:paraId="36FAD948" w14:textId="278DD308" w:rsidR="00CF69B7" w:rsidRDefault="00CF69B7" w:rsidP="00E33E1D">
            <w:pPr>
              <w:jc w:val="center"/>
              <w:rPr>
                <w:rFonts w:cstheme="minorHAnsi"/>
                <w:color w:val="000000" w:themeColor="text1"/>
              </w:rPr>
            </w:pPr>
            <w:r w:rsidRPr="00282991">
              <w:rPr>
                <w:rFonts w:ascii="Arial" w:eastAsia="Times New Roman" w:hAnsi="Arial" w:cs="Arial"/>
                <w:color w:val="000000"/>
                <w:sz w:val="20"/>
                <w:szCs w:val="20"/>
                <w:shd w:val="clear" w:color="auto" w:fill="FFFFFF"/>
                <w:lang w:eastAsia="en-US"/>
              </w:rPr>
              <w:t>Korea</w:t>
            </w:r>
          </w:p>
        </w:tc>
        <w:tc>
          <w:tcPr>
            <w:tcW w:w="2110" w:type="dxa"/>
          </w:tcPr>
          <w:p w14:paraId="506E75EC" w14:textId="46779BFD" w:rsidR="00CF69B7" w:rsidRDefault="00E33E1D" w:rsidP="00E33E1D">
            <w:pPr>
              <w:jc w:val="center"/>
              <w:rPr>
                <w:rFonts w:cstheme="minorHAnsi"/>
                <w:color w:val="000000" w:themeColor="text1"/>
              </w:rPr>
            </w:pPr>
            <w:r>
              <w:rPr>
                <w:rFonts w:cstheme="minorHAnsi"/>
                <w:color w:val="000000" w:themeColor="text1"/>
              </w:rPr>
              <w:fldChar w:fldCharType="begin" w:fldLock="1"/>
            </w:r>
            <w:r w:rsidR="00C8414E">
              <w:rPr>
                <w:rFonts w:cstheme="minorHAnsi"/>
                <w:color w:val="000000" w:themeColor="text1"/>
              </w:rPr>
              <w:instrText>ADDIN CSL_CITATION {"citationItems":[{"id":"ITEM-1","itemData":{"DOI":"10.1007/s00167-012-2096-1","ISSN":"09422056","PMID":"22752415","abstract":"Purpose: This study assessed the clinical results and second-look arthroscopy after fibrin matrix-mixed gel-type autologous chondrocyte implantation to treat osteochondral lesions of the talus. Methods: Chondrocytes were harvested from the cuboid surface of the calcaneus in 38 patients and cultured, and gel-type autologous chondrocyte implantation was performed with or without medial malleolar osteotomy. Preoperative American orthopedic foot and ankle society ankle-hind foot scores, visual analogue score, Hannover scoring system and subjective satisfaction were investigated, and the comparison of arthroscopic results (36/38, 94.7 %) and MRI investigation of chondral recovery was performed. Direct tenderness and relationship to the active daily life of the donor site was evaluated. Results: The preoperative mean ankle-hind foot scores (71 ± 14) and Hannover scoring system (65 ± 10) had increased to 91 ± 12 and 93 ± 14, respectively, at 24-month follow-up (p &lt; 0.0001), and the preoperative visual analogue score of 58 mm had decreased to 21 mm (p &lt; 0.0001). Regarding subjective satisfaction, 34 cases (89.5 %) reported excellent, good or fair. Chondral regeneration was analysed by second-look arthroscopy and MRI. Complications included one non-union and two delayed-unions of the osteotomy sites, and 9 ankles (9/31, 29.0 %) sustained damaged medial malleolar cartilage due to osteotomy. Marked symptoms at the biopsy site did not adversely affect the patient's active daily life. Conclusions: Fibrin matrix-mixed gel-type autologous chondrocyte implantation using the cuboid surface of the calcaneus as a donor can be used for treating osteochondral lesions of the talus. Level of evidence: Therapeutic study, prospective case series, Level IV. © 2012 The Author(s).","author":[{"dropping-particle":"","family":"Lee","given":"Kyung Tai","non-dropping-particle":"","parse-names":false,"suffix":""},{"dropping-particle":"","family":"Kim","given":"Jin Su","non-dropping-particle":"","parse-names":false,"suffix":""},{"dropping-particle":"","family":"Young","given":"Ki Won","non-dropping-particle":"","parse-names":false,"suffix":""},{"dropping-particle":"","family":"Lee","given":"Young Koo","non-dropping-particle":"","parse-names":false,"suffix":""},{"dropping-particle":"","family":"Park","given":"Young Uk","non-dropping-particle":"","parse-names":false,"suffix":""},{"dropping-particle":"","family":"Kim","given":"Yong Hoon","non-dropping-particle":"","parse-names":false,"suffix":""},{"dropping-particle":"","family":"Cho","given":"Hun Ki","non-dropping-particle":"","parse-names":false,"suffix":""}],"container-title":"Knee Surgery, Sports Traumatology, Arthroscopy","id":"ITEM-1","issue":"6","issued":{"date-parts":[["2013"]]},"page":"1251-1260","title":"The use of fibrin matrix-mixed gel-type autologous chondrocyte implantation in the treatment for osteochondral lesions of the talus","type":"article-journal","volume":"21"},"uris":["http://www.mendeley.com/documents/?uuid=b8dab4fe-1069-483a-a42e-8da1aa36d94d"]}],"mendeley":{"formattedCitation":"[96]","plainTextFormattedCitation":"[96]","previouslyFormattedCitation":"[95]"},"properties":{"noteIndex":0},"schema":"https://github.com/citation-style-language/schema/raw/master/csl-citation.json"}</w:instrText>
            </w:r>
            <w:r>
              <w:rPr>
                <w:rFonts w:cstheme="minorHAnsi"/>
                <w:color w:val="000000" w:themeColor="text1"/>
              </w:rPr>
              <w:fldChar w:fldCharType="separate"/>
            </w:r>
            <w:r w:rsidR="00C8414E" w:rsidRPr="00C8414E">
              <w:rPr>
                <w:rFonts w:cstheme="minorHAnsi"/>
                <w:noProof/>
                <w:color w:val="000000" w:themeColor="text1"/>
              </w:rPr>
              <w:t>[96]</w:t>
            </w:r>
            <w:r>
              <w:rPr>
                <w:rFonts w:cstheme="minorHAnsi"/>
                <w:color w:val="000000" w:themeColor="text1"/>
              </w:rPr>
              <w:fldChar w:fldCharType="end"/>
            </w:r>
          </w:p>
        </w:tc>
      </w:tr>
      <w:tr w:rsidR="00E33E1D" w14:paraId="06E811B3" w14:textId="77777777" w:rsidTr="00E33E1D">
        <w:tc>
          <w:tcPr>
            <w:tcW w:w="2109" w:type="dxa"/>
          </w:tcPr>
          <w:p w14:paraId="23DFDA93" w14:textId="06E5A3DD" w:rsidR="00CF69B7" w:rsidRDefault="00CF69B7" w:rsidP="00CF69B7">
            <w:pPr>
              <w:rPr>
                <w:rFonts w:cstheme="minorHAnsi"/>
                <w:color w:val="000000" w:themeColor="text1"/>
              </w:rPr>
            </w:pPr>
            <w:r w:rsidRPr="00282991">
              <w:rPr>
                <w:rFonts w:ascii="Arial" w:eastAsia="Times New Roman" w:hAnsi="Arial" w:cs="Arial"/>
                <w:b/>
                <w:bCs/>
                <w:color w:val="000000"/>
                <w:sz w:val="20"/>
                <w:szCs w:val="20"/>
                <w:shd w:val="clear" w:color="auto" w:fill="FFFFFF"/>
                <w:lang w:eastAsia="en-US"/>
              </w:rPr>
              <w:t>CS-ACI</w:t>
            </w:r>
            <w:r w:rsidRPr="00282991">
              <w:rPr>
                <w:rFonts w:ascii="Arial" w:eastAsia="Times New Roman" w:hAnsi="Arial" w:cs="Arial"/>
                <w:bCs/>
                <w:color w:val="000000"/>
                <w:sz w:val="20"/>
                <w:szCs w:val="20"/>
                <w:shd w:val="clear" w:color="auto" w:fill="FFFFFF"/>
                <w:lang w:eastAsia="en-US"/>
              </w:rPr>
              <w:t xml:space="preserve">- Safety and Efficacy Study of Cells Sheet-Autologous Chondrocyte Implantation to </w:t>
            </w:r>
            <w:r w:rsidRPr="00282991">
              <w:rPr>
                <w:rFonts w:ascii="Arial" w:eastAsia="Times New Roman" w:hAnsi="Arial" w:cs="Arial"/>
                <w:bCs/>
                <w:color w:val="000000"/>
                <w:sz w:val="20"/>
                <w:szCs w:val="20"/>
                <w:shd w:val="clear" w:color="auto" w:fill="FFFFFF"/>
                <w:lang w:eastAsia="en-US"/>
              </w:rPr>
              <w:lastRenderedPageBreak/>
              <w:t>Treat Articular Cartilage Defects</w:t>
            </w:r>
          </w:p>
        </w:tc>
        <w:tc>
          <w:tcPr>
            <w:tcW w:w="2109" w:type="dxa"/>
          </w:tcPr>
          <w:p w14:paraId="32CC137A" w14:textId="77777777" w:rsidR="00CF69B7" w:rsidRPr="00282991" w:rsidRDefault="00CF69B7" w:rsidP="00CF69B7">
            <w:pPr>
              <w:jc w:val="center"/>
              <w:rPr>
                <w:rFonts w:ascii="Arial" w:eastAsia="Times New Roman" w:hAnsi="Arial" w:cs="Arial"/>
                <w:sz w:val="20"/>
                <w:szCs w:val="20"/>
                <w:lang w:eastAsia="en-US"/>
              </w:rPr>
            </w:pPr>
            <w:r w:rsidRPr="00282991">
              <w:rPr>
                <w:rFonts w:ascii="Arial" w:eastAsia="Times New Roman" w:hAnsi="Arial" w:cs="Arial"/>
                <w:color w:val="000000"/>
                <w:sz w:val="20"/>
                <w:szCs w:val="20"/>
                <w:shd w:val="clear" w:color="auto" w:fill="FFFFFF"/>
                <w:lang w:eastAsia="en-US"/>
              </w:rPr>
              <w:lastRenderedPageBreak/>
              <w:t>NCT01694823</w:t>
            </w:r>
          </w:p>
          <w:p w14:paraId="5DD0F844" w14:textId="77777777" w:rsidR="00CF69B7" w:rsidRDefault="00CF69B7" w:rsidP="00CF69B7">
            <w:pPr>
              <w:rPr>
                <w:rFonts w:cstheme="minorHAnsi"/>
                <w:color w:val="000000" w:themeColor="text1"/>
              </w:rPr>
            </w:pPr>
          </w:p>
        </w:tc>
        <w:tc>
          <w:tcPr>
            <w:tcW w:w="2109" w:type="dxa"/>
          </w:tcPr>
          <w:p w14:paraId="34D131C1" w14:textId="5A140004" w:rsidR="00CF69B7" w:rsidRDefault="00CF69B7" w:rsidP="00F53A89">
            <w:pPr>
              <w:rPr>
                <w:rFonts w:cstheme="minorHAnsi"/>
                <w:color w:val="000000" w:themeColor="text1"/>
              </w:rPr>
            </w:pPr>
            <w:r w:rsidRPr="00282991">
              <w:rPr>
                <w:rFonts w:ascii="Arial" w:eastAsia="Times New Roman" w:hAnsi="Arial" w:cs="Arial"/>
                <w:color w:val="000000"/>
                <w:sz w:val="20"/>
                <w:szCs w:val="20"/>
                <w:shd w:val="clear" w:color="auto" w:fill="FFFFFF"/>
                <w:lang w:eastAsia="en-US"/>
              </w:rPr>
              <w:t>Culture chondrocyte sheets- phase I and II trial</w:t>
            </w:r>
          </w:p>
        </w:tc>
        <w:tc>
          <w:tcPr>
            <w:tcW w:w="2110" w:type="dxa"/>
          </w:tcPr>
          <w:p w14:paraId="586E85EA" w14:textId="4C518B58" w:rsidR="00CF69B7" w:rsidRDefault="00CF69B7" w:rsidP="00E33E1D">
            <w:pPr>
              <w:jc w:val="center"/>
              <w:rPr>
                <w:rFonts w:cstheme="minorHAnsi"/>
                <w:color w:val="000000" w:themeColor="text1"/>
              </w:rPr>
            </w:pPr>
            <w:r w:rsidRPr="00282991">
              <w:rPr>
                <w:rFonts w:ascii="Arial" w:hAnsi="Arial" w:cs="Arial"/>
                <w:sz w:val="20"/>
                <w:szCs w:val="20"/>
              </w:rPr>
              <w:t>10</w:t>
            </w:r>
          </w:p>
        </w:tc>
        <w:tc>
          <w:tcPr>
            <w:tcW w:w="2110" w:type="dxa"/>
          </w:tcPr>
          <w:p w14:paraId="231442D1" w14:textId="6F5B8C67" w:rsidR="00CF69B7" w:rsidRDefault="00CF69B7" w:rsidP="00E33E1D">
            <w:pPr>
              <w:jc w:val="center"/>
              <w:rPr>
                <w:rFonts w:cstheme="minorHAnsi"/>
                <w:color w:val="000000" w:themeColor="text1"/>
              </w:rPr>
            </w:pPr>
            <w:r w:rsidRPr="00282991">
              <w:rPr>
                <w:rFonts w:ascii="Arial" w:hAnsi="Arial" w:cs="Arial"/>
                <w:sz w:val="20"/>
                <w:szCs w:val="20"/>
              </w:rPr>
              <w:t>18-50</w:t>
            </w:r>
          </w:p>
        </w:tc>
        <w:tc>
          <w:tcPr>
            <w:tcW w:w="2110" w:type="dxa"/>
          </w:tcPr>
          <w:p w14:paraId="5B54197A" w14:textId="262638AA" w:rsidR="00CF69B7" w:rsidRDefault="00CF69B7" w:rsidP="00E33E1D">
            <w:pPr>
              <w:jc w:val="center"/>
              <w:rPr>
                <w:rFonts w:cstheme="minorHAnsi"/>
                <w:color w:val="000000" w:themeColor="text1"/>
              </w:rPr>
            </w:pPr>
            <w:r w:rsidRPr="00282991">
              <w:rPr>
                <w:rFonts w:ascii="Arial" w:eastAsia="Times New Roman" w:hAnsi="Arial" w:cs="Arial"/>
                <w:color w:val="000000"/>
                <w:sz w:val="20"/>
                <w:szCs w:val="20"/>
                <w:shd w:val="clear" w:color="auto" w:fill="FFFFFF"/>
                <w:lang w:eastAsia="en-US"/>
              </w:rPr>
              <w:t>China</w:t>
            </w:r>
          </w:p>
        </w:tc>
        <w:tc>
          <w:tcPr>
            <w:tcW w:w="2110" w:type="dxa"/>
          </w:tcPr>
          <w:p w14:paraId="44623716" w14:textId="2919F8E1" w:rsidR="00CF69B7" w:rsidRDefault="00E33E1D" w:rsidP="00E33E1D">
            <w:pPr>
              <w:jc w:val="center"/>
              <w:rPr>
                <w:rFonts w:cstheme="minorHAnsi"/>
                <w:color w:val="000000" w:themeColor="text1"/>
              </w:rPr>
            </w:pPr>
            <w:r>
              <w:rPr>
                <w:rFonts w:cstheme="minorHAnsi"/>
                <w:color w:val="000000" w:themeColor="text1"/>
              </w:rPr>
              <w:t>N/A</w:t>
            </w:r>
          </w:p>
        </w:tc>
      </w:tr>
      <w:tr w:rsidR="00E33E1D" w14:paraId="46651B4F" w14:textId="77777777" w:rsidTr="00E33E1D">
        <w:tc>
          <w:tcPr>
            <w:tcW w:w="2109" w:type="dxa"/>
          </w:tcPr>
          <w:p w14:paraId="4985BA7E" w14:textId="2FD582D6" w:rsidR="00CF69B7" w:rsidRPr="00282991" w:rsidRDefault="00CF69B7" w:rsidP="00CF69B7">
            <w:pPr>
              <w:rPr>
                <w:rFonts w:ascii="Arial" w:eastAsia="Times New Roman" w:hAnsi="Arial" w:cs="Arial"/>
                <w:b/>
                <w:bCs/>
                <w:color w:val="000000"/>
                <w:sz w:val="20"/>
                <w:szCs w:val="20"/>
                <w:shd w:val="clear" w:color="auto" w:fill="FFFFFF"/>
                <w:lang w:eastAsia="en-US"/>
              </w:rPr>
            </w:pPr>
            <w:r w:rsidRPr="00282991">
              <w:rPr>
                <w:rFonts w:ascii="Arial" w:eastAsia="Times New Roman" w:hAnsi="Arial" w:cs="Arial"/>
                <w:bCs/>
                <w:color w:val="000000"/>
                <w:sz w:val="20"/>
                <w:szCs w:val="20"/>
                <w:shd w:val="clear" w:color="auto" w:fill="FFFFFF"/>
                <w:lang w:eastAsia="en-US"/>
              </w:rPr>
              <w:lastRenderedPageBreak/>
              <w:t xml:space="preserve">Study to Assess the Safety of Treatment of Articular Cartilage Lesions With </w:t>
            </w:r>
            <w:proofErr w:type="spellStart"/>
            <w:r w:rsidRPr="00282991">
              <w:rPr>
                <w:rFonts w:ascii="Arial" w:eastAsia="Times New Roman" w:hAnsi="Arial" w:cs="Arial"/>
                <w:bCs/>
                <w:color w:val="000000"/>
                <w:sz w:val="20"/>
                <w:szCs w:val="20"/>
                <w:shd w:val="clear" w:color="auto" w:fill="FFFFFF"/>
                <w:lang w:eastAsia="en-US"/>
              </w:rPr>
              <w:t>CartiLife</w:t>
            </w:r>
            <w:proofErr w:type="spellEnd"/>
            <w:r w:rsidRPr="00282991">
              <w:rPr>
                <w:rFonts w:ascii="Arial" w:eastAsia="Times New Roman" w:hAnsi="Arial" w:cs="Arial"/>
                <w:bCs/>
                <w:color w:val="000000"/>
                <w:sz w:val="20"/>
                <w:szCs w:val="20"/>
                <w:shd w:val="clear" w:color="auto" w:fill="FFFFFF"/>
                <w:lang w:eastAsia="en-US"/>
              </w:rPr>
              <w:t>®</w:t>
            </w:r>
          </w:p>
        </w:tc>
        <w:tc>
          <w:tcPr>
            <w:tcW w:w="2109" w:type="dxa"/>
          </w:tcPr>
          <w:p w14:paraId="2D091D1E" w14:textId="77777777" w:rsidR="00CF69B7" w:rsidRPr="00282991" w:rsidRDefault="00CF69B7" w:rsidP="00CF69B7">
            <w:pPr>
              <w:jc w:val="center"/>
              <w:rPr>
                <w:rFonts w:ascii="Arial" w:eastAsia="Times New Roman" w:hAnsi="Arial" w:cs="Arial"/>
                <w:sz w:val="20"/>
                <w:szCs w:val="20"/>
                <w:lang w:eastAsia="en-US"/>
              </w:rPr>
            </w:pPr>
            <w:r w:rsidRPr="00282991">
              <w:rPr>
                <w:rFonts w:ascii="Arial" w:eastAsia="Times New Roman" w:hAnsi="Arial" w:cs="Arial"/>
                <w:color w:val="000000"/>
                <w:sz w:val="20"/>
                <w:szCs w:val="20"/>
                <w:shd w:val="clear" w:color="auto" w:fill="FFFFFF"/>
                <w:lang w:eastAsia="en-US"/>
              </w:rPr>
              <w:t>NCT03545269</w:t>
            </w:r>
          </w:p>
          <w:p w14:paraId="2A504080" w14:textId="77777777" w:rsidR="00CF69B7" w:rsidRPr="00282991" w:rsidRDefault="00CF69B7" w:rsidP="00CF69B7">
            <w:pPr>
              <w:jc w:val="center"/>
              <w:rPr>
                <w:rFonts w:ascii="Arial" w:eastAsia="Times New Roman" w:hAnsi="Arial" w:cs="Arial"/>
                <w:color w:val="000000"/>
                <w:sz w:val="20"/>
                <w:szCs w:val="20"/>
                <w:shd w:val="clear" w:color="auto" w:fill="FFFFFF"/>
                <w:lang w:eastAsia="en-US"/>
              </w:rPr>
            </w:pPr>
          </w:p>
        </w:tc>
        <w:tc>
          <w:tcPr>
            <w:tcW w:w="2109" w:type="dxa"/>
          </w:tcPr>
          <w:p w14:paraId="63C74856" w14:textId="51AEC56A" w:rsidR="00CF69B7" w:rsidRPr="00282991" w:rsidRDefault="00CF69B7" w:rsidP="00CF69B7">
            <w:pPr>
              <w:rPr>
                <w:rFonts w:ascii="Arial" w:eastAsia="Times New Roman" w:hAnsi="Arial" w:cs="Arial"/>
                <w:color w:val="000000"/>
                <w:sz w:val="20"/>
                <w:szCs w:val="20"/>
                <w:shd w:val="clear" w:color="auto" w:fill="FFFFFF"/>
                <w:lang w:eastAsia="en-US"/>
              </w:rPr>
            </w:pPr>
            <w:r w:rsidRPr="00282991">
              <w:rPr>
                <w:rFonts w:ascii="Arial" w:eastAsia="Times New Roman" w:hAnsi="Arial" w:cs="Arial"/>
                <w:color w:val="000000"/>
                <w:sz w:val="20"/>
                <w:szCs w:val="20"/>
                <w:shd w:val="clear" w:color="auto" w:fill="FFFFFF"/>
                <w:lang w:eastAsia="en-US"/>
              </w:rPr>
              <w:t>Bead type autologous chondrocytes vs microfracture</w:t>
            </w:r>
          </w:p>
        </w:tc>
        <w:tc>
          <w:tcPr>
            <w:tcW w:w="2110" w:type="dxa"/>
          </w:tcPr>
          <w:p w14:paraId="6F2F0346" w14:textId="38D85238" w:rsidR="00CF69B7" w:rsidRPr="00282991" w:rsidRDefault="00CF69B7" w:rsidP="00E33E1D">
            <w:pPr>
              <w:jc w:val="center"/>
              <w:rPr>
                <w:rFonts w:ascii="Arial" w:hAnsi="Arial" w:cs="Arial"/>
                <w:sz w:val="20"/>
                <w:szCs w:val="20"/>
              </w:rPr>
            </w:pPr>
            <w:r w:rsidRPr="00282991">
              <w:rPr>
                <w:rFonts w:ascii="Arial" w:hAnsi="Arial" w:cs="Arial"/>
                <w:sz w:val="20"/>
                <w:szCs w:val="20"/>
              </w:rPr>
              <w:t>30</w:t>
            </w:r>
          </w:p>
        </w:tc>
        <w:tc>
          <w:tcPr>
            <w:tcW w:w="2110" w:type="dxa"/>
          </w:tcPr>
          <w:p w14:paraId="799D942E" w14:textId="5DD6F899" w:rsidR="00CF69B7" w:rsidRPr="00282991" w:rsidRDefault="00CF69B7" w:rsidP="00E33E1D">
            <w:pPr>
              <w:jc w:val="center"/>
              <w:rPr>
                <w:rFonts w:ascii="Arial" w:hAnsi="Arial" w:cs="Arial"/>
                <w:sz w:val="20"/>
                <w:szCs w:val="20"/>
              </w:rPr>
            </w:pPr>
            <w:r w:rsidRPr="00282991">
              <w:rPr>
                <w:rFonts w:ascii="Arial" w:hAnsi="Arial" w:cs="Arial"/>
                <w:sz w:val="20"/>
                <w:szCs w:val="20"/>
              </w:rPr>
              <w:t>19-65</w:t>
            </w:r>
          </w:p>
        </w:tc>
        <w:tc>
          <w:tcPr>
            <w:tcW w:w="2110" w:type="dxa"/>
          </w:tcPr>
          <w:p w14:paraId="2D4A9D60" w14:textId="1B0BDFA6" w:rsidR="00CF69B7" w:rsidRPr="00282991" w:rsidRDefault="00CF69B7" w:rsidP="00E33E1D">
            <w:pPr>
              <w:jc w:val="center"/>
              <w:rPr>
                <w:rFonts w:ascii="Arial" w:eastAsia="Times New Roman" w:hAnsi="Arial" w:cs="Arial"/>
                <w:color w:val="000000"/>
                <w:sz w:val="20"/>
                <w:szCs w:val="20"/>
                <w:shd w:val="clear" w:color="auto" w:fill="FFFFFF"/>
                <w:lang w:eastAsia="en-US"/>
              </w:rPr>
            </w:pPr>
            <w:r w:rsidRPr="00282991">
              <w:rPr>
                <w:rFonts w:ascii="Arial" w:eastAsia="Times New Roman" w:hAnsi="Arial" w:cs="Arial"/>
                <w:color w:val="000000"/>
                <w:sz w:val="20"/>
                <w:szCs w:val="20"/>
                <w:shd w:val="clear" w:color="auto" w:fill="FFFFFF"/>
                <w:lang w:eastAsia="en-US"/>
              </w:rPr>
              <w:t>South Korea</w:t>
            </w:r>
          </w:p>
        </w:tc>
        <w:tc>
          <w:tcPr>
            <w:tcW w:w="2110" w:type="dxa"/>
          </w:tcPr>
          <w:p w14:paraId="22843EAC" w14:textId="6ECF7056" w:rsidR="00CF69B7" w:rsidRDefault="00E33E1D" w:rsidP="00E33E1D">
            <w:pPr>
              <w:jc w:val="center"/>
              <w:rPr>
                <w:rFonts w:cstheme="minorHAnsi"/>
                <w:color w:val="000000" w:themeColor="text1"/>
              </w:rPr>
            </w:pPr>
            <w:r>
              <w:rPr>
                <w:rFonts w:cstheme="minorHAnsi"/>
                <w:color w:val="000000" w:themeColor="text1"/>
              </w:rPr>
              <w:fldChar w:fldCharType="begin" w:fldLock="1"/>
            </w:r>
            <w:r w:rsidR="00C8414E">
              <w:rPr>
                <w:rFonts w:cstheme="minorHAnsi"/>
                <w:color w:val="000000" w:themeColor="text1"/>
              </w:rPr>
              <w:instrText>ADDIN CSL_CITATION {"citationItems":[{"id":"ITEM-1","itemData":{"DOI":"10.1002/jor.23152","ISSN":"1554527X","PMID":"26742454","abstract":"Numerous surgical techniques have been developed to treat osteochondral defects of the knee. A study reported encouraging outcomes of third-generation autologous chondrocyte implantation achieved using the solid agarose-alginate scaffold Cartipatch®. Whether this scaffold is better than conventional techniques remains unclear. This multicenter randomized controlled trial compared 2-year functional outcomes (IKDC score) after Cartipatch® versus mosaicplasty in patients with isolated symptomatic femoral chondral defects (ICRS III and IV) measuring 2.5-7.5 cm2. In addition, a histological evaluation based on the O'Driscoll score was performed after 2 years. We needed 76 patients to demonstrate an at least 10-point subjective IKDC score difference with α = 5% and 90% power. During the enrolment period, we were able to include 55 patients, 30 of them were allocated at random to Cartipatch® and 25 to mosaicplasty. After 2 years, eight patients had been lost to follow-up, six in the Cartipatch® group, and two in the mosaicplasty group. The baseline characteristics of the two groups were not significantly different. The mean IKDC score and score improvement after 2 years were respectively 73.7 ± 20.1 and 31.8 ± 20.8 with Cartipatch® and 81.5 ± 16.4 and 44.4 ± 15.2 with mosaicplasty. The 12.6-point absolute difference in favor of mosaicplasty is statistically significant. Twelve adverse events were recorded in the Cartipatch® group against six in the mosaicplasty group. After 2 years, functional outcomes were significantly worse after Cartipatch® treatment compared to mosaicplasty for isolated focal osteochondral defects of the femur.","author":[{"dropping-particle":"","family":"Clavé","given":"Arnaud","non-dropping-particle":"","parse-names":false,"suffix":""},{"dropping-particle":"","family":"Potel","given":"Jean François","non-dropping-particle":"","parse-names":false,"suffix":""},{"dropping-particle":"","family":"Servien","given":"Elvire","non-dropping-particle":"","parse-names":false,"suffix":""},{"dropping-particle":"","family":"Neyret","given":"Philippe","non-dropping-particle":"","parse-names":false,"suffix":""},{"dropping-particle":"","family":"Dubrana","given":"Frédéric","non-dropping-particle":"","parse-names":false,"suffix":""},{"dropping-particle":"","family":"Stindel","given":"Eric","non-dropping-particle":"","parse-names":false,"suffix":""}],"container-title":"Journal of Orthopaedic Research","id":"ITEM-1","issue":"4","issued":{"date-parts":[["2016"]]},"page":"658-665","title":"Third-generation autologous chondrocyte implantation versus mosaicplasty for knee cartilage injury: 2-year randomized trial","type":"article-journal","volume":"34"},"uris":["http://www.mendeley.com/documents/?uuid=7bf7f1a6-9498-4bf4-be0f-5207d3e9644d"]}],"mendeley":{"formattedCitation":"[97]","plainTextFormattedCitation":"[97]","previouslyFormattedCitation":"[96]"},"properties":{"noteIndex":0},"schema":"https://github.com/citation-style-language/schema/raw/master/csl-citation.json"}</w:instrText>
            </w:r>
            <w:r>
              <w:rPr>
                <w:rFonts w:cstheme="minorHAnsi"/>
                <w:color w:val="000000" w:themeColor="text1"/>
              </w:rPr>
              <w:fldChar w:fldCharType="separate"/>
            </w:r>
            <w:r w:rsidR="00C8414E" w:rsidRPr="00C8414E">
              <w:rPr>
                <w:rFonts w:cstheme="minorHAnsi"/>
                <w:noProof/>
                <w:color w:val="000000" w:themeColor="text1"/>
              </w:rPr>
              <w:t>[97]</w:t>
            </w:r>
            <w:r>
              <w:rPr>
                <w:rFonts w:cstheme="minorHAnsi"/>
                <w:color w:val="000000" w:themeColor="text1"/>
              </w:rPr>
              <w:fldChar w:fldCharType="end"/>
            </w:r>
          </w:p>
        </w:tc>
      </w:tr>
      <w:tr w:rsidR="00E33E1D" w14:paraId="19FD85A2" w14:textId="77777777" w:rsidTr="00E33E1D">
        <w:tc>
          <w:tcPr>
            <w:tcW w:w="2109" w:type="dxa"/>
          </w:tcPr>
          <w:p w14:paraId="0548F01D" w14:textId="2DFC60FC" w:rsidR="00CF69B7" w:rsidRPr="00282991" w:rsidRDefault="00CF69B7" w:rsidP="00CF69B7">
            <w:pPr>
              <w:rPr>
                <w:rFonts w:ascii="Arial" w:eastAsia="Times New Roman" w:hAnsi="Arial" w:cs="Arial"/>
                <w:bCs/>
                <w:color w:val="000000"/>
                <w:sz w:val="20"/>
                <w:szCs w:val="20"/>
                <w:shd w:val="clear" w:color="auto" w:fill="FFFFFF"/>
                <w:lang w:eastAsia="en-US"/>
              </w:rPr>
            </w:pPr>
            <w:r w:rsidRPr="00282991">
              <w:rPr>
                <w:rFonts w:ascii="Arial" w:eastAsia="Times New Roman" w:hAnsi="Arial" w:cs="Arial"/>
                <w:color w:val="000000"/>
                <w:sz w:val="20"/>
                <w:szCs w:val="20"/>
                <w:shd w:val="clear" w:color="auto" w:fill="FFFFFF"/>
                <w:lang w:eastAsia="en-US"/>
              </w:rPr>
              <w:t xml:space="preserve">Phase 3 Study Comparison of Autologous Chondrocyte Implantation Versus </w:t>
            </w:r>
            <w:proofErr w:type="spellStart"/>
            <w:r w:rsidRPr="00282991">
              <w:rPr>
                <w:rFonts w:ascii="Arial" w:eastAsia="Times New Roman" w:hAnsi="Arial" w:cs="Arial"/>
                <w:color w:val="000000"/>
                <w:sz w:val="20"/>
                <w:szCs w:val="20"/>
                <w:shd w:val="clear" w:color="auto" w:fill="FFFFFF"/>
                <w:lang w:eastAsia="en-US"/>
              </w:rPr>
              <w:t>Mosaicoplasty</w:t>
            </w:r>
            <w:proofErr w:type="spellEnd"/>
          </w:p>
        </w:tc>
        <w:tc>
          <w:tcPr>
            <w:tcW w:w="2109" w:type="dxa"/>
          </w:tcPr>
          <w:p w14:paraId="462161D0" w14:textId="77777777" w:rsidR="00CF69B7" w:rsidRPr="00282991" w:rsidRDefault="00CF69B7" w:rsidP="00CF69B7">
            <w:pPr>
              <w:jc w:val="center"/>
              <w:rPr>
                <w:rFonts w:ascii="Arial" w:eastAsia="Times New Roman" w:hAnsi="Arial" w:cs="Arial"/>
                <w:sz w:val="20"/>
                <w:szCs w:val="20"/>
                <w:lang w:eastAsia="en-US"/>
              </w:rPr>
            </w:pPr>
            <w:r w:rsidRPr="00282991">
              <w:rPr>
                <w:rFonts w:ascii="Arial" w:eastAsia="Times New Roman" w:hAnsi="Arial" w:cs="Arial"/>
                <w:color w:val="000000"/>
                <w:sz w:val="20"/>
                <w:szCs w:val="20"/>
                <w:shd w:val="clear" w:color="auto" w:fill="FFFFFF"/>
                <w:lang w:eastAsia="en-US"/>
              </w:rPr>
              <w:t>NCT00560664</w:t>
            </w:r>
          </w:p>
          <w:p w14:paraId="5A3034BE" w14:textId="77777777" w:rsidR="00CF69B7" w:rsidRPr="00282991" w:rsidRDefault="00CF69B7" w:rsidP="00CF69B7">
            <w:pPr>
              <w:jc w:val="center"/>
              <w:rPr>
                <w:rFonts w:ascii="Arial" w:eastAsia="Times New Roman" w:hAnsi="Arial" w:cs="Arial"/>
                <w:color w:val="000000"/>
                <w:sz w:val="20"/>
                <w:szCs w:val="20"/>
                <w:shd w:val="clear" w:color="auto" w:fill="FFFFFF"/>
                <w:lang w:eastAsia="en-US"/>
              </w:rPr>
            </w:pPr>
          </w:p>
        </w:tc>
        <w:tc>
          <w:tcPr>
            <w:tcW w:w="2109" w:type="dxa"/>
          </w:tcPr>
          <w:p w14:paraId="06643D4F" w14:textId="09B2403B" w:rsidR="00CF69B7" w:rsidRPr="00282991" w:rsidRDefault="00CF69B7" w:rsidP="00CF69B7">
            <w:pPr>
              <w:rPr>
                <w:rFonts w:ascii="Arial" w:eastAsia="Times New Roman" w:hAnsi="Arial" w:cs="Arial"/>
                <w:color w:val="000000"/>
                <w:sz w:val="20"/>
                <w:szCs w:val="20"/>
                <w:shd w:val="clear" w:color="auto" w:fill="FFFFFF"/>
                <w:lang w:eastAsia="en-US"/>
              </w:rPr>
            </w:pPr>
            <w:r w:rsidRPr="00282991">
              <w:rPr>
                <w:rFonts w:ascii="Arial" w:eastAsia="Times New Roman" w:hAnsi="Arial" w:cs="Arial"/>
                <w:color w:val="000000"/>
                <w:sz w:val="20"/>
                <w:szCs w:val="20"/>
                <w:shd w:val="clear" w:color="auto" w:fill="FFFFFF"/>
                <w:lang w:eastAsia="en-US"/>
              </w:rPr>
              <w:t xml:space="preserve">ACI vs </w:t>
            </w:r>
            <w:proofErr w:type="spellStart"/>
            <w:r w:rsidRPr="00282991">
              <w:rPr>
                <w:rFonts w:ascii="Arial" w:eastAsia="Times New Roman" w:hAnsi="Arial" w:cs="Arial"/>
                <w:color w:val="000000"/>
                <w:sz w:val="20"/>
                <w:szCs w:val="20"/>
                <w:shd w:val="clear" w:color="auto" w:fill="FFFFFF"/>
                <w:lang w:eastAsia="en-US"/>
              </w:rPr>
              <w:t>Mosaicoplasty</w:t>
            </w:r>
            <w:proofErr w:type="spellEnd"/>
          </w:p>
        </w:tc>
        <w:tc>
          <w:tcPr>
            <w:tcW w:w="2110" w:type="dxa"/>
          </w:tcPr>
          <w:p w14:paraId="4E90C2D6" w14:textId="1656DED8" w:rsidR="00CF69B7" w:rsidRPr="00282991" w:rsidRDefault="00CF69B7" w:rsidP="00E33E1D">
            <w:pPr>
              <w:jc w:val="center"/>
              <w:rPr>
                <w:rFonts w:ascii="Arial" w:hAnsi="Arial" w:cs="Arial"/>
                <w:sz w:val="20"/>
                <w:szCs w:val="20"/>
              </w:rPr>
            </w:pPr>
            <w:r w:rsidRPr="00282991">
              <w:rPr>
                <w:rFonts w:ascii="Arial" w:hAnsi="Arial" w:cs="Arial"/>
                <w:sz w:val="20"/>
                <w:szCs w:val="20"/>
              </w:rPr>
              <w:t>58</w:t>
            </w:r>
          </w:p>
        </w:tc>
        <w:tc>
          <w:tcPr>
            <w:tcW w:w="2110" w:type="dxa"/>
          </w:tcPr>
          <w:p w14:paraId="228F5BFE" w14:textId="1DAFBBEB" w:rsidR="00CF69B7" w:rsidRPr="00282991" w:rsidRDefault="00CF69B7" w:rsidP="00E33E1D">
            <w:pPr>
              <w:jc w:val="center"/>
              <w:rPr>
                <w:rFonts w:ascii="Arial" w:hAnsi="Arial" w:cs="Arial"/>
                <w:sz w:val="20"/>
                <w:szCs w:val="20"/>
              </w:rPr>
            </w:pPr>
            <w:r w:rsidRPr="00282991">
              <w:rPr>
                <w:rFonts w:ascii="Arial" w:hAnsi="Arial" w:cs="Arial"/>
                <w:sz w:val="20"/>
                <w:szCs w:val="20"/>
              </w:rPr>
              <w:t>18-50</w:t>
            </w:r>
          </w:p>
        </w:tc>
        <w:tc>
          <w:tcPr>
            <w:tcW w:w="2110" w:type="dxa"/>
          </w:tcPr>
          <w:p w14:paraId="70C8E75A" w14:textId="79C8E9BA" w:rsidR="00CF69B7" w:rsidRPr="00282991" w:rsidRDefault="00CF69B7" w:rsidP="00E33E1D">
            <w:pPr>
              <w:jc w:val="center"/>
              <w:rPr>
                <w:rFonts w:ascii="Arial" w:eastAsia="Times New Roman" w:hAnsi="Arial" w:cs="Arial"/>
                <w:color w:val="000000"/>
                <w:sz w:val="20"/>
                <w:szCs w:val="20"/>
                <w:shd w:val="clear" w:color="auto" w:fill="FFFFFF"/>
                <w:lang w:eastAsia="en-US"/>
              </w:rPr>
            </w:pPr>
            <w:r w:rsidRPr="00282991">
              <w:rPr>
                <w:rFonts w:ascii="Arial" w:eastAsia="Times New Roman" w:hAnsi="Arial" w:cs="Arial"/>
                <w:color w:val="000000"/>
                <w:sz w:val="20"/>
                <w:szCs w:val="20"/>
                <w:shd w:val="clear" w:color="auto" w:fill="FFFFFF"/>
                <w:lang w:eastAsia="en-US"/>
              </w:rPr>
              <w:t>France</w:t>
            </w:r>
          </w:p>
        </w:tc>
        <w:tc>
          <w:tcPr>
            <w:tcW w:w="2110" w:type="dxa"/>
          </w:tcPr>
          <w:p w14:paraId="66605DDB" w14:textId="6BA89455" w:rsidR="00CF69B7" w:rsidRDefault="00E33E1D" w:rsidP="00E33E1D">
            <w:pPr>
              <w:jc w:val="center"/>
              <w:rPr>
                <w:rFonts w:cstheme="minorHAnsi"/>
                <w:color w:val="000000" w:themeColor="text1"/>
              </w:rPr>
            </w:pPr>
            <w:r>
              <w:rPr>
                <w:rFonts w:cstheme="minorHAnsi"/>
                <w:color w:val="000000" w:themeColor="text1"/>
              </w:rPr>
              <w:t>N/A</w:t>
            </w:r>
          </w:p>
        </w:tc>
      </w:tr>
      <w:tr w:rsidR="00E33E1D" w14:paraId="6B461872" w14:textId="77777777" w:rsidTr="00E33E1D">
        <w:tc>
          <w:tcPr>
            <w:tcW w:w="2109" w:type="dxa"/>
          </w:tcPr>
          <w:p w14:paraId="23B3AB59" w14:textId="7B24CA78" w:rsidR="00CF69B7" w:rsidRPr="00282991" w:rsidRDefault="00CF69B7" w:rsidP="00CF69B7">
            <w:pPr>
              <w:rPr>
                <w:rFonts w:ascii="Arial" w:eastAsia="Times New Roman" w:hAnsi="Arial" w:cs="Arial"/>
                <w:color w:val="000000"/>
                <w:sz w:val="20"/>
                <w:szCs w:val="20"/>
                <w:shd w:val="clear" w:color="auto" w:fill="FFFFFF"/>
                <w:lang w:eastAsia="en-US"/>
              </w:rPr>
            </w:pPr>
            <w:r w:rsidRPr="00282991">
              <w:rPr>
                <w:rFonts w:ascii="Arial" w:eastAsia="Times New Roman" w:hAnsi="Arial" w:cs="Arial"/>
                <w:b/>
                <w:bCs/>
                <w:color w:val="000000"/>
                <w:sz w:val="20"/>
                <w:szCs w:val="20"/>
                <w:shd w:val="clear" w:color="auto" w:fill="FFFFFF"/>
                <w:lang w:eastAsia="en-US"/>
              </w:rPr>
              <w:t>ASCROD</w:t>
            </w:r>
            <w:r w:rsidRPr="00282991">
              <w:rPr>
                <w:rFonts w:ascii="Arial" w:eastAsia="Times New Roman" w:hAnsi="Arial" w:cs="Arial"/>
                <w:bCs/>
                <w:color w:val="000000"/>
                <w:sz w:val="20"/>
                <w:szCs w:val="20"/>
                <w:shd w:val="clear" w:color="auto" w:fill="FFFFFF"/>
                <w:lang w:eastAsia="en-US"/>
              </w:rPr>
              <w:t>- Autologous Mesenchymal Stem Cells vs. Chondrocytes for the Repair of Chondral Knee Defects</w:t>
            </w:r>
          </w:p>
        </w:tc>
        <w:tc>
          <w:tcPr>
            <w:tcW w:w="2109" w:type="dxa"/>
          </w:tcPr>
          <w:p w14:paraId="4D78491E" w14:textId="77777777" w:rsidR="00CF69B7" w:rsidRPr="00282991" w:rsidRDefault="00CF69B7" w:rsidP="00CF69B7">
            <w:pPr>
              <w:jc w:val="center"/>
              <w:rPr>
                <w:rFonts w:ascii="Arial" w:eastAsia="Times New Roman" w:hAnsi="Arial" w:cs="Arial"/>
                <w:sz w:val="20"/>
                <w:szCs w:val="20"/>
                <w:lang w:eastAsia="en-US"/>
              </w:rPr>
            </w:pPr>
            <w:r w:rsidRPr="00282991">
              <w:rPr>
                <w:rFonts w:ascii="Arial" w:eastAsia="Times New Roman" w:hAnsi="Arial" w:cs="Arial"/>
                <w:color w:val="000000"/>
                <w:sz w:val="20"/>
                <w:szCs w:val="20"/>
                <w:shd w:val="clear" w:color="auto" w:fill="FFFFFF"/>
                <w:lang w:eastAsia="en-US"/>
              </w:rPr>
              <w:t>NCT01399749</w:t>
            </w:r>
          </w:p>
          <w:p w14:paraId="3EC13A44" w14:textId="77777777" w:rsidR="00CF69B7" w:rsidRPr="00282991" w:rsidRDefault="00CF69B7" w:rsidP="00CF69B7">
            <w:pPr>
              <w:jc w:val="center"/>
              <w:rPr>
                <w:rFonts w:ascii="Arial" w:eastAsia="Times New Roman" w:hAnsi="Arial" w:cs="Arial"/>
                <w:color w:val="000000"/>
                <w:sz w:val="20"/>
                <w:szCs w:val="20"/>
                <w:shd w:val="clear" w:color="auto" w:fill="FFFFFF"/>
                <w:lang w:eastAsia="en-US"/>
              </w:rPr>
            </w:pPr>
          </w:p>
        </w:tc>
        <w:tc>
          <w:tcPr>
            <w:tcW w:w="2109" w:type="dxa"/>
          </w:tcPr>
          <w:p w14:paraId="15E520BE" w14:textId="1A99D08D" w:rsidR="00CF69B7" w:rsidRPr="00282991" w:rsidRDefault="00CF69B7" w:rsidP="00CF69B7">
            <w:pPr>
              <w:rPr>
                <w:rFonts w:ascii="Arial" w:eastAsia="Times New Roman" w:hAnsi="Arial" w:cs="Arial"/>
                <w:color w:val="000000"/>
                <w:sz w:val="20"/>
                <w:szCs w:val="20"/>
                <w:shd w:val="clear" w:color="auto" w:fill="FFFFFF"/>
                <w:lang w:eastAsia="en-US"/>
              </w:rPr>
            </w:pPr>
            <w:r w:rsidRPr="00282991">
              <w:rPr>
                <w:rFonts w:ascii="Arial" w:eastAsia="Times New Roman" w:hAnsi="Arial" w:cs="Arial"/>
                <w:color w:val="000000"/>
                <w:sz w:val="20"/>
                <w:szCs w:val="20"/>
                <w:shd w:val="clear" w:color="auto" w:fill="FFFFFF"/>
                <w:lang w:eastAsia="en-US"/>
              </w:rPr>
              <w:t>ACI vs</w:t>
            </w:r>
            <w:r>
              <w:rPr>
                <w:rFonts w:ascii="Arial" w:eastAsia="Times New Roman" w:hAnsi="Arial" w:cs="Arial"/>
                <w:color w:val="000000"/>
                <w:sz w:val="20"/>
                <w:szCs w:val="20"/>
                <w:shd w:val="clear" w:color="auto" w:fill="FFFFFF"/>
                <w:lang w:eastAsia="en-US"/>
              </w:rPr>
              <w:t>.</w:t>
            </w:r>
            <w:r w:rsidRPr="00282991">
              <w:rPr>
                <w:rFonts w:ascii="Arial" w:eastAsia="Times New Roman" w:hAnsi="Arial" w:cs="Arial"/>
                <w:color w:val="000000"/>
                <w:sz w:val="20"/>
                <w:szCs w:val="20"/>
                <w:shd w:val="clear" w:color="auto" w:fill="FFFFFF"/>
                <w:lang w:eastAsia="en-US"/>
              </w:rPr>
              <w:t xml:space="preserve"> Autologous adipose MSCs</w:t>
            </w:r>
          </w:p>
        </w:tc>
        <w:tc>
          <w:tcPr>
            <w:tcW w:w="2110" w:type="dxa"/>
          </w:tcPr>
          <w:p w14:paraId="1225CAEE" w14:textId="19E28419" w:rsidR="00CF69B7" w:rsidRPr="00282991" w:rsidRDefault="00CF69B7" w:rsidP="00E33E1D">
            <w:pPr>
              <w:jc w:val="center"/>
              <w:rPr>
                <w:rFonts w:ascii="Arial" w:hAnsi="Arial" w:cs="Arial"/>
                <w:sz w:val="20"/>
                <w:szCs w:val="20"/>
              </w:rPr>
            </w:pPr>
            <w:r w:rsidRPr="00282991">
              <w:rPr>
                <w:rFonts w:ascii="Arial" w:hAnsi="Arial" w:cs="Arial"/>
                <w:sz w:val="20"/>
                <w:szCs w:val="20"/>
              </w:rPr>
              <w:t>30</w:t>
            </w:r>
          </w:p>
        </w:tc>
        <w:tc>
          <w:tcPr>
            <w:tcW w:w="2110" w:type="dxa"/>
          </w:tcPr>
          <w:p w14:paraId="4EE6BEE3" w14:textId="21F26284" w:rsidR="00CF69B7" w:rsidRPr="00282991" w:rsidRDefault="00CF69B7" w:rsidP="00E33E1D">
            <w:pPr>
              <w:jc w:val="center"/>
              <w:rPr>
                <w:rFonts w:ascii="Arial" w:hAnsi="Arial" w:cs="Arial"/>
                <w:sz w:val="20"/>
                <w:szCs w:val="20"/>
              </w:rPr>
            </w:pPr>
            <w:r w:rsidRPr="00282991">
              <w:rPr>
                <w:rFonts w:ascii="Arial" w:hAnsi="Arial" w:cs="Arial"/>
                <w:sz w:val="20"/>
                <w:szCs w:val="20"/>
              </w:rPr>
              <w:t>18-55</w:t>
            </w:r>
          </w:p>
        </w:tc>
        <w:tc>
          <w:tcPr>
            <w:tcW w:w="2110" w:type="dxa"/>
          </w:tcPr>
          <w:p w14:paraId="0535EDAC" w14:textId="6ABA149A" w:rsidR="00CF69B7" w:rsidRPr="00282991" w:rsidRDefault="00CF69B7" w:rsidP="00E33E1D">
            <w:pPr>
              <w:jc w:val="center"/>
              <w:rPr>
                <w:rFonts w:ascii="Arial" w:eastAsia="Times New Roman" w:hAnsi="Arial" w:cs="Arial"/>
                <w:color w:val="000000"/>
                <w:sz w:val="20"/>
                <w:szCs w:val="20"/>
                <w:shd w:val="clear" w:color="auto" w:fill="FFFFFF"/>
                <w:lang w:eastAsia="en-US"/>
              </w:rPr>
            </w:pPr>
            <w:r w:rsidRPr="00282991">
              <w:rPr>
                <w:rFonts w:ascii="Arial" w:eastAsia="Times New Roman" w:hAnsi="Arial" w:cs="Arial"/>
                <w:color w:val="000000"/>
                <w:sz w:val="20"/>
                <w:szCs w:val="20"/>
                <w:shd w:val="clear" w:color="auto" w:fill="FFFFFF"/>
                <w:lang w:eastAsia="en-US"/>
              </w:rPr>
              <w:t>Spain</w:t>
            </w:r>
          </w:p>
        </w:tc>
        <w:tc>
          <w:tcPr>
            <w:tcW w:w="2110" w:type="dxa"/>
          </w:tcPr>
          <w:p w14:paraId="00EBA5D9" w14:textId="3D4F69B4" w:rsidR="00CF69B7" w:rsidRDefault="00E33E1D" w:rsidP="00E33E1D">
            <w:pPr>
              <w:jc w:val="center"/>
              <w:rPr>
                <w:rFonts w:cstheme="minorHAnsi"/>
                <w:color w:val="000000" w:themeColor="text1"/>
              </w:rPr>
            </w:pPr>
            <w:r>
              <w:rPr>
                <w:rFonts w:cstheme="minorHAnsi"/>
                <w:color w:val="000000" w:themeColor="text1"/>
              </w:rPr>
              <w:t>N/A</w:t>
            </w:r>
          </w:p>
        </w:tc>
      </w:tr>
      <w:tr w:rsidR="00E33E1D" w14:paraId="274B9FDF" w14:textId="77777777" w:rsidTr="00E33E1D">
        <w:tc>
          <w:tcPr>
            <w:tcW w:w="2109" w:type="dxa"/>
          </w:tcPr>
          <w:p w14:paraId="5FCC550B" w14:textId="1B40F7D2" w:rsidR="00CF69B7" w:rsidRPr="00282991" w:rsidRDefault="00CF69B7" w:rsidP="00CF69B7">
            <w:pPr>
              <w:rPr>
                <w:rFonts w:ascii="Arial" w:eastAsia="Times New Roman" w:hAnsi="Arial" w:cs="Arial"/>
                <w:b/>
                <w:bCs/>
                <w:color w:val="000000"/>
                <w:sz w:val="20"/>
                <w:szCs w:val="20"/>
                <w:shd w:val="clear" w:color="auto" w:fill="FFFFFF"/>
                <w:lang w:eastAsia="en-US"/>
              </w:rPr>
            </w:pPr>
            <w:r w:rsidRPr="00282991">
              <w:rPr>
                <w:rFonts w:ascii="Arial" w:hAnsi="Arial" w:cs="Arial"/>
                <w:b/>
                <w:sz w:val="20"/>
                <w:szCs w:val="20"/>
              </w:rPr>
              <w:t>ACTIVE</w:t>
            </w:r>
            <w:r w:rsidRPr="00282991">
              <w:rPr>
                <w:rFonts w:ascii="Arial" w:hAnsi="Arial" w:cs="Arial"/>
                <w:sz w:val="20"/>
                <w:szCs w:val="20"/>
              </w:rPr>
              <w:t>- Autologous Chondrocyte Transplantation/Implantation Versus Existing treatments: a randomised controlled trial</w:t>
            </w:r>
            <w:r>
              <w:rPr>
                <w:rFonts w:ascii="Arial" w:hAnsi="Arial" w:cs="Arial"/>
                <w:sz w:val="20"/>
                <w:szCs w:val="20"/>
              </w:rPr>
              <w:t xml:space="preserve"> </w:t>
            </w:r>
            <w:r w:rsidRPr="004D79BF">
              <w:rPr>
                <w:rFonts w:ascii="Arial" w:hAnsi="Arial" w:cs="Arial"/>
                <w:i/>
                <w:sz w:val="20"/>
                <w:szCs w:val="20"/>
              </w:rPr>
              <w:t>(On-going- proposed end date Dec 2021)</w:t>
            </w:r>
          </w:p>
        </w:tc>
        <w:tc>
          <w:tcPr>
            <w:tcW w:w="2109" w:type="dxa"/>
          </w:tcPr>
          <w:p w14:paraId="3CE78134" w14:textId="266FE38B" w:rsidR="00CF69B7" w:rsidRPr="00282991" w:rsidRDefault="00CF69B7" w:rsidP="00CF69B7">
            <w:pPr>
              <w:jc w:val="center"/>
              <w:rPr>
                <w:rFonts w:ascii="Arial" w:eastAsia="Times New Roman" w:hAnsi="Arial" w:cs="Arial"/>
                <w:color w:val="000000"/>
                <w:sz w:val="20"/>
                <w:szCs w:val="20"/>
                <w:shd w:val="clear" w:color="auto" w:fill="FFFFFF"/>
                <w:lang w:eastAsia="en-US"/>
              </w:rPr>
            </w:pPr>
            <w:r w:rsidRPr="00282991">
              <w:rPr>
                <w:rFonts w:ascii="Arial" w:hAnsi="Arial" w:cs="Arial"/>
                <w:sz w:val="20"/>
                <w:szCs w:val="20"/>
              </w:rPr>
              <w:t>ISRCTN48911177</w:t>
            </w:r>
          </w:p>
        </w:tc>
        <w:tc>
          <w:tcPr>
            <w:tcW w:w="2109" w:type="dxa"/>
          </w:tcPr>
          <w:p w14:paraId="18548B8C" w14:textId="2D792470" w:rsidR="00CF69B7" w:rsidRPr="00282991" w:rsidRDefault="00CF69B7" w:rsidP="00CF69B7">
            <w:pPr>
              <w:rPr>
                <w:rFonts w:ascii="Arial" w:eastAsia="Times New Roman" w:hAnsi="Arial" w:cs="Arial"/>
                <w:color w:val="000000"/>
                <w:sz w:val="20"/>
                <w:szCs w:val="20"/>
                <w:shd w:val="clear" w:color="auto" w:fill="FFFFFF"/>
                <w:lang w:eastAsia="en-US"/>
              </w:rPr>
            </w:pPr>
            <w:r w:rsidRPr="00282991">
              <w:rPr>
                <w:rFonts w:ascii="Arial" w:hAnsi="Arial" w:cs="Arial"/>
                <w:sz w:val="20"/>
                <w:szCs w:val="20"/>
              </w:rPr>
              <w:t>ACI vs. Existing surgical treatments for patients who have failed a primary intervention for Chondral defects</w:t>
            </w:r>
          </w:p>
        </w:tc>
        <w:tc>
          <w:tcPr>
            <w:tcW w:w="2110" w:type="dxa"/>
          </w:tcPr>
          <w:p w14:paraId="7E7A43A9" w14:textId="1B77A778" w:rsidR="00CF69B7" w:rsidRPr="00282991" w:rsidRDefault="00CF69B7" w:rsidP="00E33E1D">
            <w:pPr>
              <w:jc w:val="center"/>
              <w:rPr>
                <w:rFonts w:ascii="Arial" w:hAnsi="Arial" w:cs="Arial"/>
                <w:sz w:val="20"/>
                <w:szCs w:val="20"/>
              </w:rPr>
            </w:pPr>
            <w:r>
              <w:rPr>
                <w:rFonts w:ascii="Arial" w:hAnsi="Arial" w:cs="Arial"/>
                <w:sz w:val="20"/>
                <w:szCs w:val="20"/>
              </w:rPr>
              <w:t>390</w:t>
            </w:r>
          </w:p>
        </w:tc>
        <w:tc>
          <w:tcPr>
            <w:tcW w:w="2110" w:type="dxa"/>
          </w:tcPr>
          <w:p w14:paraId="3382A760" w14:textId="6BF470CC" w:rsidR="00CF69B7" w:rsidRPr="00282991" w:rsidRDefault="00E33E1D" w:rsidP="00E33E1D">
            <w:pPr>
              <w:jc w:val="center"/>
              <w:rPr>
                <w:rFonts w:ascii="Arial" w:hAnsi="Arial" w:cs="Arial"/>
                <w:sz w:val="20"/>
                <w:szCs w:val="20"/>
              </w:rPr>
            </w:pPr>
            <w:r>
              <w:rPr>
                <w:rFonts w:ascii="Arial" w:hAnsi="Arial" w:cs="Arial"/>
                <w:sz w:val="20"/>
                <w:szCs w:val="20"/>
              </w:rPr>
              <w:t>18+</w:t>
            </w:r>
          </w:p>
        </w:tc>
        <w:tc>
          <w:tcPr>
            <w:tcW w:w="2110" w:type="dxa"/>
          </w:tcPr>
          <w:p w14:paraId="586064B5" w14:textId="77777777" w:rsidR="00CF69B7" w:rsidRPr="00282991" w:rsidRDefault="00CF69B7" w:rsidP="00E33E1D">
            <w:pPr>
              <w:jc w:val="center"/>
              <w:rPr>
                <w:rFonts w:ascii="Arial" w:hAnsi="Arial" w:cs="Arial"/>
                <w:sz w:val="20"/>
                <w:szCs w:val="20"/>
              </w:rPr>
            </w:pPr>
            <w:r w:rsidRPr="00282991">
              <w:rPr>
                <w:rFonts w:ascii="Arial" w:hAnsi="Arial" w:cs="Arial"/>
                <w:sz w:val="20"/>
                <w:szCs w:val="20"/>
              </w:rPr>
              <w:t>Norway,</w:t>
            </w:r>
          </w:p>
          <w:p w14:paraId="365BE6D1" w14:textId="050463DA" w:rsidR="00CF69B7" w:rsidRPr="00282991" w:rsidRDefault="00CF69B7" w:rsidP="00E33E1D">
            <w:pPr>
              <w:jc w:val="center"/>
              <w:rPr>
                <w:rFonts w:ascii="Arial" w:eastAsia="Times New Roman" w:hAnsi="Arial" w:cs="Arial"/>
                <w:color w:val="000000"/>
                <w:sz w:val="20"/>
                <w:szCs w:val="20"/>
                <w:shd w:val="clear" w:color="auto" w:fill="FFFFFF"/>
                <w:lang w:eastAsia="en-US"/>
              </w:rPr>
            </w:pPr>
            <w:r w:rsidRPr="00282991">
              <w:rPr>
                <w:rFonts w:ascii="Arial" w:hAnsi="Arial" w:cs="Arial"/>
                <w:sz w:val="20"/>
                <w:szCs w:val="20"/>
              </w:rPr>
              <w:t>United Kingdom</w:t>
            </w:r>
          </w:p>
        </w:tc>
        <w:tc>
          <w:tcPr>
            <w:tcW w:w="2110" w:type="dxa"/>
          </w:tcPr>
          <w:p w14:paraId="7EB2AAB3" w14:textId="6F26D3A3" w:rsidR="00CF69B7" w:rsidRDefault="00E33E1D" w:rsidP="00E33E1D">
            <w:pPr>
              <w:jc w:val="center"/>
              <w:rPr>
                <w:rFonts w:cstheme="minorHAnsi"/>
                <w:color w:val="000000" w:themeColor="text1"/>
              </w:rPr>
            </w:pPr>
            <w:r>
              <w:rPr>
                <w:rFonts w:cstheme="minorHAnsi"/>
                <w:color w:val="000000" w:themeColor="text1"/>
              </w:rPr>
              <w:t>N/A</w:t>
            </w:r>
          </w:p>
        </w:tc>
      </w:tr>
      <w:tr w:rsidR="00E33E1D" w14:paraId="5DC97126" w14:textId="77777777" w:rsidTr="00E33E1D">
        <w:tc>
          <w:tcPr>
            <w:tcW w:w="2109" w:type="dxa"/>
          </w:tcPr>
          <w:p w14:paraId="5CDC2AB7" w14:textId="140697BF" w:rsidR="00CF69B7" w:rsidRPr="00282991" w:rsidRDefault="00CF69B7" w:rsidP="00CF69B7">
            <w:pPr>
              <w:rPr>
                <w:rFonts w:ascii="Arial" w:hAnsi="Arial" w:cs="Arial"/>
                <w:b/>
                <w:sz w:val="20"/>
                <w:szCs w:val="20"/>
              </w:rPr>
            </w:pPr>
            <w:r w:rsidRPr="00282991">
              <w:rPr>
                <w:rFonts w:ascii="Arial" w:hAnsi="Arial" w:cs="Arial"/>
                <w:bCs/>
                <w:sz w:val="20"/>
                <w:szCs w:val="20"/>
              </w:rPr>
              <w:t xml:space="preserve">Introduction of ACI for Cartilage Repair </w:t>
            </w:r>
            <w:r w:rsidRPr="00282991">
              <w:rPr>
                <w:rFonts w:ascii="Arial" w:hAnsi="Arial" w:cs="Arial"/>
                <w:bCs/>
                <w:i/>
                <w:sz w:val="20"/>
                <w:szCs w:val="20"/>
              </w:rPr>
              <w:t>(on</w:t>
            </w:r>
            <w:r>
              <w:rPr>
                <w:rFonts w:ascii="Arial" w:hAnsi="Arial" w:cs="Arial"/>
                <w:bCs/>
                <w:i/>
                <w:sz w:val="20"/>
                <w:szCs w:val="20"/>
              </w:rPr>
              <w:t>-</w:t>
            </w:r>
            <w:r w:rsidRPr="00282991">
              <w:rPr>
                <w:rFonts w:ascii="Arial" w:hAnsi="Arial" w:cs="Arial"/>
                <w:bCs/>
                <w:i/>
                <w:sz w:val="20"/>
                <w:szCs w:val="20"/>
              </w:rPr>
              <w:t>going- proposed end date Sept 2025)</w:t>
            </w:r>
          </w:p>
        </w:tc>
        <w:tc>
          <w:tcPr>
            <w:tcW w:w="2109" w:type="dxa"/>
          </w:tcPr>
          <w:p w14:paraId="5BF8452A" w14:textId="77777777" w:rsidR="00CF69B7" w:rsidRPr="00282991" w:rsidRDefault="00CF69B7" w:rsidP="00CF69B7">
            <w:pPr>
              <w:jc w:val="center"/>
              <w:rPr>
                <w:rFonts w:ascii="Arial" w:eastAsia="Times New Roman" w:hAnsi="Arial" w:cs="Arial"/>
                <w:sz w:val="20"/>
                <w:szCs w:val="20"/>
                <w:lang w:eastAsia="en-US"/>
              </w:rPr>
            </w:pPr>
            <w:r w:rsidRPr="00282991">
              <w:rPr>
                <w:rFonts w:ascii="Arial" w:eastAsia="Times New Roman" w:hAnsi="Arial" w:cs="Arial"/>
                <w:color w:val="000000"/>
                <w:sz w:val="20"/>
                <w:szCs w:val="20"/>
                <w:shd w:val="clear" w:color="auto" w:fill="FFFFFF"/>
                <w:lang w:eastAsia="en-US"/>
              </w:rPr>
              <w:t>NCT04296487</w:t>
            </w:r>
          </w:p>
          <w:p w14:paraId="5E8240BC" w14:textId="77777777" w:rsidR="00CF69B7" w:rsidRPr="00282991" w:rsidRDefault="00CF69B7" w:rsidP="00CF69B7">
            <w:pPr>
              <w:jc w:val="center"/>
              <w:rPr>
                <w:rFonts w:ascii="Arial" w:eastAsia="Times New Roman" w:hAnsi="Arial" w:cs="Arial"/>
                <w:sz w:val="20"/>
                <w:szCs w:val="20"/>
                <w:lang w:eastAsia="en-US"/>
              </w:rPr>
            </w:pPr>
          </w:p>
          <w:p w14:paraId="055F84E0" w14:textId="77777777" w:rsidR="00CF69B7" w:rsidRPr="00282991" w:rsidRDefault="00CF69B7" w:rsidP="00CF69B7">
            <w:pPr>
              <w:jc w:val="center"/>
              <w:rPr>
                <w:rFonts w:ascii="Arial" w:hAnsi="Arial" w:cs="Arial"/>
                <w:sz w:val="20"/>
                <w:szCs w:val="20"/>
              </w:rPr>
            </w:pPr>
          </w:p>
        </w:tc>
        <w:tc>
          <w:tcPr>
            <w:tcW w:w="2109" w:type="dxa"/>
          </w:tcPr>
          <w:p w14:paraId="45FA5C64" w14:textId="77777777" w:rsidR="00CF69B7" w:rsidRPr="00282991" w:rsidRDefault="00CF69B7" w:rsidP="00A301F8">
            <w:pPr>
              <w:rPr>
                <w:rFonts w:ascii="Arial" w:eastAsia="Times New Roman" w:hAnsi="Arial" w:cs="Arial"/>
                <w:i/>
                <w:iCs/>
                <w:color w:val="1F3763" w:themeColor="accent1" w:themeShade="7F"/>
                <w:sz w:val="20"/>
                <w:szCs w:val="20"/>
                <w:lang w:eastAsia="en-US"/>
              </w:rPr>
            </w:pPr>
            <w:r w:rsidRPr="00282991">
              <w:rPr>
                <w:rFonts w:ascii="Arial" w:eastAsia="Times New Roman" w:hAnsi="Arial" w:cs="Arial"/>
                <w:color w:val="000000"/>
                <w:sz w:val="20"/>
                <w:szCs w:val="20"/>
                <w:shd w:val="clear" w:color="auto" w:fill="FFFFFF"/>
                <w:lang w:eastAsia="en-US"/>
              </w:rPr>
              <w:t>Autologous Chondrocyte Injection vs. standard ACI</w:t>
            </w:r>
          </w:p>
          <w:p w14:paraId="3C794969" w14:textId="77777777" w:rsidR="00CF69B7" w:rsidRPr="00282991" w:rsidRDefault="00CF69B7" w:rsidP="00CF69B7">
            <w:pPr>
              <w:rPr>
                <w:rFonts w:ascii="Arial" w:hAnsi="Arial" w:cs="Arial"/>
                <w:sz w:val="20"/>
                <w:szCs w:val="20"/>
              </w:rPr>
            </w:pPr>
          </w:p>
        </w:tc>
        <w:tc>
          <w:tcPr>
            <w:tcW w:w="2110" w:type="dxa"/>
          </w:tcPr>
          <w:p w14:paraId="1402184A" w14:textId="30B737FA" w:rsidR="00CF69B7" w:rsidRDefault="00CF69B7" w:rsidP="00E33E1D">
            <w:pPr>
              <w:jc w:val="center"/>
              <w:rPr>
                <w:rFonts w:ascii="Arial" w:hAnsi="Arial" w:cs="Arial"/>
                <w:sz w:val="20"/>
                <w:szCs w:val="20"/>
              </w:rPr>
            </w:pPr>
            <w:r w:rsidRPr="00282991">
              <w:rPr>
                <w:rFonts w:ascii="Arial" w:hAnsi="Arial" w:cs="Arial"/>
                <w:sz w:val="20"/>
                <w:szCs w:val="20"/>
              </w:rPr>
              <w:t>100 (proposed number)</w:t>
            </w:r>
          </w:p>
        </w:tc>
        <w:tc>
          <w:tcPr>
            <w:tcW w:w="2110" w:type="dxa"/>
          </w:tcPr>
          <w:p w14:paraId="2F6A8BE0" w14:textId="7FEB4EE1" w:rsidR="00CF69B7" w:rsidRPr="00282991" w:rsidRDefault="00CF69B7" w:rsidP="00E33E1D">
            <w:pPr>
              <w:jc w:val="center"/>
              <w:rPr>
                <w:rFonts w:ascii="Arial" w:hAnsi="Arial" w:cs="Arial"/>
                <w:sz w:val="20"/>
                <w:szCs w:val="20"/>
              </w:rPr>
            </w:pPr>
            <w:r w:rsidRPr="00282991">
              <w:rPr>
                <w:rFonts w:ascii="Arial" w:hAnsi="Arial" w:cs="Arial"/>
                <w:sz w:val="20"/>
                <w:szCs w:val="20"/>
              </w:rPr>
              <w:t>15-50</w:t>
            </w:r>
          </w:p>
        </w:tc>
        <w:tc>
          <w:tcPr>
            <w:tcW w:w="2110" w:type="dxa"/>
          </w:tcPr>
          <w:p w14:paraId="2584E4AC" w14:textId="013DFE82" w:rsidR="00CF69B7" w:rsidRPr="00282991" w:rsidRDefault="00CF69B7" w:rsidP="00E33E1D">
            <w:pPr>
              <w:jc w:val="center"/>
              <w:rPr>
                <w:rFonts w:ascii="Arial" w:hAnsi="Arial" w:cs="Arial"/>
                <w:sz w:val="20"/>
                <w:szCs w:val="20"/>
              </w:rPr>
            </w:pPr>
            <w:r w:rsidRPr="00282991">
              <w:rPr>
                <w:rFonts w:ascii="Arial" w:hAnsi="Arial" w:cs="Arial"/>
                <w:sz w:val="20"/>
                <w:szCs w:val="20"/>
              </w:rPr>
              <w:t>Switzerland</w:t>
            </w:r>
          </w:p>
        </w:tc>
        <w:tc>
          <w:tcPr>
            <w:tcW w:w="2110" w:type="dxa"/>
          </w:tcPr>
          <w:p w14:paraId="76455B38" w14:textId="4DF265F2" w:rsidR="00CF69B7" w:rsidRDefault="00E33E1D" w:rsidP="00E33E1D">
            <w:pPr>
              <w:jc w:val="center"/>
              <w:rPr>
                <w:rFonts w:cstheme="minorHAnsi"/>
                <w:color w:val="000000" w:themeColor="text1"/>
              </w:rPr>
            </w:pPr>
            <w:r>
              <w:rPr>
                <w:rFonts w:cstheme="minorHAnsi"/>
                <w:color w:val="000000" w:themeColor="text1"/>
              </w:rPr>
              <w:t>N/A</w:t>
            </w:r>
          </w:p>
        </w:tc>
      </w:tr>
      <w:tr w:rsidR="00E33E1D" w14:paraId="056AC2B5" w14:textId="77777777" w:rsidTr="00E33E1D">
        <w:tc>
          <w:tcPr>
            <w:tcW w:w="2109" w:type="dxa"/>
          </w:tcPr>
          <w:p w14:paraId="0F0D801F" w14:textId="6BBC47E8" w:rsidR="00CF69B7" w:rsidRPr="00282991" w:rsidRDefault="00CF69B7" w:rsidP="00CF69B7">
            <w:pPr>
              <w:rPr>
                <w:rFonts w:ascii="Arial" w:hAnsi="Arial" w:cs="Arial"/>
                <w:bCs/>
                <w:sz w:val="20"/>
                <w:szCs w:val="20"/>
              </w:rPr>
            </w:pPr>
            <w:r w:rsidRPr="00282991">
              <w:rPr>
                <w:rFonts w:ascii="Arial" w:hAnsi="Arial" w:cs="Arial"/>
                <w:bCs/>
                <w:sz w:val="20"/>
                <w:szCs w:val="20"/>
              </w:rPr>
              <w:t xml:space="preserve">NOVOCART 3D Treatment Following Microfracture Failure </w:t>
            </w:r>
            <w:r w:rsidRPr="00282991">
              <w:rPr>
                <w:rFonts w:ascii="Arial" w:hAnsi="Arial" w:cs="Arial"/>
                <w:bCs/>
                <w:i/>
                <w:sz w:val="20"/>
                <w:szCs w:val="20"/>
              </w:rPr>
              <w:t>(on</w:t>
            </w:r>
            <w:r>
              <w:rPr>
                <w:rFonts w:ascii="Arial" w:hAnsi="Arial" w:cs="Arial"/>
                <w:bCs/>
                <w:i/>
                <w:sz w:val="20"/>
                <w:szCs w:val="20"/>
              </w:rPr>
              <w:t>-</w:t>
            </w:r>
            <w:r w:rsidRPr="00282991">
              <w:rPr>
                <w:rFonts w:ascii="Arial" w:hAnsi="Arial" w:cs="Arial"/>
                <w:bCs/>
                <w:i/>
                <w:sz w:val="20"/>
                <w:szCs w:val="20"/>
              </w:rPr>
              <w:t>going- proposed end date Dec 2021)</w:t>
            </w:r>
          </w:p>
        </w:tc>
        <w:tc>
          <w:tcPr>
            <w:tcW w:w="2109" w:type="dxa"/>
          </w:tcPr>
          <w:p w14:paraId="311F8B4A" w14:textId="77777777" w:rsidR="00CF69B7" w:rsidRPr="00282991" w:rsidRDefault="00CF69B7" w:rsidP="00CF69B7">
            <w:pPr>
              <w:jc w:val="center"/>
              <w:rPr>
                <w:rFonts w:ascii="Arial" w:eastAsia="Times New Roman" w:hAnsi="Arial" w:cs="Arial"/>
                <w:sz w:val="20"/>
                <w:szCs w:val="20"/>
                <w:lang w:eastAsia="en-US"/>
              </w:rPr>
            </w:pPr>
            <w:r w:rsidRPr="00282991">
              <w:rPr>
                <w:rFonts w:ascii="Arial" w:eastAsia="Times New Roman" w:hAnsi="Arial" w:cs="Arial"/>
                <w:color w:val="000000"/>
                <w:sz w:val="20"/>
                <w:szCs w:val="20"/>
                <w:shd w:val="clear" w:color="auto" w:fill="FFFFFF"/>
                <w:lang w:eastAsia="en-US"/>
              </w:rPr>
              <w:t>NCT03219307</w:t>
            </w:r>
          </w:p>
          <w:p w14:paraId="13F8D8BE" w14:textId="77777777" w:rsidR="00CF69B7" w:rsidRPr="00282991" w:rsidRDefault="00CF69B7" w:rsidP="00CF69B7">
            <w:pPr>
              <w:jc w:val="center"/>
              <w:rPr>
                <w:rFonts w:ascii="Arial" w:eastAsia="Times New Roman" w:hAnsi="Arial" w:cs="Arial"/>
                <w:color w:val="000000"/>
                <w:sz w:val="20"/>
                <w:szCs w:val="20"/>
                <w:shd w:val="clear" w:color="auto" w:fill="FFFFFF"/>
                <w:lang w:eastAsia="en-US"/>
              </w:rPr>
            </w:pPr>
          </w:p>
        </w:tc>
        <w:tc>
          <w:tcPr>
            <w:tcW w:w="2109" w:type="dxa"/>
          </w:tcPr>
          <w:p w14:paraId="4C9F9C55" w14:textId="222F610A" w:rsidR="00CF69B7" w:rsidRPr="00282991" w:rsidRDefault="00CF69B7" w:rsidP="00A301F8">
            <w:pPr>
              <w:rPr>
                <w:rFonts w:ascii="Arial" w:eastAsia="Times New Roman" w:hAnsi="Arial" w:cs="Arial"/>
                <w:i/>
                <w:iCs/>
                <w:color w:val="000000"/>
                <w:sz w:val="20"/>
                <w:szCs w:val="20"/>
                <w:shd w:val="clear" w:color="auto" w:fill="FFFFFF"/>
                <w:lang w:eastAsia="en-US"/>
              </w:rPr>
            </w:pPr>
            <w:r w:rsidRPr="00282991">
              <w:rPr>
                <w:rFonts w:ascii="Arial" w:hAnsi="Arial" w:cs="Arial"/>
                <w:sz w:val="20"/>
                <w:szCs w:val="20"/>
              </w:rPr>
              <w:t xml:space="preserve">Safety and efficacy of </w:t>
            </w:r>
            <w:r w:rsidRPr="00282991">
              <w:rPr>
                <w:rFonts w:ascii="Arial" w:eastAsia="Times New Roman" w:hAnsi="Arial" w:cs="Arial"/>
                <w:color w:val="000000"/>
                <w:sz w:val="20"/>
                <w:szCs w:val="20"/>
                <w:shd w:val="clear" w:color="auto" w:fill="FFFFFF"/>
                <w:lang w:eastAsia="en-US"/>
              </w:rPr>
              <w:t xml:space="preserve">Matrix </w:t>
            </w:r>
            <w:r>
              <w:rPr>
                <w:rFonts w:ascii="Arial" w:eastAsia="Times New Roman" w:hAnsi="Arial" w:cs="Arial"/>
                <w:color w:val="000000"/>
                <w:sz w:val="20"/>
                <w:szCs w:val="20"/>
                <w:shd w:val="clear" w:color="auto" w:fill="FFFFFF"/>
                <w:lang w:eastAsia="en-US"/>
              </w:rPr>
              <w:t>associated ACI</w:t>
            </w:r>
            <w:r w:rsidRPr="00282991">
              <w:rPr>
                <w:rFonts w:ascii="Arial" w:eastAsia="Times New Roman" w:hAnsi="Arial" w:cs="Arial"/>
                <w:color w:val="000000"/>
                <w:sz w:val="20"/>
                <w:szCs w:val="20"/>
                <w:shd w:val="clear" w:color="auto" w:fill="FFFFFF"/>
                <w:lang w:eastAsia="en-US"/>
              </w:rPr>
              <w:t xml:space="preserve"> (NOVOCART 3D) following microfracture</w:t>
            </w:r>
          </w:p>
        </w:tc>
        <w:tc>
          <w:tcPr>
            <w:tcW w:w="2110" w:type="dxa"/>
          </w:tcPr>
          <w:p w14:paraId="223D4245" w14:textId="0EAA773B" w:rsidR="00CF69B7" w:rsidRPr="00282991" w:rsidRDefault="00CF69B7" w:rsidP="00E33E1D">
            <w:pPr>
              <w:jc w:val="center"/>
              <w:rPr>
                <w:rFonts w:ascii="Arial" w:hAnsi="Arial" w:cs="Arial"/>
                <w:sz w:val="20"/>
                <w:szCs w:val="20"/>
              </w:rPr>
            </w:pPr>
            <w:r w:rsidRPr="00282991">
              <w:rPr>
                <w:rFonts w:ascii="Arial" w:hAnsi="Arial" w:cs="Arial"/>
                <w:sz w:val="20"/>
                <w:szCs w:val="20"/>
              </w:rPr>
              <w:t>30 (proposed number)</w:t>
            </w:r>
          </w:p>
        </w:tc>
        <w:tc>
          <w:tcPr>
            <w:tcW w:w="2110" w:type="dxa"/>
          </w:tcPr>
          <w:p w14:paraId="23241F4B" w14:textId="3CACC78F" w:rsidR="00CF69B7" w:rsidRPr="00282991" w:rsidRDefault="00CF69B7" w:rsidP="00E33E1D">
            <w:pPr>
              <w:jc w:val="center"/>
              <w:rPr>
                <w:rFonts w:ascii="Arial" w:hAnsi="Arial" w:cs="Arial"/>
                <w:sz w:val="20"/>
                <w:szCs w:val="20"/>
              </w:rPr>
            </w:pPr>
            <w:r w:rsidRPr="00282991">
              <w:rPr>
                <w:rFonts w:ascii="Arial" w:hAnsi="Arial" w:cs="Arial"/>
                <w:sz w:val="20"/>
                <w:szCs w:val="20"/>
              </w:rPr>
              <w:t>18-66</w:t>
            </w:r>
          </w:p>
        </w:tc>
        <w:tc>
          <w:tcPr>
            <w:tcW w:w="2110" w:type="dxa"/>
          </w:tcPr>
          <w:p w14:paraId="3BD14C00" w14:textId="4B708A79" w:rsidR="00CF69B7" w:rsidRPr="00282991" w:rsidRDefault="00CF69B7" w:rsidP="00E33E1D">
            <w:pPr>
              <w:jc w:val="center"/>
              <w:rPr>
                <w:rFonts w:ascii="Arial" w:hAnsi="Arial" w:cs="Arial"/>
                <w:sz w:val="20"/>
                <w:szCs w:val="20"/>
              </w:rPr>
            </w:pPr>
            <w:r w:rsidRPr="00282991">
              <w:rPr>
                <w:rFonts w:ascii="Arial" w:hAnsi="Arial" w:cs="Arial"/>
                <w:sz w:val="20"/>
                <w:szCs w:val="20"/>
              </w:rPr>
              <w:t>United States</w:t>
            </w:r>
          </w:p>
        </w:tc>
        <w:tc>
          <w:tcPr>
            <w:tcW w:w="2110" w:type="dxa"/>
          </w:tcPr>
          <w:p w14:paraId="675D67FA" w14:textId="3B6FB2A6" w:rsidR="00CF69B7" w:rsidRDefault="00E33E1D" w:rsidP="00E33E1D">
            <w:pPr>
              <w:jc w:val="center"/>
              <w:rPr>
                <w:rFonts w:cstheme="minorHAnsi"/>
                <w:color w:val="000000" w:themeColor="text1"/>
              </w:rPr>
            </w:pPr>
            <w:r>
              <w:rPr>
                <w:rFonts w:cstheme="minorHAnsi"/>
                <w:color w:val="000000" w:themeColor="text1"/>
              </w:rPr>
              <w:fldChar w:fldCharType="begin" w:fldLock="1"/>
            </w:r>
            <w:r w:rsidR="00C8414E">
              <w:rPr>
                <w:rFonts w:cstheme="minorHAnsi"/>
                <w:color w:val="000000" w:themeColor="text1"/>
              </w:rPr>
              <w:instrText>ADDIN CSL_CITATION {"citationItems":[{"id":"ITEM-1","itemData":{"DOI":"10.1177/0363546514532337","ISSN":"15523365","PMID":"24817007","abstract":"Background: A range of scaffolds is available from various manufacturers for cartilage repair through matrix-associated autologous chondrocyte transplantation (MACT), with good medium- to long-term results. Purpose: To evaluate clinical and magnetic resonance imaging (MRI) outcomes 2 years after MACT on the knee joint using the Novocart 3D scaffold based on a bilayered collagen type I sponge. Study Design: Case series; Level of evidence, 4. Methods: Of 28 initial patients, 23 were clinically and radiologically evaluated 24 months after transplantation. Indications for MACT were chondral or osteochondral lesions on the knee joint with a defect size &gt;2 cm2, no instability, and no malalignment (axis deviation &lt;5°). Then, MRI was performed on a 3-T scanner to assess the magnetic resonance observation of cartilage repair tissue (MOCART) and 3-dimensional (3D) MOCART scores. A variety of subjective scores (International Knee Documentation Committee [IKDC], Knee injury and Osteoarthritis Outcome Score [KOOS], Noyes sports activity rating scale, Tegner activity scale, and visual analog scale [VAS] for pain) were used for clinical evaluation. Results: Two years after MACT, the MRI evaluation showed a mean MOCART score of 73.2 ± 12.4 and a 3D MOCART score of 73.4 ± 9.7. Clinical results showed mean values of 69.8 ± 15.2 for the IKDC; 51.6 ± 21.2, 86.5 ± 13.9, 54.5 ± 23.6, 65.0 ± 8.0, and 91.5 ± 10.6 for the KOOS subscales (Quality of Life, Pain, Sports and Recreation, Symptoms, and Activities of Daily Living, respectively); 77.5 ± 12.7 for the Noyes scale; 4.4 ± 1.6 for the Tegner activity scale; and 1.8 ± 1.7 for the VAS, with statistically significant improvement in all scores other than KOOS-Symptoms. Conclusion: Undergoing MACT using the Novocart 3D scaffold is an applicable method to treat large focal chondral and osteochondral defects, with good short-term clinical and radiological results. © 2014 The Author(s).","author":[{"dropping-particle":"","family":"Zak","given":"Lukas","non-dropping-particle":"","parse-names":false,"suffix":""},{"dropping-particle":"","family":"Albrecht","given":"Christian","non-dropping-particle":"","parse-names":false,"suffix":""},{"dropping-particle":"","family":"Wondrasch","given":"Barbara","non-dropping-particle":"","parse-names":false,"suffix":""},{"dropping-particle":"","family":"Widhalm","given":"Harald","non-dropping-particle":"","parse-names":false,"suffix":""},{"dropping-particle":"","family":"Vekszler","given":"György","non-dropping-particle":"","parse-names":false,"suffix":""},{"dropping-particle":"","family":"Trattnig","given":"Siegfried","non-dropping-particle":"","parse-names":false,"suffix":""},{"dropping-particle":"","family":"Marlovits","given":"Stefan","non-dropping-particle":"","parse-names":false,"suffix":""},{"dropping-particle":"","family":"Aldrian","given":"Silke","non-dropping-particle":"","parse-names":false,"suffix":""}],"container-title":"American Journal of Sports Medicine","id":"ITEM-1","issue":"7","issued":{"date-parts":[["2014"]]},"page":"1618-1627","title":"Results 2 years after matrix-associated autologous chondrocyte transplantation using the Novocart 3D scaffold: An analysis of clinical and radiological data","type":"article-journal","volume":"42"},"uris":["http://www.mendeley.com/documents/?uuid=bb409ce5-f24c-4f1a-ba2d-e8d7b80ba129"]}],"mendeley":{"formattedCitation":"[98]","plainTextFormattedCitation":"[98]","previouslyFormattedCitation":"[97]"},"properties":{"noteIndex":0},"schema":"https://github.com/citation-style-language/schema/raw/master/csl-citation.json"}</w:instrText>
            </w:r>
            <w:r>
              <w:rPr>
                <w:rFonts w:cstheme="minorHAnsi"/>
                <w:color w:val="000000" w:themeColor="text1"/>
              </w:rPr>
              <w:fldChar w:fldCharType="separate"/>
            </w:r>
            <w:r w:rsidR="00C8414E" w:rsidRPr="00C8414E">
              <w:rPr>
                <w:rFonts w:cstheme="minorHAnsi"/>
                <w:noProof/>
                <w:color w:val="000000" w:themeColor="text1"/>
              </w:rPr>
              <w:t>[98]</w:t>
            </w:r>
            <w:r>
              <w:rPr>
                <w:rFonts w:cstheme="minorHAnsi"/>
                <w:color w:val="000000" w:themeColor="text1"/>
              </w:rPr>
              <w:fldChar w:fldCharType="end"/>
            </w:r>
          </w:p>
        </w:tc>
      </w:tr>
      <w:tr w:rsidR="00E33E1D" w14:paraId="408BC42E" w14:textId="77777777" w:rsidTr="00E33E1D">
        <w:tc>
          <w:tcPr>
            <w:tcW w:w="2109" w:type="dxa"/>
          </w:tcPr>
          <w:p w14:paraId="4CF1FC71" w14:textId="77777777" w:rsidR="00CF69B7" w:rsidRPr="00282991" w:rsidRDefault="00CF69B7" w:rsidP="00CF69B7">
            <w:pPr>
              <w:rPr>
                <w:rFonts w:ascii="Arial" w:eastAsia="Times New Roman" w:hAnsi="Arial" w:cs="Arial"/>
                <w:i/>
                <w:sz w:val="20"/>
                <w:szCs w:val="20"/>
                <w:lang w:eastAsia="en-US"/>
              </w:rPr>
            </w:pPr>
            <w:r w:rsidRPr="00282991">
              <w:rPr>
                <w:rFonts w:ascii="Arial" w:eastAsia="Times New Roman" w:hAnsi="Arial" w:cs="Arial"/>
                <w:color w:val="000000"/>
                <w:sz w:val="20"/>
                <w:szCs w:val="20"/>
                <w:shd w:val="clear" w:color="auto" w:fill="FFFFFF"/>
                <w:lang w:eastAsia="en-US"/>
              </w:rPr>
              <w:t xml:space="preserve">A Prospective Randomized Controlled </w:t>
            </w:r>
            <w:proofErr w:type="spellStart"/>
            <w:r w:rsidRPr="00282991">
              <w:rPr>
                <w:rFonts w:ascii="Arial" w:eastAsia="Times New Roman" w:hAnsi="Arial" w:cs="Arial"/>
                <w:color w:val="000000"/>
                <w:sz w:val="20"/>
                <w:szCs w:val="20"/>
                <w:shd w:val="clear" w:color="auto" w:fill="FFFFFF"/>
                <w:lang w:eastAsia="en-US"/>
              </w:rPr>
              <w:t>Multicenter</w:t>
            </w:r>
            <w:proofErr w:type="spellEnd"/>
            <w:r w:rsidRPr="00282991">
              <w:rPr>
                <w:rFonts w:ascii="Arial" w:eastAsia="Times New Roman" w:hAnsi="Arial" w:cs="Arial"/>
                <w:color w:val="000000"/>
                <w:sz w:val="20"/>
                <w:szCs w:val="20"/>
                <w:shd w:val="clear" w:color="auto" w:fill="FFFFFF"/>
                <w:lang w:eastAsia="en-US"/>
              </w:rPr>
              <w:t xml:space="preserve"> Phase-III Clinical Study to Evaluate the Safety and Effectiveness of NOVOCART® 3D Plus </w:t>
            </w:r>
            <w:r w:rsidRPr="00282991">
              <w:rPr>
                <w:rFonts w:ascii="Arial" w:eastAsia="Times New Roman" w:hAnsi="Arial" w:cs="Arial"/>
                <w:color w:val="000000"/>
                <w:sz w:val="20"/>
                <w:szCs w:val="20"/>
                <w:shd w:val="clear" w:color="auto" w:fill="FFFFFF"/>
                <w:lang w:eastAsia="en-US"/>
              </w:rPr>
              <w:lastRenderedPageBreak/>
              <w:t>Compared to the Standard Procedure Microfracture in the Treatment of</w:t>
            </w:r>
            <w:r>
              <w:rPr>
                <w:rFonts w:ascii="Arial" w:eastAsia="Times New Roman" w:hAnsi="Arial" w:cs="Arial"/>
                <w:color w:val="000000"/>
                <w:sz w:val="20"/>
                <w:szCs w:val="20"/>
                <w:shd w:val="clear" w:color="auto" w:fill="FFFFFF"/>
                <w:lang w:eastAsia="en-US"/>
              </w:rPr>
              <w:t xml:space="preserve"> Articular Cartilage Defects</w:t>
            </w:r>
            <w:r w:rsidRPr="00282991">
              <w:rPr>
                <w:rFonts w:ascii="Arial" w:eastAsia="Times New Roman" w:hAnsi="Arial" w:cs="Arial"/>
                <w:color w:val="000000"/>
                <w:sz w:val="20"/>
                <w:szCs w:val="20"/>
                <w:shd w:val="clear" w:color="auto" w:fill="FFFFFF"/>
                <w:lang w:eastAsia="en-US"/>
              </w:rPr>
              <w:t xml:space="preserve"> of the Knee </w:t>
            </w:r>
            <w:r w:rsidRPr="00282991">
              <w:rPr>
                <w:rFonts w:ascii="Arial" w:eastAsia="Times New Roman" w:hAnsi="Arial" w:cs="Arial"/>
                <w:i/>
                <w:color w:val="000000"/>
                <w:sz w:val="20"/>
                <w:szCs w:val="20"/>
                <w:shd w:val="clear" w:color="auto" w:fill="FFFFFF"/>
                <w:lang w:eastAsia="en-US"/>
              </w:rPr>
              <w:t>(on</w:t>
            </w:r>
            <w:r>
              <w:rPr>
                <w:rFonts w:ascii="Arial" w:eastAsia="Times New Roman" w:hAnsi="Arial" w:cs="Arial"/>
                <w:i/>
                <w:color w:val="000000"/>
                <w:sz w:val="20"/>
                <w:szCs w:val="20"/>
                <w:shd w:val="clear" w:color="auto" w:fill="FFFFFF"/>
                <w:lang w:eastAsia="en-US"/>
              </w:rPr>
              <w:t>-</w:t>
            </w:r>
            <w:r w:rsidRPr="00282991">
              <w:rPr>
                <w:rFonts w:ascii="Arial" w:eastAsia="Times New Roman" w:hAnsi="Arial" w:cs="Arial"/>
                <w:i/>
                <w:color w:val="000000"/>
                <w:sz w:val="20"/>
                <w:szCs w:val="20"/>
                <w:shd w:val="clear" w:color="auto" w:fill="FFFFFF"/>
                <w:lang w:eastAsia="en-US"/>
              </w:rPr>
              <w:t>going- proposed end date May 2022)</w:t>
            </w:r>
          </w:p>
          <w:p w14:paraId="49A3E1E7" w14:textId="77777777" w:rsidR="00CF69B7" w:rsidRPr="00282991" w:rsidRDefault="00CF69B7" w:rsidP="00CF69B7">
            <w:pPr>
              <w:rPr>
                <w:rFonts w:ascii="Arial" w:hAnsi="Arial" w:cs="Arial"/>
                <w:bCs/>
                <w:sz w:val="20"/>
                <w:szCs w:val="20"/>
              </w:rPr>
            </w:pPr>
          </w:p>
        </w:tc>
        <w:tc>
          <w:tcPr>
            <w:tcW w:w="2109" w:type="dxa"/>
          </w:tcPr>
          <w:p w14:paraId="7A6E4BD2" w14:textId="77777777" w:rsidR="00CF69B7" w:rsidRPr="00282991" w:rsidRDefault="00CF69B7" w:rsidP="00CF69B7">
            <w:pPr>
              <w:jc w:val="center"/>
              <w:rPr>
                <w:rFonts w:ascii="Arial" w:eastAsia="Times New Roman" w:hAnsi="Arial" w:cs="Arial"/>
                <w:sz w:val="20"/>
                <w:szCs w:val="20"/>
                <w:lang w:eastAsia="en-US"/>
              </w:rPr>
            </w:pPr>
            <w:r w:rsidRPr="00282991">
              <w:rPr>
                <w:rFonts w:ascii="Arial" w:eastAsia="Times New Roman" w:hAnsi="Arial" w:cs="Arial"/>
                <w:color w:val="000000"/>
                <w:sz w:val="20"/>
                <w:szCs w:val="20"/>
                <w:shd w:val="clear" w:color="auto" w:fill="FFFFFF"/>
                <w:lang w:eastAsia="en-US"/>
              </w:rPr>
              <w:lastRenderedPageBreak/>
              <w:t>NCT01656902</w:t>
            </w:r>
          </w:p>
          <w:p w14:paraId="2F1E488A" w14:textId="77777777" w:rsidR="00CF69B7" w:rsidRPr="00282991" w:rsidRDefault="00CF69B7" w:rsidP="00CF69B7">
            <w:pPr>
              <w:jc w:val="center"/>
              <w:rPr>
                <w:rFonts w:ascii="Arial" w:eastAsia="Times New Roman" w:hAnsi="Arial" w:cs="Arial"/>
                <w:color w:val="000000"/>
                <w:sz w:val="20"/>
                <w:szCs w:val="20"/>
                <w:shd w:val="clear" w:color="auto" w:fill="FFFFFF"/>
                <w:lang w:eastAsia="en-US"/>
              </w:rPr>
            </w:pPr>
          </w:p>
        </w:tc>
        <w:tc>
          <w:tcPr>
            <w:tcW w:w="2109" w:type="dxa"/>
          </w:tcPr>
          <w:p w14:paraId="745FB025" w14:textId="77777777" w:rsidR="00CF69B7" w:rsidRPr="00282991" w:rsidRDefault="00CF69B7" w:rsidP="00A301F8">
            <w:pPr>
              <w:rPr>
                <w:rFonts w:ascii="Arial" w:eastAsia="Times New Roman" w:hAnsi="Arial" w:cs="Arial"/>
                <w:i/>
                <w:iCs/>
                <w:color w:val="1F3763" w:themeColor="accent1" w:themeShade="7F"/>
                <w:sz w:val="20"/>
                <w:szCs w:val="20"/>
                <w:lang w:eastAsia="en-US"/>
              </w:rPr>
            </w:pPr>
            <w:r w:rsidRPr="00282991">
              <w:rPr>
                <w:rFonts w:ascii="Arial" w:eastAsia="Times New Roman" w:hAnsi="Arial" w:cs="Arial"/>
                <w:color w:val="000000"/>
                <w:sz w:val="20"/>
                <w:szCs w:val="20"/>
                <w:shd w:val="clear" w:color="auto" w:fill="FFFFFF"/>
                <w:lang w:eastAsia="en-US"/>
              </w:rPr>
              <w:t>NOVOCART® 3D plus vs. Microfracture</w:t>
            </w:r>
          </w:p>
          <w:p w14:paraId="37D1A602" w14:textId="77777777" w:rsidR="00CF69B7" w:rsidRPr="00282991" w:rsidRDefault="00CF69B7" w:rsidP="00A301F8">
            <w:pPr>
              <w:rPr>
                <w:rFonts w:ascii="Arial" w:hAnsi="Arial" w:cs="Arial"/>
                <w:sz w:val="20"/>
                <w:szCs w:val="20"/>
              </w:rPr>
            </w:pPr>
          </w:p>
        </w:tc>
        <w:tc>
          <w:tcPr>
            <w:tcW w:w="2110" w:type="dxa"/>
          </w:tcPr>
          <w:p w14:paraId="00DA6655" w14:textId="15F57B32" w:rsidR="00CF69B7" w:rsidRPr="00282991" w:rsidRDefault="00CF69B7" w:rsidP="00E33E1D">
            <w:pPr>
              <w:jc w:val="center"/>
              <w:rPr>
                <w:rFonts w:ascii="Arial" w:hAnsi="Arial" w:cs="Arial"/>
                <w:sz w:val="20"/>
                <w:szCs w:val="20"/>
              </w:rPr>
            </w:pPr>
            <w:r w:rsidRPr="00282991">
              <w:rPr>
                <w:rFonts w:ascii="Arial" w:hAnsi="Arial" w:cs="Arial"/>
                <w:sz w:val="20"/>
                <w:szCs w:val="20"/>
              </w:rPr>
              <w:t>263 (proposed number)</w:t>
            </w:r>
          </w:p>
        </w:tc>
        <w:tc>
          <w:tcPr>
            <w:tcW w:w="2110" w:type="dxa"/>
          </w:tcPr>
          <w:p w14:paraId="559488EB" w14:textId="0583FB78" w:rsidR="00CF69B7" w:rsidRPr="00282991" w:rsidRDefault="00CF69B7" w:rsidP="00E33E1D">
            <w:pPr>
              <w:jc w:val="center"/>
              <w:rPr>
                <w:rFonts w:ascii="Arial" w:hAnsi="Arial" w:cs="Arial"/>
                <w:sz w:val="20"/>
                <w:szCs w:val="20"/>
              </w:rPr>
            </w:pPr>
            <w:r w:rsidRPr="00282991">
              <w:rPr>
                <w:rFonts w:ascii="Arial" w:hAnsi="Arial" w:cs="Arial"/>
                <w:sz w:val="20"/>
                <w:szCs w:val="20"/>
              </w:rPr>
              <w:t>14-65</w:t>
            </w:r>
          </w:p>
        </w:tc>
        <w:tc>
          <w:tcPr>
            <w:tcW w:w="2110" w:type="dxa"/>
          </w:tcPr>
          <w:p w14:paraId="3352D6F4" w14:textId="77777777" w:rsidR="00CF69B7" w:rsidRPr="00282991" w:rsidRDefault="00CF69B7" w:rsidP="00E33E1D">
            <w:pPr>
              <w:jc w:val="center"/>
              <w:rPr>
                <w:rFonts w:ascii="Arial" w:eastAsia="Times New Roman" w:hAnsi="Arial" w:cs="Arial"/>
                <w:color w:val="000000"/>
                <w:sz w:val="20"/>
                <w:szCs w:val="20"/>
                <w:shd w:val="clear" w:color="auto" w:fill="FFFFFF"/>
                <w:lang w:eastAsia="en-US"/>
              </w:rPr>
            </w:pPr>
            <w:r w:rsidRPr="00282991">
              <w:rPr>
                <w:rFonts w:ascii="Arial" w:eastAsia="Times New Roman" w:hAnsi="Arial" w:cs="Arial"/>
                <w:color w:val="000000"/>
                <w:sz w:val="20"/>
                <w:szCs w:val="20"/>
                <w:shd w:val="clear" w:color="auto" w:fill="FFFFFF"/>
                <w:lang w:eastAsia="en-US"/>
              </w:rPr>
              <w:t>Austria,</w:t>
            </w:r>
          </w:p>
          <w:p w14:paraId="0C0D1680" w14:textId="77777777" w:rsidR="00CF69B7" w:rsidRPr="00282991" w:rsidRDefault="00CF69B7" w:rsidP="00E33E1D">
            <w:pPr>
              <w:jc w:val="center"/>
              <w:rPr>
                <w:rFonts w:ascii="Arial" w:eastAsia="Times New Roman" w:hAnsi="Arial" w:cs="Arial"/>
                <w:color w:val="000000"/>
                <w:sz w:val="20"/>
                <w:szCs w:val="20"/>
                <w:shd w:val="clear" w:color="auto" w:fill="FFFFFF"/>
                <w:lang w:eastAsia="en-US"/>
              </w:rPr>
            </w:pPr>
            <w:proofErr w:type="spellStart"/>
            <w:r w:rsidRPr="00282991">
              <w:rPr>
                <w:rFonts w:ascii="Arial" w:eastAsia="Times New Roman" w:hAnsi="Arial" w:cs="Arial"/>
                <w:color w:val="000000"/>
                <w:sz w:val="20"/>
                <w:szCs w:val="20"/>
                <w:shd w:val="clear" w:color="auto" w:fill="FFFFFF"/>
                <w:lang w:eastAsia="en-US"/>
              </w:rPr>
              <w:t>Czechia</w:t>
            </w:r>
            <w:proofErr w:type="spellEnd"/>
            <w:r w:rsidRPr="00282991">
              <w:rPr>
                <w:rFonts w:ascii="Arial" w:eastAsia="Times New Roman" w:hAnsi="Arial" w:cs="Arial"/>
                <w:color w:val="000000"/>
                <w:sz w:val="20"/>
                <w:szCs w:val="20"/>
                <w:shd w:val="clear" w:color="auto" w:fill="FFFFFF"/>
                <w:lang w:eastAsia="en-US"/>
              </w:rPr>
              <w:t>,</w:t>
            </w:r>
          </w:p>
          <w:p w14:paraId="6D24E764" w14:textId="77777777" w:rsidR="00CF69B7" w:rsidRPr="00282991" w:rsidRDefault="00CF69B7" w:rsidP="00E33E1D">
            <w:pPr>
              <w:jc w:val="center"/>
              <w:rPr>
                <w:rFonts w:ascii="Arial" w:eastAsia="Times New Roman" w:hAnsi="Arial" w:cs="Arial"/>
                <w:color w:val="000000"/>
                <w:sz w:val="20"/>
                <w:szCs w:val="20"/>
                <w:shd w:val="clear" w:color="auto" w:fill="FFFFFF"/>
                <w:lang w:eastAsia="en-US"/>
              </w:rPr>
            </w:pPr>
            <w:r w:rsidRPr="00282991">
              <w:rPr>
                <w:rFonts w:ascii="Arial" w:eastAsia="Times New Roman" w:hAnsi="Arial" w:cs="Arial"/>
                <w:color w:val="000000"/>
                <w:sz w:val="20"/>
                <w:szCs w:val="20"/>
                <w:shd w:val="clear" w:color="auto" w:fill="FFFFFF"/>
                <w:lang w:eastAsia="en-US"/>
              </w:rPr>
              <w:t>France,</w:t>
            </w:r>
          </w:p>
          <w:p w14:paraId="3BCDDEB1" w14:textId="77777777" w:rsidR="00CF69B7" w:rsidRPr="00282991" w:rsidRDefault="00CF69B7" w:rsidP="00E33E1D">
            <w:pPr>
              <w:jc w:val="center"/>
              <w:rPr>
                <w:rFonts w:ascii="Arial" w:eastAsia="Times New Roman" w:hAnsi="Arial" w:cs="Arial"/>
                <w:color w:val="000000"/>
                <w:sz w:val="20"/>
                <w:szCs w:val="20"/>
                <w:shd w:val="clear" w:color="auto" w:fill="FFFFFF"/>
                <w:lang w:eastAsia="en-US"/>
              </w:rPr>
            </w:pPr>
            <w:r w:rsidRPr="00282991">
              <w:rPr>
                <w:rFonts w:ascii="Arial" w:eastAsia="Times New Roman" w:hAnsi="Arial" w:cs="Arial"/>
                <w:color w:val="000000"/>
                <w:sz w:val="20"/>
                <w:szCs w:val="20"/>
                <w:shd w:val="clear" w:color="auto" w:fill="FFFFFF"/>
                <w:lang w:eastAsia="en-US"/>
              </w:rPr>
              <w:t>Germany,</w:t>
            </w:r>
          </w:p>
          <w:p w14:paraId="63E4ED69" w14:textId="77777777" w:rsidR="00CF69B7" w:rsidRPr="00282991" w:rsidRDefault="00CF69B7" w:rsidP="00E33E1D">
            <w:pPr>
              <w:jc w:val="center"/>
              <w:rPr>
                <w:rFonts w:ascii="Arial" w:eastAsia="Times New Roman" w:hAnsi="Arial" w:cs="Arial"/>
                <w:color w:val="000000"/>
                <w:sz w:val="20"/>
                <w:szCs w:val="20"/>
                <w:shd w:val="clear" w:color="auto" w:fill="FFFFFF"/>
                <w:lang w:eastAsia="en-US"/>
              </w:rPr>
            </w:pPr>
            <w:r w:rsidRPr="00282991">
              <w:rPr>
                <w:rFonts w:ascii="Arial" w:eastAsia="Times New Roman" w:hAnsi="Arial" w:cs="Arial"/>
                <w:color w:val="000000"/>
                <w:sz w:val="20"/>
                <w:szCs w:val="20"/>
                <w:shd w:val="clear" w:color="auto" w:fill="FFFFFF"/>
                <w:lang w:eastAsia="en-US"/>
              </w:rPr>
              <w:t>Hungary,</w:t>
            </w:r>
          </w:p>
          <w:p w14:paraId="6074CF6D" w14:textId="77777777" w:rsidR="00CF69B7" w:rsidRPr="00282991" w:rsidRDefault="00CF69B7" w:rsidP="00E33E1D">
            <w:pPr>
              <w:jc w:val="center"/>
              <w:rPr>
                <w:rFonts w:ascii="Arial" w:eastAsia="Times New Roman" w:hAnsi="Arial" w:cs="Arial"/>
                <w:color w:val="000000"/>
                <w:sz w:val="20"/>
                <w:szCs w:val="20"/>
                <w:shd w:val="clear" w:color="auto" w:fill="FFFFFF"/>
                <w:lang w:eastAsia="en-US"/>
              </w:rPr>
            </w:pPr>
            <w:r w:rsidRPr="00282991">
              <w:rPr>
                <w:rFonts w:ascii="Arial" w:eastAsia="Times New Roman" w:hAnsi="Arial" w:cs="Arial"/>
                <w:color w:val="000000"/>
                <w:sz w:val="20"/>
                <w:szCs w:val="20"/>
                <w:shd w:val="clear" w:color="auto" w:fill="FFFFFF"/>
                <w:lang w:eastAsia="en-US"/>
              </w:rPr>
              <w:t>Latvia,</w:t>
            </w:r>
          </w:p>
          <w:p w14:paraId="7C467338" w14:textId="77777777" w:rsidR="00CF69B7" w:rsidRPr="00282991" w:rsidRDefault="00CF69B7" w:rsidP="00E33E1D">
            <w:pPr>
              <w:jc w:val="center"/>
              <w:rPr>
                <w:rFonts w:ascii="Arial" w:eastAsia="Times New Roman" w:hAnsi="Arial" w:cs="Arial"/>
                <w:color w:val="000000"/>
                <w:sz w:val="20"/>
                <w:szCs w:val="20"/>
                <w:shd w:val="clear" w:color="auto" w:fill="FFFFFF"/>
                <w:lang w:eastAsia="en-US"/>
              </w:rPr>
            </w:pPr>
            <w:r w:rsidRPr="00282991">
              <w:rPr>
                <w:rFonts w:ascii="Arial" w:eastAsia="Times New Roman" w:hAnsi="Arial" w:cs="Arial"/>
                <w:color w:val="000000"/>
                <w:sz w:val="20"/>
                <w:szCs w:val="20"/>
                <w:shd w:val="clear" w:color="auto" w:fill="FFFFFF"/>
                <w:lang w:eastAsia="en-US"/>
              </w:rPr>
              <w:lastRenderedPageBreak/>
              <w:t>Lithuania,</w:t>
            </w:r>
          </w:p>
          <w:p w14:paraId="35BF1764" w14:textId="77777777" w:rsidR="00CF69B7" w:rsidRPr="00282991" w:rsidRDefault="00CF69B7" w:rsidP="00E33E1D">
            <w:pPr>
              <w:jc w:val="center"/>
              <w:rPr>
                <w:rFonts w:ascii="Arial" w:eastAsia="Times New Roman" w:hAnsi="Arial" w:cs="Arial"/>
                <w:color w:val="000000"/>
                <w:sz w:val="20"/>
                <w:szCs w:val="20"/>
                <w:shd w:val="clear" w:color="auto" w:fill="FFFFFF"/>
                <w:lang w:eastAsia="en-US"/>
              </w:rPr>
            </w:pPr>
            <w:r w:rsidRPr="00282991">
              <w:rPr>
                <w:rFonts w:ascii="Arial" w:eastAsia="Times New Roman" w:hAnsi="Arial" w:cs="Arial"/>
                <w:color w:val="000000"/>
                <w:sz w:val="20"/>
                <w:szCs w:val="20"/>
                <w:shd w:val="clear" w:color="auto" w:fill="FFFFFF"/>
                <w:lang w:eastAsia="en-US"/>
              </w:rPr>
              <w:t>Poland,</w:t>
            </w:r>
          </w:p>
          <w:p w14:paraId="7EF12E77" w14:textId="77777777" w:rsidR="00CF69B7" w:rsidRPr="00282991" w:rsidRDefault="00CF69B7" w:rsidP="00E33E1D">
            <w:pPr>
              <w:jc w:val="center"/>
              <w:rPr>
                <w:rFonts w:ascii="Arial" w:eastAsia="Times New Roman" w:hAnsi="Arial" w:cs="Arial"/>
                <w:color w:val="000000"/>
                <w:sz w:val="20"/>
                <w:szCs w:val="20"/>
                <w:shd w:val="clear" w:color="auto" w:fill="FFFFFF"/>
                <w:lang w:eastAsia="en-US"/>
              </w:rPr>
            </w:pPr>
            <w:r w:rsidRPr="00282991">
              <w:rPr>
                <w:rFonts w:ascii="Arial" w:eastAsia="Times New Roman" w:hAnsi="Arial" w:cs="Arial"/>
                <w:color w:val="000000"/>
                <w:sz w:val="20"/>
                <w:szCs w:val="20"/>
                <w:shd w:val="clear" w:color="auto" w:fill="FFFFFF"/>
                <w:lang w:eastAsia="en-US"/>
              </w:rPr>
              <w:t>Switzerland,</w:t>
            </w:r>
          </w:p>
          <w:p w14:paraId="3E55887F" w14:textId="059094F4" w:rsidR="00CF69B7" w:rsidRPr="00282991" w:rsidRDefault="00CF69B7" w:rsidP="00E33E1D">
            <w:pPr>
              <w:jc w:val="center"/>
              <w:rPr>
                <w:rFonts w:ascii="Arial" w:hAnsi="Arial" w:cs="Arial"/>
                <w:sz w:val="20"/>
                <w:szCs w:val="20"/>
              </w:rPr>
            </w:pPr>
            <w:r w:rsidRPr="00282991">
              <w:rPr>
                <w:rFonts w:ascii="Arial" w:eastAsia="Times New Roman" w:hAnsi="Arial" w:cs="Arial"/>
                <w:color w:val="000000"/>
                <w:sz w:val="20"/>
                <w:szCs w:val="20"/>
                <w:shd w:val="clear" w:color="auto" w:fill="FFFFFF"/>
                <w:lang w:eastAsia="en-US"/>
              </w:rPr>
              <w:t>United Kingdom</w:t>
            </w:r>
          </w:p>
        </w:tc>
        <w:tc>
          <w:tcPr>
            <w:tcW w:w="2110" w:type="dxa"/>
          </w:tcPr>
          <w:p w14:paraId="72624F5E" w14:textId="2D463541" w:rsidR="00CF69B7" w:rsidRDefault="00E33E1D" w:rsidP="00E33E1D">
            <w:pPr>
              <w:jc w:val="center"/>
              <w:rPr>
                <w:rFonts w:cstheme="minorHAnsi"/>
                <w:color w:val="000000" w:themeColor="text1"/>
              </w:rPr>
            </w:pPr>
            <w:r>
              <w:rPr>
                <w:rFonts w:cstheme="minorHAnsi"/>
                <w:color w:val="000000" w:themeColor="text1"/>
              </w:rPr>
              <w:lastRenderedPageBreak/>
              <w:fldChar w:fldCharType="begin" w:fldLock="1"/>
            </w:r>
            <w:r w:rsidR="00C8414E">
              <w:rPr>
                <w:rFonts w:cstheme="minorHAnsi"/>
                <w:color w:val="000000" w:themeColor="text1"/>
              </w:rPr>
              <w:instrText>ADDIN CSL_CITATION {"citationItems":[{"id":"ITEM-1","itemData":{"DOI":"10.1177/0363546514532337","ISSN":"15523365","PMID":"24817007","abstract":"Background: A range of scaffolds is available from various manufacturers for cartilage repair through matrix-associated autologous chondrocyte transplantation (MACT), with good medium- to long-term results. Purpose: To evaluate clinical and magnetic resonance imaging (MRI) outcomes 2 years after MACT on the knee joint using the Novocart 3D scaffold based on a bilayered collagen type I sponge. Study Design: Case series; Level of evidence, 4. Methods: Of 28 initial patients, 23 were clinically and radiologically evaluated 24 months after transplantation. Indications for MACT were chondral or osteochondral lesions on the knee joint with a defect size &gt;2 cm2, no instability, and no malalignment (axis deviation &lt;5°). Then, MRI was performed on a 3-T scanner to assess the magnetic resonance observation of cartilage repair tissue (MOCART) and 3-dimensional (3D) MOCART scores. A variety of subjective scores (International Knee Documentation Committee [IKDC], Knee injury and Osteoarthritis Outcome Score [KOOS], Noyes sports activity rating scale, Tegner activity scale, and visual analog scale [VAS] for pain) were used for clinical evaluation. Results: Two years after MACT, the MRI evaluation showed a mean MOCART score of 73.2 ± 12.4 and a 3D MOCART score of 73.4 ± 9.7. Clinical results showed mean values of 69.8 ± 15.2 for the IKDC; 51.6 ± 21.2, 86.5 ± 13.9, 54.5 ± 23.6, 65.0 ± 8.0, and 91.5 ± 10.6 for the KOOS subscales (Quality of Life, Pain, Sports and Recreation, Symptoms, and Activities of Daily Living, respectively); 77.5 ± 12.7 for the Noyes scale; 4.4 ± 1.6 for the Tegner activity scale; and 1.8 ± 1.7 for the VAS, with statistically significant improvement in all scores other than KOOS-Symptoms. Conclusion: Undergoing MACT using the Novocart 3D scaffold is an applicable method to treat large focal chondral and osteochondral defects, with good short-term clinical and radiological results. © 2014 The Author(s).","author":[{"dropping-particle":"","family":"Zak","given":"Lukas","non-dropping-particle":"","parse-names":false,"suffix":""},{"dropping-particle":"","family":"Albrecht","given":"Christian","non-dropping-particle":"","parse-names":false,"suffix":""},{"dropping-particle":"","family":"Wondrasch","given":"Barbara","non-dropping-particle":"","parse-names":false,"suffix":""},{"dropping-particle":"","family":"Widhalm","given":"Harald","non-dropping-particle":"","parse-names":false,"suffix":""},{"dropping-particle":"","family":"Vekszler","given":"György","non-dropping-particle":"","parse-names":false,"suffix":""},{"dropping-particle":"","family":"Trattnig","given":"Siegfried","non-dropping-particle":"","parse-names":false,"suffix":""},{"dropping-particle":"","family":"Marlovits","given":"Stefan","non-dropping-particle":"","parse-names":false,"suffix":""},{"dropping-particle":"","family":"Aldrian","given":"Silke","non-dropping-particle":"","parse-names":false,"suffix":""}],"container-title":"American Journal of Sports Medicine","id":"ITEM-1","issue":"7","issued":{"date-parts":[["2014"]]},"page":"1618-1627","title":"Results 2 years after matrix-associated autologous chondrocyte transplantation using the Novocart 3D scaffold: An analysis of clinical and radiological data","type":"article-journal","volume":"42"},"uris":["http://www.mendeley.com/documents/?uuid=bb409ce5-f24c-4f1a-ba2d-e8d7b80ba129"]}],"mendeley":{"formattedCitation":"[98]","plainTextFormattedCitation":"[98]","previouslyFormattedCitation":"[97]"},"properties":{"noteIndex":0},"schema":"https://github.com/citation-style-language/schema/raw/master/csl-citation.json"}</w:instrText>
            </w:r>
            <w:r>
              <w:rPr>
                <w:rFonts w:cstheme="minorHAnsi"/>
                <w:color w:val="000000" w:themeColor="text1"/>
              </w:rPr>
              <w:fldChar w:fldCharType="separate"/>
            </w:r>
            <w:r w:rsidR="00C8414E" w:rsidRPr="00C8414E">
              <w:rPr>
                <w:rFonts w:cstheme="minorHAnsi"/>
                <w:noProof/>
                <w:color w:val="000000" w:themeColor="text1"/>
              </w:rPr>
              <w:t>[98]</w:t>
            </w:r>
            <w:r>
              <w:rPr>
                <w:rFonts w:cstheme="minorHAnsi"/>
                <w:color w:val="000000" w:themeColor="text1"/>
              </w:rPr>
              <w:fldChar w:fldCharType="end"/>
            </w:r>
          </w:p>
        </w:tc>
      </w:tr>
      <w:tr w:rsidR="00E33E1D" w14:paraId="58C3C0BC" w14:textId="77777777" w:rsidTr="00E33E1D">
        <w:tc>
          <w:tcPr>
            <w:tcW w:w="2109" w:type="dxa"/>
          </w:tcPr>
          <w:p w14:paraId="7A647766" w14:textId="68C5DE1C" w:rsidR="00CF69B7" w:rsidRPr="00282991" w:rsidRDefault="00CF69B7" w:rsidP="00CF69B7">
            <w:pPr>
              <w:rPr>
                <w:rFonts w:ascii="Arial" w:eastAsia="Times New Roman" w:hAnsi="Arial" w:cs="Arial"/>
                <w:color w:val="000000"/>
                <w:sz w:val="20"/>
                <w:szCs w:val="20"/>
                <w:shd w:val="clear" w:color="auto" w:fill="FFFFFF"/>
                <w:lang w:eastAsia="en-US"/>
              </w:rPr>
            </w:pPr>
            <w:r w:rsidRPr="00282991">
              <w:rPr>
                <w:rFonts w:ascii="Arial" w:eastAsia="Times New Roman" w:hAnsi="Arial" w:cs="Arial"/>
                <w:color w:val="000000"/>
                <w:sz w:val="20"/>
                <w:szCs w:val="20"/>
                <w:shd w:val="clear" w:color="auto" w:fill="FFFFFF"/>
                <w:lang w:eastAsia="en-US"/>
              </w:rPr>
              <w:lastRenderedPageBreak/>
              <w:t>A Multi-</w:t>
            </w:r>
            <w:proofErr w:type="spellStart"/>
            <w:r w:rsidRPr="00282991">
              <w:rPr>
                <w:rFonts w:ascii="Arial" w:eastAsia="Times New Roman" w:hAnsi="Arial" w:cs="Arial"/>
                <w:color w:val="000000"/>
                <w:sz w:val="20"/>
                <w:szCs w:val="20"/>
                <w:shd w:val="clear" w:color="auto" w:fill="FFFFFF"/>
                <w:lang w:eastAsia="en-US"/>
              </w:rPr>
              <w:t>Center</w:t>
            </w:r>
            <w:proofErr w:type="spellEnd"/>
            <w:r w:rsidRPr="00282991">
              <w:rPr>
                <w:rFonts w:ascii="Arial" w:eastAsia="Times New Roman" w:hAnsi="Arial" w:cs="Arial"/>
                <w:color w:val="000000"/>
                <w:sz w:val="20"/>
                <w:szCs w:val="20"/>
                <w:shd w:val="clear" w:color="auto" w:fill="FFFFFF"/>
                <w:lang w:eastAsia="en-US"/>
              </w:rPr>
              <w:t xml:space="preserve">, Active-Controlled, Open-Label, Phase 2 Trial to Compare the Efficacy and Safety of </w:t>
            </w:r>
            <w:proofErr w:type="spellStart"/>
            <w:r w:rsidRPr="00282991">
              <w:rPr>
                <w:rFonts w:ascii="Arial" w:eastAsia="Times New Roman" w:hAnsi="Arial" w:cs="Arial"/>
                <w:color w:val="000000"/>
                <w:sz w:val="20"/>
                <w:szCs w:val="20"/>
                <w:shd w:val="clear" w:color="auto" w:fill="FFFFFF"/>
                <w:lang w:eastAsia="en-US"/>
              </w:rPr>
              <w:t>CartiLife</w:t>
            </w:r>
            <w:proofErr w:type="spellEnd"/>
            <w:r w:rsidRPr="00282991">
              <w:rPr>
                <w:rFonts w:ascii="Arial" w:eastAsia="Times New Roman" w:hAnsi="Arial" w:cs="Arial"/>
                <w:color w:val="000000"/>
                <w:sz w:val="20"/>
                <w:szCs w:val="20"/>
                <w:shd w:val="clear" w:color="auto" w:fill="FFFFFF"/>
                <w:lang w:eastAsia="en-US"/>
              </w:rPr>
              <w:t>®, and Microfracture for Patients With</w:t>
            </w:r>
            <w:r>
              <w:rPr>
                <w:rFonts w:ascii="Arial" w:eastAsia="Times New Roman" w:hAnsi="Arial" w:cs="Arial"/>
                <w:color w:val="000000"/>
                <w:sz w:val="20"/>
                <w:szCs w:val="20"/>
                <w:shd w:val="clear" w:color="auto" w:fill="FFFFFF"/>
                <w:lang w:eastAsia="en-US"/>
              </w:rPr>
              <w:t xml:space="preserve"> Articular Cartilage Defects</w:t>
            </w:r>
            <w:r w:rsidRPr="00282991">
              <w:rPr>
                <w:rFonts w:ascii="Arial" w:eastAsia="Times New Roman" w:hAnsi="Arial" w:cs="Arial"/>
                <w:color w:val="000000"/>
                <w:sz w:val="20"/>
                <w:szCs w:val="20"/>
                <w:shd w:val="clear" w:color="auto" w:fill="FFFFFF"/>
                <w:lang w:eastAsia="en-US"/>
              </w:rPr>
              <w:t xml:space="preserve"> in the Knee </w:t>
            </w:r>
            <w:r w:rsidRPr="00282991">
              <w:rPr>
                <w:rFonts w:ascii="Arial" w:eastAsia="Times New Roman" w:hAnsi="Arial" w:cs="Arial"/>
                <w:i/>
                <w:color w:val="000000"/>
                <w:sz w:val="20"/>
                <w:szCs w:val="20"/>
                <w:shd w:val="clear" w:color="auto" w:fill="FFFFFF"/>
                <w:lang w:eastAsia="en-US"/>
              </w:rPr>
              <w:t>(on</w:t>
            </w:r>
            <w:r>
              <w:rPr>
                <w:rFonts w:ascii="Arial" w:eastAsia="Times New Roman" w:hAnsi="Arial" w:cs="Arial"/>
                <w:i/>
                <w:color w:val="000000"/>
                <w:sz w:val="20"/>
                <w:szCs w:val="20"/>
                <w:shd w:val="clear" w:color="auto" w:fill="FFFFFF"/>
                <w:lang w:eastAsia="en-US"/>
              </w:rPr>
              <w:t>-</w:t>
            </w:r>
            <w:r w:rsidRPr="00282991">
              <w:rPr>
                <w:rFonts w:ascii="Arial" w:eastAsia="Times New Roman" w:hAnsi="Arial" w:cs="Arial"/>
                <w:i/>
                <w:color w:val="000000"/>
                <w:sz w:val="20"/>
                <w:szCs w:val="20"/>
                <w:shd w:val="clear" w:color="auto" w:fill="FFFFFF"/>
                <w:lang w:eastAsia="en-US"/>
              </w:rPr>
              <w:t>going- proposed end date Dec 2023)</w:t>
            </w:r>
          </w:p>
        </w:tc>
        <w:tc>
          <w:tcPr>
            <w:tcW w:w="2109" w:type="dxa"/>
          </w:tcPr>
          <w:p w14:paraId="09E6D502" w14:textId="77777777" w:rsidR="00CF69B7" w:rsidRPr="00282991" w:rsidRDefault="00CF69B7" w:rsidP="00CF69B7">
            <w:pPr>
              <w:jc w:val="center"/>
              <w:rPr>
                <w:rFonts w:ascii="Arial" w:eastAsia="Times New Roman" w:hAnsi="Arial" w:cs="Arial"/>
                <w:sz w:val="20"/>
                <w:szCs w:val="20"/>
                <w:lang w:eastAsia="en-US"/>
              </w:rPr>
            </w:pPr>
            <w:r w:rsidRPr="00282991">
              <w:rPr>
                <w:rFonts w:ascii="Arial" w:eastAsia="Times New Roman" w:hAnsi="Arial" w:cs="Arial"/>
                <w:color w:val="000000"/>
                <w:sz w:val="20"/>
                <w:szCs w:val="20"/>
                <w:shd w:val="clear" w:color="auto" w:fill="FFFFFF"/>
                <w:lang w:eastAsia="en-US"/>
              </w:rPr>
              <w:t>NCT04744402</w:t>
            </w:r>
          </w:p>
          <w:p w14:paraId="7B458DD8" w14:textId="77777777" w:rsidR="00CF69B7" w:rsidRPr="00282991" w:rsidRDefault="00CF69B7" w:rsidP="00CF69B7">
            <w:pPr>
              <w:jc w:val="center"/>
              <w:rPr>
                <w:rFonts w:ascii="Arial" w:eastAsia="Times New Roman" w:hAnsi="Arial" w:cs="Arial"/>
                <w:color w:val="000000"/>
                <w:sz w:val="20"/>
                <w:szCs w:val="20"/>
                <w:shd w:val="clear" w:color="auto" w:fill="FFFFFF"/>
                <w:lang w:eastAsia="en-US"/>
              </w:rPr>
            </w:pPr>
          </w:p>
        </w:tc>
        <w:tc>
          <w:tcPr>
            <w:tcW w:w="2109" w:type="dxa"/>
          </w:tcPr>
          <w:p w14:paraId="7786525D" w14:textId="77777777" w:rsidR="00CF69B7" w:rsidRPr="00282991" w:rsidRDefault="00CF69B7" w:rsidP="00CF69B7">
            <w:pPr>
              <w:jc w:val="center"/>
              <w:rPr>
                <w:rFonts w:ascii="Arial" w:eastAsia="Times New Roman" w:hAnsi="Arial" w:cs="Arial"/>
                <w:sz w:val="20"/>
                <w:szCs w:val="20"/>
                <w:lang w:eastAsia="en-US"/>
              </w:rPr>
            </w:pPr>
            <w:r>
              <w:rPr>
                <w:rFonts w:ascii="Arial" w:eastAsia="Times New Roman" w:hAnsi="Arial" w:cs="Arial"/>
                <w:color w:val="000000"/>
                <w:sz w:val="20"/>
                <w:szCs w:val="20"/>
                <w:shd w:val="clear" w:color="auto" w:fill="FFFFFF"/>
                <w:lang w:eastAsia="en-US"/>
              </w:rPr>
              <w:t>ACI (</w:t>
            </w:r>
            <w:proofErr w:type="spellStart"/>
            <w:r>
              <w:rPr>
                <w:rFonts w:ascii="Arial" w:eastAsia="Times New Roman" w:hAnsi="Arial" w:cs="Arial"/>
                <w:color w:val="000000"/>
                <w:sz w:val="20"/>
                <w:szCs w:val="20"/>
                <w:shd w:val="clear" w:color="auto" w:fill="FFFFFF"/>
                <w:lang w:eastAsia="en-US"/>
              </w:rPr>
              <w:t>CartiLife</w:t>
            </w:r>
            <w:proofErr w:type="spellEnd"/>
            <w:r>
              <w:rPr>
                <w:rFonts w:ascii="Arial" w:eastAsia="Times New Roman" w:hAnsi="Arial" w:cs="Arial"/>
                <w:color w:val="000000"/>
                <w:sz w:val="20"/>
                <w:szCs w:val="20"/>
                <w:shd w:val="clear" w:color="auto" w:fill="FFFFFF"/>
                <w:lang w:eastAsia="en-US"/>
              </w:rPr>
              <w:t>®) vs.</w:t>
            </w:r>
            <w:r w:rsidRPr="00282991">
              <w:rPr>
                <w:rFonts w:ascii="Arial" w:eastAsia="Times New Roman" w:hAnsi="Arial" w:cs="Arial"/>
                <w:color w:val="000000"/>
                <w:sz w:val="20"/>
                <w:szCs w:val="20"/>
                <w:shd w:val="clear" w:color="auto" w:fill="FFFFFF"/>
                <w:lang w:eastAsia="en-US"/>
              </w:rPr>
              <w:t xml:space="preserve"> Microfracture</w:t>
            </w:r>
          </w:p>
          <w:p w14:paraId="365F992C" w14:textId="77777777" w:rsidR="00CF69B7" w:rsidRPr="00282991" w:rsidRDefault="00CF69B7" w:rsidP="00CF69B7">
            <w:pPr>
              <w:jc w:val="center"/>
              <w:rPr>
                <w:rFonts w:ascii="Arial" w:eastAsia="Times New Roman" w:hAnsi="Arial" w:cs="Arial"/>
                <w:color w:val="000000"/>
                <w:sz w:val="20"/>
                <w:szCs w:val="20"/>
                <w:shd w:val="clear" w:color="auto" w:fill="FFFFFF"/>
                <w:lang w:eastAsia="en-US"/>
              </w:rPr>
            </w:pPr>
          </w:p>
        </w:tc>
        <w:tc>
          <w:tcPr>
            <w:tcW w:w="2110" w:type="dxa"/>
          </w:tcPr>
          <w:p w14:paraId="0C83F0A6" w14:textId="7712B32A" w:rsidR="00CF69B7" w:rsidRPr="00282991" w:rsidRDefault="00CF69B7" w:rsidP="00E33E1D">
            <w:pPr>
              <w:jc w:val="center"/>
              <w:rPr>
                <w:rFonts w:ascii="Arial" w:hAnsi="Arial" w:cs="Arial"/>
                <w:sz w:val="20"/>
                <w:szCs w:val="20"/>
              </w:rPr>
            </w:pPr>
            <w:r w:rsidRPr="00282991">
              <w:rPr>
                <w:rFonts w:ascii="Arial" w:hAnsi="Arial" w:cs="Arial"/>
                <w:sz w:val="20"/>
                <w:szCs w:val="20"/>
              </w:rPr>
              <w:t>50 (proposed number)</w:t>
            </w:r>
          </w:p>
        </w:tc>
        <w:tc>
          <w:tcPr>
            <w:tcW w:w="2110" w:type="dxa"/>
          </w:tcPr>
          <w:p w14:paraId="3CB3C49B" w14:textId="23705C5A" w:rsidR="00CF69B7" w:rsidRPr="00282991" w:rsidRDefault="00CF69B7" w:rsidP="00E33E1D">
            <w:pPr>
              <w:jc w:val="center"/>
              <w:rPr>
                <w:rFonts w:ascii="Arial" w:hAnsi="Arial" w:cs="Arial"/>
                <w:sz w:val="20"/>
                <w:szCs w:val="20"/>
              </w:rPr>
            </w:pPr>
            <w:r w:rsidRPr="00282991">
              <w:rPr>
                <w:rFonts w:ascii="Arial" w:hAnsi="Arial" w:cs="Arial"/>
                <w:sz w:val="20"/>
                <w:szCs w:val="20"/>
              </w:rPr>
              <w:t>19+</w:t>
            </w:r>
          </w:p>
        </w:tc>
        <w:tc>
          <w:tcPr>
            <w:tcW w:w="2110" w:type="dxa"/>
          </w:tcPr>
          <w:p w14:paraId="578A3FE8" w14:textId="2893B98B" w:rsidR="00CF69B7" w:rsidRPr="00282991" w:rsidRDefault="00CF69B7" w:rsidP="00E33E1D">
            <w:pPr>
              <w:jc w:val="center"/>
              <w:rPr>
                <w:rFonts w:ascii="Arial" w:eastAsia="Times New Roman" w:hAnsi="Arial" w:cs="Arial"/>
                <w:color w:val="000000"/>
                <w:sz w:val="20"/>
                <w:szCs w:val="20"/>
                <w:shd w:val="clear" w:color="auto" w:fill="FFFFFF"/>
                <w:lang w:eastAsia="en-US"/>
              </w:rPr>
            </w:pPr>
            <w:r w:rsidRPr="00282991">
              <w:rPr>
                <w:rFonts w:ascii="Arial" w:eastAsia="Times New Roman" w:hAnsi="Arial" w:cs="Arial"/>
                <w:color w:val="000000"/>
                <w:sz w:val="20"/>
                <w:szCs w:val="20"/>
                <w:shd w:val="clear" w:color="auto" w:fill="FFFFFF"/>
                <w:lang w:eastAsia="en-US"/>
              </w:rPr>
              <w:t>United States</w:t>
            </w:r>
          </w:p>
        </w:tc>
        <w:tc>
          <w:tcPr>
            <w:tcW w:w="2110" w:type="dxa"/>
          </w:tcPr>
          <w:p w14:paraId="6DC279B3" w14:textId="1885D93E" w:rsidR="00CF69B7" w:rsidRDefault="00E33E1D" w:rsidP="00E33E1D">
            <w:pPr>
              <w:jc w:val="center"/>
              <w:rPr>
                <w:rFonts w:cstheme="minorHAnsi"/>
                <w:color w:val="000000" w:themeColor="text1"/>
              </w:rPr>
            </w:pPr>
            <w:r>
              <w:rPr>
                <w:rFonts w:cstheme="minorHAnsi"/>
                <w:color w:val="000000" w:themeColor="text1"/>
              </w:rPr>
              <w:t>N/A</w:t>
            </w:r>
          </w:p>
        </w:tc>
      </w:tr>
      <w:tr w:rsidR="00E33E1D" w14:paraId="6E3A5F6F" w14:textId="77777777" w:rsidTr="00E33E1D">
        <w:tc>
          <w:tcPr>
            <w:tcW w:w="2109" w:type="dxa"/>
          </w:tcPr>
          <w:p w14:paraId="6C3113D8" w14:textId="506C1770" w:rsidR="00CF69B7" w:rsidRPr="00282991" w:rsidRDefault="00CF69B7" w:rsidP="00CF69B7">
            <w:pPr>
              <w:rPr>
                <w:rFonts w:ascii="Arial" w:eastAsia="Times New Roman" w:hAnsi="Arial" w:cs="Arial"/>
                <w:color w:val="000000"/>
                <w:sz w:val="20"/>
                <w:szCs w:val="20"/>
                <w:shd w:val="clear" w:color="auto" w:fill="FFFFFF"/>
                <w:lang w:eastAsia="en-US"/>
              </w:rPr>
            </w:pPr>
            <w:r w:rsidRPr="00282991">
              <w:rPr>
                <w:rFonts w:ascii="Arial" w:eastAsia="Times New Roman" w:hAnsi="Arial" w:cs="Arial"/>
                <w:b/>
                <w:bCs/>
                <w:color w:val="000000"/>
                <w:sz w:val="20"/>
                <w:szCs w:val="20"/>
                <w:shd w:val="clear" w:color="auto" w:fill="FFFFFF"/>
                <w:lang w:eastAsia="en-US"/>
              </w:rPr>
              <w:t>PEAK</w:t>
            </w:r>
            <w:r w:rsidRPr="00282991">
              <w:rPr>
                <w:rFonts w:ascii="Arial" w:eastAsia="Times New Roman" w:hAnsi="Arial" w:cs="Arial"/>
                <w:bCs/>
                <w:color w:val="000000"/>
                <w:sz w:val="20"/>
                <w:szCs w:val="20"/>
                <w:shd w:val="clear" w:color="auto" w:fill="FFFFFF"/>
                <w:lang w:eastAsia="en-US"/>
              </w:rPr>
              <w:t xml:space="preserve">- A Study of MACI in Patients Aged 10 to 17 Years With Symptomatic Chondral or Osteochondral Defects of the Knee </w:t>
            </w:r>
            <w:r w:rsidRPr="00282991">
              <w:rPr>
                <w:rFonts w:ascii="Arial" w:eastAsia="Times New Roman" w:hAnsi="Arial" w:cs="Arial"/>
                <w:bCs/>
                <w:i/>
                <w:color w:val="000000"/>
                <w:sz w:val="20"/>
                <w:szCs w:val="20"/>
                <w:shd w:val="clear" w:color="auto" w:fill="FFFFFF"/>
                <w:lang w:eastAsia="en-US"/>
              </w:rPr>
              <w:t>(on</w:t>
            </w:r>
            <w:r>
              <w:rPr>
                <w:rFonts w:ascii="Arial" w:eastAsia="Times New Roman" w:hAnsi="Arial" w:cs="Arial"/>
                <w:bCs/>
                <w:i/>
                <w:color w:val="000000"/>
                <w:sz w:val="20"/>
                <w:szCs w:val="20"/>
                <w:shd w:val="clear" w:color="auto" w:fill="FFFFFF"/>
                <w:lang w:eastAsia="en-US"/>
              </w:rPr>
              <w:t>-</w:t>
            </w:r>
            <w:r w:rsidRPr="00282991">
              <w:rPr>
                <w:rFonts w:ascii="Arial" w:eastAsia="Times New Roman" w:hAnsi="Arial" w:cs="Arial"/>
                <w:bCs/>
                <w:i/>
                <w:color w:val="000000"/>
                <w:sz w:val="20"/>
                <w:szCs w:val="20"/>
                <w:shd w:val="clear" w:color="auto" w:fill="FFFFFF"/>
                <w:lang w:eastAsia="en-US"/>
              </w:rPr>
              <w:t>going- proposed end date June 2025)</w:t>
            </w:r>
          </w:p>
        </w:tc>
        <w:tc>
          <w:tcPr>
            <w:tcW w:w="2109" w:type="dxa"/>
          </w:tcPr>
          <w:p w14:paraId="5DCC161A" w14:textId="77777777" w:rsidR="00CF69B7" w:rsidRPr="00282991" w:rsidRDefault="00CF69B7" w:rsidP="00CF69B7">
            <w:pPr>
              <w:jc w:val="center"/>
              <w:rPr>
                <w:rFonts w:ascii="Arial" w:eastAsia="Times New Roman" w:hAnsi="Arial" w:cs="Arial"/>
                <w:sz w:val="20"/>
                <w:szCs w:val="20"/>
                <w:lang w:eastAsia="en-US"/>
              </w:rPr>
            </w:pPr>
            <w:r w:rsidRPr="00282991">
              <w:rPr>
                <w:rFonts w:ascii="Arial" w:eastAsia="Times New Roman" w:hAnsi="Arial" w:cs="Arial"/>
                <w:color w:val="000000"/>
                <w:sz w:val="20"/>
                <w:szCs w:val="20"/>
                <w:shd w:val="clear" w:color="auto" w:fill="FFFFFF"/>
                <w:lang w:eastAsia="en-US"/>
              </w:rPr>
              <w:t>NCT03588975</w:t>
            </w:r>
          </w:p>
          <w:p w14:paraId="31D348D2" w14:textId="77777777" w:rsidR="00CF69B7" w:rsidRPr="00282991" w:rsidRDefault="00CF69B7" w:rsidP="00CF69B7">
            <w:pPr>
              <w:jc w:val="center"/>
              <w:rPr>
                <w:rFonts w:ascii="Arial" w:eastAsia="Times New Roman" w:hAnsi="Arial" w:cs="Arial"/>
                <w:color w:val="000000"/>
                <w:sz w:val="20"/>
                <w:szCs w:val="20"/>
                <w:shd w:val="clear" w:color="auto" w:fill="FFFFFF"/>
                <w:lang w:eastAsia="en-US"/>
              </w:rPr>
            </w:pPr>
          </w:p>
        </w:tc>
        <w:tc>
          <w:tcPr>
            <w:tcW w:w="2109" w:type="dxa"/>
          </w:tcPr>
          <w:p w14:paraId="119D63CD" w14:textId="7978CB4B" w:rsidR="00CF69B7" w:rsidRDefault="00CF69B7" w:rsidP="00CF69B7">
            <w:pPr>
              <w:jc w:val="center"/>
              <w:rPr>
                <w:rFonts w:ascii="Arial" w:eastAsia="Times New Roman" w:hAnsi="Arial" w:cs="Arial"/>
                <w:color w:val="000000"/>
                <w:sz w:val="20"/>
                <w:szCs w:val="20"/>
                <w:shd w:val="clear" w:color="auto" w:fill="FFFFFF"/>
                <w:lang w:eastAsia="en-US"/>
              </w:rPr>
            </w:pPr>
            <w:r w:rsidRPr="00282991">
              <w:rPr>
                <w:rFonts w:ascii="Arial" w:eastAsia="Times New Roman" w:hAnsi="Arial" w:cs="Arial"/>
                <w:color w:val="000000"/>
                <w:sz w:val="20"/>
                <w:szCs w:val="20"/>
                <w:shd w:val="clear" w:color="auto" w:fill="FFFFFF"/>
                <w:lang w:eastAsia="en-US"/>
              </w:rPr>
              <w:t>MACI vs Microfracture</w:t>
            </w:r>
          </w:p>
        </w:tc>
        <w:tc>
          <w:tcPr>
            <w:tcW w:w="2110" w:type="dxa"/>
          </w:tcPr>
          <w:p w14:paraId="5E0A7C33" w14:textId="2A1BF302" w:rsidR="00CF69B7" w:rsidRPr="00282991" w:rsidRDefault="00CF69B7" w:rsidP="00E33E1D">
            <w:pPr>
              <w:jc w:val="center"/>
              <w:rPr>
                <w:rFonts w:ascii="Arial" w:hAnsi="Arial" w:cs="Arial"/>
                <w:sz w:val="20"/>
                <w:szCs w:val="20"/>
              </w:rPr>
            </w:pPr>
            <w:r w:rsidRPr="00282991">
              <w:rPr>
                <w:rFonts w:ascii="Arial" w:hAnsi="Arial" w:cs="Arial"/>
                <w:sz w:val="20"/>
                <w:szCs w:val="20"/>
              </w:rPr>
              <w:t>45 (proposed number)</w:t>
            </w:r>
          </w:p>
        </w:tc>
        <w:tc>
          <w:tcPr>
            <w:tcW w:w="2110" w:type="dxa"/>
          </w:tcPr>
          <w:p w14:paraId="534B8A5E" w14:textId="0D4669D3" w:rsidR="00CF69B7" w:rsidRPr="00282991" w:rsidRDefault="00CF69B7" w:rsidP="00E33E1D">
            <w:pPr>
              <w:jc w:val="center"/>
              <w:rPr>
                <w:rFonts w:ascii="Arial" w:hAnsi="Arial" w:cs="Arial"/>
                <w:sz w:val="20"/>
                <w:szCs w:val="20"/>
              </w:rPr>
            </w:pPr>
            <w:r w:rsidRPr="00282991">
              <w:rPr>
                <w:rFonts w:ascii="Arial" w:hAnsi="Arial" w:cs="Arial"/>
                <w:sz w:val="20"/>
                <w:szCs w:val="20"/>
              </w:rPr>
              <w:t>10-17</w:t>
            </w:r>
          </w:p>
        </w:tc>
        <w:tc>
          <w:tcPr>
            <w:tcW w:w="2110" w:type="dxa"/>
          </w:tcPr>
          <w:p w14:paraId="140809D3" w14:textId="61566BD0" w:rsidR="00CF69B7" w:rsidRPr="00282991" w:rsidRDefault="00CF69B7" w:rsidP="00E33E1D">
            <w:pPr>
              <w:jc w:val="center"/>
              <w:rPr>
                <w:rFonts w:ascii="Arial" w:eastAsia="Times New Roman" w:hAnsi="Arial" w:cs="Arial"/>
                <w:color w:val="000000"/>
                <w:sz w:val="20"/>
                <w:szCs w:val="20"/>
                <w:shd w:val="clear" w:color="auto" w:fill="FFFFFF"/>
                <w:lang w:eastAsia="en-US"/>
              </w:rPr>
            </w:pPr>
            <w:r w:rsidRPr="00282991">
              <w:rPr>
                <w:rFonts w:ascii="Arial" w:eastAsia="Times New Roman" w:hAnsi="Arial" w:cs="Arial"/>
                <w:color w:val="000000"/>
                <w:sz w:val="20"/>
                <w:szCs w:val="20"/>
                <w:shd w:val="clear" w:color="auto" w:fill="FFFFFF"/>
                <w:lang w:eastAsia="en-US"/>
              </w:rPr>
              <w:t>United States</w:t>
            </w:r>
          </w:p>
        </w:tc>
        <w:tc>
          <w:tcPr>
            <w:tcW w:w="2110" w:type="dxa"/>
          </w:tcPr>
          <w:p w14:paraId="136D96AE" w14:textId="286C78A8" w:rsidR="00CF69B7" w:rsidRDefault="00E33E1D" w:rsidP="00E33E1D">
            <w:pPr>
              <w:jc w:val="center"/>
              <w:rPr>
                <w:rFonts w:cstheme="minorHAnsi"/>
                <w:color w:val="000000" w:themeColor="text1"/>
              </w:rPr>
            </w:pPr>
            <w:r>
              <w:rPr>
                <w:rFonts w:cstheme="minorHAnsi"/>
                <w:color w:val="000000" w:themeColor="text1"/>
              </w:rPr>
              <w:t>N/A</w:t>
            </w:r>
          </w:p>
        </w:tc>
      </w:tr>
      <w:tr w:rsidR="00E33E1D" w14:paraId="01C28053" w14:textId="77777777" w:rsidTr="00E33E1D">
        <w:tc>
          <w:tcPr>
            <w:tcW w:w="2109" w:type="dxa"/>
          </w:tcPr>
          <w:p w14:paraId="249CFCB5" w14:textId="1DC194CB" w:rsidR="00CF69B7" w:rsidRPr="00282991" w:rsidRDefault="00CF69B7" w:rsidP="00CF69B7">
            <w:pPr>
              <w:rPr>
                <w:rFonts w:ascii="Arial" w:eastAsia="Times New Roman" w:hAnsi="Arial" w:cs="Arial"/>
                <w:b/>
                <w:bCs/>
                <w:color w:val="000000"/>
                <w:sz w:val="20"/>
                <w:szCs w:val="20"/>
                <w:shd w:val="clear" w:color="auto" w:fill="FFFFFF"/>
                <w:lang w:eastAsia="en-US"/>
              </w:rPr>
            </w:pPr>
            <w:r w:rsidRPr="00282991">
              <w:rPr>
                <w:rFonts w:ascii="Arial" w:eastAsia="Times New Roman" w:hAnsi="Arial" w:cs="Arial"/>
                <w:b/>
                <w:color w:val="000000"/>
                <w:sz w:val="20"/>
                <w:szCs w:val="20"/>
                <w:shd w:val="clear" w:color="auto" w:fill="FFFFFF"/>
                <w:lang w:eastAsia="en-US"/>
              </w:rPr>
              <w:t>ASCOT</w:t>
            </w:r>
            <w:r w:rsidRPr="00282991">
              <w:rPr>
                <w:rFonts w:ascii="Arial" w:eastAsia="Times New Roman" w:hAnsi="Arial" w:cs="Arial"/>
                <w:color w:val="000000"/>
                <w:sz w:val="20"/>
                <w:szCs w:val="20"/>
                <w:shd w:val="clear" w:color="auto" w:fill="FFFFFF"/>
                <w:lang w:eastAsia="en-US"/>
              </w:rPr>
              <w:t xml:space="preserve">- Autologous Stem cells, Chondrocytes Or the Two? </w:t>
            </w:r>
            <w:r w:rsidRPr="00282991">
              <w:rPr>
                <w:rFonts w:ascii="Arial" w:eastAsia="Times New Roman" w:hAnsi="Arial" w:cs="Arial"/>
                <w:i/>
                <w:color w:val="000000"/>
                <w:sz w:val="20"/>
                <w:szCs w:val="20"/>
                <w:shd w:val="clear" w:color="auto" w:fill="FFFFFF"/>
                <w:lang w:eastAsia="en-US"/>
              </w:rPr>
              <w:t xml:space="preserve">(On-going- proposed end date </w:t>
            </w:r>
            <w:r w:rsidRPr="00CF69B7">
              <w:rPr>
                <w:rFonts w:ascii="Arial" w:eastAsia="Times New Roman" w:hAnsi="Arial" w:cs="Arial"/>
                <w:i/>
                <w:color w:val="000000"/>
                <w:sz w:val="20"/>
                <w:szCs w:val="20"/>
                <w:shd w:val="clear" w:color="auto" w:fill="FFFFFF"/>
                <w:lang w:eastAsia="en-US"/>
              </w:rPr>
              <w:t>2023)</w:t>
            </w:r>
          </w:p>
        </w:tc>
        <w:tc>
          <w:tcPr>
            <w:tcW w:w="2109" w:type="dxa"/>
          </w:tcPr>
          <w:p w14:paraId="267602C5" w14:textId="77777777" w:rsidR="00CF69B7" w:rsidRPr="00A90F9E" w:rsidRDefault="00CF69B7" w:rsidP="00CF69B7">
            <w:pPr>
              <w:jc w:val="center"/>
              <w:rPr>
                <w:rFonts w:ascii="Arial" w:eastAsia="Times New Roman" w:hAnsi="Arial" w:cs="Arial"/>
                <w:sz w:val="20"/>
                <w:szCs w:val="20"/>
                <w:lang w:eastAsia="en-US"/>
              </w:rPr>
            </w:pPr>
            <w:r w:rsidRPr="00A90F9E">
              <w:rPr>
                <w:rFonts w:ascii="Arial" w:eastAsia="Times New Roman" w:hAnsi="Arial" w:cs="Arial"/>
                <w:sz w:val="20"/>
                <w:szCs w:val="20"/>
                <w:lang w:eastAsia="en-US"/>
              </w:rPr>
              <w:t>ISRCTN98997175</w:t>
            </w:r>
          </w:p>
          <w:p w14:paraId="35977C01" w14:textId="77777777" w:rsidR="00CF69B7" w:rsidRPr="00282991" w:rsidRDefault="00CF69B7" w:rsidP="00CF69B7">
            <w:pPr>
              <w:jc w:val="center"/>
              <w:rPr>
                <w:rFonts w:ascii="Arial" w:eastAsia="Times New Roman" w:hAnsi="Arial" w:cs="Arial"/>
                <w:color w:val="000000"/>
                <w:sz w:val="20"/>
                <w:szCs w:val="20"/>
                <w:shd w:val="clear" w:color="auto" w:fill="FFFFFF"/>
                <w:lang w:eastAsia="en-US"/>
              </w:rPr>
            </w:pPr>
          </w:p>
        </w:tc>
        <w:tc>
          <w:tcPr>
            <w:tcW w:w="2109" w:type="dxa"/>
          </w:tcPr>
          <w:p w14:paraId="0F7CFA73" w14:textId="185513F0" w:rsidR="00CF69B7" w:rsidRPr="00282991" w:rsidRDefault="00CF69B7" w:rsidP="00CF69B7">
            <w:pPr>
              <w:jc w:val="center"/>
              <w:rPr>
                <w:rFonts w:ascii="Arial" w:eastAsia="Times New Roman" w:hAnsi="Arial" w:cs="Arial"/>
                <w:color w:val="000000"/>
                <w:sz w:val="20"/>
                <w:szCs w:val="20"/>
                <w:shd w:val="clear" w:color="auto" w:fill="FFFFFF"/>
                <w:lang w:eastAsia="en-US"/>
              </w:rPr>
            </w:pPr>
            <w:r w:rsidRPr="00282991">
              <w:rPr>
                <w:rFonts w:ascii="Arial" w:eastAsia="Times New Roman" w:hAnsi="Arial" w:cs="Arial"/>
                <w:color w:val="000000"/>
                <w:sz w:val="20"/>
                <w:szCs w:val="20"/>
                <w:shd w:val="clear" w:color="auto" w:fill="FFFFFF"/>
                <w:lang w:eastAsia="en-US"/>
              </w:rPr>
              <w:t>ACI vs autologous BM-MSCs vs combined ACI and autologous BM-MSCs</w:t>
            </w:r>
          </w:p>
        </w:tc>
        <w:tc>
          <w:tcPr>
            <w:tcW w:w="2110" w:type="dxa"/>
          </w:tcPr>
          <w:p w14:paraId="48A0B736" w14:textId="12EAA5E6" w:rsidR="00CF69B7" w:rsidRPr="00282991" w:rsidRDefault="00CF69B7" w:rsidP="00E33E1D">
            <w:pPr>
              <w:jc w:val="center"/>
              <w:rPr>
                <w:rFonts w:ascii="Arial" w:hAnsi="Arial" w:cs="Arial"/>
                <w:sz w:val="20"/>
                <w:szCs w:val="20"/>
              </w:rPr>
            </w:pPr>
            <w:r w:rsidRPr="00282991">
              <w:rPr>
                <w:rFonts w:ascii="Arial" w:hAnsi="Arial" w:cs="Arial"/>
                <w:sz w:val="20"/>
                <w:szCs w:val="20"/>
              </w:rPr>
              <w:t>11</w:t>
            </w:r>
            <w:r>
              <w:rPr>
                <w:rFonts w:ascii="Arial" w:hAnsi="Arial" w:cs="Arial"/>
                <w:sz w:val="20"/>
                <w:szCs w:val="20"/>
              </w:rPr>
              <w:t>4 (proposed number)</w:t>
            </w:r>
          </w:p>
        </w:tc>
        <w:tc>
          <w:tcPr>
            <w:tcW w:w="2110" w:type="dxa"/>
          </w:tcPr>
          <w:p w14:paraId="58A17D9D" w14:textId="4EEB1583" w:rsidR="00CF69B7" w:rsidRPr="00282991" w:rsidRDefault="00CF69B7" w:rsidP="00E33E1D">
            <w:pPr>
              <w:jc w:val="center"/>
              <w:rPr>
                <w:rFonts w:ascii="Arial" w:hAnsi="Arial" w:cs="Arial"/>
                <w:sz w:val="20"/>
                <w:szCs w:val="20"/>
              </w:rPr>
            </w:pPr>
            <w:r w:rsidRPr="00282991">
              <w:rPr>
                <w:rFonts w:ascii="Arial" w:hAnsi="Arial" w:cs="Arial"/>
                <w:sz w:val="20"/>
                <w:szCs w:val="20"/>
              </w:rPr>
              <w:t>18-80</w:t>
            </w:r>
          </w:p>
        </w:tc>
        <w:tc>
          <w:tcPr>
            <w:tcW w:w="2110" w:type="dxa"/>
          </w:tcPr>
          <w:p w14:paraId="465CD88F" w14:textId="2BA51BD5" w:rsidR="00CF69B7" w:rsidRPr="00282991" w:rsidRDefault="00CF69B7" w:rsidP="00E33E1D">
            <w:pPr>
              <w:jc w:val="center"/>
              <w:rPr>
                <w:rFonts w:ascii="Arial" w:eastAsia="Times New Roman" w:hAnsi="Arial" w:cs="Arial"/>
                <w:color w:val="000000"/>
                <w:sz w:val="20"/>
                <w:szCs w:val="20"/>
                <w:shd w:val="clear" w:color="auto" w:fill="FFFFFF"/>
                <w:lang w:eastAsia="en-US"/>
              </w:rPr>
            </w:pPr>
            <w:r w:rsidRPr="00282991">
              <w:rPr>
                <w:rFonts w:ascii="Arial" w:eastAsia="Times New Roman" w:hAnsi="Arial" w:cs="Arial"/>
                <w:color w:val="000000"/>
                <w:sz w:val="20"/>
                <w:szCs w:val="20"/>
                <w:shd w:val="clear" w:color="auto" w:fill="FFFFFF"/>
                <w:lang w:eastAsia="en-US"/>
              </w:rPr>
              <w:t>United Kingdom</w:t>
            </w:r>
          </w:p>
        </w:tc>
        <w:tc>
          <w:tcPr>
            <w:tcW w:w="2110" w:type="dxa"/>
          </w:tcPr>
          <w:p w14:paraId="72ECCEB2" w14:textId="3236A624" w:rsidR="00CF69B7" w:rsidRDefault="00E33E1D" w:rsidP="00E33E1D">
            <w:pPr>
              <w:jc w:val="center"/>
              <w:rPr>
                <w:rFonts w:cstheme="minorHAnsi"/>
                <w:color w:val="000000" w:themeColor="text1"/>
              </w:rPr>
            </w:pPr>
            <w:r>
              <w:rPr>
                <w:rFonts w:cstheme="minorHAnsi"/>
                <w:color w:val="000000" w:themeColor="text1"/>
              </w:rPr>
              <w:fldChar w:fldCharType="begin" w:fldLock="1"/>
            </w:r>
            <w:r w:rsidR="003101E1">
              <w:rPr>
                <w:rFonts w:cstheme="minorHAnsi"/>
                <w:color w:val="000000" w:themeColor="text1"/>
              </w:rPr>
              <w:instrText>ADDIN CSL_CITATION {"citationItems":[{"id":"ITEM-1","itemData":{"author":[{"dropping-particle":"","family":"Richardson","given":"James B","non-dropping-particle":"","parse-names":false,"suffix":""},{"dropping-particle":"","family":"Wright","given":"K T","non-dropping-particle":"","parse-names":false,"suffix":""},{"dropping-particle":"","family":"Wales","given":"Johanna","non-dropping-particle":"","parse-names":false,"suffix":""},{"dropping-particle":"","family":"Kuiper","given":"Jan Herman","non-dropping-particle":"","parse-names":false,"suffix":""},{"dropping-particle":"","family":"Helen","given":"S","non-dropping-particle":"","parse-names":false,"suffix":""},{"dropping-particle":"","family":"Harrison","given":"Paul E","non-dropping-particle":"","parse-names":false,"suffix":""}],"container-title":"Regenerative Medicine","id":"ITEM-1","issue":"5","issued":{"date-parts":[["2017"]]},"page":"493-501","title":"Efficacy and safety of autologous cell therapies for knee cartilage defects ( autologous stem cells , chondrocytes or the two ): randomized controlled trial design","type":"article-journal","volume":"12"},"uris":["http://www.mendeley.com/documents/?uuid=0dbb7f34-a393-496d-979f-f278ee9c3d01"]}],"mendeley":{"formattedCitation":"[46]","plainTextFormattedCitation":"[46]","previouslyFormattedCitation":"[46]"},"properties":{"noteIndex":0},"schema":"https://github.com/citation-style-language/schema/raw/master/csl-citation.json"}</w:instrText>
            </w:r>
            <w:r>
              <w:rPr>
                <w:rFonts w:cstheme="minorHAnsi"/>
                <w:color w:val="000000" w:themeColor="text1"/>
              </w:rPr>
              <w:fldChar w:fldCharType="separate"/>
            </w:r>
            <w:r w:rsidRPr="00E33E1D">
              <w:rPr>
                <w:rFonts w:cstheme="minorHAnsi"/>
                <w:noProof/>
                <w:color w:val="000000" w:themeColor="text1"/>
              </w:rPr>
              <w:t>[46]</w:t>
            </w:r>
            <w:r>
              <w:rPr>
                <w:rFonts w:cstheme="minorHAnsi"/>
                <w:color w:val="000000" w:themeColor="text1"/>
              </w:rPr>
              <w:fldChar w:fldCharType="end"/>
            </w:r>
          </w:p>
        </w:tc>
      </w:tr>
    </w:tbl>
    <w:p w14:paraId="554FD9F6" w14:textId="77777777" w:rsidR="00CF69B7" w:rsidRDefault="00CF69B7" w:rsidP="0064570F">
      <w:pPr>
        <w:rPr>
          <w:rFonts w:cstheme="minorHAnsi"/>
          <w:color w:val="000000" w:themeColor="text1"/>
        </w:rPr>
      </w:pPr>
    </w:p>
    <w:p w14:paraId="0F7F0EB0" w14:textId="0139B41F" w:rsidR="00CF69B7" w:rsidRDefault="00CF69B7" w:rsidP="00CF69B7">
      <w:r>
        <w:t>Abbreviations: ACI, Autologous Chondrocyte Implantation; BM-MSCs, Bone Marrow derived Mesenchymal Stromal Cells; MACI, Matrix Assisted Chondrocyte Implantation; RCT, randomised control trial; 3D, three-dimensional; N/A, not available</w:t>
      </w:r>
    </w:p>
    <w:p w14:paraId="12EE7DF7" w14:textId="77777777" w:rsidR="00CF69B7" w:rsidRPr="00CF69B7" w:rsidRDefault="00CF69B7" w:rsidP="0064570F">
      <w:pPr>
        <w:rPr>
          <w:rFonts w:cstheme="minorHAnsi"/>
          <w:color w:val="000000" w:themeColor="text1"/>
        </w:rPr>
      </w:pPr>
    </w:p>
    <w:sectPr w:rsidR="00CF69B7" w:rsidRPr="00CF69B7" w:rsidSect="00CF69B7">
      <w:pgSz w:w="16820" w:h="11900" w:orient="landscape"/>
      <w:pgMar w:top="1440" w:right="1134" w:bottom="1440" w:left="1135" w:header="708" w:footer="708" w:gutter="0"/>
      <w:lnNumType w:countBy="1" w:restart="continuou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1855B4" w14:textId="77777777" w:rsidR="00426261" w:rsidRDefault="00426261" w:rsidP="00975740">
      <w:r>
        <w:separator/>
      </w:r>
    </w:p>
  </w:endnote>
  <w:endnote w:type="continuationSeparator" w:id="0">
    <w:p w14:paraId="2AC14F61" w14:textId="77777777" w:rsidR="00426261" w:rsidRDefault="00426261" w:rsidP="00975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charset w:val="81"/>
    <w:family w:val="roman"/>
    <w:pitch w:val="variable"/>
    <w:sig w:usb0="B00002AF" w:usb1="69D77CFB" w:usb2="00000030" w:usb3="00000000" w:csb0="0008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A00002EF" w:usb1="4000207B" w:usb2="00000000" w:usb3="00000000" w:csb0="0000009F" w:csb1="00000000"/>
  </w:font>
  <w:font w:name="等线">
    <w:panose1 w:val="00000000000000000000"/>
    <w:charset w:val="80"/>
    <w:family w:val="roman"/>
    <w:notTrueType/>
    <w:pitch w:val="default"/>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Times New Roman (Body CS)">
    <w:altName w:val="Times New Roman"/>
    <w:panose1 w:val="00000000000000000000"/>
    <w:charset w:val="00"/>
    <w:family w:val="roman"/>
    <w:notTrueType/>
    <w:pitch w:val="default"/>
  </w:font>
  <w:font w:name="Segoe UI">
    <w:altName w:val="Calibri"/>
    <w:charset w:val="00"/>
    <w:family w:val="swiss"/>
    <w:pitch w:val="variable"/>
    <w:sig w:usb0="E4002EFF" w:usb1="C000E47F" w:usb2="00000009" w:usb3="00000000" w:csb0="000001FF" w:csb1="00000000"/>
  </w:font>
  <w:font w:name="Bradley Hand Bold">
    <w:panose1 w:val="00000700000000000000"/>
    <w:charset w:val="00"/>
    <w:family w:val="auto"/>
    <w:pitch w:val="variable"/>
    <w:sig w:usb0="800000FF" w:usb1="5000204A" w:usb2="00000000" w:usb3="00000000" w:csb0="00000111" w:csb1="00000000"/>
  </w:font>
  <w:font w:name="等线 Light">
    <w:panose1 w:val="00000000000000000000"/>
    <w:charset w:val="80"/>
    <w:family w:val="roman"/>
    <w:notTrueType/>
    <w:pitch w:val="default"/>
  </w:font>
  <w:font w:name="Calibri Light">
    <w:altName w:val="Tahoma"/>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C3E9E2" w14:textId="77777777" w:rsidR="00426261" w:rsidRDefault="00426261" w:rsidP="0097574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05D70FA" w14:textId="77777777" w:rsidR="00426261" w:rsidRDefault="0042626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310956" w14:textId="77777777" w:rsidR="00426261" w:rsidRDefault="00426261" w:rsidP="0097574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C4D50">
      <w:rPr>
        <w:rStyle w:val="PageNumber"/>
        <w:noProof/>
      </w:rPr>
      <w:t>1</w:t>
    </w:r>
    <w:r>
      <w:rPr>
        <w:rStyle w:val="PageNumber"/>
      </w:rPr>
      <w:fldChar w:fldCharType="end"/>
    </w:r>
  </w:p>
  <w:p w14:paraId="1EAF17CE" w14:textId="77777777" w:rsidR="00426261" w:rsidRDefault="0042626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63C086" w14:textId="77777777" w:rsidR="00426261" w:rsidRDefault="00426261" w:rsidP="00975740">
      <w:r>
        <w:separator/>
      </w:r>
    </w:p>
  </w:footnote>
  <w:footnote w:type="continuationSeparator" w:id="0">
    <w:p w14:paraId="08BCCCAC" w14:textId="77777777" w:rsidR="00426261" w:rsidRDefault="00426261" w:rsidP="0097574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D038DF"/>
    <w:multiLevelType w:val="hybridMultilevel"/>
    <w:tmpl w:val="1D68A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AEF5741"/>
    <w:multiLevelType w:val="hybridMultilevel"/>
    <w:tmpl w:val="1F681914"/>
    <w:lvl w:ilvl="0" w:tplc="9BFEFD24">
      <w:start w:val="1"/>
      <w:numFmt w:val="bullet"/>
      <w:lvlText w:val=""/>
      <w:lvlJc w:val="left"/>
      <w:pPr>
        <w:ind w:left="720" w:hanging="360"/>
      </w:pPr>
      <w:rPr>
        <w:rFonts w:ascii="Symbol" w:hAnsi="Symbol" w:hint="default"/>
      </w:rPr>
    </w:lvl>
    <w:lvl w:ilvl="1" w:tplc="06F094F2">
      <w:start w:val="1"/>
      <w:numFmt w:val="bullet"/>
      <w:lvlText w:val="o"/>
      <w:lvlJc w:val="left"/>
      <w:pPr>
        <w:ind w:left="1440" w:hanging="360"/>
      </w:pPr>
      <w:rPr>
        <w:rFonts w:ascii="Courier New" w:hAnsi="Courier New" w:hint="default"/>
      </w:rPr>
    </w:lvl>
    <w:lvl w:ilvl="2" w:tplc="7444DB1E">
      <w:start w:val="1"/>
      <w:numFmt w:val="bullet"/>
      <w:lvlText w:val=""/>
      <w:lvlJc w:val="left"/>
      <w:pPr>
        <w:ind w:left="2160" w:hanging="360"/>
      </w:pPr>
      <w:rPr>
        <w:rFonts w:ascii="Wingdings" w:hAnsi="Wingdings" w:hint="default"/>
      </w:rPr>
    </w:lvl>
    <w:lvl w:ilvl="3" w:tplc="C040CD7A">
      <w:start w:val="1"/>
      <w:numFmt w:val="bullet"/>
      <w:lvlText w:val=""/>
      <w:lvlJc w:val="left"/>
      <w:pPr>
        <w:ind w:left="2880" w:hanging="360"/>
      </w:pPr>
      <w:rPr>
        <w:rFonts w:ascii="Symbol" w:hAnsi="Symbol" w:hint="default"/>
      </w:rPr>
    </w:lvl>
    <w:lvl w:ilvl="4" w:tplc="360232E2">
      <w:start w:val="1"/>
      <w:numFmt w:val="bullet"/>
      <w:lvlText w:val="o"/>
      <w:lvlJc w:val="left"/>
      <w:pPr>
        <w:ind w:left="3600" w:hanging="360"/>
      </w:pPr>
      <w:rPr>
        <w:rFonts w:ascii="Courier New" w:hAnsi="Courier New" w:hint="default"/>
      </w:rPr>
    </w:lvl>
    <w:lvl w:ilvl="5" w:tplc="81F4F554">
      <w:start w:val="1"/>
      <w:numFmt w:val="bullet"/>
      <w:lvlText w:val=""/>
      <w:lvlJc w:val="left"/>
      <w:pPr>
        <w:ind w:left="4320" w:hanging="360"/>
      </w:pPr>
      <w:rPr>
        <w:rFonts w:ascii="Wingdings" w:hAnsi="Wingdings" w:hint="default"/>
      </w:rPr>
    </w:lvl>
    <w:lvl w:ilvl="6" w:tplc="32F89E6E">
      <w:start w:val="1"/>
      <w:numFmt w:val="bullet"/>
      <w:lvlText w:val=""/>
      <w:lvlJc w:val="left"/>
      <w:pPr>
        <w:ind w:left="5040" w:hanging="360"/>
      </w:pPr>
      <w:rPr>
        <w:rFonts w:ascii="Symbol" w:hAnsi="Symbol" w:hint="default"/>
      </w:rPr>
    </w:lvl>
    <w:lvl w:ilvl="7" w:tplc="60A28F00">
      <w:start w:val="1"/>
      <w:numFmt w:val="bullet"/>
      <w:lvlText w:val="o"/>
      <w:lvlJc w:val="left"/>
      <w:pPr>
        <w:ind w:left="5760" w:hanging="360"/>
      </w:pPr>
      <w:rPr>
        <w:rFonts w:ascii="Courier New" w:hAnsi="Courier New" w:hint="default"/>
      </w:rPr>
    </w:lvl>
    <w:lvl w:ilvl="8" w:tplc="9002383C">
      <w:start w:val="1"/>
      <w:numFmt w:val="bullet"/>
      <w:lvlText w:val=""/>
      <w:lvlJc w:val="left"/>
      <w:pPr>
        <w:ind w:left="6480" w:hanging="360"/>
      </w:pPr>
      <w:rPr>
        <w:rFonts w:ascii="Wingdings" w:hAnsi="Wingdings" w:hint="default"/>
      </w:rPr>
    </w:lvl>
  </w:abstractNum>
  <w:abstractNum w:abstractNumId="2">
    <w:nsid w:val="2CCF3CC6"/>
    <w:multiLevelType w:val="hybridMultilevel"/>
    <w:tmpl w:val="5ACA75DC"/>
    <w:lvl w:ilvl="0" w:tplc="84308A54">
      <w:start w:val="1"/>
      <w:numFmt w:val="decimal"/>
      <w:lvlText w:val="%1."/>
      <w:lvlJc w:val="left"/>
      <w:pPr>
        <w:ind w:left="720" w:hanging="360"/>
      </w:pPr>
      <w:rPr>
        <w:rFonts w:eastAsia="Batang" w:cs="Arial"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8E4B2D"/>
    <w:multiLevelType w:val="multilevel"/>
    <w:tmpl w:val="5DE8F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8E45258"/>
    <w:multiLevelType w:val="hybridMultilevel"/>
    <w:tmpl w:val="EA5096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9971DE3"/>
    <w:multiLevelType w:val="hybridMultilevel"/>
    <w:tmpl w:val="5ACA75DC"/>
    <w:lvl w:ilvl="0" w:tplc="84308A54">
      <w:start w:val="1"/>
      <w:numFmt w:val="decimal"/>
      <w:lvlText w:val="%1."/>
      <w:lvlJc w:val="left"/>
      <w:pPr>
        <w:ind w:left="720" w:hanging="360"/>
      </w:pPr>
      <w:rPr>
        <w:rFonts w:eastAsia="Batang" w:cs="Arial"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1D309C"/>
    <w:multiLevelType w:val="hybridMultilevel"/>
    <w:tmpl w:val="EA5096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AE66E1E"/>
    <w:multiLevelType w:val="hybridMultilevel"/>
    <w:tmpl w:val="698C8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0CB0FFF"/>
    <w:multiLevelType w:val="hybridMultilevel"/>
    <w:tmpl w:val="BE960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449030F"/>
    <w:multiLevelType w:val="hybridMultilevel"/>
    <w:tmpl w:val="155826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68002F1"/>
    <w:multiLevelType w:val="hybridMultilevel"/>
    <w:tmpl w:val="155826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854258E"/>
    <w:multiLevelType w:val="hybridMultilevel"/>
    <w:tmpl w:val="0902D98C"/>
    <w:lvl w:ilvl="0" w:tplc="4A12F2C8">
      <w:start w:val="1"/>
      <w:numFmt w:val="bullet"/>
      <w:lvlText w:val="·"/>
      <w:lvlJc w:val="left"/>
      <w:pPr>
        <w:ind w:left="720" w:hanging="360"/>
      </w:pPr>
      <w:rPr>
        <w:rFonts w:ascii="Symbol" w:hAnsi="Symbol" w:hint="default"/>
      </w:rPr>
    </w:lvl>
    <w:lvl w:ilvl="1" w:tplc="6DC6CA88">
      <w:start w:val="1"/>
      <w:numFmt w:val="bullet"/>
      <w:lvlText w:val="o"/>
      <w:lvlJc w:val="left"/>
      <w:pPr>
        <w:ind w:left="1440" w:hanging="360"/>
      </w:pPr>
      <w:rPr>
        <w:rFonts w:ascii="Courier New" w:hAnsi="Courier New" w:hint="default"/>
      </w:rPr>
    </w:lvl>
    <w:lvl w:ilvl="2" w:tplc="798A2648">
      <w:start w:val="1"/>
      <w:numFmt w:val="bullet"/>
      <w:lvlText w:val=""/>
      <w:lvlJc w:val="left"/>
      <w:pPr>
        <w:ind w:left="2160" w:hanging="360"/>
      </w:pPr>
      <w:rPr>
        <w:rFonts w:ascii="Wingdings" w:hAnsi="Wingdings" w:hint="default"/>
      </w:rPr>
    </w:lvl>
    <w:lvl w:ilvl="3" w:tplc="12CA5672">
      <w:start w:val="1"/>
      <w:numFmt w:val="bullet"/>
      <w:lvlText w:val=""/>
      <w:lvlJc w:val="left"/>
      <w:pPr>
        <w:ind w:left="2880" w:hanging="360"/>
      </w:pPr>
      <w:rPr>
        <w:rFonts w:ascii="Symbol" w:hAnsi="Symbol" w:hint="default"/>
      </w:rPr>
    </w:lvl>
    <w:lvl w:ilvl="4" w:tplc="C1F2FEE0">
      <w:start w:val="1"/>
      <w:numFmt w:val="bullet"/>
      <w:lvlText w:val="o"/>
      <w:lvlJc w:val="left"/>
      <w:pPr>
        <w:ind w:left="3600" w:hanging="360"/>
      </w:pPr>
      <w:rPr>
        <w:rFonts w:ascii="Courier New" w:hAnsi="Courier New" w:hint="default"/>
      </w:rPr>
    </w:lvl>
    <w:lvl w:ilvl="5" w:tplc="8368A26A">
      <w:start w:val="1"/>
      <w:numFmt w:val="bullet"/>
      <w:lvlText w:val=""/>
      <w:lvlJc w:val="left"/>
      <w:pPr>
        <w:ind w:left="4320" w:hanging="360"/>
      </w:pPr>
      <w:rPr>
        <w:rFonts w:ascii="Wingdings" w:hAnsi="Wingdings" w:hint="default"/>
      </w:rPr>
    </w:lvl>
    <w:lvl w:ilvl="6" w:tplc="4B8CAEBA">
      <w:start w:val="1"/>
      <w:numFmt w:val="bullet"/>
      <w:lvlText w:val=""/>
      <w:lvlJc w:val="left"/>
      <w:pPr>
        <w:ind w:left="5040" w:hanging="360"/>
      </w:pPr>
      <w:rPr>
        <w:rFonts w:ascii="Symbol" w:hAnsi="Symbol" w:hint="default"/>
      </w:rPr>
    </w:lvl>
    <w:lvl w:ilvl="7" w:tplc="9FB09870">
      <w:start w:val="1"/>
      <w:numFmt w:val="bullet"/>
      <w:lvlText w:val="o"/>
      <w:lvlJc w:val="left"/>
      <w:pPr>
        <w:ind w:left="5760" w:hanging="360"/>
      </w:pPr>
      <w:rPr>
        <w:rFonts w:ascii="Courier New" w:hAnsi="Courier New" w:hint="default"/>
      </w:rPr>
    </w:lvl>
    <w:lvl w:ilvl="8" w:tplc="9376782A">
      <w:start w:val="1"/>
      <w:numFmt w:val="bullet"/>
      <w:lvlText w:val=""/>
      <w:lvlJc w:val="left"/>
      <w:pPr>
        <w:ind w:left="6480" w:hanging="360"/>
      </w:pPr>
      <w:rPr>
        <w:rFonts w:ascii="Wingdings" w:hAnsi="Wingdings" w:hint="default"/>
      </w:rPr>
    </w:lvl>
  </w:abstractNum>
  <w:abstractNum w:abstractNumId="12">
    <w:nsid w:val="70E37DE6"/>
    <w:multiLevelType w:val="multilevel"/>
    <w:tmpl w:val="826AB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CB32037"/>
    <w:multiLevelType w:val="hybridMultilevel"/>
    <w:tmpl w:val="61162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D1D2325"/>
    <w:multiLevelType w:val="hybridMultilevel"/>
    <w:tmpl w:val="100AA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7"/>
  </w:num>
  <w:num w:numId="4">
    <w:abstractNumId w:val="8"/>
  </w:num>
  <w:num w:numId="5">
    <w:abstractNumId w:val="0"/>
  </w:num>
  <w:num w:numId="6">
    <w:abstractNumId w:val="9"/>
  </w:num>
  <w:num w:numId="7">
    <w:abstractNumId w:val="10"/>
  </w:num>
  <w:num w:numId="8">
    <w:abstractNumId w:val="14"/>
  </w:num>
  <w:num w:numId="9">
    <w:abstractNumId w:val="4"/>
  </w:num>
  <w:num w:numId="10">
    <w:abstractNumId w:val="6"/>
  </w:num>
  <w:num w:numId="11">
    <w:abstractNumId w:val="12"/>
  </w:num>
  <w:num w:numId="12">
    <w:abstractNumId w:val="13"/>
  </w:num>
  <w:num w:numId="13">
    <w:abstractNumId w:val="5"/>
  </w:num>
  <w:num w:numId="14">
    <w:abstractNumId w:val="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287"/>
    <w:rsid w:val="00011FBF"/>
    <w:rsid w:val="000213A8"/>
    <w:rsid w:val="000225F4"/>
    <w:rsid w:val="00032213"/>
    <w:rsid w:val="00047C4D"/>
    <w:rsid w:val="00051AA1"/>
    <w:rsid w:val="00054857"/>
    <w:rsid w:val="00062428"/>
    <w:rsid w:val="00070CF7"/>
    <w:rsid w:val="000718DF"/>
    <w:rsid w:val="00074C3B"/>
    <w:rsid w:val="0008091C"/>
    <w:rsid w:val="00083748"/>
    <w:rsid w:val="00090420"/>
    <w:rsid w:val="0009792A"/>
    <w:rsid w:val="000A37AC"/>
    <w:rsid w:val="000A4871"/>
    <w:rsid w:val="000B2C35"/>
    <w:rsid w:val="000B5894"/>
    <w:rsid w:val="000B63B0"/>
    <w:rsid w:val="000C19E2"/>
    <w:rsid w:val="000C1FBD"/>
    <w:rsid w:val="000D3BEE"/>
    <w:rsid w:val="000D3C58"/>
    <w:rsid w:val="000F4774"/>
    <w:rsid w:val="001211FF"/>
    <w:rsid w:val="001219B9"/>
    <w:rsid w:val="00137B42"/>
    <w:rsid w:val="00141550"/>
    <w:rsid w:val="001473D5"/>
    <w:rsid w:val="00147A6B"/>
    <w:rsid w:val="00151541"/>
    <w:rsid w:val="00164382"/>
    <w:rsid w:val="0016746C"/>
    <w:rsid w:val="00171A54"/>
    <w:rsid w:val="0017335C"/>
    <w:rsid w:val="001820D6"/>
    <w:rsid w:val="00186E54"/>
    <w:rsid w:val="001902A9"/>
    <w:rsid w:val="0019730F"/>
    <w:rsid w:val="001A5C96"/>
    <w:rsid w:val="001A6CA9"/>
    <w:rsid w:val="001B0611"/>
    <w:rsid w:val="001C418A"/>
    <w:rsid w:val="001C4D50"/>
    <w:rsid w:val="001C64F9"/>
    <w:rsid w:val="001D20BA"/>
    <w:rsid w:val="001E6B55"/>
    <w:rsid w:val="002003C1"/>
    <w:rsid w:val="00200FB8"/>
    <w:rsid w:val="00204416"/>
    <w:rsid w:val="00207344"/>
    <w:rsid w:val="00214B65"/>
    <w:rsid w:val="00224046"/>
    <w:rsid w:val="0022500C"/>
    <w:rsid w:val="00234379"/>
    <w:rsid w:val="0024633A"/>
    <w:rsid w:val="00250D04"/>
    <w:rsid w:val="00261587"/>
    <w:rsid w:val="002740A0"/>
    <w:rsid w:val="002802D6"/>
    <w:rsid w:val="00282D2D"/>
    <w:rsid w:val="00283F8B"/>
    <w:rsid w:val="002863D1"/>
    <w:rsid w:val="00290671"/>
    <w:rsid w:val="002937FF"/>
    <w:rsid w:val="002C46EB"/>
    <w:rsid w:val="002D340E"/>
    <w:rsid w:val="002D59B4"/>
    <w:rsid w:val="002E1F10"/>
    <w:rsid w:val="002E515A"/>
    <w:rsid w:val="00307D39"/>
    <w:rsid w:val="003101E1"/>
    <w:rsid w:val="00310E95"/>
    <w:rsid w:val="00313401"/>
    <w:rsid w:val="00321BE6"/>
    <w:rsid w:val="003357D3"/>
    <w:rsid w:val="00360302"/>
    <w:rsid w:val="003614F9"/>
    <w:rsid w:val="003709C7"/>
    <w:rsid w:val="0037244A"/>
    <w:rsid w:val="0037680B"/>
    <w:rsid w:val="00386A4A"/>
    <w:rsid w:val="0039006B"/>
    <w:rsid w:val="003922C8"/>
    <w:rsid w:val="003A2623"/>
    <w:rsid w:val="003C2A8E"/>
    <w:rsid w:val="003D6054"/>
    <w:rsid w:val="003D7606"/>
    <w:rsid w:val="003D79EC"/>
    <w:rsid w:val="003E10CF"/>
    <w:rsid w:val="003F0109"/>
    <w:rsid w:val="003F104B"/>
    <w:rsid w:val="003F745B"/>
    <w:rsid w:val="0040237E"/>
    <w:rsid w:val="00403F4C"/>
    <w:rsid w:val="0041435E"/>
    <w:rsid w:val="004165D9"/>
    <w:rsid w:val="00416A62"/>
    <w:rsid w:val="004172C0"/>
    <w:rsid w:val="00426261"/>
    <w:rsid w:val="004337BD"/>
    <w:rsid w:val="00433DC5"/>
    <w:rsid w:val="00442708"/>
    <w:rsid w:val="004606A0"/>
    <w:rsid w:val="00463520"/>
    <w:rsid w:val="00473DC9"/>
    <w:rsid w:val="00485B94"/>
    <w:rsid w:val="0049676B"/>
    <w:rsid w:val="00497715"/>
    <w:rsid w:val="004A53E7"/>
    <w:rsid w:val="004C1ED1"/>
    <w:rsid w:val="004C3C47"/>
    <w:rsid w:val="004D0022"/>
    <w:rsid w:val="004D0DF7"/>
    <w:rsid w:val="004D4D5F"/>
    <w:rsid w:val="004E089E"/>
    <w:rsid w:val="004F0AEC"/>
    <w:rsid w:val="00507737"/>
    <w:rsid w:val="00511B4A"/>
    <w:rsid w:val="0051482C"/>
    <w:rsid w:val="00531506"/>
    <w:rsid w:val="005326BA"/>
    <w:rsid w:val="00544EFE"/>
    <w:rsid w:val="00552691"/>
    <w:rsid w:val="00564FBE"/>
    <w:rsid w:val="00565928"/>
    <w:rsid w:val="005711A8"/>
    <w:rsid w:val="00571D41"/>
    <w:rsid w:val="00577238"/>
    <w:rsid w:val="00577A32"/>
    <w:rsid w:val="005816E4"/>
    <w:rsid w:val="005921F8"/>
    <w:rsid w:val="005926F4"/>
    <w:rsid w:val="005B6A07"/>
    <w:rsid w:val="005F2C1A"/>
    <w:rsid w:val="005F4A14"/>
    <w:rsid w:val="0060329D"/>
    <w:rsid w:val="006219B2"/>
    <w:rsid w:val="006244E8"/>
    <w:rsid w:val="00631C63"/>
    <w:rsid w:val="00632928"/>
    <w:rsid w:val="0064570F"/>
    <w:rsid w:val="00654839"/>
    <w:rsid w:val="00660F67"/>
    <w:rsid w:val="00665CA2"/>
    <w:rsid w:val="00682259"/>
    <w:rsid w:val="006841B8"/>
    <w:rsid w:val="006922CB"/>
    <w:rsid w:val="0069716B"/>
    <w:rsid w:val="006B2B60"/>
    <w:rsid w:val="006C126B"/>
    <w:rsid w:val="006C67A9"/>
    <w:rsid w:val="006D0382"/>
    <w:rsid w:val="006E1E83"/>
    <w:rsid w:val="006E2F8B"/>
    <w:rsid w:val="006F1A07"/>
    <w:rsid w:val="00701766"/>
    <w:rsid w:val="00707A30"/>
    <w:rsid w:val="00710C58"/>
    <w:rsid w:val="0071188C"/>
    <w:rsid w:val="00715DBF"/>
    <w:rsid w:val="00730F05"/>
    <w:rsid w:val="007578D6"/>
    <w:rsid w:val="0076161D"/>
    <w:rsid w:val="00765DFA"/>
    <w:rsid w:val="00783088"/>
    <w:rsid w:val="00786B47"/>
    <w:rsid w:val="00787E59"/>
    <w:rsid w:val="00791A53"/>
    <w:rsid w:val="007A5241"/>
    <w:rsid w:val="007B51BF"/>
    <w:rsid w:val="007B5EC4"/>
    <w:rsid w:val="007B6C76"/>
    <w:rsid w:val="007C0D5B"/>
    <w:rsid w:val="007D3708"/>
    <w:rsid w:val="007E70D4"/>
    <w:rsid w:val="0080660A"/>
    <w:rsid w:val="00807250"/>
    <w:rsid w:val="00807AB3"/>
    <w:rsid w:val="00817E6D"/>
    <w:rsid w:val="00873130"/>
    <w:rsid w:val="008767A6"/>
    <w:rsid w:val="0088285E"/>
    <w:rsid w:val="00882D14"/>
    <w:rsid w:val="008910F9"/>
    <w:rsid w:val="008A53BA"/>
    <w:rsid w:val="008A5EAF"/>
    <w:rsid w:val="008A6390"/>
    <w:rsid w:val="008A7CCA"/>
    <w:rsid w:val="008D0DDD"/>
    <w:rsid w:val="008D340E"/>
    <w:rsid w:val="008E0EE4"/>
    <w:rsid w:val="008E377F"/>
    <w:rsid w:val="008E3C5F"/>
    <w:rsid w:val="008F17B1"/>
    <w:rsid w:val="008F21C2"/>
    <w:rsid w:val="008F2544"/>
    <w:rsid w:val="008F2887"/>
    <w:rsid w:val="008F5DEA"/>
    <w:rsid w:val="008F7476"/>
    <w:rsid w:val="009015FD"/>
    <w:rsid w:val="00901850"/>
    <w:rsid w:val="00902E10"/>
    <w:rsid w:val="009156A7"/>
    <w:rsid w:val="009156E9"/>
    <w:rsid w:val="00923211"/>
    <w:rsid w:val="00932FE6"/>
    <w:rsid w:val="009415D7"/>
    <w:rsid w:val="00955318"/>
    <w:rsid w:val="009568A7"/>
    <w:rsid w:val="00960366"/>
    <w:rsid w:val="00960DBE"/>
    <w:rsid w:val="00962D7F"/>
    <w:rsid w:val="00962D95"/>
    <w:rsid w:val="0096312E"/>
    <w:rsid w:val="00963F6E"/>
    <w:rsid w:val="00966AB6"/>
    <w:rsid w:val="00975740"/>
    <w:rsid w:val="00984F87"/>
    <w:rsid w:val="00990555"/>
    <w:rsid w:val="00995F52"/>
    <w:rsid w:val="009A6A50"/>
    <w:rsid w:val="009B20BB"/>
    <w:rsid w:val="009C39E0"/>
    <w:rsid w:val="009D174C"/>
    <w:rsid w:val="009D49A1"/>
    <w:rsid w:val="009E0EB3"/>
    <w:rsid w:val="009E3B5A"/>
    <w:rsid w:val="009E3C6B"/>
    <w:rsid w:val="009F0A49"/>
    <w:rsid w:val="00A035E4"/>
    <w:rsid w:val="00A06E44"/>
    <w:rsid w:val="00A106A1"/>
    <w:rsid w:val="00A10A94"/>
    <w:rsid w:val="00A131EE"/>
    <w:rsid w:val="00A14FF0"/>
    <w:rsid w:val="00A15DCF"/>
    <w:rsid w:val="00A26BE0"/>
    <w:rsid w:val="00A301F8"/>
    <w:rsid w:val="00A34501"/>
    <w:rsid w:val="00A4544D"/>
    <w:rsid w:val="00A53497"/>
    <w:rsid w:val="00A57478"/>
    <w:rsid w:val="00A70D7D"/>
    <w:rsid w:val="00A75C7F"/>
    <w:rsid w:val="00A86AD6"/>
    <w:rsid w:val="00A96A5B"/>
    <w:rsid w:val="00AA1043"/>
    <w:rsid w:val="00AB0876"/>
    <w:rsid w:val="00AB6704"/>
    <w:rsid w:val="00AC2ECD"/>
    <w:rsid w:val="00AD1A9D"/>
    <w:rsid w:val="00AD4B6C"/>
    <w:rsid w:val="00AD7B1B"/>
    <w:rsid w:val="00AF6AB7"/>
    <w:rsid w:val="00B019C2"/>
    <w:rsid w:val="00B04A14"/>
    <w:rsid w:val="00B14398"/>
    <w:rsid w:val="00B177E4"/>
    <w:rsid w:val="00B218D1"/>
    <w:rsid w:val="00B21B6B"/>
    <w:rsid w:val="00B271A2"/>
    <w:rsid w:val="00B32E8E"/>
    <w:rsid w:val="00B659B3"/>
    <w:rsid w:val="00B664D2"/>
    <w:rsid w:val="00B80756"/>
    <w:rsid w:val="00B839DE"/>
    <w:rsid w:val="00B91105"/>
    <w:rsid w:val="00B92AA2"/>
    <w:rsid w:val="00BA5037"/>
    <w:rsid w:val="00BC2673"/>
    <w:rsid w:val="00BC4880"/>
    <w:rsid w:val="00BC4EAF"/>
    <w:rsid w:val="00BC52F4"/>
    <w:rsid w:val="00BC59F8"/>
    <w:rsid w:val="00BC6287"/>
    <w:rsid w:val="00BF1D26"/>
    <w:rsid w:val="00BF5EA1"/>
    <w:rsid w:val="00C07215"/>
    <w:rsid w:val="00C424C0"/>
    <w:rsid w:val="00C46757"/>
    <w:rsid w:val="00C8414E"/>
    <w:rsid w:val="00CA08DB"/>
    <w:rsid w:val="00CA1933"/>
    <w:rsid w:val="00CB1371"/>
    <w:rsid w:val="00CC1B82"/>
    <w:rsid w:val="00CC5CFA"/>
    <w:rsid w:val="00CC6D0B"/>
    <w:rsid w:val="00CD0971"/>
    <w:rsid w:val="00CE32FF"/>
    <w:rsid w:val="00CF3058"/>
    <w:rsid w:val="00CF69B7"/>
    <w:rsid w:val="00D01435"/>
    <w:rsid w:val="00D03C21"/>
    <w:rsid w:val="00D06BAC"/>
    <w:rsid w:val="00D06C13"/>
    <w:rsid w:val="00D10698"/>
    <w:rsid w:val="00D20817"/>
    <w:rsid w:val="00D3427B"/>
    <w:rsid w:val="00D349F7"/>
    <w:rsid w:val="00D37B41"/>
    <w:rsid w:val="00D43914"/>
    <w:rsid w:val="00D45230"/>
    <w:rsid w:val="00D76821"/>
    <w:rsid w:val="00D9288B"/>
    <w:rsid w:val="00DA0DED"/>
    <w:rsid w:val="00DB1F58"/>
    <w:rsid w:val="00DC44DF"/>
    <w:rsid w:val="00DD1B67"/>
    <w:rsid w:val="00DE1218"/>
    <w:rsid w:val="00DF587F"/>
    <w:rsid w:val="00E137C6"/>
    <w:rsid w:val="00E14161"/>
    <w:rsid w:val="00E14214"/>
    <w:rsid w:val="00E3368D"/>
    <w:rsid w:val="00E33E1D"/>
    <w:rsid w:val="00E37D24"/>
    <w:rsid w:val="00E66C55"/>
    <w:rsid w:val="00E70541"/>
    <w:rsid w:val="00EB75C0"/>
    <w:rsid w:val="00ED0EF7"/>
    <w:rsid w:val="00ED30C8"/>
    <w:rsid w:val="00EE1A56"/>
    <w:rsid w:val="00EE5214"/>
    <w:rsid w:val="00EE6EB5"/>
    <w:rsid w:val="00EF14FE"/>
    <w:rsid w:val="00EF71E6"/>
    <w:rsid w:val="00EF7B4E"/>
    <w:rsid w:val="00F0104E"/>
    <w:rsid w:val="00F21D02"/>
    <w:rsid w:val="00F22736"/>
    <w:rsid w:val="00F27B17"/>
    <w:rsid w:val="00F444A7"/>
    <w:rsid w:val="00F53A89"/>
    <w:rsid w:val="00F53C1A"/>
    <w:rsid w:val="00F9292A"/>
    <w:rsid w:val="00F93657"/>
    <w:rsid w:val="00F93EFD"/>
    <w:rsid w:val="00F97412"/>
    <w:rsid w:val="00FA54A8"/>
    <w:rsid w:val="00FA717E"/>
    <w:rsid w:val="00FC303D"/>
    <w:rsid w:val="00FC7376"/>
    <w:rsid w:val="00FD5874"/>
    <w:rsid w:val="00FE4271"/>
    <w:rsid w:val="01342BC2"/>
    <w:rsid w:val="02169604"/>
    <w:rsid w:val="02F26A47"/>
    <w:rsid w:val="03A5E6FE"/>
    <w:rsid w:val="03AFBEBE"/>
    <w:rsid w:val="04E9D0CD"/>
    <w:rsid w:val="05F1023F"/>
    <w:rsid w:val="061E98EC"/>
    <w:rsid w:val="066DDC83"/>
    <w:rsid w:val="0673BFA8"/>
    <w:rsid w:val="06A2CB0E"/>
    <w:rsid w:val="09C7C955"/>
    <w:rsid w:val="0B00D0EF"/>
    <w:rsid w:val="0BD0224D"/>
    <w:rsid w:val="0C2FEF3C"/>
    <w:rsid w:val="0C51AA94"/>
    <w:rsid w:val="0C87ECEA"/>
    <w:rsid w:val="0D12ADED"/>
    <w:rsid w:val="0D6053FC"/>
    <w:rsid w:val="0D620DA9"/>
    <w:rsid w:val="0E5A356F"/>
    <w:rsid w:val="0F10D6A0"/>
    <w:rsid w:val="0FFB966C"/>
    <w:rsid w:val="10C0177F"/>
    <w:rsid w:val="115C2E78"/>
    <w:rsid w:val="122777D9"/>
    <w:rsid w:val="127AD1CC"/>
    <w:rsid w:val="13FF0E4F"/>
    <w:rsid w:val="14E76F29"/>
    <w:rsid w:val="15110830"/>
    <w:rsid w:val="151A0503"/>
    <w:rsid w:val="151DC92F"/>
    <w:rsid w:val="15767A90"/>
    <w:rsid w:val="15B8D56B"/>
    <w:rsid w:val="15E161EC"/>
    <w:rsid w:val="16FDE1B4"/>
    <w:rsid w:val="16FF5AE7"/>
    <w:rsid w:val="172C716C"/>
    <w:rsid w:val="17CE5E37"/>
    <w:rsid w:val="180A1622"/>
    <w:rsid w:val="1917F067"/>
    <w:rsid w:val="1C1FDCA6"/>
    <w:rsid w:val="1CEA3CEE"/>
    <w:rsid w:val="1D3F231E"/>
    <w:rsid w:val="1DC84BCB"/>
    <w:rsid w:val="1DD7F986"/>
    <w:rsid w:val="1EFDA17E"/>
    <w:rsid w:val="1F68A856"/>
    <w:rsid w:val="203B25D5"/>
    <w:rsid w:val="20B1E6C0"/>
    <w:rsid w:val="20E75BA8"/>
    <w:rsid w:val="2158657A"/>
    <w:rsid w:val="216D0DE0"/>
    <w:rsid w:val="21DE8038"/>
    <w:rsid w:val="225A051A"/>
    <w:rsid w:val="2383E10A"/>
    <w:rsid w:val="23B62C0D"/>
    <w:rsid w:val="252B8AB1"/>
    <w:rsid w:val="258D9C78"/>
    <w:rsid w:val="25987195"/>
    <w:rsid w:val="2620AE6A"/>
    <w:rsid w:val="2670D684"/>
    <w:rsid w:val="26FD9E47"/>
    <w:rsid w:val="282FA00E"/>
    <w:rsid w:val="293F96F0"/>
    <w:rsid w:val="2943F3E5"/>
    <w:rsid w:val="29B9002D"/>
    <w:rsid w:val="2A03FD57"/>
    <w:rsid w:val="2A6BE2B8"/>
    <w:rsid w:val="2A751591"/>
    <w:rsid w:val="2B64B214"/>
    <w:rsid w:val="2BA689B7"/>
    <w:rsid w:val="2BB7ED88"/>
    <w:rsid w:val="2BE14A05"/>
    <w:rsid w:val="2C1DD92A"/>
    <w:rsid w:val="2C2976D7"/>
    <w:rsid w:val="2D01E1D6"/>
    <w:rsid w:val="2DA03832"/>
    <w:rsid w:val="2DB07B74"/>
    <w:rsid w:val="2E3ECA08"/>
    <w:rsid w:val="2EC75FFC"/>
    <w:rsid w:val="2F6988E4"/>
    <w:rsid w:val="2FB3CA27"/>
    <w:rsid w:val="300C20DA"/>
    <w:rsid w:val="3014EB22"/>
    <w:rsid w:val="33DB2D6A"/>
    <w:rsid w:val="3477C4D6"/>
    <w:rsid w:val="368ED4FA"/>
    <w:rsid w:val="36A25852"/>
    <w:rsid w:val="38A32CEB"/>
    <w:rsid w:val="38B74D27"/>
    <w:rsid w:val="38C6A2F1"/>
    <w:rsid w:val="38E34E8A"/>
    <w:rsid w:val="38F3C7B1"/>
    <w:rsid w:val="39A75E1D"/>
    <w:rsid w:val="39F6CB1F"/>
    <w:rsid w:val="3A3E918D"/>
    <w:rsid w:val="3A436887"/>
    <w:rsid w:val="3A8CAFBF"/>
    <w:rsid w:val="3B4F19C6"/>
    <w:rsid w:val="3B5CA118"/>
    <w:rsid w:val="3BD5FED8"/>
    <w:rsid w:val="3CD17B85"/>
    <w:rsid w:val="3E370018"/>
    <w:rsid w:val="3EE37354"/>
    <w:rsid w:val="3F459CE0"/>
    <w:rsid w:val="3F843EAA"/>
    <w:rsid w:val="421E4CA2"/>
    <w:rsid w:val="428DD730"/>
    <w:rsid w:val="43E9C8B4"/>
    <w:rsid w:val="44B7CED4"/>
    <w:rsid w:val="4503B345"/>
    <w:rsid w:val="4581D073"/>
    <w:rsid w:val="45CB41BB"/>
    <w:rsid w:val="4861DE0D"/>
    <w:rsid w:val="489B5983"/>
    <w:rsid w:val="48B47B65"/>
    <w:rsid w:val="48DA6E96"/>
    <w:rsid w:val="4A857585"/>
    <w:rsid w:val="4AEA2DA4"/>
    <w:rsid w:val="4B6FDD4B"/>
    <w:rsid w:val="4C9F7AB7"/>
    <w:rsid w:val="4D95A622"/>
    <w:rsid w:val="4DB522DB"/>
    <w:rsid w:val="4DD28CF3"/>
    <w:rsid w:val="4DEED4DE"/>
    <w:rsid w:val="5170FBC8"/>
    <w:rsid w:val="51F7F8F2"/>
    <w:rsid w:val="524E8D1C"/>
    <w:rsid w:val="529CE349"/>
    <w:rsid w:val="53749394"/>
    <w:rsid w:val="5393F413"/>
    <w:rsid w:val="53CF8942"/>
    <w:rsid w:val="53DEC24A"/>
    <w:rsid w:val="53EF33C0"/>
    <w:rsid w:val="5479AD96"/>
    <w:rsid w:val="54CEB0CB"/>
    <w:rsid w:val="5516BF91"/>
    <w:rsid w:val="555A8790"/>
    <w:rsid w:val="561C6F34"/>
    <w:rsid w:val="56B12FE6"/>
    <w:rsid w:val="5720ACFF"/>
    <w:rsid w:val="5724F45B"/>
    <w:rsid w:val="57F0B600"/>
    <w:rsid w:val="57F1F7BB"/>
    <w:rsid w:val="583C6A8A"/>
    <w:rsid w:val="585A0767"/>
    <w:rsid w:val="588AA6E9"/>
    <w:rsid w:val="58B922F3"/>
    <w:rsid w:val="5953B79E"/>
    <w:rsid w:val="5A54EB84"/>
    <w:rsid w:val="5B322FF5"/>
    <w:rsid w:val="5BF7E1F5"/>
    <w:rsid w:val="5CB63C74"/>
    <w:rsid w:val="5F2A9167"/>
    <w:rsid w:val="5FD93330"/>
    <w:rsid w:val="6011A255"/>
    <w:rsid w:val="60E57D64"/>
    <w:rsid w:val="61B18CF9"/>
    <w:rsid w:val="62378F8A"/>
    <w:rsid w:val="633D841B"/>
    <w:rsid w:val="63646472"/>
    <w:rsid w:val="6566C5DF"/>
    <w:rsid w:val="6597E760"/>
    <w:rsid w:val="65B7CEAF"/>
    <w:rsid w:val="65D47F1C"/>
    <w:rsid w:val="666A9470"/>
    <w:rsid w:val="6694AAEA"/>
    <w:rsid w:val="67245E17"/>
    <w:rsid w:val="680664D1"/>
    <w:rsid w:val="685D5877"/>
    <w:rsid w:val="6944871B"/>
    <w:rsid w:val="6ABD6601"/>
    <w:rsid w:val="6AFCA1EF"/>
    <w:rsid w:val="6BA4D313"/>
    <w:rsid w:val="6C09C428"/>
    <w:rsid w:val="6C1DA5AC"/>
    <w:rsid w:val="6CB23EC4"/>
    <w:rsid w:val="6CEF1C31"/>
    <w:rsid w:val="6D9877EC"/>
    <w:rsid w:val="6DC81276"/>
    <w:rsid w:val="703259C8"/>
    <w:rsid w:val="714217B7"/>
    <w:rsid w:val="720475F7"/>
    <w:rsid w:val="72729471"/>
    <w:rsid w:val="72A617BD"/>
    <w:rsid w:val="73C16C53"/>
    <w:rsid w:val="73F33A03"/>
    <w:rsid w:val="743D56FF"/>
    <w:rsid w:val="75139EFD"/>
    <w:rsid w:val="78247C9C"/>
    <w:rsid w:val="789605EB"/>
    <w:rsid w:val="78A911C2"/>
    <w:rsid w:val="7901168D"/>
    <w:rsid w:val="7972B982"/>
    <w:rsid w:val="79F4A704"/>
    <w:rsid w:val="7A7F0389"/>
    <w:rsid w:val="7D4F7D64"/>
    <w:rsid w:val="7E8448B6"/>
    <w:rsid w:val="7FBC7E9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A045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61587"/>
    <w:pPr>
      <w:spacing w:before="100" w:beforeAutospacing="1" w:after="100" w:afterAutospacing="1"/>
      <w:outlineLvl w:val="0"/>
    </w:pPr>
    <w:rPr>
      <w:rFonts w:ascii="Times" w:hAnsi="Times"/>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37BD"/>
    <w:pPr>
      <w:ind w:left="720"/>
      <w:contextualSpacing/>
    </w:pPr>
  </w:style>
  <w:style w:type="character" w:styleId="CommentReference">
    <w:name w:val="annotation reference"/>
    <w:basedOn w:val="DefaultParagraphFont"/>
    <w:uiPriority w:val="99"/>
    <w:semiHidden/>
    <w:unhideWhenUsed/>
    <w:rsid w:val="00B839DE"/>
    <w:rPr>
      <w:sz w:val="16"/>
      <w:szCs w:val="16"/>
    </w:rPr>
  </w:style>
  <w:style w:type="paragraph" w:styleId="CommentText">
    <w:name w:val="annotation text"/>
    <w:basedOn w:val="Normal"/>
    <w:link w:val="CommentTextChar"/>
    <w:uiPriority w:val="99"/>
    <w:semiHidden/>
    <w:unhideWhenUsed/>
    <w:rsid w:val="00B839DE"/>
    <w:rPr>
      <w:sz w:val="20"/>
      <w:szCs w:val="20"/>
    </w:rPr>
  </w:style>
  <w:style w:type="character" w:customStyle="1" w:styleId="CommentTextChar">
    <w:name w:val="Comment Text Char"/>
    <w:basedOn w:val="DefaultParagraphFont"/>
    <w:link w:val="CommentText"/>
    <w:uiPriority w:val="99"/>
    <w:semiHidden/>
    <w:rsid w:val="00B839DE"/>
    <w:rPr>
      <w:sz w:val="20"/>
      <w:szCs w:val="20"/>
    </w:rPr>
  </w:style>
  <w:style w:type="paragraph" w:styleId="CommentSubject">
    <w:name w:val="annotation subject"/>
    <w:basedOn w:val="CommentText"/>
    <w:next w:val="CommentText"/>
    <w:link w:val="CommentSubjectChar"/>
    <w:uiPriority w:val="99"/>
    <w:semiHidden/>
    <w:unhideWhenUsed/>
    <w:rsid w:val="00B839DE"/>
    <w:rPr>
      <w:b/>
      <w:bCs/>
    </w:rPr>
  </w:style>
  <w:style w:type="character" w:customStyle="1" w:styleId="CommentSubjectChar">
    <w:name w:val="Comment Subject Char"/>
    <w:basedOn w:val="CommentTextChar"/>
    <w:link w:val="CommentSubject"/>
    <w:uiPriority w:val="99"/>
    <w:semiHidden/>
    <w:rsid w:val="00B839DE"/>
    <w:rPr>
      <w:b/>
      <w:bCs/>
      <w:sz w:val="20"/>
      <w:szCs w:val="20"/>
    </w:rPr>
  </w:style>
  <w:style w:type="paragraph" w:styleId="BalloonText">
    <w:name w:val="Balloon Text"/>
    <w:basedOn w:val="Normal"/>
    <w:link w:val="BalloonTextChar"/>
    <w:uiPriority w:val="99"/>
    <w:semiHidden/>
    <w:unhideWhenUsed/>
    <w:rsid w:val="00B839DE"/>
    <w:rPr>
      <w:rFonts w:ascii="Tahoma" w:hAnsi="Tahoma" w:cs="Tahoma"/>
      <w:sz w:val="16"/>
      <w:szCs w:val="16"/>
    </w:rPr>
  </w:style>
  <w:style w:type="character" w:customStyle="1" w:styleId="BalloonTextChar">
    <w:name w:val="Balloon Text Char"/>
    <w:basedOn w:val="DefaultParagraphFont"/>
    <w:link w:val="BalloonText"/>
    <w:uiPriority w:val="99"/>
    <w:semiHidden/>
    <w:rsid w:val="00B839DE"/>
    <w:rPr>
      <w:rFonts w:ascii="Tahoma" w:hAnsi="Tahoma" w:cs="Tahoma"/>
      <w:sz w:val="16"/>
      <w:szCs w:val="16"/>
    </w:rPr>
  </w:style>
  <w:style w:type="paragraph" w:styleId="NormalWeb">
    <w:name w:val="Normal (Web)"/>
    <w:basedOn w:val="Normal"/>
    <w:uiPriority w:val="99"/>
    <w:semiHidden/>
    <w:unhideWhenUsed/>
    <w:rsid w:val="00BC2673"/>
    <w:pPr>
      <w:spacing w:before="100" w:beforeAutospacing="1" w:after="100" w:afterAutospacing="1"/>
    </w:pPr>
    <w:rPr>
      <w:rFonts w:ascii="Times New Roman" w:eastAsia="Times New Roman" w:hAnsi="Times New Roman" w:cs="Times New Roman"/>
      <w:lang w:val="en-US" w:eastAsia="en-US"/>
    </w:rPr>
  </w:style>
  <w:style w:type="character" w:styleId="Hyperlink">
    <w:name w:val="Hyperlink"/>
    <w:basedOn w:val="DefaultParagraphFont"/>
    <w:uiPriority w:val="99"/>
    <w:unhideWhenUsed/>
    <w:rsid w:val="00BC2673"/>
    <w:rPr>
      <w:color w:val="0000FF"/>
      <w:u w:val="single"/>
    </w:rPr>
  </w:style>
  <w:style w:type="character" w:styleId="HTMLCite">
    <w:name w:val="HTML Cite"/>
    <w:basedOn w:val="DefaultParagraphFont"/>
    <w:uiPriority w:val="99"/>
    <w:semiHidden/>
    <w:unhideWhenUsed/>
    <w:rsid w:val="00BC2673"/>
    <w:rPr>
      <w:i/>
      <w:iCs/>
    </w:rPr>
  </w:style>
  <w:style w:type="character" w:customStyle="1" w:styleId="Heading1Char">
    <w:name w:val="Heading 1 Char"/>
    <w:basedOn w:val="DefaultParagraphFont"/>
    <w:link w:val="Heading1"/>
    <w:uiPriority w:val="9"/>
    <w:rsid w:val="00261587"/>
    <w:rPr>
      <w:rFonts w:ascii="Times" w:hAnsi="Times"/>
      <w:b/>
      <w:bCs/>
      <w:kern w:val="36"/>
      <w:sz w:val="48"/>
      <w:szCs w:val="48"/>
      <w:lang w:eastAsia="en-US"/>
    </w:rPr>
  </w:style>
  <w:style w:type="character" w:customStyle="1" w:styleId="cit">
    <w:name w:val="cit"/>
    <w:basedOn w:val="DefaultParagraphFont"/>
    <w:rsid w:val="00261587"/>
  </w:style>
  <w:style w:type="character" w:customStyle="1" w:styleId="author-sup-separator">
    <w:name w:val="author-sup-separator"/>
    <w:basedOn w:val="DefaultParagraphFont"/>
    <w:rsid w:val="00261587"/>
  </w:style>
  <w:style w:type="character" w:customStyle="1" w:styleId="comma">
    <w:name w:val="comma"/>
    <w:basedOn w:val="DefaultParagraphFont"/>
    <w:rsid w:val="00261587"/>
  </w:style>
  <w:style w:type="paragraph" w:customStyle="1" w:styleId="product-title">
    <w:name w:val="product-title"/>
    <w:basedOn w:val="Normal"/>
    <w:rsid w:val="00261587"/>
    <w:pPr>
      <w:spacing w:before="100" w:beforeAutospacing="1" w:after="100" w:afterAutospacing="1"/>
    </w:pPr>
    <w:rPr>
      <w:rFonts w:ascii="Times" w:hAnsi="Times"/>
      <w:sz w:val="20"/>
      <w:szCs w:val="20"/>
      <w:lang w:eastAsia="en-US"/>
    </w:rPr>
  </w:style>
  <w:style w:type="character" w:customStyle="1" w:styleId="prod-title">
    <w:name w:val="prod-title"/>
    <w:basedOn w:val="DefaultParagraphFont"/>
    <w:rsid w:val="00261587"/>
  </w:style>
  <w:style w:type="paragraph" w:customStyle="1" w:styleId="contrib-group">
    <w:name w:val="contrib-group"/>
    <w:basedOn w:val="Normal"/>
    <w:rsid w:val="00261587"/>
    <w:pPr>
      <w:spacing w:before="100" w:beforeAutospacing="1" w:after="100" w:afterAutospacing="1"/>
    </w:pPr>
    <w:rPr>
      <w:rFonts w:ascii="Times" w:hAnsi="Times"/>
      <w:sz w:val="20"/>
      <w:szCs w:val="20"/>
      <w:lang w:eastAsia="en-US"/>
    </w:rPr>
  </w:style>
  <w:style w:type="paragraph" w:customStyle="1" w:styleId="sc-hznem">
    <w:name w:val="sc-hznem"/>
    <w:basedOn w:val="Normal"/>
    <w:rsid w:val="00261587"/>
    <w:pPr>
      <w:spacing w:before="100" w:beforeAutospacing="1" w:after="100" w:afterAutospacing="1"/>
    </w:pPr>
    <w:rPr>
      <w:rFonts w:ascii="Times" w:hAnsi="Times"/>
      <w:sz w:val="20"/>
      <w:szCs w:val="20"/>
      <w:lang w:eastAsia="en-US"/>
    </w:rPr>
  </w:style>
  <w:style w:type="paragraph" w:styleId="Revision">
    <w:name w:val="Revision"/>
    <w:hidden/>
    <w:uiPriority w:val="99"/>
    <w:semiHidden/>
    <w:rsid w:val="00901850"/>
  </w:style>
  <w:style w:type="character" w:styleId="Emphasis">
    <w:name w:val="Emphasis"/>
    <w:basedOn w:val="DefaultParagraphFont"/>
    <w:uiPriority w:val="20"/>
    <w:qFormat/>
    <w:rsid w:val="00923211"/>
    <w:rPr>
      <w:i/>
      <w:iCs/>
    </w:rPr>
  </w:style>
  <w:style w:type="character" w:customStyle="1" w:styleId="normaltextrun">
    <w:name w:val="normaltextrun"/>
    <w:basedOn w:val="DefaultParagraphFont"/>
    <w:rsid w:val="002E1F10"/>
  </w:style>
  <w:style w:type="character" w:customStyle="1" w:styleId="Mention">
    <w:name w:val="Mention"/>
    <w:basedOn w:val="DefaultParagraphFont"/>
    <w:uiPriority w:val="99"/>
    <w:unhideWhenUsed/>
    <w:rPr>
      <w:color w:val="2B579A"/>
      <w:shd w:val="clear" w:color="auto" w:fill="E6E6E6"/>
    </w:rPr>
  </w:style>
  <w:style w:type="character" w:styleId="LineNumber">
    <w:name w:val="line number"/>
    <w:basedOn w:val="DefaultParagraphFont"/>
    <w:uiPriority w:val="99"/>
    <w:semiHidden/>
    <w:unhideWhenUsed/>
    <w:rsid w:val="00962D95"/>
  </w:style>
  <w:style w:type="paragraph" w:styleId="Footer">
    <w:name w:val="footer"/>
    <w:basedOn w:val="Normal"/>
    <w:link w:val="FooterChar"/>
    <w:uiPriority w:val="99"/>
    <w:unhideWhenUsed/>
    <w:rsid w:val="00975740"/>
    <w:pPr>
      <w:tabs>
        <w:tab w:val="center" w:pos="4320"/>
        <w:tab w:val="right" w:pos="8640"/>
      </w:tabs>
    </w:pPr>
  </w:style>
  <w:style w:type="character" w:customStyle="1" w:styleId="FooterChar">
    <w:name w:val="Footer Char"/>
    <w:basedOn w:val="DefaultParagraphFont"/>
    <w:link w:val="Footer"/>
    <w:uiPriority w:val="99"/>
    <w:rsid w:val="00975740"/>
  </w:style>
  <w:style w:type="character" w:styleId="PageNumber">
    <w:name w:val="page number"/>
    <w:basedOn w:val="DefaultParagraphFont"/>
    <w:uiPriority w:val="99"/>
    <w:semiHidden/>
    <w:unhideWhenUsed/>
    <w:rsid w:val="00975740"/>
  </w:style>
  <w:style w:type="character" w:customStyle="1" w:styleId="eop">
    <w:name w:val="eop"/>
    <w:basedOn w:val="DefaultParagraphFont"/>
    <w:rsid w:val="002D340E"/>
  </w:style>
  <w:style w:type="paragraph" w:styleId="Header">
    <w:name w:val="header"/>
    <w:basedOn w:val="Normal"/>
    <w:link w:val="HeaderChar"/>
    <w:uiPriority w:val="99"/>
    <w:unhideWhenUsed/>
    <w:rsid w:val="00CB1371"/>
    <w:pPr>
      <w:tabs>
        <w:tab w:val="center" w:pos="4320"/>
        <w:tab w:val="right" w:pos="8640"/>
      </w:tabs>
    </w:pPr>
  </w:style>
  <w:style w:type="character" w:customStyle="1" w:styleId="HeaderChar">
    <w:name w:val="Header Char"/>
    <w:basedOn w:val="DefaultParagraphFont"/>
    <w:link w:val="Header"/>
    <w:uiPriority w:val="99"/>
    <w:rsid w:val="00CB1371"/>
  </w:style>
  <w:style w:type="table" w:styleId="TableGrid">
    <w:name w:val="Table Grid"/>
    <w:basedOn w:val="TableNormal"/>
    <w:uiPriority w:val="39"/>
    <w:unhideWhenUsed/>
    <w:rsid w:val="00CF69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5926F4"/>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61587"/>
    <w:pPr>
      <w:spacing w:before="100" w:beforeAutospacing="1" w:after="100" w:afterAutospacing="1"/>
      <w:outlineLvl w:val="0"/>
    </w:pPr>
    <w:rPr>
      <w:rFonts w:ascii="Times" w:hAnsi="Times"/>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37BD"/>
    <w:pPr>
      <w:ind w:left="720"/>
      <w:contextualSpacing/>
    </w:pPr>
  </w:style>
  <w:style w:type="character" w:styleId="CommentReference">
    <w:name w:val="annotation reference"/>
    <w:basedOn w:val="DefaultParagraphFont"/>
    <w:uiPriority w:val="99"/>
    <w:semiHidden/>
    <w:unhideWhenUsed/>
    <w:rsid w:val="00B839DE"/>
    <w:rPr>
      <w:sz w:val="16"/>
      <w:szCs w:val="16"/>
    </w:rPr>
  </w:style>
  <w:style w:type="paragraph" w:styleId="CommentText">
    <w:name w:val="annotation text"/>
    <w:basedOn w:val="Normal"/>
    <w:link w:val="CommentTextChar"/>
    <w:uiPriority w:val="99"/>
    <w:semiHidden/>
    <w:unhideWhenUsed/>
    <w:rsid w:val="00B839DE"/>
    <w:rPr>
      <w:sz w:val="20"/>
      <w:szCs w:val="20"/>
    </w:rPr>
  </w:style>
  <w:style w:type="character" w:customStyle="1" w:styleId="CommentTextChar">
    <w:name w:val="Comment Text Char"/>
    <w:basedOn w:val="DefaultParagraphFont"/>
    <w:link w:val="CommentText"/>
    <w:uiPriority w:val="99"/>
    <w:semiHidden/>
    <w:rsid w:val="00B839DE"/>
    <w:rPr>
      <w:sz w:val="20"/>
      <w:szCs w:val="20"/>
    </w:rPr>
  </w:style>
  <w:style w:type="paragraph" w:styleId="CommentSubject">
    <w:name w:val="annotation subject"/>
    <w:basedOn w:val="CommentText"/>
    <w:next w:val="CommentText"/>
    <w:link w:val="CommentSubjectChar"/>
    <w:uiPriority w:val="99"/>
    <w:semiHidden/>
    <w:unhideWhenUsed/>
    <w:rsid w:val="00B839DE"/>
    <w:rPr>
      <w:b/>
      <w:bCs/>
    </w:rPr>
  </w:style>
  <w:style w:type="character" w:customStyle="1" w:styleId="CommentSubjectChar">
    <w:name w:val="Comment Subject Char"/>
    <w:basedOn w:val="CommentTextChar"/>
    <w:link w:val="CommentSubject"/>
    <w:uiPriority w:val="99"/>
    <w:semiHidden/>
    <w:rsid w:val="00B839DE"/>
    <w:rPr>
      <w:b/>
      <w:bCs/>
      <w:sz w:val="20"/>
      <w:szCs w:val="20"/>
    </w:rPr>
  </w:style>
  <w:style w:type="paragraph" w:styleId="BalloonText">
    <w:name w:val="Balloon Text"/>
    <w:basedOn w:val="Normal"/>
    <w:link w:val="BalloonTextChar"/>
    <w:uiPriority w:val="99"/>
    <w:semiHidden/>
    <w:unhideWhenUsed/>
    <w:rsid w:val="00B839DE"/>
    <w:rPr>
      <w:rFonts w:ascii="Tahoma" w:hAnsi="Tahoma" w:cs="Tahoma"/>
      <w:sz w:val="16"/>
      <w:szCs w:val="16"/>
    </w:rPr>
  </w:style>
  <w:style w:type="character" w:customStyle="1" w:styleId="BalloonTextChar">
    <w:name w:val="Balloon Text Char"/>
    <w:basedOn w:val="DefaultParagraphFont"/>
    <w:link w:val="BalloonText"/>
    <w:uiPriority w:val="99"/>
    <w:semiHidden/>
    <w:rsid w:val="00B839DE"/>
    <w:rPr>
      <w:rFonts w:ascii="Tahoma" w:hAnsi="Tahoma" w:cs="Tahoma"/>
      <w:sz w:val="16"/>
      <w:szCs w:val="16"/>
    </w:rPr>
  </w:style>
  <w:style w:type="paragraph" w:styleId="NormalWeb">
    <w:name w:val="Normal (Web)"/>
    <w:basedOn w:val="Normal"/>
    <w:uiPriority w:val="99"/>
    <w:semiHidden/>
    <w:unhideWhenUsed/>
    <w:rsid w:val="00BC2673"/>
    <w:pPr>
      <w:spacing w:before="100" w:beforeAutospacing="1" w:after="100" w:afterAutospacing="1"/>
    </w:pPr>
    <w:rPr>
      <w:rFonts w:ascii="Times New Roman" w:eastAsia="Times New Roman" w:hAnsi="Times New Roman" w:cs="Times New Roman"/>
      <w:lang w:val="en-US" w:eastAsia="en-US"/>
    </w:rPr>
  </w:style>
  <w:style w:type="character" w:styleId="Hyperlink">
    <w:name w:val="Hyperlink"/>
    <w:basedOn w:val="DefaultParagraphFont"/>
    <w:uiPriority w:val="99"/>
    <w:unhideWhenUsed/>
    <w:rsid w:val="00BC2673"/>
    <w:rPr>
      <w:color w:val="0000FF"/>
      <w:u w:val="single"/>
    </w:rPr>
  </w:style>
  <w:style w:type="character" w:styleId="HTMLCite">
    <w:name w:val="HTML Cite"/>
    <w:basedOn w:val="DefaultParagraphFont"/>
    <w:uiPriority w:val="99"/>
    <w:semiHidden/>
    <w:unhideWhenUsed/>
    <w:rsid w:val="00BC2673"/>
    <w:rPr>
      <w:i/>
      <w:iCs/>
    </w:rPr>
  </w:style>
  <w:style w:type="character" w:customStyle="1" w:styleId="Heading1Char">
    <w:name w:val="Heading 1 Char"/>
    <w:basedOn w:val="DefaultParagraphFont"/>
    <w:link w:val="Heading1"/>
    <w:uiPriority w:val="9"/>
    <w:rsid w:val="00261587"/>
    <w:rPr>
      <w:rFonts w:ascii="Times" w:hAnsi="Times"/>
      <w:b/>
      <w:bCs/>
      <w:kern w:val="36"/>
      <w:sz w:val="48"/>
      <w:szCs w:val="48"/>
      <w:lang w:eastAsia="en-US"/>
    </w:rPr>
  </w:style>
  <w:style w:type="character" w:customStyle="1" w:styleId="cit">
    <w:name w:val="cit"/>
    <w:basedOn w:val="DefaultParagraphFont"/>
    <w:rsid w:val="00261587"/>
  </w:style>
  <w:style w:type="character" w:customStyle="1" w:styleId="author-sup-separator">
    <w:name w:val="author-sup-separator"/>
    <w:basedOn w:val="DefaultParagraphFont"/>
    <w:rsid w:val="00261587"/>
  </w:style>
  <w:style w:type="character" w:customStyle="1" w:styleId="comma">
    <w:name w:val="comma"/>
    <w:basedOn w:val="DefaultParagraphFont"/>
    <w:rsid w:val="00261587"/>
  </w:style>
  <w:style w:type="paragraph" w:customStyle="1" w:styleId="product-title">
    <w:name w:val="product-title"/>
    <w:basedOn w:val="Normal"/>
    <w:rsid w:val="00261587"/>
    <w:pPr>
      <w:spacing w:before="100" w:beforeAutospacing="1" w:after="100" w:afterAutospacing="1"/>
    </w:pPr>
    <w:rPr>
      <w:rFonts w:ascii="Times" w:hAnsi="Times"/>
      <w:sz w:val="20"/>
      <w:szCs w:val="20"/>
      <w:lang w:eastAsia="en-US"/>
    </w:rPr>
  </w:style>
  <w:style w:type="character" w:customStyle="1" w:styleId="prod-title">
    <w:name w:val="prod-title"/>
    <w:basedOn w:val="DefaultParagraphFont"/>
    <w:rsid w:val="00261587"/>
  </w:style>
  <w:style w:type="paragraph" w:customStyle="1" w:styleId="contrib-group">
    <w:name w:val="contrib-group"/>
    <w:basedOn w:val="Normal"/>
    <w:rsid w:val="00261587"/>
    <w:pPr>
      <w:spacing w:before="100" w:beforeAutospacing="1" w:after="100" w:afterAutospacing="1"/>
    </w:pPr>
    <w:rPr>
      <w:rFonts w:ascii="Times" w:hAnsi="Times"/>
      <w:sz w:val="20"/>
      <w:szCs w:val="20"/>
      <w:lang w:eastAsia="en-US"/>
    </w:rPr>
  </w:style>
  <w:style w:type="paragraph" w:customStyle="1" w:styleId="sc-hznem">
    <w:name w:val="sc-hznem"/>
    <w:basedOn w:val="Normal"/>
    <w:rsid w:val="00261587"/>
    <w:pPr>
      <w:spacing w:before="100" w:beforeAutospacing="1" w:after="100" w:afterAutospacing="1"/>
    </w:pPr>
    <w:rPr>
      <w:rFonts w:ascii="Times" w:hAnsi="Times"/>
      <w:sz w:val="20"/>
      <w:szCs w:val="20"/>
      <w:lang w:eastAsia="en-US"/>
    </w:rPr>
  </w:style>
  <w:style w:type="paragraph" w:styleId="Revision">
    <w:name w:val="Revision"/>
    <w:hidden/>
    <w:uiPriority w:val="99"/>
    <w:semiHidden/>
    <w:rsid w:val="00901850"/>
  </w:style>
  <w:style w:type="character" w:styleId="Emphasis">
    <w:name w:val="Emphasis"/>
    <w:basedOn w:val="DefaultParagraphFont"/>
    <w:uiPriority w:val="20"/>
    <w:qFormat/>
    <w:rsid w:val="00923211"/>
    <w:rPr>
      <w:i/>
      <w:iCs/>
    </w:rPr>
  </w:style>
  <w:style w:type="character" w:customStyle="1" w:styleId="normaltextrun">
    <w:name w:val="normaltextrun"/>
    <w:basedOn w:val="DefaultParagraphFont"/>
    <w:rsid w:val="002E1F10"/>
  </w:style>
  <w:style w:type="character" w:customStyle="1" w:styleId="Mention">
    <w:name w:val="Mention"/>
    <w:basedOn w:val="DefaultParagraphFont"/>
    <w:uiPriority w:val="99"/>
    <w:unhideWhenUsed/>
    <w:rPr>
      <w:color w:val="2B579A"/>
      <w:shd w:val="clear" w:color="auto" w:fill="E6E6E6"/>
    </w:rPr>
  </w:style>
  <w:style w:type="character" w:styleId="LineNumber">
    <w:name w:val="line number"/>
    <w:basedOn w:val="DefaultParagraphFont"/>
    <w:uiPriority w:val="99"/>
    <w:semiHidden/>
    <w:unhideWhenUsed/>
    <w:rsid w:val="00962D95"/>
  </w:style>
  <w:style w:type="paragraph" w:styleId="Footer">
    <w:name w:val="footer"/>
    <w:basedOn w:val="Normal"/>
    <w:link w:val="FooterChar"/>
    <w:uiPriority w:val="99"/>
    <w:unhideWhenUsed/>
    <w:rsid w:val="00975740"/>
    <w:pPr>
      <w:tabs>
        <w:tab w:val="center" w:pos="4320"/>
        <w:tab w:val="right" w:pos="8640"/>
      </w:tabs>
    </w:pPr>
  </w:style>
  <w:style w:type="character" w:customStyle="1" w:styleId="FooterChar">
    <w:name w:val="Footer Char"/>
    <w:basedOn w:val="DefaultParagraphFont"/>
    <w:link w:val="Footer"/>
    <w:uiPriority w:val="99"/>
    <w:rsid w:val="00975740"/>
  </w:style>
  <w:style w:type="character" w:styleId="PageNumber">
    <w:name w:val="page number"/>
    <w:basedOn w:val="DefaultParagraphFont"/>
    <w:uiPriority w:val="99"/>
    <w:semiHidden/>
    <w:unhideWhenUsed/>
    <w:rsid w:val="00975740"/>
  </w:style>
  <w:style w:type="character" w:customStyle="1" w:styleId="eop">
    <w:name w:val="eop"/>
    <w:basedOn w:val="DefaultParagraphFont"/>
    <w:rsid w:val="002D340E"/>
  </w:style>
  <w:style w:type="paragraph" w:styleId="Header">
    <w:name w:val="header"/>
    <w:basedOn w:val="Normal"/>
    <w:link w:val="HeaderChar"/>
    <w:uiPriority w:val="99"/>
    <w:unhideWhenUsed/>
    <w:rsid w:val="00CB1371"/>
    <w:pPr>
      <w:tabs>
        <w:tab w:val="center" w:pos="4320"/>
        <w:tab w:val="right" w:pos="8640"/>
      </w:tabs>
    </w:pPr>
  </w:style>
  <w:style w:type="character" w:customStyle="1" w:styleId="HeaderChar">
    <w:name w:val="Header Char"/>
    <w:basedOn w:val="DefaultParagraphFont"/>
    <w:link w:val="Header"/>
    <w:uiPriority w:val="99"/>
    <w:rsid w:val="00CB1371"/>
  </w:style>
  <w:style w:type="table" w:styleId="TableGrid">
    <w:name w:val="Table Grid"/>
    <w:basedOn w:val="TableNormal"/>
    <w:uiPriority w:val="39"/>
    <w:unhideWhenUsed/>
    <w:rsid w:val="00CF69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5926F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252529">
      <w:bodyDiv w:val="1"/>
      <w:marLeft w:val="0"/>
      <w:marRight w:val="0"/>
      <w:marTop w:val="0"/>
      <w:marBottom w:val="0"/>
      <w:divBdr>
        <w:top w:val="none" w:sz="0" w:space="0" w:color="auto"/>
        <w:left w:val="none" w:sz="0" w:space="0" w:color="auto"/>
        <w:bottom w:val="none" w:sz="0" w:space="0" w:color="auto"/>
        <w:right w:val="none" w:sz="0" w:space="0" w:color="auto"/>
      </w:divBdr>
    </w:div>
    <w:div w:id="826046859">
      <w:bodyDiv w:val="1"/>
      <w:marLeft w:val="0"/>
      <w:marRight w:val="0"/>
      <w:marTop w:val="0"/>
      <w:marBottom w:val="0"/>
      <w:divBdr>
        <w:top w:val="none" w:sz="0" w:space="0" w:color="auto"/>
        <w:left w:val="none" w:sz="0" w:space="0" w:color="auto"/>
        <w:bottom w:val="none" w:sz="0" w:space="0" w:color="auto"/>
        <w:right w:val="none" w:sz="0" w:space="0" w:color="auto"/>
      </w:divBdr>
    </w:div>
    <w:div w:id="833422400">
      <w:bodyDiv w:val="1"/>
      <w:marLeft w:val="0"/>
      <w:marRight w:val="0"/>
      <w:marTop w:val="0"/>
      <w:marBottom w:val="0"/>
      <w:divBdr>
        <w:top w:val="none" w:sz="0" w:space="0" w:color="auto"/>
        <w:left w:val="none" w:sz="0" w:space="0" w:color="auto"/>
        <w:bottom w:val="none" w:sz="0" w:space="0" w:color="auto"/>
        <w:right w:val="none" w:sz="0" w:space="0" w:color="auto"/>
      </w:divBdr>
    </w:div>
    <w:div w:id="904340749">
      <w:bodyDiv w:val="1"/>
      <w:marLeft w:val="0"/>
      <w:marRight w:val="0"/>
      <w:marTop w:val="0"/>
      <w:marBottom w:val="0"/>
      <w:divBdr>
        <w:top w:val="none" w:sz="0" w:space="0" w:color="auto"/>
        <w:left w:val="none" w:sz="0" w:space="0" w:color="auto"/>
        <w:bottom w:val="none" w:sz="0" w:space="0" w:color="auto"/>
        <w:right w:val="none" w:sz="0" w:space="0" w:color="auto"/>
      </w:divBdr>
    </w:div>
    <w:div w:id="962082352">
      <w:bodyDiv w:val="1"/>
      <w:marLeft w:val="0"/>
      <w:marRight w:val="0"/>
      <w:marTop w:val="0"/>
      <w:marBottom w:val="0"/>
      <w:divBdr>
        <w:top w:val="none" w:sz="0" w:space="0" w:color="auto"/>
        <w:left w:val="none" w:sz="0" w:space="0" w:color="auto"/>
        <w:bottom w:val="none" w:sz="0" w:space="0" w:color="auto"/>
        <w:right w:val="none" w:sz="0" w:space="0" w:color="auto"/>
      </w:divBdr>
    </w:div>
    <w:div w:id="1175877880">
      <w:bodyDiv w:val="1"/>
      <w:marLeft w:val="0"/>
      <w:marRight w:val="0"/>
      <w:marTop w:val="0"/>
      <w:marBottom w:val="0"/>
      <w:divBdr>
        <w:top w:val="none" w:sz="0" w:space="0" w:color="auto"/>
        <w:left w:val="none" w:sz="0" w:space="0" w:color="auto"/>
        <w:bottom w:val="none" w:sz="0" w:space="0" w:color="auto"/>
        <w:right w:val="none" w:sz="0" w:space="0" w:color="auto"/>
      </w:divBdr>
    </w:div>
    <w:div w:id="1251892121">
      <w:bodyDiv w:val="1"/>
      <w:marLeft w:val="0"/>
      <w:marRight w:val="0"/>
      <w:marTop w:val="0"/>
      <w:marBottom w:val="0"/>
      <w:divBdr>
        <w:top w:val="none" w:sz="0" w:space="0" w:color="auto"/>
        <w:left w:val="none" w:sz="0" w:space="0" w:color="auto"/>
        <w:bottom w:val="none" w:sz="0" w:space="0" w:color="auto"/>
        <w:right w:val="none" w:sz="0" w:space="0" w:color="auto"/>
      </w:divBdr>
    </w:div>
    <w:div w:id="1499034873">
      <w:bodyDiv w:val="1"/>
      <w:marLeft w:val="0"/>
      <w:marRight w:val="0"/>
      <w:marTop w:val="0"/>
      <w:marBottom w:val="0"/>
      <w:divBdr>
        <w:top w:val="none" w:sz="0" w:space="0" w:color="auto"/>
        <w:left w:val="none" w:sz="0" w:space="0" w:color="auto"/>
        <w:bottom w:val="none" w:sz="0" w:space="0" w:color="auto"/>
        <w:right w:val="none" w:sz="0" w:space="0" w:color="auto"/>
      </w:divBdr>
    </w:div>
    <w:div w:id="1663004698">
      <w:bodyDiv w:val="1"/>
      <w:marLeft w:val="0"/>
      <w:marRight w:val="0"/>
      <w:marTop w:val="0"/>
      <w:marBottom w:val="0"/>
      <w:divBdr>
        <w:top w:val="none" w:sz="0" w:space="0" w:color="auto"/>
        <w:left w:val="none" w:sz="0" w:space="0" w:color="auto"/>
        <w:bottom w:val="none" w:sz="0" w:space="0" w:color="auto"/>
        <w:right w:val="none" w:sz="0" w:space="0" w:color="auto"/>
      </w:divBdr>
    </w:div>
    <w:div w:id="1684089853">
      <w:bodyDiv w:val="1"/>
      <w:marLeft w:val="0"/>
      <w:marRight w:val="0"/>
      <w:marTop w:val="0"/>
      <w:marBottom w:val="0"/>
      <w:divBdr>
        <w:top w:val="none" w:sz="0" w:space="0" w:color="auto"/>
        <w:left w:val="none" w:sz="0" w:space="0" w:color="auto"/>
        <w:bottom w:val="none" w:sz="0" w:space="0" w:color="auto"/>
        <w:right w:val="none" w:sz="0" w:space="0" w:color="auto"/>
      </w:divBdr>
    </w:div>
    <w:div w:id="1884246074">
      <w:bodyDiv w:val="1"/>
      <w:marLeft w:val="0"/>
      <w:marRight w:val="0"/>
      <w:marTop w:val="0"/>
      <w:marBottom w:val="0"/>
      <w:divBdr>
        <w:top w:val="none" w:sz="0" w:space="0" w:color="auto"/>
        <w:left w:val="none" w:sz="0" w:space="0" w:color="auto"/>
        <w:bottom w:val="none" w:sz="0" w:space="0" w:color="auto"/>
        <w:right w:val="none" w:sz="0" w:space="0" w:color="auto"/>
      </w:divBdr>
    </w:div>
    <w:div w:id="1891113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hyperlink" Target="http://clinicaltrials.gov" TargetMode="External"/><Relationship Id="rId21" Type="http://schemas.openxmlformats.org/officeDocument/2006/relationships/hyperlink" Target="http://clinicaltrials.gov" TargetMode="External"/><Relationship Id="rId22" Type="http://schemas.openxmlformats.org/officeDocument/2006/relationships/hyperlink" Target="https://www.isrctn.com" TargetMode="External"/><Relationship Id="rId23" Type="http://schemas.openxmlformats.org/officeDocument/2006/relationships/image" Target="media/image1.tiff"/><Relationship Id="rId24" Type="http://schemas.openxmlformats.org/officeDocument/2006/relationships/image" Target="media/image2.png"/><Relationship Id="rId25" Type="http://schemas.openxmlformats.org/officeDocument/2006/relationships/image" Target="media/image3.gif"/><Relationship Id="rId26" Type="http://schemas.openxmlformats.org/officeDocument/2006/relationships/image" Target="media/image4.png"/><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yperlink" Target="http://clinicaltrials.gov" TargetMode="External"/><Relationship Id="rId13" Type="http://schemas.openxmlformats.org/officeDocument/2006/relationships/hyperlink" Target="http://clinicaltrials.gov" TargetMode="External"/><Relationship Id="rId14" Type="http://schemas.openxmlformats.org/officeDocument/2006/relationships/hyperlink" Target="https://www.isrctn.com" TargetMode="External"/><Relationship Id="rId15" Type="http://schemas.openxmlformats.org/officeDocument/2006/relationships/hyperlink" Target="http://clinicaltrials.gov" TargetMode="External"/><Relationship Id="rId16" Type="http://schemas.openxmlformats.org/officeDocument/2006/relationships/hyperlink" Target="http://clinicaltrials.gov" TargetMode="External"/><Relationship Id="rId17" Type="http://schemas.openxmlformats.org/officeDocument/2006/relationships/hyperlink" Target="http://clinicaltrials.gov" TargetMode="External"/><Relationship Id="rId18" Type="http://schemas.openxmlformats.org/officeDocument/2006/relationships/hyperlink" Target="http://clinicaltrials.gov" TargetMode="External"/><Relationship Id="rId19" Type="http://schemas.openxmlformats.org/officeDocument/2006/relationships/hyperlink" Target="http://clinicaltrials.gov"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9F280FDB2FCF41BDA09C9D548978D7" ma:contentTypeVersion="8" ma:contentTypeDescription="Create a new document." ma:contentTypeScope="" ma:versionID="9b844c97a9a6593a3a63db999d5633b0">
  <xsd:schema xmlns:xsd="http://www.w3.org/2001/XMLSchema" xmlns:xs="http://www.w3.org/2001/XMLSchema" xmlns:p="http://schemas.microsoft.com/office/2006/metadata/properties" xmlns:ns2="dda9d3fb-4095-46d5-aa6a-7b08e28009f0" targetNamespace="http://schemas.microsoft.com/office/2006/metadata/properties" ma:root="true" ma:fieldsID="95fb84cdb74645e11edeec31f92a8933" ns2:_="">
    <xsd:import namespace="dda9d3fb-4095-46d5-aa6a-7b08e28009f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a9d3fb-4095-46d5-aa6a-7b08e28009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6DD8DE-93BB-4FA5-BF5D-49409B5C7D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4638285-3CB1-43B4-B60C-8A6C68F932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a9d3fb-4095-46d5-aa6a-7b08e28009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6D380B-217B-43FB-BFA0-742A4591B35E}">
  <ds:schemaRefs>
    <ds:schemaRef ds:uri="http://schemas.microsoft.com/sharepoint/v3/contenttype/forms"/>
  </ds:schemaRefs>
</ds:datastoreItem>
</file>

<file path=customXml/itemProps4.xml><?xml version="1.0" encoding="utf-8"?>
<ds:datastoreItem xmlns:ds="http://schemas.openxmlformats.org/officeDocument/2006/customXml" ds:itemID="{FDB142EB-2766-BC46-8A43-137FA99C3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60191</Words>
  <Characters>343094</Characters>
  <Application>Microsoft Macintosh Word</Application>
  <DocSecurity>0</DocSecurity>
  <Lines>2859</Lines>
  <Paragraphs>804</Paragraphs>
  <ScaleCrop>false</ScaleCrop>
  <HeadingPairs>
    <vt:vector size="2" baseType="variant">
      <vt:variant>
        <vt:lpstr>Title</vt:lpstr>
      </vt:variant>
      <vt:variant>
        <vt:i4>1</vt:i4>
      </vt:variant>
    </vt:vector>
  </HeadingPairs>
  <TitlesOfParts>
    <vt:vector size="1" baseType="lpstr">
      <vt:lpstr/>
    </vt:vector>
  </TitlesOfParts>
  <Company>RJAH Orthopaedic Hospital Foundation Trust</Company>
  <LinksUpToDate>false</LinksUpToDate>
  <CharactersWithSpaces>402481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Tian Lan</dc:creator>
  <cp:lastModifiedBy>Charlotte Hulme</cp:lastModifiedBy>
  <cp:revision>2</cp:revision>
  <dcterms:created xsi:type="dcterms:W3CDTF">2021-08-09T09:56:00Z</dcterms:created>
  <dcterms:modified xsi:type="dcterms:W3CDTF">2021-08-09T09:56:00Z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ba20b0d4-c4af-310b-8d27-05a1d95ecbdc</vt:lpwstr>
  </property>
  <property fmtid="{D5CDD505-2E9C-101B-9397-08002B2CF9AE}" pid="4" name="Mendeley Citation Style_1">
    <vt:lpwstr>http://csl.mendeley.com/styles/529536611/vancouver-2</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http://www.zotero.org/styles/annals-of-the-rheumatic-diseases</vt:lpwstr>
  </property>
  <property fmtid="{D5CDD505-2E9C-101B-9397-08002B2CF9AE}" pid="10" name="Mendeley Recent Style Name 2_1">
    <vt:lpwstr>Annals of the Rheumatic Diseases</vt:lpwstr>
  </property>
  <property fmtid="{D5CDD505-2E9C-101B-9397-08002B2CF9AE}" pid="11" name="Mendeley Recent Style Id 3_1">
    <vt:lpwstr>http://www.zotero.org/styles/biomed-central</vt:lpwstr>
  </property>
  <property fmtid="{D5CDD505-2E9C-101B-9397-08002B2CF9AE}" pid="12" name="Mendeley Recent Style Name 3_1">
    <vt:lpwstr>BioMed Central</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http://www.zotero.org/styles/diabetologia</vt:lpwstr>
  </property>
  <property fmtid="{D5CDD505-2E9C-101B-9397-08002B2CF9AE}" pid="16" name="Mendeley Recent Style Name 5_1">
    <vt:lpwstr>Diabetologia</vt:lpwstr>
  </property>
  <property fmtid="{D5CDD505-2E9C-101B-9397-08002B2CF9AE}" pid="17" name="Mendeley Recent Style Id 6_1">
    <vt:lpwstr>http://www.zotero.org/styles/nature</vt:lpwstr>
  </property>
  <property fmtid="{D5CDD505-2E9C-101B-9397-08002B2CF9AE}" pid="18" name="Mendeley Recent Style Name 6_1">
    <vt:lpwstr>Nature</vt:lpwstr>
  </property>
  <property fmtid="{D5CDD505-2E9C-101B-9397-08002B2CF9AE}" pid="19" name="Mendeley Recent Style Id 7_1">
    <vt:lpwstr>http://www.zotero.org/styles/osteoarthritis-and-cartilage</vt:lpwstr>
  </property>
  <property fmtid="{D5CDD505-2E9C-101B-9397-08002B2CF9AE}" pid="20" name="Mendeley Recent Style Name 7_1">
    <vt:lpwstr>Osteoarthritis and Cartilage</vt:lpwstr>
  </property>
  <property fmtid="{D5CDD505-2E9C-101B-9397-08002B2CF9AE}" pid="21" name="Mendeley Recent Style Id 8_1">
    <vt:lpwstr>http://www.zotero.org/styles/vancouver</vt:lpwstr>
  </property>
  <property fmtid="{D5CDD505-2E9C-101B-9397-08002B2CF9AE}" pid="22" name="Mendeley Recent Style Name 8_1">
    <vt:lpwstr>Vancouver</vt:lpwstr>
  </property>
  <property fmtid="{D5CDD505-2E9C-101B-9397-08002B2CF9AE}" pid="23" name="Mendeley Recent Style Id 9_1">
    <vt:lpwstr>http://csl.mendeley.com/styles/529536611/vancouver-2</vt:lpwstr>
  </property>
  <property fmtid="{D5CDD505-2E9C-101B-9397-08002B2CF9AE}" pid="24" name="Mendeley Recent Style Name 9_1">
    <vt:lpwstr>Vancouver - Charlotte Hulme</vt:lpwstr>
  </property>
  <property fmtid="{D5CDD505-2E9C-101B-9397-08002B2CF9AE}" pid="25" name="ContentTypeId">
    <vt:lpwstr>0x010100A09F280FDB2FCF41BDA09C9D548978D7</vt:lpwstr>
  </property>
</Properties>
</file>