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8A282" w14:textId="1BF5081B" w:rsidR="0029773D" w:rsidRPr="00F74C1D" w:rsidRDefault="00743248" w:rsidP="006300BB">
      <w:pPr>
        <w:pStyle w:val="MDPI12title"/>
        <w:jc w:val="both"/>
        <w:rPr>
          <w:rFonts w:ascii="Times New Roman" w:hAnsi="Times New Roman"/>
        </w:rPr>
      </w:pPr>
      <w:r>
        <w:rPr>
          <w:rFonts w:ascii="Times New Roman" w:hAnsi="Times New Roman"/>
        </w:rPr>
        <w:t>S</w:t>
      </w:r>
      <w:r w:rsidR="00CF0B3B">
        <w:rPr>
          <w:rFonts w:ascii="Times New Roman" w:hAnsi="Times New Roman"/>
        </w:rPr>
        <w:t>ynthesis of thiazolidin</w:t>
      </w:r>
      <w:r w:rsidR="00753CF4" w:rsidRPr="00F74C1D">
        <w:rPr>
          <w:rFonts w:ascii="Times New Roman" w:hAnsi="Times New Roman"/>
        </w:rPr>
        <w:t>-4-one derivatives as novel TDP1 inhibitors</w:t>
      </w:r>
    </w:p>
    <w:p w14:paraId="537F44A5" w14:textId="5B06A3AA" w:rsidR="0029773D" w:rsidRPr="00F74C1D" w:rsidRDefault="00753CF4" w:rsidP="00753CF4">
      <w:pPr>
        <w:pStyle w:val="MDPI13authornames"/>
        <w:rPr>
          <w:rFonts w:ascii="Times New Roman" w:hAnsi="Times New Roman"/>
        </w:rPr>
      </w:pPr>
      <w:r w:rsidRPr="00F74C1D">
        <w:rPr>
          <w:rFonts w:ascii="Times New Roman" w:hAnsi="Times New Roman"/>
        </w:rPr>
        <w:t xml:space="preserve">Dmitry I. </w:t>
      </w:r>
      <w:proofErr w:type="spellStart"/>
      <w:r w:rsidRPr="00F74C1D">
        <w:rPr>
          <w:rFonts w:ascii="Times New Roman" w:hAnsi="Times New Roman"/>
        </w:rPr>
        <w:t>Ivankin</w:t>
      </w:r>
      <w:r w:rsidRPr="00F74C1D">
        <w:rPr>
          <w:rFonts w:ascii="Times New Roman" w:hAnsi="Times New Roman"/>
          <w:vertAlign w:val="superscript"/>
        </w:rPr>
        <w:t>a</w:t>
      </w:r>
      <w:proofErr w:type="spellEnd"/>
      <w:r w:rsidRPr="00F74C1D">
        <w:rPr>
          <w:rFonts w:ascii="Times New Roman" w:hAnsi="Times New Roman"/>
        </w:rPr>
        <w:t xml:space="preserve">, </w:t>
      </w:r>
      <w:r w:rsidR="008462CB" w:rsidRPr="00F74C1D">
        <w:rPr>
          <w:rFonts w:ascii="Times New Roman" w:hAnsi="Times New Roman"/>
        </w:rPr>
        <w:t xml:space="preserve">Nadezhda S. </w:t>
      </w:r>
      <w:proofErr w:type="spellStart"/>
      <w:r w:rsidR="008462CB" w:rsidRPr="00F74C1D">
        <w:rPr>
          <w:rFonts w:ascii="Times New Roman" w:hAnsi="Times New Roman"/>
        </w:rPr>
        <w:t>Dyrkheeva</w:t>
      </w:r>
      <w:r w:rsidR="008462CB" w:rsidRPr="00F74C1D">
        <w:rPr>
          <w:rFonts w:ascii="Times New Roman" w:hAnsi="Times New Roman"/>
          <w:vertAlign w:val="superscript"/>
        </w:rPr>
        <w:t>b</w:t>
      </w:r>
      <w:proofErr w:type="spellEnd"/>
      <w:r w:rsidR="008462CB" w:rsidRPr="00F74C1D">
        <w:rPr>
          <w:rFonts w:ascii="Times New Roman" w:hAnsi="Times New Roman"/>
        </w:rPr>
        <w:t xml:space="preserve">, </w:t>
      </w:r>
      <w:r w:rsidRPr="00F74C1D">
        <w:rPr>
          <w:rFonts w:ascii="Times New Roman" w:hAnsi="Times New Roman"/>
        </w:rPr>
        <w:t xml:space="preserve">Alexandra L. </w:t>
      </w:r>
      <w:proofErr w:type="spellStart"/>
      <w:r w:rsidRPr="00F74C1D">
        <w:rPr>
          <w:rFonts w:ascii="Times New Roman" w:hAnsi="Times New Roman"/>
        </w:rPr>
        <w:t>Zakharenko</w:t>
      </w:r>
      <w:r w:rsidRPr="00F74C1D">
        <w:rPr>
          <w:rFonts w:ascii="Times New Roman" w:hAnsi="Times New Roman"/>
          <w:vertAlign w:val="superscript"/>
        </w:rPr>
        <w:t>b</w:t>
      </w:r>
      <w:proofErr w:type="spellEnd"/>
      <w:r w:rsidRPr="00F74C1D">
        <w:rPr>
          <w:rFonts w:ascii="Times New Roman" w:hAnsi="Times New Roman"/>
        </w:rPr>
        <w:t xml:space="preserve">, Ekaterina S. </w:t>
      </w:r>
      <w:proofErr w:type="spellStart"/>
      <w:r w:rsidRPr="00F74C1D">
        <w:rPr>
          <w:rFonts w:ascii="Times New Roman" w:hAnsi="Times New Roman"/>
        </w:rPr>
        <w:t>Ilina</w:t>
      </w:r>
      <w:r w:rsidRPr="00F74C1D">
        <w:rPr>
          <w:rFonts w:ascii="Times New Roman" w:hAnsi="Times New Roman"/>
          <w:vertAlign w:val="superscript"/>
        </w:rPr>
        <w:t>b</w:t>
      </w:r>
      <w:proofErr w:type="spellEnd"/>
      <w:r w:rsidRPr="00F74C1D">
        <w:rPr>
          <w:rFonts w:ascii="Times New Roman" w:hAnsi="Times New Roman"/>
        </w:rPr>
        <w:t xml:space="preserve">, </w:t>
      </w:r>
      <w:r w:rsidR="00A86D14">
        <w:rPr>
          <w:rFonts w:ascii="Times New Roman" w:hAnsi="Times New Roman"/>
        </w:rPr>
        <w:t xml:space="preserve">Timofey </w:t>
      </w:r>
      <w:r w:rsidR="008462CB">
        <w:rPr>
          <w:rFonts w:ascii="Times New Roman" w:hAnsi="Times New Roman"/>
        </w:rPr>
        <w:t xml:space="preserve">O. </w:t>
      </w:r>
      <w:proofErr w:type="spellStart"/>
      <w:r w:rsidR="008462CB">
        <w:rPr>
          <w:rFonts w:ascii="Times New Roman" w:hAnsi="Times New Roman"/>
        </w:rPr>
        <w:t>Zarkov</w:t>
      </w:r>
      <w:r w:rsidR="008462CB" w:rsidRPr="008462CB">
        <w:rPr>
          <w:rFonts w:ascii="Times New Roman" w:hAnsi="Times New Roman"/>
          <w:vertAlign w:val="superscript"/>
        </w:rPr>
        <w:t>b</w:t>
      </w:r>
      <w:proofErr w:type="spellEnd"/>
      <w:r w:rsidR="008462CB">
        <w:rPr>
          <w:rFonts w:ascii="Times New Roman" w:hAnsi="Times New Roman"/>
        </w:rPr>
        <w:t xml:space="preserve">, </w:t>
      </w:r>
      <w:proofErr w:type="spellStart"/>
      <w:r w:rsidRPr="00F74C1D">
        <w:rPr>
          <w:rFonts w:ascii="Times New Roman" w:hAnsi="Times New Roman"/>
        </w:rPr>
        <w:t>Jóhannes</w:t>
      </w:r>
      <w:proofErr w:type="spellEnd"/>
      <w:r w:rsidRPr="00F74C1D">
        <w:rPr>
          <w:rFonts w:ascii="Times New Roman" w:hAnsi="Times New Roman"/>
        </w:rPr>
        <w:t xml:space="preserve"> </w:t>
      </w:r>
      <w:proofErr w:type="spellStart"/>
      <w:r w:rsidRPr="00F74C1D">
        <w:rPr>
          <w:rFonts w:ascii="Times New Roman" w:hAnsi="Times New Roman"/>
        </w:rPr>
        <w:t>Reynisson</w:t>
      </w:r>
      <w:r w:rsidRPr="00F74C1D">
        <w:rPr>
          <w:rFonts w:ascii="Times New Roman" w:hAnsi="Times New Roman"/>
          <w:vertAlign w:val="superscript"/>
        </w:rPr>
        <w:t>c</w:t>
      </w:r>
      <w:proofErr w:type="spellEnd"/>
      <w:r w:rsidRPr="00F74C1D">
        <w:rPr>
          <w:rFonts w:ascii="Times New Roman" w:hAnsi="Times New Roman"/>
        </w:rPr>
        <w:t xml:space="preserve">, Olga A. </w:t>
      </w:r>
      <w:proofErr w:type="spellStart"/>
      <w:r w:rsidRPr="00F74C1D">
        <w:rPr>
          <w:rFonts w:ascii="Times New Roman" w:hAnsi="Times New Roman"/>
        </w:rPr>
        <w:t>Luzina</w:t>
      </w:r>
      <w:r w:rsidRPr="00F74C1D">
        <w:rPr>
          <w:rFonts w:ascii="Times New Roman" w:hAnsi="Times New Roman"/>
          <w:vertAlign w:val="superscript"/>
        </w:rPr>
        <w:t>a</w:t>
      </w:r>
      <w:proofErr w:type="spellEnd"/>
      <w:r w:rsidRPr="00F74C1D">
        <w:rPr>
          <w:rFonts w:ascii="Times New Roman" w:hAnsi="Times New Roman"/>
        </w:rPr>
        <w:t xml:space="preserve">, Konstantin P. </w:t>
      </w:r>
      <w:proofErr w:type="spellStart"/>
      <w:r w:rsidRPr="00F74C1D">
        <w:rPr>
          <w:rFonts w:ascii="Times New Roman" w:hAnsi="Times New Roman"/>
        </w:rPr>
        <w:t>Volcho</w:t>
      </w:r>
      <w:r w:rsidRPr="00F74C1D">
        <w:rPr>
          <w:rFonts w:ascii="Times New Roman" w:hAnsi="Times New Roman"/>
          <w:vertAlign w:val="superscript"/>
        </w:rPr>
        <w:t>a</w:t>
      </w:r>
      <w:proofErr w:type="spellEnd"/>
      <w:r w:rsidRPr="00F74C1D">
        <w:rPr>
          <w:rFonts w:ascii="Times New Roman" w:hAnsi="Times New Roman"/>
        </w:rPr>
        <w:t xml:space="preserve">, Nariman F. </w:t>
      </w:r>
      <w:proofErr w:type="spellStart"/>
      <w:r w:rsidRPr="00F74C1D">
        <w:rPr>
          <w:rFonts w:ascii="Times New Roman" w:hAnsi="Times New Roman"/>
        </w:rPr>
        <w:t>Salakhutdinov</w:t>
      </w:r>
      <w:r w:rsidRPr="00F74C1D">
        <w:rPr>
          <w:rFonts w:ascii="Times New Roman" w:hAnsi="Times New Roman"/>
          <w:vertAlign w:val="superscript"/>
        </w:rPr>
        <w:t>a</w:t>
      </w:r>
      <w:proofErr w:type="spellEnd"/>
      <w:r w:rsidRPr="00F74C1D">
        <w:rPr>
          <w:rFonts w:ascii="Times New Roman" w:hAnsi="Times New Roman"/>
        </w:rPr>
        <w:t xml:space="preserve"> and Olga I. </w:t>
      </w:r>
      <w:proofErr w:type="spellStart"/>
      <w:r w:rsidRPr="00F74C1D">
        <w:rPr>
          <w:rFonts w:ascii="Times New Roman" w:hAnsi="Times New Roman"/>
        </w:rPr>
        <w:t>Lavrik</w:t>
      </w:r>
      <w:r w:rsidRPr="00F74C1D">
        <w:rPr>
          <w:rFonts w:ascii="Times New Roman" w:hAnsi="Times New Roman"/>
          <w:vertAlign w:val="superscript"/>
        </w:rPr>
        <w:t>b</w:t>
      </w:r>
      <w:proofErr w:type="spellEnd"/>
    </w:p>
    <w:p w14:paraId="54794BAD" w14:textId="77777777" w:rsidR="00753CF4" w:rsidRPr="00F74C1D" w:rsidRDefault="00753CF4" w:rsidP="00753CF4">
      <w:pPr>
        <w:pStyle w:val="MDPI16affiliation"/>
        <w:ind w:left="0" w:firstLine="0"/>
        <w:rPr>
          <w:rFonts w:ascii="Times New Roman" w:hAnsi="Times New Roman"/>
        </w:rPr>
      </w:pPr>
      <w:proofErr w:type="gramStart"/>
      <w:r w:rsidRPr="00F74C1D">
        <w:rPr>
          <w:rFonts w:ascii="Times New Roman" w:hAnsi="Times New Roman"/>
          <w:vertAlign w:val="superscript"/>
        </w:rPr>
        <w:t>a</w:t>
      </w:r>
      <w:r w:rsidR="007952A2" w:rsidRPr="00F74C1D">
        <w:rPr>
          <w:rFonts w:ascii="Times New Roman" w:hAnsi="Times New Roman"/>
        </w:rPr>
        <w:t xml:space="preserve">  </w:t>
      </w:r>
      <w:r w:rsidRPr="00F74C1D">
        <w:rPr>
          <w:rFonts w:ascii="Times New Roman" w:hAnsi="Times New Roman"/>
        </w:rPr>
        <w:t>N.N.</w:t>
      </w:r>
      <w:proofErr w:type="gramEnd"/>
      <w:r w:rsidRPr="00F74C1D">
        <w:rPr>
          <w:rFonts w:ascii="Times New Roman" w:hAnsi="Times New Roman"/>
        </w:rPr>
        <w:t xml:space="preserve"> </w:t>
      </w:r>
      <w:proofErr w:type="spellStart"/>
      <w:r w:rsidRPr="00F74C1D">
        <w:rPr>
          <w:rFonts w:ascii="Times New Roman" w:hAnsi="Times New Roman"/>
        </w:rPr>
        <w:t>Vorozhtsov</w:t>
      </w:r>
      <w:proofErr w:type="spellEnd"/>
      <w:r w:rsidRPr="00F74C1D">
        <w:rPr>
          <w:rFonts w:ascii="Times New Roman" w:hAnsi="Times New Roman"/>
        </w:rPr>
        <w:t xml:space="preserve"> Novosibirsk Institute of Organic Chemistry, Siberian Branch of the Russian Academy of Science, 9, </w:t>
      </w:r>
      <w:proofErr w:type="spellStart"/>
      <w:r w:rsidRPr="00F74C1D">
        <w:rPr>
          <w:rFonts w:ascii="Times New Roman" w:hAnsi="Times New Roman"/>
        </w:rPr>
        <w:t>Akademika</w:t>
      </w:r>
      <w:proofErr w:type="spellEnd"/>
      <w:r w:rsidRPr="00F74C1D">
        <w:rPr>
          <w:rFonts w:ascii="Times New Roman" w:hAnsi="Times New Roman"/>
        </w:rPr>
        <w:t xml:space="preserve"> </w:t>
      </w:r>
      <w:proofErr w:type="spellStart"/>
      <w:r w:rsidRPr="00F74C1D">
        <w:rPr>
          <w:rFonts w:ascii="Times New Roman" w:hAnsi="Times New Roman"/>
        </w:rPr>
        <w:t>Lavrentieva</w:t>
      </w:r>
      <w:proofErr w:type="spellEnd"/>
      <w:r w:rsidRPr="00F74C1D">
        <w:rPr>
          <w:rFonts w:ascii="Times New Roman" w:hAnsi="Times New Roman"/>
        </w:rPr>
        <w:t xml:space="preserve"> Ave</w:t>
      </w:r>
      <w:r w:rsidR="007952A2" w:rsidRPr="00F74C1D">
        <w:rPr>
          <w:rFonts w:ascii="Times New Roman" w:hAnsi="Times New Roman"/>
        </w:rPr>
        <w:t>., 630090, Novosibirsk, Russia</w:t>
      </w:r>
    </w:p>
    <w:p w14:paraId="4C590E9A" w14:textId="77777777" w:rsidR="00753CF4" w:rsidRPr="00F74C1D" w:rsidRDefault="00753CF4" w:rsidP="00753CF4">
      <w:pPr>
        <w:pStyle w:val="MDPI16affiliation"/>
        <w:ind w:left="0" w:firstLine="0"/>
        <w:rPr>
          <w:rFonts w:ascii="Times New Roman" w:hAnsi="Times New Roman"/>
        </w:rPr>
      </w:pPr>
      <w:proofErr w:type="gramStart"/>
      <w:r w:rsidRPr="00F74C1D">
        <w:rPr>
          <w:rFonts w:ascii="Times New Roman" w:hAnsi="Times New Roman"/>
          <w:vertAlign w:val="superscript"/>
        </w:rPr>
        <w:t>b</w:t>
      </w:r>
      <w:r w:rsidR="007952A2" w:rsidRPr="00F74C1D">
        <w:rPr>
          <w:rFonts w:ascii="Times New Roman" w:hAnsi="Times New Roman"/>
        </w:rPr>
        <w:t xml:space="preserve">  </w:t>
      </w:r>
      <w:r w:rsidRPr="00F74C1D">
        <w:rPr>
          <w:rFonts w:ascii="Times New Roman" w:hAnsi="Times New Roman"/>
        </w:rPr>
        <w:t>Institute</w:t>
      </w:r>
      <w:proofErr w:type="gramEnd"/>
      <w:r w:rsidRPr="00F74C1D">
        <w:rPr>
          <w:rFonts w:ascii="Times New Roman" w:hAnsi="Times New Roman"/>
        </w:rPr>
        <w:t xml:space="preserve"> of Chemical Biology and Fundamental Medicine, Siberian Branch of the Russian Academy of Science, 8, </w:t>
      </w:r>
      <w:proofErr w:type="spellStart"/>
      <w:r w:rsidRPr="00F74C1D">
        <w:rPr>
          <w:rFonts w:ascii="Times New Roman" w:hAnsi="Times New Roman"/>
        </w:rPr>
        <w:t>Akademika</w:t>
      </w:r>
      <w:proofErr w:type="spellEnd"/>
      <w:r w:rsidRPr="00F74C1D">
        <w:rPr>
          <w:rFonts w:ascii="Times New Roman" w:hAnsi="Times New Roman"/>
        </w:rPr>
        <w:t xml:space="preserve"> </w:t>
      </w:r>
      <w:proofErr w:type="spellStart"/>
      <w:r w:rsidRPr="00F74C1D">
        <w:rPr>
          <w:rFonts w:ascii="Times New Roman" w:hAnsi="Times New Roman"/>
        </w:rPr>
        <w:t>Lavrentieva</w:t>
      </w:r>
      <w:proofErr w:type="spellEnd"/>
      <w:r w:rsidRPr="00F74C1D">
        <w:rPr>
          <w:rFonts w:ascii="Times New Roman" w:hAnsi="Times New Roman"/>
        </w:rPr>
        <w:t xml:space="preserve"> Ave., 630090, Novosibirsk, Russia</w:t>
      </w:r>
    </w:p>
    <w:p w14:paraId="0F921339" w14:textId="77777777" w:rsidR="00753CF4" w:rsidRPr="00F74C1D" w:rsidRDefault="00753CF4" w:rsidP="00753CF4">
      <w:pPr>
        <w:pStyle w:val="MDPI16affiliation"/>
        <w:ind w:left="0" w:firstLine="0"/>
        <w:rPr>
          <w:rFonts w:ascii="Times New Roman" w:hAnsi="Times New Roman"/>
        </w:rPr>
      </w:pPr>
      <w:proofErr w:type="gramStart"/>
      <w:r w:rsidRPr="00F74C1D">
        <w:rPr>
          <w:rFonts w:ascii="Times New Roman" w:hAnsi="Times New Roman"/>
          <w:vertAlign w:val="superscript"/>
        </w:rPr>
        <w:t>c</w:t>
      </w:r>
      <w:r w:rsidR="007952A2" w:rsidRPr="00F74C1D">
        <w:rPr>
          <w:rFonts w:ascii="Times New Roman" w:hAnsi="Times New Roman"/>
        </w:rPr>
        <w:t xml:space="preserve">  </w:t>
      </w:r>
      <w:r w:rsidRPr="00F74C1D">
        <w:rPr>
          <w:rFonts w:ascii="Times New Roman" w:hAnsi="Times New Roman"/>
        </w:rPr>
        <w:t>School</w:t>
      </w:r>
      <w:proofErr w:type="gramEnd"/>
      <w:r w:rsidRPr="00F74C1D">
        <w:rPr>
          <w:rFonts w:ascii="Times New Roman" w:hAnsi="Times New Roman"/>
        </w:rPr>
        <w:t xml:space="preserve"> of Pharmacy and Bioengineering, </w:t>
      </w:r>
      <w:proofErr w:type="spellStart"/>
      <w:r w:rsidRPr="00F74C1D">
        <w:rPr>
          <w:rFonts w:ascii="Times New Roman" w:hAnsi="Times New Roman"/>
        </w:rPr>
        <w:t>Keele</w:t>
      </w:r>
      <w:proofErr w:type="spellEnd"/>
      <w:r w:rsidRPr="00F74C1D">
        <w:rPr>
          <w:rFonts w:ascii="Times New Roman" w:hAnsi="Times New Roman"/>
        </w:rPr>
        <w:t xml:space="preserve"> University, Hornbeam Building, Staffordshire ST5 5BG, UK</w:t>
      </w:r>
    </w:p>
    <w:p w14:paraId="71F82D0C" w14:textId="77777777" w:rsidR="0029773D" w:rsidRPr="00F74C1D" w:rsidRDefault="00753CF4" w:rsidP="00753CF4">
      <w:pPr>
        <w:pStyle w:val="MDPI16affiliation"/>
        <w:ind w:left="0" w:firstLine="0"/>
        <w:rPr>
          <w:rFonts w:ascii="Times New Roman" w:hAnsi="Times New Roman"/>
        </w:rPr>
      </w:pPr>
      <w:r w:rsidRPr="00F74C1D">
        <w:rPr>
          <w:rFonts w:ascii="Times New Roman" w:hAnsi="Times New Roman"/>
          <w:b/>
        </w:rPr>
        <w:t>*</w:t>
      </w:r>
      <w:r w:rsidR="007952A2" w:rsidRPr="00F74C1D">
        <w:rPr>
          <w:rFonts w:ascii="Times New Roman" w:hAnsi="Times New Roman"/>
        </w:rPr>
        <w:t xml:space="preserve">  </w:t>
      </w:r>
      <w:r w:rsidRPr="00F74C1D">
        <w:rPr>
          <w:rFonts w:ascii="Times New Roman" w:hAnsi="Times New Roman"/>
        </w:rPr>
        <w:t xml:space="preserve">Correspondence: </w:t>
      </w:r>
      <w:hyperlink r:id="rId12" w:history="1">
        <w:r w:rsidR="00AB7A3F" w:rsidRPr="00224122">
          <w:rPr>
            <w:rStyle w:val="Hyperlink"/>
            <w:rFonts w:ascii="Times New Roman" w:hAnsi="Times New Roman"/>
          </w:rPr>
          <w:t>volcho@nioch.nsc.ru</w:t>
        </w:r>
      </w:hyperlink>
      <w:r w:rsidRPr="00F74C1D">
        <w:rPr>
          <w:rFonts w:ascii="Times New Roman" w:hAnsi="Times New Roman"/>
        </w:rPr>
        <w:t xml:space="preserve"> </w:t>
      </w:r>
    </w:p>
    <w:p w14:paraId="58E5202A" w14:textId="77777777" w:rsidR="0029773D" w:rsidRPr="00F74C1D" w:rsidRDefault="0029773D" w:rsidP="00020D16">
      <w:pPr>
        <w:pStyle w:val="Els-Abstract-head"/>
        <w:spacing w:before="240" w:after="240"/>
      </w:pPr>
      <w:r w:rsidRPr="00F74C1D">
        <w:t>Abstract</w:t>
      </w:r>
    </w:p>
    <w:p w14:paraId="690FE05E" w14:textId="611600FF" w:rsidR="0029773D" w:rsidRPr="00F74C1D" w:rsidRDefault="00753CF4" w:rsidP="00020D16">
      <w:pPr>
        <w:pStyle w:val="MDPI17abstract"/>
        <w:spacing w:before="0"/>
        <w:ind w:left="0"/>
        <w:rPr>
          <w:rFonts w:ascii="Times New Roman" w:hAnsi="Times New Roman"/>
          <w:szCs w:val="18"/>
        </w:rPr>
      </w:pPr>
      <w:r w:rsidRPr="00F74C1D">
        <w:rPr>
          <w:rFonts w:ascii="Times New Roman" w:hAnsi="Times New Roman"/>
          <w:szCs w:val="18"/>
        </w:rPr>
        <w:t xml:space="preserve">Tyrosyl-DNA phosphodiesterase 1(TDP1) is a </w:t>
      </w:r>
      <w:r w:rsidR="00F240B0" w:rsidRPr="00F74C1D">
        <w:rPr>
          <w:rFonts w:ascii="Times New Roman" w:hAnsi="Times New Roman"/>
          <w:szCs w:val="18"/>
        </w:rPr>
        <w:t>p</w:t>
      </w:r>
      <w:r w:rsidR="00F240B0">
        <w:rPr>
          <w:rFonts w:ascii="Times New Roman" w:hAnsi="Times New Roman"/>
          <w:szCs w:val="18"/>
        </w:rPr>
        <w:t>romising</w:t>
      </w:r>
      <w:r w:rsidR="00F240B0" w:rsidRPr="00F74C1D">
        <w:rPr>
          <w:rFonts w:ascii="Times New Roman" w:hAnsi="Times New Roman"/>
          <w:szCs w:val="18"/>
        </w:rPr>
        <w:t xml:space="preserve"> </w:t>
      </w:r>
      <w:r w:rsidRPr="00F74C1D">
        <w:rPr>
          <w:rFonts w:ascii="Times New Roman" w:hAnsi="Times New Roman"/>
          <w:szCs w:val="18"/>
        </w:rPr>
        <w:t xml:space="preserve">target for </w:t>
      </w:r>
      <w:r w:rsidR="0099709A">
        <w:rPr>
          <w:rFonts w:ascii="Times New Roman" w:hAnsi="Times New Roman"/>
          <w:szCs w:val="18"/>
        </w:rPr>
        <w:t>a n</w:t>
      </w:r>
      <w:r w:rsidR="002C4FD0">
        <w:rPr>
          <w:rFonts w:ascii="Times New Roman" w:hAnsi="Times New Roman"/>
          <w:szCs w:val="18"/>
        </w:rPr>
        <w:t>ew</w:t>
      </w:r>
      <w:r w:rsidR="0099709A">
        <w:rPr>
          <w:rFonts w:ascii="Times New Roman" w:hAnsi="Times New Roman"/>
          <w:szCs w:val="18"/>
        </w:rPr>
        <w:t xml:space="preserve"> therapy in</w:t>
      </w:r>
      <w:r w:rsidRPr="00F74C1D">
        <w:rPr>
          <w:rFonts w:ascii="Times New Roman" w:hAnsi="Times New Roman"/>
          <w:szCs w:val="18"/>
        </w:rPr>
        <w:t xml:space="preserve"> oncological disease</w:t>
      </w:r>
      <w:r w:rsidR="0099709A">
        <w:rPr>
          <w:rFonts w:ascii="Times New Roman" w:hAnsi="Times New Roman"/>
          <w:szCs w:val="18"/>
        </w:rPr>
        <w:t xml:space="preserve"> as an adjunct to topoisomerase </w:t>
      </w:r>
      <w:r w:rsidR="002C4FD0">
        <w:rPr>
          <w:rFonts w:ascii="Times New Roman" w:hAnsi="Times New Roman"/>
          <w:szCs w:val="18"/>
        </w:rPr>
        <w:t>1 (TOP1)</w:t>
      </w:r>
      <w:r w:rsidR="0099709A">
        <w:rPr>
          <w:rFonts w:ascii="Times New Roman" w:hAnsi="Times New Roman"/>
          <w:szCs w:val="18"/>
        </w:rPr>
        <w:t xml:space="preserve"> drugs.</w:t>
      </w:r>
      <w:r w:rsidRPr="00F74C1D">
        <w:rPr>
          <w:rFonts w:ascii="Times New Roman" w:hAnsi="Times New Roman"/>
          <w:szCs w:val="18"/>
        </w:rPr>
        <w:t xml:space="preserve"> I</w:t>
      </w:r>
      <w:r w:rsidR="00CF0B3B">
        <w:rPr>
          <w:rFonts w:ascii="Times New Roman" w:hAnsi="Times New Roman"/>
          <w:szCs w:val="18"/>
        </w:rPr>
        <w:t>n this paper, novel thiazolidin</w:t>
      </w:r>
      <w:r w:rsidRPr="00F74C1D">
        <w:rPr>
          <w:rFonts w:ascii="Times New Roman" w:hAnsi="Times New Roman"/>
          <w:szCs w:val="18"/>
        </w:rPr>
        <w:t>-4-one derivatives</w:t>
      </w:r>
      <w:r w:rsidR="00F240B0">
        <w:rPr>
          <w:rFonts w:ascii="Times New Roman" w:hAnsi="Times New Roman"/>
          <w:szCs w:val="18"/>
        </w:rPr>
        <w:t xml:space="preserve"> with</w:t>
      </w:r>
      <w:r w:rsidRPr="00F74C1D">
        <w:rPr>
          <w:rFonts w:ascii="Times New Roman" w:hAnsi="Times New Roman"/>
          <w:szCs w:val="18"/>
        </w:rPr>
        <w:t xml:space="preserve"> </w:t>
      </w:r>
      <w:r w:rsidR="002C4FD0">
        <w:rPr>
          <w:rFonts w:ascii="Times New Roman" w:hAnsi="Times New Roman"/>
          <w:szCs w:val="18"/>
        </w:rPr>
        <w:t xml:space="preserve">a </w:t>
      </w:r>
      <w:r w:rsidRPr="00F74C1D">
        <w:rPr>
          <w:rFonts w:ascii="Times New Roman" w:hAnsi="Times New Roman"/>
          <w:szCs w:val="18"/>
        </w:rPr>
        <w:t>benzyl and monoterpene substituent</w:t>
      </w:r>
      <w:r w:rsidR="002C4FD0">
        <w:rPr>
          <w:rFonts w:ascii="Times New Roman" w:hAnsi="Times New Roman"/>
          <w:szCs w:val="18"/>
        </w:rPr>
        <w:t>s</w:t>
      </w:r>
      <w:r w:rsidRPr="00F74C1D">
        <w:rPr>
          <w:rFonts w:ascii="Times New Roman" w:hAnsi="Times New Roman"/>
          <w:szCs w:val="18"/>
        </w:rPr>
        <w:t xml:space="preserve"> </w:t>
      </w:r>
      <w:r w:rsidR="00F240B0">
        <w:rPr>
          <w:rFonts w:ascii="Times New Roman" w:hAnsi="Times New Roman"/>
          <w:szCs w:val="18"/>
        </w:rPr>
        <w:t>were</w:t>
      </w:r>
      <w:r w:rsidRPr="00F74C1D">
        <w:rPr>
          <w:rFonts w:ascii="Times New Roman" w:hAnsi="Times New Roman"/>
          <w:szCs w:val="18"/>
        </w:rPr>
        <w:t xml:space="preserve"> synthesized. </w:t>
      </w:r>
      <w:r w:rsidR="00F240B0">
        <w:rPr>
          <w:rFonts w:ascii="Times New Roman" w:hAnsi="Times New Roman"/>
          <w:szCs w:val="18"/>
        </w:rPr>
        <w:t>C</w:t>
      </w:r>
      <w:r w:rsidRPr="00F74C1D">
        <w:rPr>
          <w:rFonts w:ascii="Times New Roman" w:hAnsi="Times New Roman"/>
          <w:szCs w:val="18"/>
        </w:rPr>
        <w:t>ompounds</w:t>
      </w:r>
      <w:r w:rsidR="00F240B0">
        <w:rPr>
          <w:rFonts w:ascii="Times New Roman" w:hAnsi="Times New Roman"/>
          <w:szCs w:val="18"/>
        </w:rPr>
        <w:t xml:space="preserve"> with </w:t>
      </w:r>
      <w:r w:rsidR="002C4FD0">
        <w:rPr>
          <w:rFonts w:ascii="Times New Roman" w:hAnsi="Times New Roman"/>
          <w:szCs w:val="18"/>
        </w:rPr>
        <w:t xml:space="preserve">a </w:t>
      </w:r>
      <w:r w:rsidR="00F240B0">
        <w:rPr>
          <w:rFonts w:ascii="Times New Roman" w:hAnsi="Times New Roman"/>
          <w:szCs w:val="18"/>
        </w:rPr>
        <w:t xml:space="preserve">monoterpene fragment attached </w:t>
      </w:r>
      <w:r w:rsidR="002C4FD0">
        <w:rPr>
          <w:rFonts w:ascii="Times New Roman" w:hAnsi="Times New Roman"/>
          <w:szCs w:val="18"/>
        </w:rPr>
        <w:t xml:space="preserve">via a </w:t>
      </w:r>
      <w:r w:rsidR="00793F84">
        <w:rPr>
          <w:rFonts w:ascii="Times New Roman" w:hAnsi="Times New Roman"/>
          <w:szCs w:val="18"/>
        </w:rPr>
        <w:t>phenyloxy</w:t>
      </w:r>
      <w:r w:rsidR="00F240B0">
        <w:rPr>
          <w:rFonts w:ascii="Times New Roman" w:hAnsi="Times New Roman"/>
          <w:szCs w:val="18"/>
        </w:rPr>
        <w:t xml:space="preserve"> linker were active</w:t>
      </w:r>
      <w:r w:rsidRPr="00F74C1D">
        <w:rPr>
          <w:rFonts w:ascii="Times New Roman" w:hAnsi="Times New Roman"/>
          <w:szCs w:val="18"/>
        </w:rPr>
        <w:t xml:space="preserve"> </w:t>
      </w:r>
      <w:r w:rsidR="00F240B0" w:rsidRPr="00F240B0">
        <w:rPr>
          <w:rFonts w:ascii="Times New Roman" w:hAnsi="Times New Roman"/>
          <w:szCs w:val="18"/>
        </w:rPr>
        <w:t>against</w:t>
      </w:r>
      <w:r w:rsidRPr="00F74C1D">
        <w:rPr>
          <w:rFonts w:ascii="Times New Roman" w:hAnsi="Times New Roman"/>
          <w:szCs w:val="18"/>
        </w:rPr>
        <w:t xml:space="preserve"> TDP1 with IC</w:t>
      </w:r>
      <w:r w:rsidRPr="00F74C1D">
        <w:rPr>
          <w:rFonts w:ascii="Times New Roman" w:hAnsi="Times New Roman"/>
          <w:szCs w:val="18"/>
          <w:vertAlign w:val="subscript"/>
        </w:rPr>
        <w:t>50</w:t>
      </w:r>
      <w:r w:rsidRPr="00F74C1D">
        <w:rPr>
          <w:rFonts w:ascii="Times New Roman" w:hAnsi="Times New Roman"/>
          <w:szCs w:val="18"/>
        </w:rPr>
        <w:t xml:space="preserve"> </w:t>
      </w:r>
      <w:r w:rsidR="002C4FD0">
        <w:rPr>
          <w:rFonts w:ascii="Times New Roman" w:hAnsi="Times New Roman"/>
          <w:szCs w:val="18"/>
        </w:rPr>
        <w:t xml:space="preserve">values in the </w:t>
      </w:r>
      <w:r w:rsidRPr="00F74C1D">
        <w:rPr>
          <w:rFonts w:ascii="Times New Roman" w:hAnsi="Times New Roman"/>
          <w:szCs w:val="18"/>
        </w:rPr>
        <w:t>1</w:t>
      </w:r>
      <w:r w:rsidR="00793F84">
        <w:rPr>
          <w:rFonts w:ascii="Times New Roman" w:hAnsi="Times New Roman"/>
          <w:szCs w:val="18"/>
        </w:rPr>
        <w:t>÷</w:t>
      </w:r>
      <w:r w:rsidRPr="00F74C1D">
        <w:rPr>
          <w:rFonts w:ascii="Times New Roman" w:hAnsi="Times New Roman"/>
          <w:szCs w:val="18"/>
        </w:rPr>
        <w:t xml:space="preserve">3 </w:t>
      </w:r>
      <w:proofErr w:type="spellStart"/>
      <w:r w:rsidRPr="00F74C1D">
        <w:rPr>
          <w:rFonts w:ascii="Times New Roman" w:hAnsi="Times New Roman"/>
          <w:szCs w:val="18"/>
        </w:rPr>
        <w:t>μM</w:t>
      </w:r>
      <w:proofErr w:type="spellEnd"/>
      <w:r w:rsidR="002C4FD0">
        <w:rPr>
          <w:rFonts w:ascii="Times New Roman" w:hAnsi="Times New Roman"/>
          <w:szCs w:val="18"/>
        </w:rPr>
        <w:t xml:space="preserve"> range</w:t>
      </w:r>
      <w:r w:rsidRPr="00F74C1D">
        <w:rPr>
          <w:rFonts w:ascii="Times New Roman" w:hAnsi="Times New Roman"/>
          <w:szCs w:val="18"/>
        </w:rPr>
        <w:t>, while</w:t>
      </w:r>
      <w:r w:rsidR="00793F84">
        <w:rPr>
          <w:rFonts w:ascii="Times New Roman" w:hAnsi="Times New Roman"/>
          <w:szCs w:val="18"/>
        </w:rPr>
        <w:t xml:space="preserve"> direct attachment of monoterpene moiety to </w:t>
      </w:r>
      <w:r w:rsidR="002C4FD0">
        <w:rPr>
          <w:rFonts w:ascii="Times New Roman" w:hAnsi="Times New Roman"/>
          <w:szCs w:val="18"/>
        </w:rPr>
        <w:t xml:space="preserve">the </w:t>
      </w:r>
      <w:r w:rsidR="00793F84">
        <w:rPr>
          <w:rFonts w:ascii="Times New Roman" w:hAnsi="Times New Roman"/>
          <w:szCs w:val="18"/>
        </w:rPr>
        <w:t>thiazolidin</w:t>
      </w:r>
      <w:r w:rsidR="00793F84" w:rsidRPr="00F74C1D">
        <w:rPr>
          <w:rFonts w:ascii="Times New Roman" w:hAnsi="Times New Roman"/>
          <w:szCs w:val="18"/>
        </w:rPr>
        <w:t>-4-one</w:t>
      </w:r>
      <w:r w:rsidR="00793F84">
        <w:rPr>
          <w:rFonts w:ascii="Times New Roman" w:hAnsi="Times New Roman"/>
          <w:szCs w:val="18"/>
        </w:rPr>
        <w:t xml:space="preserve"> fragment </w:t>
      </w:r>
      <w:r w:rsidR="002C4FD0">
        <w:rPr>
          <w:rFonts w:ascii="Times New Roman" w:hAnsi="Times New Roman"/>
          <w:szCs w:val="18"/>
        </w:rPr>
        <w:t>had no</w:t>
      </w:r>
      <w:r w:rsidR="00793F84">
        <w:rPr>
          <w:rFonts w:ascii="Times New Roman" w:hAnsi="Times New Roman"/>
          <w:szCs w:val="18"/>
        </w:rPr>
        <w:t xml:space="preserve"> activity</w:t>
      </w:r>
      <w:r w:rsidRPr="00F74C1D">
        <w:rPr>
          <w:rFonts w:ascii="Times New Roman" w:hAnsi="Times New Roman"/>
          <w:szCs w:val="18"/>
        </w:rPr>
        <w:t>.</w:t>
      </w:r>
      <w:r w:rsidR="00926E0B">
        <w:rPr>
          <w:rFonts w:ascii="Times New Roman" w:hAnsi="Times New Roman"/>
          <w:szCs w:val="18"/>
        </w:rPr>
        <w:t xml:space="preserve"> Molecular modelling predicted two plausible binding modes of the active compounds </w:t>
      </w:r>
      <w:r w:rsidR="007A7099">
        <w:rPr>
          <w:rFonts w:ascii="Times New Roman" w:hAnsi="Times New Roman"/>
          <w:szCs w:val="18"/>
        </w:rPr>
        <w:t xml:space="preserve">both </w:t>
      </w:r>
      <w:r w:rsidR="00926E0B">
        <w:rPr>
          <w:rFonts w:ascii="Times New Roman" w:hAnsi="Times New Roman"/>
          <w:szCs w:val="18"/>
        </w:rPr>
        <w:t xml:space="preserve">effectively blocking access to the catalytic site of TDP. </w:t>
      </w:r>
      <w:r w:rsidR="00F11B27">
        <w:rPr>
          <w:rFonts w:ascii="Times New Roman" w:hAnsi="Times New Roman"/>
          <w:szCs w:val="18"/>
        </w:rPr>
        <w:t xml:space="preserve">At </w:t>
      </w:r>
      <w:r w:rsidR="007B276B">
        <w:rPr>
          <w:rFonts w:ascii="Times New Roman" w:hAnsi="Times New Roman"/>
          <w:szCs w:val="18"/>
        </w:rPr>
        <w:t>non-toxic concentration</w:t>
      </w:r>
      <w:r w:rsidR="00F11B27">
        <w:rPr>
          <w:rFonts w:ascii="Times New Roman" w:hAnsi="Times New Roman"/>
          <w:szCs w:val="18"/>
        </w:rPr>
        <w:t xml:space="preserve">s the active </w:t>
      </w:r>
      <w:proofErr w:type="gramStart"/>
      <w:r w:rsidR="00F11B27">
        <w:rPr>
          <w:rFonts w:ascii="Times New Roman" w:hAnsi="Times New Roman"/>
          <w:szCs w:val="18"/>
        </w:rPr>
        <w:t>ligands</w:t>
      </w:r>
      <w:r w:rsidRPr="00F74C1D">
        <w:rPr>
          <w:rFonts w:ascii="Times New Roman" w:hAnsi="Times New Roman"/>
          <w:szCs w:val="18"/>
        </w:rPr>
        <w:t xml:space="preserve"> </w:t>
      </w:r>
      <w:r w:rsidR="00793F84">
        <w:rPr>
          <w:rFonts w:ascii="Times New Roman" w:hAnsi="Times New Roman"/>
          <w:szCs w:val="18"/>
        </w:rPr>
        <w:t xml:space="preserve"> </w:t>
      </w:r>
      <w:r w:rsidR="00F11B27">
        <w:rPr>
          <w:rFonts w:ascii="Times New Roman" w:hAnsi="Times New Roman"/>
          <w:szCs w:val="18"/>
        </w:rPr>
        <w:t>potentiated</w:t>
      </w:r>
      <w:proofErr w:type="gramEnd"/>
      <w:r w:rsidR="00F11B27">
        <w:rPr>
          <w:rFonts w:ascii="Times New Roman" w:hAnsi="Times New Roman"/>
          <w:szCs w:val="18"/>
        </w:rPr>
        <w:t xml:space="preserve"> the efficacy of the TOP1 poison topotecan</w:t>
      </w:r>
      <w:r w:rsidR="00793F84">
        <w:rPr>
          <w:rFonts w:ascii="Times New Roman" w:hAnsi="Times New Roman"/>
          <w:szCs w:val="18"/>
        </w:rPr>
        <w:t xml:space="preserve"> </w:t>
      </w:r>
      <w:r w:rsidR="00F11B27">
        <w:rPr>
          <w:rFonts w:ascii="Times New Roman" w:hAnsi="Times New Roman"/>
          <w:szCs w:val="18"/>
        </w:rPr>
        <w:t xml:space="preserve">in </w:t>
      </w:r>
      <w:r w:rsidR="00793F84" w:rsidRPr="00793F84">
        <w:rPr>
          <w:rFonts w:ascii="Times New Roman" w:hAnsi="Times New Roman"/>
          <w:szCs w:val="18"/>
        </w:rPr>
        <w:t>human cervical cancer</w:t>
      </w:r>
      <w:r w:rsidR="00793F84">
        <w:rPr>
          <w:rFonts w:ascii="Times New Roman" w:hAnsi="Times New Roman"/>
          <w:szCs w:val="18"/>
        </w:rPr>
        <w:t xml:space="preserve"> </w:t>
      </w:r>
      <w:r w:rsidR="001C3F42">
        <w:rPr>
          <w:rFonts w:ascii="Times New Roman" w:hAnsi="Times New Roman"/>
          <w:szCs w:val="18"/>
        </w:rPr>
        <w:t xml:space="preserve">HeLa </w:t>
      </w:r>
      <w:r w:rsidR="00793F84">
        <w:rPr>
          <w:rFonts w:ascii="Times New Roman" w:hAnsi="Times New Roman"/>
          <w:szCs w:val="18"/>
        </w:rPr>
        <w:t xml:space="preserve">cells, but not </w:t>
      </w:r>
      <w:r w:rsidR="00F11B27">
        <w:rPr>
          <w:rFonts w:ascii="Times New Roman" w:hAnsi="Times New Roman"/>
          <w:szCs w:val="18"/>
        </w:rPr>
        <w:t>in</w:t>
      </w:r>
      <w:r w:rsidR="00F11B27" w:rsidRPr="00793F84">
        <w:t xml:space="preserve"> </w:t>
      </w:r>
      <w:r w:rsidR="00793F84" w:rsidRPr="00793F84">
        <w:rPr>
          <w:rFonts w:ascii="Times New Roman" w:hAnsi="Times New Roman"/>
          <w:szCs w:val="18"/>
        </w:rPr>
        <w:t>non-cancerous HEK293A cells</w:t>
      </w:r>
      <w:r w:rsidRPr="00F74C1D">
        <w:rPr>
          <w:rFonts w:ascii="Times New Roman" w:hAnsi="Times New Roman"/>
          <w:szCs w:val="18"/>
        </w:rPr>
        <w:t xml:space="preserve">. </w:t>
      </w:r>
    </w:p>
    <w:p w14:paraId="211F72AE" w14:textId="77777777" w:rsidR="00753CF4" w:rsidRPr="00F74C1D" w:rsidRDefault="00753CF4" w:rsidP="00753CF4">
      <w:pPr>
        <w:pStyle w:val="MDPI18keywords"/>
        <w:ind w:left="0"/>
        <w:rPr>
          <w:rFonts w:ascii="Times New Roman" w:hAnsi="Times New Roman"/>
          <w:szCs w:val="18"/>
        </w:rPr>
      </w:pPr>
      <w:r w:rsidRPr="00F74C1D">
        <w:rPr>
          <w:rFonts w:ascii="Times New Roman" w:hAnsi="Times New Roman"/>
          <w:b/>
          <w:szCs w:val="18"/>
        </w:rPr>
        <w:t xml:space="preserve">Keywords: </w:t>
      </w:r>
      <w:r w:rsidRPr="00F74C1D">
        <w:rPr>
          <w:rFonts w:ascii="Times New Roman" w:hAnsi="Times New Roman"/>
          <w:szCs w:val="18"/>
        </w:rPr>
        <w:t xml:space="preserve">Tyrosyl-DNA phosphodiesterase </w:t>
      </w:r>
      <w:r w:rsidR="00CF0B3B">
        <w:rPr>
          <w:rFonts w:ascii="Times New Roman" w:hAnsi="Times New Roman"/>
          <w:szCs w:val="18"/>
        </w:rPr>
        <w:t>1, TDP1 inhibitors, thiazolidin</w:t>
      </w:r>
      <w:r w:rsidRPr="00F74C1D">
        <w:rPr>
          <w:rFonts w:ascii="Times New Roman" w:hAnsi="Times New Roman"/>
          <w:szCs w:val="18"/>
        </w:rPr>
        <w:t xml:space="preserve">-4-ones, </w:t>
      </w:r>
      <w:proofErr w:type="spellStart"/>
      <w:r w:rsidRPr="00F74C1D">
        <w:rPr>
          <w:rFonts w:ascii="Times New Roman" w:hAnsi="Times New Roman"/>
          <w:szCs w:val="18"/>
        </w:rPr>
        <w:t>monoterpenic</w:t>
      </w:r>
      <w:proofErr w:type="spellEnd"/>
      <w:r w:rsidRPr="00F74C1D">
        <w:rPr>
          <w:rFonts w:ascii="Times New Roman" w:hAnsi="Times New Roman"/>
          <w:szCs w:val="18"/>
        </w:rPr>
        <w:t xml:space="preserve"> derivatives</w:t>
      </w:r>
    </w:p>
    <w:p w14:paraId="4E7F52B4" w14:textId="77777777" w:rsidR="0029773D" w:rsidRDefault="0029773D">
      <w:pPr>
        <w:pStyle w:val="Els-keywords"/>
      </w:pPr>
    </w:p>
    <w:p w14:paraId="0594A6E6" w14:textId="58CB7936" w:rsidR="00F47266" w:rsidRPr="00F74C1D" w:rsidRDefault="00F47266" w:rsidP="00483686">
      <w:pPr>
        <w:pStyle w:val="MDPI31text"/>
        <w:ind w:left="0"/>
        <w:rPr>
          <w:rFonts w:ascii="Times New Roman" w:hAnsi="Times New Roman"/>
        </w:rPr>
      </w:pPr>
      <w:r w:rsidRPr="00F74C1D">
        <w:rPr>
          <w:rFonts w:ascii="Times New Roman" w:hAnsi="Times New Roman"/>
        </w:rPr>
        <w:t xml:space="preserve">Inhibition of DNA repair enzymes is </w:t>
      </w:r>
      <w:r w:rsidR="008E1447">
        <w:rPr>
          <w:rFonts w:ascii="Times New Roman" w:hAnsi="Times New Roman"/>
        </w:rPr>
        <w:t xml:space="preserve">a viable strategy </w:t>
      </w:r>
      <w:r w:rsidRPr="00F74C1D">
        <w:rPr>
          <w:rFonts w:ascii="Times New Roman" w:hAnsi="Times New Roman"/>
        </w:rPr>
        <w:t xml:space="preserve">to fight drug-resistant tumors. Enzymes </w:t>
      </w:r>
      <w:r w:rsidR="00B86AA7" w:rsidRPr="00F74C1D">
        <w:rPr>
          <w:rFonts w:ascii="Times New Roman" w:hAnsi="Times New Roman"/>
        </w:rPr>
        <w:t>wh</w:t>
      </w:r>
      <w:r w:rsidR="00B86AA7">
        <w:rPr>
          <w:rFonts w:ascii="Times New Roman" w:hAnsi="Times New Roman"/>
        </w:rPr>
        <w:t>ich</w:t>
      </w:r>
      <w:r w:rsidR="00B86AA7" w:rsidRPr="00F74C1D">
        <w:rPr>
          <w:rFonts w:ascii="Times New Roman" w:hAnsi="Times New Roman"/>
        </w:rPr>
        <w:t xml:space="preserve"> </w:t>
      </w:r>
      <w:r w:rsidRPr="00F74C1D">
        <w:rPr>
          <w:rFonts w:ascii="Times New Roman" w:hAnsi="Times New Roman"/>
        </w:rPr>
        <w:t>inhibitors are already in clinical use</w:t>
      </w:r>
      <w:r w:rsidR="008E1447">
        <w:rPr>
          <w:rFonts w:ascii="Times New Roman" w:hAnsi="Times New Roman"/>
        </w:rPr>
        <w:t>,</w:t>
      </w:r>
      <w:r w:rsidRPr="00F74C1D">
        <w:rPr>
          <w:rFonts w:ascii="Times New Roman" w:hAnsi="Times New Roman"/>
        </w:rPr>
        <w:t xml:space="preserve"> or in clinical trials</w:t>
      </w:r>
      <w:r w:rsidR="008E1447">
        <w:rPr>
          <w:rFonts w:ascii="Times New Roman" w:hAnsi="Times New Roman"/>
        </w:rPr>
        <w:t>,</w:t>
      </w:r>
      <w:r w:rsidRPr="00F74C1D">
        <w:rPr>
          <w:rFonts w:ascii="Times New Roman" w:hAnsi="Times New Roman"/>
        </w:rPr>
        <w:t xml:space="preserve"> include </w:t>
      </w:r>
      <w:r w:rsidR="00914C23" w:rsidRPr="00F74C1D">
        <w:rPr>
          <w:rFonts w:ascii="Times New Roman" w:hAnsi="Times New Roman"/>
        </w:rPr>
        <w:t xml:space="preserve">PARP </w:t>
      </w:r>
      <w:r w:rsidR="00914C23">
        <w:rPr>
          <w:rFonts w:ascii="Times New Roman" w:hAnsi="Times New Roman"/>
        </w:rPr>
        <w:t>(</w:t>
      </w:r>
      <w:r w:rsidRPr="00F74C1D">
        <w:rPr>
          <w:rFonts w:ascii="Times New Roman" w:hAnsi="Times New Roman"/>
        </w:rPr>
        <w:t>poly(ADP-ribose)polymerases</w:t>
      </w:r>
      <w:r w:rsidR="00914C23">
        <w:rPr>
          <w:rFonts w:ascii="Times New Roman" w:hAnsi="Times New Roman"/>
        </w:rPr>
        <w:t>)</w:t>
      </w:r>
      <w:r w:rsidRPr="00F74C1D">
        <w:rPr>
          <w:rFonts w:ascii="Times New Roman" w:hAnsi="Times New Roman"/>
        </w:rPr>
        <w:t xml:space="preserve"> </w:t>
      </w:r>
      <w:r w:rsidRPr="00F74C1D">
        <w:rPr>
          <w:rFonts w:ascii="Times New Roman" w:hAnsi="Times New Roman"/>
          <w:vertAlign w:val="superscript"/>
        </w:rPr>
        <w:fldChar w:fldCharType="begin" w:fldLock="1"/>
      </w:r>
      <w:r w:rsidRPr="00F74C1D">
        <w:rPr>
          <w:rFonts w:ascii="Times New Roman" w:hAnsi="Times New Roman"/>
        </w:rPr>
        <w:instrText>ADDIN CSL_CITATION {"citationItems":[{"id":"ITEM-1","itemData":{"DOI":"10.1016/j.mam.2013.01.006","ISSN":"0098-2997","author":[{"dropping-particle":"","family":"Curtin","given":"Nicola J","non-dropping-particle":"","parse-names":false,"suffix":""},{"dropping-particle":"","family":"Szabo","given":"Csaba","non-dropping-particle":"","parse-names":false,"suffix":""}],"container-title":"JOURNAL OF MOLECULAR ASPECTS OF MEDICINE","id":"ITEM-1","issued":{"date-parts":[["2013"]]},"title":"Molecular Aspects of Medicine Therapeutic applications of PARP inhibitors : Anticancer therapy and beyond","type":"article-journal","volume":"44"},"uris":["http://www.mendeley.com/documents/?uuid=727a4748-4438-4ad9-9d58-cfcadd944e76"]}],"mendeley":{"formattedCitation":"[1]","plainTextFormattedCitation":"[1]","previouslyFormattedCitation":"[1]"},"properties":{"noteIndex":0},"schema":"https://github.com/citation-style-language/schema/raw/master/csl-citation.json"}</w:instrText>
      </w:r>
      <w:r w:rsidRPr="00F74C1D">
        <w:rPr>
          <w:rFonts w:ascii="Times New Roman" w:hAnsi="Times New Roman"/>
          <w:vertAlign w:val="superscript"/>
        </w:rPr>
        <w:fldChar w:fldCharType="separate"/>
      </w:r>
      <w:r w:rsidRPr="00F74C1D">
        <w:rPr>
          <w:rFonts w:ascii="Times New Roman" w:hAnsi="Times New Roman"/>
          <w:noProof/>
        </w:rPr>
        <w:t>[1]</w:t>
      </w:r>
      <w:r w:rsidRPr="00F74C1D">
        <w:rPr>
          <w:rFonts w:ascii="Times New Roman" w:hAnsi="Times New Roman"/>
        </w:rPr>
        <w:fldChar w:fldCharType="end"/>
      </w:r>
      <w:r w:rsidRPr="00F74C1D">
        <w:rPr>
          <w:rFonts w:ascii="Times New Roman" w:hAnsi="Times New Roman"/>
        </w:rPr>
        <w:t>, ATM</w:t>
      </w:r>
      <w:r w:rsidR="00592848" w:rsidRPr="00914C23">
        <w:rPr>
          <w:rFonts w:ascii="Times New Roman" w:hAnsi="Times New Roman"/>
        </w:rPr>
        <w:t xml:space="preserve"> (</w:t>
      </w:r>
      <w:proofErr w:type="spellStart"/>
      <w:r w:rsidR="00592848" w:rsidRPr="00592848">
        <w:rPr>
          <w:rFonts w:ascii="Times New Roman" w:hAnsi="Times New Roman"/>
        </w:rPr>
        <w:t>аtaxia</w:t>
      </w:r>
      <w:proofErr w:type="spellEnd"/>
      <w:r w:rsidR="00592848" w:rsidRPr="00592848">
        <w:rPr>
          <w:rFonts w:ascii="Times New Roman" w:hAnsi="Times New Roman"/>
        </w:rPr>
        <w:t xml:space="preserve"> telangiectasia mutated</w:t>
      </w:r>
      <w:r w:rsidR="00592848" w:rsidRPr="00914C23">
        <w:rPr>
          <w:rFonts w:ascii="Times New Roman" w:hAnsi="Times New Roman"/>
        </w:rPr>
        <w:t>)</w:t>
      </w:r>
      <w:r w:rsidRPr="00F74C1D">
        <w:rPr>
          <w:rFonts w:ascii="Times New Roman" w:hAnsi="Times New Roman"/>
        </w:rPr>
        <w:t xml:space="preserve"> and ATR </w:t>
      </w:r>
      <w:r w:rsidR="00592848" w:rsidRPr="00914C23">
        <w:rPr>
          <w:rFonts w:ascii="Times New Roman" w:hAnsi="Times New Roman"/>
        </w:rPr>
        <w:t>(</w:t>
      </w:r>
      <w:r w:rsidR="00592848" w:rsidRPr="00592848">
        <w:rPr>
          <w:rFonts w:ascii="Times New Roman" w:hAnsi="Times New Roman"/>
        </w:rPr>
        <w:t>ataxia telangiectasia and Rad3-related protein</w:t>
      </w:r>
      <w:r w:rsidR="00592848" w:rsidRPr="00914C23">
        <w:rPr>
          <w:rFonts w:ascii="Times New Roman" w:hAnsi="Times New Roman"/>
        </w:rPr>
        <w:t xml:space="preserve">) </w:t>
      </w:r>
      <w:r w:rsidRPr="00F74C1D">
        <w:rPr>
          <w:rFonts w:ascii="Times New Roman" w:hAnsi="Times New Roman"/>
        </w:rPr>
        <w:t>kinases, DNA-</w:t>
      </w:r>
      <w:proofErr w:type="spellStart"/>
      <w:r w:rsidRPr="00F74C1D">
        <w:rPr>
          <w:rFonts w:ascii="Times New Roman" w:hAnsi="Times New Roman"/>
        </w:rPr>
        <w:t>PKcs</w:t>
      </w:r>
      <w:proofErr w:type="spellEnd"/>
      <w:r w:rsidRPr="00F74C1D">
        <w:rPr>
          <w:rFonts w:ascii="Times New Roman" w:hAnsi="Times New Roman"/>
        </w:rPr>
        <w:t xml:space="preserve"> </w:t>
      </w:r>
      <w:r w:rsidR="00592848" w:rsidRPr="00914C23">
        <w:rPr>
          <w:rFonts w:ascii="Times New Roman" w:hAnsi="Times New Roman"/>
        </w:rPr>
        <w:t>(</w:t>
      </w:r>
      <w:r w:rsidR="00592848" w:rsidRPr="00592848">
        <w:rPr>
          <w:rFonts w:ascii="Times New Roman" w:hAnsi="Times New Roman"/>
        </w:rPr>
        <w:t>DNA-dependent protein kinase, catalytic subunit</w:t>
      </w:r>
      <w:r w:rsidR="00592848" w:rsidRPr="00914C23">
        <w:rPr>
          <w:rFonts w:ascii="Times New Roman" w:hAnsi="Times New Roman"/>
        </w:rPr>
        <w:t xml:space="preserve">) </w:t>
      </w:r>
      <w:r w:rsidRPr="00F74C1D">
        <w:rPr>
          <w:rFonts w:ascii="Times New Roman" w:hAnsi="Times New Roman"/>
        </w:rPr>
        <w:fldChar w:fldCharType="begin" w:fldLock="1"/>
      </w:r>
      <w:r w:rsidRPr="00F74C1D">
        <w:rPr>
          <w:rFonts w:ascii="Times New Roman" w:hAnsi="Times New Roman"/>
        </w:rPr>
        <w:instrText>ADDIN CSL_CITATION {"citationItems":[{"id":"ITEM-1","itemData":{"DOI":"10.3390/molecules23051166","ISSN":"14203049","PMID":"29757235","abstract":"Advances in technology have facilitated the molecular profiling (genomic and transcriptomic) of tumours, and has led to improved stratification of patients and the individualisation of treatment regimes. To fully realize the potential of truly personalised treatment options, we need targeted therapies that precisely disrupt the compensatory pathways identified by profiling which allow tumours to survive or gain resistance to treatments. Here, we discuss recent advances in novel therapies that impact the genome (chromosomes and chromatin), pathways targeted and the stage of the pathways targeted. The current state of research will be discussed, with a focus on compounds that have advanced into trials (clinical and pre-clinical). We will discuss inhibitors of specific DNA damage responses and other genome stability pathways, including those in development, which are likely to synergistically combine with current therapeutic options. Tumour profiling data, combined with the knowledge of new treatments that affect the regulation of essential tumour signalling pathways, is revealing fundamental insights into cancer progression and resistance mechanisms. This is the forefront of the next evolution of advanced oncology medicine that will ultimately lead to improved survival and may, one day, result in many cancers becoming chronic conditions, rather than fatal diseases.","author":[{"dropping-particle":"","family":"Prakash","given":"Anu","non-dropping-particle":"","parse-names":false,"suffix":""},{"dropping-particle":"","family":"Garcia-Moreno","given":"Juan F.","non-dropping-particle":"","parse-names":false,"suffix":""},{"dropping-particle":"","family":"Brown","given":"James A.L.","non-dropping-particle":"","parse-names":false,"suffix":""},{"dropping-particle":"","family":"Bourke","given":"Emer","non-dropping-particle":"","parse-names":false,"suffix":""}],"container-title":"Molecules","id":"ITEM-1","issue":"5","issued":{"date-parts":[["2018"]]},"page":"1-66","title":"Clinically applicable inhibitors impacting genome stability","type":"article-journal","volume":"23"},"uris":["http://www.mendeley.com/documents/?uuid=84daf6c4-4a4a-424e-a3e8-6fc2eda60697"]}],"mendeley":{"formattedCitation":"[2]","plainTextFormattedCitation":"[2]","previouslyFormattedCitation":"[2]"},"properties":{"noteIndex":0},"schema":"https://github.com/citation-style-language/schema/raw/master/csl-citation.json"}</w:instrText>
      </w:r>
      <w:r w:rsidRPr="00F74C1D">
        <w:rPr>
          <w:rFonts w:ascii="Times New Roman" w:hAnsi="Times New Roman"/>
        </w:rPr>
        <w:fldChar w:fldCharType="separate"/>
      </w:r>
      <w:r w:rsidRPr="00F74C1D">
        <w:rPr>
          <w:rFonts w:ascii="Times New Roman" w:hAnsi="Times New Roman"/>
          <w:noProof/>
        </w:rPr>
        <w:t>[2]</w:t>
      </w:r>
      <w:r w:rsidRPr="00F74C1D">
        <w:rPr>
          <w:rFonts w:ascii="Times New Roman" w:hAnsi="Times New Roman"/>
        </w:rPr>
        <w:fldChar w:fldCharType="end"/>
      </w:r>
      <w:r w:rsidRPr="00F74C1D">
        <w:rPr>
          <w:rFonts w:ascii="Times New Roman" w:hAnsi="Times New Roman"/>
        </w:rPr>
        <w:t xml:space="preserve">. Inhibitors of a number of </w:t>
      </w:r>
      <w:r w:rsidR="00B86AA7">
        <w:rPr>
          <w:rFonts w:ascii="Times New Roman" w:hAnsi="Times New Roman"/>
        </w:rPr>
        <w:t xml:space="preserve">other </w:t>
      </w:r>
      <w:r w:rsidRPr="00F74C1D">
        <w:rPr>
          <w:rFonts w:ascii="Times New Roman" w:hAnsi="Times New Roman"/>
        </w:rPr>
        <w:t>DNA repair enzymes undergoing preclinical trials</w:t>
      </w:r>
      <w:r w:rsidR="00B86AA7">
        <w:rPr>
          <w:rFonts w:ascii="Times New Roman" w:hAnsi="Times New Roman"/>
        </w:rPr>
        <w:t xml:space="preserve"> include</w:t>
      </w:r>
      <w:r w:rsidRPr="00F74C1D">
        <w:rPr>
          <w:rFonts w:ascii="Times New Roman" w:hAnsi="Times New Roman"/>
        </w:rPr>
        <w:t xml:space="preserve">, ligases I, III and IV, ERCC1–XPF, MRN complex proteins and others </w:t>
      </w:r>
      <w:r w:rsidRPr="00F74C1D">
        <w:rPr>
          <w:rFonts w:ascii="Times New Roman" w:hAnsi="Times New Roman"/>
        </w:rPr>
        <w:fldChar w:fldCharType="begin" w:fldLock="1"/>
      </w:r>
      <w:r w:rsidRPr="00F74C1D">
        <w:rPr>
          <w:rFonts w:ascii="Times New Roman" w:hAnsi="Times New Roman"/>
        </w:rPr>
        <w:instrText>ADDIN CSL_CITATION {"citationItems":[{"id":"ITEM-1","itemData":{"DOI":"10.3390/molecules23051166","ISSN":"14203049","PMID":"29757235","abstract":"Advances in technology have facilitated the molecular profiling (genomic and transcriptomic) of tumours, and has led to improved stratification of patients and the individualisation of treatment regimes. To fully realize the potential of truly personalised treatment options, we need targeted therapies that precisely disrupt the compensatory pathways identified by profiling which allow tumours to survive or gain resistance to treatments. Here, we discuss recent advances in novel therapies that impact the genome (chromosomes and chromatin), pathways targeted and the stage of the pathways targeted. The current state of research will be discussed, with a focus on compounds that have advanced into trials (clinical and pre-clinical). We will discuss inhibitors of specific DNA damage responses and other genome stability pathways, including those in development, which are likely to synergistically combine with current therapeutic options. Tumour profiling data, combined with the knowledge of new treatments that affect the regulation of essential tumour signalling pathways, is revealing fundamental insights into cancer progression and resistance mechanisms. This is the forefront of the next evolution of advanced oncology medicine that will ultimately lead to improved survival and may, one day, result in many cancers becoming chronic conditions, rather than fatal diseases.","author":[{"dropping-particle":"","family":"Prakash","given":"Anu","non-dropping-particle":"","parse-names":false,"suffix":""},{"dropping-particle":"","family":"Garcia-Moreno","given":"Juan F.","non-dropping-particle":"","parse-names":false,"suffix":""},{"dropping-particle":"","family":"Brown","given":"James A.L.","non-dropping-particle":"","parse-names":false,"suffix":""},{"dropping-particle":"","family":"Bourke","given":"Emer","non-dropping-particle":"","parse-names":false,"suffix":""}],"container-title":"Molecules","id":"ITEM-1","issue":"5","issued":{"date-parts":[["2018"]]},"page":"1-66","title":"Clinically applicable inhibitors impacting genome stability","type":"article-journal","volume":"23"},"uris":["http://www.mendeley.com/documents/?uuid=84daf6c4-4a4a-424e-a3e8-6fc2eda60697"]},{"id":"ITEM-2","itemData":{"author":[{"dropping-particle":"","family":"Matsumoto","given":"Yoshihisa","non-dropping-particle":"","parse-names":false,"suffix":""}],"container-title":"Molecular Science","id":"ITEM-2","issued":{"date-parts":[["2022"]]},"page":"1-24","title":"Development and Evolution of DNA-Dependent Protein Kinase Inhibitors toward Cancer Therapy","type":"article-journal","volume":"23"},"uris":["http://www.mendeley.com/documents/?uuid=54b1d3ed-e071-48ba-a665-bdde100b61bd"]},{"id":"ITEM-3","itemData":{"DOI":"10.1002/jcp.30721","ISSN":"10974652","abstract":"Osteosarcoma (OS) is the most common bone malignancy that occurs most often in young adults, and adolescents with a survival rate of 20% in its advanced stages. Nowadays, increasing the effectiveness of common treatments used in OS has become one of the main problems for clinicians due to cancer cells becoming resistant to chemotherapy. One of the most important mechanisms of resistance to chemotherapy is through increasing the ability of DNA repair because most chemotherapy drugs damage the DNA of cancer cells. DNA damage response (DDR) is a signal transduction pathway involved in preserving the genome stability upon exposure to endogenous and exogenous DNA-damaging factors such as chemotherapy agents. There is evidence that the suppression of DDR may reduce chemoresistance and increase the effectiveness of chemotherapy in OS. In this review, we aim to summarize these studies to better understand the role of DDR in OS chemoresistance in pursuit of overcoming the obstacles to the success of chemotherapy.","author":[{"dropping-particle":"","family":"Alemi","given":"Forough","non-dropping-particle":"","parse-names":false,"suffix":""},{"dropping-particle":"","family":"Malakoti","given":"Faezeh","non-dropping-particle":"","parse-names":false,"suffix":""},{"dropping-particle":"","family":"Vaghari-Tabari","given":"Mostafa","non-dropping-particle":"","parse-names":false,"suffix":""},{"dropping-particle":"","family":"Soleimanpour","given":"Jafar","non-dropping-particle":"","parse-names":false,"suffix":""},{"dropping-particle":"","family":"Shabestani","given":"Nazila","non-dropping-particle":"","parse-names":false,"suffix":""},{"dropping-particle":"","family":"Sadigh","given":"Aydin R.","non-dropping-particle":"","parse-names":false,"suffix":""},{"dropping-particle":"","family":"Khelghati","given":"Nafiseh","non-dropping-particle":"","parse-names":false,"suffix":""},{"dropping-particle":"","family":"Asemi","given":"Zatollah","non-dropping-particle":"","parse-names":false,"suffix":""},{"dropping-particle":"","family":"Ahmadi","given":"Yasin","non-dropping-particle":"","parse-names":false,"suffix":""},{"dropping-particle":"","family":"Yousefi","given":"Bahman","non-dropping-particle":"","parse-names":false,"suffix":""}],"container-title":"Journal of Cellular Physiology","id":"ITEM-3","issue":"February","issued":{"date-parts":[["2022"]]},"page":"1-13","title":"DNA damage response signaling pathways as important targets for combination therapy and chemotherapy sensitization in osteosarcoma","type":"article-journal"},"uris":["http://www.mendeley.com/documents/?uuid=90e266f8-1fac-4ae2-99a1-4a2872a03552"]}],"mendeley":{"formattedCitation":"[2–4]","plainTextFormattedCitation":"[2–4]","previouslyFormattedCitation":"[2–4]"},"properties":{"noteIndex":0},"schema":"https://github.com/citation-style-language/schema/raw/master/csl-citation.json"}</w:instrText>
      </w:r>
      <w:r w:rsidRPr="00F74C1D">
        <w:rPr>
          <w:rFonts w:ascii="Times New Roman" w:hAnsi="Times New Roman"/>
        </w:rPr>
        <w:fldChar w:fldCharType="separate"/>
      </w:r>
      <w:r w:rsidRPr="00F74C1D">
        <w:rPr>
          <w:rFonts w:ascii="Times New Roman" w:hAnsi="Times New Roman"/>
          <w:noProof/>
        </w:rPr>
        <w:t>[2–4]</w:t>
      </w:r>
      <w:r w:rsidRPr="00F74C1D">
        <w:rPr>
          <w:rFonts w:ascii="Times New Roman" w:hAnsi="Times New Roman"/>
        </w:rPr>
        <w:fldChar w:fldCharType="end"/>
      </w:r>
      <w:r w:rsidRPr="00F74C1D">
        <w:rPr>
          <w:rFonts w:ascii="Times New Roman" w:hAnsi="Times New Roman"/>
        </w:rPr>
        <w:t>.</w:t>
      </w:r>
    </w:p>
    <w:p w14:paraId="32D3816C" w14:textId="473C2630" w:rsidR="00F47266" w:rsidRPr="00F74C1D" w:rsidRDefault="00F47266" w:rsidP="00F47266">
      <w:pPr>
        <w:pStyle w:val="MDPI31text"/>
        <w:spacing w:before="60" w:after="60"/>
        <w:ind w:left="0"/>
        <w:rPr>
          <w:rFonts w:ascii="Times New Roman" w:hAnsi="Times New Roman"/>
        </w:rPr>
      </w:pPr>
      <w:r w:rsidRPr="00F74C1D">
        <w:rPr>
          <w:rFonts w:ascii="Times New Roman" w:hAnsi="Times New Roman"/>
        </w:rPr>
        <w:t xml:space="preserve">Tyrosyl-DNA phosphodiesterase 1 (TDP1) is a </w:t>
      </w:r>
      <w:r w:rsidR="00E80CAB" w:rsidRPr="00F74C1D">
        <w:rPr>
          <w:rFonts w:ascii="Times New Roman" w:hAnsi="Times New Roman"/>
        </w:rPr>
        <w:t>p</w:t>
      </w:r>
      <w:r w:rsidR="00E80CAB">
        <w:rPr>
          <w:rFonts w:ascii="Times New Roman" w:hAnsi="Times New Roman"/>
        </w:rPr>
        <w:t>romising</w:t>
      </w:r>
      <w:r w:rsidR="00E80CAB" w:rsidRPr="00F74C1D">
        <w:rPr>
          <w:rFonts w:ascii="Times New Roman" w:hAnsi="Times New Roman"/>
        </w:rPr>
        <w:t xml:space="preserve"> </w:t>
      </w:r>
      <w:r w:rsidRPr="00F74C1D">
        <w:rPr>
          <w:rFonts w:ascii="Times New Roman" w:hAnsi="Times New Roman"/>
        </w:rPr>
        <w:t>target</w:t>
      </w:r>
      <w:r w:rsidR="0002378B">
        <w:rPr>
          <w:rFonts w:ascii="Times New Roman" w:hAnsi="Times New Roman"/>
        </w:rPr>
        <w:t xml:space="preserve"> to develop new</w:t>
      </w:r>
      <w:r w:rsidRPr="00F74C1D">
        <w:rPr>
          <w:rFonts w:ascii="Times New Roman" w:hAnsi="Times New Roman"/>
        </w:rPr>
        <w:t xml:space="preserve"> oncological therapy</w:t>
      </w:r>
      <w:r w:rsidR="0002378B">
        <w:rPr>
          <w:rFonts w:ascii="Times New Roman" w:hAnsi="Times New Roman"/>
        </w:rPr>
        <w:t xml:space="preserve"> based on small molecules</w:t>
      </w:r>
      <w:r w:rsidR="00F11B27">
        <w:rPr>
          <w:rFonts w:ascii="Times New Roman" w:hAnsi="Times New Roman"/>
        </w:rPr>
        <w:t>;</w:t>
      </w:r>
      <w:r w:rsidR="00F11B27" w:rsidRPr="00F74C1D">
        <w:rPr>
          <w:rFonts w:ascii="Times New Roman" w:hAnsi="Times New Roman"/>
        </w:rPr>
        <w:t xml:space="preserve"> </w:t>
      </w:r>
      <w:r w:rsidR="00F11B27">
        <w:rPr>
          <w:rFonts w:ascii="Times New Roman" w:hAnsi="Times New Roman"/>
        </w:rPr>
        <w:t>t</w:t>
      </w:r>
      <w:r w:rsidR="00F11B27" w:rsidRPr="00F74C1D">
        <w:rPr>
          <w:rFonts w:ascii="Times New Roman" w:hAnsi="Times New Roman"/>
        </w:rPr>
        <w:t xml:space="preserve">his </w:t>
      </w:r>
      <w:r w:rsidRPr="00F74C1D">
        <w:rPr>
          <w:rFonts w:ascii="Times New Roman" w:hAnsi="Times New Roman"/>
        </w:rPr>
        <w:t xml:space="preserve">enzyme removes various covalent adducts from the 3’-end of DNA </w:t>
      </w:r>
      <w:r w:rsidRPr="00F74C1D">
        <w:rPr>
          <w:rFonts w:ascii="Times New Roman" w:hAnsi="Times New Roman"/>
        </w:rPr>
        <w:fldChar w:fldCharType="begin" w:fldLock="1"/>
      </w:r>
      <w:r w:rsidRPr="00F74C1D">
        <w:rPr>
          <w:rFonts w:ascii="Times New Roman" w:hAnsi="Times New Roman"/>
        </w:rPr>
        <w:instrText>ADDIN CSL_CITATION {"citationItems":[{"id":"ITEM-1","itemData":{"DOI":"10.3109/03602532.2014.971957","ISSN":"10979883","PMID":"25327705","abstract":"DNA is subject to a wide range of insults, resulting from endogenous and exogenous sources that need to be metabolized/resolved to maintain genome integrity. Tyrosyl-DNA phosphodiesterase I (Tdp1) is a eukaryotic DNA repair enzyme that catalyzes the removal of covalent 3′-DNA adducts. As a phospholipase D superfamily member Tdp1 utilizes two catalytic histidines each within a His-Lys-Asn motif. Tdp1 was discovered for its ability to hydrolyze the 3′-phospho-tyrosyl that in the cell covalently links DNA Topoisomerase I (Topo1) and DNA. Tdp1's list of substrates has since grown and can be divided into two groups: protein-DNA adducts, such as camptothecin stabilized Topo1-DNA adducts, and modified nucleotides, including oxidized nucleotides and chain terminating nucleoside analogs. Since many of Tdp1's substrates are generated by clinically relevant chemotherapeutics, Tdp1 became a therapeutic target for molecularly targeted small molecules. Tdp1's unique catalytic cycle allows for two different targeting strategies: (1) the intuitive inhibition of Tdp1 catalysis to prevent Tdp1-mediated repair of chemotherapeutically induced DNA adducts, thereby enhancing their toxicity and (2) stabilization of the Tdp1-DNA covalent reaction intermediate, prevents resolution of Tdp1-DNA adduct and increases the half-life of this potentially toxic DNA adduct. This concept is best illustrated by a catalytic Tdp1 mutant that forms the molecular basis of the autosomal recessive neurodegenerative disease spinocerebellar ataxia with axonal neuropathy, and results in an increased stability of its Tdp1-DNA reaction intermediate. Here, we will discuss Tdp1 catalysis from a structure-function perspective, Tdp1 substrates and Tdp1 potential as a therapeutic target.","author":[{"dropping-particle":"","family":"Comeaux","given":"Evan Q.","non-dropping-particle":"","parse-names":false,"suffix":""},{"dropping-particle":"","family":"Waardenburg","given":"Robert C.A.M.","non-dropping-particle":"Van","parse-names":false,"suffix":""}],"container-title":"Drug Metabolism Reviews","id":"ITEM-1","issue":"4","issued":{"date-parts":[["2014"]]},"page":"494-507","title":"Tyrosyl-DNA phosphodiesterase I resolves both naturally and chemically induced DNA adducts and its potential as a therapeutic target","type":"article-journal","volume":"46"},"uris":["http://www.mendeley.com/documents/?uuid=902d0e50-e4cd-4504-9ded-44babb85e0dd"]}],"mendeley":{"formattedCitation":"[5]","plainTextFormattedCitation":"[5]","previouslyFormattedCitation":"[5]"},"properties":{"noteIndex":0},"schema":"https://github.com/citation-style-language/schema/raw/master/csl-citation.json"}</w:instrText>
      </w:r>
      <w:r w:rsidRPr="00F74C1D">
        <w:rPr>
          <w:rFonts w:ascii="Times New Roman" w:hAnsi="Times New Roman"/>
        </w:rPr>
        <w:fldChar w:fldCharType="separate"/>
      </w:r>
      <w:r w:rsidRPr="00F74C1D">
        <w:rPr>
          <w:rFonts w:ascii="Times New Roman" w:hAnsi="Times New Roman"/>
          <w:noProof/>
        </w:rPr>
        <w:t>[5]</w:t>
      </w:r>
      <w:r w:rsidRPr="00F74C1D">
        <w:rPr>
          <w:rFonts w:ascii="Times New Roman" w:hAnsi="Times New Roman"/>
        </w:rPr>
        <w:fldChar w:fldCharType="end"/>
      </w:r>
      <w:r w:rsidRPr="00F74C1D">
        <w:rPr>
          <w:rFonts w:ascii="Times New Roman" w:hAnsi="Times New Roman"/>
        </w:rPr>
        <w:t xml:space="preserve">. </w:t>
      </w:r>
      <w:r w:rsidR="0002378B">
        <w:rPr>
          <w:rFonts w:ascii="Times New Roman" w:hAnsi="Times New Roman"/>
        </w:rPr>
        <w:t xml:space="preserve">The </w:t>
      </w:r>
      <w:proofErr w:type="spellStart"/>
      <w:r w:rsidR="0002378B">
        <w:rPr>
          <w:rFonts w:ascii="Times New Roman" w:hAnsi="Times New Roman"/>
        </w:rPr>
        <w:t>c</w:t>
      </w:r>
      <w:r w:rsidRPr="00F74C1D">
        <w:rPr>
          <w:rFonts w:ascii="Times New Roman" w:hAnsi="Times New Roman"/>
        </w:rPr>
        <w:t>amptothecin</w:t>
      </w:r>
      <w:proofErr w:type="spellEnd"/>
      <w:r w:rsidRPr="00F74C1D">
        <w:rPr>
          <w:rFonts w:ascii="Times New Roman" w:hAnsi="Times New Roman"/>
        </w:rPr>
        <w:t xml:space="preserve"> derivatives </w:t>
      </w:r>
      <w:r w:rsidR="0002378B">
        <w:rPr>
          <w:rFonts w:ascii="Times New Roman" w:hAnsi="Times New Roman"/>
        </w:rPr>
        <w:t xml:space="preserve">in clinical use, </w:t>
      </w:r>
      <w:r w:rsidRPr="00F74C1D">
        <w:rPr>
          <w:rFonts w:ascii="Times New Roman" w:hAnsi="Times New Roman"/>
        </w:rPr>
        <w:t>topotecan and irinotecan</w:t>
      </w:r>
      <w:r w:rsidR="0002378B">
        <w:rPr>
          <w:rFonts w:ascii="Times New Roman" w:hAnsi="Times New Roman"/>
        </w:rPr>
        <w:t>,</w:t>
      </w:r>
      <w:r w:rsidRPr="00F74C1D">
        <w:rPr>
          <w:rFonts w:ascii="Times New Roman" w:hAnsi="Times New Roman"/>
        </w:rPr>
        <w:t xml:space="preserve"> stabilize covalent complexes of topoisomerase 1 (TOP1) with DNA, </w:t>
      </w:r>
      <w:r w:rsidR="00F470A6" w:rsidRPr="00F74C1D">
        <w:rPr>
          <w:rFonts w:ascii="Times New Roman" w:hAnsi="Times New Roman"/>
        </w:rPr>
        <w:t>lead</w:t>
      </w:r>
      <w:r w:rsidR="00F470A6">
        <w:rPr>
          <w:rFonts w:ascii="Times New Roman" w:hAnsi="Times New Roman"/>
        </w:rPr>
        <w:t>ing</w:t>
      </w:r>
      <w:r w:rsidR="00F470A6" w:rsidRPr="00F74C1D">
        <w:rPr>
          <w:rFonts w:ascii="Times New Roman" w:hAnsi="Times New Roman"/>
        </w:rPr>
        <w:t xml:space="preserve"> </w:t>
      </w:r>
      <w:r w:rsidRPr="00F74C1D">
        <w:rPr>
          <w:rFonts w:ascii="Times New Roman" w:hAnsi="Times New Roman"/>
        </w:rPr>
        <w:t xml:space="preserve">to the accumulation of DNA damage and </w:t>
      </w:r>
      <w:r w:rsidR="009B02F7">
        <w:rPr>
          <w:rFonts w:ascii="Times New Roman" w:hAnsi="Times New Roman"/>
        </w:rPr>
        <w:t>eventual</w:t>
      </w:r>
      <w:r w:rsidR="0002378B">
        <w:rPr>
          <w:rFonts w:ascii="Times New Roman" w:hAnsi="Times New Roman"/>
        </w:rPr>
        <w:t xml:space="preserve"> </w:t>
      </w:r>
      <w:r w:rsidRPr="00F74C1D">
        <w:rPr>
          <w:rFonts w:ascii="Times New Roman" w:hAnsi="Times New Roman"/>
        </w:rPr>
        <w:t xml:space="preserve">death of </w:t>
      </w:r>
      <w:r w:rsidR="009B02F7">
        <w:rPr>
          <w:rFonts w:ascii="Times New Roman" w:hAnsi="Times New Roman"/>
        </w:rPr>
        <w:t xml:space="preserve">the </w:t>
      </w:r>
      <w:r w:rsidRPr="00F74C1D">
        <w:rPr>
          <w:rFonts w:ascii="Times New Roman" w:hAnsi="Times New Roman"/>
        </w:rPr>
        <w:lastRenderedPageBreak/>
        <w:t xml:space="preserve">cancer cells </w:t>
      </w:r>
      <w:r w:rsidRPr="00F74C1D">
        <w:rPr>
          <w:rFonts w:ascii="Times New Roman" w:hAnsi="Times New Roman"/>
        </w:rPr>
        <w:fldChar w:fldCharType="begin" w:fldLock="1"/>
      </w:r>
      <w:r w:rsidRPr="00F74C1D">
        <w:rPr>
          <w:rFonts w:ascii="Times New Roman" w:hAnsi="Times New Roman"/>
        </w:rPr>
        <w:instrText>ADDIN CSL_CITATION {"citationItems":[{"id":"ITEM-1","itemData":{"DOI":"10.1016/j.dnarep.2014.03.020","ISSN":"15687856","PMID":"24856239","abstract":"TDP1 and TDP2 were discovered and named based on the fact they process 3'- and 5'-DNA ends by excising irreversible protein tyrosyl-DNA complexes involving topoisomerases I and II, respectively. Yet, both enzymes have an extended spectrum of activities. TDP1 not only excises trapped topoisomerases I (Top1 in the nucleus and Top1mt in mitochondria), but also repairs oxidative damage-induced 3'-phosphoglycolates and alkylation damage-induced DNA breaks, and excises chain terminating anticancer and antiviral nucleosides in the nucleus and mitochondria. The repair function of TDP2 is devoted to the excision of topoisomerase II- and potentially topoisomerases III-DNA adducts. TDP2 is also essential for the life cycle of picornaviruses (important human and bovine pathogens) as it unlinks VPg proteins from the 5'-end of the viral RNA genome. Moreover, TDP2 has been involved in signal transduction (under the former names of TTRAP or EAPII). The DNA repair partners of TDP1 include PARP1, XRCC1, ligase III and PNKP from the base excision repair (BER) pathway. By contrast, TDP2 repair functions are coordinated with Ku and ligase IV in the non-homologous end joining pathway (NHEJ). This article summarizes and compares the biochemistry, functions, and post-translational regulation of TDP1 and TDP2, as well as the relevance of TDP1 and TDP2 as determinants of response to anticancer agents. We discuss the rationale for developing TDP inhibitors for combinations with topoisomerase inhibitors (topotecan, irinotecan, doxorubicin, etoposide, mitoxantrone) and DNA damaging agents (temozolomide, bleomycin, cytarabine, and ionizing radiation), and as novel antiviral agents. © 2014.","author":[{"dropping-particle":"","family":"Pommier","given":"Yves","non-dropping-particle":"","parse-names":false,"suffix":""},{"dropping-particle":"","family":"Huang","given":"Shar yin N.","non-dropping-particle":"","parse-names":false,"suffix":""},{"dropping-particle":"","family":"Gao","given":"Rui","non-dropping-particle":"","parse-names":false,"suffix":""},{"dropping-particle":"","family":"Das","given":"Benu Brata","non-dropping-particle":"","parse-names":false,"suffix":""},{"dropping-particle":"","family":"Murai","given":"Junko","non-dropping-particle":"","parse-names":false,"suffix":""},{"dropping-particle":"","family":"Marchand","given":"Christophe","non-dropping-particle":"","parse-names":false,"suffix":""}],"container-title":"DNA Repair","id":"ITEM-1","issued":{"date-parts":[["2014"]]},"page":"114-129","publisher":"Elsevier B.V.","title":"Tyrosyl-DNA-phosphodiesterases (TDP1 and TDP2)","type":"article-journal","volume":"19"},"uris":["http://www.mendeley.com/documents/?uuid=5f22e96f-a604-4bf4-8a34-49bc9f6fc79b"]}],"mendeley":{"formattedCitation":"[6]","plainTextFormattedCitation":"[6]","previouslyFormattedCitation":"[6]"},"properties":{"noteIndex":0},"schema":"https://github.com/citation-style-language/schema/raw/master/csl-citation.json"}</w:instrText>
      </w:r>
      <w:r w:rsidRPr="00F74C1D">
        <w:rPr>
          <w:rFonts w:ascii="Times New Roman" w:hAnsi="Times New Roman"/>
        </w:rPr>
        <w:fldChar w:fldCharType="separate"/>
      </w:r>
      <w:r w:rsidRPr="00F74C1D">
        <w:rPr>
          <w:rFonts w:ascii="Times New Roman" w:hAnsi="Times New Roman"/>
          <w:noProof/>
        </w:rPr>
        <w:t>[6]</w:t>
      </w:r>
      <w:r w:rsidRPr="00F74C1D">
        <w:rPr>
          <w:rFonts w:ascii="Times New Roman" w:hAnsi="Times New Roman"/>
        </w:rPr>
        <w:fldChar w:fldCharType="end"/>
      </w:r>
      <w:r w:rsidRPr="00F74C1D">
        <w:rPr>
          <w:rFonts w:ascii="Times New Roman" w:hAnsi="Times New Roman"/>
        </w:rPr>
        <w:t xml:space="preserve">. TDP1 neutralizes the effect of these drugs, which is one of the reasons for </w:t>
      </w:r>
      <w:r w:rsidR="00CA7D16">
        <w:rPr>
          <w:rFonts w:ascii="Times New Roman" w:hAnsi="Times New Roman"/>
        </w:rPr>
        <w:t>tumors’</w:t>
      </w:r>
      <w:r w:rsidR="00CA7D16" w:rsidRPr="00F74C1D">
        <w:rPr>
          <w:rFonts w:ascii="Times New Roman" w:hAnsi="Times New Roman"/>
        </w:rPr>
        <w:t xml:space="preserve"> </w:t>
      </w:r>
      <w:r w:rsidRPr="00F74C1D">
        <w:rPr>
          <w:rFonts w:ascii="Times New Roman" w:hAnsi="Times New Roman"/>
        </w:rPr>
        <w:t xml:space="preserve">resistance to </w:t>
      </w:r>
      <w:r w:rsidR="009B02F7">
        <w:rPr>
          <w:rFonts w:ascii="Times New Roman" w:hAnsi="Times New Roman"/>
        </w:rPr>
        <w:t>chemo</w:t>
      </w:r>
      <w:r w:rsidRPr="00F74C1D">
        <w:rPr>
          <w:rFonts w:ascii="Times New Roman" w:hAnsi="Times New Roman"/>
        </w:rPr>
        <w:t xml:space="preserve">therapy </w:t>
      </w:r>
      <w:r w:rsidRPr="00F74C1D">
        <w:rPr>
          <w:rFonts w:ascii="Times New Roman" w:hAnsi="Times New Roman"/>
        </w:rPr>
        <w:fldChar w:fldCharType="begin" w:fldLock="1"/>
      </w:r>
      <w:r w:rsidRPr="00F74C1D">
        <w:rPr>
          <w:rFonts w:ascii="Times New Roman" w:hAnsi="Times New Roman"/>
        </w:rPr>
        <w:instrText>ADDIN CSL_CITATION {"citationItems":[{"id":"ITEM-1","itemData":{"DOI":"10.1016/j.dnarep.2014.03.020","ISSN":"15687856","PMID":"24856239","abstract":"TDP1 and TDP2 were discovered and named based on the fact they process 3'- and 5'-DNA ends by excising irreversible protein tyrosyl-DNA complexes involving topoisomerases I and II, respectively. Yet, both enzymes have an extended spectrum of activities. TDP1 not only excises trapped topoisomerases I (Top1 in the nucleus and Top1mt in mitochondria), but also repairs oxidative damage-induced 3'-phosphoglycolates and alkylation damage-induced DNA breaks, and excises chain terminating anticancer and antiviral nucleosides in the nucleus and mitochondria. The repair function of TDP2 is devoted to the excision of topoisomerase II- and potentially topoisomerases III-DNA adducts. TDP2 is also essential for the life cycle of picornaviruses (important human and bovine pathogens) as it unlinks VPg proteins from the 5'-end of the viral RNA genome. Moreover, TDP2 has been involved in signal transduction (under the former names of TTRAP or EAPII). The DNA repair partners of TDP1 include PARP1, XRCC1, ligase III and PNKP from the base excision repair (BER) pathway. By contrast, TDP2 repair functions are coordinated with Ku and ligase IV in the non-homologous end joining pathway (NHEJ). This article summarizes and compares the biochemistry, functions, and post-translational regulation of TDP1 and TDP2, as well as the relevance of TDP1 and TDP2 as determinants of response to anticancer agents. We discuss the rationale for developing TDP inhibitors for combinations with topoisomerase inhibitors (topotecan, irinotecan, doxorubicin, etoposide, mitoxantrone) and DNA damaging agents (temozolomide, bleomycin, cytarabine, and ionizing radiation), and as novel antiviral agents. © 2014.","author":[{"dropping-particle":"","family":"Pommier","given":"Yves","non-dropping-particle":"","parse-names":false,"suffix":""},{"dropping-particle":"","family":"Huang","given":"Shar yin N.","non-dropping-particle":"","parse-names":false,"suffix":""},{"dropping-particle":"","family":"Gao","given":"Rui","non-dropping-particle":"","parse-names":false,"suffix":""},{"dropping-particle":"","family":"Das","given":"Benu Brata","non-dropping-particle":"","parse-names":false,"suffix":""},{"dropping-particle":"","family":"Murai","given":"Junko","non-dropping-particle":"","parse-names":false,"suffix":""},{"dropping-particle":"","family":"Marchand","given":"Christophe","non-dropping-particle":"","parse-names":false,"suffix":""}],"container-title":"DNA Repair","id":"ITEM-1","issued":{"date-parts":[["2014"]]},"page":"114-129","publisher":"Elsevier B.V.","title":"Tyrosyl-DNA-phosphodiesterases (TDP1 and TDP2)","type":"article-journal","volume":"19"},"uris":["http://www.mendeley.com/documents/?uuid=5f22e96f-a604-4bf4-8a34-49bc9f6fc79b"]}],"mendeley":{"formattedCitation":"[6]","plainTextFormattedCitation":"[6]","previouslyFormattedCitation":"[6]"},"properties":{"noteIndex":0},"schema":"https://github.com/citation-style-language/schema/raw/master/csl-citation.json"}</w:instrText>
      </w:r>
      <w:r w:rsidRPr="00F74C1D">
        <w:rPr>
          <w:rFonts w:ascii="Times New Roman" w:hAnsi="Times New Roman"/>
        </w:rPr>
        <w:fldChar w:fldCharType="separate"/>
      </w:r>
      <w:r w:rsidRPr="00F74C1D">
        <w:rPr>
          <w:rFonts w:ascii="Times New Roman" w:hAnsi="Times New Roman"/>
          <w:noProof/>
        </w:rPr>
        <w:t>[6]</w:t>
      </w:r>
      <w:r w:rsidRPr="00F74C1D">
        <w:rPr>
          <w:rFonts w:ascii="Times New Roman" w:hAnsi="Times New Roman"/>
        </w:rPr>
        <w:fldChar w:fldCharType="end"/>
      </w:r>
      <w:r w:rsidRPr="00F74C1D">
        <w:rPr>
          <w:rFonts w:ascii="Times New Roman" w:hAnsi="Times New Roman"/>
        </w:rPr>
        <w:t xml:space="preserve">. Thus, suppression of TDP1 activity could increase the </w:t>
      </w:r>
      <w:r w:rsidR="009B02F7">
        <w:rPr>
          <w:rFonts w:ascii="Times New Roman" w:hAnsi="Times New Roman"/>
        </w:rPr>
        <w:t xml:space="preserve">efficacy of </w:t>
      </w:r>
      <w:r w:rsidR="009B02F7" w:rsidRPr="00F74C1D">
        <w:rPr>
          <w:rFonts w:ascii="Times New Roman" w:hAnsi="Times New Roman"/>
        </w:rPr>
        <w:t>topotecan and irinotecan</w:t>
      </w:r>
      <w:r w:rsidR="009B02F7">
        <w:rPr>
          <w:rFonts w:ascii="Times New Roman" w:hAnsi="Times New Roman"/>
        </w:rPr>
        <w:t xml:space="preserve">. </w:t>
      </w:r>
    </w:p>
    <w:p w14:paraId="7718EB17" w14:textId="505D8296" w:rsidR="00F47266" w:rsidRPr="00F74C1D" w:rsidRDefault="00F47266" w:rsidP="00F47266">
      <w:pPr>
        <w:pStyle w:val="MDPI31text"/>
        <w:spacing w:before="60" w:after="60"/>
        <w:ind w:left="0"/>
        <w:rPr>
          <w:rFonts w:ascii="Times New Roman" w:hAnsi="Times New Roman"/>
        </w:rPr>
      </w:pPr>
      <w:r w:rsidRPr="00F74C1D">
        <w:rPr>
          <w:rFonts w:ascii="Times New Roman" w:hAnsi="Times New Roman"/>
        </w:rPr>
        <w:t xml:space="preserve">Thiazolidine derivatives </w:t>
      </w:r>
      <w:r w:rsidR="009B02F7">
        <w:rPr>
          <w:rFonts w:ascii="Times New Roman" w:hAnsi="Times New Roman"/>
        </w:rPr>
        <w:t xml:space="preserve">have </w:t>
      </w:r>
      <w:r w:rsidRPr="00F74C1D">
        <w:rPr>
          <w:rFonts w:ascii="Times New Roman" w:hAnsi="Times New Roman"/>
        </w:rPr>
        <w:t>a wide range of biological activity such as anti</w:t>
      </w:r>
      <w:r w:rsidR="009B02F7">
        <w:rPr>
          <w:rFonts w:ascii="Times New Roman" w:hAnsi="Times New Roman"/>
        </w:rPr>
        <w:t>-</w:t>
      </w:r>
      <w:r w:rsidRPr="00F74C1D">
        <w:rPr>
          <w:rFonts w:ascii="Times New Roman" w:hAnsi="Times New Roman"/>
        </w:rPr>
        <w:t xml:space="preserve">viral, anti-tumor, anti-ulcer, and anti-inflammatory </w:t>
      </w:r>
      <w:r w:rsidR="009B02F7">
        <w:rPr>
          <w:rFonts w:ascii="Times New Roman" w:hAnsi="Times New Roman"/>
        </w:rPr>
        <w:t>effects</w:t>
      </w:r>
      <w:r w:rsidR="009B02F7" w:rsidRPr="00F74C1D">
        <w:rPr>
          <w:rFonts w:ascii="Times New Roman" w:hAnsi="Times New Roman"/>
        </w:rPr>
        <w:t xml:space="preserve"> </w:t>
      </w:r>
      <w:r w:rsidRPr="00F74C1D">
        <w:rPr>
          <w:rFonts w:ascii="Times New Roman" w:hAnsi="Times New Roman"/>
          <w:vertAlign w:val="superscript"/>
        </w:rPr>
        <w:fldChar w:fldCharType="begin" w:fldLock="1"/>
      </w:r>
      <w:r w:rsidRPr="00F74C1D">
        <w:rPr>
          <w:rFonts w:ascii="Times New Roman" w:hAnsi="Times New Roman"/>
        </w:rPr>
        <w:instrText>ADDIN CSL_CITATION {"citationItems":[{"id":"ITEM-1","itemData":{"DOI":"10.1016/j.bmc.2012.03.069","ISBN":"1464-3391 (Electronic)\\r0968-0896 (Linking)","ISSN":"09680896","PMID":"22546204","abstract":"Thiazolidinone is considered as a biologically important active scaffold that possesses almost all types of biological activities. Successful introduction of ralitoline as a potent anti-convulsant, etozoline as a antihypertensive, pioglitazone as a hypoglycemic agent and thiazolidomycin activity against streptomyces species proved potential of thiazolidinone moiety. This diversity in the biological response profile has attracted the attention of many researchers to explore this skeleton to its multiple potential against several activities. This review is complementary to earlier reviews and aims to review the work reported on various biological activities of thiazolidinone derivatives from year 2000 to the beginning of 2011. Data are presented for active compounds, some of which have passed the preclinical testing stage. © 2012 Elsevier Ltd. All rights reserved.","author":[{"dropping-particle":"","family":"Jain","given":"Abhishek","non-dropping-particle":"","parse-names":false,"suffix":""},{"dropping-particle":"","family":"Vaidya","given":"Ankur","non-dropping-particle":"","parse-names":false,"suffix":""},{"dropping-particle":"","family":"Ravichandran","given":"Veerasamy","non-dropping-particle":"","parse-names":false,"suffix":""},{"dropping-particle":"","family":"Kashaw","given":"Sushil","non-dropping-particle":"","parse-names":false,"suffix":""},{"dropping-particle":"","family":"Agrawal","given":"Ram","non-dropping-particle":"","parse-names":false,"suffix":""}],"container-title":"Bioorganic and Medicinal Chemistry","id":"ITEM-1","issue":"11","issued":{"date-parts":[["2012"]]},"page":"3378-3395","publisher":"Elsevier Ltd","title":"Recent developments and biological activities of thiazolidinone derivatives: a review","type":"article-journal","volume":"20"},"uris":["http://www.mendeley.com/documents/?uuid=acef50e2-2eca-4039-8089-ca4232f4054e"]},{"id":"ITEM-2","itemData":{"DOI":"10.1016/j.bioorg.2017.10.014","ISSN":"0045-2068","author":[{"dropping-particle":"","family":"Kaur","given":"Sundeep","non-dropping-particle":"","parse-names":false,"suffix":""},{"dropping-particle":"","family":"Kaur","given":"Ramandeep","non-dropping-particle":"","parse-names":false,"suffix":""},{"dropping-particle":"","family":"Bhatia","given":"Rohit","non-dropping-particle":"","parse-names":false,"suffix":""},{"dropping-particle":"","family":"Kumar","given":"Kapil","non-dropping-particle":"","parse-names":false,"suffix":""},{"dropping-particle":"","family":"Singh","given":"Virender","non-dropping-particle":"","parse-names":false,"suffix":""},{"dropping-particle":"","family":"Shankar","given":"Ravi","non-dropping-particle":"","parse-names":false,"suffix":""},{"dropping-particle":"","family":"Kaur","given":"Rupinder","non-dropping-particle":"","parse-names":false,"suffix":""},{"dropping-particle":"","family":"Rawal","given":"Ravindra","non-dropping-particle":"","parse-names":false,"suffix":""}],"container-title":"Bioorganic Chemistry","id":"ITEM-2","issued":{"date-parts":[["2017"]]},"page":"406-423","publisher":"Elsevier Inc.","title":"Synthetic and medicinal perspective of thiazolidinones : a review","type":"article-journal","volume":"75"},"uris":["http://www.mendeley.com/documents/?uuid=110b02cf-6790-47ba-87c7-983f3f9f07d6"]},{"id":"ITEM-3","itemData":{"DOI":"10.1007/s11696-021-01741-5","ISBN":"0123456789","ISSN":"13369075","abstract":"In this paper, new thiazolidinones, thiazinanones, and thiazolidinediones based on a monoterpenoid (-)-campholenic aldehyde were synthesized and their antiulcer and anti-inflammatory activity was investigated. The thiazolidinones and thiazinanones containing a (-)-campholenic moiety have been shown to possess antiulcerogenic properties in indomethacin-induced ulcer test comparable to the activity of the reference drug omeprazole. None of the investigated thiazolidinediones showed antiulcerative activity in the test. One of the (-)-campholenic aldehyde-derived thiazolidinones has also demonstrated high anti-inflammatory activity on the histamine-induced inflammatory edema model similar to the activity of diclofenac. It is shown that changing a (-)-campholenic substituent for a linear aliphatic or a terpenic fragment with a pinane scaffold results in decreasing the pharmacological properties, though the (-)-campholenic moiety does not seem to make a key contribution to the pharmacological activity. Compounds 11 and 17 have been shown to exhibit antiulcer and anti-inflammatory action at a dose of 100 mg/kg.","author":[{"dropping-particle":"","family":"Borisova","given":"Marina S.","non-dropping-particle":"","parse-names":false,"suffix":""},{"dropping-particle":"","family":"Ivankin","given":"Dmitry I.","non-dropping-particle":"","parse-names":false,"suffix":""},{"dropping-particle":"","family":"Sokolov","given":"Dmitry N.","non-dropping-particle":"","parse-names":false,"suffix":""},{"dropping-particle":"","family":"Luzina","given":"Olga A.","non-dropping-particle":"","parse-names":false,"suffix":""},{"dropping-particle":"V.","family":"Rybalova","given":"Tatjana","non-dropping-particle":"","parse-names":false,"suffix":""},{"dropping-particle":"","family":"Tolstikova","given":"Tatjana G.","non-dropping-particle":"","parse-names":false,"suffix":""},{"dropping-particle":"","family":"Salakhutdinov","given":"Nariman F.","non-dropping-particle":"","parse-names":false,"suffix":""}],"container-title":"Chemical Papers","id":"ITEM-3","issue":"10","issued":{"date-parts":[["2021"]]},"page":"5503-5514","publisher":"Springer International Publishing","title":"Synthesis, antiulcerative, and anti-inflammatory activities of new campholenic derivatives-1,3-thiazolidin-4-ones, 1,3-thiazolidine-2,4-diones, and 1,3-thiazinan-4-ones","type":"article-journal","volume":"75"},"uris":["http://www.mendeley.com/documents/?uuid=e4ffc6ed-3958-4fdc-91cc-96fa162f4f7f"]}],"mendeley":{"formattedCitation":"[7–9]","plainTextFormattedCitation":"[7–9]","previouslyFormattedCitation":"[7–9]"},"properties":{"noteIndex":0},"schema":"https://github.com/citation-style-language/schema/raw/master/csl-citation.json"}</w:instrText>
      </w:r>
      <w:r w:rsidRPr="00F74C1D">
        <w:rPr>
          <w:rFonts w:ascii="Times New Roman" w:hAnsi="Times New Roman"/>
          <w:vertAlign w:val="superscript"/>
        </w:rPr>
        <w:fldChar w:fldCharType="separate"/>
      </w:r>
      <w:r w:rsidRPr="00F74C1D">
        <w:rPr>
          <w:rFonts w:ascii="Times New Roman" w:hAnsi="Times New Roman"/>
          <w:bCs/>
          <w:noProof/>
        </w:rPr>
        <w:t>[7–9]</w:t>
      </w:r>
      <w:r w:rsidRPr="00F74C1D">
        <w:rPr>
          <w:rFonts w:ascii="Times New Roman" w:hAnsi="Times New Roman"/>
        </w:rPr>
        <w:fldChar w:fldCharType="end"/>
      </w:r>
      <w:r w:rsidRPr="00F74C1D">
        <w:rPr>
          <w:rFonts w:ascii="Times New Roman" w:hAnsi="Times New Roman"/>
        </w:rPr>
        <w:t xml:space="preserve">. </w:t>
      </w:r>
      <w:r w:rsidR="009B02F7">
        <w:rPr>
          <w:rFonts w:ascii="Times New Roman" w:hAnsi="Times New Roman"/>
        </w:rPr>
        <w:t>Interestingly</w:t>
      </w:r>
      <w:r w:rsidRPr="00F74C1D">
        <w:rPr>
          <w:rFonts w:ascii="Times New Roman" w:hAnsi="Times New Roman"/>
        </w:rPr>
        <w:t xml:space="preserve">, there is </w:t>
      </w:r>
      <w:r w:rsidR="009B091E">
        <w:rPr>
          <w:rFonts w:ascii="Times New Roman" w:hAnsi="Times New Roman"/>
        </w:rPr>
        <w:t>little</w:t>
      </w:r>
      <w:r w:rsidR="009B02F7">
        <w:rPr>
          <w:rFonts w:ascii="Times New Roman" w:hAnsi="Times New Roman"/>
        </w:rPr>
        <w:t xml:space="preserve"> known</w:t>
      </w:r>
      <w:r w:rsidR="00F470A6" w:rsidRPr="00F74C1D">
        <w:rPr>
          <w:rFonts w:ascii="Times New Roman" w:hAnsi="Times New Roman"/>
        </w:rPr>
        <w:t xml:space="preserve"> </w:t>
      </w:r>
      <w:r w:rsidRPr="00F74C1D">
        <w:rPr>
          <w:rFonts w:ascii="Times New Roman" w:hAnsi="Times New Roman"/>
        </w:rPr>
        <w:t xml:space="preserve">about TDP1 inhibitory activity </w:t>
      </w:r>
      <w:r w:rsidR="00F470A6">
        <w:rPr>
          <w:rFonts w:ascii="Times New Roman" w:hAnsi="Times New Roman"/>
        </w:rPr>
        <w:t>of</w:t>
      </w:r>
      <w:r w:rsidRPr="00F74C1D">
        <w:rPr>
          <w:rFonts w:ascii="Times New Roman" w:hAnsi="Times New Roman"/>
        </w:rPr>
        <w:t xml:space="preserve"> thiazolidine</w:t>
      </w:r>
      <w:r w:rsidR="00CA7D16">
        <w:rPr>
          <w:rFonts w:ascii="Times New Roman" w:hAnsi="Times New Roman"/>
        </w:rPr>
        <w:t>s</w:t>
      </w:r>
      <w:r w:rsidRPr="00F74C1D">
        <w:rPr>
          <w:rFonts w:ascii="Times New Roman" w:hAnsi="Times New Roman"/>
        </w:rPr>
        <w:t xml:space="preserve"> </w:t>
      </w:r>
      <w:r w:rsidR="009B02F7">
        <w:rPr>
          <w:rFonts w:ascii="Times New Roman" w:hAnsi="Times New Roman"/>
        </w:rPr>
        <w:t>except</w:t>
      </w:r>
      <w:r w:rsidR="00F470A6" w:rsidRPr="00F470A6">
        <w:rPr>
          <w:rFonts w:ascii="Times New Roman" w:hAnsi="Times New Roman"/>
        </w:rPr>
        <w:t xml:space="preserve"> </w:t>
      </w:r>
      <w:r w:rsidR="009B02F7">
        <w:rPr>
          <w:rFonts w:ascii="Times New Roman" w:hAnsi="Times New Roman"/>
        </w:rPr>
        <w:t xml:space="preserve">for </w:t>
      </w:r>
      <w:r w:rsidR="00F470A6" w:rsidRPr="00F74C1D">
        <w:rPr>
          <w:rFonts w:ascii="Times New Roman" w:hAnsi="Times New Roman"/>
        </w:rPr>
        <w:t xml:space="preserve">compound </w:t>
      </w:r>
      <w:r w:rsidR="00F470A6" w:rsidRPr="00F74C1D">
        <w:rPr>
          <w:rFonts w:ascii="Times New Roman" w:hAnsi="Times New Roman"/>
          <w:b/>
        </w:rPr>
        <w:t>1</w:t>
      </w:r>
      <w:r w:rsidR="00F470A6" w:rsidRPr="00F74C1D">
        <w:rPr>
          <w:rFonts w:ascii="Times New Roman" w:hAnsi="Times New Roman"/>
        </w:rPr>
        <w:t xml:space="preserve"> </w:t>
      </w:r>
      <w:r w:rsidR="00F470A6">
        <w:rPr>
          <w:rFonts w:ascii="Times New Roman" w:hAnsi="Times New Roman"/>
        </w:rPr>
        <w:t>(</w:t>
      </w:r>
      <w:r w:rsidR="00F470A6" w:rsidRPr="00F74C1D">
        <w:rPr>
          <w:rFonts w:ascii="Times New Roman" w:hAnsi="Times New Roman"/>
          <w:b/>
        </w:rPr>
        <w:t>Fig. 1</w:t>
      </w:r>
      <w:r w:rsidR="00F470A6" w:rsidRPr="00F74C1D">
        <w:rPr>
          <w:rFonts w:ascii="Times New Roman" w:hAnsi="Times New Roman"/>
        </w:rPr>
        <w:t xml:space="preserve">) </w:t>
      </w:r>
      <w:r w:rsidR="00F470A6" w:rsidRPr="00F74C1D">
        <w:rPr>
          <w:rFonts w:ascii="Times New Roman" w:hAnsi="Times New Roman"/>
        </w:rPr>
        <w:fldChar w:fldCharType="begin" w:fldLock="1"/>
      </w:r>
      <w:r w:rsidR="00F470A6" w:rsidRPr="00F74C1D">
        <w:rPr>
          <w:rFonts w:ascii="Times New Roman" w:hAnsi="Times New Roman"/>
        </w:rPr>
        <w:instrText>ADDIN CSL_CITATION {"citationItems":[{"id":"ITEM-1","itemData":{"DOI":"10.1021/jm3008773","ISSN":"00222623","PMID":"23006064","abstract":"Tyrosyl-DNA phosphodiesterase I (Tdp1) is a cellular enzyme that repairs the irreversible topoisomerase I (Top1)-DNA complexes and confers chemotherapeutic resistance to Top1 inhibitors. Inhibiting Tdp1 provides an attractive approach to potentiating clinically used Top1 inhibitors. However, despite recent efforts in studying Tdp1 as a therapeutic target, its inhibition remains poorly understood and largely underexplored. We describe herein the discovery of arylidene thioxothiazolidinone as a scaffold for potent Tdp1 inhibitors based on an initial tyrphostin lead compound 8. Through structure-activity relationship (SAR) studies we demonstrated that arylidene thioxothiazolidinones inhibit Tdp1 and identified compound 50 as a submicromolar inhibitor of Tdp1 (IC50 = 0.87 μM). Molecular modeling provided insight into key interactions essential for observed activities. Some derivatives were also active against endogenous Tdp1 in whole cell extracts. These findings contribute to advancing the understanding on Tdp1 inhibition. © 2012 American Chemical Society.","author":[{"dropping-particle":"","family":"Sirivolu","given":"Venkata Ramana","non-dropping-particle":"","parse-names":false,"suffix":""},{"dropping-particle":"V.","family":"Vernekar","given":"Sanjeev Kumar","non-dropping-particle":"","parse-names":false,"suffix":""},{"dropping-particle":"","family":"Marchand","given":"Christophe","non-dropping-particle":"","parse-names":false,"suffix":""},{"dropping-particle":"","family":"Naumova","given":"Alena","non-dropping-particle":"","parse-names":false,"suffix":""},{"dropping-particle":"","family":"Chergui","given":"Adel","non-dropping-particle":"","parse-names":false,"suffix":""},{"dropping-particle":"","family":"Renaud","given":"Amelie","non-dropping-particle":"","parse-names":false,"suffix":""},{"dropping-particle":"","family":"Stephen","given":"Andrew G.","non-dropping-particle":"","parse-names":false,"suffix":""},{"dropping-particle":"","family":"Chen","given":"Feng","non-dropping-particle":"","parse-names":false,"suffix":""},{"dropping-particle":"","family":"Sham","given":"Yuk Y.","non-dropping-particle":"","parse-names":false,"suffix":""},{"dropping-particle":"","family":"Pommier","given":"Yves","non-dropping-particle":"","parse-names":false,"suffix":""},{"dropping-particle":"","family":"Wang","given":"Zhengqiang","non-dropping-particle":"","parse-names":false,"suffix":""}],"container-title":"Journal of Medicinal Chemistry","id":"ITEM-1","issue":"20","issued":{"date-parts":[["2012"]]},"page":"8671-8684","title":"5-Arylidenethioxothiazolidinones as Inhibitors of Tyrosyl-DNA Phosphodiesterase i","type":"article-journal","volume":"55"},"uris":["http://www.mendeley.com/documents/?uuid=ea54cc41-e9fb-49aa-9b03-a22be505a492"]}],"mendeley":{"formattedCitation":"[10]","plainTextFormattedCitation":"[10]","previouslyFormattedCitation":"[10]"},"properties":{"noteIndex":0},"schema":"https://github.com/citation-style-language/schema/raw/master/csl-citation.json"}</w:instrText>
      </w:r>
      <w:r w:rsidR="00F470A6" w:rsidRPr="00F74C1D">
        <w:rPr>
          <w:rFonts w:ascii="Times New Roman" w:hAnsi="Times New Roman"/>
        </w:rPr>
        <w:fldChar w:fldCharType="separate"/>
      </w:r>
      <w:r w:rsidR="00F470A6" w:rsidRPr="00F74C1D">
        <w:rPr>
          <w:rFonts w:ascii="Times New Roman" w:hAnsi="Times New Roman"/>
          <w:noProof/>
        </w:rPr>
        <w:t>[10]</w:t>
      </w:r>
      <w:r w:rsidR="00F470A6" w:rsidRPr="00F74C1D">
        <w:rPr>
          <w:rFonts w:ascii="Times New Roman" w:hAnsi="Times New Roman"/>
        </w:rPr>
        <w:fldChar w:fldCharType="end"/>
      </w:r>
      <w:r w:rsidRPr="00F74C1D">
        <w:rPr>
          <w:rFonts w:ascii="Times New Roman" w:hAnsi="Times New Roman"/>
        </w:rPr>
        <w:t xml:space="preserve"> </w:t>
      </w:r>
      <w:r w:rsidR="00F470A6">
        <w:rPr>
          <w:rFonts w:ascii="Times New Roman" w:hAnsi="Times New Roman"/>
        </w:rPr>
        <w:t xml:space="preserve">and </w:t>
      </w:r>
      <w:r w:rsidRPr="00F74C1D">
        <w:rPr>
          <w:rFonts w:ascii="Times New Roman" w:hAnsi="Times New Roman"/>
        </w:rPr>
        <w:t xml:space="preserve">some </w:t>
      </w:r>
      <w:proofErr w:type="spellStart"/>
      <w:r w:rsidRPr="00F74C1D">
        <w:rPr>
          <w:rFonts w:ascii="Times New Roman" w:hAnsi="Times New Roman"/>
        </w:rPr>
        <w:t>usnic</w:t>
      </w:r>
      <w:proofErr w:type="spellEnd"/>
      <w:r w:rsidR="00F07FF6">
        <w:rPr>
          <w:rFonts w:ascii="Times New Roman" w:hAnsi="Times New Roman"/>
        </w:rPr>
        <w:t xml:space="preserve"> acid</w:t>
      </w:r>
      <w:r w:rsidRPr="00F74C1D">
        <w:rPr>
          <w:rFonts w:ascii="Times New Roman" w:hAnsi="Times New Roman"/>
        </w:rPr>
        <w:t xml:space="preserve"> derivatives </w:t>
      </w:r>
      <w:r w:rsidR="00F470A6" w:rsidRPr="00F74C1D">
        <w:rPr>
          <w:rFonts w:ascii="Times New Roman" w:hAnsi="Times New Roman"/>
        </w:rPr>
        <w:t xml:space="preserve">(compounds </w:t>
      </w:r>
      <w:r w:rsidR="00F470A6" w:rsidRPr="00F74C1D">
        <w:rPr>
          <w:rFonts w:ascii="Times New Roman" w:hAnsi="Times New Roman"/>
          <w:b/>
        </w:rPr>
        <w:t>2</w:t>
      </w:r>
      <w:r w:rsidR="00F470A6" w:rsidRPr="00364C8C">
        <w:rPr>
          <w:rFonts w:ascii="Times New Roman" w:hAnsi="Times New Roman"/>
        </w:rPr>
        <w:t>-</w:t>
      </w:r>
      <w:r w:rsidR="00F470A6" w:rsidRPr="00F74C1D">
        <w:rPr>
          <w:rFonts w:ascii="Times New Roman" w:hAnsi="Times New Roman"/>
          <w:b/>
        </w:rPr>
        <w:t>4</w:t>
      </w:r>
      <w:r w:rsidR="00F470A6" w:rsidRPr="00F74C1D">
        <w:rPr>
          <w:rFonts w:ascii="Times New Roman" w:hAnsi="Times New Roman"/>
        </w:rPr>
        <w:t xml:space="preserve">, </w:t>
      </w:r>
      <w:r w:rsidR="00F470A6" w:rsidRPr="00F74C1D">
        <w:rPr>
          <w:rFonts w:ascii="Times New Roman" w:hAnsi="Times New Roman"/>
          <w:b/>
        </w:rPr>
        <w:t>Fig. 1</w:t>
      </w:r>
      <w:r w:rsidR="00F470A6" w:rsidRPr="00F74C1D">
        <w:rPr>
          <w:rFonts w:ascii="Times New Roman" w:hAnsi="Times New Roman"/>
        </w:rPr>
        <w:t xml:space="preserve">) </w:t>
      </w:r>
      <w:r w:rsidRPr="00F74C1D">
        <w:rPr>
          <w:rFonts w:ascii="Times New Roman" w:hAnsi="Times New Roman"/>
        </w:rPr>
        <w:fldChar w:fldCharType="begin" w:fldLock="1"/>
      </w:r>
      <w:r w:rsidRPr="00F74C1D">
        <w:rPr>
          <w:rFonts w:ascii="Times New Roman" w:hAnsi="Times New Roman"/>
        </w:rPr>
        <w:instrText>ADDIN CSL_CITATION {"citationItems":[{"id":"ITEM-1","itemData":{"DOI":"10.3390/ijms222111336","ISSN":"14220067","PMID":"34768766","abstract":"Tyrosyl</w:instrText>
      </w:r>
      <w:r w:rsidRPr="00F74C1D">
        <w:rPr>
          <w:rFonts w:ascii="Cambria Math" w:hAnsi="Cambria Math" w:cs="Cambria Math"/>
        </w:rPr>
        <w:instrText>‐</w:instrText>
      </w:r>
      <w:r w:rsidRPr="00F74C1D">
        <w:rPr>
          <w:rFonts w:ascii="Times New Roman" w:hAnsi="Times New Roman"/>
        </w:rPr>
        <w:instrText>DNA phosphodiesterase 1 (TDP1) catalyzes the cleavage of the phosphodiester bond between the tyrosine residue of topoisomerase 1 (TOP1) and the 3′ phosphate of DNA in the single</w:instrText>
      </w:r>
      <w:r w:rsidRPr="00F74C1D">
        <w:rPr>
          <w:rFonts w:ascii="Cambria Math" w:hAnsi="Cambria Math" w:cs="Cambria Math"/>
        </w:rPr>
        <w:instrText>‐</w:instrText>
      </w:r>
      <w:r w:rsidRPr="00F74C1D">
        <w:rPr>
          <w:rFonts w:ascii="Times New Roman" w:hAnsi="Times New Roman"/>
        </w:rPr>
        <w:instrText>strand break generated by TOP1. TDP1 promotes the cleavage of the stable DNA–TOP1 complexes with the TOP1 inhibitor topotecan, which is a clinically used anticancer drug. This article reports the synthesis and study of usnic acid thioether and sulfoxide derivatives that efficiently suppress TDP1 activity, with IC50 values in the 1.4–25.2 μM range. The structure of the heterocyclic substituent introduced into the dibenzofuran core affects the TDP1 inhibitory efficiency of the com-pounds. A five</w:instrText>
      </w:r>
      <w:r w:rsidRPr="00F74C1D">
        <w:rPr>
          <w:rFonts w:ascii="Cambria Math" w:hAnsi="Cambria Math" w:cs="Cambria Math"/>
        </w:rPr>
        <w:instrText>‐</w:instrText>
      </w:r>
      <w:r w:rsidRPr="00F74C1D">
        <w:rPr>
          <w:rFonts w:ascii="Times New Roman" w:hAnsi="Times New Roman"/>
        </w:rPr>
        <w:instrText>membered heterocyclic fragment was shown to be most pharmacophoric among the others. Sulfoxide derivatives were less cytotoxic than their thioester analogs. We observed an un-competitive type of inhibition for the four most effective inhibitors of TDP1. The anticancer effect of TOP1 inhibitors can be enhanced by the simultaneous inhibition of PARP1, TDP1, and TDP2. Some of the compounds inhibited not only TDP1 but also TDP2 and/or PARP1, but at significantly higher concentration ranges than TDP1. Leader compound 10a showed promising synergy on HeLa cells in conjunction with the TOP1 inhibitor topotecan.","author":[{"dropping-particle":"","family":"Dyrkheeva","given":"Nadezhda S.","non-dropping-particle":"","parse-names":false,"suffix":""},{"dropping-particle":"","family":"Filimonov","given":"Aleksandr S.","non-dropping-particle":"","parse-names":false,"suffix":""},{"dropping-particle":"","family":"Luzina","given":"Olga A.","non-dropping-particle":"","parse-names":false,"suffix":""},{"dropping-particle":"","family":"Orlova","given":"Kristina A.","non-dropping-particle":"","parse-names":false,"suffix":""},{"dropping-particle":"","family":"Chernyshova","given":"Irina A.","non-dropping-particle":"","parse-names":false,"suffix":""},{"dropping-particle":"","family":"Kornienko","given":"Tatyana E.","non-dropping-particle":"","parse-names":false,"suffix":""},{"dropping-particle":"","family":"Malakhova","given":"Anastasia A.","non-dropping-particle":"","parse-names":false,"suffix":""},{"dropping-particle":"","family":"Medvedev","given":"Sergey P.","non-dropping-particle":"","parse-names":false,"suffix":""},{"dropping-particle":"","family":"Zakharenko","given":"Alexandra L.","non-dropping-particle":"","parse-names":false,"suffix":""},{"dropping-particle":"","family":"Ilina","given":"Ekaterina S.","non-dropping-particle":"","parse-names":false,"suffix":""},{"dropping-particle":"","family":"Anarbaev","given":"Rashid O.","non-dropping-particle":"","parse-names":false,"suffix":""},{"dropping-particle":"","family":"Naumenko","given":"Konstantin N.","non-dropping-particle":"","parse-names":false,"suffix":""},{"dropping-particle":"V.","family":"Klabenkova","given":"Kristina","non-dropping-particle":"","parse-names":false,"suffix":""},{"dropping-particle":"","family":"Burakova","given":"Ekaterina A.","non-dropping-particle":"","parse-names":false,"suffix":""},{"dropping-particle":"","family":"Stetsenko","given":"Dmitry A.","non-dropping-particle":"","parse-names":false,"suffix":""},{"dropping-particle":"","family":"Zakian","given":"Suren M.","non-dropping-particle":"","parse-names":false,"suffix":""},{"dropping-particle":"","family":"Salakhutdinov","given":"Nariman F.","non-dropping-particle":"","parse-names":false,"suffix":""},{"dropping-particle":"","family":"Lavrik","given":"Olga I.","non-dropping-particle":"","parse-names":false,"suffix":""}],"container-title":"International Journal of Molecular Sciences","id":"ITEM-1","issue":"21","issued":{"date-parts":[["2021"]]},"title":"New hybrid compounds combining fragments of usnic acid and thioether are inhibitors of human enzymes TDP1, TDP2 and PARP1","type":"article-journal","volume":"22"},"uris":["http://www.mendeley.com/documents/?uuid=8854e889-9538-4b71-b408-b9cbcfb36a51"]}],"mendeley":{"formattedCitation":"[11]","manualFormatting":"[11,","plainTextFormattedCitation":"[11]","previouslyFormattedCitation":"[11]"},"properties":{"noteIndex":0},"schema":"https://github.com/citation-style-language/schema/raw/master/csl-citation.json"}</w:instrText>
      </w:r>
      <w:r w:rsidRPr="00F74C1D">
        <w:rPr>
          <w:rFonts w:ascii="Times New Roman" w:hAnsi="Times New Roman"/>
        </w:rPr>
        <w:fldChar w:fldCharType="separate"/>
      </w:r>
      <w:r w:rsidRPr="00F74C1D">
        <w:rPr>
          <w:rFonts w:ascii="Times New Roman" w:hAnsi="Times New Roman"/>
          <w:noProof/>
        </w:rPr>
        <w:t>[11,</w:t>
      </w:r>
      <w:r w:rsidRPr="00F74C1D">
        <w:rPr>
          <w:rFonts w:ascii="Times New Roman" w:hAnsi="Times New Roman"/>
        </w:rPr>
        <w:fldChar w:fldCharType="end"/>
      </w:r>
      <w:r w:rsidRPr="00F74C1D">
        <w:rPr>
          <w:rFonts w:ascii="Times New Roman" w:hAnsi="Times New Roman"/>
        </w:rPr>
        <w:fldChar w:fldCharType="begin" w:fldLock="1"/>
      </w:r>
      <w:r w:rsidRPr="00F74C1D">
        <w:rPr>
          <w:rFonts w:ascii="Times New Roman" w:hAnsi="Times New Roman"/>
        </w:rPr>
        <w:instrText>ADDIN CSL_CITATION {"citationItems":[{"id":"ITEM-1","itemData":{"DOI":"10.3390/biom11070973","ISSN":"2218273X","PMID":"34356597","abstract":"Usnic acid (UA) is a secondary metabolite of lichens that exhibits a wide range of biological activities. Previously, we found that UA derivatives are effective inhibitors of tyrosyl-DNA phosphodiesterase 1 (TDP1). It can remove covalent complex DNA-topoisomerase 1 (TOP1) stabi-lized by the TOP1 inhibitor topotecan, neutralizing the effect of the drugs. TDP1 removes damage at the 3′ end of DNA caused by other anticancer agents. Thus, TDP1 is a promising therapeutic target for the development of drug combinations with topotecan, as well as other drugs for cancer treatment. Ten new UA enamino derivatives with variation in the terpene fragment and substituent of the UA backbone were synthesized and tested as TDP1 inhibitors. Four compounds, 11a-d, had IC50 values in the 0.23–0.40 μM range. Molecular modelling showed that 11a-d, with relatively short aliphatic chains, fit to the important binding domains. The intrinsic cytotoxicity of 11a-d was tested on two human cell lines. The compounds had low cytotoxicity with CC50 ≥ 60 μM for both cell lines. 11a and 11c had high inhibition efficacy and low cytotoxicity, and they enhanced topotecan’s cyto-toxicity in cancerous HeLa cells but reduced it in the non-cancerous HEK293A cells. This “protec-tive” effect from topotecan on non-cancerous cells requires further investigation.","author":[{"dropping-particle":"","family":"Dyrkheeva","given":"Nadezhda S.","non-dropping-particle":"","parse-names":false,"suffix":""},{"dropping-particle":"","family":"Filimonov","given":"Aleksandr S.","non-dropping-particle":"","parse-names":false,"suffix":""},{"dropping-particle":"","family":"Luzina","given":"Olga A.","non-dropping-particle":"","parse-names":false,"suffix":""},{"dropping-particle":"","family":"Zakharenko","given":"Alexandra L.","non-dropping-particle":"","parse-names":false,"suffix":""},{"dropping-particle":"","family":"Ilina","given":"Ekaterina S.","non-dropping-particle":"","parse-names":false,"suffix":""},{"dropping-particle":"","family":"Malakhova","given":"Anastasia A.","non-dropping-particle":"","parse-names":false,"suffix":""},{"dropping-particle":"","family":"Medvedev","given":"Sergey P.","non-dropping-particle":"","parse-names":false,"suffix":""},{"dropping-particle":"","family":"Reynisson","given":"Jóhannes","non-dropping-particle":"","parse-names":false,"suffix":""},{"dropping-particle":"","family":"Volcho","given":"Konstantin P.","non-dropping-particle":"","parse-names":false,"suffix":""},{"dropping-particle":"","family":"Zakian","given":"Suren M.","non-dropping-particle":"","parse-names":false,"suffix":""},{"dropping-particle":"","family":"Salakhutdinov","given":"Nariman F.","non-dropping-particle":"","parse-names":false,"suffix":""},{"dropping-particle":"","family":"Lavrik","given":"Olga I.","non-dropping-particle":"","parse-names":false,"suffix":""}],"container-title":"Biomolecules","id":"ITEM-1","issue":"7","issued":{"date-parts":[["2021"]]},"page":"1-23","title":"New hybrid compounds combining fragments of usnic acid and monoterpenoids for effective tyrosyl-dna phosphodiesterase 1 inhibition","type":"article-journal","volume":"11"},"uris":["http://www.mendeley.com/documents/?uuid=6d9dacb3-cd57-43e7-a423-d254c0d0eeae"]}],"mendeley":{"formattedCitation":"[12]","manualFormatting":"12]","plainTextFormattedCitation":"[12]","previouslyFormattedCitation":"[12]"},"properties":{"noteIndex":0},"schema":"https://github.com/citation-style-language/schema/raw/master/csl-citation.json"}</w:instrText>
      </w:r>
      <w:r w:rsidRPr="00F74C1D">
        <w:rPr>
          <w:rFonts w:ascii="Times New Roman" w:hAnsi="Times New Roman"/>
        </w:rPr>
        <w:fldChar w:fldCharType="separate"/>
      </w:r>
      <w:r w:rsidRPr="00F74C1D">
        <w:rPr>
          <w:rFonts w:ascii="Times New Roman" w:hAnsi="Times New Roman"/>
          <w:noProof/>
        </w:rPr>
        <w:t>12]</w:t>
      </w:r>
      <w:r w:rsidRPr="00F74C1D">
        <w:rPr>
          <w:rFonts w:ascii="Times New Roman" w:hAnsi="Times New Roman"/>
        </w:rPr>
        <w:fldChar w:fldCharType="end"/>
      </w:r>
      <w:r w:rsidRPr="00F74C1D">
        <w:rPr>
          <w:rFonts w:ascii="Times New Roman" w:hAnsi="Times New Roman"/>
        </w:rPr>
        <w:t xml:space="preserve">. </w:t>
      </w:r>
      <w:r w:rsidR="008F33FC">
        <w:rPr>
          <w:rFonts w:ascii="Times New Roman" w:hAnsi="Times New Roman"/>
        </w:rPr>
        <w:t>Of these</w:t>
      </w:r>
      <w:r w:rsidRPr="00F74C1D">
        <w:rPr>
          <w:rFonts w:ascii="Times New Roman" w:hAnsi="Times New Roman"/>
        </w:rPr>
        <w:t xml:space="preserve">, thiazoles with two substituents (compounds </w:t>
      </w:r>
      <w:r w:rsidRPr="00F74C1D">
        <w:rPr>
          <w:rFonts w:ascii="Times New Roman" w:hAnsi="Times New Roman"/>
          <w:b/>
        </w:rPr>
        <w:t>2</w:t>
      </w:r>
      <w:r w:rsidRPr="00F74C1D">
        <w:rPr>
          <w:rFonts w:ascii="Times New Roman" w:hAnsi="Times New Roman"/>
        </w:rPr>
        <w:t xml:space="preserve"> and </w:t>
      </w:r>
      <w:r w:rsidRPr="00F74C1D">
        <w:rPr>
          <w:rFonts w:ascii="Times New Roman" w:hAnsi="Times New Roman"/>
          <w:b/>
        </w:rPr>
        <w:t>3</w:t>
      </w:r>
      <w:r w:rsidRPr="00F74C1D">
        <w:rPr>
          <w:rFonts w:ascii="Times New Roman" w:hAnsi="Times New Roman"/>
        </w:rPr>
        <w:t xml:space="preserve">) showed the best activity </w:t>
      </w:r>
      <w:r w:rsidR="008F33FC">
        <w:rPr>
          <w:rFonts w:ascii="Times New Roman" w:hAnsi="Times New Roman"/>
        </w:rPr>
        <w:t>in the</w:t>
      </w:r>
      <w:r w:rsidR="008F33FC" w:rsidRPr="00F74C1D">
        <w:rPr>
          <w:rFonts w:ascii="Times New Roman" w:hAnsi="Times New Roman"/>
        </w:rPr>
        <w:t xml:space="preserve"> </w:t>
      </w:r>
      <w:r w:rsidR="008F33FC">
        <w:rPr>
          <w:rFonts w:ascii="Times New Roman" w:hAnsi="Times New Roman"/>
        </w:rPr>
        <w:t xml:space="preserve">double-digit </w:t>
      </w:r>
      <w:r w:rsidRPr="00F74C1D">
        <w:rPr>
          <w:rFonts w:ascii="Times New Roman" w:hAnsi="Times New Roman"/>
        </w:rPr>
        <w:t xml:space="preserve">nanomolar region. In addition, the presence of </w:t>
      </w:r>
      <w:r w:rsidR="008F33FC">
        <w:rPr>
          <w:rFonts w:ascii="Times New Roman" w:hAnsi="Times New Roman"/>
        </w:rPr>
        <w:t xml:space="preserve">a </w:t>
      </w:r>
      <w:r w:rsidRPr="00F74C1D">
        <w:rPr>
          <w:rFonts w:ascii="Times New Roman" w:hAnsi="Times New Roman"/>
        </w:rPr>
        <w:t xml:space="preserve">monoterpene moiety results in </w:t>
      </w:r>
      <w:r w:rsidR="008F33FC">
        <w:rPr>
          <w:rFonts w:ascii="Times New Roman" w:hAnsi="Times New Roman"/>
        </w:rPr>
        <w:t>improved</w:t>
      </w:r>
      <w:r w:rsidRPr="00F74C1D">
        <w:rPr>
          <w:rFonts w:ascii="Times New Roman" w:hAnsi="Times New Roman"/>
        </w:rPr>
        <w:t xml:space="preserve"> activity (compound </w:t>
      </w:r>
      <w:r w:rsidRPr="00F74C1D">
        <w:rPr>
          <w:rFonts w:ascii="Times New Roman" w:hAnsi="Times New Roman"/>
          <w:b/>
        </w:rPr>
        <w:t>3</w:t>
      </w:r>
      <w:r w:rsidRPr="00F74C1D">
        <w:rPr>
          <w:rFonts w:ascii="Times New Roman" w:hAnsi="Times New Roman"/>
        </w:rPr>
        <w:t>, IC</w:t>
      </w:r>
      <w:r w:rsidRPr="00F74C1D">
        <w:rPr>
          <w:rFonts w:ascii="Times New Roman" w:hAnsi="Times New Roman"/>
          <w:vertAlign w:val="subscript"/>
        </w:rPr>
        <w:t>50</w:t>
      </w:r>
      <w:r w:rsidRPr="00F74C1D">
        <w:rPr>
          <w:rFonts w:ascii="Times New Roman" w:hAnsi="Times New Roman"/>
        </w:rPr>
        <w:t xml:space="preserve"> 16 </w:t>
      </w:r>
      <w:proofErr w:type="spellStart"/>
      <w:r w:rsidRPr="00F74C1D">
        <w:rPr>
          <w:rFonts w:ascii="Times New Roman" w:hAnsi="Times New Roman"/>
        </w:rPr>
        <w:t>nM</w:t>
      </w:r>
      <w:proofErr w:type="spellEnd"/>
      <w:r w:rsidRPr="00F74C1D">
        <w:rPr>
          <w:rFonts w:ascii="Times New Roman" w:hAnsi="Times New Roman"/>
        </w:rPr>
        <w:t xml:space="preserve">) </w:t>
      </w:r>
      <w:r w:rsidRPr="00F74C1D">
        <w:rPr>
          <w:rFonts w:ascii="Times New Roman" w:hAnsi="Times New Roman"/>
          <w:vertAlign w:val="superscript"/>
        </w:rPr>
        <w:fldChar w:fldCharType="begin" w:fldLock="1"/>
      </w:r>
      <w:r w:rsidRPr="00F74C1D">
        <w:rPr>
          <w:rFonts w:ascii="Times New Roman" w:hAnsi="Times New Roman"/>
        </w:rPr>
        <w:instrText>ADDIN CSL_CITATION {"citationItems":[{"id":"ITEM-1","itemData":{"DOI":"10.1021/jm3008773","ISSN":"00222623","PMID":"23006064","abstract":"Tyrosyl-DNA phosphodiesterase I (Tdp1) is a cellular enzyme that repairs the irreversible topoisomerase I (Top1)-DNA complexes and confers chemotherapeutic resistance to Top1 inhibitors. Inhibiting Tdp1 provides an attractive approach to potentiating clinically used Top1 inhibitors. However, despite recent efforts in studying Tdp1 as a therapeutic target, its inhibition remains poorly understood and largely underexplored. We describe herein the discovery of arylidene thioxothiazolidinone as a scaffold for potent Tdp1 inhibitors based on an initial tyrphostin lead compound 8. Through structure-activity relationship (SAR) studies we demonstrated that arylidene thioxothiazolidinones inhibit Tdp1 and identified compound 50 as a submicromolar inhibitor of Tdp1 (IC50 = 0.87 μM). Molecular modeling provided insight into key interactions essential for observed activities. Some derivatives were also active against endogenous Tdp1 in whole cell extracts. These findings contribute to advancing the understanding on Tdp1 inhibition. © 2012 American Chemical Society.","author":[{"dropping-particle":"","family":"Sirivolu","given":"Venkata Ramana","non-dropping-particle":"","parse-names":false,"suffix":""},{"dropping-particle":"V.","family":"Vernekar","given":"Sanjeev Kumar","non-dropping-particle":"","parse-names":false,"suffix":""},{"dropping-particle":"","family":"Marchand","given":"Christophe","non-dropping-particle":"","parse-names":false,"suffix":""},{"dropping-particle":"","family":"Naumova","given":"Alena","non-dropping-particle":"","parse-names":false,"suffix":""},{"dropping-particle":"","family":"Chergui","given":"Adel","non-dropping-particle":"","parse-names":false,"suffix":""},{"dropping-particle":"","family":"Renaud","given":"Amelie","non-dropping-particle":"","parse-names":false,"suffix":""},{"dropping-particle":"","family":"Stephen","given":"Andrew G.","non-dropping-particle":"","parse-names":false,"suffix":""},{"dropping-particle":"","family":"Chen","given":"Feng","non-dropping-particle":"","parse-names":false,"suffix":""},{"dropping-particle":"","family":"Sham","given":"Yuk Y.","non-dropping-particle":"","parse-names":false,"suffix":""},{"dropping-particle":"","family":"Pommier","given":"Yves","non-dropping-particle":"","parse-names":false,"suffix":""},{"dropping-particle":"","family":"Wang","given":"Zhengqiang","non-dropping-particle":"","parse-names":false,"suffix":""}],"container-title":"Journal of Medicinal Chemistry","id":"ITEM-1","issue":"20","issued":{"date-parts":[["2012"]]},"page":"8671-8684","title":"5-Arylidenethioxothiazolidinones as Inhibitors of Tyrosyl-DNA Phosphodiesterase i","type":"article-journal","volume":"55"},"uris":["http://www.mendeley.com/documents/?uuid=ea54cc41-e9fb-49aa-9b03-a22be505a492"]},{"id":"ITEM-2","itemData":{"DOI":"10.3390/ijms222111336","ISSN":"14220067","PMID":"34768766","abstract":"Tyrosyl</w:instrText>
      </w:r>
      <w:r w:rsidRPr="00F74C1D">
        <w:rPr>
          <w:rFonts w:ascii="Cambria Math" w:hAnsi="Cambria Math" w:cs="Cambria Math"/>
        </w:rPr>
        <w:instrText>‐</w:instrText>
      </w:r>
      <w:r w:rsidRPr="00F74C1D">
        <w:rPr>
          <w:rFonts w:ascii="Times New Roman" w:hAnsi="Times New Roman"/>
        </w:rPr>
        <w:instrText>DNA phosphodiesterase 1 (TDP1) catalyzes the cleavage of the phosphodiester bond between the tyrosine residue of topoisomerase 1 (TOP1) and the 3′ phosphate of DNA in the single</w:instrText>
      </w:r>
      <w:r w:rsidRPr="00F74C1D">
        <w:rPr>
          <w:rFonts w:ascii="Cambria Math" w:hAnsi="Cambria Math" w:cs="Cambria Math"/>
        </w:rPr>
        <w:instrText>‐</w:instrText>
      </w:r>
      <w:r w:rsidRPr="00F74C1D">
        <w:rPr>
          <w:rFonts w:ascii="Times New Roman" w:hAnsi="Times New Roman"/>
        </w:rPr>
        <w:instrText>strand break generated by TOP1. TDP1 promotes the cleavage of the stable DNA–TOP1 complexes with the TOP1 inhibitor topotecan, which is a clinically used anticancer drug. This article reports the synthesis and study of usnic acid thioether and sulfoxide derivatives that efficiently suppress TDP1 activity, with IC50 values in the 1.4–25.2 μM range. The structure of the heterocyclic substituent introduced into the dibenzofuran core affects the TDP1 inhibitory efficiency of the com-pounds. A five</w:instrText>
      </w:r>
      <w:r w:rsidRPr="00F74C1D">
        <w:rPr>
          <w:rFonts w:ascii="Cambria Math" w:hAnsi="Cambria Math" w:cs="Cambria Math"/>
        </w:rPr>
        <w:instrText>‐</w:instrText>
      </w:r>
      <w:r w:rsidRPr="00F74C1D">
        <w:rPr>
          <w:rFonts w:ascii="Times New Roman" w:hAnsi="Times New Roman"/>
        </w:rPr>
        <w:instrText>membered heterocyclic fragment was shown to be most pharmacophoric among the others. Sulfoxide derivatives were less cytotoxic than their thioester analogs. We observed an un-competitive type of inhibition for the four most effective inhibitors of TDP1. The anticancer effect of TOP1 inhibitors can be enhanced by the simultaneous inhibition of PARP1, TDP1, and TDP2. Some of the compounds inhibited not only TDP1 but also TDP2 and/or PARP1, but at significantly higher concentration ranges than TDP1. Leader compound 10a showed promising synergy on HeLa cells in conjunction with the TOP1 inhibitor topotecan.","author":[{"dropping-particle":"","family":"Dyrkheeva","given":"Nadezhda S.","non-dropping-particle":"","parse-names":false,"suffix":""},{"dropping-particle":"","family":"Filimonov","given":"Aleksandr S.","non-dropping-particle":"","parse-names":false,"suffix":""},{"dropping-particle":"","family":"Luzina","given":"Olga A.","non-dropping-particle":"","parse-names":false,"suffix":""},{"dropping-particle":"","family":"Orlova","given":"Kristina A.","non-dropping-particle":"","parse-names":false,"suffix":""},{"dropping-particle":"","family":"Chernyshova","given":"Irina A.","non-dropping-particle":"","parse-names":false,"suffix":""},{"dropping-particle":"","family":"Kornienko","given":"Tatyana E.","non-dropping-particle":"","parse-names":false,"suffix":""},{"dropping-particle":"","family":"Malakhova","given":"Anastasia A.","non-dropping-particle":"","parse-names":false,"suffix":""},{"dropping-particle":"","family":"Medvedev","given":"Sergey P.","non-dropping-particle":"","parse-names":false,"suffix":""},{"dropping-particle":"","family":"Zakharenko","given":"Alexandra L.","non-dropping-particle":"","parse-names":false,"suffix":""},{"dropping-particle":"","family":"Ilina","given":"Ekaterina S.","non-dropping-particle":"","parse-names":false,"suffix":""},{"dropping-particle":"","family":"Anarbaev","given":"Rashid O.","non-dropping-particle":"","parse-names":false,"suffix":""},{"dropping-particle":"","family":"Naumenko","given":"Konstantin N.","non-dropping-particle":"","parse-names":false,"suffix":""},{"dropping-particle":"V.","family":"Klabenkova","given":"Kristina","non-dropping-particle":"","parse-names":false,"suffix":""},{"dropping-particle":"","family":"Burakova","given":"Ekaterina A.","non-dropping-particle":"","parse-names":false,"suffix":""},{"dropping-particle":"","family":"Stetsenko","given":"Dmitry A.","non-dropping-particle":"","parse-names":false,"suffix":""},{"dropping-particle":"","family":"Zakian","given":"Suren M.","non-dropping-particle":"","parse-names":false,"suffix":""},{"dropping-particle":"","family":"Salakhutdinov","given":"Nariman F.","non-dropping-particle":"","parse-names":false,"suffix":""},{"dropping-particle":"","family":"Lavrik","given":"Olga I.","non-dropping-particle":"","parse-names":false,"suffix":""}],"container-title":"International Journal of Molecular Sciences","id":"ITEM-2","issue":"21","issued":{"date-parts":[["2021"]]},"title":"New hybrid compounds combining fragments of usnic acid and thioether are inhibitors of human enzymes TDP1, TDP2 and PARP1","type":"article-journal","volume":"22"},"uris":["http://www.mendeley.com/documents/?uuid=8854e889-9538-4b71-b408-b9cbcfb36a51"]}],"mendeley":{"formattedCitation":"[10,11]","plainTextFormattedCitation":"[10,11]","previouslyFormattedCitation":"[10,11]"},"properties":{"noteIndex":0},"schema":"https://github.com/citation-style-language/schema/raw/master/csl-citation.json"}</w:instrText>
      </w:r>
      <w:r w:rsidRPr="00F74C1D">
        <w:rPr>
          <w:rFonts w:ascii="Times New Roman" w:hAnsi="Times New Roman"/>
          <w:vertAlign w:val="superscript"/>
        </w:rPr>
        <w:fldChar w:fldCharType="separate"/>
      </w:r>
      <w:r w:rsidRPr="00F74C1D">
        <w:rPr>
          <w:rFonts w:ascii="Times New Roman" w:hAnsi="Times New Roman"/>
          <w:bCs/>
          <w:noProof/>
        </w:rPr>
        <w:t>[10,11]</w:t>
      </w:r>
      <w:r w:rsidRPr="00F74C1D">
        <w:rPr>
          <w:rFonts w:ascii="Times New Roman" w:hAnsi="Times New Roman"/>
        </w:rPr>
        <w:fldChar w:fldCharType="end"/>
      </w:r>
      <w:r w:rsidRPr="00F74C1D">
        <w:rPr>
          <w:rFonts w:ascii="Times New Roman" w:hAnsi="Times New Roman"/>
        </w:rPr>
        <w:t xml:space="preserve">. </w:t>
      </w:r>
      <w:r w:rsidR="008F33FC">
        <w:rPr>
          <w:rFonts w:ascii="Times New Roman" w:hAnsi="Times New Roman"/>
        </w:rPr>
        <w:t>Finally,</w:t>
      </w:r>
      <w:r w:rsidR="00F470A6">
        <w:rPr>
          <w:rFonts w:ascii="Times New Roman" w:hAnsi="Times New Roman"/>
        </w:rPr>
        <w:t xml:space="preserve"> m</w:t>
      </w:r>
      <w:r w:rsidRPr="00F74C1D">
        <w:rPr>
          <w:rFonts w:ascii="Times New Roman" w:hAnsi="Times New Roman"/>
        </w:rPr>
        <w:t xml:space="preserve">onoterpenoids are often used as starting </w:t>
      </w:r>
      <w:r w:rsidR="00CA7D16">
        <w:rPr>
          <w:rFonts w:ascii="Times New Roman" w:hAnsi="Times New Roman"/>
        </w:rPr>
        <w:t>material</w:t>
      </w:r>
      <w:r w:rsidR="00CA7D16" w:rsidRPr="00F74C1D">
        <w:rPr>
          <w:rFonts w:ascii="Times New Roman" w:hAnsi="Times New Roman"/>
        </w:rPr>
        <w:t xml:space="preserve"> </w:t>
      </w:r>
      <w:r w:rsidRPr="00F74C1D">
        <w:rPr>
          <w:rFonts w:ascii="Times New Roman" w:hAnsi="Times New Roman"/>
        </w:rPr>
        <w:t>for the synthesis of potent TDP1 inhibitors</w:t>
      </w:r>
      <w:r w:rsidRPr="00F74C1D">
        <w:rPr>
          <w:rFonts w:ascii="Times New Roman" w:hAnsi="Times New Roman"/>
          <w:vertAlign w:val="superscript"/>
        </w:rPr>
        <w:t xml:space="preserve"> </w:t>
      </w:r>
      <w:r w:rsidRPr="00F74C1D">
        <w:rPr>
          <w:rFonts w:ascii="Times New Roman" w:hAnsi="Times New Roman"/>
          <w:vertAlign w:val="superscript"/>
        </w:rPr>
        <w:fldChar w:fldCharType="begin" w:fldLock="1"/>
      </w:r>
      <w:r w:rsidR="00131813">
        <w:rPr>
          <w:rFonts w:ascii="Times New Roman" w:hAnsi="Times New Roman"/>
          <w:vertAlign w:val="superscript"/>
        </w:rPr>
        <w:instrText>ADDIN CSL_CITATION {"citationItems":[{"id":"ITEM-1","itemData":{"DOI":"10.3390/ijms21010126","ISSN":"14220067","PMID":"31878088","abstract":"Tyrosyl-DNA phosphodiesterase 1 (Tdp1) is an important DNA repair enzyme in humans, and a current and promising inhibition target for the development of new chemosensitizing agents due to its ability to remove DNA damage caused by topoisomerase 1 (Top1) poisons such as topotecan and irinotecan. Herein, we report our work on the synthesis and characterization of new Tdp1 inhibitors that combine the arylcoumarin (neoflavonoid) and monoterpenoid moieties. Our results showed that they are potent Tdp1 inhibitors with IC50 values in the submicromolar range. In vivo experiments with mice revealed that compound 3ba (IC50 0.62 μM) induced a significant increase in the antitumor effect of topotecan on the Krebs-2 ascites tumor model. Our results further strengthen the argument that Tdp1 is a druggable target with the potential to be developed into a clinically-potent adjunct therapy in conjunction with Top1 poisons.","author":[{"dropping-particle":"","family":"Khomenko","given":"Tatyana M.","non-dropping-particle":"","parse-names":false,"suffix":""},{"dropping-particle":"","family":"Zakharenko","given":"Alexandra L.","non-dropping-particle":"","parse-names":false,"suffix":""},{"dropping-particle":"","family":"Chepanova","given":"Arina A.","non-dropping-particle":"","parse-names":false,"suffix":""},{"dropping-particle":"","family":"Ilina","given":"Ekaterina S.","non-dropping-particle":"","parse-names":false,"suffix":""},{"dropping-particle":"","family":"Zakharova","given":"Olga D.","non-dropping-particle":"","parse-names":false,"suffix":""},{"dropping-particle":"","family":"Kaledin","given":"Vasily I.","non-dropping-particle":"","parse-names":false,"suffix":""},{"dropping-particle":"","family":"Nikolin","given":"Valeriy P.","non-dropping-particle":"","parse-names":false,"suffix":""},{"dropping-particle":"","family":"Popova","given":"Nelly A.","non-dropping-particle":"","parse-names":false,"suffix":""},{"dropping-particle":"V.","family":"Korchagina","given":"Dina","non-dropping-particle":"","parse-names":false,"suffix":""},{"dropping-particle":"","family":"Reynisson","given":"Jóhannes","non-dropping-particle":"","parse-names":false,"suffix":""},{"dropping-particle":"","family":"Chand","given":"Raina","non-dropping-particle":"","parse-names":false,"suffix":""},{"dropping-particle":"","family":"Ayine-tora","given":"Daniel M.","non-dropping-particle":"","parse-names":false,"suffix":""},{"dropping-particle":"","family":"Patel","given":"Jinal","non-dropping-particle":"","parse-names":false,"suffix":""},{"dropping-particle":"","family":"Leung","given":"Ivanhoe K.H.","non-dropping-particle":"","parse-names":false,"suffix":""},{"dropping-particle":"","family":"Volcho","given":"Konstantin P.","non-dropping-particle":"","parse-names":false,"suffix":""},{"dropping-particle":"","family":"Salakhutdinov","given":"Nariman F.","non-dropping-particle":"","parse-names":false,"suffix":""},{"dropping-particle":"","family":"Lavrik","given":"Olga I.","non-dropping-particle":"","parse-names":false,"suffix":""}],"container-title":"International Journal of Molecular Sciences","id":"ITEM-1","issue":"1","issued":{"date-parts":[["2020"]]},"title":"Promising new inhibitors of tyrosyl-DNA phosphodiesterase I (Tdp 1) combining 4- arylcoumarin and monoterpenoid moieties as components of complex antitumor therapy","type":"article-journal","volume":"21"},"uris":["http://www.mendeley.com/documents/?uuid=ce1b2e1a-6783-4a24-bc27-780e3a5a52c7"]},{"id":"ITEM-2","itemData":{"DOI":"10.1021/acs.jnatprod.9b01089","ISSN":"15206025","PMID":"32786885","abstract":"Hybrid molecules created from different pharmacophores of natural and synthetic equivalents are successfully used in pharmaceutical practice. One promising target for anticancer therapy is tyrosyl-DNA phosphodiesterase 1 (Tdp1) because it can repair DNA lesions caused by DNA-topoisomerase 1 (Top1) inhibitors, resulting in drug resistance. In this study, new hybrid compounds were synthesized by combining the pharmacophoric moiety of a set of natural compounds with inhibitory properties against Tdp1, particularly, phenolic usnic acid and a set of different monoterpenoid fragments. These fragments were connected through a hydrazinothiazole linker. The inhibitory properties of the new compounds mainly depended on the structure of the terpenoid moieties. The two most potent compounds, 9a and 9b, were synthesized from citral and citronellal, which contain acyclic fragments with IC50 values in the range of 10-16 nM. Some synthesized derivatives showed low cytotoxicity against HeLa cells and increased the effect of the Top1 inhibitor topotecan in vitro by three to seven times. These derivatives may be considered as potential agents for the development of anticancer therapies when combined with Top1 inhibitors.","author":[{"dropping-particle":"","family":"Luzina","given":"Olga","non-dropping-particle":"","parse-names":false,"suffix":""},{"dropping-particle":"","family":"Filimonov","given":"Alexander","non-dropping-particle":"","parse-names":false,"suffix":""},{"dropping-particle":"","family":"Zakharenko","given":"Alexandra","non-dropping-particle":"","parse-names":false,"suffix":""},{"dropping-particle":"","family":"Chepanova","given":"Arina","non-dropping-particle":"","parse-names":false,"suffix":""},{"dropping-particle":"","family":"Zakharova","given":"Olga","non-dropping-particle":"","parse-names":false,"suffix":""},{"dropping-particle":"","family":"Ilina","given":"Ekaterina","non-dropping-particle":"","parse-names":false,"suffix":""},{"dropping-particle":"","family":"Dyrkheeva","given":"Nadezhda","non-dropping-particle":"","parse-names":false,"suffix":""},{"dropping-particle":"","family":"Likhatskaya","given":"Galina","non-dropping-particle":"","parse-names":false,"suffix":""},{"dropping-particle":"","family":"Salakhutdinov","given":"Nariman","non-dropping-particle":"","parse-names":false,"suffix":""},{"dropping-particle":"","family":"Lavrik","given":"Olga","non-dropping-particle":"","parse-names":false,"suffix":""}],"container-title":"Journal of Natural Products","id":"ITEM-2","issue":"8","issued":{"date-parts":[["2020"]]},"page":"2320-2329","title":"Usnic Acid Conjugates with Monoterpenoids as Potent Tyrosyl-DNA Phosphodiesterase 1 Inhibitors","type":"article-journal","volume":"83"},"uris":["http://www.mendeley.com/documents/?uuid=25383133-d85d-44fa-bb27-70e1ad851a59"]},{"id":"ITEM-3","itemData":{"DOI":"10.3390/molecules26113128","ISSN":"14203049","PMID":"34073771","abstract":"Tyrosyl-DNA phosphodiesterase 1 (Tdp1) is a promising target for anticancer therapy due to its ability to counter the effects topoisomerase 1 (Top1) poison, such as topotecan, thus, decreasing their efficacy. Compounds containing adamantane and monoterpenoid residues connected via 1,2,4-triazole or 1,3,4-thiadiazole linkers were synthesized and tested against Tdp1. All the derivatives exhibited inhibition at low micromolar or nanomolar concentrations with the most potent inhibitors having IC50 values in the 0.35–0.57 µM range. The cytotoxicity was determined in the HeLa, HCT-116 and SW837 cancer cell lines; moderate CC50 (µM) values were seen from the mid-teens to no effect at 100 µM. Furthermore, citral derivative 20c, α-pinene-derived compounds 20f, 20g and 25c, and the citronellic acid derivative 25b were found to have a sensitizing effect in conjunction with topotecan in the HeLa cervical cancer and colon adenocarcinoma HCT-116 cell lines. The ligands are predicted to bind in the catalytic pocket of Tdp1 and have favorable physicochemical properties for further development as a potential adjunct therapy with Top1 poisons.","author":[{"dropping-particle":"","family":"Munkuev","given":"Aldar A.","non-dropping-particle":"","parse-names":false,"suffix":""},{"dropping-particle":"","family":"Mozhaitsev","given":"Evgenii S.","non-dropping-particle":"","parse-names":false,"suffix":""},{"dropping-particle":"","family":"Chepanova","given":"Arina A.","non-dropping-particle":"","parse-names":false,"suffix":""},{"dropping-particle":"V.","family":"Suslov","given":"Evgeniy","non-dropping-particle":"","parse-names":false,"suffix":""},{"dropping-particle":"V.","family":"Korchagina","given":"Dina","non-dropping-particle":"","parse-names":false,"suffix":""},{"dropping-particle":"","family":"Zakharova","given":"Olga D.","non-dropping-particle":"","parse-names":false,"suffix":""},{"dropping-particle":"","family":"Ilina","given":"Ekaterina S.","non-dropping-particle":"","parse-names":false,"suffix":""},{"dropping-particle":"","family":"Dyrkheeva","given":"Nadezhda S.","non-dropping-particle":"","parse-names":false,"suffix":""},{"dropping-particle":"","family":"Zakharenko","given":"Alexandra L.","non-dropping-particle":"","parse-names":false,"suffix":""},{"dropping-particle":"","family":"Reynisson","given":"Jóhannes","non-dropping-particle":"","parse-names":false,"suffix":""},{"dropping-particle":"","family":"Volcho","given":"Konstantin P.","non-dropping-particle":"","parse-names":false,"suffix":""},{"dropping-particle":"","family":"Salakhutdinov","given":"Nariman F.","non-dropping-particle":"","parse-names":false,"suffix":""},{"dropping-particle":"","family":"Lavrik","given":"Olga I.","non-dropping-particle":"","parse-names":false,"suffix":""}],"container-title":"Molecules","id":"ITEM-3","issue":"11","issued":{"date-parts":[["2021"]]},"page":"1-23","title":"Novel tdp1 inhibitors based on adamantane connected with monoterpene moieties via heterocyclic fragments","type":"article-journal","volume":"26"},"uris":["http://www.mendeley.com/documents/?uuid=ac841ac4-98ae-4efd-a765-b6eaad8e078d"]},{"id":"ITEM-4","itemData":{"author":[{"dropping-particle":"V","family":"Il","given":"Irina","non-dropping-particle":"","parse-names":false,"suffix":""},{"dropping-particle":"","family":"Dyrkheeva","given":"Nadezhda S","non-dropping-particle":"","parse-names":false,"suffix":""},{"dropping-particle":"","family":"Zakharenko","given":"Alexandra L","non-dropping-particle":"","parse-names":false,"suffix":""},{"dropping-particle":"","family":"Sidorenko","given":"Alexander Yu","non-dropping-particle":"","parse-names":false,"suffix":""},{"dropping-particle":"","family":"Li-zhulanov","given":"Nikolay S","non-dropping-particle":"","parse-names":false,"suffix":""},{"dropping-particle":"V","family":"Korchagina","given":"Dina","non-dropping-particle":"","parse-names":false,"suffix":""},{"dropping-particle":"","family":"Chand","given":"Raina","non-dropping-particle":"","parse-names":false,"suffix":""},{"dropping-particle":"","family":"Ayine-tora","given":"Daniel M","non-dropping-particle":"","parse-names":false,"suffix":""},{"dropping-particle":"","family":"Chepanova","given":"Arina A","non-dropping-particle":"","parse-names":false,"suffix":""},{"dropping-particle":"","family":"Zakharova","given":"Olga D","non-dropping-particle":"","parse-names":false,"suffix":""},{"dropping-particle":"","family":"Ilina","given":"Ekaterina S","non-dropping-particle":"","parse-names":false,"suffix":""},{"dropping-particle":"","family":"Reynisson","given":"J","non-dropping-particle":"","parse-names":false,"suffix":""},{"dropping-particle":"","family":"Malakhova","given":"Anastasia A","non-dropping-particle":"","parse-names":false,"suffix":""},{"dropping-particle":"","family":"Medvedev","given":"Sergey P","non-dropping-particle":"","parse-names":false,"suffix":""},{"dropping-particle":"","family":"Zakian","given":"Suren M","non-dropping-particle":"","parse-names":false,"suffix":""},{"dropping-particle":"","family":"Volcho","given":"Konstantin P","non-dropping-particle":"","parse-names":false,"suffix":""},{"dropping-particle":"","family":"Salakhutdinov","given":"Nariman F","non-dropping-particle":"","parse-names":false,"suffix":""},{"dropping-particle":"","family":"Lavrik","given":"Olga I","non-dropping-particle":"","parse-names":false,"suffix":""}],"id":"ITEM-4","issued":{"date-parts":[["2020"]]},"page":"1-22","title":"Design, Synthesis, and Biological Investigation of Novel Classes of 3-Carene-Derived Potent Inhibitors of TDP1","type":"article-journal","volume":"25"},"uris":["http://www.mendeley.com/documents/?uuid=141c3559-f774-4495-b4d5-8cf5154be07b"]},{"id":"ITEM-5","itemData":{"author":[{"dropping-particle":"","family":"Munkuev","given":"Aldar A","non-dropping-particle":"","parse-names":false,"suffix":""},{"dropping-particle":"","family":"Dyrkheeva","given":"Nadezhda S","non-dropping-particle":"","parse-names":false,"suffix":""},{"dropping-particle":"","family":"Kornienko","given":"Tatyana E","non-dropping-particle":"","parse-names":false,"suffix":""},{"dropping-particle":"","family":"Ilina","given":"Ekaterina S","non-dropping-particle":"","parse-names":false,"suffix":""},{"dropping-particle":"","family":"Ivankin","given":"Dmitry I","non-dropping-particle":"","parse-names":false,"suffix":""},{"dropping-particle":"V","family":"Suslov","given":"Evgeniy","non-dropping-particle":"","parse-names":false,"suffix":""},{"dropping-particle":"V","family":"Korchagina","given":"Dina","non-dropping-particle":"","parse-names":false,"suffix":""},{"dropping-particle":"V","family":"Gatilov","given":"Yuriy","non-dropping-particle":"","parse-names":false,"suffix":""},{"dropping-particle":"","family":"Zakharenko","given":"Alexandra L","non-dropping-particle":"","parse-names":false,"suffix":""},{"dropping-particle":"","family":"Malakhova","given":"Anastasia A","non-dropping-particle":"","parse-names":false,"suffix":""},{"dropping-particle":"","family":"Reynisson","given":"J","non-dropping-particle":"","parse-names":false,"suffix":""},{"dropping-particle":"","family":"Volcho","given":"Konstantin P","non-dropping-particle":"","parse-names":false,"suffix":""},{"dropping-particle":"","family":"Salakhutdinov","given":"Nariman F","non-dropping-particle":"","parse-names":false,"suffix":""},{"dropping-particle":"","family":"Lavrik","given":"Olga I","non-dropping-particle":"","parse-names":false,"suffix":""}],"id":"ITEM-5","issued":{"date-parts":[["2022"]]},"title":"Adamantane-Monoterpenoid Conjugates Linked via Heterocyclic Linkers Enhance the Cytotoxic Effect of Topotecan","type":"article-journal"},"uris":["http://www.mendeley.com/documents/?uuid=ac46e653-e131-473a-b1c8-61db56baef9a"]}],"mendeley":{"formattedCitation":"[13–17]","plainTextFormattedCitation":"[13–17]","previouslyFormattedCitation":"[13–17]"},"properties":{"noteIndex":0},"schema":"https://github.com/citation-style-language/schema/raw/master/csl-citation.json"}</w:instrText>
      </w:r>
      <w:r w:rsidRPr="00F74C1D">
        <w:rPr>
          <w:rFonts w:ascii="Times New Roman" w:hAnsi="Times New Roman"/>
          <w:vertAlign w:val="superscript"/>
        </w:rPr>
        <w:fldChar w:fldCharType="separate"/>
      </w:r>
      <w:r w:rsidR="00066076" w:rsidRPr="00066076">
        <w:rPr>
          <w:rFonts w:ascii="Times New Roman" w:hAnsi="Times New Roman"/>
          <w:noProof/>
        </w:rPr>
        <w:t>[13–17]</w:t>
      </w:r>
      <w:r w:rsidRPr="00F74C1D">
        <w:rPr>
          <w:rFonts w:ascii="Times New Roman" w:hAnsi="Times New Roman"/>
          <w:vertAlign w:val="superscript"/>
        </w:rPr>
        <w:fldChar w:fldCharType="end"/>
      </w:r>
      <w:r w:rsidRPr="00F74C1D">
        <w:rPr>
          <w:rFonts w:ascii="Times New Roman" w:hAnsi="Times New Roman"/>
        </w:rPr>
        <w:t>.</w:t>
      </w:r>
    </w:p>
    <w:p w14:paraId="11FFCFEA" w14:textId="77777777" w:rsidR="00F47266" w:rsidRPr="00F74C1D" w:rsidRDefault="00F47266" w:rsidP="00F47266">
      <w:pPr>
        <w:pStyle w:val="MDPI31text"/>
        <w:spacing w:before="60" w:after="60"/>
        <w:ind w:left="0"/>
        <w:jc w:val="center"/>
        <w:rPr>
          <w:rFonts w:ascii="Times New Roman" w:hAnsi="Times New Roman"/>
        </w:rPr>
      </w:pPr>
      <w:r w:rsidRPr="00F74C1D">
        <w:rPr>
          <w:rFonts w:ascii="Times New Roman" w:hAnsi="Times New Roman"/>
        </w:rPr>
        <w:object w:dxaOrig="5760" w:dyaOrig="3495" w14:anchorId="7BA19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74pt" o:ole="">
            <v:imagedata r:id="rId13" o:title=""/>
          </v:shape>
          <o:OLEObject Type="Embed" ProgID="ChemDraw.Document.6.0" ShapeID="_x0000_i1025" DrawAspect="Content" ObjectID="_1722411430" r:id="rId14"/>
        </w:object>
      </w:r>
    </w:p>
    <w:p w14:paraId="1DD7EF8B" w14:textId="77777777" w:rsidR="00F47266" w:rsidRPr="00F74C1D" w:rsidRDefault="00A64F3C" w:rsidP="00F47266">
      <w:pPr>
        <w:pStyle w:val="MDPI31text"/>
        <w:spacing w:before="60" w:after="60"/>
        <w:ind w:left="0"/>
        <w:jc w:val="center"/>
        <w:rPr>
          <w:rFonts w:ascii="Times New Roman" w:hAnsi="Times New Roman"/>
        </w:rPr>
      </w:pPr>
      <w:r w:rsidRPr="00F74C1D">
        <w:rPr>
          <w:rFonts w:ascii="Times New Roman" w:hAnsi="Times New Roman"/>
          <w:b/>
        </w:rPr>
        <w:t>Fig.</w:t>
      </w:r>
      <w:r w:rsidR="00F47266" w:rsidRPr="00F74C1D">
        <w:rPr>
          <w:rFonts w:ascii="Times New Roman" w:hAnsi="Times New Roman"/>
          <w:b/>
        </w:rPr>
        <w:t xml:space="preserve"> 1. </w:t>
      </w:r>
      <w:r w:rsidR="00F47266" w:rsidRPr="00F74C1D">
        <w:rPr>
          <w:rFonts w:ascii="Times New Roman" w:hAnsi="Times New Roman"/>
        </w:rPr>
        <w:t>The molecular structures of known monoterpenoid- and aromatic- derived TDP1 inhibitors.</w:t>
      </w:r>
    </w:p>
    <w:p w14:paraId="000D6F6E" w14:textId="4E4642EB" w:rsidR="00F47266" w:rsidRPr="00F74C1D" w:rsidRDefault="00F47266" w:rsidP="00F47266">
      <w:pPr>
        <w:pStyle w:val="MDPI31text"/>
        <w:spacing w:before="60" w:after="60"/>
        <w:ind w:left="0"/>
        <w:rPr>
          <w:rFonts w:ascii="Times New Roman" w:hAnsi="Times New Roman"/>
        </w:rPr>
      </w:pPr>
      <w:r w:rsidRPr="00F74C1D">
        <w:rPr>
          <w:rFonts w:ascii="Times New Roman" w:hAnsi="Times New Roman"/>
        </w:rPr>
        <w:t>Thiazolidin-4-one</w:t>
      </w:r>
      <w:r w:rsidR="00CA7D16">
        <w:rPr>
          <w:rFonts w:ascii="Times New Roman" w:hAnsi="Times New Roman"/>
        </w:rPr>
        <w:t xml:space="preserve"> is </w:t>
      </w:r>
      <w:r w:rsidR="008F33FC">
        <w:rPr>
          <w:rFonts w:ascii="Times New Roman" w:hAnsi="Times New Roman"/>
        </w:rPr>
        <w:t>a member of the</w:t>
      </w:r>
      <w:r w:rsidRPr="00F74C1D">
        <w:rPr>
          <w:rFonts w:ascii="Times New Roman" w:hAnsi="Times New Roman"/>
        </w:rPr>
        <w:t xml:space="preserve"> </w:t>
      </w:r>
      <w:r w:rsidR="008F33FC" w:rsidRPr="00F74C1D">
        <w:rPr>
          <w:rFonts w:ascii="Times New Roman" w:hAnsi="Times New Roman"/>
        </w:rPr>
        <w:t>thiazole</w:t>
      </w:r>
      <w:r w:rsidR="008F33FC">
        <w:rPr>
          <w:rFonts w:ascii="Times New Roman" w:hAnsi="Times New Roman"/>
        </w:rPr>
        <w:t xml:space="preserve"> family</w:t>
      </w:r>
      <w:r w:rsidR="00CA7D16">
        <w:rPr>
          <w:rFonts w:ascii="Times New Roman" w:hAnsi="Times New Roman"/>
        </w:rPr>
        <w:t xml:space="preserve"> and</w:t>
      </w:r>
      <w:r w:rsidR="00CA7D16" w:rsidRPr="00F74C1D">
        <w:rPr>
          <w:rFonts w:ascii="Times New Roman" w:hAnsi="Times New Roman"/>
        </w:rPr>
        <w:t xml:space="preserve"> </w:t>
      </w:r>
      <w:r w:rsidRPr="00F74C1D">
        <w:rPr>
          <w:rFonts w:ascii="Times New Roman" w:hAnsi="Times New Roman"/>
        </w:rPr>
        <w:t xml:space="preserve">is considered </w:t>
      </w:r>
      <w:r w:rsidR="002B7689">
        <w:rPr>
          <w:rFonts w:ascii="Times New Roman" w:hAnsi="Times New Roman"/>
        </w:rPr>
        <w:t>as</w:t>
      </w:r>
      <w:r w:rsidRPr="00F74C1D">
        <w:rPr>
          <w:rFonts w:ascii="Times New Roman" w:hAnsi="Times New Roman"/>
        </w:rPr>
        <w:t xml:space="preserve"> a pharmacophore </w:t>
      </w:r>
      <w:r w:rsidR="00303832">
        <w:rPr>
          <w:rFonts w:ascii="Times New Roman" w:hAnsi="Times New Roman"/>
        </w:rPr>
        <w:t>in</w:t>
      </w:r>
      <w:r w:rsidRPr="00F74C1D">
        <w:rPr>
          <w:rFonts w:ascii="Times New Roman" w:hAnsi="Times New Roman"/>
        </w:rPr>
        <w:t xml:space="preserve"> numerous </w:t>
      </w:r>
      <w:r w:rsidR="00303832" w:rsidRPr="00F74C1D">
        <w:rPr>
          <w:rFonts w:ascii="Times New Roman" w:hAnsi="Times New Roman"/>
        </w:rPr>
        <w:t xml:space="preserve">anti-tumor </w:t>
      </w:r>
      <w:r w:rsidRPr="00F74C1D">
        <w:rPr>
          <w:rFonts w:ascii="Times New Roman" w:hAnsi="Times New Roman"/>
        </w:rPr>
        <w:t xml:space="preserve">compounds </w:t>
      </w:r>
      <w:r w:rsidR="00303832" w:rsidRPr="00F74C1D">
        <w:rPr>
          <w:rFonts w:ascii="Times New Roman" w:hAnsi="Times New Roman"/>
        </w:rPr>
        <w:fldChar w:fldCharType="begin" w:fldLock="1"/>
      </w:r>
      <w:r w:rsidR="00303832">
        <w:rPr>
          <w:rFonts w:ascii="Times New Roman" w:hAnsi="Times New Roman"/>
        </w:rPr>
        <w:instrText>ADDIN CSL_CITATION {"citationItems":[{"id":"ITEM-1","itemData":{"DOI":"10.3892/or.2018.6800","ISSN":"17912431","PMID":"30365115","abstract":"Cancer represents one of the main causes of mortality in developed countries. In particular, the overall survival of patients with renal cell carcinoma (RCC) remains poor and the available cytostatic agents are insufficient. Therefore, there is an urgent requirement to identify more effective and safer anticancer drugs. Recently, the evaluation of antitumor activity appeared to be promising for thiazolidinone derivatives. The present study presents the synthesis and the cytotoxicity assays of 1,3-thiazolidin-4-ones. The newly synthesized substances were screened in vitro against selected cancer human renal cell adenocarcinoma cells (769-P), human hepatoblastoma-derived cells (HepG2) and normal green monkey kidney cells (GMK) as a reference cell line. N-[2-(4-methylphenyl)-4-oxo-1,3-thiazolidin-3-yl]acetamide and N-[2-(4-methylphenyl)-4-oxo-1,3-thiazolidin-3-yl] benzamide displayed significant antiproliferative activity towards 769-P. To elucidate the mechanisms of the cytotoxic actions, additional studies on the cell cycle and apoptosis were performed. The aforementioned compounds were responsible for G1 cell cycle arrest and the decrease in cell distribution in the G2 phase in a dose-dependent manner, which prevents mitotic divisions of the 769-P cells. In addition, these novel 2,3-disubstituted 1,3-thiazolidin-4-ones slightly induced apoptosis in 769-P in a dose-dependent manner. It was hypothesized that the 4-methylphenyl group at position 2 of the thiazolidin-4-one scaffold may be regarded as a promising moiety for further development of this group of compounds. Therefore, benzamide moiety appeared to be crucial for triggering cells to apoptotic cell death.","author":[{"dropping-particle":"","family":"Gawrońska-Grzywacz","given":"Monika","non-dropping-particle":"","parse-names":false,"suffix":""},{"dropping-particle":"","family":"Popiołek","given":"Łukasz","non-dropping-particle":"","parse-names":false,"suffix":""},{"dropping-particle":"","family":"Natorska-Chomicka","given":"Dorota","non-dropping-particle":"","parse-names":false,"suffix":""},{"dropping-particle":"","family":"Piatkowska-CHMIEL","given":"Iwona","non-dropping-particle":"","parse-names":false,"suffix":""},{"dropping-particle":"","family":"Izdebska","given":"Magdalena","non-dropping-particle":"","parse-names":false,"suffix":""},{"dropping-particle":"","family":"Herbet","given":"Mariola","non-dropping-particle":"","parse-names":false,"suffix":""},{"dropping-particle":"","family":"Iwan","given":"Magdalena","non-dropping-particle":"","parse-names":false,"suffix":""},{"dropping-particle":"","family":"Korga","given":"Agnieszka","non-dropping-particle":"","parse-names":false,"suffix":""},{"dropping-particle":"","family":"Dudka","given":"Jarosław","non-dropping-particle":"","parse-names":false,"suffix":""},{"dropping-particle":"","family":"Wujec","given":"Monika","non-dropping-particle":"","parse-names":false,"suffix":""}],"container-title":"Oncology Reports","id":"ITEM-1","issue":"1","issued":{"date-parts":[["2019"]]},"page":"693-701","title":"Novel 2,3-disubstituted 1,3-thiazolidin-4-one derivatives as potential antitumor agents in renal cell adenocarcinoma","type":"article-journal","volume":"41"},"uris":["http://www.mendeley.com/documents/?uuid=b4f691ba-49c6-41d6-8f84-0124747d3fa2"]},{"id":"ITEM-2","itemData":{"DOI":"10.1016/j.ejmech.2013.03.011","ISSN":"17683254","abstract":"Nuclear factor-kappaB (NF-κB) has been reported to regulate various genes involved in cancer and inflammation. Accordingly, drugs suppressing or inhibiting NF-κB may possess both anti-inflammatory and anticancer properties. A library of quinolone substituted thiazolidin-4-ones was docked into the active site of NF-κB and the top-ranked 31 compounds were synthesized and evaluated for anti-inflammatory and anticancer activity. The best-ranked compound 6b showed highest anti-inflammatory activity in carrageenan-induced paw edema model. In vitro anticancer studies revealed 1a and 16a as most active compounds against BT-549, HeLa, COLO-205 and ACHN human cancer cell lines. Compounds 1a and 16a exhibited NF-κB dependent anticancer properties and apoptosis mediated cell death. In vivo Ehrlich ascites carcinoma study further confirmed the antitumor activity of 1a and 16a. © 2013 Elsevier Masson SAS. All rights reserved.","author":[{"dropping-particle":"","family":"Suthar","given":"Sharad Kumar","non-dropping-particle":"","parse-names":false,"suffix":""},{"dropping-particle":"","family":"Jaiswal","given":"Varun","non-dropping-particle":"","parse-names":false,"suffix":""},{"dropping-particle":"","family":"Lohan","given":"Sandeep","non-dropping-particle":"","parse-names":false,"suffix":""},{"dropping-particle":"","family":"Bansal","given":"Sumit","non-dropping-particle":"","parse-names":false,"suffix":""},{"dropping-particle":"","family":"Chaudhary","given":"Anil","non-dropping-particle":"","parse-names":false,"suffix":""},{"dropping-particle":"","family":"Tiwari","given":"Amit","non-dropping-particle":"","parse-names":false,"suffix":""},{"dropping-particle":"","family":"Alex","given":"Angel Treasa","non-dropping-particle":"","parse-names":false,"suffix":""},{"dropping-particle":"","family":"Joseph","given":"Alex","non-dropping-particle":"","parse-names":false,"suffix":""}],"container-title":"European Journal of Medicinal Chemistry","id":"ITEM-2","issued":{"date-parts":[["2013"]]},"page":"589-602","publisher":"Elsevier Ltd","title":"Novel quinolone substituted thiazolidin-4-ones as anti-inflammatory, anticancer agents: Design, synthesis and biological screening","type":"article-journal","volume":"63"},"uris":["http://www.mendeley.com/documents/?uuid=6c7512da-b295-4402-b8d8-99998dde453f"]}],"mendeley":{"formattedCitation":"[18,19]","plainTextFormattedCitation":"[18,19]","previouslyFormattedCitation":"[18,19]"},"properties":{"noteIndex":0},"schema":"https://github.com/citation-style-language/schema/raw/master/csl-citation.json"}</w:instrText>
      </w:r>
      <w:r w:rsidR="00303832" w:rsidRPr="00F74C1D">
        <w:rPr>
          <w:rFonts w:ascii="Times New Roman" w:hAnsi="Times New Roman"/>
        </w:rPr>
        <w:fldChar w:fldCharType="separate"/>
      </w:r>
      <w:r w:rsidR="00303832" w:rsidRPr="00066076">
        <w:rPr>
          <w:rFonts w:ascii="Times New Roman" w:hAnsi="Times New Roman"/>
          <w:noProof/>
        </w:rPr>
        <w:t>[18,19]</w:t>
      </w:r>
      <w:r w:rsidR="00303832" w:rsidRPr="00F74C1D">
        <w:rPr>
          <w:rFonts w:ascii="Times New Roman" w:hAnsi="Times New Roman"/>
        </w:rPr>
        <w:fldChar w:fldCharType="end"/>
      </w:r>
      <w:r w:rsidR="00303832">
        <w:rPr>
          <w:rFonts w:ascii="Times New Roman" w:hAnsi="Times New Roman"/>
          <w:lang w:val="en-GB"/>
        </w:rPr>
        <w:t>; but</w:t>
      </w:r>
      <w:r w:rsidR="00303832" w:rsidRPr="00F74C1D">
        <w:rPr>
          <w:rFonts w:ascii="Times New Roman" w:hAnsi="Times New Roman"/>
        </w:rPr>
        <w:t xml:space="preserve"> </w:t>
      </w:r>
      <w:r w:rsidR="002B7689">
        <w:rPr>
          <w:rFonts w:ascii="Times New Roman" w:hAnsi="Times New Roman"/>
        </w:rPr>
        <w:t>t</w:t>
      </w:r>
      <w:r w:rsidR="002B7689" w:rsidRPr="00F74C1D">
        <w:rPr>
          <w:rFonts w:ascii="Times New Roman" w:hAnsi="Times New Roman"/>
        </w:rPr>
        <w:t>hiazolidin-4-one</w:t>
      </w:r>
      <w:r w:rsidR="002B7689">
        <w:rPr>
          <w:rFonts w:ascii="Times New Roman" w:hAnsi="Times New Roman"/>
        </w:rPr>
        <w:t xml:space="preserve"> </w:t>
      </w:r>
      <w:r w:rsidR="003F7F3B">
        <w:rPr>
          <w:rFonts w:ascii="Times New Roman" w:hAnsi="Times New Roman"/>
        </w:rPr>
        <w:t xml:space="preserve">was </w:t>
      </w:r>
      <w:r w:rsidR="002B7689">
        <w:rPr>
          <w:rFonts w:ascii="Times New Roman" w:hAnsi="Times New Roman"/>
        </w:rPr>
        <w:t>never used</w:t>
      </w:r>
      <w:r w:rsidR="002B7689" w:rsidRPr="00F74C1D">
        <w:rPr>
          <w:rFonts w:ascii="Times New Roman" w:hAnsi="Times New Roman"/>
        </w:rPr>
        <w:t xml:space="preserve"> </w:t>
      </w:r>
      <w:r w:rsidRPr="00F74C1D">
        <w:rPr>
          <w:rFonts w:ascii="Times New Roman" w:hAnsi="Times New Roman"/>
        </w:rPr>
        <w:t xml:space="preserve">as a </w:t>
      </w:r>
      <w:r w:rsidR="00303832">
        <w:rPr>
          <w:rFonts w:ascii="Times New Roman" w:hAnsi="Times New Roman"/>
        </w:rPr>
        <w:t>central scaffold</w:t>
      </w:r>
      <w:r w:rsidR="00303832" w:rsidRPr="00F74C1D">
        <w:rPr>
          <w:rFonts w:ascii="Times New Roman" w:hAnsi="Times New Roman"/>
        </w:rPr>
        <w:t xml:space="preserve"> </w:t>
      </w:r>
      <w:r w:rsidRPr="00F74C1D">
        <w:rPr>
          <w:rFonts w:ascii="Times New Roman" w:hAnsi="Times New Roman"/>
        </w:rPr>
        <w:t xml:space="preserve">for </w:t>
      </w:r>
      <w:r w:rsidR="00303832" w:rsidRPr="00F74C1D">
        <w:rPr>
          <w:rFonts w:ascii="Times New Roman" w:hAnsi="Times New Roman"/>
        </w:rPr>
        <w:t>T</w:t>
      </w:r>
      <w:r w:rsidR="00303832">
        <w:rPr>
          <w:rFonts w:ascii="Times New Roman" w:hAnsi="Times New Roman"/>
        </w:rPr>
        <w:t>DP</w:t>
      </w:r>
      <w:r w:rsidR="00303832" w:rsidRPr="00F74C1D">
        <w:rPr>
          <w:rFonts w:ascii="Times New Roman" w:hAnsi="Times New Roman"/>
        </w:rPr>
        <w:t>1</w:t>
      </w:r>
      <w:r w:rsidR="00303832">
        <w:rPr>
          <w:rFonts w:ascii="Times New Roman" w:hAnsi="Times New Roman"/>
        </w:rPr>
        <w:t xml:space="preserve"> </w:t>
      </w:r>
      <w:r w:rsidRPr="00F74C1D">
        <w:rPr>
          <w:rFonts w:ascii="Times New Roman" w:hAnsi="Times New Roman"/>
        </w:rPr>
        <w:t xml:space="preserve">inhibitors. </w:t>
      </w:r>
    </w:p>
    <w:p w14:paraId="1E7890D3" w14:textId="78820AE8" w:rsidR="00F47266" w:rsidRPr="00F74C1D" w:rsidRDefault="00F47266" w:rsidP="00F47266">
      <w:pPr>
        <w:pStyle w:val="MDPI31text"/>
        <w:spacing w:before="60" w:after="60"/>
        <w:ind w:left="0"/>
        <w:rPr>
          <w:rFonts w:ascii="Times New Roman" w:hAnsi="Times New Roman"/>
        </w:rPr>
      </w:pPr>
      <w:r w:rsidRPr="00F74C1D">
        <w:rPr>
          <w:rFonts w:ascii="Times New Roman" w:hAnsi="Times New Roman"/>
        </w:rPr>
        <w:t xml:space="preserve">The aim of this work was to synthesize disubstituted thiazolidin-4-ones with monoterpenoid substituents at the second position and benzyl </w:t>
      </w:r>
      <w:r w:rsidR="00632604">
        <w:rPr>
          <w:rFonts w:ascii="Times New Roman" w:hAnsi="Times New Roman"/>
        </w:rPr>
        <w:t>moiety</w:t>
      </w:r>
      <w:r w:rsidR="00632604" w:rsidRPr="00F74C1D">
        <w:rPr>
          <w:rFonts w:ascii="Times New Roman" w:hAnsi="Times New Roman"/>
        </w:rPr>
        <w:t xml:space="preserve"> </w:t>
      </w:r>
      <w:r w:rsidRPr="00F74C1D">
        <w:rPr>
          <w:rFonts w:ascii="Times New Roman" w:hAnsi="Times New Roman"/>
        </w:rPr>
        <w:t>at the third position (</w:t>
      </w:r>
      <w:r w:rsidR="00A64F3C" w:rsidRPr="00F74C1D">
        <w:rPr>
          <w:rFonts w:ascii="Times New Roman" w:hAnsi="Times New Roman"/>
          <w:b/>
        </w:rPr>
        <w:t>Fig.</w:t>
      </w:r>
      <w:r w:rsidRPr="00F74C1D">
        <w:rPr>
          <w:rFonts w:ascii="Times New Roman" w:hAnsi="Times New Roman"/>
          <w:b/>
        </w:rPr>
        <w:t xml:space="preserve"> 2</w:t>
      </w:r>
      <w:r w:rsidRPr="00F74C1D">
        <w:rPr>
          <w:rFonts w:ascii="Times New Roman" w:hAnsi="Times New Roman"/>
        </w:rPr>
        <w:t xml:space="preserve">) to determine their TDP1 inhibiting activity and ability to enhance of topotecan antitumor </w:t>
      </w:r>
      <w:r w:rsidR="00CA7D16">
        <w:rPr>
          <w:rFonts w:ascii="Times New Roman" w:hAnsi="Times New Roman"/>
        </w:rPr>
        <w:t>potency</w:t>
      </w:r>
      <w:r w:rsidRPr="00F74C1D">
        <w:rPr>
          <w:rFonts w:ascii="Times New Roman" w:hAnsi="Times New Roman"/>
        </w:rPr>
        <w:t>.</w:t>
      </w:r>
    </w:p>
    <w:p w14:paraId="1258BB89" w14:textId="77777777" w:rsidR="00F47266" w:rsidRPr="00F74C1D" w:rsidRDefault="00F47266" w:rsidP="00F47266">
      <w:pPr>
        <w:pStyle w:val="MDPI31text"/>
        <w:spacing w:before="60" w:after="60"/>
        <w:ind w:left="0"/>
        <w:jc w:val="center"/>
        <w:rPr>
          <w:rFonts w:ascii="Times New Roman" w:hAnsi="Times New Roman"/>
          <w:sz w:val="24"/>
        </w:rPr>
      </w:pPr>
      <w:r w:rsidRPr="00F74C1D">
        <w:rPr>
          <w:rFonts w:ascii="Times New Roman" w:hAnsi="Times New Roman"/>
          <w:sz w:val="24"/>
        </w:rPr>
        <w:object w:dxaOrig="3990" w:dyaOrig="1365" w14:anchorId="00EAA909">
          <v:shape id="_x0000_i1026" type="#_x0000_t75" style="width:199.5pt;height:68.5pt" o:ole="">
            <v:imagedata r:id="rId15" o:title=""/>
          </v:shape>
          <o:OLEObject Type="Embed" ProgID="ChemDraw.Document.6.0" ShapeID="_x0000_i1026" DrawAspect="Content" ObjectID="_1722411431" r:id="rId16"/>
        </w:object>
      </w:r>
    </w:p>
    <w:p w14:paraId="711F1F74" w14:textId="2FE968CF" w:rsidR="0029773D" w:rsidRPr="00E0171B" w:rsidRDefault="00A64F3C" w:rsidP="00E0171B">
      <w:pPr>
        <w:pStyle w:val="MDPI31text"/>
        <w:spacing w:before="60" w:after="60"/>
        <w:ind w:left="0"/>
        <w:jc w:val="center"/>
        <w:rPr>
          <w:rFonts w:ascii="Times New Roman" w:hAnsi="Times New Roman"/>
        </w:rPr>
      </w:pPr>
      <w:r w:rsidRPr="00F74C1D">
        <w:rPr>
          <w:rFonts w:ascii="Times New Roman" w:hAnsi="Times New Roman"/>
          <w:b/>
        </w:rPr>
        <w:t>Fig.</w:t>
      </w:r>
      <w:r w:rsidR="00F47266" w:rsidRPr="00F74C1D">
        <w:rPr>
          <w:rFonts w:ascii="Times New Roman" w:hAnsi="Times New Roman"/>
          <w:b/>
        </w:rPr>
        <w:t xml:space="preserve"> 2. </w:t>
      </w:r>
      <w:r w:rsidR="00CA7D16">
        <w:rPr>
          <w:rFonts w:ascii="Times New Roman" w:hAnsi="Times New Roman"/>
        </w:rPr>
        <w:t>The</w:t>
      </w:r>
      <w:r w:rsidR="00CA7D16" w:rsidRPr="00F74C1D">
        <w:rPr>
          <w:rFonts w:ascii="Times New Roman" w:hAnsi="Times New Roman"/>
        </w:rPr>
        <w:t xml:space="preserve"> </w:t>
      </w:r>
      <w:r w:rsidR="00F47266" w:rsidRPr="00F74C1D">
        <w:rPr>
          <w:rFonts w:ascii="Times New Roman" w:hAnsi="Times New Roman"/>
        </w:rPr>
        <w:t>d</w:t>
      </w:r>
      <w:r w:rsidR="00E0171B">
        <w:rPr>
          <w:rFonts w:ascii="Times New Roman" w:hAnsi="Times New Roman"/>
        </w:rPr>
        <w:t>esign of novel TDP1 inhibitors.</w:t>
      </w:r>
    </w:p>
    <w:p w14:paraId="5206972E" w14:textId="286690DC" w:rsidR="00483686" w:rsidRPr="00F74C1D" w:rsidRDefault="002B7689" w:rsidP="00F74C1D">
      <w:pPr>
        <w:pStyle w:val="MDPI31text"/>
        <w:spacing w:before="60" w:after="60"/>
        <w:ind w:left="0"/>
        <w:rPr>
          <w:rFonts w:ascii="Times New Roman" w:hAnsi="Times New Roman"/>
        </w:rPr>
      </w:pPr>
      <w:r>
        <w:rPr>
          <w:rFonts w:ascii="Times New Roman" w:hAnsi="Times New Roman"/>
        </w:rPr>
        <w:t>At first, m</w:t>
      </w:r>
      <w:r w:rsidRPr="00F74C1D">
        <w:rPr>
          <w:rFonts w:ascii="Times New Roman" w:hAnsi="Times New Roman"/>
        </w:rPr>
        <w:t xml:space="preserve">onoterpene </w:t>
      </w:r>
      <w:r w:rsidR="00483686" w:rsidRPr="00F74C1D">
        <w:rPr>
          <w:rFonts w:ascii="Times New Roman" w:hAnsi="Times New Roman"/>
        </w:rPr>
        <w:t xml:space="preserve">bromides </w:t>
      </w:r>
      <w:r w:rsidR="00483686" w:rsidRPr="00F74C1D">
        <w:rPr>
          <w:rFonts w:ascii="Times New Roman" w:hAnsi="Times New Roman"/>
          <w:b/>
        </w:rPr>
        <w:t>7a-e</w:t>
      </w:r>
      <w:r w:rsidR="00483686" w:rsidRPr="00F74C1D">
        <w:rPr>
          <w:rFonts w:ascii="Times New Roman" w:hAnsi="Times New Roman"/>
        </w:rPr>
        <w:t xml:space="preserve"> </w:t>
      </w:r>
      <w:r w:rsidRPr="00F74C1D">
        <w:rPr>
          <w:rFonts w:ascii="Times New Roman" w:hAnsi="Times New Roman"/>
        </w:rPr>
        <w:t>(</w:t>
      </w:r>
      <w:r w:rsidRPr="00F74C1D">
        <w:rPr>
          <w:rFonts w:ascii="Times New Roman" w:hAnsi="Times New Roman"/>
          <w:b/>
        </w:rPr>
        <w:t>Scheme 1</w:t>
      </w:r>
      <w:r w:rsidRPr="00F74C1D">
        <w:rPr>
          <w:rFonts w:ascii="Times New Roman" w:hAnsi="Times New Roman"/>
        </w:rPr>
        <w:t>)</w:t>
      </w:r>
      <w:r w:rsidR="00632604">
        <w:rPr>
          <w:rFonts w:ascii="Times New Roman" w:hAnsi="Times New Roman"/>
        </w:rPr>
        <w:t>,</w:t>
      </w:r>
      <w:r>
        <w:rPr>
          <w:rFonts w:ascii="Times New Roman" w:hAnsi="Times New Roman"/>
        </w:rPr>
        <w:t xml:space="preserve"> </w:t>
      </w:r>
      <w:r w:rsidRPr="002B7689">
        <w:rPr>
          <w:rFonts w:ascii="Times New Roman" w:hAnsi="Times New Roman"/>
        </w:rPr>
        <w:t xml:space="preserve">required </w:t>
      </w:r>
      <w:r w:rsidR="00483686" w:rsidRPr="00F74C1D">
        <w:rPr>
          <w:rFonts w:ascii="Times New Roman" w:hAnsi="Times New Roman"/>
        </w:rPr>
        <w:t xml:space="preserve">as starting </w:t>
      </w:r>
      <w:r w:rsidR="00632604">
        <w:rPr>
          <w:rFonts w:ascii="Times New Roman" w:hAnsi="Times New Roman"/>
        </w:rPr>
        <w:t>material,</w:t>
      </w:r>
      <w:r w:rsidR="00483686" w:rsidRPr="00F74C1D">
        <w:rPr>
          <w:rFonts w:ascii="Times New Roman" w:hAnsi="Times New Roman"/>
        </w:rPr>
        <w:t xml:space="preserve"> </w:t>
      </w:r>
      <w:r>
        <w:rPr>
          <w:rFonts w:ascii="Times New Roman" w:hAnsi="Times New Roman"/>
        </w:rPr>
        <w:t>we</w:t>
      </w:r>
      <w:r w:rsidRPr="00F74C1D">
        <w:rPr>
          <w:rFonts w:ascii="Times New Roman" w:hAnsi="Times New Roman"/>
        </w:rPr>
        <w:t xml:space="preserve">re </w:t>
      </w:r>
      <w:r w:rsidR="00483686" w:rsidRPr="00F74C1D">
        <w:rPr>
          <w:rFonts w:ascii="Times New Roman" w:hAnsi="Times New Roman"/>
        </w:rPr>
        <w:t xml:space="preserve">obtained from </w:t>
      </w:r>
      <w:r w:rsidR="00CA7D16">
        <w:rPr>
          <w:rFonts w:ascii="Times New Roman" w:hAnsi="Times New Roman"/>
        </w:rPr>
        <w:t xml:space="preserve">their </w:t>
      </w:r>
      <w:r w:rsidR="00483686" w:rsidRPr="00F74C1D">
        <w:rPr>
          <w:rFonts w:ascii="Times New Roman" w:hAnsi="Times New Roman"/>
        </w:rPr>
        <w:t>corresponding alcohols using PBr</w:t>
      </w:r>
      <w:r w:rsidR="00483686" w:rsidRPr="00F74C1D">
        <w:rPr>
          <w:rFonts w:ascii="Times New Roman" w:hAnsi="Times New Roman"/>
          <w:vertAlign w:val="subscript"/>
        </w:rPr>
        <w:t>3</w:t>
      </w:r>
      <w:r w:rsidR="00483686" w:rsidRPr="00F74C1D">
        <w:rPr>
          <w:rFonts w:ascii="Times New Roman" w:hAnsi="Times New Roman"/>
        </w:rPr>
        <w:t xml:space="preserve"> in Et</w:t>
      </w:r>
      <w:r w:rsidR="00483686" w:rsidRPr="00F74C1D">
        <w:rPr>
          <w:rFonts w:ascii="Times New Roman" w:hAnsi="Times New Roman"/>
          <w:vertAlign w:val="subscript"/>
        </w:rPr>
        <w:t>2</w:t>
      </w:r>
      <w:r w:rsidR="00483686" w:rsidRPr="00F74C1D">
        <w:rPr>
          <w:rFonts w:ascii="Times New Roman" w:hAnsi="Times New Roman"/>
        </w:rPr>
        <w:t xml:space="preserve">O for </w:t>
      </w:r>
      <w:r w:rsidR="00483686" w:rsidRPr="00F74C1D">
        <w:rPr>
          <w:rFonts w:ascii="Times New Roman" w:hAnsi="Times New Roman"/>
          <w:b/>
        </w:rPr>
        <w:t>7a-d</w:t>
      </w:r>
      <w:r w:rsidR="00483686" w:rsidRPr="00F74C1D">
        <w:rPr>
          <w:rFonts w:ascii="Times New Roman" w:hAnsi="Times New Roman"/>
        </w:rPr>
        <w:t xml:space="preserve"> </w:t>
      </w:r>
      <w:r w:rsidR="00483686" w:rsidRPr="00F74C1D">
        <w:rPr>
          <w:rFonts w:ascii="Times New Roman" w:hAnsi="Times New Roman"/>
        </w:rPr>
        <w:fldChar w:fldCharType="begin" w:fldLock="1"/>
      </w:r>
      <w:r w:rsidR="00131813">
        <w:rPr>
          <w:rFonts w:ascii="Times New Roman" w:hAnsi="Times New Roman"/>
        </w:rPr>
        <w:instrText xml:space="preserve">ADDIN CSL_CITATION {"citationItems":[{"id":"ITEM-1","itemData":{"DOI":"10.1039/d0md00108b","ISSN":"2632-8682","abstract":"Currently, the spectrum of agents against orthopoxviruses, in particular smallpox, is very narrow. Despite the fact that smallpox is well controlled, there is, for many reasons, a real threat of epidemics associated with this or a similar virus. In order to search for new low molecular weight orthopoxvirus inhibitors, a series of amides combining adamantane and monoterpene moieties were synthesized using 1- and 2-adamantanecarboxylic acids as well as myrtenic, citronellic and camphorsulfonic acids as acid components. The produced compounds exhibited high activity against the vaccinia virus (an enveloped virus belonging to the poxvirus family), which was combined with low cytotoxicity. Some compounds had a selectivity index higher than that of the reference drug cidofovir; the highest SI = 1123 was exhibited by 1-adamantanecarboxylic acid amide containing the (-)-10-amino-2-pinene moiety. The produced compounds demonstrated inhibitory activity against other orthopoxviruses: cowpox virus (SI = 30-406) and ectromelia virus (mousepox virus, SI = 39-707). This journal is","author":[{"dropping-particle":"V.","family":"Suslov","given":"Evgenii","non-dropping-particle":"","parse-names":false,"suffix":""},{"dropping-particle":"","family":"Mozhaytsev","given":"Evgenii S.","non-dropping-particle":"","parse-names":false,"suffix":""},{"dropping-particle":"V.","family":"Korchagina","given":"Dina","non-dropping-particle":"","parse-names":false,"suffix":""},{"dropping-particle":"","family":"Bormotov","given":"Nikolay I.","non-dropping-particle":"","parse-names":false,"suffix":""},{"dropping-particle":"","family":"Yarovaya","given":"Olga I.","non-dropping-particle":"","parse-names":false,"suffix":""},{"dropping-particle":"","family":"Volcho","given":"Konstantin P.","non-dropping-particle":"","parse-names":false,"suffix":""},{"dropping-particle":"","family":"Serova","given":"Olga A.","non-dropping-particle":"","parse-names":false,"suffix":""},{"dropping-particle":"","family":"Agafonov","given":"Alexander P.","non-dropping-particle":"","parse-names":false,"suffix":""},{"dropping-particle":"","family":"Maksyutov","given":"Rinat A.","non-dropping-particle":"","parse-names":false,"suffix":""},{"dropping-particle":"","family":"Shishkina","given":"Larisa N.","non-dropping-particle":"","parse-names":false,"suffix":""},{"dropping-particle":"","family":"Salakhutdinov","given":"Nariman F.","non-dropping-particle":"","parse-names":false,"suffix":""}],"container-title":"RSC Medicinal Chemistry","id":"ITEM-1","issue":"10","issued":{"date-parts":[["2020"]]},"page":"1185-1195","publisher":"Royal Society of Chemistry","title":"New chemical agents based on adamantane-monoterpene conjugates against orthopoxvirus infections","type":"article-journal","volume":"11"},"uris":["http://www.mendeley.com/documents/?uuid=40aac4f9-e024-4c33-ac3a-a44f0d00b737"]},{"id":"ITEM-2","itemData":{"DOI":"10.1021/ja00169a041","ISSN":"15205126","abstract":"The total synthesis of (+)-ionomycin, a dibasic acid ionophore, is described by using a strategy that capitalizes on the chiron approach and on asymmetric processes. The C1-C22 portion of ionomycin was constructed from smaller segments obtained in optically pure form by systematic functionalization and manipulation of chirons derived originally from L-glutamic acid. A key reaction in the synthesis of the deoxypropionate-containing segments relies on a novel sulfur-assisted organocuprate displacement of a secondary tosylate with complete inversion of configuration. The tetrahydrofuran segment of ionomycin was constructed from an optically pure epoxide obtained via a Sharpless asymmetric epoxidation and a sulfone derived from geraniol. © 1990, American Chemical Society. All rights reserved.","author":[{"dropping-particle":"","family":"Hanessian","given":"Stephen","non-dropping-particle":"","parse-names":false,"suffix":""},{"dropping-particle":"","family":"Cooke","given":"Nigel G.","non-dropping-particle":"","parse-names":false,"suffix":""},{"dropping-particle":"","family":"DeHoff","given":"Brad","non-dropping-particle":"","parse-names":false,"suffix":""},{"dropping-particle":"","family":"Sakito","given":"Yoji","non-dropping-particle":"","parse-names":false,"suffix":""}],"container-title":"Journal of the American Chemical Society","id":"ITEM-2","issue":"13","issued":{"date-parts":[["1990"]]},"page":"5276-5290","title":"The Total Synthesis of (+)-Ionomycin","type":"article-journal","volume":"112"},"uris":["http://www.mendeley.com/documents/?uuid=e3acd799-a249-4a9c-86f6-a830c4189fcc"]},{"id":"ITEM-3","itemData":{"DOI":"10.3390/ijms21010126","ISSN":"14220067","PMID":"31878088","abstract":"Tyrosyl-DNA phosphodiesterase 1 (Tdp1) is an important DNA repair enzyme in humans, and a current and promising inhibition target for the development of new chemosensitizing agents due to its ability to remove DNA damage caused by topoisomerase 1 (Top1) poisons such as topotecan and irinotecan. Herein, we report our work on the synthesis and characterization of new Tdp1 inhibitors that combine the arylcoumarin (neoflavonoid) and monoterpenoid moieties. Our results showed that they are potent Tdp1 inhibitors with IC50 values in the submicromolar range. In vivo experiments with mice revealed that compound 3ba (IC50 0.62 μM) induced a significant increase in the antitumor effect of topotecan on the Krebs-2 ascites tumor model. Our results further strengthen the argument that Tdp1 is a druggable target with the potential to be developed into a clinically-potent adjunct therapy in conjunction with Top1 poisons.","author":[{"dropping-particle":"","family":"Khomenko","given":"Tatyana M.","non-dropping-particle":"","parse-names":false,"suffix":""},{"dropping-particle":"","family":"Zakharenko","given":"Alexandra L.","non-dropping-particle":"","parse-names":false,"suffix":""},{"dropping-particle":"","family":"Chepanova","given":"Arina A.","non-dropping-particle":"","parse-names":false,"suffix":""},{"dropping-particle":"","family":"Ilina","given":"Ekaterina S.","non-dropping-particle":"","parse-names":false,"suffix":""},{"dropping-particle":"","family":"Zakharova","given":"Olga D.","non-dropping-particle":"","parse-names":false,"suffix":""},{"dropping-particle":"","family":"Kaledin","given":"Vasily I.","non-dropping-particle":"","parse-names":false,"suffix":""},{"dropping-particle":"","family":"Nikolin","given":"Valeriy P.","non-dropping-particle":"","parse-names":false,"suffix":""},{"dropping-particle":"","family":"Popova","given":"Nelly A.","non-dropping-particle":"","parse-names":false,"suffix":""},{"dropping-particle":"V.","family":"Korchagina","given":"Dina","non-dropping-particle":"","parse-names":false,"suffix":""},{"dropping-particle":"","family":"Reynisson","given":"Jóhannes","non-dropping-particle":"","parse-names":false,"suffix":""},{"dropping-particle":"","family":"Chand","given":"Raina","non-dropping-particle":"","parse-names":false,"suffix":""},{"dropping-particle":"","family":"Ayine-tora","given":"Daniel M.","non-dropping-particle":"","parse-names":false,"suffix":""},{"dropping-particle":"","family":"Patel","given":"Jinal","non-dropping-particle":"","parse-names":false,"suffix":""},{"dropping-particle":"","family":"Leung","given":"Ivanhoe K.H.","non-dropping-particle":"","parse-names":false,"suffix":""},{"dropping-particle":"","family":"Volcho","given":"Konstantin P.","non-dropping-particle":"","parse-names":false,"suffix":""},{"dropping-particle":"","family":"Salakhutdinov","given":"Nariman F.","non-dropping-particle":"","parse-names":false,"suffix":""},{"dropping-particle":"","family":"Lavrik","given":"Olga I.","non-dropping-particle":"","parse-names":false,"suffix":""}],"container-title":"International Journal of Molecular Sciences","id":"ITEM-3","issue":"1","issued":{"date-parts":[["2020"]]},"title":"Promising new inhibitors of tyrosyl-DNA phosphodiesterase I (Tdp 1) combining 4- arylcoumarin and monoterpenoid moieties as components of complex antitumor therapy","type":"article-journal","volume":"21"},"uris":["http://www.mendeley.com/documents/?uuid=ce1b2e1a-6783-4a24-bc27-780e3a5a52c7"]},{"id":"ITEM-4","itemData":{"DOI":"10.1007/BF00636582","abstract":"The synthesis of optically active (4R,8RS)-4,8-dimethyldecanal — the aggregation pheromone of the flour beetlesTribolium confusum andT. castaneum — has been effected. The starting compound was the readily available enantiomerically enriched (S)-(+)-3,7-dimethylocta-1,6-diene with an optical purity of </w:instrText>
      </w:r>
      <w:r w:rsidR="00131813">
        <w:rPr>
          <w:rFonts w:ascii="Cambria Math" w:hAnsi="Cambria Math" w:cs="Cambria Math"/>
        </w:rPr>
        <w:instrText>∼</w:instrText>
      </w:r>
      <w:r w:rsidR="00131813">
        <w:rPr>
          <w:rFonts w:ascii="Times New Roman" w:hAnsi="Times New Roman"/>
        </w:rPr>
        <w:instrText>50%.","author":[{"dropping-particle":"","family":"Odinokov","given":"V N","non-dropping-particle":"","parse-names":false,"suffix":""},{"dropping-particle":"","family":"Yakovleva","given":"M P","non-dropping-particle":"","parse-names":false,"suffix":""},{"dropping-particle":"","family":"Sultanov","given":"R M","non-dropping-particle":"","parse-names":false,"suffix":""},{"dropping-particle":"","family":"Serebryakov","given":"E P","non-dropping-particle":"","parse-names":false,"suffix":""},{"dropping-particle":"","family":"Dzhemilev","given":"U M","non-dropping-particle":"","parse-names":false,"suffix":""},{"dropping-particle":"","family":"Tolstikov","given":"G A","non-dropping-particle":"","parse-names":false,"suffix":""},{"dropping-particle":"","family":"Branch","given":"Urals","non-dropping-particle":"","parse-names":false,"suffix":""}],"container-title":"Chemistry of Natural Compounds","id":"ITEM-4","issue":"4","issued":{"date-parts":[["1992"]]},"page":"500-502","title":"Insect pheromones and their analogues","type":"article-journal","volume":"27"},"uris":["http://www.mendeley.com/documents/?uuid=7a7485be-5610-466a-8bad-bc050b8d36fe"]}],"mendeley":{"formattedCitation":"[13,20–22]","plainTextFormattedCitation":"[13,20–22]","previouslyFormattedCitation":"[13,20–22]"},"properties":{"noteIndex":0},"schema":"https://github.com/citation-style-language/schema/raw/master/csl-citation.json"}</w:instrText>
      </w:r>
      <w:r w:rsidR="00483686" w:rsidRPr="00F74C1D">
        <w:rPr>
          <w:rFonts w:ascii="Times New Roman" w:hAnsi="Times New Roman"/>
        </w:rPr>
        <w:fldChar w:fldCharType="separate"/>
      </w:r>
      <w:r w:rsidR="00066076" w:rsidRPr="00066076">
        <w:rPr>
          <w:rFonts w:ascii="Times New Roman" w:hAnsi="Times New Roman"/>
          <w:noProof/>
        </w:rPr>
        <w:t>[13,20–22]</w:t>
      </w:r>
      <w:r w:rsidR="00483686" w:rsidRPr="00F74C1D">
        <w:rPr>
          <w:rFonts w:ascii="Times New Roman" w:hAnsi="Times New Roman"/>
          <w:lang w:val="ru-RU"/>
        </w:rPr>
        <w:fldChar w:fldCharType="end"/>
      </w:r>
      <w:r w:rsidR="00483686" w:rsidRPr="00F74C1D">
        <w:rPr>
          <w:rFonts w:ascii="Times New Roman" w:hAnsi="Times New Roman"/>
        </w:rPr>
        <w:t xml:space="preserve"> or NBS and PPh</w:t>
      </w:r>
      <w:r w:rsidR="00483686" w:rsidRPr="00F74C1D">
        <w:rPr>
          <w:rFonts w:ascii="Times New Roman" w:hAnsi="Times New Roman"/>
          <w:vertAlign w:val="subscript"/>
        </w:rPr>
        <w:t>3</w:t>
      </w:r>
      <w:r w:rsidR="00483686" w:rsidRPr="00F74C1D">
        <w:rPr>
          <w:rFonts w:ascii="Times New Roman" w:hAnsi="Times New Roman"/>
        </w:rPr>
        <w:t xml:space="preserve"> in DCM for </w:t>
      </w:r>
      <w:r w:rsidR="00483686" w:rsidRPr="00F74C1D">
        <w:rPr>
          <w:rFonts w:ascii="Times New Roman" w:hAnsi="Times New Roman"/>
          <w:b/>
        </w:rPr>
        <w:t xml:space="preserve">7e </w:t>
      </w:r>
      <w:r w:rsidR="00483686" w:rsidRPr="00F74C1D">
        <w:rPr>
          <w:rFonts w:ascii="Times New Roman" w:hAnsi="Times New Roman"/>
          <w:b/>
        </w:rPr>
        <w:fldChar w:fldCharType="begin" w:fldLock="1"/>
      </w:r>
      <w:r w:rsidR="00131813">
        <w:rPr>
          <w:rFonts w:ascii="Times New Roman" w:hAnsi="Times New Roman"/>
          <w:b/>
        </w:rPr>
        <w:instrText>ADDIN CSL_CITATION {"citationItems":[{"id":"ITEM-1","itemData":{"author":[{"dropping-particle":"","family":"Akgun","given":"Burcin","non-dropping-particle":"","parse-names":false,"suffix":""},{"dropping-particle":"","family":"Hall","given":"Dennis","non-dropping-particle":"","parse-names":false,"suffix":""}],"container-title":"Angewandte Chemie","id":"ITEM-1","issued":{"date-parts":[["0"]]},"page":"1-160","title":"Supporting information. Fast and tight boronate formation for click bioorthogonal conjugation","type":"article-journal"},"uris":["http://www.mendeley.com/documents/?uuid=60c8f73d-4fa8-4862-8067-6daa977d05c6"]}],"mendeley":{"formattedCitation":"[23]","plainTextFormattedCitation":"[23]","previouslyFormattedCitation":"[23]"},"properties":{"noteIndex":0},"schema":"https://github.com/citation-style-language/schema/raw/master/csl-citation.json"}</w:instrText>
      </w:r>
      <w:r w:rsidR="00483686" w:rsidRPr="00F74C1D">
        <w:rPr>
          <w:rFonts w:ascii="Times New Roman" w:hAnsi="Times New Roman"/>
          <w:b/>
        </w:rPr>
        <w:fldChar w:fldCharType="separate"/>
      </w:r>
      <w:r w:rsidR="00066076" w:rsidRPr="00066076">
        <w:rPr>
          <w:rFonts w:ascii="Times New Roman" w:hAnsi="Times New Roman"/>
          <w:noProof/>
        </w:rPr>
        <w:t>[23]</w:t>
      </w:r>
      <w:r w:rsidR="00483686" w:rsidRPr="00F74C1D">
        <w:rPr>
          <w:rFonts w:ascii="Times New Roman" w:hAnsi="Times New Roman"/>
          <w:lang w:val="ru-RU"/>
        </w:rPr>
        <w:fldChar w:fldCharType="end"/>
      </w:r>
      <w:r w:rsidR="00483686" w:rsidRPr="00F74C1D">
        <w:rPr>
          <w:rFonts w:ascii="Times New Roman" w:hAnsi="Times New Roman"/>
        </w:rPr>
        <w:t xml:space="preserve">. Alcohols </w:t>
      </w:r>
      <w:r w:rsidR="00483686" w:rsidRPr="00F74C1D">
        <w:rPr>
          <w:rFonts w:ascii="Times New Roman" w:hAnsi="Times New Roman"/>
          <w:b/>
        </w:rPr>
        <w:t>6c</w:t>
      </w:r>
      <w:r w:rsidR="00483686" w:rsidRPr="00F74C1D">
        <w:rPr>
          <w:rFonts w:ascii="Times New Roman" w:hAnsi="Times New Roman"/>
        </w:rPr>
        <w:t xml:space="preserve"> and </w:t>
      </w:r>
      <w:r w:rsidR="00483686" w:rsidRPr="00F74C1D">
        <w:rPr>
          <w:rFonts w:ascii="Times New Roman" w:hAnsi="Times New Roman"/>
          <w:b/>
        </w:rPr>
        <w:t xml:space="preserve">6d </w:t>
      </w:r>
      <w:r w:rsidR="00483686" w:rsidRPr="00F74C1D">
        <w:rPr>
          <w:rFonts w:ascii="Times New Roman" w:hAnsi="Times New Roman"/>
        </w:rPr>
        <w:t>were obtained from commercially available aldehydes using NaBH</w:t>
      </w:r>
      <w:r w:rsidR="00483686" w:rsidRPr="00F74C1D">
        <w:rPr>
          <w:rFonts w:ascii="Times New Roman" w:hAnsi="Times New Roman"/>
          <w:vertAlign w:val="subscript"/>
        </w:rPr>
        <w:t>4</w:t>
      </w:r>
      <w:r w:rsidR="00483686" w:rsidRPr="00F74C1D">
        <w:rPr>
          <w:rFonts w:ascii="Times New Roman" w:hAnsi="Times New Roman"/>
        </w:rPr>
        <w:t xml:space="preserve"> in EtOH as a reducing agent </w:t>
      </w:r>
      <w:r w:rsidR="00483686" w:rsidRPr="00F74C1D">
        <w:rPr>
          <w:rFonts w:ascii="Times New Roman" w:hAnsi="Times New Roman"/>
        </w:rPr>
        <w:fldChar w:fldCharType="begin" w:fldLock="1"/>
      </w:r>
      <w:r w:rsidR="00131813">
        <w:rPr>
          <w:rFonts w:ascii="Times New Roman" w:hAnsi="Times New Roman"/>
        </w:rPr>
        <w:instrText>ADDIN CSL_CITATION {"citationItems":[{"id":"ITEM-1","itemData":{"DOI":"10.1021/acs.jafc.8b06346","ISSN":"15205118","PMID":"30554510","abstract":"The Moroccan locust, Dociostaurus maroccanus (Thunberg, 1815) (Orthoptera: Acrididae), is a polyphagous pest capable of inflicting large losses in agriculture under favorable environmental and climatic conditions. Currently, control of the pest relies solely on the application of conventional insecticides that have negative effects on the environment and human safety. In the search for a more rational, environmentally acceptable approach for locust control, we have previously reported that (Z/E)-phytal (1) is a male-produced candidate sex pheromone of this acridid. This molecule, with two stereogenic centers at C-7 and C-11, has four different diastereomers along with the Z/E stereochemistry of the double bond at C-2. In this paper, we present for the first time the enantioselective synthesis of the four diastereomers of (E)-phytal and their electrophysiological and behavioral activity on males and females. Our results demonstrate that the (R,R)-phytal is the most active diastereomer in both assays, significantly attracting females in a double-choice Y olfactometer, and confirming the previous chromatographic assignment as component of the sex pheromone of the Moroccan locust.","author":[{"dropping-particle":"","family":"Guerrero","given":"Angel","non-dropping-particle":"","parse-names":false,"suffix":""},{"dropping-particle":"","family":"Ramos","given":"Victoria Elena","non-dropping-particle":"","parse-names":false,"suffix":""},{"dropping-particle":"","family":"López","given":"Sergio","non-dropping-particle":"","parse-names":false,"suffix":""},{"dropping-particle":"","family":"Alvarez","given":"José María","non-dropping-particle":"","parse-names":false,"suffix":""},{"dropping-particle":"","family":"Domínguez","given":"Aroa","non-dropping-particle":"","parse-names":false,"suffix":""},{"dropping-particle":"","family":"Coca-Abia","given":"María Milagro","non-dropping-particle":"","parse-names":false,"suffix":""},{"dropping-particle":"","family":"Bosch","given":"María Pilar","non-dropping-particle":"","parse-names":false,"suffix":""},{"dropping-particle":"","family":"Quero","given":"Carmen","non-dropping-particle":"","parse-names":false,"suffix":""}],"container-title":"Journal of Agricultural and Food Chemistry","id":"ITEM-1","issue":"1","issued":{"date-parts":[["2019"]]},"page":"72-80","title":"Enantioselective Synthesis and Activity of All Diastereoisomers of (E)-Phytal, a Pheromone Component of the Moroccan Locust, Dociostaurus maroccanus","type":"article-journal","volume":"67"},"uris":["http://www.mendeley.com/documents/?uuid=76252f2c-2cdc-41ac-84d7-6b4befcdc64f"]},{"id":"ITEM-2","itemData":{"DOI":"10.3390/ijms21010126","ISSN":"14220067","PMID":"31878088","abstract":"Tyrosyl-DNA phosphodiesterase 1 (Tdp1) is an important DNA repair enzyme in humans, and a current and promising inhibition target for the development of new chemosensitizing agents due to its ability to remove DNA damage caused by topoisomerase 1 (Top1) poisons such as topotecan and irinotecan. Herein, we report our work on the synthesis and characterization of new Tdp1 inhibitors that combine the arylcoumarin (neoflavonoid) and monoterpenoid moieties. Our results showed that they are potent Tdp1 inhibitors with IC50 values in the submicromolar range. In vivo experiments with mice revealed that compound 3ba (IC50 0.62 μM) induced a significant increase in the antitumor effect of topotecan on the Krebs-2 ascites tumor model. Our results further strengthen the argument that Tdp1 is a druggable target with the potential to be developed into a clinically-potent adjunct therapy in conjunction with Top1 poisons.","author":[{"dropping-particle":"","family":"Khomenko","given":"Tatyana M.","non-dropping-particle":"","parse-names":false,"suffix":""},{"dropping-particle":"","family":"Zakharenko","given":"Alexandra L.","non-dropping-particle":"","parse-names":false,"suffix":""},{"dropping-particle":"","family":"Chepanova","given":"Arina A.","non-dropping-particle":"","parse-names":false,"suffix":""},{"dropping-particle":"","family":"Ilina","given":"Ekaterina S.","non-dropping-particle":"","parse-names":false,"suffix":""},{"dropping-particle":"","family":"Zakharova","given":"Olga D.","non-dropping-particle":"","parse-names":false,"suffix":""},{"dropping-particle":"","family":"Kaledin","given":"Vasily I.","non-dropping-particle":"","parse-names":false,"suffix":""},{"dropping-particle":"","family":"Nikolin","given":"Valeriy P.","non-dropping-particle":"","parse-names":false,"suffix":""},{"dropping-particle":"","family":"Popova","given":"Nelly A.","non-dropping-particle":"","parse-names":false,"suffix":""},{"dropping-particle":"V.","family":"Korchagina","given":"Dina","non-dropping-particle":"","parse-names":false,"suffix":""},{"dropping-particle":"","family":"Reynisson","given":"Jóhannes","non-dropping-particle":"","parse-names":false,"suffix":""},{"dropping-particle":"","family":"Chand","given":"Raina","non-dropping-particle":"","parse-names":false,"suffix":""},{"dropping-particle":"","family":"Ayine-tora","given":"Daniel M.","non-dropping-particle":"","parse-names":false,"suffix":""},{"dropping-particle":"","family":"Patel","given":"Jinal","non-dropping-particle":"","parse-names":false,"suffix":""},{"dropping-particle":"","family":"Leung","given":"Ivanhoe K.H.","non-dropping-particle":"","parse-names":false,"suffix":""},{"dropping-particle":"","family":"Volcho","given":"Konstantin P.","non-dropping-particle":"","parse-names":false,"suffix":""},{"dropping-particle":"","family":"Salakhutdinov","given":"Nariman F.","non-dropping-particle":"","parse-names":false,"suffix":""},{"dropping-particle":"","family":"Lavrik","given":"Olga I.","non-dropping-particle":"","parse-names":false,"suffix":""}],"container-title":"International Journal of Molecular Sciences","id":"ITEM-2","issue":"1","issued":{"date-parts":[["2020"]]},"title":"Promising new inhibitors of tyrosyl-DNA phosphodiesterase I (Tdp 1) combining 4- arylcoumarin and monoterpenoid moieties as components of complex antitumor therapy","type":"article-journal","volume":"21"},"uris":["http://www.mendeley.com/documents/?uuid=ce1b2e1a-6783-4a24-bc27-780e3a5a52c7"]}],"mendeley":{"formattedCitation":"[13,24]","manualFormatting":"[15,17,","plainTextFormattedCitation":"[13,24]","previouslyFormattedCitation":"[13,24]"},"properties":{"noteIndex":0},"schema":"https://github.com/citation-style-language/schema/raw/master/csl-citation.json"}</w:instrText>
      </w:r>
      <w:r w:rsidR="00483686" w:rsidRPr="00F74C1D">
        <w:rPr>
          <w:rFonts w:ascii="Times New Roman" w:hAnsi="Times New Roman"/>
        </w:rPr>
        <w:fldChar w:fldCharType="separate"/>
      </w:r>
      <w:r w:rsidR="00483686" w:rsidRPr="00F74C1D">
        <w:rPr>
          <w:rFonts w:ascii="Times New Roman" w:hAnsi="Times New Roman"/>
          <w:noProof/>
        </w:rPr>
        <w:t>[15,17,</w:t>
      </w:r>
      <w:r w:rsidR="00483686" w:rsidRPr="00F74C1D">
        <w:rPr>
          <w:rFonts w:ascii="Times New Roman" w:hAnsi="Times New Roman"/>
          <w:lang w:val="ru-RU"/>
        </w:rPr>
        <w:fldChar w:fldCharType="end"/>
      </w:r>
      <w:r w:rsidR="00483686" w:rsidRPr="00F74C1D">
        <w:rPr>
          <w:rFonts w:ascii="Times New Roman" w:hAnsi="Times New Roman"/>
        </w:rPr>
        <w:fldChar w:fldCharType="begin" w:fldLock="1"/>
      </w:r>
      <w:r w:rsidR="00131813">
        <w:rPr>
          <w:rFonts w:ascii="Times New Roman" w:hAnsi="Times New Roman"/>
        </w:rPr>
        <w:instrText>ADDIN CSL_CITATION {"citationItems":[{"id":"ITEM-1","itemData":{"DOI":"10.1016/j.tetasy.2010.01.014","ISSN":"09574166","abstract":"The enantioselective syntheses of diquinane and cis, anti, cis-linear triquinanes, starting from the readily available (S)-campholenaldehyde, employing an intramolecular rhodium carbenoid CH insertion reaction, are described. © 2010 Elsevier Ltd. All rights reserved.","author":[{"dropping-particle":"","family":"Srikrishna","given":"A.","non-dropping-particle":"","parse-names":false,"suffix":""},{"dropping-particle":"","family":"Gowri","given":"Vijayendran","non-dropping-particle":"","parse-names":false,"suffix":""},{"dropping-particle":"","family":"Neetu","given":"Ghodke","non-dropping-particle":"","parse-names":false,"suffix":""}],"container-title":"Tetrahedron Asymmetry","id":"ITEM-1","issue":"2","issued":{"date-parts":[["2010"]]},"page":"202-207","publisher":"Elsevier Ltd","title":"Enantioselective syntheses of diquinane and (cis, anti, cis)-linear triquinanes","type":"article-journal","volume":"21"},"uris":["http://www.mendeley.com/documents/?uuid=b17bfa71-78f3-43ba-9ca7-8768c8cf2aa6"]}],"mendeley":{"formattedCitation":"[25]","manualFormatting":"18]","plainTextFormattedCitation":"[25]","previouslyFormattedCitation":"[25]"},"properties":{"noteIndex":0},"schema":"https://github.com/citation-style-language/schema/raw/master/csl-citation.json"}</w:instrText>
      </w:r>
      <w:r w:rsidR="00483686" w:rsidRPr="00F74C1D">
        <w:rPr>
          <w:rFonts w:ascii="Times New Roman" w:hAnsi="Times New Roman"/>
        </w:rPr>
        <w:fldChar w:fldCharType="separate"/>
      </w:r>
      <w:r w:rsidR="00483686" w:rsidRPr="00F74C1D">
        <w:rPr>
          <w:rFonts w:ascii="Times New Roman" w:hAnsi="Times New Roman"/>
          <w:noProof/>
        </w:rPr>
        <w:t>18]</w:t>
      </w:r>
      <w:r w:rsidR="00483686" w:rsidRPr="00F74C1D">
        <w:rPr>
          <w:rFonts w:ascii="Times New Roman" w:hAnsi="Times New Roman"/>
          <w:lang w:val="ru-RU"/>
        </w:rPr>
        <w:fldChar w:fldCharType="end"/>
      </w:r>
      <w:r w:rsidR="00483686" w:rsidRPr="00F74C1D">
        <w:rPr>
          <w:rFonts w:ascii="Times New Roman" w:hAnsi="Times New Roman"/>
        </w:rPr>
        <w:t>.</w:t>
      </w:r>
    </w:p>
    <w:p w14:paraId="61E2AB3B" w14:textId="77777777" w:rsidR="00483686" w:rsidRPr="00F74C1D" w:rsidRDefault="00483686" w:rsidP="00483686">
      <w:pPr>
        <w:pStyle w:val="MDPI31text"/>
        <w:ind w:left="0"/>
        <w:jc w:val="center"/>
        <w:rPr>
          <w:rFonts w:ascii="Times New Roman" w:hAnsi="Times New Roman"/>
        </w:rPr>
      </w:pPr>
      <w:r w:rsidRPr="00F74C1D">
        <w:rPr>
          <w:rFonts w:ascii="Times New Roman" w:hAnsi="Times New Roman"/>
        </w:rPr>
        <w:object w:dxaOrig="4395" w:dyaOrig="2565" w14:anchorId="456378F0">
          <v:shape id="_x0000_i1027" type="#_x0000_t75" style="width:219.5pt;height:127pt" o:ole="">
            <v:imagedata r:id="rId17" o:title=""/>
          </v:shape>
          <o:OLEObject Type="Embed" ProgID="ChemDraw.Document.6.0" ShapeID="_x0000_i1027" DrawAspect="Content" ObjectID="_1722411432" r:id="rId18"/>
        </w:object>
      </w:r>
    </w:p>
    <w:p w14:paraId="4FCFE95F" w14:textId="77777777" w:rsidR="00483686" w:rsidRPr="00F74C1D" w:rsidRDefault="00483686" w:rsidP="00483686">
      <w:pPr>
        <w:pStyle w:val="MDPI31text"/>
        <w:ind w:left="0"/>
        <w:jc w:val="center"/>
        <w:rPr>
          <w:rFonts w:ascii="Times New Roman" w:hAnsi="Times New Roman"/>
        </w:rPr>
      </w:pPr>
      <w:r w:rsidRPr="00F74C1D">
        <w:rPr>
          <w:rFonts w:ascii="Times New Roman" w:hAnsi="Times New Roman"/>
          <w:b/>
        </w:rPr>
        <w:t xml:space="preserve">Scheme 1. </w:t>
      </w:r>
      <w:r w:rsidRPr="00F74C1D">
        <w:rPr>
          <w:rFonts w:ascii="Times New Roman" w:hAnsi="Times New Roman"/>
        </w:rPr>
        <w:t xml:space="preserve">Synthesis of bromides </w:t>
      </w:r>
      <w:r w:rsidRPr="00F74C1D">
        <w:rPr>
          <w:rFonts w:ascii="Times New Roman" w:hAnsi="Times New Roman"/>
          <w:b/>
        </w:rPr>
        <w:t>7a</w:t>
      </w:r>
      <w:r w:rsidRPr="00364C8C">
        <w:rPr>
          <w:rFonts w:ascii="Times New Roman" w:hAnsi="Times New Roman"/>
        </w:rPr>
        <w:t>-</w:t>
      </w:r>
      <w:r w:rsidRPr="00F74C1D">
        <w:rPr>
          <w:rFonts w:ascii="Times New Roman" w:hAnsi="Times New Roman"/>
          <w:b/>
        </w:rPr>
        <w:t>e</w:t>
      </w:r>
      <w:r w:rsidRPr="00F74C1D">
        <w:rPr>
          <w:rFonts w:ascii="Times New Roman" w:hAnsi="Times New Roman"/>
        </w:rPr>
        <w:t>.</w:t>
      </w:r>
    </w:p>
    <w:p w14:paraId="7638D3C6" w14:textId="07110D42" w:rsidR="00483686" w:rsidRPr="00F74C1D" w:rsidRDefault="00483686" w:rsidP="00F74C1D">
      <w:pPr>
        <w:pStyle w:val="MDPI31text"/>
        <w:spacing w:before="60" w:after="60"/>
        <w:ind w:left="0"/>
        <w:rPr>
          <w:rFonts w:ascii="Times New Roman" w:hAnsi="Times New Roman"/>
        </w:rPr>
      </w:pPr>
      <w:r w:rsidRPr="00F74C1D">
        <w:rPr>
          <w:rFonts w:ascii="Times New Roman" w:hAnsi="Times New Roman"/>
        </w:rPr>
        <w:t xml:space="preserve">Bromide </w:t>
      </w:r>
      <w:r w:rsidRPr="00F74C1D">
        <w:rPr>
          <w:rFonts w:ascii="Times New Roman" w:hAnsi="Times New Roman"/>
          <w:b/>
        </w:rPr>
        <w:t>7f</w:t>
      </w:r>
      <w:r w:rsidRPr="00F74C1D">
        <w:rPr>
          <w:rFonts w:ascii="Times New Roman" w:hAnsi="Times New Roman"/>
        </w:rPr>
        <w:t xml:space="preserve"> was synthesized fr</w:t>
      </w:r>
      <w:r w:rsidR="002B7689">
        <w:rPr>
          <w:rFonts w:ascii="Times New Roman" w:hAnsi="Times New Roman"/>
        </w:rPr>
        <w:t>o</w:t>
      </w:r>
      <w:r w:rsidRPr="00F74C1D">
        <w:rPr>
          <w:rFonts w:ascii="Times New Roman" w:hAnsi="Times New Roman"/>
        </w:rPr>
        <w:t xml:space="preserve">m (+)-α-pinene </w:t>
      </w:r>
      <w:r w:rsidRPr="00F74C1D">
        <w:rPr>
          <w:rFonts w:ascii="Times New Roman" w:hAnsi="Times New Roman"/>
          <w:b/>
        </w:rPr>
        <w:t>8</w:t>
      </w:r>
      <w:r w:rsidRPr="00F74C1D">
        <w:rPr>
          <w:rFonts w:ascii="Times New Roman" w:hAnsi="Times New Roman"/>
        </w:rPr>
        <w:t>. First, we obtained (-)-</w:t>
      </w:r>
      <w:proofErr w:type="spellStart"/>
      <w:r w:rsidRPr="00F74C1D">
        <w:rPr>
          <w:rFonts w:ascii="Times New Roman" w:hAnsi="Times New Roman"/>
        </w:rPr>
        <w:t>campholenic</w:t>
      </w:r>
      <w:proofErr w:type="spellEnd"/>
      <w:r w:rsidRPr="00F74C1D">
        <w:rPr>
          <w:rFonts w:ascii="Times New Roman" w:hAnsi="Times New Roman"/>
        </w:rPr>
        <w:t xml:space="preserve"> aldehyde </w:t>
      </w:r>
      <w:r w:rsidRPr="00F74C1D">
        <w:rPr>
          <w:rFonts w:ascii="Times New Roman" w:hAnsi="Times New Roman"/>
          <w:b/>
        </w:rPr>
        <w:t>10</w:t>
      </w:r>
      <w:r w:rsidRPr="00F74C1D">
        <w:rPr>
          <w:rFonts w:ascii="Times New Roman" w:hAnsi="Times New Roman"/>
        </w:rPr>
        <w:t xml:space="preserve">. For this, (+)-α-pinene </w:t>
      </w:r>
      <w:r w:rsidRPr="00F74C1D">
        <w:rPr>
          <w:rFonts w:ascii="Times New Roman" w:hAnsi="Times New Roman"/>
          <w:b/>
        </w:rPr>
        <w:t>8</w:t>
      </w:r>
      <w:r w:rsidRPr="00F74C1D">
        <w:rPr>
          <w:rFonts w:ascii="Times New Roman" w:hAnsi="Times New Roman"/>
        </w:rPr>
        <w:t xml:space="preserve"> was oxidized to (+)-α-pinene epoxide </w:t>
      </w:r>
      <w:r w:rsidRPr="00F74C1D">
        <w:rPr>
          <w:rFonts w:ascii="Times New Roman" w:hAnsi="Times New Roman"/>
          <w:b/>
        </w:rPr>
        <w:t>9</w:t>
      </w:r>
      <w:r w:rsidRPr="00F74C1D">
        <w:rPr>
          <w:rFonts w:ascii="Times New Roman" w:hAnsi="Times New Roman"/>
        </w:rPr>
        <w:t xml:space="preserve">, which was then converted to aldehyde </w:t>
      </w:r>
      <w:r w:rsidRPr="00F74C1D">
        <w:rPr>
          <w:rFonts w:ascii="Times New Roman" w:hAnsi="Times New Roman"/>
          <w:b/>
        </w:rPr>
        <w:t>10</w:t>
      </w:r>
      <w:r w:rsidRPr="00F74C1D">
        <w:rPr>
          <w:rFonts w:ascii="Times New Roman" w:hAnsi="Times New Roman"/>
        </w:rPr>
        <w:t xml:space="preserve"> by the action of ZnCl</w:t>
      </w:r>
      <w:r w:rsidRPr="00F74C1D">
        <w:rPr>
          <w:rFonts w:ascii="Times New Roman" w:hAnsi="Times New Roman"/>
          <w:vertAlign w:val="subscript"/>
        </w:rPr>
        <w:t>2</w:t>
      </w:r>
      <w:r w:rsidRPr="00F74C1D">
        <w:rPr>
          <w:rFonts w:ascii="Times New Roman" w:hAnsi="Times New Roman"/>
        </w:rPr>
        <w:t xml:space="preserve"> followed by ring opening </w:t>
      </w:r>
      <w:r w:rsidRPr="00F74C1D">
        <w:rPr>
          <w:rFonts w:ascii="Times New Roman" w:hAnsi="Times New Roman"/>
        </w:rPr>
        <w:fldChar w:fldCharType="begin" w:fldLock="1"/>
      </w:r>
      <w:r w:rsidR="00131813">
        <w:rPr>
          <w:rFonts w:ascii="Times New Roman" w:hAnsi="Times New Roman"/>
        </w:rPr>
        <w:instrText>ADDIN CSL_CITATION {"citationItems":[{"id":"ITEM-1","itemData":{"author":[{"dropping-particle":"","family":"Lopez","given":"Luigi","non-dropping-particle":"","parse-names":false,"suffix":""},{"dropping-particle":"","family":"Mele","given":"Giuseppe","non-dropping-particle":"","parse-names":false,"suffix":""},{"dropping-particle":"","family":"Fiandanese","given":"Vito","non-dropping-particle":"","parse-names":false,"suffix":""},{"dropping-particle":"","family":"Cardellicchio","given":"Cosimo","non-dropping-particle":"","parse-names":false,"suffix":""},{"dropping-particle":"","family":"Nacci","given":"Angelo","non-dropping-particle":"","parse-names":false,"suffix":""}],"container-title":"Tetrahedron Letters","id":"ITEM-1","issue":"30","issued":{"date-parts":[["1994"]]},"page":"9097-9106","title":"Aminium salts catalyzed rearrangement of a=pinene and p-ionone oxides","type":"article-journal","volume":"50"},"uris":["http://www.mendeley.com/documents/?uuid=5dc58ac5-8305-48dd-add8-bab760515ce4"]},{"id":"ITEM-2","itemData":{"DOI":"10.1002/hlca.19920750507","ISSN":"15222675","abstract":"In connection with structure</w:instrText>
      </w:r>
      <w:r w:rsidR="00131813">
        <w:rPr>
          <w:rFonts w:ascii="Cambria Math" w:hAnsi="Cambria Math" w:cs="Cambria Math"/>
        </w:rPr>
        <w:instrText>‐</w:instrText>
      </w:r>
      <w:r w:rsidR="00131813">
        <w:rPr>
          <w:rFonts w:ascii="Times New Roman" w:hAnsi="Times New Roman"/>
        </w:rPr>
        <w:instrText>activity relationship studies, analogues of campholenal ((+)</w:instrText>
      </w:r>
      <w:r w:rsidR="00131813">
        <w:rPr>
          <w:rFonts w:ascii="Cambria Math" w:hAnsi="Cambria Math" w:cs="Cambria Math"/>
        </w:rPr>
        <w:instrText>‐</w:instrText>
      </w:r>
      <w:r w:rsidR="00131813">
        <w:rPr>
          <w:rFonts w:ascii="Times New Roman" w:hAnsi="Times New Roman"/>
        </w:rPr>
        <w:instrText>4b), an important building block for sandalwood</w:instrText>
      </w:r>
      <w:r w:rsidR="00131813">
        <w:rPr>
          <w:rFonts w:ascii="Cambria Math" w:hAnsi="Cambria Math" w:cs="Cambria Math"/>
        </w:rPr>
        <w:instrText>‐</w:instrText>
      </w:r>
      <w:r w:rsidR="00131813">
        <w:rPr>
          <w:rFonts w:ascii="Times New Roman" w:hAnsi="Times New Roman"/>
        </w:rPr>
        <w:instrText>like odorants, were prepared. The five</w:instrText>
      </w:r>
      <w:r w:rsidR="00131813">
        <w:rPr>
          <w:rFonts w:ascii="Cambria Math" w:hAnsi="Cambria Math" w:cs="Cambria Math"/>
        </w:rPr>
        <w:instrText>‐</w:instrText>
      </w:r>
      <w:r w:rsidR="00131813">
        <w:rPr>
          <w:rFonts w:ascii="Times New Roman" w:hAnsi="Times New Roman"/>
        </w:rPr>
        <w:instrText>membered</w:instrText>
      </w:r>
      <w:r w:rsidR="00131813">
        <w:rPr>
          <w:rFonts w:ascii="Cambria Math" w:hAnsi="Cambria Math" w:cs="Cambria Math"/>
        </w:rPr>
        <w:instrText>‐</w:instrText>
      </w:r>
      <w:r w:rsidR="00131813">
        <w:rPr>
          <w:rFonts w:ascii="Times New Roman" w:hAnsi="Times New Roman"/>
        </w:rPr>
        <w:instrText>ring analogues 4 were obtained by epoxidation of the corresponding α</w:instrText>
      </w:r>
      <w:r w:rsidR="00131813">
        <w:rPr>
          <w:rFonts w:ascii="Cambria Math" w:hAnsi="Cambria Math" w:cs="Cambria Math"/>
        </w:rPr>
        <w:instrText>‐</w:instrText>
      </w:r>
      <w:r w:rsidR="00131813">
        <w:rPr>
          <w:rFonts w:ascii="Times New Roman" w:hAnsi="Times New Roman"/>
        </w:rPr>
        <w:instrText>pinene derivatives 2, followed by catalytic ZnBr2 isomerisation (Scheme 2). The six</w:instrText>
      </w:r>
      <w:r w:rsidR="00131813">
        <w:rPr>
          <w:rFonts w:ascii="Cambria Math" w:hAnsi="Cambria Math" w:cs="Cambria Math"/>
        </w:rPr>
        <w:instrText>‐</w:instrText>
      </w:r>
      <w:r w:rsidR="00131813">
        <w:rPr>
          <w:rFonts w:ascii="Times New Roman" w:hAnsi="Times New Roman"/>
        </w:rPr>
        <w:instrText>membered</w:instrText>
      </w:r>
      <w:r w:rsidR="00131813">
        <w:rPr>
          <w:rFonts w:ascii="Cambria Math" w:hAnsi="Cambria Math" w:cs="Cambria Math"/>
        </w:rPr>
        <w:instrText>‐</w:instrText>
      </w:r>
      <w:r w:rsidR="00131813">
        <w:rPr>
          <w:rFonts w:ascii="Times New Roman" w:hAnsi="Times New Roman"/>
        </w:rPr>
        <w:instrText>ring skeleton was obtained by ozonolysis of α</w:instrText>
      </w:r>
      <w:r w:rsidR="00131813">
        <w:rPr>
          <w:rFonts w:ascii="Cambria Math" w:hAnsi="Cambria Math" w:cs="Cambria Math"/>
        </w:rPr>
        <w:instrText>‐</w:instrText>
      </w:r>
      <w:r w:rsidR="00131813">
        <w:rPr>
          <w:rFonts w:ascii="Times New Roman" w:hAnsi="Times New Roman"/>
        </w:rPr>
        <w:instrText>campholenyl acetate ((−)</w:instrText>
      </w:r>
      <w:r w:rsidR="00131813">
        <w:rPr>
          <w:rFonts w:ascii="Cambria Math" w:hAnsi="Cambria Math" w:cs="Cambria Math"/>
        </w:rPr>
        <w:instrText>‐</w:instrText>
      </w:r>
      <w:r w:rsidR="00131813">
        <w:rPr>
          <w:rFonts w:ascii="Times New Roman" w:hAnsi="Times New Roman"/>
        </w:rPr>
        <w:instrText>14b), followed by intramolecular aldol condensation (Scheme 5). 13C</w:instrText>
      </w:r>
      <w:r w:rsidR="00131813">
        <w:rPr>
          <w:rFonts w:ascii="Cambria Math" w:hAnsi="Cambria Math" w:cs="Cambria Math"/>
        </w:rPr>
        <w:instrText>‐</w:instrText>
      </w:r>
      <w:r w:rsidR="00131813">
        <w:rPr>
          <w:rFonts w:ascii="Times New Roman" w:hAnsi="Times New Roman"/>
        </w:rPr>
        <w:instrText>NMR assignments are given. Copyright © 1992 Verlag GmbH &amp; Co. KGaA, Weinheim","author":[{"dropping-particle":"","family":"Chapuis","given":"Christian","non-dropping-particle":"","parse-names":false,"suffix":""},{"dropping-particle":"","family":"Brauchli","given":"Robert","non-dropping-particle":"","parse-names":false,"suffix":""}],"container-title":"Helvetica Chimica Acta","id":"ITEM-2","issue":"5","issued":{"date-parts":[["1992"]]},"page":"1527-1546","title":"Preparation of Campholenal Analogues: Chirons for the lipophilic moiety of sandalwood</w:instrText>
      </w:r>
      <w:r w:rsidR="00131813">
        <w:rPr>
          <w:rFonts w:ascii="Cambria Math" w:hAnsi="Cambria Math" w:cs="Cambria Math"/>
        </w:rPr>
        <w:instrText>‐</w:instrText>
      </w:r>
      <w:r w:rsidR="00131813">
        <w:rPr>
          <w:rFonts w:ascii="Times New Roman" w:hAnsi="Times New Roman"/>
        </w:rPr>
        <w:instrText>like odorant alcohols","type":"article-journal","volume":"75"},"uris":["http://www.mendeley.com/documents/?uuid=38cbae52-134a-4c03-a5cf-0b8d17252b24"]}],"mendeley":{"formattedCitation":"[26,27]","plainTextFormattedCitation":"[26,27]","previouslyFormattedCitation":"[26,27]"},"properties":{"noteIndex":0},"schema":"https://github.com/citation-style-language/schema/raw/master/csl-citation.json"}</w:instrText>
      </w:r>
      <w:r w:rsidRPr="00F74C1D">
        <w:rPr>
          <w:rFonts w:ascii="Times New Roman" w:hAnsi="Times New Roman"/>
        </w:rPr>
        <w:fldChar w:fldCharType="separate"/>
      </w:r>
      <w:r w:rsidR="00066076" w:rsidRPr="00066076">
        <w:rPr>
          <w:rFonts w:ascii="Times New Roman" w:hAnsi="Times New Roman"/>
          <w:noProof/>
        </w:rPr>
        <w:t>[26,27]</w:t>
      </w:r>
      <w:r w:rsidRPr="00F74C1D">
        <w:rPr>
          <w:rFonts w:ascii="Times New Roman" w:hAnsi="Times New Roman"/>
          <w:lang w:val="ru-RU"/>
        </w:rPr>
        <w:fldChar w:fldCharType="end"/>
      </w:r>
      <w:r w:rsidRPr="00F74C1D">
        <w:rPr>
          <w:rFonts w:ascii="Times New Roman" w:hAnsi="Times New Roman"/>
        </w:rPr>
        <w:t xml:space="preserve">. Then, aldehyde </w:t>
      </w:r>
      <w:r w:rsidRPr="00F74C1D">
        <w:rPr>
          <w:rFonts w:ascii="Times New Roman" w:hAnsi="Times New Roman"/>
          <w:b/>
        </w:rPr>
        <w:t>10</w:t>
      </w:r>
      <w:r w:rsidRPr="00F74C1D">
        <w:rPr>
          <w:rFonts w:ascii="Times New Roman" w:hAnsi="Times New Roman"/>
        </w:rPr>
        <w:t xml:space="preserve"> was converted to alcohol </w:t>
      </w:r>
      <w:r w:rsidRPr="00F74C1D">
        <w:rPr>
          <w:rFonts w:ascii="Times New Roman" w:hAnsi="Times New Roman"/>
          <w:b/>
        </w:rPr>
        <w:t>6f</w:t>
      </w:r>
      <w:r w:rsidRPr="00F74C1D">
        <w:rPr>
          <w:rFonts w:ascii="Times New Roman" w:hAnsi="Times New Roman"/>
        </w:rPr>
        <w:t xml:space="preserve"> using NaBH</w:t>
      </w:r>
      <w:r w:rsidRPr="00F74C1D">
        <w:rPr>
          <w:rFonts w:ascii="Times New Roman" w:hAnsi="Times New Roman"/>
          <w:vertAlign w:val="subscript"/>
        </w:rPr>
        <w:t>4</w:t>
      </w:r>
      <w:r w:rsidRPr="00F74C1D">
        <w:rPr>
          <w:rFonts w:ascii="Times New Roman" w:hAnsi="Times New Roman"/>
        </w:rPr>
        <w:t xml:space="preserve"> in EtOH </w:t>
      </w:r>
      <w:r w:rsidRPr="00F74C1D">
        <w:rPr>
          <w:rFonts w:ascii="Times New Roman" w:hAnsi="Times New Roman"/>
        </w:rPr>
        <w:fldChar w:fldCharType="begin" w:fldLock="1"/>
      </w:r>
      <w:r w:rsidR="00131813">
        <w:rPr>
          <w:rFonts w:ascii="Times New Roman" w:hAnsi="Times New Roman"/>
        </w:rPr>
        <w:instrText>ADDIN CSL_CITATION {"citationItems":[{"id":"ITEM-1","itemData":{"DOI":"10.1016/j.tetasy.2010.01.014","ISSN":"09574166","abstract":"The enantioselective syntheses of diquinane and cis, anti, cis-linear triquinanes, starting from the readily available (S)-campholenaldehyde, employing an intramolecular rhodium carbenoid CH insertion reaction, are described. © 2010 Elsevier Ltd. All rights reserved.","author":[{"dropping-particle":"","family":"Srikrishna","given":"A.","non-dropping-particle":"","parse-names":false,"suffix":""},{"dropping-particle":"","family":"Gowri","given":"Vijayendran","non-dropping-particle":"","parse-names":false,"suffix":""},{"dropping-particle":"","family":"Neetu","given":"Ghodke","non-dropping-particle":"","parse-names":false,"suffix":""}],"container-title":"Tetrahedron Asymmetry","id":"ITEM-1","issue":"2","issued":{"date-parts":[["2010"]]},"page":"202-207","publisher":"Elsevier Ltd","title":"Enantioselective syntheses of diquinane and (cis, anti, cis)-linear triquinanes","type":"article-journal","volume":"21"},"uris":["http://www.mendeley.com/documents/?uuid=b17bfa71-78f3-43ba-9ca7-8768c8cf2aa6"]}],"mendeley":{"formattedCitation":"[25]","plainTextFormattedCitation":"[25]","previouslyFormattedCitation":"[25]"},"properties":{"noteIndex":0},"schema":"https://github.com/citation-style-language/schema/raw/master/csl-citation.json"}</w:instrText>
      </w:r>
      <w:r w:rsidRPr="00F74C1D">
        <w:rPr>
          <w:rFonts w:ascii="Times New Roman" w:hAnsi="Times New Roman"/>
        </w:rPr>
        <w:fldChar w:fldCharType="separate"/>
      </w:r>
      <w:r w:rsidR="00066076" w:rsidRPr="00066076">
        <w:rPr>
          <w:rFonts w:ascii="Times New Roman" w:hAnsi="Times New Roman"/>
          <w:noProof/>
        </w:rPr>
        <w:t>[25]</w:t>
      </w:r>
      <w:r w:rsidRPr="00F74C1D">
        <w:rPr>
          <w:rFonts w:ascii="Times New Roman" w:hAnsi="Times New Roman"/>
        </w:rPr>
        <w:fldChar w:fldCharType="end"/>
      </w:r>
      <w:r w:rsidRPr="00F74C1D">
        <w:rPr>
          <w:rFonts w:ascii="Times New Roman" w:hAnsi="Times New Roman"/>
        </w:rPr>
        <w:t xml:space="preserve">. Final synthesis of bromide </w:t>
      </w:r>
      <w:r w:rsidRPr="00F74C1D">
        <w:rPr>
          <w:rFonts w:ascii="Times New Roman" w:hAnsi="Times New Roman"/>
          <w:b/>
        </w:rPr>
        <w:t>7f</w:t>
      </w:r>
      <w:r w:rsidRPr="00F74C1D">
        <w:rPr>
          <w:rFonts w:ascii="Times New Roman" w:hAnsi="Times New Roman"/>
        </w:rPr>
        <w:t xml:space="preserve"> was carried out using NBS and PPh</w:t>
      </w:r>
      <w:r w:rsidRPr="00F74C1D">
        <w:rPr>
          <w:rFonts w:ascii="Times New Roman" w:hAnsi="Times New Roman"/>
          <w:vertAlign w:val="subscript"/>
        </w:rPr>
        <w:t>3</w:t>
      </w:r>
      <w:r w:rsidRPr="00F74C1D">
        <w:rPr>
          <w:rFonts w:ascii="Times New Roman" w:hAnsi="Times New Roman"/>
        </w:rPr>
        <w:t xml:space="preserve"> in DCM </w:t>
      </w:r>
      <w:r w:rsidR="00C734EE">
        <w:rPr>
          <w:rFonts w:ascii="Times New Roman" w:hAnsi="Times New Roman"/>
        </w:rPr>
        <w:fldChar w:fldCharType="begin" w:fldLock="1"/>
      </w:r>
      <w:r w:rsidR="00171237">
        <w:rPr>
          <w:rFonts w:ascii="Times New Roman" w:hAnsi="Times New Roman"/>
        </w:rPr>
        <w:instrText>ADDIN CSL_CITATION {"citationItems":[{"id":"ITEM-1","itemData":{"author":[{"dropping-particle":"","family":"Munkuev","given":"Aldar A","non-dropping-particle":"","parse-names":false,"suffix":""},{"dropping-particle":"","family":"Dyrkheeva","given":"Nadezhda S","non-dropping-particle":"","parse-names":false,"suffix":""},{"dropping-particle":"","family":"Kornienko","given":"Tatyana E","non-dropping-particle":"","parse-names":false,"suffix":""},{"dropping-particle":"","family":"Ilina","given":"Ekaterina S","non-dropping-particle":"","parse-names":false,"suffix":""},{"dropping-particle":"","family":"Ivankin","given":"Dmitry I","non-dropping-particle":"","parse-names":false,"suffix":""},{"dropping-particle":"V","family":"Suslov","given":"Evgeniy","non-dropping-particle":"","parse-names":false,"suffix":""},{"dropping-particle":"V","family":"Korchagina","given":"Dina","non-dropping-particle":"","parse-names":false,"suffix":""},{"dropping-particle":"V","family":"Gatilov","given":"Yuriy","non-dropping-particle":"","parse-names":false,"suffix":""},{"dropping-particle":"","family":"Zakharenko","given":"Alexandra L","non-dropping-particle":"","parse-names":false,"suffix":""},{"dropping-particle":"","family":"Malakhova","given":"Anastasia A","non-dropping-particle":"","parse-names":false,"suffix":""},{"dropping-particle":"","family":"Reynisson","given":"J","non-dropping-particle":"","parse-names":false,"suffix":""},{"dropping-particle":"","family":"Volcho","given":"Konstantin P","non-dropping-particle":"","parse-names":false,"suffix":""},{"dropping-particle":"","family":"Salakhutdinov","given":"Nariman F","non-dropping-particle":"","parse-names":false,"suffix":""},{"dropping-particle":"","family":"Lavrik","given":"Olga I","non-dropping-particle":"","parse-names":false,"suffix":""}],"id":"ITEM-1","issued":{"date-parts":[["2022"]]},"title":"Adamantane-Monoterpenoid Conjugates Linked via Heterocyclic Linkers Enhance the Cytotoxic Effect of Topotecan","type":"article-journal"},"uris":["http://www.mendeley.com/documents/?uuid=ac46e653-e131-473a-b1c8-61db56baef9a"]}],"mendeley":{"formattedCitation":"[17]","plainTextFormattedCitation":"[17]","previouslyFormattedCitation":"[17]"},"properties":{"noteIndex":0},"schema":"https://github.com/citation-style-language/schema/raw/master/csl-citation.json"}</w:instrText>
      </w:r>
      <w:r w:rsidR="00C734EE">
        <w:rPr>
          <w:rFonts w:ascii="Times New Roman" w:hAnsi="Times New Roman"/>
        </w:rPr>
        <w:fldChar w:fldCharType="separate"/>
      </w:r>
      <w:r w:rsidR="00C734EE" w:rsidRPr="00C734EE">
        <w:rPr>
          <w:rFonts w:ascii="Times New Roman" w:hAnsi="Times New Roman"/>
          <w:noProof/>
        </w:rPr>
        <w:t>[17]</w:t>
      </w:r>
      <w:r w:rsidR="00C734EE">
        <w:rPr>
          <w:rFonts w:ascii="Times New Roman" w:hAnsi="Times New Roman"/>
        </w:rPr>
        <w:fldChar w:fldCharType="end"/>
      </w:r>
      <w:r w:rsidR="00C734EE">
        <w:rPr>
          <w:rFonts w:ascii="Times New Roman" w:hAnsi="Times New Roman"/>
        </w:rPr>
        <w:t xml:space="preserve"> </w:t>
      </w:r>
      <w:r w:rsidRPr="00F74C1D">
        <w:rPr>
          <w:rFonts w:ascii="Times New Roman" w:hAnsi="Times New Roman"/>
        </w:rPr>
        <w:t>(</w:t>
      </w:r>
      <w:r w:rsidRPr="00F74C1D">
        <w:rPr>
          <w:rFonts w:ascii="Times New Roman" w:hAnsi="Times New Roman"/>
          <w:b/>
        </w:rPr>
        <w:t>Scheme 2</w:t>
      </w:r>
      <w:r w:rsidRPr="00F74C1D">
        <w:rPr>
          <w:rFonts w:ascii="Times New Roman" w:hAnsi="Times New Roman"/>
        </w:rPr>
        <w:t>).</w:t>
      </w:r>
    </w:p>
    <w:p w14:paraId="7D215334" w14:textId="77777777" w:rsidR="00483686" w:rsidRPr="00F74C1D" w:rsidRDefault="00F07FF6" w:rsidP="00F07FF6">
      <w:pPr>
        <w:pStyle w:val="MDPI31text"/>
        <w:ind w:left="0" w:firstLine="0"/>
        <w:jc w:val="center"/>
        <w:rPr>
          <w:rFonts w:ascii="Times New Roman" w:hAnsi="Times New Roman"/>
        </w:rPr>
      </w:pPr>
      <w:r w:rsidRPr="00F74C1D">
        <w:rPr>
          <w:rFonts w:ascii="Times New Roman" w:hAnsi="Times New Roman"/>
        </w:rPr>
        <w:object w:dxaOrig="7920" w:dyaOrig="1155" w14:anchorId="142371A6">
          <v:shape id="_x0000_i1028" type="#_x0000_t75" style="width:314.5pt;height:45pt" o:ole="">
            <v:imagedata r:id="rId19" o:title=""/>
          </v:shape>
          <o:OLEObject Type="Embed" ProgID="ChemDraw.Document.6.0" ShapeID="_x0000_i1028" DrawAspect="Content" ObjectID="_1722411433" r:id="rId20"/>
        </w:object>
      </w:r>
    </w:p>
    <w:p w14:paraId="0281F0E6" w14:textId="77777777" w:rsidR="00483686" w:rsidRPr="00F74C1D" w:rsidRDefault="00483686" w:rsidP="00483686">
      <w:pPr>
        <w:pStyle w:val="MDPI31text"/>
        <w:ind w:left="0"/>
        <w:jc w:val="center"/>
        <w:rPr>
          <w:rFonts w:ascii="Times New Roman" w:hAnsi="Times New Roman"/>
        </w:rPr>
      </w:pPr>
      <w:r w:rsidRPr="00F74C1D">
        <w:rPr>
          <w:rFonts w:ascii="Times New Roman" w:hAnsi="Times New Roman"/>
          <w:b/>
        </w:rPr>
        <w:t>Scheme 2.</w:t>
      </w:r>
      <w:r w:rsidRPr="00F74C1D">
        <w:rPr>
          <w:rFonts w:ascii="Times New Roman" w:hAnsi="Times New Roman"/>
        </w:rPr>
        <w:t xml:space="preserve"> Synthesis of (-)-</w:t>
      </w:r>
      <w:proofErr w:type="spellStart"/>
      <w:r w:rsidRPr="00F74C1D">
        <w:rPr>
          <w:rFonts w:ascii="Times New Roman" w:hAnsi="Times New Roman"/>
        </w:rPr>
        <w:t>campholenic</w:t>
      </w:r>
      <w:proofErr w:type="spellEnd"/>
      <w:r w:rsidRPr="00F74C1D">
        <w:rPr>
          <w:rFonts w:ascii="Times New Roman" w:hAnsi="Times New Roman"/>
        </w:rPr>
        <w:t xml:space="preserve"> bromide </w:t>
      </w:r>
      <w:r w:rsidRPr="00F74C1D">
        <w:rPr>
          <w:rFonts w:ascii="Times New Roman" w:hAnsi="Times New Roman"/>
          <w:b/>
        </w:rPr>
        <w:t>7f</w:t>
      </w:r>
      <w:r w:rsidRPr="00F74C1D">
        <w:rPr>
          <w:rFonts w:ascii="Times New Roman" w:hAnsi="Times New Roman"/>
        </w:rPr>
        <w:t>.</w:t>
      </w:r>
    </w:p>
    <w:p w14:paraId="4E035689" w14:textId="77777777" w:rsidR="00483686" w:rsidRPr="00F74C1D" w:rsidRDefault="00483686" w:rsidP="00F74C1D">
      <w:pPr>
        <w:pStyle w:val="MDPI31text"/>
        <w:spacing w:before="60" w:after="60"/>
        <w:ind w:left="0"/>
        <w:rPr>
          <w:rFonts w:ascii="Times New Roman" w:hAnsi="Times New Roman"/>
        </w:rPr>
      </w:pPr>
      <w:r w:rsidRPr="00F74C1D">
        <w:rPr>
          <w:rFonts w:ascii="Times New Roman" w:hAnsi="Times New Roman"/>
        </w:rPr>
        <w:t xml:space="preserve">Aldehydes </w:t>
      </w:r>
      <w:r w:rsidRPr="00F74C1D">
        <w:rPr>
          <w:rFonts w:ascii="Times New Roman" w:hAnsi="Times New Roman"/>
          <w:b/>
        </w:rPr>
        <w:t>5a</w:t>
      </w:r>
      <w:r w:rsidRPr="00F74C1D">
        <w:rPr>
          <w:rFonts w:ascii="Times New Roman" w:hAnsi="Times New Roman"/>
        </w:rPr>
        <w:t xml:space="preserve"> and </w:t>
      </w:r>
      <w:r w:rsidRPr="00F74C1D">
        <w:rPr>
          <w:rFonts w:ascii="Times New Roman" w:hAnsi="Times New Roman"/>
          <w:b/>
        </w:rPr>
        <w:t>5e</w:t>
      </w:r>
      <w:r w:rsidRPr="00F74C1D">
        <w:rPr>
          <w:rFonts w:ascii="Times New Roman" w:hAnsi="Times New Roman"/>
        </w:rPr>
        <w:t xml:space="preserve"> </w:t>
      </w:r>
      <w:r w:rsidR="00AC3F3A" w:rsidRPr="00F74C1D">
        <w:rPr>
          <w:rFonts w:ascii="Times New Roman" w:hAnsi="Times New Roman"/>
        </w:rPr>
        <w:t>(</w:t>
      </w:r>
      <w:r w:rsidR="00AC3F3A" w:rsidRPr="00F74C1D">
        <w:rPr>
          <w:rFonts w:ascii="Times New Roman" w:hAnsi="Times New Roman"/>
          <w:b/>
        </w:rPr>
        <w:t>Scheme 3</w:t>
      </w:r>
      <w:r w:rsidR="00AC3F3A" w:rsidRPr="00F74C1D">
        <w:rPr>
          <w:rFonts w:ascii="Times New Roman" w:hAnsi="Times New Roman"/>
        </w:rPr>
        <w:t>)</w:t>
      </w:r>
      <w:r w:rsidR="00AC3F3A">
        <w:rPr>
          <w:rFonts w:ascii="Times New Roman" w:hAnsi="Times New Roman"/>
        </w:rPr>
        <w:t xml:space="preserve"> </w:t>
      </w:r>
      <w:r w:rsidRPr="00F74C1D">
        <w:rPr>
          <w:rFonts w:ascii="Times New Roman" w:hAnsi="Times New Roman"/>
        </w:rPr>
        <w:t>we</w:t>
      </w:r>
      <w:r w:rsidR="000B2411">
        <w:rPr>
          <w:rFonts w:ascii="Times New Roman" w:hAnsi="Times New Roman"/>
        </w:rPr>
        <w:t>re</w:t>
      </w:r>
      <w:r w:rsidRPr="00F74C1D">
        <w:rPr>
          <w:rFonts w:ascii="Times New Roman" w:hAnsi="Times New Roman"/>
        </w:rPr>
        <w:t xml:space="preserve"> obtained by oxidation of 3,7-</w:t>
      </w:r>
      <w:r w:rsidR="00AC3F3A">
        <w:rPr>
          <w:rFonts w:ascii="Times New Roman" w:hAnsi="Times New Roman"/>
        </w:rPr>
        <w:t>d</w:t>
      </w:r>
      <w:r w:rsidR="00AC3F3A" w:rsidRPr="00F74C1D">
        <w:rPr>
          <w:rFonts w:ascii="Times New Roman" w:hAnsi="Times New Roman"/>
        </w:rPr>
        <w:t xml:space="preserve">imethyloctanol </w:t>
      </w:r>
      <w:r w:rsidRPr="00F74C1D">
        <w:rPr>
          <w:rFonts w:ascii="Times New Roman" w:hAnsi="Times New Roman"/>
          <w:b/>
        </w:rPr>
        <w:t>6a</w:t>
      </w:r>
      <w:r w:rsidRPr="00F74C1D">
        <w:rPr>
          <w:rFonts w:ascii="Times New Roman" w:hAnsi="Times New Roman"/>
        </w:rPr>
        <w:t xml:space="preserve"> </w:t>
      </w:r>
      <w:r w:rsidR="00AC3F3A">
        <w:rPr>
          <w:rFonts w:ascii="Times New Roman" w:hAnsi="Times New Roman"/>
        </w:rPr>
        <w:t>with</w:t>
      </w:r>
      <w:r w:rsidR="00AC3F3A" w:rsidRPr="00F74C1D">
        <w:rPr>
          <w:rFonts w:ascii="Times New Roman" w:hAnsi="Times New Roman"/>
        </w:rPr>
        <w:t xml:space="preserve"> </w:t>
      </w:r>
      <w:r w:rsidRPr="00F74C1D">
        <w:rPr>
          <w:rFonts w:ascii="Times New Roman" w:hAnsi="Times New Roman"/>
        </w:rPr>
        <w:t xml:space="preserve">PCC </w:t>
      </w:r>
      <w:r w:rsidRPr="00F74C1D">
        <w:rPr>
          <w:rFonts w:ascii="Times New Roman" w:hAnsi="Times New Roman"/>
        </w:rPr>
        <w:fldChar w:fldCharType="begin" w:fldLock="1"/>
      </w:r>
      <w:r w:rsidR="00131813">
        <w:rPr>
          <w:rFonts w:ascii="Times New Roman" w:hAnsi="Times New Roman"/>
        </w:rPr>
        <w:instrText>ADDIN CSL_CITATION {"citationItems":[{"id":"ITEM-1","itemData":{"abstract":"A new pathway has been proposed for the synthesis of the ethyl ester of 3,7,11-trimethyl-2,4-dodecadienoate (juvenoid hydroprene) from available 4-methyltetra-hydropyran. The cleavage of the latter to 3-methyl-5-bromo-1-acetoxypentane and coupling with isobutylmagnesium bromide gave tetrahydrogeraniol, which was oxidized to the corresponding aldehyde. The reaction of this aldehyde with allylmagnesium chloride and subsequent oxidation by O2/PdCl2-CuCl led to 6,10-dimethyl-3E-undecen-2-one, which was converted by a known method to the desired product as a mixture of 70% 2E,4E- and 30% 2Z,4E-stereoisomers. The yield of hydroprene in the six-step synthesis was 32% relative to 4-methyltetrahydropyran.","author":[{"dropping-particle":"","family":"N. Odinokov, G. Yu. Ishmuratov, R. Ya. Kharisov","given":"S. I. Lomakina &amp; G. A. Tolstikov","non-dropping-particle":"V.","parse-names":false,"suffix":""}],"container-title":"Bulletin of the Academy of Sciences of the USSR Division of Chemical Science","id":"ITEM-1","issue":"8.2","issued":{"date-parts":[["1989"]]},"page":"1768-1770","title":"Synthesis of ethyl 3,7,11-trimethyl-2,4-dodecadienoate (hydroprene) from 4-methyltetrahydropyran","type":"article-journal","volume":"38"},"uris":["http://www.mendeley.com/documents/?uuid=8df9f3da-7749-49ef-942f-c5c7888232be"]}],"mendeley":{"formattedCitation":"[28]","plainTextFormattedCitation":"[28]","previouslyFormattedCitation":"[28]"},"properties":{"noteIndex":0},"schema":"https://github.com/citation-style-language/schema/raw/master/csl-citation.json"}</w:instrText>
      </w:r>
      <w:r w:rsidRPr="00F74C1D">
        <w:rPr>
          <w:rFonts w:ascii="Times New Roman" w:hAnsi="Times New Roman"/>
        </w:rPr>
        <w:fldChar w:fldCharType="separate"/>
      </w:r>
      <w:r w:rsidR="00066076" w:rsidRPr="00066076">
        <w:rPr>
          <w:rFonts w:ascii="Times New Roman" w:hAnsi="Times New Roman"/>
          <w:noProof/>
        </w:rPr>
        <w:t>[28]</w:t>
      </w:r>
      <w:r w:rsidRPr="00F74C1D">
        <w:rPr>
          <w:rFonts w:ascii="Times New Roman" w:hAnsi="Times New Roman"/>
          <w:lang w:val="ru-RU"/>
        </w:rPr>
        <w:fldChar w:fldCharType="end"/>
      </w:r>
      <w:r w:rsidRPr="00F74C1D">
        <w:rPr>
          <w:rFonts w:ascii="Times New Roman" w:hAnsi="Times New Roman"/>
        </w:rPr>
        <w:t xml:space="preserve"> and (-)-</w:t>
      </w:r>
      <w:proofErr w:type="spellStart"/>
      <w:r w:rsidRPr="00F74C1D">
        <w:rPr>
          <w:rFonts w:ascii="Times New Roman" w:hAnsi="Times New Roman"/>
        </w:rPr>
        <w:t>nopol</w:t>
      </w:r>
      <w:proofErr w:type="spellEnd"/>
      <w:r w:rsidRPr="00F74C1D">
        <w:rPr>
          <w:rFonts w:ascii="Times New Roman" w:hAnsi="Times New Roman"/>
        </w:rPr>
        <w:t xml:space="preserve"> </w:t>
      </w:r>
      <w:r w:rsidRPr="00F74C1D">
        <w:rPr>
          <w:rFonts w:ascii="Times New Roman" w:hAnsi="Times New Roman"/>
          <w:b/>
        </w:rPr>
        <w:t>6e</w:t>
      </w:r>
      <w:r w:rsidRPr="00F74C1D">
        <w:rPr>
          <w:rFonts w:ascii="Times New Roman" w:hAnsi="Times New Roman"/>
        </w:rPr>
        <w:t xml:space="preserve"> </w:t>
      </w:r>
      <w:r w:rsidR="00AC3F3A">
        <w:rPr>
          <w:rFonts w:ascii="Times New Roman" w:hAnsi="Times New Roman"/>
        </w:rPr>
        <w:t>with</w:t>
      </w:r>
      <w:r w:rsidR="00AC3F3A" w:rsidRPr="00F74C1D">
        <w:rPr>
          <w:rFonts w:ascii="Times New Roman" w:hAnsi="Times New Roman"/>
        </w:rPr>
        <w:t xml:space="preserve"> </w:t>
      </w:r>
      <w:r w:rsidRPr="00F74C1D">
        <w:rPr>
          <w:rFonts w:ascii="Times New Roman" w:hAnsi="Times New Roman"/>
        </w:rPr>
        <w:t>DMP</w:t>
      </w:r>
      <w:r w:rsidR="00AC3F3A">
        <w:rPr>
          <w:rFonts w:ascii="Times New Roman" w:hAnsi="Times New Roman"/>
        </w:rPr>
        <w:t xml:space="preserve">, </w:t>
      </w:r>
      <w:r w:rsidR="00F41935" w:rsidRPr="00F74C1D">
        <w:rPr>
          <w:rFonts w:ascii="Times New Roman" w:hAnsi="Times New Roman"/>
        </w:rPr>
        <w:t>respectively</w:t>
      </w:r>
      <w:r w:rsidRPr="00F74C1D">
        <w:rPr>
          <w:rFonts w:ascii="Times New Roman" w:hAnsi="Times New Roman"/>
        </w:rPr>
        <w:t xml:space="preserve"> </w:t>
      </w:r>
      <w:r w:rsidRPr="00F74C1D">
        <w:rPr>
          <w:rFonts w:ascii="Times New Roman" w:hAnsi="Times New Roman"/>
        </w:rPr>
        <w:fldChar w:fldCharType="begin" w:fldLock="1"/>
      </w:r>
      <w:r w:rsidR="00131813">
        <w:rPr>
          <w:rFonts w:ascii="Times New Roman" w:hAnsi="Times New Roman"/>
        </w:rPr>
        <w:instrText>ADDIN CSL_CITATION {"citationItems":[{"id":"ITEM-1","itemData":{"DOI":"10.2174/1570180816666181220121042","abstract":"Background: Inhibition of the DNA repair enzyme, tyrosyl-DNA phosphodiesterase 1 (TDP1), may increase the efficacy of cancer drugs that cause damage to tumor cell DNA. Among the known TDP1 inhibitors, there are compounds containing moieties of natural substances, e.g., monoterpenoids. In this work, we synthesized several compounds containing aromatic/ heteroaromatic amines and monoterpenoid groups and assessed their TDP1 inhibition potential. Methods: Structures of all the synthesized compounds were confirmed by 1H and 13C NMR as well as HRMS. The TDP1 inhibitory activity of the amines was determined by real-time fluorescence oligonucleotide biosensor. Results: The synthesized secondary amines had TDP1 inhibitory activity IC50 in the range of 0.79-9.2 µM. The highest activity was found for (–)-myrtenal derivatives containing p-bromoaniline or m-(trifluoromethyl)aniline residue. Conclusion: We synthesized 22 secondary amines; of these, 17 amines are novel chemical structures. Many of the amines inhibit TDP1 activity in the low micromolar range. Therefore, these compounds are promising for further study of their antiproliferative activity in conjunction with DNA damaging drugs.","author":[{"dropping-particle":"","family":"Evgenii Mozhaitsev, Evgenii Suslov*, Yuliya Demidova, Dina Korchagina, Konstantin Volcho, Alexandra Zakharenko, Inna Vasil'eva, Maksim Kupryushkin, Arina Chepanova, Daniel Moscoh Ayine-Tora, Jóhannes Reynisson","given":"Nariman Salakhutdinov and Olga Lavrik","non-dropping-particle":"","parse-names":false,"suffix":""}],"container-title":"Letters in Drug Design &amp; Discovery","id":"ITEM-1","issue":"5","issued":{"date-parts":[["2019"]]},"page":"597-605","title":"The Development of Tyrosyl-DNA Phosphodyesterase 1 (TDP1) Inhibitors Based on the Amines Combining Aromatic/Heteroaromatic and Monoterpenoid Moieties","type":"article-journal","volume":"16"},"uris":["http://www.mendeley.com/documents/?uuid=1ef57e6d-824b-4837-a7c4-9c51836d44cc"]}],"mendeley":{"formattedCitation":"[29]","plainTextFormattedCitation":"[29]","previouslyFormattedCitation":"[29]"},"properties":{"noteIndex":0},"schema":"https://github.com/citation-style-language/schema/raw/master/csl-citation.json"}</w:instrText>
      </w:r>
      <w:r w:rsidRPr="00F74C1D">
        <w:rPr>
          <w:rFonts w:ascii="Times New Roman" w:hAnsi="Times New Roman"/>
        </w:rPr>
        <w:fldChar w:fldCharType="separate"/>
      </w:r>
      <w:r w:rsidR="00066076" w:rsidRPr="00066076">
        <w:rPr>
          <w:rFonts w:ascii="Times New Roman" w:hAnsi="Times New Roman"/>
          <w:noProof/>
        </w:rPr>
        <w:t>[29]</w:t>
      </w:r>
      <w:r w:rsidRPr="00F74C1D">
        <w:rPr>
          <w:rFonts w:ascii="Times New Roman" w:hAnsi="Times New Roman"/>
        </w:rPr>
        <w:fldChar w:fldCharType="end"/>
      </w:r>
      <w:r w:rsidRPr="00F74C1D">
        <w:rPr>
          <w:rFonts w:ascii="Times New Roman" w:hAnsi="Times New Roman"/>
        </w:rPr>
        <w:t>.</w:t>
      </w:r>
    </w:p>
    <w:p w14:paraId="711B9B56" w14:textId="77777777" w:rsidR="00483686" w:rsidRPr="00F74C1D" w:rsidRDefault="00F07FF6" w:rsidP="00483686">
      <w:pPr>
        <w:pStyle w:val="MDPI31text"/>
        <w:ind w:left="0"/>
        <w:jc w:val="center"/>
        <w:rPr>
          <w:rFonts w:ascii="Times New Roman" w:hAnsi="Times New Roman"/>
        </w:rPr>
      </w:pPr>
      <w:r w:rsidRPr="00F74C1D">
        <w:rPr>
          <w:rFonts w:ascii="Times New Roman" w:hAnsi="Times New Roman"/>
        </w:rPr>
        <w:object w:dxaOrig="4950" w:dyaOrig="1365" w14:anchorId="2ECB9FCF">
          <v:shape id="_x0000_i1029" type="#_x0000_t75" style="width:194pt;height:53.5pt" o:ole="">
            <v:imagedata r:id="rId21" o:title=""/>
          </v:shape>
          <o:OLEObject Type="Embed" ProgID="ChemDraw.Document.6.0" ShapeID="_x0000_i1029" DrawAspect="Content" ObjectID="_1722411434" r:id="rId22"/>
        </w:object>
      </w:r>
    </w:p>
    <w:p w14:paraId="4B2333B8" w14:textId="77777777" w:rsidR="00483686" w:rsidRPr="00F74C1D" w:rsidRDefault="00483686" w:rsidP="00483686">
      <w:pPr>
        <w:pStyle w:val="MDPI31text"/>
        <w:ind w:left="0"/>
        <w:jc w:val="center"/>
        <w:rPr>
          <w:rFonts w:ascii="Times New Roman" w:hAnsi="Times New Roman"/>
        </w:rPr>
      </w:pPr>
      <w:r w:rsidRPr="00F74C1D">
        <w:rPr>
          <w:rFonts w:ascii="Times New Roman" w:hAnsi="Times New Roman"/>
          <w:b/>
        </w:rPr>
        <w:t xml:space="preserve">Scheme 3. </w:t>
      </w:r>
      <w:r w:rsidRPr="00F74C1D">
        <w:rPr>
          <w:rFonts w:ascii="Times New Roman" w:hAnsi="Times New Roman"/>
        </w:rPr>
        <w:t xml:space="preserve">Synthesis of aldehydes </w:t>
      </w:r>
      <w:r w:rsidRPr="00F74C1D">
        <w:rPr>
          <w:rFonts w:ascii="Times New Roman" w:hAnsi="Times New Roman"/>
          <w:b/>
        </w:rPr>
        <w:t xml:space="preserve">5a </w:t>
      </w:r>
      <w:r w:rsidRPr="00F74C1D">
        <w:rPr>
          <w:rFonts w:ascii="Times New Roman" w:hAnsi="Times New Roman"/>
        </w:rPr>
        <w:t>and</w:t>
      </w:r>
      <w:r w:rsidRPr="00F74C1D">
        <w:rPr>
          <w:rFonts w:ascii="Times New Roman" w:hAnsi="Times New Roman"/>
          <w:b/>
        </w:rPr>
        <w:t xml:space="preserve"> 5d</w:t>
      </w:r>
      <w:r w:rsidRPr="00F74C1D">
        <w:rPr>
          <w:rFonts w:ascii="Times New Roman" w:hAnsi="Times New Roman"/>
        </w:rPr>
        <w:t>.</w:t>
      </w:r>
    </w:p>
    <w:p w14:paraId="2083EEE4" w14:textId="77777777" w:rsidR="00483686" w:rsidRPr="00F74C1D" w:rsidRDefault="00483686" w:rsidP="00483686">
      <w:pPr>
        <w:pStyle w:val="MDPI31text"/>
        <w:spacing w:before="60" w:after="60"/>
        <w:ind w:left="0"/>
        <w:rPr>
          <w:rFonts w:ascii="Times New Roman" w:hAnsi="Times New Roman"/>
        </w:rPr>
      </w:pPr>
      <w:r w:rsidRPr="009B60D4">
        <w:rPr>
          <w:rFonts w:ascii="Times New Roman" w:hAnsi="Times New Roman"/>
        </w:rPr>
        <w:t>S</w:t>
      </w:r>
      <w:r w:rsidRPr="00F74C1D">
        <w:rPr>
          <w:rFonts w:ascii="Times New Roman" w:hAnsi="Times New Roman"/>
        </w:rPr>
        <w:t xml:space="preserve">ubstituted benzaldehyde derivatives </w:t>
      </w:r>
      <w:r w:rsidRPr="00F74C1D">
        <w:rPr>
          <w:rFonts w:ascii="Times New Roman" w:hAnsi="Times New Roman"/>
          <w:b/>
        </w:rPr>
        <w:t>12a</w:t>
      </w:r>
      <w:r w:rsidRPr="00364C8C">
        <w:rPr>
          <w:rFonts w:ascii="Times New Roman" w:hAnsi="Times New Roman"/>
        </w:rPr>
        <w:t>-</w:t>
      </w:r>
      <w:r w:rsidRPr="00F74C1D">
        <w:rPr>
          <w:rFonts w:ascii="Times New Roman" w:hAnsi="Times New Roman"/>
          <w:b/>
        </w:rPr>
        <w:t>f</w:t>
      </w:r>
      <w:r w:rsidRPr="00F74C1D">
        <w:rPr>
          <w:rFonts w:ascii="Times New Roman" w:hAnsi="Times New Roman"/>
        </w:rPr>
        <w:t xml:space="preserve"> were obtained by reaction between monoterpene bromides </w:t>
      </w:r>
      <w:r w:rsidRPr="00F74C1D">
        <w:rPr>
          <w:rFonts w:ascii="Times New Roman" w:hAnsi="Times New Roman"/>
          <w:b/>
        </w:rPr>
        <w:t>7a-f</w:t>
      </w:r>
      <w:r w:rsidRPr="00F74C1D">
        <w:rPr>
          <w:rFonts w:ascii="Times New Roman" w:hAnsi="Times New Roman"/>
        </w:rPr>
        <w:t xml:space="preserve"> and </w:t>
      </w:r>
      <w:r w:rsidRPr="00F74C1D">
        <w:rPr>
          <w:rFonts w:ascii="Times New Roman" w:hAnsi="Times New Roman"/>
          <w:i/>
        </w:rPr>
        <w:t>p</w:t>
      </w:r>
      <w:r w:rsidRPr="00F74C1D">
        <w:rPr>
          <w:rFonts w:ascii="Times New Roman" w:hAnsi="Times New Roman"/>
        </w:rPr>
        <w:t xml:space="preserve">-hydroxybenzaldehyde </w:t>
      </w:r>
      <w:r w:rsidRPr="00F74C1D">
        <w:rPr>
          <w:rFonts w:ascii="Times New Roman" w:hAnsi="Times New Roman"/>
          <w:b/>
        </w:rPr>
        <w:t>11</w:t>
      </w:r>
      <w:r w:rsidRPr="00F74C1D">
        <w:rPr>
          <w:rFonts w:ascii="Times New Roman" w:hAnsi="Times New Roman"/>
        </w:rPr>
        <w:t xml:space="preserve"> (</w:t>
      </w:r>
      <w:r w:rsidRPr="00F74C1D">
        <w:rPr>
          <w:rFonts w:ascii="Times New Roman" w:hAnsi="Times New Roman"/>
          <w:b/>
        </w:rPr>
        <w:t>Scheme 4</w:t>
      </w:r>
      <w:r w:rsidRPr="00F74C1D">
        <w:rPr>
          <w:rFonts w:ascii="Times New Roman" w:hAnsi="Times New Roman"/>
        </w:rPr>
        <w:t xml:space="preserve">). </w:t>
      </w:r>
    </w:p>
    <w:p w14:paraId="00705A87" w14:textId="77777777" w:rsidR="00483686" w:rsidRPr="00F74C1D" w:rsidRDefault="00F07FF6" w:rsidP="00483686">
      <w:pPr>
        <w:pStyle w:val="MDPI31text"/>
        <w:spacing w:before="60" w:after="60"/>
        <w:ind w:left="0"/>
        <w:jc w:val="center"/>
        <w:rPr>
          <w:rFonts w:ascii="Times New Roman" w:hAnsi="Times New Roman"/>
        </w:rPr>
      </w:pPr>
      <w:r w:rsidRPr="00F74C1D">
        <w:rPr>
          <w:rFonts w:ascii="Times New Roman" w:hAnsi="Times New Roman"/>
        </w:rPr>
        <w:object w:dxaOrig="6120" w:dyaOrig="3045" w14:anchorId="54BE8C02">
          <v:shape id="_x0000_i1030" type="#_x0000_t75" style="width:273.5pt;height:137pt" o:ole="">
            <v:imagedata r:id="rId23" o:title=""/>
          </v:shape>
          <o:OLEObject Type="Embed" ProgID="ChemDraw.Document.6.0" ShapeID="_x0000_i1030" DrawAspect="Content" ObjectID="_1722411435" r:id="rId24"/>
        </w:object>
      </w:r>
    </w:p>
    <w:p w14:paraId="714D9B45" w14:textId="77777777" w:rsidR="00483686" w:rsidRPr="00F74C1D" w:rsidRDefault="00483686" w:rsidP="00483686">
      <w:pPr>
        <w:pStyle w:val="MDPI31text"/>
        <w:spacing w:before="60" w:after="60"/>
        <w:ind w:left="0"/>
        <w:jc w:val="center"/>
        <w:rPr>
          <w:rFonts w:ascii="Times New Roman" w:hAnsi="Times New Roman"/>
        </w:rPr>
      </w:pPr>
      <w:r w:rsidRPr="00F74C1D">
        <w:rPr>
          <w:rFonts w:ascii="Times New Roman" w:hAnsi="Times New Roman"/>
          <w:b/>
        </w:rPr>
        <w:t xml:space="preserve">Scheme 4. </w:t>
      </w:r>
      <w:r w:rsidRPr="00F74C1D">
        <w:rPr>
          <w:rFonts w:ascii="Times New Roman" w:hAnsi="Times New Roman"/>
        </w:rPr>
        <w:t xml:space="preserve">Synthesis of </w:t>
      </w:r>
      <w:r w:rsidRPr="00F74C1D">
        <w:rPr>
          <w:rFonts w:ascii="Times New Roman" w:hAnsi="Times New Roman"/>
          <w:i/>
        </w:rPr>
        <w:t>p-</w:t>
      </w:r>
      <w:r w:rsidRPr="00F74C1D">
        <w:rPr>
          <w:rFonts w:ascii="Times New Roman" w:hAnsi="Times New Roman"/>
        </w:rPr>
        <w:t xml:space="preserve">substituted aldehydes </w:t>
      </w:r>
      <w:r w:rsidRPr="00F74C1D">
        <w:rPr>
          <w:rFonts w:ascii="Times New Roman" w:hAnsi="Times New Roman"/>
          <w:b/>
        </w:rPr>
        <w:t>12a</w:t>
      </w:r>
      <w:r w:rsidRPr="00364C8C">
        <w:rPr>
          <w:rFonts w:ascii="Times New Roman" w:hAnsi="Times New Roman"/>
        </w:rPr>
        <w:t>-</w:t>
      </w:r>
      <w:r w:rsidRPr="00F74C1D">
        <w:rPr>
          <w:rFonts w:ascii="Times New Roman" w:hAnsi="Times New Roman"/>
          <w:b/>
        </w:rPr>
        <w:t>f</w:t>
      </w:r>
      <w:r w:rsidRPr="00F74C1D">
        <w:rPr>
          <w:rFonts w:ascii="Times New Roman" w:hAnsi="Times New Roman"/>
        </w:rPr>
        <w:t>.</w:t>
      </w:r>
    </w:p>
    <w:p w14:paraId="494AA90B" w14:textId="13D9C9F4" w:rsidR="00483686" w:rsidRPr="00F455CF" w:rsidRDefault="00483686" w:rsidP="00483686">
      <w:pPr>
        <w:pStyle w:val="MDPI31text"/>
        <w:spacing w:before="60" w:after="60"/>
        <w:ind w:left="0"/>
        <w:rPr>
          <w:rFonts w:ascii="Times New Roman" w:hAnsi="Times New Roman"/>
        </w:rPr>
      </w:pPr>
      <w:r w:rsidRPr="00F74C1D">
        <w:rPr>
          <w:rFonts w:ascii="Times New Roman" w:hAnsi="Times New Roman"/>
        </w:rPr>
        <w:t>2,3-</w:t>
      </w:r>
      <w:r w:rsidR="00F41935">
        <w:rPr>
          <w:rFonts w:ascii="Times New Roman" w:hAnsi="Times New Roman"/>
        </w:rPr>
        <w:t>D</w:t>
      </w:r>
      <w:r w:rsidR="00F41935" w:rsidRPr="00F74C1D">
        <w:rPr>
          <w:rFonts w:ascii="Times New Roman" w:hAnsi="Times New Roman"/>
        </w:rPr>
        <w:t xml:space="preserve">isubstituted </w:t>
      </w:r>
      <w:r w:rsidRPr="00F74C1D">
        <w:rPr>
          <w:rFonts w:ascii="Times New Roman" w:hAnsi="Times New Roman"/>
        </w:rPr>
        <w:t xml:space="preserve">thiazolidin-4-ones </w:t>
      </w:r>
      <w:r w:rsidRPr="00F74C1D">
        <w:rPr>
          <w:rFonts w:ascii="Times New Roman" w:hAnsi="Times New Roman"/>
          <w:b/>
        </w:rPr>
        <w:t>15a</w:t>
      </w:r>
      <w:r w:rsidRPr="00364C8C">
        <w:rPr>
          <w:rFonts w:ascii="Times New Roman" w:hAnsi="Times New Roman"/>
        </w:rPr>
        <w:t>-</w:t>
      </w:r>
      <w:r w:rsidRPr="00F74C1D">
        <w:rPr>
          <w:rFonts w:ascii="Times New Roman" w:hAnsi="Times New Roman"/>
          <w:b/>
        </w:rPr>
        <w:t>g</w:t>
      </w:r>
      <w:r w:rsidR="0091234D" w:rsidRPr="0091234D">
        <w:rPr>
          <w:rFonts w:ascii="Times New Roman" w:hAnsi="Times New Roman"/>
        </w:rPr>
        <w:t xml:space="preserve"> </w:t>
      </w:r>
      <w:r w:rsidR="0091234D">
        <w:rPr>
          <w:rFonts w:ascii="Times New Roman" w:hAnsi="Times New Roman"/>
        </w:rPr>
        <w:t>and</w:t>
      </w:r>
      <w:r w:rsidR="0091234D" w:rsidRPr="00F74C1D">
        <w:rPr>
          <w:rFonts w:ascii="Times New Roman" w:hAnsi="Times New Roman"/>
          <w:b/>
        </w:rPr>
        <w:t xml:space="preserve"> </w:t>
      </w:r>
      <w:r w:rsidRPr="00F74C1D">
        <w:rPr>
          <w:rFonts w:ascii="Times New Roman" w:hAnsi="Times New Roman"/>
          <w:b/>
        </w:rPr>
        <w:t>16</w:t>
      </w:r>
      <w:proofErr w:type="gramStart"/>
      <w:r w:rsidRPr="00F74C1D">
        <w:rPr>
          <w:rFonts w:ascii="Times New Roman" w:hAnsi="Times New Roman"/>
          <w:b/>
        </w:rPr>
        <w:t>a</w:t>
      </w:r>
      <w:r w:rsidRPr="00AA570A">
        <w:rPr>
          <w:rFonts w:ascii="Times New Roman" w:hAnsi="Times New Roman"/>
        </w:rPr>
        <w:t>,</w:t>
      </w:r>
      <w:r w:rsidRPr="00F74C1D">
        <w:rPr>
          <w:rFonts w:ascii="Times New Roman" w:hAnsi="Times New Roman"/>
          <w:b/>
        </w:rPr>
        <w:t>c</w:t>
      </w:r>
      <w:proofErr w:type="gramEnd"/>
      <w:r w:rsidRPr="00364C8C">
        <w:rPr>
          <w:rFonts w:ascii="Times New Roman" w:hAnsi="Times New Roman"/>
        </w:rPr>
        <w:t>-</w:t>
      </w:r>
      <w:r w:rsidRPr="00F74C1D">
        <w:rPr>
          <w:rFonts w:ascii="Times New Roman" w:hAnsi="Times New Roman"/>
          <w:b/>
        </w:rPr>
        <w:t>f</w:t>
      </w:r>
      <w:r w:rsidRPr="00F74C1D">
        <w:rPr>
          <w:rFonts w:ascii="Times New Roman" w:hAnsi="Times New Roman"/>
        </w:rPr>
        <w:t>,</w:t>
      </w:r>
      <w:r w:rsidRPr="00F74C1D">
        <w:rPr>
          <w:rFonts w:ascii="Times New Roman" w:hAnsi="Times New Roman"/>
          <w:b/>
        </w:rPr>
        <w:t>h</w:t>
      </w:r>
      <w:r w:rsidRPr="00F74C1D">
        <w:rPr>
          <w:rFonts w:ascii="Times New Roman" w:hAnsi="Times New Roman"/>
        </w:rPr>
        <w:t xml:space="preserve"> were </w:t>
      </w:r>
      <w:r w:rsidR="005D7393">
        <w:rPr>
          <w:rFonts w:ascii="Times New Roman" w:hAnsi="Times New Roman"/>
        </w:rPr>
        <w:t>produced</w:t>
      </w:r>
      <w:r w:rsidR="005D7393" w:rsidRPr="00F74C1D">
        <w:rPr>
          <w:rFonts w:ascii="Times New Roman" w:hAnsi="Times New Roman"/>
        </w:rPr>
        <w:t xml:space="preserve"> </w:t>
      </w:r>
      <w:r w:rsidR="00F41935">
        <w:rPr>
          <w:rFonts w:ascii="Times New Roman" w:hAnsi="Times New Roman"/>
        </w:rPr>
        <w:t>by</w:t>
      </w:r>
      <w:r w:rsidR="00F41935" w:rsidRPr="00F74C1D">
        <w:rPr>
          <w:rFonts w:ascii="Times New Roman" w:hAnsi="Times New Roman"/>
        </w:rPr>
        <w:t xml:space="preserve"> </w:t>
      </w:r>
      <w:r w:rsidRPr="00F74C1D">
        <w:rPr>
          <w:rFonts w:ascii="Times New Roman" w:hAnsi="Times New Roman"/>
          <w:i/>
        </w:rPr>
        <w:t>one pot</w:t>
      </w:r>
      <w:r w:rsidRPr="00F74C1D">
        <w:rPr>
          <w:rFonts w:ascii="Times New Roman" w:hAnsi="Times New Roman"/>
        </w:rPr>
        <w:t xml:space="preserve"> condensation between benzylamine </w:t>
      </w:r>
      <w:r w:rsidRPr="00F74C1D">
        <w:rPr>
          <w:rFonts w:ascii="Times New Roman" w:hAnsi="Times New Roman"/>
          <w:b/>
        </w:rPr>
        <w:t>13</w:t>
      </w:r>
      <w:r w:rsidRPr="00F74C1D">
        <w:rPr>
          <w:rFonts w:ascii="Times New Roman" w:hAnsi="Times New Roman"/>
        </w:rPr>
        <w:t xml:space="preserve">, thioglycolic acid </w:t>
      </w:r>
      <w:r w:rsidRPr="00F74C1D">
        <w:rPr>
          <w:rFonts w:ascii="Times New Roman" w:hAnsi="Times New Roman"/>
          <w:b/>
        </w:rPr>
        <w:t>14</w:t>
      </w:r>
      <w:r w:rsidRPr="00F74C1D">
        <w:rPr>
          <w:rFonts w:ascii="Times New Roman" w:hAnsi="Times New Roman"/>
        </w:rPr>
        <w:t xml:space="preserve">, and aldehydes </w:t>
      </w:r>
      <w:r w:rsidRPr="00F74C1D">
        <w:rPr>
          <w:rFonts w:ascii="Times New Roman" w:hAnsi="Times New Roman"/>
          <w:b/>
        </w:rPr>
        <w:t>12a</w:t>
      </w:r>
      <w:r w:rsidRPr="00364C8C">
        <w:rPr>
          <w:rFonts w:ascii="Times New Roman" w:hAnsi="Times New Roman"/>
        </w:rPr>
        <w:t>-</w:t>
      </w:r>
      <w:r w:rsidRPr="00F74C1D">
        <w:rPr>
          <w:rFonts w:ascii="Times New Roman" w:hAnsi="Times New Roman"/>
          <w:b/>
        </w:rPr>
        <w:t xml:space="preserve">g </w:t>
      </w:r>
      <w:r w:rsidRPr="00F74C1D">
        <w:rPr>
          <w:rFonts w:ascii="Times New Roman" w:hAnsi="Times New Roman"/>
        </w:rPr>
        <w:t>or</w:t>
      </w:r>
      <w:r w:rsidRPr="00F74C1D">
        <w:rPr>
          <w:rFonts w:ascii="Times New Roman" w:hAnsi="Times New Roman"/>
          <w:b/>
        </w:rPr>
        <w:t xml:space="preserve"> 5a</w:t>
      </w:r>
      <w:r w:rsidRPr="00AA570A">
        <w:rPr>
          <w:rFonts w:ascii="Times New Roman" w:hAnsi="Times New Roman"/>
        </w:rPr>
        <w:t>,</w:t>
      </w:r>
      <w:r w:rsidRPr="00F74C1D">
        <w:rPr>
          <w:rFonts w:ascii="Times New Roman" w:hAnsi="Times New Roman"/>
          <w:b/>
        </w:rPr>
        <w:t>c</w:t>
      </w:r>
      <w:r w:rsidRPr="00364C8C">
        <w:rPr>
          <w:rFonts w:ascii="Times New Roman" w:hAnsi="Times New Roman"/>
        </w:rPr>
        <w:t>-</w:t>
      </w:r>
      <w:r w:rsidRPr="00F74C1D">
        <w:rPr>
          <w:rFonts w:ascii="Times New Roman" w:hAnsi="Times New Roman"/>
          <w:b/>
        </w:rPr>
        <w:t>f</w:t>
      </w:r>
      <w:r w:rsidRPr="00F74C1D">
        <w:rPr>
          <w:rFonts w:ascii="Times New Roman" w:hAnsi="Times New Roman"/>
        </w:rPr>
        <w:t>,</w:t>
      </w:r>
      <w:r w:rsidRPr="00F74C1D">
        <w:rPr>
          <w:rFonts w:ascii="Times New Roman" w:hAnsi="Times New Roman"/>
          <w:b/>
        </w:rPr>
        <w:t xml:space="preserve"> 5h</w:t>
      </w:r>
      <w:r w:rsidR="005D7393" w:rsidRPr="00AA570A">
        <w:rPr>
          <w:rFonts w:ascii="Times New Roman" w:hAnsi="Times New Roman"/>
        </w:rPr>
        <w:t>,</w:t>
      </w:r>
      <w:r w:rsidRPr="00F74C1D">
        <w:rPr>
          <w:rFonts w:ascii="Times New Roman" w:hAnsi="Times New Roman"/>
        </w:rPr>
        <w:t xml:space="preserve"> respectively. Compound </w:t>
      </w:r>
      <w:r w:rsidRPr="00F74C1D">
        <w:rPr>
          <w:rFonts w:ascii="Times New Roman" w:hAnsi="Times New Roman"/>
          <w:b/>
        </w:rPr>
        <w:t xml:space="preserve">16e </w:t>
      </w:r>
      <w:r w:rsidRPr="00F74C1D">
        <w:rPr>
          <w:rFonts w:ascii="Times New Roman" w:hAnsi="Times New Roman"/>
        </w:rPr>
        <w:t xml:space="preserve">was </w:t>
      </w:r>
      <w:r w:rsidR="005D7393">
        <w:rPr>
          <w:rFonts w:ascii="Times New Roman" w:hAnsi="Times New Roman"/>
        </w:rPr>
        <w:t xml:space="preserve">made </w:t>
      </w:r>
      <w:r w:rsidRPr="00F74C1D">
        <w:rPr>
          <w:rFonts w:ascii="Times New Roman" w:hAnsi="Times New Roman"/>
        </w:rPr>
        <w:t>using DCC as a cyclizing reagent (</w:t>
      </w:r>
      <w:r w:rsidRPr="00F74C1D">
        <w:rPr>
          <w:rFonts w:ascii="Times New Roman" w:hAnsi="Times New Roman"/>
          <w:b/>
        </w:rPr>
        <w:t>Scheme 5</w:t>
      </w:r>
      <w:r w:rsidRPr="00F74C1D">
        <w:rPr>
          <w:rFonts w:ascii="Times New Roman" w:hAnsi="Times New Roman"/>
        </w:rPr>
        <w:t xml:space="preserve">). </w:t>
      </w:r>
      <w:r w:rsidR="00F455CF" w:rsidRPr="00F455CF">
        <w:rPr>
          <w:rFonts w:ascii="Times New Roman" w:hAnsi="Times New Roman"/>
          <w:lang w:val="en-GB"/>
        </w:rPr>
        <w:t xml:space="preserve">Compounds </w:t>
      </w:r>
      <w:r w:rsidR="00F455CF" w:rsidRPr="00F455CF">
        <w:rPr>
          <w:rFonts w:ascii="Times New Roman" w:hAnsi="Times New Roman"/>
          <w:b/>
          <w:lang w:val="en-GB"/>
        </w:rPr>
        <w:t>15a</w:t>
      </w:r>
      <w:r w:rsidR="00F455CF" w:rsidRPr="00364C8C">
        <w:rPr>
          <w:rFonts w:ascii="Times New Roman" w:hAnsi="Times New Roman"/>
          <w:lang w:val="en-GB"/>
        </w:rPr>
        <w:t>-</w:t>
      </w:r>
      <w:r w:rsidR="00F455CF" w:rsidRPr="00F455CF">
        <w:rPr>
          <w:rFonts w:ascii="Times New Roman" w:hAnsi="Times New Roman"/>
          <w:b/>
          <w:lang w:val="en-GB"/>
        </w:rPr>
        <w:t>g, 16</w:t>
      </w:r>
      <w:proofErr w:type="gramStart"/>
      <w:r w:rsidR="00F455CF" w:rsidRPr="00F455CF">
        <w:rPr>
          <w:rFonts w:ascii="Times New Roman" w:hAnsi="Times New Roman"/>
          <w:b/>
          <w:lang w:val="en-GB"/>
        </w:rPr>
        <w:t>a,c</w:t>
      </w:r>
      <w:proofErr w:type="gramEnd"/>
      <w:r w:rsidR="00F455CF" w:rsidRPr="00364C8C">
        <w:rPr>
          <w:rFonts w:ascii="Times New Roman" w:hAnsi="Times New Roman"/>
          <w:lang w:val="en-GB"/>
        </w:rPr>
        <w:t>-</w:t>
      </w:r>
      <w:r w:rsidR="00F455CF">
        <w:rPr>
          <w:rFonts w:ascii="Times New Roman" w:hAnsi="Times New Roman"/>
          <w:b/>
          <w:lang w:val="en-GB"/>
        </w:rPr>
        <w:t>f</w:t>
      </w:r>
      <w:r w:rsidR="00F455CF" w:rsidRPr="00F455CF">
        <w:rPr>
          <w:rFonts w:ascii="Times New Roman" w:hAnsi="Times New Roman"/>
          <w:b/>
          <w:lang w:val="en-GB"/>
        </w:rPr>
        <w:t xml:space="preserve"> </w:t>
      </w:r>
      <w:r w:rsidR="00F455CF" w:rsidRPr="00F455CF">
        <w:rPr>
          <w:rFonts w:ascii="Times New Roman" w:hAnsi="Times New Roman"/>
          <w:lang w:val="en-GB"/>
        </w:rPr>
        <w:t xml:space="preserve">were obtained as a mixture of </w:t>
      </w:r>
      <w:r w:rsidR="00F455CF" w:rsidRPr="00F455CF">
        <w:rPr>
          <w:rFonts w:ascii="Times New Roman" w:hAnsi="Times New Roman"/>
          <w:lang w:val="en-GB"/>
        </w:rPr>
        <w:lastRenderedPageBreak/>
        <w:t>diastereomers</w:t>
      </w:r>
      <w:r w:rsidR="00E12491">
        <w:rPr>
          <w:rFonts w:ascii="Times New Roman" w:hAnsi="Times New Roman"/>
          <w:lang w:val="en-GB"/>
        </w:rPr>
        <w:t>;</w:t>
      </w:r>
      <w:r w:rsidR="00F455CF" w:rsidRPr="00F455CF">
        <w:rPr>
          <w:rFonts w:ascii="Times New Roman" w:hAnsi="Times New Roman"/>
          <w:lang w:val="en-GB"/>
        </w:rPr>
        <w:t xml:space="preserve"> separation or preparation of individual stere</w:t>
      </w:r>
      <w:r w:rsidR="005D7393">
        <w:rPr>
          <w:rFonts w:ascii="Times New Roman" w:hAnsi="Times New Roman"/>
          <w:lang w:val="en-GB"/>
        </w:rPr>
        <w:t>ois</w:t>
      </w:r>
      <w:r w:rsidR="00F455CF" w:rsidRPr="00F455CF">
        <w:rPr>
          <w:rFonts w:ascii="Times New Roman" w:hAnsi="Times New Roman"/>
          <w:lang w:val="en-GB"/>
        </w:rPr>
        <w:t xml:space="preserve">omers was not carried out </w:t>
      </w:r>
      <w:r w:rsidR="005D7393">
        <w:rPr>
          <w:rFonts w:ascii="Times New Roman" w:hAnsi="Times New Roman"/>
          <w:lang w:val="en-GB"/>
        </w:rPr>
        <w:t xml:space="preserve">due to cost </w:t>
      </w:r>
      <w:r w:rsidR="00F455CF" w:rsidRPr="00F455CF">
        <w:rPr>
          <w:rFonts w:ascii="Times New Roman" w:hAnsi="Times New Roman"/>
          <w:lang w:val="en-GB"/>
        </w:rPr>
        <w:t>and w</w:t>
      </w:r>
      <w:r w:rsidR="009B60D4">
        <w:rPr>
          <w:rFonts w:ascii="Times New Roman" w:hAnsi="Times New Roman"/>
          <w:lang w:val="en-GB"/>
        </w:rPr>
        <w:t>ould be</w:t>
      </w:r>
      <w:r w:rsidR="00F455CF" w:rsidRPr="00F455CF">
        <w:rPr>
          <w:rFonts w:ascii="Times New Roman" w:hAnsi="Times New Roman"/>
          <w:lang w:val="en-GB"/>
        </w:rPr>
        <w:t xml:space="preserve"> </w:t>
      </w:r>
      <w:r w:rsidR="009B60D4">
        <w:rPr>
          <w:rFonts w:ascii="Times New Roman" w:hAnsi="Times New Roman"/>
          <w:lang w:val="en-GB"/>
        </w:rPr>
        <w:t>done</w:t>
      </w:r>
      <w:r w:rsidR="00F455CF" w:rsidRPr="00F455CF">
        <w:rPr>
          <w:rFonts w:ascii="Times New Roman" w:hAnsi="Times New Roman"/>
          <w:lang w:val="en-GB"/>
        </w:rPr>
        <w:t xml:space="preserve"> only for substances with </w:t>
      </w:r>
      <w:r w:rsidR="007D1BD3">
        <w:rPr>
          <w:rFonts w:ascii="Times New Roman" w:hAnsi="Times New Roman"/>
          <w:lang w:val="en-GB"/>
        </w:rPr>
        <w:t>substantial</w:t>
      </w:r>
      <w:r w:rsidR="007D1BD3" w:rsidRPr="00F455CF">
        <w:rPr>
          <w:rFonts w:ascii="Times New Roman" w:hAnsi="Times New Roman"/>
          <w:lang w:val="en-GB"/>
        </w:rPr>
        <w:t xml:space="preserve"> </w:t>
      </w:r>
      <w:r w:rsidR="00F455CF" w:rsidRPr="00F455CF">
        <w:rPr>
          <w:rFonts w:ascii="Times New Roman" w:hAnsi="Times New Roman"/>
          <w:lang w:val="en-GB"/>
        </w:rPr>
        <w:t>biological activity.</w:t>
      </w:r>
    </w:p>
    <w:p w14:paraId="5043DD7E" w14:textId="77777777" w:rsidR="00483686" w:rsidRPr="00F74C1D" w:rsidRDefault="00F07FF6" w:rsidP="00483686">
      <w:pPr>
        <w:pStyle w:val="MDPI31text"/>
        <w:spacing w:before="60" w:after="60"/>
        <w:ind w:left="0"/>
        <w:jc w:val="center"/>
        <w:rPr>
          <w:rFonts w:ascii="Times New Roman" w:hAnsi="Times New Roman"/>
        </w:rPr>
      </w:pPr>
      <w:r w:rsidRPr="00F74C1D">
        <w:rPr>
          <w:rFonts w:ascii="Times New Roman" w:hAnsi="Times New Roman"/>
        </w:rPr>
        <w:object w:dxaOrig="9926" w:dyaOrig="7214" w14:anchorId="2D0E1154">
          <v:shape id="_x0000_i1031" type="#_x0000_t75" style="width:346.5pt;height:250.5pt" o:ole="">
            <v:imagedata r:id="rId25" o:title=""/>
          </v:shape>
          <o:OLEObject Type="Embed" ProgID="ChemDraw.Document.6.0" ShapeID="_x0000_i1031" DrawAspect="Content" ObjectID="_1722411436" r:id="rId26"/>
        </w:object>
      </w:r>
    </w:p>
    <w:p w14:paraId="56950416" w14:textId="77777777" w:rsidR="00483686" w:rsidRPr="00F74C1D" w:rsidRDefault="00483686" w:rsidP="00483686">
      <w:pPr>
        <w:pStyle w:val="MDPI31text"/>
        <w:spacing w:before="60" w:after="60"/>
        <w:ind w:left="0"/>
        <w:jc w:val="center"/>
        <w:rPr>
          <w:rFonts w:ascii="Times New Roman" w:hAnsi="Times New Roman"/>
        </w:rPr>
      </w:pPr>
      <w:r w:rsidRPr="00F74C1D">
        <w:rPr>
          <w:rFonts w:ascii="Times New Roman" w:hAnsi="Times New Roman"/>
          <w:b/>
        </w:rPr>
        <w:t xml:space="preserve">Scheme 5. </w:t>
      </w:r>
      <w:r w:rsidRPr="00F74C1D">
        <w:rPr>
          <w:rFonts w:ascii="Times New Roman" w:hAnsi="Times New Roman"/>
        </w:rPr>
        <w:t xml:space="preserve">Synthesis of the desired thiazolidin-4-ones </w:t>
      </w:r>
      <w:r w:rsidRPr="00F74C1D">
        <w:rPr>
          <w:rFonts w:ascii="Times New Roman" w:hAnsi="Times New Roman"/>
          <w:b/>
        </w:rPr>
        <w:t>15a</w:t>
      </w:r>
      <w:r w:rsidRPr="00364C8C">
        <w:rPr>
          <w:rFonts w:ascii="Times New Roman" w:hAnsi="Times New Roman"/>
        </w:rPr>
        <w:t>-</w:t>
      </w:r>
      <w:r w:rsidRPr="00F74C1D">
        <w:rPr>
          <w:rFonts w:ascii="Times New Roman" w:hAnsi="Times New Roman"/>
          <w:b/>
        </w:rPr>
        <w:t>g</w:t>
      </w:r>
      <w:r w:rsidRPr="00F74C1D">
        <w:rPr>
          <w:rFonts w:ascii="Times New Roman" w:hAnsi="Times New Roman"/>
        </w:rPr>
        <w:t xml:space="preserve">, </w:t>
      </w:r>
      <w:r w:rsidRPr="00F74C1D">
        <w:rPr>
          <w:rFonts w:ascii="Times New Roman" w:hAnsi="Times New Roman"/>
          <w:b/>
        </w:rPr>
        <w:t>16a</w:t>
      </w:r>
      <w:r w:rsidRPr="00364C8C">
        <w:rPr>
          <w:rFonts w:ascii="Times New Roman" w:hAnsi="Times New Roman"/>
        </w:rPr>
        <w:t>-</w:t>
      </w:r>
      <w:r w:rsidRPr="00F74C1D">
        <w:rPr>
          <w:rFonts w:ascii="Times New Roman" w:hAnsi="Times New Roman"/>
          <w:b/>
        </w:rPr>
        <w:t>f</w:t>
      </w:r>
      <w:r w:rsidRPr="00AA570A">
        <w:rPr>
          <w:rFonts w:ascii="Times New Roman" w:hAnsi="Times New Roman"/>
        </w:rPr>
        <w:t>,</w:t>
      </w:r>
      <w:r w:rsidRPr="00F74C1D">
        <w:rPr>
          <w:rFonts w:ascii="Times New Roman" w:hAnsi="Times New Roman"/>
          <w:b/>
        </w:rPr>
        <w:t xml:space="preserve"> </w:t>
      </w:r>
      <w:r w:rsidRPr="00F74C1D">
        <w:rPr>
          <w:rFonts w:ascii="Times New Roman" w:hAnsi="Times New Roman"/>
        </w:rPr>
        <w:t xml:space="preserve">and </w:t>
      </w:r>
      <w:r w:rsidRPr="00F74C1D">
        <w:rPr>
          <w:rFonts w:ascii="Times New Roman" w:hAnsi="Times New Roman"/>
          <w:b/>
        </w:rPr>
        <w:t>16h</w:t>
      </w:r>
      <w:r w:rsidRPr="00F74C1D">
        <w:rPr>
          <w:rFonts w:ascii="Times New Roman" w:hAnsi="Times New Roman"/>
        </w:rPr>
        <w:t>.</w:t>
      </w:r>
    </w:p>
    <w:p w14:paraId="2DCAAD9D" w14:textId="343646F0" w:rsidR="00483686" w:rsidRPr="00F74C1D" w:rsidRDefault="005D7393" w:rsidP="00483686">
      <w:pPr>
        <w:pStyle w:val="MDPI31text"/>
        <w:spacing w:before="60" w:after="60"/>
        <w:ind w:left="0"/>
        <w:rPr>
          <w:rFonts w:ascii="Times New Roman" w:hAnsi="Times New Roman"/>
        </w:rPr>
      </w:pPr>
      <w:r w:rsidRPr="00F74C1D">
        <w:rPr>
          <w:rFonts w:ascii="Times New Roman" w:hAnsi="Times New Roman"/>
        </w:rPr>
        <w:t xml:space="preserve">NMR spectra </w:t>
      </w:r>
      <w:r>
        <w:rPr>
          <w:rFonts w:ascii="Times New Roman" w:hAnsi="Times New Roman"/>
        </w:rPr>
        <w:t xml:space="preserve">of </w:t>
      </w:r>
      <w:r w:rsidR="00483686" w:rsidRPr="00F74C1D">
        <w:rPr>
          <w:rFonts w:ascii="Times New Roman" w:hAnsi="Times New Roman"/>
          <w:b/>
        </w:rPr>
        <w:t>15a</w:t>
      </w:r>
      <w:r w:rsidR="00483686" w:rsidRPr="00364C8C">
        <w:rPr>
          <w:rFonts w:ascii="Times New Roman" w:hAnsi="Times New Roman"/>
        </w:rPr>
        <w:t>-</w:t>
      </w:r>
      <w:r w:rsidR="00483686" w:rsidRPr="00F74C1D">
        <w:rPr>
          <w:rFonts w:ascii="Times New Roman" w:hAnsi="Times New Roman"/>
          <w:b/>
        </w:rPr>
        <w:t>f</w:t>
      </w:r>
      <w:r w:rsidR="00483686" w:rsidRPr="00F74C1D">
        <w:rPr>
          <w:rFonts w:ascii="Times New Roman" w:hAnsi="Times New Roman"/>
        </w:rPr>
        <w:t xml:space="preserve"> do not </w:t>
      </w:r>
      <w:r w:rsidR="00F41935">
        <w:rPr>
          <w:rFonts w:ascii="Times New Roman" w:hAnsi="Times New Roman"/>
        </w:rPr>
        <w:t>have</w:t>
      </w:r>
      <w:r w:rsidR="00F41935" w:rsidRPr="00F74C1D">
        <w:rPr>
          <w:rFonts w:ascii="Times New Roman" w:hAnsi="Times New Roman"/>
        </w:rPr>
        <w:t xml:space="preserve"> </w:t>
      </w:r>
      <w:r w:rsidR="00483686" w:rsidRPr="00F74C1D">
        <w:rPr>
          <w:rFonts w:ascii="Times New Roman" w:hAnsi="Times New Roman"/>
        </w:rPr>
        <w:t>signal characteristic</w:t>
      </w:r>
      <w:r w:rsidR="002B6F18">
        <w:rPr>
          <w:rFonts w:ascii="Times New Roman" w:hAnsi="Times New Roman"/>
        </w:rPr>
        <w:t>s</w:t>
      </w:r>
      <w:r w:rsidR="00483686" w:rsidRPr="00F74C1D">
        <w:rPr>
          <w:rFonts w:ascii="Times New Roman" w:hAnsi="Times New Roman"/>
        </w:rPr>
        <w:t xml:space="preserve"> of pairs of diastereomers, apparently </w:t>
      </w:r>
      <w:r>
        <w:rPr>
          <w:rFonts w:ascii="Times New Roman" w:hAnsi="Times New Roman"/>
        </w:rPr>
        <w:t>due to</w:t>
      </w:r>
      <w:r w:rsidRPr="00F74C1D">
        <w:rPr>
          <w:rFonts w:ascii="Times New Roman" w:hAnsi="Times New Roman"/>
        </w:rPr>
        <w:t xml:space="preserve"> </w:t>
      </w:r>
      <w:r w:rsidR="00483686" w:rsidRPr="00F74C1D">
        <w:rPr>
          <w:rFonts w:ascii="Times New Roman" w:hAnsi="Times New Roman"/>
        </w:rPr>
        <w:t xml:space="preserve">the asymmetric centers </w:t>
      </w:r>
      <w:r w:rsidR="007D1BD3">
        <w:rPr>
          <w:rFonts w:ascii="Times New Roman" w:hAnsi="Times New Roman"/>
        </w:rPr>
        <w:t>being separated by some distance</w:t>
      </w:r>
      <w:r w:rsidR="00483686" w:rsidRPr="00F74C1D">
        <w:rPr>
          <w:rFonts w:ascii="Times New Roman" w:hAnsi="Times New Roman"/>
        </w:rPr>
        <w:t xml:space="preserve">. </w:t>
      </w:r>
      <w:r>
        <w:rPr>
          <w:rFonts w:ascii="Times New Roman" w:hAnsi="Times New Roman"/>
        </w:rPr>
        <w:t xml:space="preserve">However, </w:t>
      </w:r>
      <w:r w:rsidR="00483686" w:rsidRPr="00F74C1D">
        <w:rPr>
          <w:rFonts w:ascii="Times New Roman" w:hAnsi="Times New Roman"/>
          <w:b/>
        </w:rPr>
        <w:t>16a</w:t>
      </w:r>
      <w:r w:rsidR="00483686" w:rsidRPr="00F74C1D">
        <w:rPr>
          <w:rFonts w:ascii="Times New Roman" w:hAnsi="Times New Roman"/>
        </w:rPr>
        <w:t xml:space="preserve">, </w:t>
      </w:r>
      <w:r w:rsidR="00483686" w:rsidRPr="00F74C1D">
        <w:rPr>
          <w:rFonts w:ascii="Times New Roman" w:hAnsi="Times New Roman"/>
          <w:b/>
        </w:rPr>
        <w:t>16c-f</w:t>
      </w:r>
      <w:r w:rsidR="00483686" w:rsidRPr="00F74C1D">
        <w:rPr>
          <w:rFonts w:ascii="Times New Roman" w:hAnsi="Times New Roman"/>
        </w:rPr>
        <w:t xml:space="preserve"> </w:t>
      </w:r>
      <w:r>
        <w:rPr>
          <w:rFonts w:ascii="Times New Roman" w:hAnsi="Times New Roman"/>
        </w:rPr>
        <w:t xml:space="preserve">have </w:t>
      </w:r>
      <w:r w:rsidR="00483686" w:rsidRPr="00F74C1D">
        <w:rPr>
          <w:rFonts w:ascii="Times New Roman" w:hAnsi="Times New Roman"/>
        </w:rPr>
        <w:t xml:space="preserve">NMR spectra </w:t>
      </w:r>
      <w:r>
        <w:rPr>
          <w:rFonts w:ascii="Times New Roman" w:hAnsi="Times New Roman"/>
        </w:rPr>
        <w:t>showing</w:t>
      </w:r>
      <w:r w:rsidRPr="00F74C1D">
        <w:rPr>
          <w:rFonts w:ascii="Times New Roman" w:hAnsi="Times New Roman"/>
        </w:rPr>
        <w:t xml:space="preserve"> </w:t>
      </w:r>
      <w:r w:rsidR="00483686" w:rsidRPr="00F74C1D">
        <w:rPr>
          <w:rFonts w:ascii="Times New Roman" w:hAnsi="Times New Roman"/>
        </w:rPr>
        <w:t>a mixture of diastereomers in approximately equal proportions (see Supplementary).</w:t>
      </w:r>
    </w:p>
    <w:p w14:paraId="53732FE8" w14:textId="38C173C3" w:rsidR="00483686" w:rsidRDefault="001E42A6" w:rsidP="00483686">
      <w:pPr>
        <w:pStyle w:val="MDPI31text"/>
        <w:spacing w:before="60" w:after="60"/>
        <w:ind w:left="0"/>
        <w:rPr>
          <w:rFonts w:ascii="Times New Roman" w:hAnsi="Times New Roman"/>
        </w:rPr>
      </w:pPr>
      <w:r>
        <w:rPr>
          <w:rFonts w:ascii="Times New Roman" w:hAnsi="Times New Roman"/>
        </w:rPr>
        <w:t>Then</w:t>
      </w:r>
      <w:r w:rsidR="00483686" w:rsidRPr="000453AF">
        <w:rPr>
          <w:rFonts w:ascii="Times New Roman" w:hAnsi="Times New Roman"/>
        </w:rPr>
        <w:t xml:space="preserve">, we investigated the inhibiting activity of </w:t>
      </w:r>
      <w:r w:rsidR="00BA3FE4">
        <w:rPr>
          <w:rFonts w:ascii="Times New Roman" w:hAnsi="Times New Roman"/>
        </w:rPr>
        <w:t xml:space="preserve">the </w:t>
      </w:r>
      <w:r>
        <w:rPr>
          <w:rFonts w:ascii="Times New Roman" w:hAnsi="Times New Roman"/>
        </w:rPr>
        <w:t>synthesized</w:t>
      </w:r>
      <w:r w:rsidRPr="000453AF">
        <w:rPr>
          <w:rFonts w:ascii="Times New Roman" w:hAnsi="Times New Roman"/>
        </w:rPr>
        <w:t xml:space="preserve"> </w:t>
      </w:r>
      <w:r w:rsidR="00483686" w:rsidRPr="000453AF">
        <w:rPr>
          <w:rFonts w:ascii="Times New Roman" w:hAnsi="Times New Roman"/>
        </w:rPr>
        <w:t>compound</w:t>
      </w:r>
      <w:r w:rsidR="002B6F18">
        <w:rPr>
          <w:rFonts w:ascii="Times New Roman" w:hAnsi="Times New Roman"/>
        </w:rPr>
        <w:t>s</w:t>
      </w:r>
      <w:r w:rsidR="00483686" w:rsidRPr="000453AF">
        <w:rPr>
          <w:rFonts w:ascii="Times New Roman" w:hAnsi="Times New Roman"/>
        </w:rPr>
        <w:t xml:space="preserve"> </w:t>
      </w:r>
      <w:r>
        <w:rPr>
          <w:rFonts w:ascii="Times New Roman" w:hAnsi="Times New Roman"/>
        </w:rPr>
        <w:t>against</w:t>
      </w:r>
      <w:r w:rsidR="00483686" w:rsidRPr="000453AF">
        <w:rPr>
          <w:rFonts w:ascii="Times New Roman" w:hAnsi="Times New Roman"/>
        </w:rPr>
        <w:t xml:space="preserve"> TDP1 using a real-time oligonucleotide biosensor assay </w:t>
      </w:r>
      <w:r w:rsidR="00483686" w:rsidRPr="000453AF">
        <w:rPr>
          <w:rFonts w:ascii="Times New Roman" w:hAnsi="Times New Roman"/>
        </w:rPr>
        <w:fldChar w:fldCharType="begin" w:fldLock="1"/>
      </w:r>
      <w:r w:rsidR="00131813">
        <w:rPr>
          <w:rFonts w:ascii="Times New Roman" w:hAnsi="Times New Roman"/>
        </w:rPr>
        <w:instrText>ADDIN CSL_CITATION {"citationItems":[{"id":"ITEM-1","itemData":{"DOI":"10.1016/j.bmc.2015.03.020","ISSN":"14643391","PMID":"25819333","abstract":"Tyrosyl-DNA phosphodiesterase 1 (TDP1) is a promising target for antitumor therapy based on Top1 poison-mediated DNA damage. Several novel benzopentathiepines were synthesized and tested as inhibitors of TDP1 using a new oligonucleotide-based fluorescence assay. The benzopentathiepines have IC50 values in the range of 0.2-6.0 μM. According to the molecular modeling, the conformational flexibility of the dibutylamine group of the most effective inhibitor (3d) allows it to occupy an advantageous position for effective binding compared to its cyclic counterparts. The study of cytotoxicity of these compounds revealed that all compounds cause an apoptotic cell death in MCF-7 and Hep G2 cells. Therefore the new class of very effective inhibitors of TDP1 was elaborated.","author":[{"dropping-particle":"","family":"Zakharenko","given":"Alexandra","non-dropping-particle":"","parse-names":false,"suffix":""},{"dropping-particle":"","family":"Khomenko","given":"Tatyana","non-dropping-particle":"","parse-names":false,"suffix":""},{"dropping-particle":"","family":"Zhukova","given":"Svetlana","non-dropping-particle":"","parse-names":false,"suffix":""},{"dropping-particle":"","family":"Koval","given":"Olga","non-dropping-particle":"","parse-names":false,"suffix":""},{"dropping-particle":"","family":"Zakharova","given":"Olga","non-dropping-particle":"","parse-names":false,"suffix":""},{"dropping-particle":"","family":"Anarbaev","given":"Rashid","non-dropping-particle":"","parse-names":false,"suffix":""},{"dropping-particle":"","family":"Lebedeva","given":"Natalya","non-dropping-particle":"","parse-names":false,"suffix":""},{"dropping-particle":"","family":"Korchagina","given":"Dina","non-dropping-particle":"","parse-names":false,"suffix":""},{"dropping-particle":"","family":"Komarova","given":"Nina","non-dropping-particle":"","parse-names":false,"suffix":""},{"dropping-particle":"","family":"Vasiliev","given":"Vladimir","non-dropping-particle":"","parse-names":false,"suffix":""},{"dropping-particle":"","family":"Reynisson","given":"Jóhannes","non-dropping-particle":"","parse-names":false,"suffix":""},{"dropping-particle":"","family":"Volcho","given":"Konstantin","non-dropping-particle":"","parse-names":false,"suffix":""},{"dropping-particle":"","family":"Salakhutdinov","given":"Nariman","non-dropping-particle":"","parse-names":false,"suffix":""},{"dropping-particle":"","family":"Lavrik","given":"Olga","non-dropping-particle":"","parse-names":false,"suffix":""}],"container-title":"Bioorganic and Medicinal Chemistry","id":"ITEM-1","issue":"9","issued":{"date-parts":[["2015"]]},"page":"2044-2052","publisher":"Elsevier Ltd","title":"Synthesis and biological evaluation of novel tyrosyl-DNA phosphodiesterase 1 inhibitors with a benzopentathiepine moiety","type":"article-journal","volume":"23"},"uris":["http://www.mendeley.com/documents/?uuid=e3504160-8c15-4197-b9fd-cb9352f94612"]}],"mendeley":{"formattedCitation":"[30]","plainTextFormattedCitation":"[30]","previouslyFormattedCitation":"[30]"},"properties":{"noteIndex":0},"schema":"https://github.com/citation-style-language/schema/raw/master/csl-citation.json"}</w:instrText>
      </w:r>
      <w:r w:rsidR="00483686" w:rsidRPr="000453AF">
        <w:rPr>
          <w:rFonts w:ascii="Times New Roman" w:hAnsi="Times New Roman"/>
        </w:rPr>
        <w:fldChar w:fldCharType="separate"/>
      </w:r>
      <w:r w:rsidR="00066076" w:rsidRPr="00066076">
        <w:rPr>
          <w:rFonts w:ascii="Times New Roman" w:hAnsi="Times New Roman"/>
          <w:noProof/>
        </w:rPr>
        <w:t>[30]</w:t>
      </w:r>
      <w:r w:rsidR="00483686" w:rsidRPr="000453AF">
        <w:rPr>
          <w:rFonts w:ascii="Times New Roman" w:hAnsi="Times New Roman"/>
        </w:rPr>
        <w:fldChar w:fldCharType="end"/>
      </w:r>
      <w:r w:rsidR="00483686" w:rsidRPr="000453AF">
        <w:rPr>
          <w:rFonts w:ascii="Times New Roman" w:hAnsi="Times New Roman"/>
        </w:rPr>
        <w:t xml:space="preserve">. Human recombinant TDP1 was used as an enzyme and a 16-mer single-stranded oligonucleotide containing both a 5’-FAM </w:t>
      </w:r>
      <w:r w:rsidR="00592848" w:rsidRPr="00171237">
        <w:rPr>
          <w:rFonts w:ascii="Times New Roman" w:hAnsi="Times New Roman"/>
        </w:rPr>
        <w:t>(</w:t>
      </w:r>
      <w:r w:rsidR="00592848">
        <w:rPr>
          <w:rFonts w:ascii="Times New Roman" w:hAnsi="Times New Roman"/>
        </w:rPr>
        <w:t xml:space="preserve">Fluorescein) </w:t>
      </w:r>
      <w:r w:rsidR="00483686" w:rsidRPr="000453AF">
        <w:rPr>
          <w:rFonts w:ascii="Times New Roman" w:hAnsi="Times New Roman"/>
        </w:rPr>
        <w:t xml:space="preserve">fluorophore donor and a quenching 3’-BHQ1 </w:t>
      </w:r>
      <w:r w:rsidR="00592848">
        <w:rPr>
          <w:rFonts w:ascii="Times New Roman" w:hAnsi="Times New Roman"/>
          <w:lang w:val="en-GB"/>
        </w:rPr>
        <w:t xml:space="preserve">(Black Hole Quencher 1) </w:t>
      </w:r>
      <w:r w:rsidR="00BA3FE4">
        <w:rPr>
          <w:rFonts w:ascii="Times New Roman" w:hAnsi="Times New Roman"/>
        </w:rPr>
        <w:t>acceptor</w:t>
      </w:r>
      <w:r w:rsidR="00BA3FE4" w:rsidRPr="000453AF">
        <w:rPr>
          <w:rFonts w:ascii="Times New Roman" w:hAnsi="Times New Roman"/>
        </w:rPr>
        <w:t xml:space="preserve"> </w:t>
      </w:r>
      <w:r w:rsidR="00483686" w:rsidRPr="000453AF">
        <w:rPr>
          <w:rFonts w:ascii="Times New Roman" w:hAnsi="Times New Roman"/>
        </w:rPr>
        <w:t xml:space="preserve">was used as a biosensor for </w:t>
      </w:r>
      <w:r w:rsidR="00483686" w:rsidRPr="000453AF">
        <w:rPr>
          <w:rFonts w:ascii="Times New Roman" w:hAnsi="Times New Roman"/>
          <w:i/>
        </w:rPr>
        <w:t>in vitro</w:t>
      </w:r>
      <w:r w:rsidR="00483686" w:rsidRPr="000453AF">
        <w:rPr>
          <w:rFonts w:ascii="Times New Roman" w:hAnsi="Times New Roman"/>
        </w:rPr>
        <w:t xml:space="preserve"> screening. The results are presented in </w:t>
      </w:r>
      <w:r w:rsidR="00483686" w:rsidRPr="000453AF">
        <w:rPr>
          <w:rFonts w:ascii="Times New Roman" w:hAnsi="Times New Roman"/>
          <w:b/>
        </w:rPr>
        <w:t>Table 1</w:t>
      </w:r>
      <w:r w:rsidR="00483686" w:rsidRPr="000453AF">
        <w:rPr>
          <w:rFonts w:ascii="Times New Roman" w:hAnsi="Times New Roman"/>
        </w:rPr>
        <w:t>.</w:t>
      </w:r>
    </w:p>
    <w:p w14:paraId="0501C940" w14:textId="77777777" w:rsidR="007B276B" w:rsidRPr="000453AF" w:rsidRDefault="007B276B" w:rsidP="00483686">
      <w:pPr>
        <w:pStyle w:val="MDPI31text"/>
        <w:spacing w:before="60" w:after="60"/>
        <w:ind w:left="0"/>
        <w:rPr>
          <w:rFonts w:ascii="Times New Roman" w:hAnsi="Times New Roman"/>
        </w:rPr>
      </w:pPr>
    </w:p>
    <w:p w14:paraId="30925A4B" w14:textId="214C343D" w:rsidR="00483686" w:rsidRPr="000453AF" w:rsidRDefault="00483686" w:rsidP="00483686">
      <w:pPr>
        <w:pStyle w:val="MDPI31text"/>
        <w:spacing w:before="60" w:after="60"/>
        <w:ind w:left="0"/>
        <w:rPr>
          <w:rFonts w:ascii="Times New Roman" w:hAnsi="Times New Roman"/>
        </w:rPr>
      </w:pPr>
      <w:r w:rsidRPr="000453AF">
        <w:rPr>
          <w:rFonts w:ascii="Times New Roman" w:hAnsi="Times New Roman"/>
          <w:b/>
        </w:rPr>
        <w:t>Table 1</w:t>
      </w:r>
      <w:r w:rsidRPr="000453AF">
        <w:rPr>
          <w:rFonts w:ascii="Times New Roman" w:hAnsi="Times New Roman"/>
        </w:rPr>
        <w:t xml:space="preserve">. TDP1 inhibitory activities </w:t>
      </w:r>
      <w:r w:rsidR="00CF0B3B">
        <w:rPr>
          <w:rFonts w:ascii="Times New Roman" w:hAnsi="Times New Roman"/>
        </w:rPr>
        <w:t xml:space="preserve">and cytotoxicity of </w:t>
      </w:r>
      <w:r w:rsidR="00BA3FE4">
        <w:rPr>
          <w:rFonts w:ascii="Times New Roman" w:hAnsi="Times New Roman"/>
        </w:rPr>
        <w:t xml:space="preserve">the </w:t>
      </w:r>
      <w:r w:rsidR="00CF0B3B">
        <w:rPr>
          <w:rFonts w:ascii="Times New Roman" w:hAnsi="Times New Roman"/>
        </w:rPr>
        <w:t>thiazolidin</w:t>
      </w:r>
      <w:r w:rsidRPr="000453AF">
        <w:rPr>
          <w:rFonts w:ascii="Times New Roman" w:hAnsi="Times New Roman"/>
        </w:rPr>
        <w:t>-4-ones.</w:t>
      </w:r>
    </w:p>
    <w:tbl>
      <w:tblPr>
        <w:tblW w:w="760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222"/>
        <w:gridCol w:w="1986"/>
        <w:gridCol w:w="1560"/>
        <w:gridCol w:w="1277"/>
        <w:gridCol w:w="1560"/>
      </w:tblGrid>
      <w:tr w:rsidR="00483686" w:rsidRPr="000453AF" w14:paraId="26F4EFB6" w14:textId="77777777" w:rsidTr="00CC63C5">
        <w:tc>
          <w:tcPr>
            <w:tcW w:w="1222" w:type="dxa"/>
            <w:tcBorders>
              <w:top w:val="single" w:sz="8" w:space="0" w:color="auto"/>
              <w:left w:val="nil"/>
              <w:bottom w:val="single" w:sz="4" w:space="0" w:color="auto"/>
              <w:right w:val="nil"/>
            </w:tcBorders>
            <w:vAlign w:val="center"/>
          </w:tcPr>
          <w:p w14:paraId="799EB201" w14:textId="77777777" w:rsidR="00483686" w:rsidRPr="000453AF" w:rsidRDefault="00483686" w:rsidP="00CC63C5">
            <w:pPr>
              <w:pStyle w:val="MDPI42tablebody"/>
              <w:spacing w:line="240" w:lineRule="auto"/>
              <w:rPr>
                <w:rFonts w:ascii="Times New Roman" w:hAnsi="Times New Roman"/>
                <w:b/>
                <w:sz w:val="18"/>
              </w:rPr>
            </w:pPr>
          </w:p>
        </w:tc>
        <w:tc>
          <w:tcPr>
            <w:tcW w:w="1986" w:type="dxa"/>
            <w:tcBorders>
              <w:top w:val="single" w:sz="8" w:space="0" w:color="auto"/>
              <w:left w:val="nil"/>
              <w:bottom w:val="single" w:sz="4" w:space="0" w:color="auto"/>
              <w:right w:val="nil"/>
            </w:tcBorders>
            <w:vAlign w:val="center"/>
            <w:hideMark/>
          </w:tcPr>
          <w:p w14:paraId="581FCA7F" w14:textId="77777777" w:rsidR="00483686" w:rsidRPr="000453AF" w:rsidRDefault="00483686" w:rsidP="00483686">
            <w:pPr>
              <w:pStyle w:val="MDPI42tablebody"/>
              <w:spacing w:line="240" w:lineRule="auto"/>
              <w:rPr>
                <w:rFonts w:ascii="Times New Roman" w:hAnsi="Times New Roman"/>
                <w:b/>
                <w:sz w:val="18"/>
              </w:rPr>
            </w:pPr>
            <w:r w:rsidRPr="000453AF">
              <w:rPr>
                <w:rFonts w:ascii="Times New Roman" w:hAnsi="Times New Roman"/>
                <w:b/>
                <w:sz w:val="18"/>
              </w:rPr>
              <w:t>Structure</w:t>
            </w:r>
          </w:p>
        </w:tc>
        <w:tc>
          <w:tcPr>
            <w:tcW w:w="1560" w:type="dxa"/>
            <w:tcBorders>
              <w:top w:val="single" w:sz="8" w:space="0" w:color="auto"/>
              <w:left w:val="nil"/>
              <w:bottom w:val="single" w:sz="4" w:space="0" w:color="auto"/>
              <w:right w:val="nil"/>
            </w:tcBorders>
            <w:vAlign w:val="center"/>
            <w:hideMark/>
          </w:tcPr>
          <w:p w14:paraId="56A846F9" w14:textId="77777777" w:rsidR="00483686" w:rsidRPr="000453AF" w:rsidRDefault="00483686" w:rsidP="00483686">
            <w:pPr>
              <w:pStyle w:val="MDPI42tablebody"/>
              <w:spacing w:line="240" w:lineRule="auto"/>
              <w:rPr>
                <w:rFonts w:ascii="Times New Roman" w:hAnsi="Times New Roman"/>
                <w:b/>
                <w:sz w:val="18"/>
              </w:rPr>
            </w:pPr>
            <w:r w:rsidRPr="000453AF">
              <w:rPr>
                <w:rFonts w:ascii="Times New Roman" w:hAnsi="Times New Roman"/>
                <w:b/>
                <w:sz w:val="18"/>
              </w:rPr>
              <w:t>TDP1 IC</w:t>
            </w:r>
            <w:r w:rsidRPr="000453AF">
              <w:rPr>
                <w:rFonts w:ascii="Times New Roman" w:hAnsi="Times New Roman"/>
                <w:b/>
                <w:sz w:val="18"/>
                <w:vertAlign w:val="subscript"/>
              </w:rPr>
              <w:t>50</w:t>
            </w:r>
            <w:r w:rsidRPr="000453AF">
              <w:rPr>
                <w:rFonts w:ascii="Times New Roman" w:hAnsi="Times New Roman"/>
                <w:b/>
                <w:sz w:val="18"/>
              </w:rPr>
              <w:t xml:space="preserve">, </w:t>
            </w:r>
            <w:proofErr w:type="spellStart"/>
            <w:r w:rsidRPr="000453AF">
              <w:rPr>
                <w:rFonts w:ascii="Times New Roman" w:hAnsi="Times New Roman"/>
                <w:b/>
                <w:sz w:val="18"/>
              </w:rPr>
              <w:t>μM</w:t>
            </w:r>
            <w:proofErr w:type="spellEnd"/>
          </w:p>
        </w:tc>
        <w:tc>
          <w:tcPr>
            <w:tcW w:w="1277" w:type="dxa"/>
            <w:tcBorders>
              <w:top w:val="single" w:sz="8" w:space="0" w:color="auto"/>
              <w:left w:val="nil"/>
              <w:bottom w:val="single" w:sz="4" w:space="0" w:color="auto"/>
              <w:right w:val="nil"/>
            </w:tcBorders>
            <w:vAlign w:val="center"/>
            <w:hideMark/>
          </w:tcPr>
          <w:p w14:paraId="10B79A53" w14:textId="77777777" w:rsidR="00483686" w:rsidRPr="000453AF" w:rsidRDefault="00483686" w:rsidP="00483686">
            <w:pPr>
              <w:pStyle w:val="MDPI42tablebody"/>
              <w:spacing w:line="240" w:lineRule="auto"/>
              <w:rPr>
                <w:rFonts w:ascii="Times New Roman" w:hAnsi="Times New Roman"/>
                <w:b/>
                <w:sz w:val="18"/>
              </w:rPr>
            </w:pPr>
            <w:r w:rsidRPr="000453AF">
              <w:rPr>
                <w:rFonts w:ascii="Times New Roman" w:hAnsi="Times New Roman"/>
                <w:b/>
                <w:sz w:val="18"/>
              </w:rPr>
              <w:t xml:space="preserve">HeLa </w:t>
            </w:r>
          </w:p>
          <w:p w14:paraId="6EA809C9" w14:textId="77777777" w:rsidR="00483686" w:rsidRPr="000453AF" w:rsidRDefault="00483686" w:rsidP="00483686">
            <w:pPr>
              <w:pStyle w:val="MDPI42tablebody"/>
              <w:spacing w:line="240" w:lineRule="auto"/>
              <w:rPr>
                <w:rFonts w:ascii="Times New Roman" w:hAnsi="Times New Roman"/>
                <w:b/>
                <w:sz w:val="18"/>
              </w:rPr>
            </w:pPr>
            <w:r w:rsidRPr="000453AF">
              <w:rPr>
                <w:rFonts w:ascii="Times New Roman" w:hAnsi="Times New Roman"/>
                <w:b/>
                <w:sz w:val="18"/>
              </w:rPr>
              <w:t>CC</w:t>
            </w:r>
            <w:r w:rsidRPr="000453AF">
              <w:rPr>
                <w:rFonts w:ascii="Times New Roman" w:hAnsi="Times New Roman"/>
                <w:b/>
                <w:sz w:val="18"/>
                <w:vertAlign w:val="subscript"/>
              </w:rPr>
              <w:t>50</w:t>
            </w:r>
            <w:r w:rsidRPr="000453AF">
              <w:rPr>
                <w:rFonts w:ascii="Times New Roman" w:hAnsi="Times New Roman"/>
                <w:b/>
                <w:sz w:val="18"/>
              </w:rPr>
              <w:t xml:space="preserve">, </w:t>
            </w:r>
            <w:proofErr w:type="spellStart"/>
            <w:r w:rsidRPr="000453AF">
              <w:rPr>
                <w:rFonts w:ascii="Times New Roman" w:hAnsi="Times New Roman"/>
                <w:b/>
                <w:sz w:val="18"/>
              </w:rPr>
              <w:t>μM</w:t>
            </w:r>
            <w:proofErr w:type="spellEnd"/>
          </w:p>
        </w:tc>
        <w:tc>
          <w:tcPr>
            <w:tcW w:w="1560" w:type="dxa"/>
            <w:tcBorders>
              <w:top w:val="single" w:sz="8" w:space="0" w:color="auto"/>
              <w:left w:val="nil"/>
              <w:bottom w:val="single" w:sz="4" w:space="0" w:color="auto"/>
              <w:right w:val="nil"/>
            </w:tcBorders>
            <w:hideMark/>
          </w:tcPr>
          <w:p w14:paraId="3F8C6798" w14:textId="77777777" w:rsidR="00483686" w:rsidRPr="000453AF" w:rsidRDefault="00483686" w:rsidP="00483686">
            <w:pPr>
              <w:pStyle w:val="MDPI42tablebody"/>
              <w:spacing w:line="240" w:lineRule="auto"/>
              <w:rPr>
                <w:rFonts w:ascii="Times New Roman" w:hAnsi="Times New Roman"/>
                <w:b/>
                <w:sz w:val="18"/>
              </w:rPr>
            </w:pPr>
            <w:r w:rsidRPr="000453AF">
              <w:rPr>
                <w:rFonts w:ascii="Times New Roman" w:hAnsi="Times New Roman"/>
                <w:b/>
                <w:sz w:val="18"/>
              </w:rPr>
              <w:t>HEK293A</w:t>
            </w:r>
          </w:p>
          <w:p w14:paraId="086F0A90" w14:textId="77777777" w:rsidR="00483686" w:rsidRPr="000453AF" w:rsidRDefault="00483686" w:rsidP="00483686">
            <w:pPr>
              <w:pStyle w:val="MDPI42tablebody"/>
              <w:spacing w:line="240" w:lineRule="auto"/>
              <w:rPr>
                <w:rFonts w:ascii="Times New Roman" w:hAnsi="Times New Roman"/>
                <w:b/>
                <w:sz w:val="18"/>
              </w:rPr>
            </w:pPr>
            <w:r w:rsidRPr="000453AF">
              <w:rPr>
                <w:rFonts w:ascii="Times New Roman" w:hAnsi="Times New Roman"/>
                <w:b/>
                <w:sz w:val="18"/>
              </w:rPr>
              <w:t>CC</w:t>
            </w:r>
            <w:r w:rsidRPr="000453AF">
              <w:rPr>
                <w:rFonts w:ascii="Times New Roman" w:hAnsi="Times New Roman"/>
                <w:b/>
                <w:sz w:val="18"/>
                <w:vertAlign w:val="subscript"/>
              </w:rPr>
              <w:t>50</w:t>
            </w:r>
            <w:r w:rsidRPr="000453AF">
              <w:rPr>
                <w:rFonts w:ascii="Times New Roman" w:hAnsi="Times New Roman"/>
                <w:b/>
                <w:sz w:val="18"/>
              </w:rPr>
              <w:t xml:space="preserve">, </w:t>
            </w:r>
            <w:proofErr w:type="spellStart"/>
            <w:r w:rsidRPr="000453AF">
              <w:rPr>
                <w:rFonts w:ascii="Times New Roman" w:hAnsi="Times New Roman"/>
                <w:b/>
                <w:sz w:val="18"/>
              </w:rPr>
              <w:t>μM</w:t>
            </w:r>
            <w:proofErr w:type="spellEnd"/>
          </w:p>
        </w:tc>
      </w:tr>
      <w:tr w:rsidR="00483686" w:rsidRPr="000453AF" w14:paraId="610B492C" w14:textId="77777777" w:rsidTr="000453AF">
        <w:tc>
          <w:tcPr>
            <w:tcW w:w="1222" w:type="dxa"/>
            <w:tcBorders>
              <w:top w:val="nil"/>
              <w:left w:val="nil"/>
              <w:bottom w:val="nil"/>
              <w:right w:val="nil"/>
            </w:tcBorders>
            <w:vAlign w:val="center"/>
            <w:hideMark/>
          </w:tcPr>
          <w:p w14:paraId="1D9CD1D7" w14:textId="77777777" w:rsidR="00483686" w:rsidRPr="000453AF" w:rsidRDefault="00483686" w:rsidP="00E12491">
            <w:pPr>
              <w:pStyle w:val="MDPI42tablebody"/>
              <w:spacing w:line="240" w:lineRule="auto"/>
              <w:rPr>
                <w:rFonts w:ascii="Times New Roman" w:eastAsiaTheme="minorHAnsi" w:hAnsi="Times New Roman"/>
                <w:lang w:eastAsia="en-US"/>
              </w:rPr>
            </w:pPr>
            <w:r w:rsidRPr="000453AF">
              <w:rPr>
                <w:rFonts w:ascii="Times New Roman" w:eastAsiaTheme="minorHAnsi" w:hAnsi="Times New Roman"/>
                <w:b/>
                <w:lang w:eastAsia="en-US"/>
              </w:rPr>
              <w:t xml:space="preserve">15a </w:t>
            </w:r>
          </w:p>
        </w:tc>
        <w:tc>
          <w:tcPr>
            <w:tcW w:w="1986" w:type="dxa"/>
            <w:tcBorders>
              <w:top w:val="nil"/>
              <w:left w:val="nil"/>
              <w:bottom w:val="nil"/>
              <w:right w:val="nil"/>
            </w:tcBorders>
            <w:vAlign w:val="center"/>
            <w:hideMark/>
          </w:tcPr>
          <w:p w14:paraId="242AEBD7" w14:textId="77777777" w:rsidR="00483686" w:rsidRPr="000453AF" w:rsidRDefault="00483686" w:rsidP="00483686">
            <w:pPr>
              <w:pStyle w:val="MDPI42tablebody"/>
              <w:spacing w:line="240" w:lineRule="auto"/>
              <w:rPr>
                <w:rFonts w:ascii="Times New Roman" w:hAnsi="Times New Roman"/>
              </w:rPr>
            </w:pPr>
            <w:r w:rsidRPr="000453AF">
              <w:rPr>
                <w:rFonts w:ascii="Times New Roman" w:eastAsiaTheme="minorHAnsi" w:hAnsi="Times New Roman"/>
                <w:lang w:eastAsia="en-US"/>
              </w:rPr>
              <w:object w:dxaOrig="1665" w:dyaOrig="1020" w14:anchorId="0FBB8CE0">
                <v:shape id="_x0000_i1032" type="#_x0000_t75" style="width:83.5pt;height:51pt" o:ole="">
                  <v:imagedata r:id="rId27" o:title=""/>
                </v:shape>
                <o:OLEObject Type="Embed" ProgID="ChemDraw.Document.6.0" ShapeID="_x0000_i1032" DrawAspect="Content" ObjectID="_1722411437" r:id="rId28"/>
              </w:object>
            </w:r>
          </w:p>
        </w:tc>
        <w:tc>
          <w:tcPr>
            <w:tcW w:w="1560" w:type="dxa"/>
            <w:tcBorders>
              <w:top w:val="nil"/>
              <w:left w:val="nil"/>
              <w:bottom w:val="nil"/>
              <w:right w:val="nil"/>
            </w:tcBorders>
            <w:vAlign w:val="center"/>
            <w:hideMark/>
          </w:tcPr>
          <w:p w14:paraId="1DA65C91" w14:textId="77777777" w:rsidR="00483686" w:rsidRPr="000453AF" w:rsidRDefault="00483686" w:rsidP="00483686">
            <w:pPr>
              <w:pStyle w:val="MDPI42tablebody"/>
              <w:spacing w:line="240" w:lineRule="auto"/>
              <w:rPr>
                <w:rFonts w:ascii="Times New Roman" w:hAnsi="Times New Roman"/>
              </w:rPr>
            </w:pPr>
            <w:r w:rsidRPr="000453AF">
              <w:rPr>
                <w:rFonts w:ascii="Times New Roman" w:hAnsi="Times New Roman"/>
              </w:rPr>
              <w:t>1.2±0.1</w:t>
            </w:r>
          </w:p>
        </w:tc>
        <w:tc>
          <w:tcPr>
            <w:tcW w:w="1277" w:type="dxa"/>
            <w:tcBorders>
              <w:top w:val="nil"/>
              <w:left w:val="nil"/>
              <w:bottom w:val="nil"/>
              <w:right w:val="nil"/>
            </w:tcBorders>
            <w:vAlign w:val="center"/>
            <w:hideMark/>
          </w:tcPr>
          <w:p w14:paraId="1239E8C4" w14:textId="77777777" w:rsidR="00483686" w:rsidRPr="000453AF" w:rsidRDefault="00AB7A3F" w:rsidP="00483686">
            <w:pPr>
              <w:pStyle w:val="MDPI42tablebody"/>
              <w:spacing w:line="240" w:lineRule="auto"/>
              <w:rPr>
                <w:rFonts w:ascii="Times New Roman" w:hAnsi="Times New Roman"/>
              </w:rPr>
            </w:pPr>
            <w:r w:rsidRPr="00AB7A3F">
              <w:rPr>
                <w:rFonts w:ascii="Times New Roman" w:hAnsi="Times New Roman"/>
              </w:rPr>
              <w:t>66±15</w:t>
            </w:r>
          </w:p>
        </w:tc>
        <w:tc>
          <w:tcPr>
            <w:tcW w:w="1560" w:type="dxa"/>
            <w:tcBorders>
              <w:top w:val="nil"/>
              <w:left w:val="nil"/>
              <w:bottom w:val="nil"/>
              <w:right w:val="nil"/>
            </w:tcBorders>
            <w:vAlign w:val="center"/>
            <w:hideMark/>
          </w:tcPr>
          <w:p w14:paraId="52A3629F" w14:textId="77777777" w:rsidR="00483686" w:rsidRPr="000453AF" w:rsidRDefault="00483686" w:rsidP="00483686">
            <w:pPr>
              <w:pStyle w:val="MDPI42tablebody"/>
              <w:spacing w:line="240" w:lineRule="auto"/>
              <w:rPr>
                <w:rFonts w:ascii="Times New Roman" w:hAnsi="Times New Roman"/>
              </w:rPr>
            </w:pPr>
            <w:r w:rsidRPr="000453AF">
              <w:rPr>
                <w:rFonts w:ascii="Times New Roman" w:hAnsi="Times New Roman"/>
              </w:rPr>
              <w:t>&gt;100</w:t>
            </w:r>
          </w:p>
        </w:tc>
      </w:tr>
      <w:tr w:rsidR="00483686" w:rsidRPr="000453AF" w14:paraId="53CFE987" w14:textId="77777777" w:rsidTr="000453AF">
        <w:tc>
          <w:tcPr>
            <w:tcW w:w="1222" w:type="dxa"/>
            <w:tcBorders>
              <w:top w:val="nil"/>
              <w:left w:val="nil"/>
              <w:bottom w:val="nil"/>
              <w:right w:val="nil"/>
            </w:tcBorders>
            <w:vAlign w:val="center"/>
            <w:hideMark/>
          </w:tcPr>
          <w:p w14:paraId="09030DE8" w14:textId="77777777" w:rsidR="00483686" w:rsidRPr="000453AF" w:rsidRDefault="00483686" w:rsidP="00E12491">
            <w:pPr>
              <w:pStyle w:val="MDPI42tablebody"/>
              <w:spacing w:line="240" w:lineRule="auto"/>
              <w:rPr>
                <w:rFonts w:ascii="Times New Roman" w:hAnsi="Times New Roman"/>
              </w:rPr>
            </w:pPr>
            <w:r w:rsidRPr="000453AF">
              <w:rPr>
                <w:rFonts w:ascii="Times New Roman" w:hAnsi="Times New Roman"/>
                <w:b/>
              </w:rPr>
              <w:t xml:space="preserve">15b </w:t>
            </w:r>
          </w:p>
        </w:tc>
        <w:tc>
          <w:tcPr>
            <w:tcW w:w="1986" w:type="dxa"/>
            <w:tcBorders>
              <w:top w:val="nil"/>
              <w:left w:val="nil"/>
              <w:bottom w:val="nil"/>
              <w:right w:val="nil"/>
            </w:tcBorders>
            <w:vAlign w:val="center"/>
            <w:hideMark/>
          </w:tcPr>
          <w:p w14:paraId="5539267E"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665" w:dyaOrig="1035" w14:anchorId="29181A2F">
                <v:shape id="_x0000_i1033" type="#_x0000_t75" style="width:83.5pt;height:51pt" o:ole="">
                  <v:imagedata r:id="rId29" o:title=""/>
                </v:shape>
                <o:OLEObject Type="Embed" ProgID="ChemDraw.Document.6.0" ShapeID="_x0000_i1033" DrawAspect="Content" ObjectID="_1722411438" r:id="rId30"/>
              </w:object>
            </w:r>
          </w:p>
        </w:tc>
        <w:tc>
          <w:tcPr>
            <w:tcW w:w="1560" w:type="dxa"/>
            <w:tcBorders>
              <w:top w:val="nil"/>
              <w:left w:val="nil"/>
              <w:bottom w:val="nil"/>
              <w:right w:val="nil"/>
            </w:tcBorders>
            <w:vAlign w:val="center"/>
            <w:hideMark/>
          </w:tcPr>
          <w:p w14:paraId="0C8685DF" w14:textId="77777777" w:rsidR="00483686" w:rsidRPr="000453AF" w:rsidRDefault="00483686" w:rsidP="00483686">
            <w:pPr>
              <w:pStyle w:val="MDPI42tablebody"/>
              <w:spacing w:line="240" w:lineRule="auto"/>
              <w:rPr>
                <w:rFonts w:ascii="Times New Roman" w:hAnsi="Times New Roman"/>
              </w:rPr>
            </w:pPr>
            <w:r w:rsidRPr="000453AF">
              <w:rPr>
                <w:rFonts w:ascii="Times New Roman" w:hAnsi="Times New Roman"/>
              </w:rPr>
              <w:t>2.9±0.6</w:t>
            </w:r>
          </w:p>
        </w:tc>
        <w:tc>
          <w:tcPr>
            <w:tcW w:w="1277" w:type="dxa"/>
            <w:tcBorders>
              <w:top w:val="nil"/>
              <w:left w:val="nil"/>
              <w:bottom w:val="nil"/>
              <w:right w:val="nil"/>
            </w:tcBorders>
            <w:vAlign w:val="center"/>
            <w:hideMark/>
          </w:tcPr>
          <w:p w14:paraId="1FCA642D" w14:textId="77777777" w:rsidR="00483686" w:rsidRPr="000453AF" w:rsidRDefault="00483686" w:rsidP="00483686">
            <w:pPr>
              <w:pStyle w:val="MDPI42tablebody"/>
              <w:spacing w:line="240" w:lineRule="auto"/>
              <w:rPr>
                <w:rFonts w:ascii="Times New Roman" w:hAnsi="Times New Roman"/>
              </w:rPr>
            </w:pPr>
            <w:r w:rsidRPr="000453AF">
              <w:rPr>
                <w:rFonts w:ascii="Times New Roman" w:hAnsi="Times New Roman"/>
              </w:rPr>
              <w:t>&gt;100</w:t>
            </w:r>
          </w:p>
        </w:tc>
        <w:tc>
          <w:tcPr>
            <w:tcW w:w="1560" w:type="dxa"/>
            <w:tcBorders>
              <w:top w:val="nil"/>
              <w:left w:val="nil"/>
              <w:bottom w:val="nil"/>
              <w:right w:val="nil"/>
            </w:tcBorders>
            <w:vAlign w:val="center"/>
            <w:hideMark/>
          </w:tcPr>
          <w:p w14:paraId="3271D39D" w14:textId="77777777" w:rsidR="00483686" w:rsidRPr="000453AF" w:rsidRDefault="00483686" w:rsidP="00483686">
            <w:pPr>
              <w:pStyle w:val="MDPI42tablebody"/>
              <w:spacing w:line="240" w:lineRule="auto"/>
              <w:rPr>
                <w:rFonts w:ascii="Times New Roman" w:hAnsi="Times New Roman"/>
              </w:rPr>
            </w:pPr>
            <w:r w:rsidRPr="000453AF">
              <w:rPr>
                <w:rFonts w:ascii="Times New Roman" w:hAnsi="Times New Roman"/>
              </w:rPr>
              <w:t>&gt;100</w:t>
            </w:r>
          </w:p>
        </w:tc>
      </w:tr>
      <w:tr w:rsidR="00483686" w:rsidRPr="000453AF" w14:paraId="4115CE91" w14:textId="77777777" w:rsidTr="000453AF">
        <w:tc>
          <w:tcPr>
            <w:tcW w:w="1222" w:type="dxa"/>
            <w:tcBorders>
              <w:top w:val="nil"/>
              <w:left w:val="nil"/>
              <w:bottom w:val="nil"/>
              <w:right w:val="nil"/>
            </w:tcBorders>
            <w:vAlign w:val="center"/>
            <w:hideMark/>
          </w:tcPr>
          <w:p w14:paraId="6A3EC26C" w14:textId="77777777" w:rsidR="00483686" w:rsidRPr="000453AF" w:rsidRDefault="00483686" w:rsidP="00E12491">
            <w:pPr>
              <w:pStyle w:val="MDPI42tablebody"/>
              <w:spacing w:line="240" w:lineRule="auto"/>
              <w:rPr>
                <w:rFonts w:ascii="Times New Roman" w:hAnsi="Times New Roman"/>
              </w:rPr>
            </w:pPr>
            <w:r w:rsidRPr="000453AF">
              <w:rPr>
                <w:rFonts w:ascii="Times New Roman" w:hAnsi="Times New Roman"/>
                <w:b/>
              </w:rPr>
              <w:lastRenderedPageBreak/>
              <w:t xml:space="preserve">15c </w:t>
            </w:r>
          </w:p>
        </w:tc>
        <w:tc>
          <w:tcPr>
            <w:tcW w:w="1986" w:type="dxa"/>
            <w:tcBorders>
              <w:top w:val="nil"/>
              <w:left w:val="nil"/>
              <w:bottom w:val="nil"/>
              <w:right w:val="nil"/>
            </w:tcBorders>
            <w:vAlign w:val="center"/>
            <w:hideMark/>
          </w:tcPr>
          <w:p w14:paraId="04B59609"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665" w:dyaOrig="1035" w14:anchorId="1CB14861">
                <v:shape id="_x0000_i1034" type="#_x0000_t75" style="width:83.5pt;height:51pt" o:ole="">
                  <v:imagedata r:id="rId31" o:title=""/>
                </v:shape>
                <o:OLEObject Type="Embed" ProgID="ChemDraw.Document.6.0" ShapeID="_x0000_i1034" DrawAspect="Content" ObjectID="_1722411439" r:id="rId32"/>
              </w:object>
            </w:r>
          </w:p>
        </w:tc>
        <w:tc>
          <w:tcPr>
            <w:tcW w:w="1560" w:type="dxa"/>
            <w:tcBorders>
              <w:top w:val="nil"/>
              <w:left w:val="nil"/>
              <w:bottom w:val="nil"/>
              <w:right w:val="nil"/>
            </w:tcBorders>
            <w:vAlign w:val="center"/>
            <w:hideMark/>
          </w:tcPr>
          <w:p w14:paraId="454980DB" w14:textId="77777777" w:rsidR="00483686" w:rsidRPr="000453AF" w:rsidRDefault="008462CB" w:rsidP="008462CB">
            <w:pPr>
              <w:spacing w:line="260" w:lineRule="atLeast"/>
              <w:jc w:val="center"/>
              <w:rPr>
                <w:noProof/>
                <w:color w:val="000000"/>
                <w:lang w:val="en-US" w:eastAsia="zh-CN"/>
              </w:rPr>
            </w:pPr>
            <w:r w:rsidRPr="008462CB">
              <w:t>&gt;1</w:t>
            </w:r>
            <w:r>
              <w:t>00</w:t>
            </w:r>
          </w:p>
        </w:tc>
        <w:tc>
          <w:tcPr>
            <w:tcW w:w="1277" w:type="dxa"/>
            <w:tcBorders>
              <w:top w:val="nil"/>
              <w:left w:val="nil"/>
              <w:bottom w:val="nil"/>
              <w:right w:val="nil"/>
            </w:tcBorders>
            <w:vAlign w:val="center"/>
            <w:hideMark/>
          </w:tcPr>
          <w:p w14:paraId="2FE12422" w14:textId="77777777" w:rsidR="00483686" w:rsidRPr="000453AF" w:rsidRDefault="00483686" w:rsidP="00483686">
            <w:pPr>
              <w:pStyle w:val="MDPI42tablebody"/>
              <w:spacing w:line="240" w:lineRule="auto"/>
              <w:rPr>
                <w:rFonts w:ascii="Times New Roman" w:hAnsi="Times New Roman"/>
              </w:rPr>
            </w:pPr>
            <w:proofErr w:type="spellStart"/>
            <w:r w:rsidRPr="000453AF">
              <w:rPr>
                <w:rFonts w:ascii="Times New Roman" w:hAnsi="Times New Roman"/>
              </w:rPr>
              <w:t>nd</w:t>
            </w:r>
            <w:proofErr w:type="spellEnd"/>
            <w:r w:rsidRPr="000453AF">
              <w:rPr>
                <w:rFonts w:ascii="Times New Roman" w:hAnsi="Times New Roman"/>
              </w:rPr>
              <w:t>*</w:t>
            </w:r>
          </w:p>
        </w:tc>
        <w:tc>
          <w:tcPr>
            <w:tcW w:w="1560" w:type="dxa"/>
            <w:tcBorders>
              <w:top w:val="nil"/>
              <w:left w:val="nil"/>
              <w:bottom w:val="nil"/>
              <w:right w:val="nil"/>
            </w:tcBorders>
            <w:vAlign w:val="center"/>
            <w:hideMark/>
          </w:tcPr>
          <w:p w14:paraId="6B33E645" w14:textId="77777777" w:rsidR="00483686" w:rsidRPr="000453AF" w:rsidRDefault="00483686" w:rsidP="00483686">
            <w:pPr>
              <w:pStyle w:val="MDPI42tablebody"/>
              <w:spacing w:line="240" w:lineRule="auto"/>
              <w:rPr>
                <w:rFonts w:ascii="Times New Roman" w:hAnsi="Times New Roman"/>
                <w:lang w:val="ru-RU"/>
              </w:rPr>
            </w:pPr>
            <w:proofErr w:type="spellStart"/>
            <w:r w:rsidRPr="000453AF">
              <w:rPr>
                <w:rFonts w:ascii="Times New Roman" w:hAnsi="Times New Roman"/>
              </w:rPr>
              <w:t>nd</w:t>
            </w:r>
            <w:proofErr w:type="spellEnd"/>
            <w:r w:rsidRPr="000453AF">
              <w:rPr>
                <w:rFonts w:ascii="Times New Roman" w:hAnsi="Times New Roman"/>
              </w:rPr>
              <w:t>*</w:t>
            </w:r>
          </w:p>
        </w:tc>
      </w:tr>
      <w:tr w:rsidR="00483686" w:rsidRPr="000453AF" w14:paraId="31672E8F" w14:textId="77777777" w:rsidTr="000453AF">
        <w:tc>
          <w:tcPr>
            <w:tcW w:w="1222" w:type="dxa"/>
            <w:tcBorders>
              <w:top w:val="nil"/>
              <w:left w:val="nil"/>
              <w:bottom w:val="nil"/>
              <w:right w:val="nil"/>
            </w:tcBorders>
            <w:vAlign w:val="center"/>
            <w:hideMark/>
          </w:tcPr>
          <w:p w14:paraId="7CA260EC" w14:textId="77777777" w:rsidR="00483686" w:rsidRPr="000453AF" w:rsidRDefault="00483686" w:rsidP="00E12491">
            <w:pPr>
              <w:pStyle w:val="MDPI42tablebody"/>
              <w:spacing w:line="240" w:lineRule="auto"/>
              <w:rPr>
                <w:rFonts w:ascii="Times New Roman" w:hAnsi="Times New Roman"/>
              </w:rPr>
            </w:pPr>
            <w:r w:rsidRPr="000453AF">
              <w:rPr>
                <w:rFonts w:ascii="Times New Roman" w:hAnsi="Times New Roman"/>
                <w:b/>
              </w:rPr>
              <w:t xml:space="preserve">15d </w:t>
            </w:r>
          </w:p>
        </w:tc>
        <w:tc>
          <w:tcPr>
            <w:tcW w:w="1986" w:type="dxa"/>
            <w:tcBorders>
              <w:top w:val="nil"/>
              <w:left w:val="nil"/>
              <w:bottom w:val="nil"/>
              <w:right w:val="nil"/>
            </w:tcBorders>
            <w:vAlign w:val="center"/>
            <w:hideMark/>
          </w:tcPr>
          <w:p w14:paraId="7C6D2C2D"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830" w:dyaOrig="780" w14:anchorId="583279C5">
                <v:shape id="_x0000_i1035" type="#_x0000_t75" style="width:91.5pt;height:39.5pt" o:ole="">
                  <v:imagedata r:id="rId33" o:title=""/>
                </v:shape>
                <o:OLEObject Type="Embed" ProgID="ChemDraw.Document.6.0" ShapeID="_x0000_i1035" DrawAspect="Content" ObjectID="_1722411440" r:id="rId34"/>
              </w:object>
            </w:r>
          </w:p>
        </w:tc>
        <w:tc>
          <w:tcPr>
            <w:tcW w:w="1560" w:type="dxa"/>
            <w:tcBorders>
              <w:top w:val="nil"/>
              <w:left w:val="nil"/>
              <w:bottom w:val="nil"/>
              <w:right w:val="nil"/>
            </w:tcBorders>
            <w:vAlign w:val="center"/>
            <w:hideMark/>
          </w:tcPr>
          <w:p w14:paraId="0344B0AA" w14:textId="77777777" w:rsidR="00483686" w:rsidRPr="000453AF" w:rsidRDefault="00483686" w:rsidP="00483686">
            <w:pPr>
              <w:spacing w:line="260" w:lineRule="atLeast"/>
              <w:jc w:val="center"/>
              <w:rPr>
                <w:noProof/>
                <w:color w:val="000000"/>
                <w:lang w:val="en-US" w:eastAsia="zh-CN"/>
              </w:rPr>
            </w:pPr>
            <w:r w:rsidRPr="000453AF">
              <w:t>1.6±0.4</w:t>
            </w:r>
          </w:p>
        </w:tc>
        <w:tc>
          <w:tcPr>
            <w:tcW w:w="1277" w:type="dxa"/>
            <w:tcBorders>
              <w:top w:val="nil"/>
              <w:left w:val="nil"/>
              <w:bottom w:val="nil"/>
              <w:right w:val="nil"/>
            </w:tcBorders>
            <w:vAlign w:val="center"/>
            <w:hideMark/>
          </w:tcPr>
          <w:p w14:paraId="7D3A1609" w14:textId="77777777" w:rsidR="00483686" w:rsidRPr="000453AF" w:rsidRDefault="00AB7A3F" w:rsidP="00483686">
            <w:pPr>
              <w:pStyle w:val="MDPI42tablebody"/>
              <w:spacing w:line="240" w:lineRule="auto"/>
              <w:rPr>
                <w:rFonts w:ascii="Times New Roman" w:hAnsi="Times New Roman"/>
              </w:rPr>
            </w:pPr>
            <w:r w:rsidRPr="00AB7A3F">
              <w:rPr>
                <w:rFonts w:ascii="Times New Roman" w:hAnsi="Times New Roman"/>
              </w:rPr>
              <w:t>74±25</w:t>
            </w:r>
          </w:p>
        </w:tc>
        <w:tc>
          <w:tcPr>
            <w:tcW w:w="1560" w:type="dxa"/>
            <w:tcBorders>
              <w:top w:val="nil"/>
              <w:left w:val="nil"/>
              <w:bottom w:val="nil"/>
              <w:right w:val="nil"/>
            </w:tcBorders>
            <w:vAlign w:val="center"/>
            <w:hideMark/>
          </w:tcPr>
          <w:p w14:paraId="386C64E3" w14:textId="77777777" w:rsidR="00483686" w:rsidRPr="000453AF" w:rsidRDefault="00AB7A3F" w:rsidP="00483686">
            <w:pPr>
              <w:pStyle w:val="MDPI42tablebody"/>
              <w:spacing w:line="240" w:lineRule="auto"/>
              <w:rPr>
                <w:rFonts w:ascii="Times New Roman" w:hAnsi="Times New Roman"/>
              </w:rPr>
            </w:pPr>
            <w:r w:rsidRPr="00AB7A3F">
              <w:rPr>
                <w:rFonts w:ascii="Times New Roman" w:hAnsi="Times New Roman"/>
              </w:rPr>
              <w:t>51±14</w:t>
            </w:r>
          </w:p>
        </w:tc>
      </w:tr>
      <w:tr w:rsidR="00483686" w:rsidRPr="000453AF" w14:paraId="183ECA25" w14:textId="77777777" w:rsidTr="000453AF">
        <w:tc>
          <w:tcPr>
            <w:tcW w:w="1222" w:type="dxa"/>
            <w:tcBorders>
              <w:top w:val="nil"/>
              <w:left w:val="nil"/>
              <w:bottom w:val="nil"/>
              <w:right w:val="nil"/>
            </w:tcBorders>
            <w:vAlign w:val="center"/>
            <w:hideMark/>
          </w:tcPr>
          <w:p w14:paraId="5E71F279" w14:textId="77777777" w:rsidR="00483686" w:rsidRPr="000453AF" w:rsidRDefault="00483686" w:rsidP="00E12491">
            <w:pPr>
              <w:pStyle w:val="MDPI42tablebody"/>
              <w:spacing w:line="240" w:lineRule="auto"/>
              <w:rPr>
                <w:rFonts w:ascii="Times New Roman" w:hAnsi="Times New Roman"/>
              </w:rPr>
            </w:pPr>
            <w:r w:rsidRPr="000453AF">
              <w:rPr>
                <w:rFonts w:ascii="Times New Roman" w:hAnsi="Times New Roman"/>
                <w:b/>
              </w:rPr>
              <w:t xml:space="preserve">15e </w:t>
            </w:r>
          </w:p>
        </w:tc>
        <w:tc>
          <w:tcPr>
            <w:tcW w:w="1986" w:type="dxa"/>
            <w:tcBorders>
              <w:top w:val="nil"/>
              <w:left w:val="nil"/>
              <w:bottom w:val="nil"/>
              <w:right w:val="nil"/>
            </w:tcBorders>
            <w:vAlign w:val="center"/>
            <w:hideMark/>
          </w:tcPr>
          <w:p w14:paraId="546FF395"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830" w:dyaOrig="735" w14:anchorId="23764DD0">
                <v:shape id="_x0000_i1036" type="#_x0000_t75" style="width:91.5pt;height:36pt" o:ole="">
                  <v:imagedata r:id="rId35" o:title=""/>
                </v:shape>
                <o:OLEObject Type="Embed" ProgID="ChemDraw.Document.6.0" ShapeID="_x0000_i1036" DrawAspect="Content" ObjectID="_1722411441" r:id="rId36"/>
              </w:object>
            </w:r>
          </w:p>
        </w:tc>
        <w:tc>
          <w:tcPr>
            <w:tcW w:w="1560" w:type="dxa"/>
            <w:tcBorders>
              <w:top w:val="nil"/>
              <w:left w:val="nil"/>
              <w:bottom w:val="nil"/>
              <w:right w:val="nil"/>
            </w:tcBorders>
            <w:vAlign w:val="center"/>
            <w:hideMark/>
          </w:tcPr>
          <w:p w14:paraId="65E07CFC" w14:textId="77777777" w:rsidR="00483686" w:rsidRPr="000453AF" w:rsidRDefault="00483686" w:rsidP="00483686">
            <w:pPr>
              <w:spacing w:line="260" w:lineRule="atLeast"/>
              <w:jc w:val="center"/>
              <w:rPr>
                <w:noProof/>
                <w:color w:val="000000"/>
                <w:lang w:val="en-US" w:eastAsia="zh-CN"/>
              </w:rPr>
            </w:pPr>
            <w:r w:rsidRPr="000453AF">
              <w:t>2.1±0.4</w:t>
            </w:r>
          </w:p>
        </w:tc>
        <w:tc>
          <w:tcPr>
            <w:tcW w:w="1277" w:type="dxa"/>
            <w:tcBorders>
              <w:top w:val="nil"/>
              <w:left w:val="nil"/>
              <w:bottom w:val="nil"/>
              <w:right w:val="nil"/>
            </w:tcBorders>
            <w:vAlign w:val="center"/>
            <w:hideMark/>
          </w:tcPr>
          <w:p w14:paraId="7027B1ED" w14:textId="77777777" w:rsidR="00483686" w:rsidRPr="000453AF" w:rsidRDefault="00483686" w:rsidP="00483686">
            <w:pPr>
              <w:pStyle w:val="MDPI42tablebody"/>
              <w:spacing w:line="240" w:lineRule="auto"/>
              <w:rPr>
                <w:rFonts w:ascii="Times New Roman" w:hAnsi="Times New Roman"/>
              </w:rPr>
            </w:pPr>
            <w:r w:rsidRPr="000453AF">
              <w:rPr>
                <w:rFonts w:ascii="Times New Roman" w:hAnsi="Times New Roman"/>
              </w:rPr>
              <w:t>&gt;100</w:t>
            </w:r>
          </w:p>
        </w:tc>
        <w:tc>
          <w:tcPr>
            <w:tcW w:w="1560" w:type="dxa"/>
            <w:tcBorders>
              <w:top w:val="nil"/>
              <w:left w:val="nil"/>
              <w:bottom w:val="nil"/>
              <w:right w:val="nil"/>
            </w:tcBorders>
            <w:vAlign w:val="center"/>
            <w:hideMark/>
          </w:tcPr>
          <w:p w14:paraId="3DE1BDE5" w14:textId="77777777" w:rsidR="00483686" w:rsidRPr="000453AF" w:rsidRDefault="00483686" w:rsidP="00483686">
            <w:pPr>
              <w:pStyle w:val="MDPI42tablebody"/>
              <w:spacing w:line="240" w:lineRule="auto"/>
              <w:rPr>
                <w:rFonts w:ascii="Times New Roman" w:hAnsi="Times New Roman"/>
              </w:rPr>
            </w:pPr>
            <w:r w:rsidRPr="000453AF">
              <w:rPr>
                <w:rFonts w:ascii="Times New Roman" w:hAnsi="Times New Roman"/>
              </w:rPr>
              <w:t>&gt;100</w:t>
            </w:r>
          </w:p>
        </w:tc>
      </w:tr>
      <w:tr w:rsidR="00483686" w:rsidRPr="000453AF" w14:paraId="27B128A4" w14:textId="77777777" w:rsidTr="000453AF">
        <w:tc>
          <w:tcPr>
            <w:tcW w:w="1222" w:type="dxa"/>
            <w:tcBorders>
              <w:top w:val="nil"/>
              <w:left w:val="nil"/>
              <w:bottom w:val="nil"/>
              <w:right w:val="nil"/>
            </w:tcBorders>
            <w:vAlign w:val="center"/>
            <w:hideMark/>
          </w:tcPr>
          <w:p w14:paraId="3BDD99A6" w14:textId="77777777" w:rsidR="00483686" w:rsidRPr="000453AF" w:rsidRDefault="00483686" w:rsidP="00E12491">
            <w:pPr>
              <w:pStyle w:val="MDPI42tablebody"/>
              <w:spacing w:line="240" w:lineRule="auto"/>
              <w:rPr>
                <w:rFonts w:ascii="Times New Roman" w:hAnsi="Times New Roman"/>
              </w:rPr>
            </w:pPr>
            <w:r w:rsidRPr="000453AF">
              <w:rPr>
                <w:rFonts w:ascii="Times New Roman" w:hAnsi="Times New Roman"/>
                <w:b/>
              </w:rPr>
              <w:t xml:space="preserve">15f </w:t>
            </w:r>
          </w:p>
        </w:tc>
        <w:tc>
          <w:tcPr>
            <w:tcW w:w="1986" w:type="dxa"/>
            <w:tcBorders>
              <w:top w:val="nil"/>
              <w:left w:val="nil"/>
              <w:bottom w:val="nil"/>
              <w:right w:val="nil"/>
            </w:tcBorders>
            <w:vAlign w:val="center"/>
            <w:hideMark/>
          </w:tcPr>
          <w:p w14:paraId="3F5C5597"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800" w:dyaOrig="735" w14:anchorId="0C93F6D6">
                <v:shape id="_x0000_i1037" type="#_x0000_t75" style="width:90pt;height:36pt" o:ole="">
                  <v:imagedata r:id="rId37" o:title=""/>
                </v:shape>
                <o:OLEObject Type="Embed" ProgID="ChemDraw.Document.6.0" ShapeID="_x0000_i1037" DrawAspect="Content" ObjectID="_1722411442" r:id="rId38"/>
              </w:object>
            </w:r>
          </w:p>
        </w:tc>
        <w:tc>
          <w:tcPr>
            <w:tcW w:w="1560" w:type="dxa"/>
            <w:tcBorders>
              <w:top w:val="nil"/>
              <w:left w:val="nil"/>
              <w:bottom w:val="nil"/>
              <w:right w:val="nil"/>
            </w:tcBorders>
            <w:vAlign w:val="center"/>
            <w:hideMark/>
          </w:tcPr>
          <w:p w14:paraId="544C44FE" w14:textId="77777777" w:rsidR="00483686" w:rsidRPr="000453AF" w:rsidRDefault="00483686" w:rsidP="00483686">
            <w:pPr>
              <w:spacing w:line="260" w:lineRule="atLeast"/>
              <w:jc w:val="center"/>
              <w:rPr>
                <w:noProof/>
                <w:color w:val="000000"/>
                <w:lang w:val="en-US" w:eastAsia="zh-CN"/>
              </w:rPr>
            </w:pPr>
            <w:r w:rsidRPr="000453AF">
              <w:t>1.2±0.2</w:t>
            </w:r>
          </w:p>
        </w:tc>
        <w:tc>
          <w:tcPr>
            <w:tcW w:w="1277" w:type="dxa"/>
            <w:tcBorders>
              <w:top w:val="nil"/>
              <w:left w:val="nil"/>
              <w:bottom w:val="nil"/>
              <w:right w:val="nil"/>
            </w:tcBorders>
            <w:vAlign w:val="center"/>
            <w:hideMark/>
          </w:tcPr>
          <w:p w14:paraId="0CFF9486" w14:textId="77777777" w:rsidR="00483686" w:rsidRPr="000453AF" w:rsidRDefault="00AB7A3F" w:rsidP="00483686">
            <w:pPr>
              <w:pStyle w:val="MDPI42tablebody"/>
              <w:spacing w:line="240" w:lineRule="auto"/>
              <w:rPr>
                <w:rFonts w:ascii="Times New Roman" w:hAnsi="Times New Roman"/>
              </w:rPr>
            </w:pPr>
            <w:r w:rsidRPr="00AB7A3F">
              <w:rPr>
                <w:rFonts w:ascii="Times New Roman" w:hAnsi="Times New Roman"/>
              </w:rPr>
              <w:t>79±13</w:t>
            </w:r>
          </w:p>
        </w:tc>
        <w:tc>
          <w:tcPr>
            <w:tcW w:w="1560" w:type="dxa"/>
            <w:tcBorders>
              <w:top w:val="nil"/>
              <w:left w:val="nil"/>
              <w:bottom w:val="nil"/>
              <w:right w:val="nil"/>
            </w:tcBorders>
            <w:vAlign w:val="center"/>
            <w:hideMark/>
          </w:tcPr>
          <w:p w14:paraId="43F1A0C3" w14:textId="77777777" w:rsidR="00483686" w:rsidRPr="000453AF" w:rsidRDefault="00AB7A3F" w:rsidP="00483686">
            <w:pPr>
              <w:pStyle w:val="MDPI42tablebody"/>
              <w:spacing w:line="240" w:lineRule="auto"/>
              <w:rPr>
                <w:rFonts w:ascii="Times New Roman" w:hAnsi="Times New Roman"/>
              </w:rPr>
            </w:pPr>
            <w:r w:rsidRPr="00AB7A3F">
              <w:rPr>
                <w:rFonts w:ascii="Times New Roman" w:hAnsi="Times New Roman"/>
              </w:rPr>
              <w:t>90±22</w:t>
            </w:r>
          </w:p>
        </w:tc>
      </w:tr>
      <w:tr w:rsidR="00483686" w:rsidRPr="000453AF" w14:paraId="14D7C68B" w14:textId="77777777" w:rsidTr="000453AF">
        <w:tc>
          <w:tcPr>
            <w:tcW w:w="1222" w:type="dxa"/>
            <w:tcBorders>
              <w:top w:val="nil"/>
              <w:left w:val="nil"/>
              <w:bottom w:val="nil"/>
              <w:right w:val="nil"/>
            </w:tcBorders>
            <w:vAlign w:val="center"/>
            <w:hideMark/>
          </w:tcPr>
          <w:p w14:paraId="5270E036" w14:textId="77777777" w:rsidR="00483686" w:rsidRPr="000453AF" w:rsidRDefault="00483686" w:rsidP="00483686">
            <w:pPr>
              <w:pStyle w:val="MDPI42tablebody"/>
              <w:spacing w:line="240" w:lineRule="auto"/>
              <w:rPr>
                <w:rFonts w:ascii="Times New Roman" w:hAnsi="Times New Roman"/>
                <w:b/>
              </w:rPr>
            </w:pPr>
            <w:r w:rsidRPr="000453AF">
              <w:rPr>
                <w:rFonts w:ascii="Times New Roman" w:hAnsi="Times New Roman"/>
                <w:b/>
              </w:rPr>
              <w:t>15g</w:t>
            </w:r>
          </w:p>
        </w:tc>
        <w:tc>
          <w:tcPr>
            <w:tcW w:w="1986" w:type="dxa"/>
            <w:tcBorders>
              <w:top w:val="nil"/>
              <w:left w:val="nil"/>
              <w:bottom w:val="nil"/>
              <w:right w:val="nil"/>
            </w:tcBorders>
            <w:vAlign w:val="center"/>
            <w:hideMark/>
          </w:tcPr>
          <w:p w14:paraId="4F566024" w14:textId="77777777" w:rsidR="00483686" w:rsidRPr="000453AF" w:rsidRDefault="00483686" w:rsidP="00483686">
            <w:pPr>
              <w:spacing w:line="260" w:lineRule="atLeast"/>
              <w:jc w:val="center"/>
              <w:rPr>
                <w:rFonts w:eastAsiaTheme="minorHAnsi"/>
                <w:noProof/>
                <w:color w:val="000000"/>
                <w:lang w:val="en-US"/>
              </w:rPr>
            </w:pPr>
            <w:r w:rsidRPr="000453AF">
              <w:rPr>
                <w:rFonts w:eastAsiaTheme="minorHAnsi"/>
                <w:noProof/>
                <w:color w:val="000000"/>
                <w:lang w:val="en-US"/>
              </w:rPr>
              <w:object w:dxaOrig="1290" w:dyaOrig="735" w14:anchorId="23713427">
                <v:shape id="_x0000_i1038" type="#_x0000_t75" style="width:65pt;height:36pt" o:ole="">
                  <v:imagedata r:id="rId39" o:title=""/>
                </v:shape>
                <o:OLEObject Type="Embed" ProgID="ChemDraw.Document.6.0" ShapeID="_x0000_i1038" DrawAspect="Content" ObjectID="_1722411443" r:id="rId40"/>
              </w:object>
            </w:r>
          </w:p>
        </w:tc>
        <w:tc>
          <w:tcPr>
            <w:tcW w:w="1560" w:type="dxa"/>
            <w:tcBorders>
              <w:top w:val="nil"/>
              <w:left w:val="nil"/>
              <w:bottom w:val="nil"/>
              <w:right w:val="nil"/>
            </w:tcBorders>
            <w:vAlign w:val="center"/>
            <w:hideMark/>
          </w:tcPr>
          <w:p w14:paraId="3FB32DD4" w14:textId="77777777" w:rsidR="00483686" w:rsidRPr="000453AF" w:rsidRDefault="00483686" w:rsidP="00483686">
            <w:pPr>
              <w:pStyle w:val="MDPI42tablebody"/>
              <w:spacing w:line="240" w:lineRule="auto"/>
              <w:rPr>
                <w:rFonts w:ascii="Times New Roman" w:hAnsi="Times New Roman"/>
                <w:lang w:val="ru-RU"/>
              </w:rPr>
            </w:pPr>
            <w:r w:rsidRPr="000453AF">
              <w:rPr>
                <w:rFonts w:ascii="Times New Roman" w:hAnsi="Times New Roman"/>
              </w:rPr>
              <w:t>&gt;100</w:t>
            </w:r>
          </w:p>
        </w:tc>
        <w:tc>
          <w:tcPr>
            <w:tcW w:w="1277" w:type="dxa"/>
            <w:tcBorders>
              <w:top w:val="nil"/>
              <w:left w:val="nil"/>
              <w:bottom w:val="nil"/>
              <w:right w:val="nil"/>
            </w:tcBorders>
            <w:vAlign w:val="center"/>
            <w:hideMark/>
          </w:tcPr>
          <w:p w14:paraId="57F1F54E"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c>
          <w:tcPr>
            <w:tcW w:w="1560" w:type="dxa"/>
            <w:tcBorders>
              <w:top w:val="nil"/>
              <w:left w:val="nil"/>
              <w:bottom w:val="nil"/>
              <w:right w:val="nil"/>
            </w:tcBorders>
            <w:vAlign w:val="center"/>
            <w:hideMark/>
          </w:tcPr>
          <w:p w14:paraId="785CA2A0"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r>
      <w:tr w:rsidR="00483686" w:rsidRPr="000453AF" w14:paraId="228B2AF0" w14:textId="77777777" w:rsidTr="000453AF">
        <w:tc>
          <w:tcPr>
            <w:tcW w:w="1222" w:type="dxa"/>
            <w:tcBorders>
              <w:top w:val="nil"/>
              <w:left w:val="nil"/>
              <w:bottom w:val="nil"/>
              <w:right w:val="nil"/>
            </w:tcBorders>
            <w:vAlign w:val="center"/>
            <w:hideMark/>
          </w:tcPr>
          <w:p w14:paraId="34E8840F" w14:textId="77777777" w:rsidR="00483686" w:rsidRPr="000453AF" w:rsidRDefault="00483686" w:rsidP="00483686">
            <w:pPr>
              <w:pStyle w:val="MDPI42tablebody"/>
              <w:spacing w:line="240" w:lineRule="auto"/>
              <w:rPr>
                <w:rFonts w:ascii="Times New Roman" w:hAnsi="Times New Roman"/>
                <w:b/>
              </w:rPr>
            </w:pPr>
            <w:r w:rsidRPr="000453AF">
              <w:rPr>
                <w:rFonts w:ascii="Times New Roman" w:hAnsi="Times New Roman"/>
                <w:b/>
              </w:rPr>
              <w:t>16a</w:t>
            </w:r>
          </w:p>
        </w:tc>
        <w:tc>
          <w:tcPr>
            <w:tcW w:w="1986" w:type="dxa"/>
            <w:tcBorders>
              <w:top w:val="nil"/>
              <w:left w:val="nil"/>
              <w:bottom w:val="nil"/>
              <w:right w:val="nil"/>
            </w:tcBorders>
            <w:vAlign w:val="center"/>
            <w:hideMark/>
          </w:tcPr>
          <w:p w14:paraId="571F0AD1"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035" w:dyaOrig="750" w14:anchorId="48EA8FCA">
                <v:shape id="_x0000_i1039" type="#_x0000_t75" style="width:51pt;height:37.5pt" o:ole="">
                  <v:imagedata r:id="rId41" o:title=""/>
                </v:shape>
                <o:OLEObject Type="Embed" ProgID="ChemDraw.Document.6.0" ShapeID="_x0000_i1039" DrawAspect="Content" ObjectID="_1722411444" r:id="rId42"/>
              </w:object>
            </w:r>
          </w:p>
        </w:tc>
        <w:tc>
          <w:tcPr>
            <w:tcW w:w="1560" w:type="dxa"/>
            <w:tcBorders>
              <w:top w:val="nil"/>
              <w:left w:val="nil"/>
              <w:bottom w:val="nil"/>
              <w:right w:val="nil"/>
            </w:tcBorders>
            <w:vAlign w:val="center"/>
            <w:hideMark/>
          </w:tcPr>
          <w:p w14:paraId="5CEEC5D2" w14:textId="77777777" w:rsidR="00483686" w:rsidRPr="000453AF" w:rsidRDefault="00483686" w:rsidP="00483686">
            <w:pPr>
              <w:spacing w:line="260" w:lineRule="atLeast"/>
              <w:jc w:val="center"/>
              <w:rPr>
                <w:noProof/>
                <w:color w:val="000000"/>
                <w:lang w:val="en-US" w:eastAsia="zh-CN"/>
              </w:rPr>
            </w:pPr>
            <w:r w:rsidRPr="000453AF">
              <w:t>&gt;100</w:t>
            </w:r>
          </w:p>
        </w:tc>
        <w:tc>
          <w:tcPr>
            <w:tcW w:w="1277" w:type="dxa"/>
            <w:tcBorders>
              <w:top w:val="nil"/>
              <w:left w:val="nil"/>
              <w:bottom w:val="nil"/>
              <w:right w:val="nil"/>
            </w:tcBorders>
            <w:vAlign w:val="center"/>
            <w:hideMark/>
          </w:tcPr>
          <w:p w14:paraId="4F27F795"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c>
          <w:tcPr>
            <w:tcW w:w="1560" w:type="dxa"/>
            <w:tcBorders>
              <w:top w:val="nil"/>
              <w:left w:val="nil"/>
              <w:bottom w:val="nil"/>
              <w:right w:val="nil"/>
            </w:tcBorders>
            <w:vAlign w:val="center"/>
            <w:hideMark/>
          </w:tcPr>
          <w:p w14:paraId="4B51F75B"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r>
      <w:tr w:rsidR="00483686" w:rsidRPr="000453AF" w14:paraId="4E4E82FC" w14:textId="77777777" w:rsidTr="000453AF">
        <w:tc>
          <w:tcPr>
            <w:tcW w:w="1222" w:type="dxa"/>
            <w:tcBorders>
              <w:top w:val="nil"/>
              <w:left w:val="nil"/>
              <w:bottom w:val="nil"/>
              <w:right w:val="nil"/>
            </w:tcBorders>
            <w:vAlign w:val="center"/>
            <w:hideMark/>
          </w:tcPr>
          <w:p w14:paraId="4FFAFA99" w14:textId="77777777" w:rsidR="00483686" w:rsidRPr="000453AF" w:rsidRDefault="00483686" w:rsidP="00483686">
            <w:pPr>
              <w:pStyle w:val="MDPI42tablebody"/>
              <w:spacing w:line="240" w:lineRule="auto"/>
              <w:rPr>
                <w:rFonts w:ascii="Times New Roman" w:hAnsi="Times New Roman"/>
                <w:b/>
              </w:rPr>
            </w:pPr>
            <w:r w:rsidRPr="000453AF">
              <w:rPr>
                <w:rFonts w:ascii="Times New Roman" w:hAnsi="Times New Roman"/>
                <w:b/>
              </w:rPr>
              <w:t>16b</w:t>
            </w:r>
          </w:p>
        </w:tc>
        <w:tc>
          <w:tcPr>
            <w:tcW w:w="1986" w:type="dxa"/>
            <w:tcBorders>
              <w:top w:val="nil"/>
              <w:left w:val="nil"/>
              <w:bottom w:val="nil"/>
              <w:right w:val="nil"/>
            </w:tcBorders>
            <w:vAlign w:val="center"/>
            <w:hideMark/>
          </w:tcPr>
          <w:p w14:paraId="6A6CAF5F" w14:textId="77777777" w:rsidR="00483686" w:rsidRPr="000453AF" w:rsidRDefault="00483686" w:rsidP="00483686">
            <w:pPr>
              <w:spacing w:line="260" w:lineRule="atLeast"/>
              <w:jc w:val="center"/>
              <w:rPr>
                <w:noProof/>
                <w:color w:val="000000"/>
                <w:lang w:val="en-US" w:eastAsia="zh-CN"/>
              </w:rPr>
            </w:pPr>
            <w:r w:rsidRPr="000453AF">
              <w:rPr>
                <w:noProof/>
                <w:color w:val="000000"/>
                <w:lang w:val="en-US" w:eastAsia="zh-CN"/>
              </w:rPr>
              <w:object w:dxaOrig="1035" w:dyaOrig="705" w14:anchorId="699B0721">
                <v:shape id="_x0000_i1040" type="#_x0000_t75" style="width:51pt;height:36pt" o:ole="">
                  <v:imagedata r:id="rId43" o:title=""/>
                </v:shape>
                <o:OLEObject Type="Embed" ProgID="ChemDraw.Document.6.0" ShapeID="_x0000_i1040" DrawAspect="Content" ObjectID="_1722411445" r:id="rId44"/>
              </w:object>
            </w:r>
          </w:p>
        </w:tc>
        <w:tc>
          <w:tcPr>
            <w:tcW w:w="1560" w:type="dxa"/>
            <w:tcBorders>
              <w:top w:val="nil"/>
              <w:left w:val="nil"/>
              <w:bottom w:val="nil"/>
              <w:right w:val="nil"/>
            </w:tcBorders>
            <w:vAlign w:val="center"/>
            <w:hideMark/>
          </w:tcPr>
          <w:p w14:paraId="6690D003" w14:textId="77777777" w:rsidR="00483686" w:rsidRPr="000453AF" w:rsidRDefault="00483686" w:rsidP="00483686">
            <w:pPr>
              <w:spacing w:line="260" w:lineRule="atLeast"/>
              <w:jc w:val="center"/>
              <w:rPr>
                <w:noProof/>
                <w:color w:val="000000"/>
                <w:lang w:val="en-US" w:eastAsia="zh-CN"/>
              </w:rPr>
            </w:pPr>
            <w:r w:rsidRPr="000453AF">
              <w:t>&gt;100</w:t>
            </w:r>
          </w:p>
        </w:tc>
        <w:tc>
          <w:tcPr>
            <w:tcW w:w="1277" w:type="dxa"/>
            <w:tcBorders>
              <w:top w:val="nil"/>
              <w:left w:val="nil"/>
              <w:bottom w:val="nil"/>
              <w:right w:val="nil"/>
            </w:tcBorders>
            <w:vAlign w:val="center"/>
            <w:hideMark/>
          </w:tcPr>
          <w:p w14:paraId="5C88F0A2"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c>
          <w:tcPr>
            <w:tcW w:w="1560" w:type="dxa"/>
            <w:tcBorders>
              <w:top w:val="nil"/>
              <w:left w:val="nil"/>
              <w:bottom w:val="nil"/>
              <w:right w:val="nil"/>
            </w:tcBorders>
            <w:vAlign w:val="center"/>
            <w:hideMark/>
          </w:tcPr>
          <w:p w14:paraId="0C846620"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r>
      <w:tr w:rsidR="00483686" w:rsidRPr="000453AF" w14:paraId="30FB1BD4" w14:textId="77777777" w:rsidTr="000453AF">
        <w:tc>
          <w:tcPr>
            <w:tcW w:w="1222" w:type="dxa"/>
            <w:tcBorders>
              <w:top w:val="nil"/>
              <w:left w:val="nil"/>
              <w:bottom w:val="nil"/>
              <w:right w:val="nil"/>
            </w:tcBorders>
            <w:vAlign w:val="center"/>
            <w:hideMark/>
          </w:tcPr>
          <w:p w14:paraId="3503E194" w14:textId="77777777" w:rsidR="00483686" w:rsidRPr="000453AF" w:rsidRDefault="00483686" w:rsidP="00483686">
            <w:pPr>
              <w:pStyle w:val="MDPI42tablebody"/>
              <w:spacing w:line="240" w:lineRule="auto"/>
              <w:rPr>
                <w:rFonts w:ascii="Times New Roman" w:hAnsi="Times New Roman"/>
                <w:b/>
              </w:rPr>
            </w:pPr>
            <w:r w:rsidRPr="000453AF">
              <w:rPr>
                <w:rFonts w:ascii="Times New Roman" w:hAnsi="Times New Roman"/>
                <w:b/>
              </w:rPr>
              <w:t>16d</w:t>
            </w:r>
          </w:p>
        </w:tc>
        <w:tc>
          <w:tcPr>
            <w:tcW w:w="1986" w:type="dxa"/>
            <w:tcBorders>
              <w:top w:val="nil"/>
              <w:left w:val="nil"/>
              <w:bottom w:val="nil"/>
              <w:right w:val="nil"/>
            </w:tcBorders>
            <w:vAlign w:val="center"/>
            <w:hideMark/>
          </w:tcPr>
          <w:p w14:paraId="70F1B10C"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170" w:dyaOrig="735" w14:anchorId="7B6D7984">
                <v:shape id="_x0000_i1041" type="#_x0000_t75" style="width:58.5pt;height:36pt" o:ole="">
                  <v:imagedata r:id="rId45" o:title=""/>
                </v:shape>
                <o:OLEObject Type="Embed" ProgID="ChemDraw.Document.6.0" ShapeID="_x0000_i1041" DrawAspect="Content" ObjectID="_1722411446" r:id="rId46"/>
              </w:object>
            </w:r>
          </w:p>
        </w:tc>
        <w:tc>
          <w:tcPr>
            <w:tcW w:w="1560" w:type="dxa"/>
            <w:tcBorders>
              <w:top w:val="nil"/>
              <w:left w:val="nil"/>
              <w:bottom w:val="nil"/>
              <w:right w:val="nil"/>
            </w:tcBorders>
            <w:vAlign w:val="center"/>
            <w:hideMark/>
          </w:tcPr>
          <w:p w14:paraId="032201BD" w14:textId="77777777" w:rsidR="00483686" w:rsidRPr="000453AF" w:rsidRDefault="00483686" w:rsidP="00483686">
            <w:pPr>
              <w:spacing w:line="260" w:lineRule="atLeast"/>
              <w:jc w:val="center"/>
              <w:rPr>
                <w:noProof/>
                <w:color w:val="000000"/>
                <w:lang w:val="en-US" w:eastAsia="zh-CN"/>
              </w:rPr>
            </w:pPr>
            <w:r w:rsidRPr="000453AF">
              <w:t>&gt;100</w:t>
            </w:r>
          </w:p>
        </w:tc>
        <w:tc>
          <w:tcPr>
            <w:tcW w:w="1277" w:type="dxa"/>
            <w:tcBorders>
              <w:top w:val="nil"/>
              <w:left w:val="nil"/>
              <w:bottom w:val="nil"/>
              <w:right w:val="nil"/>
            </w:tcBorders>
            <w:vAlign w:val="center"/>
            <w:hideMark/>
          </w:tcPr>
          <w:p w14:paraId="4AA9642F"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c>
          <w:tcPr>
            <w:tcW w:w="1560" w:type="dxa"/>
            <w:tcBorders>
              <w:top w:val="nil"/>
              <w:left w:val="nil"/>
              <w:bottom w:val="nil"/>
              <w:right w:val="nil"/>
            </w:tcBorders>
            <w:vAlign w:val="center"/>
            <w:hideMark/>
          </w:tcPr>
          <w:p w14:paraId="5F754594"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r>
      <w:tr w:rsidR="00483686" w:rsidRPr="000453AF" w14:paraId="7159A605" w14:textId="77777777" w:rsidTr="000453AF">
        <w:tc>
          <w:tcPr>
            <w:tcW w:w="1222" w:type="dxa"/>
            <w:tcBorders>
              <w:top w:val="nil"/>
              <w:left w:val="nil"/>
              <w:bottom w:val="nil"/>
              <w:right w:val="nil"/>
            </w:tcBorders>
            <w:vAlign w:val="center"/>
            <w:hideMark/>
          </w:tcPr>
          <w:p w14:paraId="2C675E6C" w14:textId="77777777" w:rsidR="00483686" w:rsidRPr="000453AF" w:rsidRDefault="00483686" w:rsidP="00483686">
            <w:pPr>
              <w:pStyle w:val="MDPI42tablebody"/>
              <w:spacing w:line="240" w:lineRule="auto"/>
              <w:rPr>
                <w:rFonts w:ascii="Times New Roman" w:hAnsi="Times New Roman"/>
                <w:b/>
              </w:rPr>
            </w:pPr>
            <w:r w:rsidRPr="000453AF">
              <w:rPr>
                <w:rFonts w:ascii="Times New Roman" w:hAnsi="Times New Roman"/>
                <w:b/>
              </w:rPr>
              <w:t>16e</w:t>
            </w:r>
          </w:p>
        </w:tc>
        <w:tc>
          <w:tcPr>
            <w:tcW w:w="1986" w:type="dxa"/>
            <w:tcBorders>
              <w:top w:val="nil"/>
              <w:left w:val="nil"/>
              <w:bottom w:val="nil"/>
              <w:right w:val="nil"/>
            </w:tcBorders>
            <w:vAlign w:val="center"/>
            <w:hideMark/>
          </w:tcPr>
          <w:p w14:paraId="149E16E0"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170" w:dyaOrig="825" w14:anchorId="31DBB8D0">
                <v:shape id="_x0000_i1042" type="#_x0000_t75" style="width:58.5pt;height:41.5pt" o:ole="">
                  <v:imagedata r:id="rId47" o:title=""/>
                </v:shape>
                <o:OLEObject Type="Embed" ProgID="ChemDraw.Document.6.0" ShapeID="_x0000_i1042" DrawAspect="Content" ObjectID="_1722411447" r:id="rId48"/>
              </w:object>
            </w:r>
          </w:p>
        </w:tc>
        <w:tc>
          <w:tcPr>
            <w:tcW w:w="1560" w:type="dxa"/>
            <w:tcBorders>
              <w:top w:val="nil"/>
              <w:left w:val="nil"/>
              <w:bottom w:val="nil"/>
              <w:right w:val="nil"/>
            </w:tcBorders>
            <w:vAlign w:val="center"/>
            <w:hideMark/>
          </w:tcPr>
          <w:p w14:paraId="0FE0475A" w14:textId="77777777" w:rsidR="00483686" w:rsidRPr="000453AF" w:rsidRDefault="00483686" w:rsidP="00483686">
            <w:pPr>
              <w:spacing w:line="260" w:lineRule="atLeast"/>
              <w:jc w:val="center"/>
              <w:rPr>
                <w:noProof/>
                <w:color w:val="000000"/>
                <w:lang w:val="en-US" w:eastAsia="zh-CN"/>
              </w:rPr>
            </w:pPr>
            <w:r w:rsidRPr="000453AF">
              <w:t>&gt;100</w:t>
            </w:r>
          </w:p>
        </w:tc>
        <w:tc>
          <w:tcPr>
            <w:tcW w:w="1277" w:type="dxa"/>
            <w:tcBorders>
              <w:top w:val="nil"/>
              <w:left w:val="nil"/>
              <w:bottom w:val="nil"/>
              <w:right w:val="nil"/>
            </w:tcBorders>
            <w:vAlign w:val="center"/>
            <w:hideMark/>
          </w:tcPr>
          <w:p w14:paraId="2A1DEF1C"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c>
          <w:tcPr>
            <w:tcW w:w="1560" w:type="dxa"/>
            <w:tcBorders>
              <w:top w:val="nil"/>
              <w:left w:val="nil"/>
              <w:bottom w:val="nil"/>
              <w:right w:val="nil"/>
            </w:tcBorders>
            <w:vAlign w:val="center"/>
            <w:hideMark/>
          </w:tcPr>
          <w:p w14:paraId="596ACD7A"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r>
      <w:tr w:rsidR="00483686" w:rsidRPr="000453AF" w14:paraId="14C5A551" w14:textId="77777777" w:rsidTr="000453AF">
        <w:tc>
          <w:tcPr>
            <w:tcW w:w="1222" w:type="dxa"/>
            <w:tcBorders>
              <w:top w:val="nil"/>
              <w:left w:val="nil"/>
              <w:bottom w:val="nil"/>
              <w:right w:val="nil"/>
            </w:tcBorders>
            <w:vAlign w:val="center"/>
            <w:hideMark/>
          </w:tcPr>
          <w:p w14:paraId="174312D1" w14:textId="77777777" w:rsidR="00483686" w:rsidRPr="000453AF" w:rsidRDefault="00483686" w:rsidP="00483686">
            <w:pPr>
              <w:pStyle w:val="MDPI42tablebody"/>
              <w:spacing w:line="240" w:lineRule="auto"/>
              <w:rPr>
                <w:rFonts w:ascii="Times New Roman" w:hAnsi="Times New Roman"/>
                <w:b/>
              </w:rPr>
            </w:pPr>
            <w:r w:rsidRPr="000453AF">
              <w:rPr>
                <w:rFonts w:ascii="Times New Roman" w:hAnsi="Times New Roman"/>
                <w:b/>
              </w:rPr>
              <w:t>16f</w:t>
            </w:r>
          </w:p>
        </w:tc>
        <w:tc>
          <w:tcPr>
            <w:tcW w:w="1986" w:type="dxa"/>
            <w:tcBorders>
              <w:top w:val="nil"/>
              <w:left w:val="nil"/>
              <w:bottom w:val="nil"/>
              <w:right w:val="nil"/>
            </w:tcBorders>
            <w:vAlign w:val="center"/>
            <w:hideMark/>
          </w:tcPr>
          <w:p w14:paraId="03359F4A" w14:textId="77777777" w:rsidR="00483686" w:rsidRPr="000453AF" w:rsidRDefault="00483686" w:rsidP="00483686">
            <w:pPr>
              <w:spacing w:line="260" w:lineRule="atLeast"/>
              <w:jc w:val="center"/>
              <w:rPr>
                <w:noProof/>
                <w:color w:val="000000"/>
                <w:lang w:val="en-US" w:eastAsia="zh-CN"/>
              </w:rPr>
            </w:pPr>
            <w:r w:rsidRPr="000453AF">
              <w:rPr>
                <w:rFonts w:eastAsiaTheme="minorHAnsi"/>
                <w:noProof/>
                <w:color w:val="000000"/>
                <w:lang w:val="en-US"/>
              </w:rPr>
              <w:object w:dxaOrig="1140" w:dyaOrig="840" w14:anchorId="554DC0C7">
                <v:shape id="_x0000_i1043" type="#_x0000_t75" style="width:57pt;height:42pt" o:ole="">
                  <v:imagedata r:id="rId49" o:title=""/>
                </v:shape>
                <o:OLEObject Type="Embed" ProgID="ChemDraw.Document.6.0" ShapeID="_x0000_i1043" DrawAspect="Content" ObjectID="_1722411448" r:id="rId50"/>
              </w:object>
            </w:r>
          </w:p>
        </w:tc>
        <w:tc>
          <w:tcPr>
            <w:tcW w:w="1560" w:type="dxa"/>
            <w:tcBorders>
              <w:top w:val="nil"/>
              <w:left w:val="nil"/>
              <w:bottom w:val="nil"/>
              <w:right w:val="nil"/>
            </w:tcBorders>
            <w:vAlign w:val="center"/>
            <w:hideMark/>
          </w:tcPr>
          <w:p w14:paraId="3B2C98AC" w14:textId="77777777" w:rsidR="00483686" w:rsidRPr="000453AF" w:rsidRDefault="00483686" w:rsidP="00483686">
            <w:pPr>
              <w:spacing w:line="260" w:lineRule="atLeast"/>
              <w:jc w:val="center"/>
              <w:rPr>
                <w:noProof/>
                <w:color w:val="000000"/>
                <w:lang w:val="en-US" w:eastAsia="zh-CN"/>
              </w:rPr>
            </w:pPr>
            <w:r w:rsidRPr="000453AF">
              <w:t>&gt;100</w:t>
            </w:r>
          </w:p>
        </w:tc>
        <w:tc>
          <w:tcPr>
            <w:tcW w:w="1277" w:type="dxa"/>
            <w:tcBorders>
              <w:top w:val="nil"/>
              <w:left w:val="nil"/>
              <w:bottom w:val="nil"/>
              <w:right w:val="nil"/>
            </w:tcBorders>
            <w:vAlign w:val="center"/>
            <w:hideMark/>
          </w:tcPr>
          <w:p w14:paraId="38E9E092"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c>
          <w:tcPr>
            <w:tcW w:w="1560" w:type="dxa"/>
            <w:tcBorders>
              <w:top w:val="nil"/>
              <w:left w:val="nil"/>
              <w:bottom w:val="nil"/>
              <w:right w:val="nil"/>
            </w:tcBorders>
            <w:vAlign w:val="center"/>
            <w:hideMark/>
          </w:tcPr>
          <w:p w14:paraId="7F590299"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r>
      <w:tr w:rsidR="00483686" w:rsidRPr="000453AF" w14:paraId="4ADF8609" w14:textId="77777777" w:rsidTr="000453AF">
        <w:tc>
          <w:tcPr>
            <w:tcW w:w="1222" w:type="dxa"/>
            <w:tcBorders>
              <w:top w:val="nil"/>
              <w:left w:val="nil"/>
              <w:bottom w:val="nil"/>
              <w:right w:val="nil"/>
            </w:tcBorders>
            <w:vAlign w:val="center"/>
            <w:hideMark/>
          </w:tcPr>
          <w:p w14:paraId="7D63C01B" w14:textId="77777777" w:rsidR="00483686" w:rsidRPr="000453AF" w:rsidRDefault="00483686" w:rsidP="00483686">
            <w:pPr>
              <w:pStyle w:val="MDPI42tablebody"/>
              <w:spacing w:line="240" w:lineRule="auto"/>
              <w:rPr>
                <w:rFonts w:ascii="Times New Roman" w:hAnsi="Times New Roman"/>
                <w:b/>
              </w:rPr>
            </w:pPr>
            <w:r w:rsidRPr="000453AF">
              <w:rPr>
                <w:rFonts w:ascii="Times New Roman" w:hAnsi="Times New Roman"/>
                <w:b/>
              </w:rPr>
              <w:t>16h</w:t>
            </w:r>
          </w:p>
        </w:tc>
        <w:tc>
          <w:tcPr>
            <w:tcW w:w="1986" w:type="dxa"/>
            <w:tcBorders>
              <w:top w:val="nil"/>
              <w:left w:val="nil"/>
              <w:bottom w:val="nil"/>
              <w:right w:val="nil"/>
            </w:tcBorders>
            <w:vAlign w:val="center"/>
            <w:hideMark/>
          </w:tcPr>
          <w:p w14:paraId="76CDC809" w14:textId="77777777" w:rsidR="00483686" w:rsidRPr="000453AF" w:rsidRDefault="00483686" w:rsidP="00483686">
            <w:pPr>
              <w:spacing w:line="260" w:lineRule="atLeast"/>
              <w:jc w:val="center"/>
              <w:rPr>
                <w:rFonts w:eastAsiaTheme="minorHAnsi"/>
                <w:noProof/>
                <w:color w:val="000000"/>
                <w:lang w:val="en-US"/>
              </w:rPr>
            </w:pPr>
            <w:r w:rsidRPr="000453AF">
              <w:rPr>
                <w:rFonts w:eastAsiaTheme="minorHAnsi"/>
                <w:noProof/>
                <w:color w:val="000000"/>
                <w:lang w:val="en-US"/>
              </w:rPr>
              <w:object w:dxaOrig="1035" w:dyaOrig="735" w14:anchorId="22E97B7F">
                <v:shape id="_x0000_i1044" type="#_x0000_t75" style="width:51pt;height:36pt" o:ole="">
                  <v:imagedata r:id="rId51" o:title=""/>
                </v:shape>
                <o:OLEObject Type="Embed" ProgID="ChemDraw.Document.6.0" ShapeID="_x0000_i1044" DrawAspect="Content" ObjectID="_1722411449" r:id="rId52"/>
              </w:object>
            </w:r>
          </w:p>
        </w:tc>
        <w:tc>
          <w:tcPr>
            <w:tcW w:w="1560" w:type="dxa"/>
            <w:tcBorders>
              <w:top w:val="nil"/>
              <w:left w:val="nil"/>
              <w:bottom w:val="nil"/>
              <w:right w:val="nil"/>
            </w:tcBorders>
            <w:vAlign w:val="center"/>
            <w:hideMark/>
          </w:tcPr>
          <w:p w14:paraId="4F8007C4" w14:textId="77777777" w:rsidR="00483686" w:rsidRPr="000453AF" w:rsidRDefault="00483686" w:rsidP="00483686">
            <w:pPr>
              <w:pStyle w:val="MDPI42tablebody"/>
              <w:spacing w:line="240" w:lineRule="auto"/>
              <w:rPr>
                <w:rFonts w:ascii="Times New Roman" w:hAnsi="Times New Roman"/>
                <w:lang w:val="ru-RU"/>
              </w:rPr>
            </w:pPr>
            <w:r w:rsidRPr="000453AF">
              <w:rPr>
                <w:rFonts w:ascii="Times New Roman" w:hAnsi="Times New Roman"/>
              </w:rPr>
              <w:t>&gt;100</w:t>
            </w:r>
          </w:p>
        </w:tc>
        <w:tc>
          <w:tcPr>
            <w:tcW w:w="1277" w:type="dxa"/>
            <w:tcBorders>
              <w:top w:val="nil"/>
              <w:left w:val="nil"/>
              <w:bottom w:val="nil"/>
              <w:right w:val="nil"/>
            </w:tcBorders>
            <w:vAlign w:val="center"/>
            <w:hideMark/>
          </w:tcPr>
          <w:p w14:paraId="7DB6C5D6"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c>
          <w:tcPr>
            <w:tcW w:w="1560" w:type="dxa"/>
            <w:tcBorders>
              <w:top w:val="nil"/>
              <w:left w:val="nil"/>
              <w:bottom w:val="nil"/>
              <w:right w:val="nil"/>
            </w:tcBorders>
            <w:vAlign w:val="center"/>
            <w:hideMark/>
          </w:tcPr>
          <w:p w14:paraId="67D0A890" w14:textId="77777777" w:rsidR="00483686" w:rsidRPr="000453AF" w:rsidRDefault="00483686" w:rsidP="00483686">
            <w:pPr>
              <w:spacing w:line="260" w:lineRule="atLeast"/>
              <w:jc w:val="center"/>
              <w:rPr>
                <w:noProof/>
                <w:color w:val="000000"/>
                <w:lang w:val="en-US" w:eastAsia="zh-CN"/>
              </w:rPr>
            </w:pPr>
            <w:proofErr w:type="spellStart"/>
            <w:r w:rsidRPr="000453AF">
              <w:t>nd</w:t>
            </w:r>
            <w:proofErr w:type="spellEnd"/>
            <w:r w:rsidRPr="000453AF">
              <w:t>*</w:t>
            </w:r>
          </w:p>
        </w:tc>
      </w:tr>
      <w:tr w:rsidR="007B276B" w:rsidRPr="000453AF" w14:paraId="7263B300" w14:textId="77777777" w:rsidTr="000453AF">
        <w:tc>
          <w:tcPr>
            <w:tcW w:w="1222" w:type="dxa"/>
            <w:tcBorders>
              <w:top w:val="nil"/>
              <w:left w:val="nil"/>
              <w:bottom w:val="single" w:sz="8" w:space="0" w:color="auto"/>
              <w:right w:val="nil"/>
            </w:tcBorders>
            <w:vAlign w:val="center"/>
            <w:hideMark/>
          </w:tcPr>
          <w:p w14:paraId="7C25EC6B" w14:textId="77777777" w:rsidR="007B276B" w:rsidRPr="000453AF" w:rsidRDefault="007B276B" w:rsidP="00483686">
            <w:pPr>
              <w:pStyle w:val="MDPI42tablebody"/>
              <w:spacing w:line="240" w:lineRule="auto"/>
              <w:rPr>
                <w:rFonts w:ascii="Times New Roman" w:hAnsi="Times New Roman"/>
                <w:b/>
              </w:rPr>
            </w:pPr>
            <w:proofErr w:type="spellStart"/>
            <w:r w:rsidRPr="000453AF">
              <w:rPr>
                <w:rFonts w:ascii="Times New Roman" w:hAnsi="Times New Roman"/>
                <w:b/>
              </w:rPr>
              <w:t>Furamidine</w:t>
            </w:r>
            <w:proofErr w:type="spellEnd"/>
          </w:p>
        </w:tc>
        <w:tc>
          <w:tcPr>
            <w:tcW w:w="1986" w:type="dxa"/>
            <w:tcBorders>
              <w:top w:val="nil"/>
              <w:left w:val="nil"/>
              <w:bottom w:val="single" w:sz="8" w:space="0" w:color="auto"/>
              <w:right w:val="nil"/>
            </w:tcBorders>
            <w:vAlign w:val="center"/>
          </w:tcPr>
          <w:p w14:paraId="55EBCD51" w14:textId="77777777" w:rsidR="007B276B" w:rsidRPr="000453AF" w:rsidRDefault="007B276B" w:rsidP="00483686">
            <w:pPr>
              <w:pStyle w:val="MDPI42tablebody"/>
              <w:spacing w:line="240" w:lineRule="auto"/>
              <w:rPr>
                <w:rFonts w:ascii="Times New Roman" w:eastAsiaTheme="minorHAnsi" w:hAnsi="Times New Roman"/>
                <w:lang w:eastAsia="en-US"/>
              </w:rPr>
            </w:pPr>
          </w:p>
        </w:tc>
        <w:tc>
          <w:tcPr>
            <w:tcW w:w="1560" w:type="dxa"/>
            <w:tcBorders>
              <w:top w:val="nil"/>
              <w:left w:val="nil"/>
              <w:bottom w:val="single" w:sz="8" w:space="0" w:color="auto"/>
              <w:right w:val="nil"/>
            </w:tcBorders>
            <w:vAlign w:val="center"/>
            <w:hideMark/>
          </w:tcPr>
          <w:p w14:paraId="52306D6C" w14:textId="77777777" w:rsidR="007B276B" w:rsidRPr="000453AF" w:rsidRDefault="007B276B" w:rsidP="00483686">
            <w:pPr>
              <w:pStyle w:val="MDPI42tablebody"/>
              <w:spacing w:line="240" w:lineRule="auto"/>
              <w:rPr>
                <w:rFonts w:ascii="Times New Roman" w:hAnsi="Times New Roman"/>
                <w:lang w:val="ru-RU"/>
              </w:rPr>
            </w:pPr>
            <w:r w:rsidRPr="000453AF">
              <w:rPr>
                <w:rFonts w:ascii="Times New Roman" w:hAnsi="Times New Roman"/>
              </w:rPr>
              <w:t>1.2±0.3</w:t>
            </w:r>
          </w:p>
        </w:tc>
        <w:tc>
          <w:tcPr>
            <w:tcW w:w="1277" w:type="dxa"/>
            <w:tcBorders>
              <w:top w:val="nil"/>
              <w:left w:val="nil"/>
              <w:bottom w:val="single" w:sz="8" w:space="0" w:color="auto"/>
              <w:right w:val="nil"/>
            </w:tcBorders>
            <w:vAlign w:val="center"/>
          </w:tcPr>
          <w:p w14:paraId="26E2AFA3" w14:textId="77777777" w:rsidR="007B276B" w:rsidRPr="00BA3FE4" w:rsidRDefault="007B276B" w:rsidP="00483686">
            <w:pPr>
              <w:pStyle w:val="MDPI42tablebody"/>
              <w:spacing w:line="240" w:lineRule="auto"/>
              <w:rPr>
                <w:rFonts w:ascii="Times New Roman" w:hAnsi="Times New Roman"/>
              </w:rPr>
            </w:pPr>
            <w:proofErr w:type="spellStart"/>
            <w:r w:rsidRPr="00AA570A">
              <w:rPr>
                <w:rFonts w:ascii="Times New Roman" w:hAnsi="Times New Roman"/>
              </w:rPr>
              <w:t>nd</w:t>
            </w:r>
            <w:proofErr w:type="spellEnd"/>
            <w:r w:rsidRPr="00AA570A">
              <w:rPr>
                <w:rFonts w:ascii="Times New Roman" w:hAnsi="Times New Roman"/>
              </w:rPr>
              <w:t>*</w:t>
            </w:r>
          </w:p>
        </w:tc>
        <w:tc>
          <w:tcPr>
            <w:tcW w:w="1560" w:type="dxa"/>
            <w:tcBorders>
              <w:top w:val="nil"/>
              <w:left w:val="nil"/>
              <w:bottom w:val="single" w:sz="8" w:space="0" w:color="auto"/>
              <w:right w:val="nil"/>
            </w:tcBorders>
            <w:vAlign w:val="center"/>
          </w:tcPr>
          <w:p w14:paraId="6178CD2A" w14:textId="77777777" w:rsidR="007B276B" w:rsidRPr="00BA3FE4" w:rsidRDefault="007B276B" w:rsidP="00483686">
            <w:pPr>
              <w:pStyle w:val="MDPI42tablebody"/>
              <w:spacing w:line="240" w:lineRule="auto"/>
              <w:rPr>
                <w:rFonts w:ascii="Times New Roman" w:hAnsi="Times New Roman"/>
              </w:rPr>
            </w:pPr>
            <w:proofErr w:type="spellStart"/>
            <w:r w:rsidRPr="00AA570A">
              <w:rPr>
                <w:rFonts w:ascii="Times New Roman" w:hAnsi="Times New Roman"/>
              </w:rPr>
              <w:t>nd</w:t>
            </w:r>
            <w:proofErr w:type="spellEnd"/>
            <w:r w:rsidRPr="00AA570A">
              <w:rPr>
                <w:rFonts w:ascii="Times New Roman" w:hAnsi="Times New Roman"/>
              </w:rPr>
              <w:t>*</w:t>
            </w:r>
          </w:p>
        </w:tc>
      </w:tr>
    </w:tbl>
    <w:p w14:paraId="75D6F2AB" w14:textId="77777777" w:rsidR="00483686" w:rsidRPr="000453AF" w:rsidRDefault="007440E7" w:rsidP="00AD43A4">
      <w:pPr>
        <w:pStyle w:val="MDPI31text"/>
        <w:ind w:left="0" w:firstLine="0"/>
        <w:rPr>
          <w:rFonts w:ascii="Times New Roman" w:hAnsi="Times New Roman"/>
          <w:lang w:val="ru-RU"/>
        </w:rPr>
      </w:pPr>
      <w:r w:rsidRPr="000453AF">
        <w:rPr>
          <w:rFonts w:ascii="Times New Roman" w:hAnsi="Times New Roman"/>
        </w:rPr>
        <w:t>*</w:t>
      </w:r>
      <w:proofErr w:type="gramStart"/>
      <w:r w:rsidRPr="000453AF">
        <w:rPr>
          <w:rFonts w:ascii="Times New Roman" w:hAnsi="Times New Roman"/>
        </w:rPr>
        <w:t>not</w:t>
      </w:r>
      <w:proofErr w:type="gramEnd"/>
      <w:r w:rsidRPr="000453AF">
        <w:rPr>
          <w:rFonts w:ascii="Times New Roman" w:hAnsi="Times New Roman"/>
        </w:rPr>
        <w:t xml:space="preserve"> determined</w:t>
      </w:r>
    </w:p>
    <w:p w14:paraId="52288B12" w14:textId="77777777" w:rsidR="007B276B" w:rsidRDefault="007B276B" w:rsidP="00483686">
      <w:pPr>
        <w:pStyle w:val="MDPI31text"/>
        <w:spacing w:before="60" w:after="60"/>
        <w:ind w:left="0"/>
        <w:rPr>
          <w:rFonts w:ascii="Times New Roman" w:hAnsi="Times New Roman"/>
        </w:rPr>
      </w:pPr>
    </w:p>
    <w:p w14:paraId="786C229A" w14:textId="4ED66F47" w:rsidR="00483686" w:rsidRPr="000453AF" w:rsidRDefault="00483686" w:rsidP="00483686">
      <w:pPr>
        <w:pStyle w:val="MDPI31text"/>
        <w:spacing w:before="60" w:after="60"/>
        <w:ind w:left="0"/>
        <w:rPr>
          <w:rFonts w:ascii="Times New Roman" w:hAnsi="Times New Roman"/>
        </w:rPr>
      </w:pPr>
      <w:r w:rsidRPr="000453AF">
        <w:rPr>
          <w:rFonts w:ascii="Times New Roman" w:hAnsi="Times New Roman"/>
        </w:rPr>
        <w:t xml:space="preserve"> </w:t>
      </w:r>
      <w:r w:rsidR="002B6F18">
        <w:rPr>
          <w:rFonts w:ascii="Times New Roman" w:hAnsi="Times New Roman"/>
        </w:rPr>
        <w:t>A</w:t>
      </w:r>
      <w:r w:rsidR="002B6F18" w:rsidRPr="000453AF">
        <w:rPr>
          <w:rFonts w:ascii="Times New Roman" w:hAnsi="Times New Roman"/>
        </w:rPr>
        <w:t xml:space="preserve">nalysis </w:t>
      </w:r>
      <w:r w:rsidRPr="000453AF">
        <w:rPr>
          <w:rFonts w:ascii="Times New Roman" w:hAnsi="Times New Roman"/>
        </w:rPr>
        <w:t xml:space="preserve">of the data shows that the presence of </w:t>
      </w:r>
      <w:proofErr w:type="spellStart"/>
      <w:r w:rsidRPr="000453AF">
        <w:rPr>
          <w:rFonts w:ascii="Times New Roman" w:hAnsi="Times New Roman"/>
        </w:rPr>
        <w:t>monoterpenic</w:t>
      </w:r>
      <w:proofErr w:type="spellEnd"/>
      <w:r w:rsidRPr="000453AF">
        <w:rPr>
          <w:rFonts w:ascii="Times New Roman" w:hAnsi="Times New Roman"/>
        </w:rPr>
        <w:t xml:space="preserve"> moieties </w:t>
      </w:r>
      <w:r w:rsidR="007B276B">
        <w:rPr>
          <w:rFonts w:ascii="Times New Roman" w:hAnsi="Times New Roman"/>
        </w:rPr>
        <w:t>attached</w:t>
      </w:r>
      <w:r w:rsidR="007B276B" w:rsidRPr="000453AF">
        <w:rPr>
          <w:rFonts w:ascii="Times New Roman" w:hAnsi="Times New Roman"/>
        </w:rPr>
        <w:t xml:space="preserve"> </w:t>
      </w:r>
      <w:r w:rsidRPr="000453AF">
        <w:rPr>
          <w:rFonts w:ascii="Times New Roman" w:hAnsi="Times New Roman"/>
        </w:rPr>
        <w:t xml:space="preserve">to the thiazolidin-4-one core </w:t>
      </w:r>
      <w:r w:rsidRPr="000453AF">
        <w:rPr>
          <w:rFonts w:ascii="Times New Roman" w:hAnsi="Times New Roman"/>
          <w:i/>
        </w:rPr>
        <w:t>via</w:t>
      </w:r>
      <w:r w:rsidRPr="000453AF">
        <w:rPr>
          <w:rFonts w:ascii="Times New Roman" w:hAnsi="Times New Roman"/>
        </w:rPr>
        <w:t xml:space="preserve"> aromatic linker is a key factor </w:t>
      </w:r>
      <w:r w:rsidR="0034541D">
        <w:rPr>
          <w:rFonts w:ascii="Times New Roman" w:hAnsi="Times New Roman"/>
        </w:rPr>
        <w:t xml:space="preserve">resulting </w:t>
      </w:r>
      <w:r w:rsidRPr="000453AF">
        <w:rPr>
          <w:rFonts w:ascii="Times New Roman" w:hAnsi="Times New Roman"/>
        </w:rPr>
        <w:t xml:space="preserve">in </w:t>
      </w:r>
      <w:r w:rsidR="0034541D" w:rsidRPr="000453AF">
        <w:rPr>
          <w:rFonts w:ascii="Times New Roman" w:hAnsi="Times New Roman"/>
        </w:rPr>
        <w:t>activity</w:t>
      </w:r>
      <w:r w:rsidR="0034541D">
        <w:rPr>
          <w:rFonts w:ascii="Times New Roman" w:hAnsi="Times New Roman"/>
        </w:rPr>
        <w:t>;</w:t>
      </w:r>
      <w:r w:rsidR="00EB483B" w:rsidRPr="00672DDC">
        <w:rPr>
          <w:rFonts w:ascii="Times New Roman" w:hAnsi="Times New Roman"/>
        </w:rPr>
        <w:t xml:space="preserve"> </w:t>
      </w:r>
      <w:r w:rsidR="00EB483B">
        <w:rPr>
          <w:rFonts w:ascii="Times New Roman" w:hAnsi="Times New Roman"/>
          <w:szCs w:val="18"/>
        </w:rPr>
        <w:t>c</w:t>
      </w:r>
      <w:r w:rsidR="00EB483B" w:rsidRPr="00F74C1D">
        <w:rPr>
          <w:rFonts w:ascii="Times New Roman" w:hAnsi="Times New Roman"/>
          <w:szCs w:val="18"/>
        </w:rPr>
        <w:t>ompounds</w:t>
      </w:r>
      <w:r w:rsidR="00EB483B">
        <w:rPr>
          <w:rFonts w:ascii="Times New Roman" w:hAnsi="Times New Roman"/>
          <w:szCs w:val="18"/>
        </w:rPr>
        <w:t xml:space="preserve"> with </w:t>
      </w:r>
      <w:r w:rsidR="002B6F18">
        <w:rPr>
          <w:rFonts w:ascii="Times New Roman" w:hAnsi="Times New Roman"/>
          <w:szCs w:val="18"/>
        </w:rPr>
        <w:t xml:space="preserve">a </w:t>
      </w:r>
      <w:r w:rsidR="00EB483B">
        <w:rPr>
          <w:rFonts w:ascii="Times New Roman" w:hAnsi="Times New Roman"/>
          <w:szCs w:val="18"/>
        </w:rPr>
        <w:t xml:space="preserve">monoterpene fragment attached </w:t>
      </w:r>
      <w:r w:rsidR="002B6F18">
        <w:rPr>
          <w:rFonts w:ascii="Times New Roman" w:hAnsi="Times New Roman"/>
          <w:szCs w:val="18"/>
        </w:rPr>
        <w:t xml:space="preserve">by a </w:t>
      </w:r>
      <w:r w:rsidR="00EB483B">
        <w:rPr>
          <w:rFonts w:ascii="Times New Roman" w:hAnsi="Times New Roman"/>
          <w:szCs w:val="18"/>
        </w:rPr>
        <w:t>phenyloxy linker were mostly active</w:t>
      </w:r>
      <w:r w:rsidR="00EB483B" w:rsidRPr="00F74C1D">
        <w:rPr>
          <w:rFonts w:ascii="Times New Roman" w:hAnsi="Times New Roman"/>
          <w:szCs w:val="18"/>
        </w:rPr>
        <w:t xml:space="preserve"> with IC</w:t>
      </w:r>
      <w:r w:rsidR="00EB483B" w:rsidRPr="00F74C1D">
        <w:rPr>
          <w:rFonts w:ascii="Times New Roman" w:hAnsi="Times New Roman"/>
          <w:szCs w:val="18"/>
          <w:vertAlign w:val="subscript"/>
        </w:rPr>
        <w:t>50</w:t>
      </w:r>
      <w:r w:rsidR="00EB483B" w:rsidRPr="00F74C1D">
        <w:rPr>
          <w:rFonts w:ascii="Times New Roman" w:hAnsi="Times New Roman"/>
          <w:szCs w:val="18"/>
        </w:rPr>
        <w:t xml:space="preserve"> </w:t>
      </w:r>
      <w:r w:rsidR="0034541D">
        <w:rPr>
          <w:rFonts w:ascii="Times New Roman" w:hAnsi="Times New Roman"/>
          <w:szCs w:val="18"/>
        </w:rPr>
        <w:t xml:space="preserve">in the </w:t>
      </w:r>
      <w:r w:rsidR="00EB483B" w:rsidRPr="00F74C1D">
        <w:rPr>
          <w:rFonts w:ascii="Times New Roman" w:hAnsi="Times New Roman"/>
          <w:szCs w:val="18"/>
        </w:rPr>
        <w:t>1</w:t>
      </w:r>
      <w:r w:rsidR="00EB483B">
        <w:rPr>
          <w:rFonts w:ascii="Times New Roman" w:hAnsi="Times New Roman"/>
          <w:szCs w:val="18"/>
        </w:rPr>
        <w:t>÷</w:t>
      </w:r>
      <w:r w:rsidR="00EB483B" w:rsidRPr="00F74C1D">
        <w:rPr>
          <w:rFonts w:ascii="Times New Roman" w:hAnsi="Times New Roman"/>
          <w:szCs w:val="18"/>
        </w:rPr>
        <w:t xml:space="preserve">3 </w:t>
      </w:r>
      <w:proofErr w:type="spellStart"/>
      <w:r w:rsidR="00EB483B" w:rsidRPr="00F74C1D">
        <w:rPr>
          <w:rFonts w:ascii="Times New Roman" w:hAnsi="Times New Roman"/>
          <w:szCs w:val="18"/>
        </w:rPr>
        <w:t>μM</w:t>
      </w:r>
      <w:proofErr w:type="spellEnd"/>
      <w:r w:rsidR="0034541D">
        <w:rPr>
          <w:rFonts w:ascii="Times New Roman" w:hAnsi="Times New Roman"/>
          <w:szCs w:val="18"/>
        </w:rPr>
        <w:t xml:space="preserve"> range</w:t>
      </w:r>
      <w:r w:rsidR="00EB483B">
        <w:rPr>
          <w:rFonts w:ascii="Times New Roman" w:hAnsi="Times New Roman"/>
          <w:szCs w:val="18"/>
        </w:rPr>
        <w:t>. S</w:t>
      </w:r>
      <w:r w:rsidR="00EB483B" w:rsidRPr="00EB483B">
        <w:rPr>
          <w:rFonts w:ascii="Times New Roman" w:hAnsi="Times New Roman"/>
          <w:szCs w:val="18"/>
        </w:rPr>
        <w:t>urprisingly</w:t>
      </w:r>
      <w:r w:rsidR="00EB483B">
        <w:rPr>
          <w:rFonts w:ascii="Times New Roman" w:hAnsi="Times New Roman"/>
          <w:szCs w:val="18"/>
        </w:rPr>
        <w:t xml:space="preserve">, compound </w:t>
      </w:r>
      <w:r w:rsidR="00EB483B" w:rsidRPr="000453AF">
        <w:rPr>
          <w:rFonts w:ascii="Times New Roman" w:hAnsi="Times New Roman"/>
          <w:b/>
        </w:rPr>
        <w:t>15</w:t>
      </w:r>
      <w:r w:rsidR="003F7F3B">
        <w:rPr>
          <w:rFonts w:ascii="Times New Roman" w:hAnsi="Times New Roman"/>
          <w:b/>
        </w:rPr>
        <w:t>c</w:t>
      </w:r>
      <w:r w:rsidR="00EB483B">
        <w:rPr>
          <w:rFonts w:ascii="Times New Roman" w:hAnsi="Times New Roman"/>
          <w:szCs w:val="18"/>
        </w:rPr>
        <w:t xml:space="preserve"> </w:t>
      </w:r>
      <w:r w:rsidR="007D1BD3">
        <w:rPr>
          <w:rFonts w:ascii="Times New Roman" w:hAnsi="Times New Roman"/>
          <w:szCs w:val="18"/>
        </w:rPr>
        <w:t xml:space="preserve">with a </w:t>
      </w:r>
      <w:r w:rsidR="003F7F3B">
        <w:rPr>
          <w:rFonts w:ascii="Times New Roman" w:hAnsi="Times New Roman"/>
          <w:szCs w:val="18"/>
        </w:rPr>
        <w:t>citronell</w:t>
      </w:r>
      <w:r w:rsidR="00EB483B">
        <w:rPr>
          <w:rFonts w:ascii="Times New Roman" w:hAnsi="Times New Roman"/>
          <w:szCs w:val="18"/>
        </w:rPr>
        <w:t xml:space="preserve">ol moiety was inactive, while both </w:t>
      </w:r>
      <w:r w:rsidR="009B60D4">
        <w:rPr>
          <w:rFonts w:ascii="Times New Roman" w:hAnsi="Times New Roman"/>
          <w:szCs w:val="18"/>
        </w:rPr>
        <w:t xml:space="preserve">its </w:t>
      </w:r>
      <w:r w:rsidR="00EB483B">
        <w:rPr>
          <w:rFonts w:ascii="Times New Roman" w:hAnsi="Times New Roman"/>
          <w:szCs w:val="18"/>
        </w:rPr>
        <w:t xml:space="preserve">analogues, </w:t>
      </w:r>
      <w:r w:rsidR="00EB483B">
        <w:rPr>
          <w:rFonts w:ascii="Times New Roman" w:hAnsi="Times New Roman"/>
          <w:b/>
          <w:szCs w:val="18"/>
        </w:rPr>
        <w:t>15</w:t>
      </w:r>
      <w:proofErr w:type="gramStart"/>
      <w:r w:rsidR="00EB483B">
        <w:rPr>
          <w:rFonts w:ascii="Times New Roman" w:hAnsi="Times New Roman"/>
          <w:b/>
          <w:szCs w:val="18"/>
        </w:rPr>
        <w:t>a</w:t>
      </w:r>
      <w:r w:rsidR="00EB483B" w:rsidRPr="002B6F18">
        <w:rPr>
          <w:rFonts w:ascii="Times New Roman" w:hAnsi="Times New Roman"/>
          <w:szCs w:val="18"/>
        </w:rPr>
        <w:t>,</w:t>
      </w:r>
      <w:r w:rsidR="003F7F3B" w:rsidRPr="00F07FF6">
        <w:rPr>
          <w:rFonts w:ascii="Times New Roman" w:hAnsi="Times New Roman"/>
          <w:b/>
          <w:szCs w:val="18"/>
        </w:rPr>
        <w:t>b</w:t>
      </w:r>
      <w:proofErr w:type="gramEnd"/>
      <w:r w:rsidR="00EB483B">
        <w:rPr>
          <w:rFonts w:ascii="Times New Roman" w:hAnsi="Times New Roman"/>
          <w:szCs w:val="18"/>
        </w:rPr>
        <w:t xml:space="preserve"> </w:t>
      </w:r>
      <w:r w:rsidR="007D1BD3">
        <w:rPr>
          <w:rFonts w:ascii="Times New Roman" w:hAnsi="Times New Roman"/>
          <w:szCs w:val="18"/>
        </w:rPr>
        <w:t xml:space="preserve">had </w:t>
      </w:r>
      <w:r w:rsidR="00EB483B">
        <w:rPr>
          <w:rFonts w:ascii="Times New Roman" w:hAnsi="Times New Roman"/>
          <w:szCs w:val="18"/>
        </w:rPr>
        <w:t>good activity.</w:t>
      </w:r>
      <w:r w:rsidRPr="000453AF">
        <w:rPr>
          <w:rFonts w:ascii="Times New Roman" w:hAnsi="Times New Roman"/>
        </w:rPr>
        <w:t xml:space="preserve"> </w:t>
      </w:r>
      <w:r w:rsidR="007B276B">
        <w:rPr>
          <w:rFonts w:ascii="Times New Roman" w:hAnsi="Times New Roman"/>
        </w:rPr>
        <w:t>R</w:t>
      </w:r>
      <w:r w:rsidR="007B276B" w:rsidRPr="000453AF">
        <w:rPr>
          <w:rFonts w:ascii="Times New Roman" w:hAnsi="Times New Roman"/>
        </w:rPr>
        <w:t xml:space="preserve">eplacement </w:t>
      </w:r>
      <w:r w:rsidR="007B276B">
        <w:rPr>
          <w:rFonts w:ascii="Times New Roman" w:hAnsi="Times New Roman"/>
        </w:rPr>
        <w:t xml:space="preserve">of </w:t>
      </w:r>
      <w:r w:rsidR="002B6F18">
        <w:rPr>
          <w:rFonts w:ascii="Times New Roman" w:hAnsi="Times New Roman"/>
        </w:rPr>
        <w:t xml:space="preserve">the </w:t>
      </w:r>
      <w:proofErr w:type="spellStart"/>
      <w:r w:rsidR="007B276B">
        <w:rPr>
          <w:rFonts w:ascii="Times New Roman" w:hAnsi="Times New Roman"/>
        </w:rPr>
        <w:t>m</w:t>
      </w:r>
      <w:r w:rsidRPr="000453AF">
        <w:rPr>
          <w:rFonts w:ascii="Times New Roman" w:hAnsi="Times New Roman"/>
        </w:rPr>
        <w:t>onoterpenyloxy</w:t>
      </w:r>
      <w:proofErr w:type="spellEnd"/>
      <w:r w:rsidRPr="000453AF">
        <w:rPr>
          <w:rFonts w:ascii="Times New Roman" w:hAnsi="Times New Roman"/>
        </w:rPr>
        <w:t xml:space="preserve"> fragment by </w:t>
      </w:r>
      <w:r w:rsidR="0034541D">
        <w:rPr>
          <w:rFonts w:ascii="Times New Roman" w:hAnsi="Times New Roman"/>
        </w:rPr>
        <w:t xml:space="preserve">a </w:t>
      </w:r>
      <w:r w:rsidRPr="000453AF">
        <w:rPr>
          <w:rFonts w:ascii="Times New Roman" w:hAnsi="Times New Roman"/>
        </w:rPr>
        <w:t xml:space="preserve">methoxy </w:t>
      </w:r>
      <w:r w:rsidR="007B276B" w:rsidRPr="000453AF">
        <w:rPr>
          <w:rFonts w:ascii="Times New Roman" w:hAnsi="Times New Roman"/>
        </w:rPr>
        <w:t xml:space="preserve">group </w:t>
      </w:r>
      <w:r w:rsidRPr="000453AF">
        <w:rPr>
          <w:rFonts w:ascii="Times New Roman" w:hAnsi="Times New Roman"/>
        </w:rPr>
        <w:t>(</w:t>
      </w:r>
      <w:r w:rsidRPr="000453AF">
        <w:rPr>
          <w:rFonts w:ascii="Times New Roman" w:hAnsi="Times New Roman"/>
          <w:b/>
        </w:rPr>
        <w:t>15g</w:t>
      </w:r>
      <w:r w:rsidRPr="000453AF">
        <w:rPr>
          <w:rFonts w:ascii="Times New Roman" w:hAnsi="Times New Roman"/>
        </w:rPr>
        <w:t>)</w:t>
      </w:r>
      <w:r w:rsidR="002B6F18">
        <w:rPr>
          <w:rFonts w:ascii="Times New Roman" w:hAnsi="Times New Roman"/>
        </w:rPr>
        <w:t>,</w:t>
      </w:r>
      <w:r w:rsidRPr="000453AF">
        <w:rPr>
          <w:rFonts w:ascii="Times New Roman" w:hAnsi="Times New Roman"/>
        </w:rPr>
        <w:t xml:space="preserve"> or even hydrogen (</w:t>
      </w:r>
      <w:r w:rsidRPr="000453AF">
        <w:rPr>
          <w:rFonts w:ascii="Times New Roman" w:hAnsi="Times New Roman"/>
          <w:b/>
        </w:rPr>
        <w:t>16h</w:t>
      </w:r>
      <w:r w:rsidRPr="000453AF">
        <w:rPr>
          <w:rFonts w:ascii="Times New Roman" w:hAnsi="Times New Roman"/>
        </w:rPr>
        <w:t>)</w:t>
      </w:r>
      <w:r w:rsidR="002B6F18">
        <w:rPr>
          <w:rFonts w:ascii="Times New Roman" w:hAnsi="Times New Roman"/>
        </w:rPr>
        <w:t>,</w:t>
      </w:r>
      <w:r w:rsidRPr="000453AF">
        <w:rPr>
          <w:rFonts w:ascii="Times New Roman" w:hAnsi="Times New Roman"/>
        </w:rPr>
        <w:t xml:space="preserve"> </w:t>
      </w:r>
      <w:r w:rsidR="007D1BD3">
        <w:rPr>
          <w:rFonts w:ascii="Times New Roman" w:hAnsi="Times New Roman"/>
        </w:rPr>
        <w:t>resulted in</w:t>
      </w:r>
      <w:r w:rsidR="007B276B">
        <w:rPr>
          <w:rFonts w:ascii="Times New Roman" w:hAnsi="Times New Roman"/>
        </w:rPr>
        <w:t xml:space="preserve"> </w:t>
      </w:r>
      <w:r w:rsidR="0034541D">
        <w:rPr>
          <w:rFonts w:ascii="Times New Roman" w:hAnsi="Times New Roman"/>
        </w:rPr>
        <w:t>in</w:t>
      </w:r>
      <w:r w:rsidR="007B276B">
        <w:rPr>
          <w:rFonts w:ascii="Times New Roman" w:hAnsi="Times New Roman"/>
        </w:rPr>
        <w:t>activity</w:t>
      </w:r>
      <w:r w:rsidRPr="000453AF">
        <w:rPr>
          <w:rFonts w:ascii="Times New Roman" w:hAnsi="Times New Roman"/>
        </w:rPr>
        <w:t xml:space="preserve">. In addition, removal of the aromatic linker </w:t>
      </w:r>
      <w:r w:rsidR="00104C8C">
        <w:rPr>
          <w:rFonts w:ascii="Times New Roman" w:hAnsi="Times New Roman"/>
        </w:rPr>
        <w:t>at</w:t>
      </w:r>
      <w:r w:rsidRPr="000453AF">
        <w:rPr>
          <w:rFonts w:ascii="Times New Roman" w:hAnsi="Times New Roman"/>
        </w:rPr>
        <w:t xml:space="preserve"> the second position of the thiazolidin-4-one core </w:t>
      </w:r>
      <w:r w:rsidRPr="000453AF">
        <w:rPr>
          <w:rFonts w:ascii="Times New Roman" w:hAnsi="Times New Roman"/>
          <w:b/>
        </w:rPr>
        <w:t>16a-h</w:t>
      </w:r>
      <w:r w:rsidRPr="000453AF">
        <w:rPr>
          <w:rFonts w:ascii="Times New Roman" w:hAnsi="Times New Roman"/>
        </w:rPr>
        <w:t xml:space="preserve"> </w:t>
      </w:r>
      <w:r w:rsidR="00E057CF">
        <w:rPr>
          <w:rFonts w:ascii="Times New Roman" w:hAnsi="Times New Roman"/>
        </w:rPr>
        <w:t>led to inactive derivatives</w:t>
      </w:r>
      <w:r w:rsidRPr="000453AF">
        <w:rPr>
          <w:rFonts w:ascii="Times New Roman" w:hAnsi="Times New Roman"/>
        </w:rPr>
        <w:t xml:space="preserve">. </w:t>
      </w:r>
      <w:r w:rsidR="00E057CF">
        <w:rPr>
          <w:rFonts w:ascii="Times New Roman" w:hAnsi="Times New Roman"/>
        </w:rPr>
        <w:t>This</w:t>
      </w:r>
      <w:r w:rsidR="00E057CF" w:rsidRPr="000453AF">
        <w:rPr>
          <w:rFonts w:ascii="Times New Roman" w:hAnsi="Times New Roman"/>
        </w:rPr>
        <w:t xml:space="preserve"> </w:t>
      </w:r>
      <w:r w:rsidRPr="000453AF">
        <w:rPr>
          <w:rFonts w:ascii="Times New Roman" w:hAnsi="Times New Roman"/>
        </w:rPr>
        <w:t>mean</w:t>
      </w:r>
      <w:r w:rsidR="00DE184C">
        <w:rPr>
          <w:rFonts w:ascii="Times New Roman" w:hAnsi="Times New Roman"/>
        </w:rPr>
        <w:t>s</w:t>
      </w:r>
      <w:r w:rsidRPr="000453AF">
        <w:rPr>
          <w:rFonts w:ascii="Times New Roman" w:hAnsi="Times New Roman"/>
        </w:rPr>
        <w:t xml:space="preserve"> that </w:t>
      </w:r>
      <w:r w:rsidR="00E057CF">
        <w:rPr>
          <w:rFonts w:ascii="Times New Roman" w:hAnsi="Times New Roman"/>
        </w:rPr>
        <w:t xml:space="preserve">a </w:t>
      </w:r>
      <w:proofErr w:type="spellStart"/>
      <w:r w:rsidRPr="000453AF">
        <w:rPr>
          <w:rFonts w:ascii="Times New Roman" w:hAnsi="Times New Roman"/>
        </w:rPr>
        <w:t>monoterpenic</w:t>
      </w:r>
      <w:proofErr w:type="spellEnd"/>
      <w:r w:rsidRPr="000453AF">
        <w:rPr>
          <w:rFonts w:ascii="Times New Roman" w:hAnsi="Times New Roman"/>
        </w:rPr>
        <w:t xml:space="preserve"> fragments and </w:t>
      </w:r>
      <w:r w:rsidR="007D1BD3">
        <w:rPr>
          <w:rFonts w:ascii="Times New Roman" w:hAnsi="Times New Roman"/>
        </w:rPr>
        <w:t xml:space="preserve">the </w:t>
      </w:r>
      <w:r w:rsidR="007D1BD3" w:rsidRPr="000453AF">
        <w:rPr>
          <w:rFonts w:ascii="Times New Roman" w:hAnsi="Times New Roman"/>
        </w:rPr>
        <w:t>phenyloxy</w:t>
      </w:r>
      <w:r w:rsidR="00E057CF" w:rsidRPr="000453AF">
        <w:rPr>
          <w:rFonts w:ascii="Times New Roman" w:hAnsi="Times New Roman"/>
        </w:rPr>
        <w:t xml:space="preserve"> </w:t>
      </w:r>
      <w:r w:rsidRPr="000453AF">
        <w:rPr>
          <w:rFonts w:ascii="Times New Roman" w:hAnsi="Times New Roman"/>
        </w:rPr>
        <w:t xml:space="preserve">linker are </w:t>
      </w:r>
      <w:r w:rsidR="00E057CF">
        <w:rPr>
          <w:rFonts w:ascii="Times New Roman" w:hAnsi="Times New Roman"/>
        </w:rPr>
        <w:t>vital</w:t>
      </w:r>
      <w:r w:rsidR="00E057CF" w:rsidRPr="000453AF">
        <w:rPr>
          <w:rFonts w:ascii="Times New Roman" w:hAnsi="Times New Roman"/>
        </w:rPr>
        <w:t xml:space="preserve"> </w:t>
      </w:r>
      <w:r w:rsidR="007B276B">
        <w:rPr>
          <w:rFonts w:ascii="Times New Roman" w:hAnsi="Times New Roman"/>
        </w:rPr>
        <w:t>for</w:t>
      </w:r>
      <w:r w:rsidR="007B276B" w:rsidRPr="000453AF">
        <w:rPr>
          <w:rFonts w:ascii="Times New Roman" w:hAnsi="Times New Roman"/>
        </w:rPr>
        <w:t xml:space="preserve"> </w:t>
      </w:r>
      <w:r w:rsidRPr="000453AF">
        <w:rPr>
          <w:rFonts w:ascii="Times New Roman" w:hAnsi="Times New Roman"/>
        </w:rPr>
        <w:t>this design approach.</w:t>
      </w:r>
    </w:p>
    <w:p w14:paraId="677871D1" w14:textId="7BB2457D" w:rsidR="00483686" w:rsidRPr="000453AF" w:rsidRDefault="00401B9F" w:rsidP="00483686">
      <w:pPr>
        <w:pStyle w:val="MDPI31text"/>
        <w:spacing w:before="60" w:after="60"/>
        <w:ind w:left="0"/>
        <w:rPr>
          <w:rFonts w:ascii="Times New Roman" w:hAnsi="Times New Roman"/>
        </w:rPr>
      </w:pPr>
      <w:r>
        <w:rPr>
          <w:rFonts w:ascii="Times New Roman" w:hAnsi="Times New Roman"/>
        </w:rPr>
        <w:lastRenderedPageBreak/>
        <w:t>T</w:t>
      </w:r>
      <w:r w:rsidRPr="000453AF">
        <w:rPr>
          <w:rFonts w:ascii="Times New Roman" w:hAnsi="Times New Roman"/>
        </w:rPr>
        <w:t xml:space="preserve">he </w:t>
      </w:r>
      <w:r w:rsidR="00483686" w:rsidRPr="000453AF">
        <w:rPr>
          <w:rFonts w:ascii="Times New Roman" w:hAnsi="Times New Roman"/>
        </w:rPr>
        <w:t xml:space="preserve">cytotoxicity of </w:t>
      </w:r>
      <w:r>
        <w:rPr>
          <w:rFonts w:ascii="Times New Roman" w:hAnsi="Times New Roman"/>
        </w:rPr>
        <w:t xml:space="preserve">the </w:t>
      </w:r>
      <w:r w:rsidR="00483686" w:rsidRPr="000453AF">
        <w:rPr>
          <w:rFonts w:ascii="Times New Roman" w:hAnsi="Times New Roman"/>
        </w:rPr>
        <w:t>inhibitors</w:t>
      </w:r>
      <w:r>
        <w:rPr>
          <w:rFonts w:ascii="Times New Roman" w:hAnsi="Times New Roman"/>
        </w:rPr>
        <w:t xml:space="preserve"> was tested</w:t>
      </w:r>
      <w:r w:rsidR="00483686" w:rsidRPr="000453AF">
        <w:rPr>
          <w:rFonts w:ascii="Times New Roman" w:hAnsi="Times New Roman"/>
        </w:rPr>
        <w:t>,</w:t>
      </w:r>
      <w:r>
        <w:rPr>
          <w:rFonts w:ascii="Times New Roman" w:hAnsi="Times New Roman"/>
        </w:rPr>
        <w:t xml:space="preserve"> this is important because TDP1 inhibition is proposed to be an adjunct therapy thus the ligands ought to have no, or minimal, toxic footprint. </w:t>
      </w:r>
      <w:r w:rsidR="000770DE">
        <w:rPr>
          <w:rFonts w:ascii="Times New Roman" w:hAnsi="Times New Roman"/>
        </w:rPr>
        <w:t>H</w:t>
      </w:r>
      <w:r w:rsidR="000770DE" w:rsidRPr="007B276B">
        <w:rPr>
          <w:rFonts w:ascii="Times New Roman" w:hAnsi="Times New Roman"/>
        </w:rPr>
        <w:t xml:space="preserve">uman </w:t>
      </w:r>
      <w:r w:rsidR="007B276B" w:rsidRPr="007B276B">
        <w:rPr>
          <w:rFonts w:ascii="Times New Roman" w:hAnsi="Times New Roman"/>
        </w:rPr>
        <w:t>cervical cancer</w:t>
      </w:r>
      <w:r w:rsidR="000770DE">
        <w:rPr>
          <w:rFonts w:ascii="Times New Roman" w:hAnsi="Times New Roman"/>
        </w:rPr>
        <w:t xml:space="preserve"> (HeLa)</w:t>
      </w:r>
      <w:r w:rsidR="00483686" w:rsidRPr="000453AF">
        <w:rPr>
          <w:rFonts w:ascii="Times New Roman" w:hAnsi="Times New Roman"/>
        </w:rPr>
        <w:t xml:space="preserve"> and non-cancerous HEK293A cells</w:t>
      </w:r>
      <w:r>
        <w:rPr>
          <w:rFonts w:ascii="Times New Roman" w:hAnsi="Times New Roman"/>
        </w:rPr>
        <w:t xml:space="preserve"> were </w:t>
      </w:r>
      <w:proofErr w:type="gramStart"/>
      <w:r>
        <w:rPr>
          <w:rFonts w:ascii="Times New Roman" w:hAnsi="Times New Roman"/>
        </w:rPr>
        <w:t>used</w:t>
      </w:r>
      <w:proofErr w:type="gramEnd"/>
      <w:r w:rsidR="000770DE">
        <w:rPr>
          <w:rFonts w:ascii="Times New Roman" w:hAnsi="Times New Roman"/>
        </w:rPr>
        <w:t xml:space="preserve"> and</w:t>
      </w:r>
      <w:r w:rsidR="00483686" w:rsidRPr="000453AF">
        <w:rPr>
          <w:rFonts w:ascii="Times New Roman" w:hAnsi="Times New Roman"/>
        </w:rPr>
        <w:t xml:space="preserve"> the compounds </w:t>
      </w:r>
      <w:r w:rsidR="00F71BB0">
        <w:rPr>
          <w:rFonts w:ascii="Times New Roman" w:hAnsi="Times New Roman"/>
        </w:rPr>
        <w:t>we</w:t>
      </w:r>
      <w:r w:rsidR="00F71BB0" w:rsidRPr="000453AF">
        <w:rPr>
          <w:rFonts w:ascii="Times New Roman" w:hAnsi="Times New Roman"/>
        </w:rPr>
        <w:t xml:space="preserve">re </w:t>
      </w:r>
      <w:r w:rsidR="00483686" w:rsidRPr="000453AF">
        <w:rPr>
          <w:rFonts w:ascii="Times New Roman" w:hAnsi="Times New Roman"/>
        </w:rPr>
        <w:t>slightly toxic</w:t>
      </w:r>
      <w:r>
        <w:rPr>
          <w:rFonts w:ascii="Times New Roman" w:hAnsi="Times New Roman"/>
        </w:rPr>
        <w:t>,</w:t>
      </w:r>
      <w:r w:rsidR="00483686" w:rsidRPr="000453AF">
        <w:rPr>
          <w:rFonts w:ascii="Times New Roman" w:hAnsi="Times New Roman"/>
        </w:rPr>
        <w:t xml:space="preserve"> or non-toxic</w:t>
      </w:r>
      <w:r>
        <w:rPr>
          <w:rFonts w:ascii="Times New Roman" w:hAnsi="Times New Roman"/>
        </w:rPr>
        <w:t>,</w:t>
      </w:r>
      <w:r w:rsidR="00483686" w:rsidRPr="000453AF">
        <w:rPr>
          <w:rFonts w:ascii="Times New Roman" w:hAnsi="Times New Roman"/>
        </w:rPr>
        <w:t xml:space="preserve"> to both cell lines (</w:t>
      </w:r>
      <w:r w:rsidR="00483686" w:rsidRPr="000453AF">
        <w:rPr>
          <w:rFonts w:ascii="Times New Roman" w:hAnsi="Times New Roman"/>
          <w:b/>
        </w:rPr>
        <w:t>Table 1</w:t>
      </w:r>
      <w:r w:rsidR="00483686" w:rsidRPr="000453AF">
        <w:rPr>
          <w:rFonts w:ascii="Times New Roman" w:hAnsi="Times New Roman"/>
        </w:rPr>
        <w:t>).</w:t>
      </w:r>
    </w:p>
    <w:p w14:paraId="12B35325" w14:textId="33086FEA" w:rsidR="00483686" w:rsidRPr="000453AF" w:rsidRDefault="00401B9F" w:rsidP="00A86D14">
      <w:pPr>
        <w:pStyle w:val="MDPI31text"/>
        <w:spacing w:before="60" w:after="60"/>
        <w:ind w:left="0"/>
        <w:rPr>
          <w:rFonts w:ascii="Times New Roman" w:hAnsi="Times New Roman"/>
        </w:rPr>
      </w:pPr>
      <w:r>
        <w:rPr>
          <w:rFonts w:ascii="Times New Roman" w:hAnsi="Times New Roman"/>
        </w:rPr>
        <w:t>T</w:t>
      </w:r>
      <w:r w:rsidRPr="000453AF">
        <w:rPr>
          <w:rFonts w:ascii="Times New Roman" w:hAnsi="Times New Roman"/>
        </w:rPr>
        <w:t xml:space="preserve">he </w:t>
      </w:r>
      <w:r w:rsidR="00483686" w:rsidRPr="000453AF">
        <w:rPr>
          <w:rFonts w:ascii="Times New Roman" w:hAnsi="Times New Roman"/>
        </w:rPr>
        <w:t xml:space="preserve">effect of </w:t>
      </w:r>
      <w:r>
        <w:rPr>
          <w:rFonts w:ascii="Times New Roman" w:hAnsi="Times New Roman"/>
        </w:rPr>
        <w:t xml:space="preserve">the </w:t>
      </w:r>
      <w:r w:rsidR="00483686" w:rsidRPr="000453AF">
        <w:rPr>
          <w:rFonts w:ascii="Times New Roman" w:hAnsi="Times New Roman"/>
        </w:rPr>
        <w:t xml:space="preserve">TDP1 inhibitors on the cytotoxic </w:t>
      </w:r>
      <w:r>
        <w:rPr>
          <w:rFonts w:ascii="Times New Roman" w:hAnsi="Times New Roman"/>
        </w:rPr>
        <w:t xml:space="preserve">potential </w:t>
      </w:r>
      <w:r w:rsidR="00483686" w:rsidRPr="000453AF">
        <w:rPr>
          <w:rFonts w:ascii="Times New Roman" w:hAnsi="Times New Roman"/>
        </w:rPr>
        <w:t xml:space="preserve">of topotecan, </w:t>
      </w:r>
      <w:r>
        <w:rPr>
          <w:rFonts w:ascii="Times New Roman" w:hAnsi="Times New Roman"/>
        </w:rPr>
        <w:t xml:space="preserve">a </w:t>
      </w:r>
      <w:r w:rsidRPr="000453AF">
        <w:rPr>
          <w:rFonts w:ascii="Times New Roman" w:hAnsi="Times New Roman"/>
        </w:rPr>
        <w:t>T</w:t>
      </w:r>
      <w:r>
        <w:rPr>
          <w:rFonts w:ascii="Times New Roman" w:hAnsi="Times New Roman"/>
        </w:rPr>
        <w:t>OP</w:t>
      </w:r>
      <w:r w:rsidRPr="000453AF">
        <w:rPr>
          <w:rFonts w:ascii="Times New Roman" w:hAnsi="Times New Roman"/>
        </w:rPr>
        <w:t xml:space="preserve">1 </w:t>
      </w:r>
      <w:r w:rsidR="00826F1E" w:rsidRPr="000453AF">
        <w:rPr>
          <w:rFonts w:ascii="Times New Roman" w:hAnsi="Times New Roman"/>
        </w:rPr>
        <w:t xml:space="preserve">inhibitor </w:t>
      </w:r>
      <w:r w:rsidR="00483686" w:rsidRPr="000453AF">
        <w:rPr>
          <w:rFonts w:ascii="Times New Roman" w:hAnsi="Times New Roman"/>
        </w:rPr>
        <w:t xml:space="preserve">widely used in the </w:t>
      </w:r>
      <w:r w:rsidR="00483686" w:rsidRPr="00171237">
        <w:rPr>
          <w:rFonts w:ascii="Times New Roman" w:hAnsi="Times New Roman"/>
        </w:rPr>
        <w:t>clinic</w:t>
      </w:r>
      <w:r w:rsidR="00826F1E" w:rsidRPr="00171237">
        <w:rPr>
          <w:rFonts w:ascii="Times New Roman" w:hAnsi="Times New Roman"/>
        </w:rPr>
        <w:t xml:space="preserve"> </w:t>
      </w:r>
      <w:r w:rsidR="00171237" w:rsidRPr="00171237">
        <w:rPr>
          <w:rFonts w:ascii="Times New Roman" w:hAnsi="Times New Roman"/>
        </w:rPr>
        <w:fldChar w:fldCharType="begin" w:fldLock="1"/>
      </w:r>
      <w:r w:rsidR="00171237" w:rsidRPr="00171237">
        <w:rPr>
          <w:rFonts w:ascii="Times New Roman" w:hAnsi="Times New Roman"/>
        </w:rPr>
        <w:instrText>ADDIN CSL_CITATION {"citationItems":[{"id":"ITEM-1","itemData":{"DOI":"10.1016/j.dnarep.2014.03.020","ISSN":"15687856","PMID":"24856239","abstract":"TDP1 and TDP2 were discovered and named based on the fact they process 3'- and 5'-DNA ends by excising irreversible protein tyrosyl-DNA complexes involving topoisomerases I and II, respectively. Yet, both enzymes have an extended spectrum of activities. TDP1 not only excises trapped topoisomerases I (Top1 in the nucleus and Top1mt in mitochondria), but also repairs oxidative damage-induced 3'-phosphoglycolates and alkylation damage-induced DNA breaks, and excises chain terminating anticancer and antiviral nucleosides in the nucleus and mitochondria. The repair function of TDP2 is devoted to the excision of topoisomerase II- and potentially topoisomerases III-DNA adducts. TDP2 is also essential for the life cycle of picornaviruses (important human and bovine pathogens) as it unlinks VPg proteins from the 5'-end of the viral RNA genome. Moreover, TDP2 has been involved in signal transduction (under the former names of TTRAP or EAPII). The DNA repair partners of TDP1 include PARP1, XRCC1, ligase III and PNKP from the base excision repair (BER) pathway. By contrast, TDP2 repair functions are coordinated with Ku and ligase IV in the non-homologous end joining pathway (NHEJ). This article summarizes and compares the biochemistry, functions, and post-translational regulation of TDP1 and TDP2, as well as the relevance of TDP1 and TDP2 as determinants of response to anticancer agents. We discuss the rationale for developing TDP inhibitors for combinations with topoisomerase inhibitors (topotecan, irinotecan, doxorubicin, etoposide, mitoxantrone) and DNA damaging agents (temozolomide, bleomycin, cytarabine, and ionizing radiation), and as novel antiviral agents. © 2014.","author":[{"dropping-particle":"","family":"Pommier","given":"Yves","non-dropping-particle":"","parse-names":false,"suffix":""},{"dropping-particle":"","family":"Huang","given":"Shar yin N.","non-dropping-particle":"","parse-names":false,"suffix":""},{"dropping-particle":"","family":"Gao","given":"Rui","non-dropping-particle":"","parse-names":false,"suffix":""},{"dropping-particle":"","family":"Das","given":"Benu Brata","non-dropping-particle":"","parse-names":false,"suffix":""},{"dropping-particle":"","family":"Murai","given":"Junko","non-dropping-particle":"","parse-names":false,"suffix":""},{"dropping-particle":"","family":"Marchand","given":"Christophe","non-dropping-particle":"","parse-names":false,"suffix":""}],"container-title":"DNA Repair","id":"ITEM-1","issued":{"date-parts":[["2014"]]},"page":"114-129","publisher":"Elsevier B.V.","title":"Tyrosyl-DNA-phosphodiesterases (TDP1 and TDP2)","type":"article-journal","volume":"19"},"uris":["http://www.mendeley.com/documents/?uuid=5f22e96f-a604-4bf4-8a34-49bc9f6fc79b"]}],"mendeley":{"formattedCitation":"[6]","plainTextFormattedCitation":"[6]"},"properties":{"noteIndex":0},"schema":"https://github.com/citation-style-language/schema/raw/master/csl-citation.json"}</w:instrText>
      </w:r>
      <w:r w:rsidR="00171237" w:rsidRPr="00171237">
        <w:rPr>
          <w:rFonts w:ascii="Times New Roman" w:hAnsi="Times New Roman"/>
        </w:rPr>
        <w:fldChar w:fldCharType="separate"/>
      </w:r>
      <w:r w:rsidR="00171237" w:rsidRPr="00171237">
        <w:rPr>
          <w:rFonts w:ascii="Times New Roman" w:hAnsi="Times New Roman"/>
          <w:noProof/>
        </w:rPr>
        <w:t>[6]</w:t>
      </w:r>
      <w:r w:rsidR="00171237" w:rsidRPr="00171237">
        <w:rPr>
          <w:rFonts w:ascii="Times New Roman" w:hAnsi="Times New Roman"/>
        </w:rPr>
        <w:fldChar w:fldCharType="end"/>
      </w:r>
      <w:r w:rsidRPr="00171237">
        <w:rPr>
          <w:rFonts w:ascii="Times New Roman" w:hAnsi="Times New Roman"/>
        </w:rPr>
        <w:t xml:space="preserve"> was investigated using the same cell lines as before</w:t>
      </w:r>
      <w:r w:rsidR="00483686" w:rsidRPr="00171237">
        <w:rPr>
          <w:rFonts w:ascii="Times New Roman" w:hAnsi="Times New Roman"/>
        </w:rPr>
        <w:t>.</w:t>
      </w:r>
      <w:r w:rsidR="00483686" w:rsidRPr="000453AF">
        <w:rPr>
          <w:rFonts w:ascii="Times New Roman" w:hAnsi="Times New Roman"/>
        </w:rPr>
        <w:t xml:space="preserve"> </w:t>
      </w:r>
      <w:proofErr w:type="gramStart"/>
      <w:r w:rsidR="00483686" w:rsidRPr="000453AF">
        <w:rPr>
          <w:rFonts w:ascii="Times New Roman" w:hAnsi="Times New Roman"/>
        </w:rPr>
        <w:t>With regard to</w:t>
      </w:r>
      <w:proofErr w:type="gramEnd"/>
      <w:r w:rsidR="00483686" w:rsidRPr="000453AF">
        <w:rPr>
          <w:rFonts w:ascii="Times New Roman" w:hAnsi="Times New Roman"/>
        </w:rPr>
        <w:t xml:space="preserve"> </w:t>
      </w:r>
      <w:r>
        <w:rPr>
          <w:rFonts w:ascii="Times New Roman" w:hAnsi="Times New Roman"/>
        </w:rPr>
        <w:t xml:space="preserve">the </w:t>
      </w:r>
      <w:r w:rsidR="00483686" w:rsidRPr="000453AF">
        <w:rPr>
          <w:rFonts w:ascii="Times New Roman" w:hAnsi="Times New Roman"/>
        </w:rPr>
        <w:t xml:space="preserve">HeLa cells, all </w:t>
      </w:r>
      <w:r>
        <w:rPr>
          <w:rFonts w:ascii="Times New Roman" w:hAnsi="Times New Roman"/>
        </w:rPr>
        <w:t xml:space="preserve">the </w:t>
      </w:r>
      <w:r w:rsidR="00483686" w:rsidRPr="000453AF">
        <w:rPr>
          <w:rFonts w:ascii="Times New Roman" w:hAnsi="Times New Roman"/>
        </w:rPr>
        <w:t xml:space="preserve">compounds in non-toxic concentrations led to an increase in the cytotoxicity, </w:t>
      </w:r>
      <w:r>
        <w:rPr>
          <w:rFonts w:ascii="Times New Roman" w:hAnsi="Times New Roman"/>
        </w:rPr>
        <w:t>i.e.</w:t>
      </w:r>
      <w:r w:rsidR="00483686" w:rsidRPr="000453AF">
        <w:rPr>
          <w:rFonts w:ascii="Times New Roman" w:hAnsi="Times New Roman"/>
        </w:rPr>
        <w:t xml:space="preserve">, they sensitize tumor cells to </w:t>
      </w:r>
      <w:r>
        <w:rPr>
          <w:rFonts w:ascii="Times New Roman" w:hAnsi="Times New Roman"/>
        </w:rPr>
        <w:t>topotecan’s</w:t>
      </w:r>
      <w:r w:rsidRPr="000453AF">
        <w:rPr>
          <w:rFonts w:ascii="Times New Roman" w:hAnsi="Times New Roman"/>
        </w:rPr>
        <w:t xml:space="preserve"> </w:t>
      </w:r>
      <w:r w:rsidR="00483686" w:rsidRPr="000453AF">
        <w:rPr>
          <w:rFonts w:ascii="Times New Roman" w:hAnsi="Times New Roman"/>
        </w:rPr>
        <w:t>action (</w:t>
      </w:r>
      <w:r w:rsidR="00A64F3C" w:rsidRPr="000453AF">
        <w:rPr>
          <w:rFonts w:ascii="Times New Roman" w:hAnsi="Times New Roman"/>
          <w:b/>
        </w:rPr>
        <w:t>Fig.</w:t>
      </w:r>
      <w:r w:rsidR="00483686" w:rsidRPr="000453AF">
        <w:rPr>
          <w:rFonts w:ascii="Times New Roman" w:hAnsi="Times New Roman"/>
          <w:b/>
        </w:rPr>
        <w:t xml:space="preserve"> 3, left</w:t>
      </w:r>
      <w:r w:rsidR="00483686" w:rsidRPr="000453AF">
        <w:rPr>
          <w:rFonts w:ascii="Times New Roman" w:hAnsi="Times New Roman"/>
        </w:rPr>
        <w:t xml:space="preserve">). As for </w:t>
      </w:r>
      <w:r>
        <w:rPr>
          <w:rFonts w:ascii="Times New Roman" w:hAnsi="Times New Roman"/>
        </w:rPr>
        <w:t xml:space="preserve">the </w:t>
      </w:r>
      <w:r w:rsidR="00483686" w:rsidRPr="000453AF">
        <w:rPr>
          <w:rFonts w:ascii="Times New Roman" w:hAnsi="Times New Roman"/>
        </w:rPr>
        <w:t>non-cancerous HEK293A cells</w:t>
      </w:r>
      <w:r>
        <w:rPr>
          <w:rFonts w:ascii="Times New Roman" w:hAnsi="Times New Roman"/>
        </w:rPr>
        <w:t xml:space="preserve"> no</w:t>
      </w:r>
      <w:r w:rsidR="00483686" w:rsidRPr="000453AF">
        <w:rPr>
          <w:rFonts w:ascii="Times New Roman" w:hAnsi="Times New Roman"/>
        </w:rPr>
        <w:t xml:space="preserve"> sensitization </w:t>
      </w:r>
      <w:r w:rsidR="00826F1E">
        <w:rPr>
          <w:rFonts w:ascii="Times New Roman" w:hAnsi="Times New Roman"/>
        </w:rPr>
        <w:t>was</w:t>
      </w:r>
      <w:r w:rsidR="00826F1E" w:rsidRPr="000453AF">
        <w:rPr>
          <w:rFonts w:ascii="Times New Roman" w:hAnsi="Times New Roman"/>
        </w:rPr>
        <w:t xml:space="preserve"> </w:t>
      </w:r>
      <w:r w:rsidR="00483686" w:rsidRPr="000453AF">
        <w:rPr>
          <w:rFonts w:ascii="Times New Roman" w:hAnsi="Times New Roman"/>
        </w:rPr>
        <w:t xml:space="preserve">observed. </w:t>
      </w:r>
      <w:r w:rsidR="00826F1E" w:rsidRPr="00826F1E">
        <w:rPr>
          <w:rFonts w:ascii="Times New Roman" w:hAnsi="Times New Roman"/>
        </w:rPr>
        <w:t>Furthermore</w:t>
      </w:r>
      <w:r w:rsidR="00483686" w:rsidRPr="000453AF">
        <w:rPr>
          <w:rFonts w:ascii="Times New Roman" w:hAnsi="Times New Roman"/>
        </w:rPr>
        <w:t xml:space="preserve"> there </w:t>
      </w:r>
      <w:r w:rsidR="00826F1E">
        <w:rPr>
          <w:rFonts w:ascii="Times New Roman" w:hAnsi="Times New Roman"/>
        </w:rPr>
        <w:t>wa</w:t>
      </w:r>
      <w:r w:rsidR="00826F1E" w:rsidRPr="000453AF">
        <w:rPr>
          <w:rFonts w:ascii="Times New Roman" w:hAnsi="Times New Roman"/>
        </w:rPr>
        <w:t xml:space="preserve">s </w:t>
      </w:r>
      <w:r w:rsidR="00483686" w:rsidRPr="000453AF">
        <w:rPr>
          <w:rFonts w:ascii="Times New Roman" w:hAnsi="Times New Roman"/>
        </w:rPr>
        <w:t xml:space="preserve">some degree of protection </w:t>
      </w:r>
      <w:r w:rsidR="00633A6C">
        <w:rPr>
          <w:rFonts w:ascii="Times New Roman" w:hAnsi="Times New Roman"/>
        </w:rPr>
        <w:t>for the</w:t>
      </w:r>
      <w:r w:rsidR="00633A6C" w:rsidRPr="000453AF">
        <w:rPr>
          <w:rFonts w:ascii="Times New Roman" w:hAnsi="Times New Roman"/>
        </w:rPr>
        <w:t xml:space="preserve"> </w:t>
      </w:r>
      <w:r w:rsidR="00483686" w:rsidRPr="000453AF">
        <w:rPr>
          <w:rFonts w:ascii="Times New Roman" w:hAnsi="Times New Roman"/>
        </w:rPr>
        <w:t>cells from the action of topotecan</w:t>
      </w:r>
      <w:r w:rsidR="00EB483B" w:rsidRPr="00EB483B">
        <w:rPr>
          <w:rFonts w:ascii="Times New Roman" w:hAnsi="Times New Roman"/>
        </w:rPr>
        <w:t xml:space="preserve"> </w:t>
      </w:r>
      <w:r w:rsidR="00EB483B">
        <w:rPr>
          <w:rFonts w:ascii="Times New Roman" w:hAnsi="Times New Roman"/>
        </w:rPr>
        <w:t xml:space="preserve">for compounds </w:t>
      </w:r>
      <w:r w:rsidR="00EB483B">
        <w:rPr>
          <w:rFonts w:ascii="Times New Roman" w:hAnsi="Times New Roman"/>
          <w:b/>
        </w:rPr>
        <w:t>15</w:t>
      </w:r>
      <w:proofErr w:type="gramStart"/>
      <w:r w:rsidR="00EB483B">
        <w:rPr>
          <w:rFonts w:ascii="Times New Roman" w:hAnsi="Times New Roman"/>
          <w:b/>
        </w:rPr>
        <w:t>d</w:t>
      </w:r>
      <w:r w:rsidR="00EB483B" w:rsidRPr="00AA570A">
        <w:rPr>
          <w:rFonts w:ascii="Times New Roman" w:hAnsi="Times New Roman"/>
        </w:rPr>
        <w:t>,</w:t>
      </w:r>
      <w:r w:rsidR="00293B5D">
        <w:rPr>
          <w:rFonts w:ascii="Times New Roman" w:hAnsi="Times New Roman"/>
          <w:b/>
        </w:rPr>
        <w:t>e</w:t>
      </w:r>
      <w:proofErr w:type="gramEnd"/>
      <w:r w:rsidR="00293B5D" w:rsidRPr="00AA570A">
        <w:rPr>
          <w:rFonts w:ascii="Times New Roman" w:hAnsi="Times New Roman"/>
        </w:rPr>
        <w:t>,</w:t>
      </w:r>
      <w:r w:rsidR="00EB483B">
        <w:rPr>
          <w:rFonts w:ascii="Times New Roman" w:hAnsi="Times New Roman"/>
          <w:b/>
        </w:rPr>
        <w:t>f</w:t>
      </w:r>
      <w:r w:rsidR="00483686" w:rsidRPr="000453AF">
        <w:rPr>
          <w:rFonts w:ascii="Times New Roman" w:hAnsi="Times New Roman"/>
        </w:rPr>
        <w:t xml:space="preserve">. </w:t>
      </w:r>
    </w:p>
    <w:p w14:paraId="04895B5B" w14:textId="54271A66" w:rsidR="00483686" w:rsidRDefault="00FB0250" w:rsidP="00483686">
      <w:pPr>
        <w:pStyle w:val="MDPI31text"/>
        <w:spacing w:before="60" w:after="60"/>
        <w:ind w:left="0" w:firstLine="0"/>
      </w:pPr>
      <w:r>
        <w:rPr>
          <w:rFonts w:asciiTheme="minorHAnsi" w:eastAsiaTheme="minorEastAsia" w:hAnsiTheme="minorHAnsi" w:cstheme="minorBidi"/>
          <w:noProof/>
          <w:color w:val="auto"/>
          <w:sz w:val="22"/>
          <w:lang w:val="ru-RU" w:eastAsia="ru-RU" w:bidi="ar-SA"/>
        </w:rPr>
        <w:object w:dxaOrig="1440" w:dyaOrig="1440" w14:anchorId="72336B82">
          <v:shape id="_x0000_s2074" type="#_x0000_t75" style="position:absolute;left:0;text-align:left;margin-left:223.85pt;margin-top:20.45pt;width:261.05pt;height:193.85pt;z-index:-251657216;mso-position-horizontal-relative:text;mso-position-vertical-relative:text" wrapcoords="2700 2153 2700 2524 3416 3340 3747 3340 3086 3934 2645 4454 2700 4676 3637 5715 2810 6458 1543 7794 1543 8981 2149 9278 1763 9278 1543 9427 1598 12247 3747 12841 2865 13138 2865 13584 3747 14029 3692 14400 3692 15216 2865 15216 2865 15662 3747 16404 2810 17592 2810 17963 4188 18779 4794 18854 8486 19967 8651 20115 8982 20264 9257 20264 11571 20264 11957 20264 12508 20115 12453 19967 17743 18854 17743 18779 18624 17814 18184 17740 3967 17592 3967 16404 17578 16330 17522 12470 14216 11654 11902 10466 9422 9278 14988 9278 16531 9056 16531 2672 15814 2672 3416 2153 2700 2153">
            <v:imagedata r:id="rId53" o:title=""/>
            <w10:wrap type="topAndBottom"/>
          </v:shape>
          <o:OLEObject Type="Embed" ProgID="Origin50.Graph" ShapeID="_x0000_s2074" DrawAspect="Content" ObjectID="_1722411450" r:id="rId54"/>
        </w:object>
      </w:r>
      <w:r>
        <w:rPr>
          <w:rFonts w:asciiTheme="minorHAnsi" w:eastAsiaTheme="minorEastAsia" w:hAnsiTheme="minorHAnsi" w:cstheme="minorBidi"/>
          <w:noProof/>
          <w:color w:val="auto"/>
          <w:sz w:val="22"/>
          <w:lang w:val="ru-RU" w:eastAsia="ru-RU" w:bidi="ar-SA"/>
        </w:rPr>
        <w:object w:dxaOrig="1440" w:dyaOrig="1440" w14:anchorId="39B05928">
          <v:shape id="_x0000_s2076" type="#_x0000_t75" style="position:absolute;left:0;text-align:left;margin-left:-14.85pt;margin-top:10.55pt;width:275.25pt;height:204.45pt;z-index:-251655168;mso-position-horizontal-relative:text;mso-position-vertical-relative:text" wrapcoords="2700 2153 2700 2524 3416 3340 3747 3340 2700 4528 2700 4899 3416 5715 3747 5715 2810 6903 2810 7126 3582 8091 1653 8165 1653 11134 2204 11654 2865 11876 3361 12544 3747 12841 2810 14029 2810 14326 3527 15216 3747 15216 3086 16404 3086 16701 3582 17592 3582 18779 9257 19967 9257 20412 9422 20561 9808 20561 12122 20561 13169 20561 13555 20412 13665 19967 17908 18854 17908 18779 18680 17740 5235 17592 17027 16553 17027 16404 17247 14252 16971 14029 15869 14029 10359 11654 10084 10466 11241 10466 15098 9575 15208 3192 3416 2153 2700 2153">
            <v:imagedata r:id="rId55" o:title=""/>
            <w10:wrap type="tight"/>
          </v:shape>
          <o:OLEObject Type="Embed" ProgID="Origin50.Graph" ShapeID="_x0000_s2076" DrawAspect="Content" ObjectID="_1722411451" r:id="rId56"/>
        </w:object>
      </w:r>
    </w:p>
    <w:p w14:paraId="24826C48" w14:textId="76E27612" w:rsidR="00483686" w:rsidRPr="000453AF" w:rsidRDefault="00A64F3C" w:rsidP="00767A38">
      <w:pPr>
        <w:pStyle w:val="MDPI31text"/>
        <w:spacing w:before="60" w:after="60"/>
        <w:ind w:left="0"/>
        <w:rPr>
          <w:rFonts w:ascii="Times New Roman" w:hAnsi="Times New Roman"/>
        </w:rPr>
      </w:pPr>
      <w:r w:rsidRPr="000453AF">
        <w:rPr>
          <w:rFonts w:ascii="Times New Roman" w:hAnsi="Times New Roman"/>
          <w:b/>
        </w:rPr>
        <w:t>Fig.</w:t>
      </w:r>
      <w:r w:rsidR="00483686" w:rsidRPr="000453AF">
        <w:rPr>
          <w:rFonts w:ascii="Times New Roman" w:hAnsi="Times New Roman"/>
          <w:b/>
        </w:rPr>
        <w:t xml:space="preserve"> 3.</w:t>
      </w:r>
      <w:r w:rsidR="00483686" w:rsidRPr="000453AF">
        <w:rPr>
          <w:rFonts w:ascii="Times New Roman" w:hAnsi="Times New Roman"/>
        </w:rPr>
        <w:t xml:space="preserve"> The influence of the TDP1 inhibitors (</w:t>
      </w:r>
      <w:r w:rsidR="00633A6C">
        <w:rPr>
          <w:rFonts w:ascii="Times New Roman" w:hAnsi="Times New Roman"/>
        </w:rPr>
        <w:t xml:space="preserve">at </w:t>
      </w:r>
      <w:r w:rsidR="00483686" w:rsidRPr="000453AF">
        <w:rPr>
          <w:rFonts w:ascii="Times New Roman" w:hAnsi="Times New Roman"/>
        </w:rPr>
        <w:t>10 µM) on topotecan</w:t>
      </w:r>
      <w:r w:rsidR="000770DE">
        <w:rPr>
          <w:rFonts w:ascii="Times New Roman" w:hAnsi="Times New Roman"/>
        </w:rPr>
        <w:t xml:space="preserve"> (</w:t>
      </w:r>
      <w:proofErr w:type="spellStart"/>
      <w:r w:rsidR="000770DE">
        <w:rPr>
          <w:rFonts w:ascii="Times New Roman" w:hAnsi="Times New Roman"/>
        </w:rPr>
        <w:t>Tpc</w:t>
      </w:r>
      <w:proofErr w:type="spellEnd"/>
      <w:r w:rsidR="000770DE">
        <w:rPr>
          <w:rFonts w:ascii="Times New Roman" w:hAnsi="Times New Roman"/>
        </w:rPr>
        <w:t>)</w:t>
      </w:r>
      <w:r w:rsidR="00483686" w:rsidRPr="000453AF">
        <w:rPr>
          <w:rFonts w:ascii="Times New Roman" w:hAnsi="Times New Roman"/>
        </w:rPr>
        <w:t xml:space="preserve"> cytotoxicity </w:t>
      </w:r>
      <w:r w:rsidR="000770DE">
        <w:rPr>
          <w:rFonts w:ascii="Times New Roman" w:hAnsi="Times New Roman"/>
        </w:rPr>
        <w:t>in</w:t>
      </w:r>
      <w:r w:rsidR="000770DE" w:rsidRPr="000453AF">
        <w:rPr>
          <w:rFonts w:ascii="Times New Roman" w:hAnsi="Times New Roman"/>
        </w:rPr>
        <w:t xml:space="preserve"> </w:t>
      </w:r>
      <w:r w:rsidR="00483686" w:rsidRPr="000453AF">
        <w:rPr>
          <w:rFonts w:ascii="Times New Roman" w:hAnsi="Times New Roman"/>
        </w:rPr>
        <w:t xml:space="preserve">HeLa (left) and HEK293A (right) </w:t>
      </w:r>
      <w:r w:rsidR="00633A6C" w:rsidRPr="000453AF">
        <w:rPr>
          <w:rFonts w:ascii="Times New Roman" w:hAnsi="Times New Roman"/>
        </w:rPr>
        <w:t>cell</w:t>
      </w:r>
      <w:r w:rsidR="00633A6C">
        <w:rPr>
          <w:rFonts w:ascii="Times New Roman" w:hAnsi="Times New Roman"/>
        </w:rPr>
        <w:t xml:space="preserve"> lines</w:t>
      </w:r>
      <w:r w:rsidR="00483686" w:rsidRPr="000453AF">
        <w:rPr>
          <w:rFonts w:ascii="Times New Roman" w:hAnsi="Times New Roman"/>
        </w:rPr>
        <w:t>.</w:t>
      </w:r>
    </w:p>
    <w:p w14:paraId="3A80BECD" w14:textId="361D6ED4" w:rsidR="00483686" w:rsidRDefault="00483686" w:rsidP="00483686">
      <w:pPr>
        <w:pStyle w:val="MDPI31text"/>
        <w:spacing w:before="60" w:after="60"/>
        <w:ind w:left="0"/>
        <w:rPr>
          <w:rFonts w:ascii="Times New Roman" w:hAnsi="Times New Roman"/>
        </w:rPr>
      </w:pPr>
      <w:r w:rsidRPr="000453AF">
        <w:rPr>
          <w:rFonts w:ascii="Times New Roman" w:hAnsi="Times New Roman"/>
        </w:rPr>
        <w:t xml:space="preserve">To confirm </w:t>
      </w:r>
      <w:r w:rsidR="004409A4">
        <w:rPr>
          <w:rFonts w:ascii="Times New Roman" w:hAnsi="Times New Roman"/>
        </w:rPr>
        <w:t xml:space="preserve">the </w:t>
      </w:r>
      <w:r w:rsidRPr="000453AF">
        <w:rPr>
          <w:rFonts w:ascii="Times New Roman" w:hAnsi="Times New Roman"/>
        </w:rPr>
        <w:t xml:space="preserve">drug </w:t>
      </w:r>
      <w:r w:rsidR="004409A4">
        <w:rPr>
          <w:rFonts w:ascii="Times New Roman" w:hAnsi="Times New Roman"/>
        </w:rPr>
        <w:t>potentiation</w:t>
      </w:r>
      <w:r w:rsidR="004409A4" w:rsidRPr="000453AF">
        <w:rPr>
          <w:rFonts w:ascii="Times New Roman" w:hAnsi="Times New Roman"/>
        </w:rPr>
        <w:t xml:space="preserve"> </w:t>
      </w:r>
      <w:r w:rsidRPr="000453AF">
        <w:rPr>
          <w:rFonts w:ascii="Times New Roman" w:hAnsi="Times New Roman"/>
        </w:rPr>
        <w:t xml:space="preserve">in HeLa cells, we calculated the combination index (CI) values </w:t>
      </w:r>
      <w:r w:rsidRPr="000453AF">
        <w:rPr>
          <w:rFonts w:ascii="Times New Roman" w:hAnsi="Times New Roman"/>
        </w:rPr>
        <w:fldChar w:fldCharType="begin" w:fldLock="1"/>
      </w:r>
      <w:r w:rsidR="00131813">
        <w:rPr>
          <w:rFonts w:ascii="Times New Roman" w:hAnsi="Times New Roman"/>
        </w:rPr>
        <w:instrText>ADDIN CSL_CITATION {"citationItems":[{"id":"ITEM-1","itemData":{"DOI":"10.3389/fphar.2019.01222","ISSN":"16639812","abstract":"Drug combination is a common method for clinical disease treatment. Whether the combination of drugs is reasonable often affects the result of the disease treatment. Many methods have been used to evaluate interaction between drugs to date. Isobologram analysis has been mathematically proven and widely used to evaluate drug interactions. In this paper, the principle of isobologram analysis and its application in drug interaction evaluation are summarized. The applications of the similar cotoxicity coefficient and fractional inhibitory concentration index in the evaluation of drug interaction are also reviewed. This work is expected to evaluate the effect of formulations scientifically and provide scientific judgment standards for the development of formulations and clinical drug compatibility.","author":[{"dropping-particle":"","family":"Huang","given":"Ruo Yue","non-dropping-particle":"","parse-names":false,"suffix":""},{"dropping-particle":"","family":"Pei","given":"Linlin","non-dropping-particle":"","parse-names":false,"suffix":""},{"dropping-particle":"","family":"Liu","given":"Quanjin","non-dropping-particle":"","parse-names":false,"suffix":""},{"dropping-particle":"","family":"Chen","given":"Shiqi","non-dropping-particle":"","parse-names":false,"suffix":""},{"dropping-particle":"","family":"Dou","given":"Haibo","non-dropping-particle":"","parse-names":false,"suffix":""},{"dropping-particle":"","family":"Shu","given":"Gang","non-dropping-particle":"","parse-names":false,"suffix":""},{"dropping-particle":"","family":"Yuan","given":"Zhi Xiang","non-dropping-particle":"","parse-names":false,"suffix":""},{"dropping-particle":"","family":"Lin","given":"Juchun","non-dropping-particle":"","parse-names":false,"suffix":""},{"dropping-particle":"","family":"Peng","given":"Guangneng","non-dropping-particle":"","parse-names":false,"suffix":""},{"dropping-particle":"","family":"Zhang","given":"Wei","non-dropping-particle":"","parse-names":false,"suffix":""},{"dropping-particle":"","family":"Fu","given":"Hualin","non-dropping-particle":"","parse-names":false,"suffix":""}],"container-title":"Frontiers in Pharmacology","id":"ITEM-1","issue":"OCT","issued":{"date-parts":[["2019"]]},"page":"1-12","title":"Isobologram analysis: A comprehensive review of methodology and current research","type":"article-journal","volume":"10"},"uris":["http://www.mendeley.com/documents/?uuid=2b330074-aa28-40e9-b050-c355afd26871"]}],"mendeley":{"formattedCitation":"[31]","plainTextFormattedCitation":"[31]","previouslyFormattedCitation":"[31]"},"properties":{"noteIndex":0},"schema":"https://github.com/citation-style-language/schema/raw/master/csl-citation.json"}</w:instrText>
      </w:r>
      <w:r w:rsidRPr="000453AF">
        <w:rPr>
          <w:rFonts w:ascii="Times New Roman" w:hAnsi="Times New Roman"/>
        </w:rPr>
        <w:fldChar w:fldCharType="separate"/>
      </w:r>
      <w:r w:rsidR="00066076" w:rsidRPr="00066076">
        <w:rPr>
          <w:rFonts w:ascii="Times New Roman" w:hAnsi="Times New Roman"/>
          <w:noProof/>
        </w:rPr>
        <w:t>[31]</w:t>
      </w:r>
      <w:r w:rsidRPr="000453AF">
        <w:rPr>
          <w:rFonts w:ascii="Times New Roman" w:hAnsi="Times New Roman"/>
        </w:rPr>
        <w:fldChar w:fldCharType="end"/>
      </w:r>
      <w:r w:rsidRPr="000453AF">
        <w:rPr>
          <w:rFonts w:ascii="Times New Roman" w:hAnsi="Times New Roman"/>
        </w:rPr>
        <w:t xml:space="preserve"> for combinations of 5 µM topotecan </w:t>
      </w:r>
      <w:r w:rsidR="004409A4">
        <w:rPr>
          <w:rFonts w:ascii="Times New Roman" w:hAnsi="Times New Roman"/>
        </w:rPr>
        <w:t>in conjunction with</w:t>
      </w:r>
      <w:r w:rsidR="004409A4" w:rsidRPr="000453AF">
        <w:rPr>
          <w:rFonts w:ascii="Times New Roman" w:hAnsi="Times New Roman"/>
        </w:rPr>
        <w:t xml:space="preserve"> </w:t>
      </w:r>
      <w:r w:rsidRPr="000453AF">
        <w:rPr>
          <w:rFonts w:ascii="Times New Roman" w:hAnsi="Times New Roman"/>
        </w:rPr>
        <w:t xml:space="preserve">5 </w:t>
      </w:r>
      <w:r w:rsidR="004409A4">
        <w:rPr>
          <w:rFonts w:ascii="Times New Roman" w:hAnsi="Times New Roman"/>
        </w:rPr>
        <w:t>or</w:t>
      </w:r>
      <w:r w:rsidR="004409A4" w:rsidRPr="000453AF">
        <w:rPr>
          <w:rFonts w:ascii="Times New Roman" w:hAnsi="Times New Roman"/>
        </w:rPr>
        <w:t xml:space="preserve"> </w:t>
      </w:r>
      <w:r w:rsidRPr="000453AF">
        <w:rPr>
          <w:rFonts w:ascii="Times New Roman" w:hAnsi="Times New Roman"/>
        </w:rPr>
        <w:t xml:space="preserve">20 µM </w:t>
      </w:r>
      <w:r w:rsidR="004409A4">
        <w:rPr>
          <w:rFonts w:ascii="Times New Roman" w:hAnsi="Times New Roman"/>
        </w:rPr>
        <w:t xml:space="preserve">for the </w:t>
      </w:r>
      <w:r w:rsidRPr="000453AF">
        <w:rPr>
          <w:rFonts w:ascii="Times New Roman" w:hAnsi="Times New Roman"/>
        </w:rPr>
        <w:t xml:space="preserve">TDP1 inhibitors. All </w:t>
      </w:r>
      <w:r w:rsidR="004409A4">
        <w:rPr>
          <w:rFonts w:ascii="Times New Roman" w:hAnsi="Times New Roman"/>
        </w:rPr>
        <w:t xml:space="preserve">the </w:t>
      </w:r>
      <w:r w:rsidRPr="000453AF">
        <w:rPr>
          <w:rFonts w:ascii="Times New Roman" w:hAnsi="Times New Roman"/>
        </w:rPr>
        <w:t>obtained values are less than one, which indicates a synergistic interaction of drugs (</w:t>
      </w:r>
      <w:r w:rsidRPr="000453AF">
        <w:rPr>
          <w:rFonts w:ascii="Times New Roman" w:hAnsi="Times New Roman"/>
          <w:b/>
        </w:rPr>
        <w:t>Table 2</w:t>
      </w:r>
      <w:r w:rsidRPr="000453AF">
        <w:rPr>
          <w:rFonts w:ascii="Times New Roman" w:hAnsi="Times New Roman"/>
        </w:rPr>
        <w:t>).</w:t>
      </w:r>
    </w:p>
    <w:p w14:paraId="7824A499" w14:textId="77777777" w:rsidR="00B33CEB" w:rsidRPr="000453AF" w:rsidRDefault="00B33CEB" w:rsidP="00483686">
      <w:pPr>
        <w:pStyle w:val="MDPI31text"/>
        <w:spacing w:before="60" w:after="60"/>
        <w:ind w:left="0"/>
        <w:rPr>
          <w:rFonts w:ascii="Times New Roman" w:hAnsi="Times New Roman"/>
        </w:rPr>
      </w:pPr>
    </w:p>
    <w:p w14:paraId="30CB7187" w14:textId="77777777" w:rsidR="00483686" w:rsidRPr="000453AF" w:rsidRDefault="00483686" w:rsidP="00483686">
      <w:pPr>
        <w:pStyle w:val="MDPI31text"/>
        <w:spacing w:before="60" w:after="60"/>
        <w:ind w:left="0"/>
        <w:rPr>
          <w:rFonts w:ascii="Times New Roman" w:hAnsi="Times New Roman"/>
        </w:rPr>
      </w:pPr>
      <w:r w:rsidRPr="000453AF">
        <w:rPr>
          <w:rFonts w:ascii="Times New Roman" w:hAnsi="Times New Roman"/>
          <w:b/>
        </w:rPr>
        <w:t>Table 2.</w:t>
      </w:r>
      <w:r w:rsidRPr="000453AF">
        <w:rPr>
          <w:rFonts w:ascii="Times New Roman" w:hAnsi="Times New Roman"/>
        </w:rPr>
        <w:t xml:space="preserve"> Combination index (CI) value</w:t>
      </w:r>
      <w:r w:rsidR="00CF0B3B">
        <w:rPr>
          <w:rFonts w:ascii="Times New Roman" w:hAnsi="Times New Roman"/>
        </w:rPr>
        <w:t>s for topotecan and thiazolidin</w:t>
      </w:r>
      <w:r w:rsidRPr="000453AF">
        <w:rPr>
          <w:rFonts w:ascii="Times New Roman" w:hAnsi="Times New Roman"/>
        </w:rPr>
        <w:t>-4-one derivatives combinations</w:t>
      </w:r>
    </w:p>
    <w:tbl>
      <w:tblPr>
        <w:tblStyle w:val="TableGrid"/>
        <w:tblW w:w="7938" w:type="dxa"/>
        <w:tblInd w:w="108" w:type="dxa"/>
        <w:tblLook w:val="04A0" w:firstRow="1" w:lastRow="0" w:firstColumn="1" w:lastColumn="0" w:noHBand="0" w:noVBand="1"/>
      </w:tblPr>
      <w:tblGrid>
        <w:gridCol w:w="4678"/>
        <w:gridCol w:w="1630"/>
        <w:gridCol w:w="1630"/>
      </w:tblGrid>
      <w:tr w:rsidR="00483686" w:rsidRPr="000453AF" w14:paraId="35933421" w14:textId="77777777" w:rsidTr="00767A38">
        <w:tc>
          <w:tcPr>
            <w:tcW w:w="4678" w:type="dxa"/>
            <w:tcBorders>
              <w:top w:val="single" w:sz="4" w:space="0" w:color="auto"/>
              <w:left w:val="single" w:sz="4" w:space="0" w:color="auto"/>
              <w:bottom w:val="single" w:sz="4" w:space="0" w:color="auto"/>
              <w:right w:val="single" w:sz="4" w:space="0" w:color="auto"/>
            </w:tcBorders>
            <w:vAlign w:val="center"/>
            <w:hideMark/>
          </w:tcPr>
          <w:p w14:paraId="07CF09E9" w14:textId="77777777" w:rsidR="00483686" w:rsidRPr="000453AF" w:rsidRDefault="00483686" w:rsidP="00B33CEB">
            <w:pPr>
              <w:pStyle w:val="MDPI31text"/>
              <w:ind w:left="0" w:firstLine="0"/>
              <w:jc w:val="center"/>
              <w:rPr>
                <w:rFonts w:ascii="Times New Roman" w:hAnsi="Times New Roman" w:cs="Times New Roman"/>
              </w:rPr>
            </w:pPr>
            <w:r w:rsidRPr="000453AF">
              <w:rPr>
                <w:rFonts w:ascii="Times New Roman" w:hAnsi="Times New Roman" w:cs="Times New Roman"/>
              </w:rPr>
              <w:t xml:space="preserve">Compound </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CBBD629" w14:textId="77777777" w:rsidR="00483686" w:rsidRPr="000453AF" w:rsidRDefault="00B33CEB" w:rsidP="00483686">
            <w:pPr>
              <w:pStyle w:val="MDPI31text"/>
              <w:ind w:left="0" w:firstLine="0"/>
              <w:jc w:val="center"/>
              <w:rPr>
                <w:rFonts w:ascii="Times New Roman" w:hAnsi="Times New Roman" w:cs="Times New Roman"/>
                <w:lang w:val="ru-RU"/>
              </w:rPr>
            </w:pPr>
            <w:r>
              <w:rPr>
                <w:rFonts w:ascii="Times New Roman" w:hAnsi="Times New Roman" w:cs="Times New Roman"/>
              </w:rPr>
              <w:t xml:space="preserve">CI at </w:t>
            </w:r>
            <w:r w:rsidR="00483686" w:rsidRPr="000453AF">
              <w:rPr>
                <w:rFonts w:ascii="Times New Roman" w:hAnsi="Times New Roman" w:cs="Times New Roman"/>
              </w:rPr>
              <w:t>5</w:t>
            </w:r>
            <w:r w:rsidR="00483686" w:rsidRPr="000453AF">
              <w:rPr>
                <w:rFonts w:ascii="Times New Roman" w:hAnsi="Times New Roman" w:cs="Times New Roman"/>
                <w:lang w:val="ru-RU"/>
              </w:rPr>
              <w:t xml:space="preserve"> </w:t>
            </w:r>
            <w:r w:rsidRPr="00672DDC">
              <w:rPr>
                <w:rFonts w:ascii="Times New Roman" w:hAnsi="Times New Roman"/>
                <w:szCs w:val="20"/>
              </w:rPr>
              <w:t>µM</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D13A44F" w14:textId="77777777" w:rsidR="00483686" w:rsidRPr="000453AF" w:rsidRDefault="00B33CEB" w:rsidP="00483686">
            <w:pPr>
              <w:pStyle w:val="MDPI31text"/>
              <w:ind w:left="0" w:firstLine="0"/>
              <w:jc w:val="center"/>
              <w:rPr>
                <w:rFonts w:ascii="Times New Roman" w:hAnsi="Times New Roman" w:cs="Times New Roman"/>
              </w:rPr>
            </w:pPr>
            <w:r>
              <w:rPr>
                <w:rFonts w:ascii="Times New Roman" w:hAnsi="Times New Roman" w:cs="Times New Roman"/>
              </w:rPr>
              <w:t xml:space="preserve">CI at </w:t>
            </w:r>
            <w:r w:rsidR="00483686" w:rsidRPr="000453AF">
              <w:rPr>
                <w:rFonts w:ascii="Times New Roman" w:hAnsi="Times New Roman" w:cs="Times New Roman"/>
              </w:rPr>
              <w:t>20</w:t>
            </w:r>
            <w:r w:rsidRPr="00C833D8">
              <w:rPr>
                <w:rFonts w:ascii="Times New Roman" w:hAnsi="Times New Roman" w:cs="Times New Roman"/>
                <w:szCs w:val="20"/>
              </w:rPr>
              <w:t xml:space="preserve"> µM</w:t>
            </w:r>
          </w:p>
        </w:tc>
      </w:tr>
      <w:tr w:rsidR="00483686" w:rsidRPr="000453AF" w14:paraId="38D04B4B" w14:textId="77777777" w:rsidTr="00767A38">
        <w:tc>
          <w:tcPr>
            <w:tcW w:w="4678" w:type="dxa"/>
            <w:tcBorders>
              <w:top w:val="single" w:sz="4" w:space="0" w:color="auto"/>
              <w:left w:val="single" w:sz="4" w:space="0" w:color="auto"/>
              <w:bottom w:val="single" w:sz="4" w:space="0" w:color="auto"/>
              <w:right w:val="single" w:sz="4" w:space="0" w:color="auto"/>
            </w:tcBorders>
            <w:vAlign w:val="center"/>
            <w:hideMark/>
          </w:tcPr>
          <w:p w14:paraId="6B43B020" w14:textId="77777777" w:rsidR="00483686" w:rsidRPr="000453AF" w:rsidRDefault="00483686" w:rsidP="00483686">
            <w:pPr>
              <w:pStyle w:val="MDPI31text"/>
              <w:ind w:left="0" w:firstLine="0"/>
              <w:jc w:val="center"/>
              <w:rPr>
                <w:rFonts w:ascii="Times New Roman" w:hAnsi="Times New Roman" w:cs="Times New Roman"/>
                <w:b/>
              </w:rPr>
            </w:pPr>
            <w:r w:rsidRPr="000453AF">
              <w:rPr>
                <w:rFonts w:ascii="Times New Roman" w:hAnsi="Times New Roman" w:cs="Times New Roman"/>
                <w:b/>
              </w:rPr>
              <w:t>15a</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EC8A92C" w14:textId="77777777" w:rsidR="00483686" w:rsidRPr="000453AF" w:rsidRDefault="00182C16" w:rsidP="00483686">
            <w:pPr>
              <w:pStyle w:val="MDPI31text"/>
              <w:ind w:left="0" w:firstLine="0"/>
              <w:jc w:val="center"/>
              <w:rPr>
                <w:rFonts w:ascii="Times New Roman" w:hAnsi="Times New Roman" w:cs="Times New Roman"/>
              </w:rPr>
            </w:pPr>
            <w:r>
              <w:rPr>
                <w:rFonts w:ascii="Times New Roman" w:hAnsi="Times New Roman" w:cs="Times New Roman"/>
              </w:rPr>
              <w:t>0.51</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30EC60B" w14:textId="77777777" w:rsidR="00483686" w:rsidRPr="000453AF" w:rsidRDefault="00182C16" w:rsidP="00483686">
            <w:pPr>
              <w:pStyle w:val="MDPI31text"/>
              <w:ind w:left="0" w:firstLine="0"/>
              <w:jc w:val="center"/>
              <w:rPr>
                <w:rFonts w:ascii="Times New Roman" w:hAnsi="Times New Roman" w:cs="Times New Roman"/>
              </w:rPr>
            </w:pPr>
            <w:r>
              <w:rPr>
                <w:rFonts w:ascii="Times New Roman" w:hAnsi="Times New Roman" w:cs="Times New Roman"/>
              </w:rPr>
              <w:t>0.29</w:t>
            </w:r>
          </w:p>
        </w:tc>
      </w:tr>
      <w:tr w:rsidR="00483686" w:rsidRPr="000453AF" w14:paraId="24CB3F4E" w14:textId="77777777" w:rsidTr="00767A38">
        <w:tc>
          <w:tcPr>
            <w:tcW w:w="4678" w:type="dxa"/>
            <w:tcBorders>
              <w:top w:val="single" w:sz="4" w:space="0" w:color="auto"/>
              <w:left w:val="single" w:sz="4" w:space="0" w:color="auto"/>
              <w:bottom w:val="single" w:sz="4" w:space="0" w:color="auto"/>
              <w:right w:val="single" w:sz="4" w:space="0" w:color="auto"/>
            </w:tcBorders>
            <w:vAlign w:val="center"/>
            <w:hideMark/>
          </w:tcPr>
          <w:p w14:paraId="29E55809" w14:textId="77777777" w:rsidR="00483686" w:rsidRPr="000453AF" w:rsidRDefault="00483686" w:rsidP="00483686">
            <w:pPr>
              <w:pStyle w:val="MDPI31text"/>
              <w:ind w:left="0" w:firstLine="0"/>
              <w:jc w:val="center"/>
              <w:rPr>
                <w:rFonts w:ascii="Times New Roman" w:hAnsi="Times New Roman" w:cs="Times New Roman"/>
                <w:b/>
              </w:rPr>
            </w:pPr>
            <w:r w:rsidRPr="000453AF">
              <w:rPr>
                <w:rFonts w:ascii="Times New Roman" w:hAnsi="Times New Roman" w:cs="Times New Roman"/>
                <w:b/>
              </w:rPr>
              <w:t>15b</w:t>
            </w:r>
          </w:p>
        </w:tc>
        <w:tc>
          <w:tcPr>
            <w:tcW w:w="1630" w:type="dxa"/>
            <w:tcBorders>
              <w:top w:val="single" w:sz="4" w:space="0" w:color="auto"/>
              <w:left w:val="single" w:sz="4" w:space="0" w:color="auto"/>
              <w:bottom w:val="single" w:sz="4" w:space="0" w:color="auto"/>
              <w:right w:val="single" w:sz="4" w:space="0" w:color="auto"/>
            </w:tcBorders>
            <w:vAlign w:val="center"/>
            <w:hideMark/>
          </w:tcPr>
          <w:p w14:paraId="5E6F184D" w14:textId="77777777" w:rsidR="00483686" w:rsidRPr="000453AF" w:rsidRDefault="00483686" w:rsidP="00483686">
            <w:pPr>
              <w:pStyle w:val="MDPI31text"/>
              <w:ind w:left="0" w:firstLine="0"/>
              <w:jc w:val="center"/>
              <w:rPr>
                <w:rFonts w:ascii="Times New Roman" w:hAnsi="Times New Roman" w:cs="Times New Roman"/>
              </w:rPr>
            </w:pPr>
            <w:proofErr w:type="spellStart"/>
            <w:r w:rsidRPr="000453AF">
              <w:rPr>
                <w:rFonts w:ascii="Times New Roman" w:hAnsi="Times New Roman" w:cs="Times New Roman"/>
              </w:rPr>
              <w:t>nd</w:t>
            </w:r>
            <w:proofErr w:type="spellEnd"/>
            <w:r w:rsidRPr="000453AF">
              <w:rPr>
                <w:rFonts w:ascii="Times New Roman" w:hAnsi="Times New Roman" w:cs="Times New Roman"/>
              </w:rPr>
              <w:t>*</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704234D" w14:textId="77777777" w:rsidR="00483686" w:rsidRPr="000453AF" w:rsidRDefault="00182C16" w:rsidP="00483686">
            <w:pPr>
              <w:pStyle w:val="MDPI31text"/>
              <w:ind w:left="0" w:firstLine="0"/>
              <w:jc w:val="center"/>
              <w:rPr>
                <w:rFonts w:ascii="Times New Roman" w:hAnsi="Times New Roman" w:cs="Times New Roman"/>
              </w:rPr>
            </w:pPr>
            <w:r>
              <w:rPr>
                <w:rFonts w:ascii="Times New Roman" w:hAnsi="Times New Roman" w:cs="Times New Roman"/>
              </w:rPr>
              <w:t>0.13</w:t>
            </w:r>
          </w:p>
        </w:tc>
      </w:tr>
      <w:tr w:rsidR="00483686" w:rsidRPr="000453AF" w14:paraId="3FE89736" w14:textId="77777777" w:rsidTr="00767A38">
        <w:tc>
          <w:tcPr>
            <w:tcW w:w="4678" w:type="dxa"/>
            <w:tcBorders>
              <w:top w:val="single" w:sz="4" w:space="0" w:color="auto"/>
              <w:left w:val="single" w:sz="4" w:space="0" w:color="auto"/>
              <w:bottom w:val="single" w:sz="4" w:space="0" w:color="auto"/>
              <w:right w:val="single" w:sz="4" w:space="0" w:color="auto"/>
            </w:tcBorders>
            <w:vAlign w:val="center"/>
            <w:hideMark/>
          </w:tcPr>
          <w:p w14:paraId="24485041" w14:textId="77777777" w:rsidR="00483686" w:rsidRPr="000453AF" w:rsidRDefault="00483686" w:rsidP="00483686">
            <w:pPr>
              <w:pStyle w:val="MDPI31text"/>
              <w:ind w:left="0" w:firstLine="0"/>
              <w:jc w:val="center"/>
              <w:rPr>
                <w:rFonts w:ascii="Times New Roman" w:hAnsi="Times New Roman" w:cs="Times New Roman"/>
                <w:b/>
              </w:rPr>
            </w:pPr>
            <w:r w:rsidRPr="000453AF">
              <w:rPr>
                <w:rFonts w:ascii="Times New Roman" w:hAnsi="Times New Roman" w:cs="Times New Roman"/>
                <w:b/>
              </w:rPr>
              <w:t>15d</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53B9AF1" w14:textId="77777777" w:rsidR="00483686" w:rsidRPr="000453AF" w:rsidRDefault="00483686" w:rsidP="00483686">
            <w:pPr>
              <w:pStyle w:val="MDPI31text"/>
              <w:ind w:left="0" w:firstLine="0"/>
              <w:jc w:val="center"/>
              <w:rPr>
                <w:rFonts w:ascii="Times New Roman" w:hAnsi="Times New Roman" w:cs="Times New Roman"/>
              </w:rPr>
            </w:pPr>
            <w:proofErr w:type="spellStart"/>
            <w:r w:rsidRPr="000453AF">
              <w:rPr>
                <w:rFonts w:ascii="Times New Roman" w:hAnsi="Times New Roman" w:cs="Times New Roman"/>
              </w:rPr>
              <w:t>nd</w:t>
            </w:r>
            <w:proofErr w:type="spellEnd"/>
            <w:r w:rsidRPr="000453AF">
              <w:rPr>
                <w:rFonts w:ascii="Times New Roman" w:hAnsi="Times New Roman" w:cs="Times New Roman"/>
              </w:rPr>
              <w:t>*</w:t>
            </w:r>
          </w:p>
        </w:tc>
        <w:tc>
          <w:tcPr>
            <w:tcW w:w="1630" w:type="dxa"/>
            <w:tcBorders>
              <w:top w:val="single" w:sz="4" w:space="0" w:color="auto"/>
              <w:left w:val="single" w:sz="4" w:space="0" w:color="auto"/>
              <w:bottom w:val="single" w:sz="4" w:space="0" w:color="auto"/>
              <w:right w:val="single" w:sz="4" w:space="0" w:color="auto"/>
            </w:tcBorders>
            <w:vAlign w:val="center"/>
            <w:hideMark/>
          </w:tcPr>
          <w:p w14:paraId="5AB3D469" w14:textId="77777777" w:rsidR="00483686" w:rsidRPr="000453AF" w:rsidRDefault="00182C16" w:rsidP="00483686">
            <w:pPr>
              <w:pStyle w:val="MDPI31text"/>
              <w:ind w:left="0" w:firstLine="0"/>
              <w:jc w:val="center"/>
              <w:rPr>
                <w:rFonts w:ascii="Times New Roman" w:hAnsi="Times New Roman" w:cs="Times New Roman"/>
              </w:rPr>
            </w:pPr>
            <w:r>
              <w:rPr>
                <w:rFonts w:ascii="Times New Roman" w:hAnsi="Times New Roman" w:cs="Times New Roman"/>
              </w:rPr>
              <w:t>0.21</w:t>
            </w:r>
          </w:p>
        </w:tc>
      </w:tr>
      <w:tr w:rsidR="00483686" w:rsidRPr="000453AF" w14:paraId="4B6F48C7" w14:textId="77777777" w:rsidTr="00767A38">
        <w:tc>
          <w:tcPr>
            <w:tcW w:w="4678" w:type="dxa"/>
            <w:tcBorders>
              <w:top w:val="single" w:sz="4" w:space="0" w:color="auto"/>
              <w:left w:val="single" w:sz="4" w:space="0" w:color="auto"/>
              <w:bottom w:val="single" w:sz="4" w:space="0" w:color="auto"/>
              <w:right w:val="single" w:sz="4" w:space="0" w:color="auto"/>
            </w:tcBorders>
            <w:vAlign w:val="center"/>
            <w:hideMark/>
          </w:tcPr>
          <w:p w14:paraId="58FDCF01" w14:textId="77777777" w:rsidR="00483686" w:rsidRPr="000453AF" w:rsidRDefault="00483686" w:rsidP="00483686">
            <w:pPr>
              <w:pStyle w:val="MDPI31text"/>
              <w:ind w:left="0" w:firstLine="0"/>
              <w:jc w:val="center"/>
              <w:rPr>
                <w:rFonts w:ascii="Times New Roman" w:hAnsi="Times New Roman" w:cs="Times New Roman"/>
                <w:b/>
              </w:rPr>
            </w:pPr>
            <w:r w:rsidRPr="000453AF">
              <w:rPr>
                <w:rFonts w:ascii="Times New Roman" w:hAnsi="Times New Roman" w:cs="Times New Roman"/>
                <w:b/>
              </w:rPr>
              <w:t>15e</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BFB31C8" w14:textId="77777777" w:rsidR="00483686" w:rsidRPr="000453AF" w:rsidRDefault="00182C16" w:rsidP="00483686">
            <w:pPr>
              <w:pStyle w:val="MDPI31text"/>
              <w:ind w:left="0" w:firstLine="0"/>
              <w:jc w:val="center"/>
              <w:rPr>
                <w:rFonts w:ascii="Times New Roman" w:hAnsi="Times New Roman" w:cs="Times New Roman"/>
              </w:rPr>
            </w:pPr>
            <w:r>
              <w:rPr>
                <w:rFonts w:ascii="Times New Roman" w:hAnsi="Times New Roman" w:cs="Times New Roman"/>
              </w:rPr>
              <w:t>0.32</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EB18606" w14:textId="77777777" w:rsidR="00483686" w:rsidRPr="000453AF" w:rsidRDefault="00182C16" w:rsidP="00483686">
            <w:pPr>
              <w:pStyle w:val="MDPI31text"/>
              <w:ind w:left="0" w:firstLine="0"/>
              <w:jc w:val="center"/>
              <w:rPr>
                <w:rFonts w:ascii="Times New Roman" w:hAnsi="Times New Roman" w:cs="Times New Roman"/>
              </w:rPr>
            </w:pPr>
            <w:r>
              <w:rPr>
                <w:rFonts w:ascii="Times New Roman" w:hAnsi="Times New Roman" w:cs="Times New Roman"/>
              </w:rPr>
              <w:t>0.21</w:t>
            </w:r>
          </w:p>
        </w:tc>
      </w:tr>
      <w:tr w:rsidR="00483686" w:rsidRPr="000453AF" w14:paraId="686F0576" w14:textId="77777777" w:rsidTr="00767A38">
        <w:tc>
          <w:tcPr>
            <w:tcW w:w="4678" w:type="dxa"/>
            <w:tcBorders>
              <w:top w:val="single" w:sz="4" w:space="0" w:color="auto"/>
              <w:left w:val="single" w:sz="4" w:space="0" w:color="auto"/>
              <w:bottom w:val="single" w:sz="4" w:space="0" w:color="auto"/>
              <w:right w:val="single" w:sz="4" w:space="0" w:color="auto"/>
            </w:tcBorders>
            <w:vAlign w:val="center"/>
            <w:hideMark/>
          </w:tcPr>
          <w:p w14:paraId="0747E7C4" w14:textId="77777777" w:rsidR="00483686" w:rsidRPr="000453AF" w:rsidRDefault="00483686" w:rsidP="00483686">
            <w:pPr>
              <w:pStyle w:val="MDPI31text"/>
              <w:ind w:left="0" w:firstLine="0"/>
              <w:jc w:val="center"/>
              <w:rPr>
                <w:rFonts w:ascii="Times New Roman" w:hAnsi="Times New Roman" w:cs="Times New Roman"/>
                <w:b/>
              </w:rPr>
            </w:pPr>
            <w:r w:rsidRPr="000453AF">
              <w:rPr>
                <w:rFonts w:ascii="Times New Roman" w:hAnsi="Times New Roman" w:cs="Times New Roman"/>
                <w:b/>
              </w:rPr>
              <w:t>15f</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C930C23" w14:textId="77777777" w:rsidR="00483686" w:rsidRPr="000453AF" w:rsidRDefault="00182C16" w:rsidP="00483686">
            <w:pPr>
              <w:pStyle w:val="MDPI31text"/>
              <w:ind w:left="0" w:firstLine="0"/>
              <w:jc w:val="center"/>
              <w:rPr>
                <w:rFonts w:ascii="Times New Roman" w:hAnsi="Times New Roman" w:cs="Times New Roman"/>
              </w:rPr>
            </w:pPr>
            <w:r>
              <w:rPr>
                <w:rFonts w:ascii="Times New Roman" w:hAnsi="Times New Roman" w:cs="Times New Roman"/>
              </w:rPr>
              <w:t>0.25</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04594EC" w14:textId="77777777" w:rsidR="00483686" w:rsidRPr="000453AF" w:rsidRDefault="00483686" w:rsidP="00182C16">
            <w:pPr>
              <w:pStyle w:val="MDPI31text"/>
              <w:ind w:left="0" w:firstLine="0"/>
              <w:jc w:val="center"/>
              <w:rPr>
                <w:rFonts w:ascii="Times New Roman" w:hAnsi="Times New Roman" w:cs="Times New Roman"/>
              </w:rPr>
            </w:pPr>
            <w:r w:rsidRPr="000453AF">
              <w:rPr>
                <w:rFonts w:ascii="Times New Roman" w:hAnsi="Times New Roman" w:cs="Times New Roman"/>
              </w:rPr>
              <w:t>0.1</w:t>
            </w:r>
            <w:r w:rsidR="00182C16">
              <w:rPr>
                <w:rFonts w:ascii="Times New Roman" w:hAnsi="Times New Roman" w:cs="Times New Roman"/>
                <w:lang w:val="ru-RU"/>
              </w:rPr>
              <w:t>6</w:t>
            </w:r>
          </w:p>
        </w:tc>
      </w:tr>
    </w:tbl>
    <w:p w14:paraId="06317702" w14:textId="77777777" w:rsidR="00483686" w:rsidRPr="000453AF" w:rsidRDefault="00483686" w:rsidP="00750877">
      <w:pPr>
        <w:pStyle w:val="MDPI31text"/>
        <w:ind w:left="0" w:firstLine="0"/>
        <w:rPr>
          <w:rFonts w:ascii="Times New Roman" w:hAnsi="Times New Roman"/>
        </w:rPr>
      </w:pPr>
      <w:r w:rsidRPr="000453AF">
        <w:rPr>
          <w:rFonts w:ascii="Times New Roman" w:hAnsi="Times New Roman"/>
        </w:rPr>
        <w:t>*</w:t>
      </w:r>
      <w:proofErr w:type="gramStart"/>
      <w:r w:rsidRPr="000453AF">
        <w:rPr>
          <w:rFonts w:ascii="Times New Roman" w:hAnsi="Times New Roman"/>
        </w:rPr>
        <w:t>not</w:t>
      </w:r>
      <w:proofErr w:type="gramEnd"/>
      <w:r w:rsidRPr="000453AF">
        <w:rPr>
          <w:rFonts w:ascii="Times New Roman" w:hAnsi="Times New Roman"/>
        </w:rPr>
        <w:t xml:space="preserve"> determined</w:t>
      </w:r>
    </w:p>
    <w:p w14:paraId="32AF33DC" w14:textId="77777777" w:rsidR="00483686" w:rsidRDefault="00483686" w:rsidP="00767A38">
      <w:pPr>
        <w:pStyle w:val="MDPI31text"/>
        <w:ind w:left="0" w:firstLine="0"/>
        <w:rPr>
          <w:rFonts w:ascii="Times New Roman" w:hAnsi="Times New Roman"/>
        </w:rPr>
      </w:pPr>
    </w:p>
    <w:p w14:paraId="0665583E" w14:textId="12DD2B58" w:rsidR="00483686" w:rsidRPr="00767A38" w:rsidRDefault="004409A4" w:rsidP="00974AB1">
      <w:pPr>
        <w:pStyle w:val="MDPI31text"/>
        <w:spacing w:before="60" w:after="60"/>
        <w:ind w:left="0"/>
        <w:rPr>
          <w:rFonts w:ascii="Times New Roman" w:hAnsi="Times New Roman"/>
        </w:rPr>
      </w:pPr>
      <w:r>
        <w:rPr>
          <w:rFonts w:ascii="Times New Roman" w:eastAsia="Palatino Linotype" w:hAnsi="Times New Roman"/>
        </w:rPr>
        <w:t>The t</w:t>
      </w:r>
      <w:r w:rsidR="00483686" w:rsidRPr="00767A38">
        <w:rPr>
          <w:rFonts w:ascii="Times New Roman" w:eastAsia="Palatino Linotype" w:hAnsi="Times New Roman"/>
        </w:rPr>
        <w:t>hirteen thiazolidin-4-one derivatives</w:t>
      </w:r>
      <w:r>
        <w:rPr>
          <w:rFonts w:ascii="Times New Roman" w:eastAsia="Palatino Linotype" w:hAnsi="Times New Roman"/>
        </w:rPr>
        <w:t xml:space="preserve"> shown in Table 1</w:t>
      </w:r>
      <w:r w:rsidR="00483686" w:rsidRPr="00767A38">
        <w:rPr>
          <w:rFonts w:ascii="Times New Roman" w:eastAsia="Palatino Linotype" w:hAnsi="Times New Roman"/>
        </w:rPr>
        <w:t xml:space="preserve"> are either enantiomers or </w:t>
      </w:r>
      <w:r w:rsidR="00483686" w:rsidRPr="00767A38">
        <w:rPr>
          <w:rFonts w:ascii="Times New Roman" w:hAnsi="Times New Roman"/>
        </w:rPr>
        <w:t xml:space="preserve">diastereomers. Six have two chiral centers </w:t>
      </w:r>
      <w:r w:rsidR="00483686" w:rsidRPr="004409A4">
        <w:rPr>
          <w:rFonts w:ascii="Times New Roman" w:hAnsi="Times New Roman"/>
        </w:rPr>
        <w:t>(</w:t>
      </w:r>
      <w:r w:rsidR="00483686" w:rsidRPr="00767A38">
        <w:rPr>
          <w:rFonts w:ascii="Times New Roman" w:hAnsi="Times New Roman"/>
          <w:b/>
        </w:rPr>
        <w:t>15a</w:t>
      </w:r>
      <w:r w:rsidR="00483686" w:rsidRPr="00767A38">
        <w:rPr>
          <w:rFonts w:ascii="Times New Roman" w:hAnsi="Times New Roman"/>
        </w:rPr>
        <w:t xml:space="preserve">, </w:t>
      </w:r>
      <w:r w:rsidR="00483686" w:rsidRPr="00767A38">
        <w:rPr>
          <w:rFonts w:ascii="Times New Roman" w:hAnsi="Times New Roman"/>
          <w:b/>
        </w:rPr>
        <w:t>15c</w:t>
      </w:r>
      <w:r w:rsidR="00483686" w:rsidRPr="00767A38">
        <w:rPr>
          <w:rFonts w:ascii="Times New Roman" w:hAnsi="Times New Roman"/>
        </w:rPr>
        <w:t xml:space="preserve">, </w:t>
      </w:r>
      <w:r w:rsidR="00483686" w:rsidRPr="00767A38">
        <w:rPr>
          <w:rFonts w:ascii="Times New Roman" w:hAnsi="Times New Roman"/>
          <w:b/>
        </w:rPr>
        <w:t>15f</w:t>
      </w:r>
      <w:r w:rsidR="00483686" w:rsidRPr="00767A38">
        <w:rPr>
          <w:rFonts w:ascii="Times New Roman" w:hAnsi="Times New Roman"/>
        </w:rPr>
        <w:t xml:space="preserve">, </w:t>
      </w:r>
      <w:r w:rsidR="00483686" w:rsidRPr="00767A38">
        <w:rPr>
          <w:rFonts w:ascii="Times New Roman" w:hAnsi="Times New Roman"/>
          <w:b/>
        </w:rPr>
        <w:t>16a</w:t>
      </w:r>
      <w:r w:rsidR="00483686" w:rsidRPr="00767A38">
        <w:rPr>
          <w:rFonts w:ascii="Times New Roman" w:hAnsi="Times New Roman"/>
        </w:rPr>
        <w:t xml:space="preserve">, </w:t>
      </w:r>
      <w:r w:rsidR="00483686" w:rsidRPr="00767A38">
        <w:rPr>
          <w:rFonts w:ascii="Times New Roman" w:hAnsi="Times New Roman"/>
          <w:b/>
        </w:rPr>
        <w:t>16b</w:t>
      </w:r>
      <w:r w:rsidR="00483686" w:rsidRPr="00767A38">
        <w:rPr>
          <w:rFonts w:ascii="Times New Roman" w:hAnsi="Times New Roman"/>
        </w:rPr>
        <w:t xml:space="preserve"> and </w:t>
      </w:r>
      <w:r w:rsidR="00483686" w:rsidRPr="00767A38">
        <w:rPr>
          <w:rFonts w:ascii="Times New Roman" w:hAnsi="Times New Roman"/>
          <w:b/>
        </w:rPr>
        <w:t>16e</w:t>
      </w:r>
      <w:r w:rsidR="00483686" w:rsidRPr="00767A38">
        <w:rPr>
          <w:rFonts w:ascii="Times New Roman" w:hAnsi="Times New Roman"/>
        </w:rPr>
        <w:t>) and seven have one (</w:t>
      </w:r>
      <w:r w:rsidR="00483686" w:rsidRPr="00767A38">
        <w:rPr>
          <w:rFonts w:ascii="Times New Roman" w:hAnsi="Times New Roman"/>
          <w:b/>
        </w:rPr>
        <w:t>15b</w:t>
      </w:r>
      <w:r w:rsidR="00483686" w:rsidRPr="00767A38">
        <w:rPr>
          <w:rFonts w:ascii="Times New Roman" w:hAnsi="Times New Roman"/>
        </w:rPr>
        <w:t xml:space="preserve">, </w:t>
      </w:r>
      <w:r w:rsidR="00483686" w:rsidRPr="00767A38">
        <w:rPr>
          <w:rFonts w:ascii="Times New Roman" w:hAnsi="Times New Roman"/>
          <w:b/>
        </w:rPr>
        <w:t>15d</w:t>
      </w:r>
      <w:r w:rsidR="00483686" w:rsidRPr="00767A38">
        <w:rPr>
          <w:rFonts w:ascii="Times New Roman" w:hAnsi="Times New Roman"/>
        </w:rPr>
        <w:t xml:space="preserve">, </w:t>
      </w:r>
      <w:r w:rsidR="00483686" w:rsidRPr="00767A38">
        <w:rPr>
          <w:rFonts w:ascii="Times New Roman" w:hAnsi="Times New Roman"/>
          <w:b/>
        </w:rPr>
        <w:t>15e</w:t>
      </w:r>
      <w:r w:rsidR="00483686" w:rsidRPr="00767A38">
        <w:rPr>
          <w:rFonts w:ascii="Times New Roman" w:hAnsi="Times New Roman"/>
        </w:rPr>
        <w:t xml:space="preserve">, </w:t>
      </w:r>
      <w:r w:rsidR="00483686" w:rsidRPr="00767A38">
        <w:rPr>
          <w:rFonts w:ascii="Times New Roman" w:hAnsi="Times New Roman"/>
          <w:b/>
        </w:rPr>
        <w:t>15g</w:t>
      </w:r>
      <w:r w:rsidR="00483686" w:rsidRPr="00767A38">
        <w:rPr>
          <w:rFonts w:ascii="Times New Roman" w:hAnsi="Times New Roman"/>
        </w:rPr>
        <w:t xml:space="preserve">, </w:t>
      </w:r>
      <w:r w:rsidR="00483686" w:rsidRPr="00767A38">
        <w:rPr>
          <w:rFonts w:ascii="Times New Roman" w:hAnsi="Times New Roman"/>
          <w:b/>
        </w:rPr>
        <w:t>16h</w:t>
      </w:r>
      <w:r w:rsidR="00483686" w:rsidRPr="00767A38">
        <w:rPr>
          <w:rFonts w:ascii="Times New Roman" w:hAnsi="Times New Roman"/>
        </w:rPr>
        <w:t xml:space="preserve">, </w:t>
      </w:r>
      <w:r w:rsidR="00483686" w:rsidRPr="00767A38">
        <w:rPr>
          <w:rFonts w:ascii="Times New Roman" w:hAnsi="Times New Roman"/>
          <w:b/>
        </w:rPr>
        <w:t>16c</w:t>
      </w:r>
      <w:r w:rsidR="00483686" w:rsidRPr="00767A38">
        <w:rPr>
          <w:rFonts w:ascii="Times New Roman" w:hAnsi="Times New Roman"/>
        </w:rPr>
        <w:t xml:space="preserve"> and </w:t>
      </w:r>
      <w:r w:rsidR="00483686" w:rsidRPr="00767A38">
        <w:rPr>
          <w:rFonts w:ascii="Times New Roman" w:hAnsi="Times New Roman"/>
          <w:b/>
        </w:rPr>
        <w:t>16d</w:t>
      </w:r>
      <w:r w:rsidR="00483686" w:rsidRPr="00767A38">
        <w:rPr>
          <w:rFonts w:ascii="Times New Roman" w:hAnsi="Times New Roman"/>
        </w:rPr>
        <w:t>) resulting in 38 distinct chemical structures</w:t>
      </w:r>
      <w:r w:rsidR="006F2D82">
        <w:rPr>
          <w:rFonts w:ascii="Times New Roman" w:hAnsi="Times New Roman"/>
        </w:rPr>
        <w:t xml:space="preserve">. </w:t>
      </w:r>
      <w:r w:rsidR="006F2D82" w:rsidRPr="00974AB1">
        <w:rPr>
          <w:rFonts w:ascii="Times New Roman" w:hAnsi="Times New Roman"/>
          <w:highlight w:val="yellow"/>
        </w:rPr>
        <w:t xml:space="preserve">The chiral center on the </w:t>
      </w:r>
      <w:r w:rsidR="006F2D82" w:rsidRPr="00974AB1">
        <w:rPr>
          <w:rFonts w:ascii="Times New Roman" w:hAnsi="Times New Roman"/>
          <w:color w:val="201F1E"/>
          <w:szCs w:val="20"/>
          <w:highlight w:val="yellow"/>
          <w:shd w:val="clear" w:color="auto" w:fill="FFFFFF"/>
        </w:rPr>
        <w:t xml:space="preserve">thiazolidin-4-one ring </w:t>
      </w:r>
      <w:r w:rsidR="008700F3">
        <w:rPr>
          <w:rFonts w:ascii="Times New Roman" w:hAnsi="Times New Roman"/>
          <w:color w:val="201F1E"/>
          <w:szCs w:val="20"/>
          <w:highlight w:val="yellow"/>
          <w:shd w:val="clear" w:color="auto" w:fill="FFFFFF"/>
        </w:rPr>
        <w:t xml:space="preserve">was </w:t>
      </w:r>
      <w:r w:rsidR="006F2D82" w:rsidRPr="00974AB1">
        <w:rPr>
          <w:rFonts w:ascii="Times New Roman" w:hAnsi="Times New Roman"/>
          <w:color w:val="201F1E"/>
          <w:szCs w:val="20"/>
          <w:highlight w:val="yellow"/>
          <w:shd w:val="clear" w:color="auto" w:fill="FFFFFF"/>
        </w:rPr>
        <w:t>give</w:t>
      </w:r>
      <w:r w:rsidR="008700F3">
        <w:rPr>
          <w:rFonts w:ascii="Times New Roman" w:hAnsi="Times New Roman"/>
          <w:color w:val="201F1E"/>
          <w:szCs w:val="20"/>
          <w:highlight w:val="yellow"/>
          <w:shd w:val="clear" w:color="auto" w:fill="FFFFFF"/>
        </w:rPr>
        <w:t>n</w:t>
      </w:r>
      <w:r w:rsidR="006F2D82" w:rsidRPr="00974AB1">
        <w:rPr>
          <w:rFonts w:ascii="Times New Roman" w:hAnsi="Times New Roman"/>
          <w:color w:val="201F1E"/>
          <w:szCs w:val="20"/>
          <w:highlight w:val="yellow"/>
          <w:shd w:val="clear" w:color="auto" w:fill="FFFFFF"/>
        </w:rPr>
        <w:t xml:space="preserve"> the first specification for the diastereomers for either </w:t>
      </w:r>
      <w:r w:rsidR="006F2D82" w:rsidRPr="00DA612D">
        <w:rPr>
          <w:rFonts w:ascii="Times New Roman" w:hAnsi="Times New Roman"/>
          <w:b/>
          <w:color w:val="201F1E"/>
          <w:szCs w:val="20"/>
          <w:highlight w:val="yellow"/>
          <w:shd w:val="clear" w:color="auto" w:fill="FFFFFF"/>
        </w:rPr>
        <w:t>R</w:t>
      </w:r>
      <w:r w:rsidR="006F2D82" w:rsidRPr="00974AB1">
        <w:rPr>
          <w:rFonts w:ascii="Times New Roman" w:hAnsi="Times New Roman"/>
          <w:color w:val="201F1E"/>
          <w:szCs w:val="20"/>
          <w:highlight w:val="yellow"/>
          <w:shd w:val="clear" w:color="auto" w:fill="FFFFFF"/>
        </w:rPr>
        <w:t xml:space="preserve"> (</w:t>
      </w:r>
      <w:r w:rsidR="006F2D82" w:rsidRPr="00974AB1">
        <w:rPr>
          <w:rFonts w:ascii="Times New Roman" w:hAnsi="Times New Roman"/>
          <w:i/>
          <w:color w:val="201F1E"/>
          <w:szCs w:val="20"/>
          <w:highlight w:val="yellow"/>
          <w:shd w:val="clear" w:color="auto" w:fill="FFFFFF"/>
        </w:rPr>
        <w:t>rectus</w:t>
      </w:r>
      <w:r w:rsidR="006F2D82" w:rsidRPr="00974AB1">
        <w:rPr>
          <w:rFonts w:ascii="Times New Roman" w:hAnsi="Times New Roman"/>
          <w:color w:val="201F1E"/>
          <w:szCs w:val="20"/>
          <w:highlight w:val="yellow"/>
          <w:shd w:val="clear" w:color="auto" w:fill="FFFFFF"/>
        </w:rPr>
        <w:t xml:space="preserve">) or </w:t>
      </w:r>
      <w:r w:rsidR="006F2D82" w:rsidRPr="00DA612D">
        <w:rPr>
          <w:rFonts w:ascii="Times New Roman" w:hAnsi="Times New Roman"/>
          <w:b/>
          <w:color w:val="201F1E"/>
          <w:szCs w:val="20"/>
          <w:highlight w:val="yellow"/>
          <w:shd w:val="clear" w:color="auto" w:fill="FFFFFF"/>
        </w:rPr>
        <w:t>S</w:t>
      </w:r>
      <w:r w:rsidR="006F2D82" w:rsidRPr="00974AB1">
        <w:rPr>
          <w:rFonts w:ascii="Times New Roman" w:hAnsi="Times New Roman"/>
          <w:color w:val="201F1E"/>
          <w:szCs w:val="20"/>
          <w:highlight w:val="yellow"/>
          <w:shd w:val="clear" w:color="auto" w:fill="FFFFFF"/>
        </w:rPr>
        <w:t xml:space="preserve"> (</w:t>
      </w:r>
      <w:r w:rsidR="006F2D82" w:rsidRPr="00974AB1">
        <w:rPr>
          <w:rFonts w:ascii="Times New Roman" w:hAnsi="Times New Roman"/>
          <w:i/>
          <w:color w:val="201F1E"/>
          <w:szCs w:val="20"/>
          <w:highlight w:val="yellow"/>
          <w:shd w:val="clear" w:color="auto" w:fill="FFFFFF"/>
        </w:rPr>
        <w:t>sinister</w:t>
      </w:r>
      <w:r w:rsidR="006F2D82" w:rsidRPr="00974AB1">
        <w:rPr>
          <w:rFonts w:ascii="Times New Roman" w:hAnsi="Times New Roman"/>
          <w:color w:val="201F1E"/>
          <w:szCs w:val="20"/>
          <w:highlight w:val="yellow"/>
          <w:shd w:val="clear" w:color="auto" w:fill="FFFFFF"/>
        </w:rPr>
        <w:t>) followed by the center o</w:t>
      </w:r>
      <w:r w:rsidR="00DA612D">
        <w:rPr>
          <w:rFonts w:ascii="Times New Roman" w:hAnsi="Times New Roman"/>
          <w:color w:val="201F1E"/>
          <w:szCs w:val="20"/>
          <w:highlight w:val="yellow"/>
          <w:shd w:val="clear" w:color="auto" w:fill="FFFFFF"/>
        </w:rPr>
        <w:t>n</w:t>
      </w:r>
      <w:r w:rsidR="006F2D82" w:rsidRPr="00974AB1">
        <w:rPr>
          <w:rFonts w:ascii="Times New Roman" w:hAnsi="Times New Roman"/>
          <w:color w:val="201F1E"/>
          <w:szCs w:val="20"/>
          <w:highlight w:val="yellow"/>
          <w:shd w:val="clear" w:color="auto" w:fill="FFFFFF"/>
        </w:rPr>
        <w:t xml:space="preserve"> the aliphatic </w:t>
      </w:r>
      <w:r w:rsidR="006F2D82" w:rsidRPr="00974AB1">
        <w:rPr>
          <w:rFonts w:ascii="Times New Roman" w:hAnsi="Times New Roman"/>
          <w:color w:val="201F1E"/>
          <w:szCs w:val="20"/>
          <w:highlight w:val="yellow"/>
          <w:shd w:val="clear" w:color="auto" w:fill="FFFFFF"/>
        </w:rPr>
        <w:lastRenderedPageBreak/>
        <w:t>chain. The classical rules of Cahn, Ingold and Prelog were used</w:t>
      </w:r>
      <w:r w:rsidR="00974AB1" w:rsidRPr="00974AB1">
        <w:rPr>
          <w:rFonts w:ascii="Times New Roman" w:hAnsi="Times New Roman"/>
          <w:color w:val="201F1E"/>
          <w:szCs w:val="20"/>
          <w:highlight w:val="yellow"/>
          <w:shd w:val="clear" w:color="auto" w:fill="FFFFFF"/>
        </w:rPr>
        <w:t xml:space="preserve"> for </w:t>
      </w:r>
      <w:r w:rsidR="008700F3">
        <w:rPr>
          <w:rFonts w:ascii="Times New Roman" w:hAnsi="Times New Roman"/>
          <w:color w:val="201F1E"/>
          <w:szCs w:val="20"/>
          <w:highlight w:val="yellow"/>
          <w:shd w:val="clear" w:color="auto" w:fill="FFFFFF"/>
        </w:rPr>
        <w:t xml:space="preserve">all </w:t>
      </w:r>
      <w:r w:rsidR="00974AB1" w:rsidRPr="00974AB1">
        <w:rPr>
          <w:rFonts w:ascii="Times New Roman" w:hAnsi="Times New Roman"/>
          <w:color w:val="201F1E"/>
          <w:szCs w:val="20"/>
          <w:highlight w:val="yellow"/>
          <w:shd w:val="clear" w:color="auto" w:fill="FFFFFF"/>
        </w:rPr>
        <w:t>the designations</w:t>
      </w:r>
      <w:r w:rsidR="006F2D82" w:rsidRPr="00974AB1">
        <w:rPr>
          <w:rFonts w:ascii="Times New Roman" w:hAnsi="Times New Roman"/>
          <w:color w:val="201F1E"/>
          <w:szCs w:val="20"/>
          <w:highlight w:val="yellow"/>
          <w:shd w:val="clear" w:color="auto" w:fill="FFFFFF"/>
        </w:rPr>
        <w:t xml:space="preserve"> (see </w:t>
      </w:r>
      <w:proofErr w:type="gramStart"/>
      <w:r w:rsidR="006F2D82" w:rsidRPr="00974AB1">
        <w:rPr>
          <w:rFonts w:ascii="Times New Roman" w:hAnsi="Times New Roman"/>
          <w:color w:val="201F1E"/>
          <w:szCs w:val="20"/>
          <w:highlight w:val="yellow"/>
          <w:shd w:val="clear" w:color="auto" w:fill="FFFFFF"/>
        </w:rPr>
        <w:t>e.g.</w:t>
      </w:r>
      <w:proofErr w:type="gramEnd"/>
      <w:r w:rsidR="006F2D82" w:rsidRPr="00974AB1">
        <w:rPr>
          <w:rFonts w:ascii="Times New Roman" w:hAnsi="Times New Roman"/>
          <w:color w:val="201F1E"/>
          <w:szCs w:val="20"/>
          <w:highlight w:val="yellow"/>
          <w:shd w:val="clear" w:color="auto" w:fill="FFFFFF"/>
        </w:rPr>
        <w:t xml:space="preserve"> Morrison and Boyd, Organic Chemistry, 6</w:t>
      </w:r>
      <w:r w:rsidR="006F2D82" w:rsidRPr="00974AB1">
        <w:rPr>
          <w:rFonts w:ascii="Times New Roman" w:hAnsi="Times New Roman"/>
          <w:color w:val="201F1E"/>
          <w:szCs w:val="20"/>
          <w:highlight w:val="yellow"/>
          <w:shd w:val="clear" w:color="auto" w:fill="FFFFFF"/>
          <w:vertAlign w:val="superscript"/>
        </w:rPr>
        <w:t>th</w:t>
      </w:r>
      <w:r w:rsidR="006F2D82" w:rsidRPr="00974AB1">
        <w:rPr>
          <w:rFonts w:ascii="Times New Roman" w:hAnsi="Times New Roman"/>
          <w:color w:val="201F1E"/>
          <w:szCs w:val="20"/>
          <w:highlight w:val="yellow"/>
          <w:shd w:val="clear" w:color="auto" w:fill="FFFFFF"/>
        </w:rPr>
        <w:t xml:space="preserve"> Edition, 1992,</w:t>
      </w:r>
      <w:r w:rsidR="002A1411">
        <w:rPr>
          <w:rFonts w:ascii="Times New Roman" w:hAnsi="Times New Roman"/>
          <w:color w:val="201F1E"/>
          <w:szCs w:val="20"/>
          <w:highlight w:val="yellow"/>
          <w:shd w:val="clear" w:color="auto" w:fill="FFFFFF"/>
        </w:rPr>
        <w:t xml:space="preserve"> pages 140 – 148,</w:t>
      </w:r>
      <w:r w:rsidR="006F2D82" w:rsidRPr="00974AB1">
        <w:rPr>
          <w:rFonts w:ascii="Times New Roman" w:hAnsi="Times New Roman"/>
          <w:color w:val="201F1E"/>
          <w:szCs w:val="20"/>
          <w:highlight w:val="yellow"/>
          <w:shd w:val="clear" w:color="auto" w:fill="FFFFFF"/>
        </w:rPr>
        <w:t xml:space="preserve"> A Simon and Schuster Company, Englewood Cliffs, New Jersey, USA).</w:t>
      </w:r>
      <w:r w:rsidR="00974AB1" w:rsidRPr="00974AB1">
        <w:rPr>
          <w:rFonts w:ascii="Times New Roman" w:hAnsi="Times New Roman"/>
          <w:color w:val="201F1E"/>
          <w:szCs w:val="20"/>
          <w:highlight w:val="yellow"/>
          <w:shd w:val="clear" w:color="auto" w:fill="FFFFFF"/>
        </w:rPr>
        <w:t xml:space="preserve"> All of the </w:t>
      </w:r>
      <w:r w:rsidR="00974AB1" w:rsidRPr="00974AB1">
        <w:rPr>
          <w:rFonts w:ascii="Times New Roman" w:eastAsia="Palatino Linotype" w:hAnsi="Times New Roman"/>
          <w:highlight w:val="yellow"/>
        </w:rPr>
        <w:t xml:space="preserve">enantiomers </w:t>
      </w:r>
      <w:r w:rsidR="001B17A6">
        <w:rPr>
          <w:rFonts w:ascii="Times New Roman" w:eastAsia="Palatino Linotype" w:hAnsi="Times New Roman"/>
          <w:highlight w:val="yellow"/>
        </w:rPr>
        <w:t>and</w:t>
      </w:r>
      <w:r w:rsidR="00974AB1" w:rsidRPr="00974AB1">
        <w:rPr>
          <w:rFonts w:ascii="Times New Roman" w:eastAsia="Palatino Linotype" w:hAnsi="Times New Roman"/>
          <w:highlight w:val="yellow"/>
        </w:rPr>
        <w:t xml:space="preserve"> </w:t>
      </w:r>
      <w:r w:rsidR="00974AB1" w:rsidRPr="00974AB1">
        <w:rPr>
          <w:rFonts w:ascii="Times New Roman" w:hAnsi="Times New Roman"/>
          <w:highlight w:val="yellow"/>
        </w:rPr>
        <w:t>diastereomers</w:t>
      </w:r>
      <w:r w:rsidR="00974AB1" w:rsidRPr="00974AB1">
        <w:rPr>
          <w:rFonts w:ascii="Times New Roman" w:hAnsi="Times New Roman"/>
          <w:color w:val="201F1E"/>
          <w:szCs w:val="20"/>
          <w:highlight w:val="yellow"/>
          <w:shd w:val="clear" w:color="auto" w:fill="FFFFFF"/>
        </w:rPr>
        <w:t xml:space="preserve"> </w:t>
      </w:r>
      <w:r w:rsidR="00483686" w:rsidRPr="00974AB1">
        <w:rPr>
          <w:rFonts w:ascii="Times New Roman" w:hAnsi="Times New Roman"/>
          <w:highlight w:val="yellow"/>
        </w:rPr>
        <w:t>were</w:t>
      </w:r>
      <w:r w:rsidR="00483686" w:rsidRPr="00767A38">
        <w:rPr>
          <w:rFonts w:ascii="Times New Roman" w:hAnsi="Times New Roman"/>
        </w:rPr>
        <w:t xml:space="preserve"> </w:t>
      </w:r>
      <w:r w:rsidR="00483686" w:rsidRPr="00767A38">
        <w:rPr>
          <w:rFonts w:ascii="Times New Roman" w:eastAsia="Palatino Linotype" w:hAnsi="Times New Roman"/>
        </w:rPr>
        <w:t xml:space="preserve">docked into the binding site of </w:t>
      </w:r>
      <w:r w:rsidR="00CB62C5" w:rsidRPr="00767A38">
        <w:rPr>
          <w:rFonts w:ascii="Times New Roman" w:eastAsia="Palatino Linotype" w:hAnsi="Times New Roman"/>
        </w:rPr>
        <w:t>T</w:t>
      </w:r>
      <w:r w:rsidR="00CB62C5">
        <w:rPr>
          <w:rFonts w:ascii="Times New Roman" w:eastAsia="Palatino Linotype" w:hAnsi="Times New Roman"/>
        </w:rPr>
        <w:t>DP</w:t>
      </w:r>
      <w:r w:rsidR="00CB62C5" w:rsidRPr="00767A38">
        <w:rPr>
          <w:rFonts w:ascii="Times New Roman" w:eastAsia="Palatino Linotype" w:hAnsi="Times New Roman"/>
        </w:rPr>
        <w:t xml:space="preserve">1 </w:t>
      </w:r>
      <w:r w:rsidR="00483686" w:rsidRPr="00767A38">
        <w:rPr>
          <w:rFonts w:ascii="Times New Roman" w:eastAsia="Palatino Linotype" w:hAnsi="Times New Roman"/>
        </w:rPr>
        <w:t xml:space="preserve">(PDB ID: 6W7K, resolution 1.70 Å) </w:t>
      </w:r>
      <w:r w:rsidR="00483686" w:rsidRPr="00767A38">
        <w:rPr>
          <w:rFonts w:ascii="Times New Roman" w:eastAsia="Palatino Linotype" w:hAnsi="Times New Roman"/>
        </w:rPr>
        <w:fldChar w:fldCharType="begin" w:fldLock="1"/>
      </w:r>
      <w:r w:rsidR="00131813">
        <w:rPr>
          <w:rFonts w:ascii="Times New Roman" w:eastAsia="Palatino Linotype" w:hAnsi="Times New Roman"/>
        </w:rPr>
        <w:instrText>ADDIN CSL_CITATION {"citationItems":[{"id":"ITEM-1","itemData":{"DOI":"10.1039/d0sc05411a","ISSN":"20416539","abstract":"Tyrosyl-DNA phosphodiesterase 1 (TDP1) is a member of the phospholipase D family of enzymes, which catalyzes the removal of both 3′- and 5′-DNA phosphodiester adducts. Importantly, it is capable of reducing the anticancer effects of type I topoisomerase (TOP1) inhibitors by repairing the stalled covalent complexes of TOP1 with DNA. It achieves this by promoting the hydrolysis of the phosphodiester bond between the Y723 residue of human TOP1 and the 3′-phosphate of its DNA substrate. Blocking TDP1 function is an attractive means of enhancing the efficacy of TOP1 inhibitors and overcoming drug resistance. Previously, we reported the use of an X-ray crystallographic screen of more than 600 fragments to identify small molecule variations on phthalic acid and hydroxyquinoline motifs that bind within the TDP1 catalytic pocket. Yet, the majority of these compounds showed limited (millimolar) TDP1 inhibitory potencies. We now report examining a 21 000-member library of drug-like Small Molecules in Microarray (SMM) format for their ability to bind Alexa Fluor 647 (AF647)-labeled TDP1. The screen identified structurally similarN,2-diphenylimidazo[1,2-a]pyrazin-3-amines as TDP1 binders and catalytic inhibitors. We then explored the core heterocycle skeleton using one-pot Groebke-Blackburn-Bienayme multicomponent reactions and arrived at analogs having higher inhibitory potencies. Solving TDP1 co-crystal structures of a subset of compounds showed their binding at the TDP1 catalytic site, while mimicking substrate interactions. Although our original fragment screen differed significantly from the current microarray protocol, both methods identified ligand-protein interactions containing highly similar elements. Importantly inhibitors identified through the SMM approach show competitive inhibition against TDP1 and access the catalytic phosphate-binding pocket, while simultaneously providing extensions into both the substrate DNA and peptide-binding channels. As such, they represent a platform for further elaboration of trivalent ligands, that could serve as a new genre of potent TDP1 inhibitors.","author":[{"dropping-particle":"","family":"Zhao","given":"Xue Zhi","non-dropping-particle":"","parse-names":false,"suffix":""},{"dropping-particle":"","family":"Kiselev","given":"Evgeny","non-dropping-particle":"","parse-names":false,"suffix":""},{"dropping-particle":"","family":"Lountos","given":"George T.","non-dropping-particle":"","parse-names":false,"suffix":""},{"dropping-particle":"","family":"Wang","given":"Wenjie","non-dropping-particle":"","parse-names":false,"suffix":""},{"dropping-particle":"","family":"Tropea","given":"Joseph E.","non-dropping-particle":"","parse-names":false,"suffix":""},{"dropping-particle":"","family":"Needle","given":"Danielle","non-dropping-particle":"","parse-names":false,"suffix":""},{"dropping-particle":"","family":"Hilimire","given":"Thomas A.","non-dropping-particle":"","parse-names":false,"suffix":""},{"dropping-particle":"","family":"Schneekloth","given":"John S.","non-dropping-particle":"","parse-names":false,"suffix":""},{"dropping-particle":"","family":"Waugh","given":"David S.","non-dropping-particle":"","parse-names":false,"suffix":""},{"dropping-particle":"","family":"Pommier","given":"Yves","non-dropping-particle":"","parse-names":false,"suffix":""},{"dropping-particle":"","family":"Burke","given":"Terrence R.","non-dropping-particle":"","parse-names":false,"suffix":""}],"container-title":"Chemical Science","id":"ITEM-1","issue":"11","issued":{"date-parts":[["2021"]]},"page":"3876-3884","publisher":"Royal Society of Chemistry","title":"Small molecule microarray identifies inhibitors of tyrosyl-DNA phosphodiesterase 1 that simultaneously access the catalytic pocket and two substrate binding sites","type":"article-journal","volume":"12"},"uris":["http://www.mendeley.com/documents/?uuid=3b4f88c3-991d-411c-8412-50254d7ebbd7"]}],"mendeley":{"formattedCitation":"[32]","plainTextFormattedCitation":"[32]","previouslyFormattedCitation":"[32]"},"properties":{"noteIndex":0},"schema":"https://github.com/citation-style-language/schema/raw/master/csl-citation.json"}</w:instrText>
      </w:r>
      <w:r w:rsidR="00483686" w:rsidRPr="00767A38">
        <w:rPr>
          <w:rFonts w:ascii="Times New Roman" w:eastAsia="Palatino Linotype" w:hAnsi="Times New Roman"/>
        </w:rPr>
        <w:fldChar w:fldCharType="separate"/>
      </w:r>
      <w:r w:rsidR="00066076" w:rsidRPr="00066076">
        <w:rPr>
          <w:rFonts w:ascii="Times New Roman" w:eastAsia="Palatino Linotype" w:hAnsi="Times New Roman"/>
          <w:noProof/>
        </w:rPr>
        <w:t>[32]</w:t>
      </w:r>
      <w:r w:rsidR="00483686" w:rsidRPr="00767A38">
        <w:rPr>
          <w:rFonts w:ascii="Times New Roman" w:eastAsia="Palatino Linotype" w:hAnsi="Times New Roman"/>
        </w:rPr>
        <w:fldChar w:fldCharType="end"/>
      </w:r>
      <w:r w:rsidR="00483686" w:rsidRPr="00767A38">
        <w:rPr>
          <w:rFonts w:ascii="Times New Roman" w:eastAsia="Palatino Linotype" w:hAnsi="Times New Roman"/>
        </w:rPr>
        <w:t xml:space="preserve">. The scoring functions </w:t>
      </w:r>
      <w:proofErr w:type="spellStart"/>
      <w:r w:rsidR="00483686" w:rsidRPr="00767A38">
        <w:rPr>
          <w:rFonts w:ascii="Times New Roman" w:eastAsia="Palatino Linotype" w:hAnsi="Times New Roman"/>
        </w:rPr>
        <w:t>GoldScore</w:t>
      </w:r>
      <w:proofErr w:type="spellEnd"/>
      <w:r w:rsidR="003027AE">
        <w:rPr>
          <w:rFonts w:ascii="Times New Roman" w:eastAsia="Palatino Linotype" w:hAnsi="Times New Roman"/>
        </w:rPr>
        <w:t xml:space="preserve"> </w:t>
      </w:r>
      <w:r w:rsidR="00483686" w:rsidRPr="00767A38">
        <w:rPr>
          <w:rFonts w:ascii="Times New Roman" w:eastAsia="Palatino Linotype" w:hAnsi="Times New Roman"/>
        </w:rPr>
        <w:t>(GS)</w:t>
      </w:r>
      <w:r w:rsidR="00483686" w:rsidRPr="00767A38">
        <w:rPr>
          <w:rFonts w:ascii="Times New Roman" w:hAnsi="Times New Roman"/>
        </w:rPr>
        <w:t xml:space="preserve"> </w:t>
      </w:r>
      <w:r w:rsidR="00483686" w:rsidRPr="00767A38">
        <w:rPr>
          <w:rFonts w:ascii="Times New Roman" w:hAnsi="Times New Roman"/>
        </w:rPr>
        <w:fldChar w:fldCharType="begin" w:fldLock="1"/>
      </w:r>
      <w:r w:rsidR="00131813">
        <w:rPr>
          <w:rFonts w:ascii="Times New Roman" w:hAnsi="Times New Roman"/>
        </w:rPr>
        <w:instrText>ADDIN CSL_CITATION {"citationItems":[{"id":"ITEM-1","itemData":{"ISSN":"21070946","author":[{"dropping-particle":"","family":"Gereth Jones, Peter Willett, Robert C. Glen, Andrew R. Leach","given":"and Robin Taylor","non-dropping-particle":"","parse-names":false,"suffix":""}],"container-title":"Journal of Molecular Biology","id":"ITEM-1","issued":{"date-parts":[["1997"]]},"page":"727-748","title":"Development and Validation of a Genetic Algorithm for Flexible Docking","type":"article-journal","volume":"267"},"uris":["http://www.mendeley.com/documents/?uuid=b197db91-c070-4304-abe0-031bc4e0d1d8"]}],"mendeley":{"formattedCitation":"[33]","plainTextFormattedCitation":"[33]","previouslyFormattedCitation":"[33]"},"properties":{"noteIndex":0},"schema":"https://github.com/citation-style-language/schema/raw/master/csl-citation.json"}</w:instrText>
      </w:r>
      <w:r w:rsidR="00483686" w:rsidRPr="00767A38">
        <w:rPr>
          <w:rFonts w:ascii="Times New Roman" w:hAnsi="Times New Roman"/>
        </w:rPr>
        <w:fldChar w:fldCharType="separate"/>
      </w:r>
      <w:r w:rsidR="00066076" w:rsidRPr="00066076">
        <w:rPr>
          <w:rFonts w:ascii="Times New Roman" w:hAnsi="Times New Roman"/>
          <w:noProof/>
        </w:rPr>
        <w:t>[33]</w:t>
      </w:r>
      <w:r w:rsidR="00483686" w:rsidRPr="00767A38">
        <w:rPr>
          <w:rFonts w:ascii="Times New Roman" w:hAnsi="Times New Roman"/>
        </w:rPr>
        <w:fldChar w:fldCharType="end"/>
      </w:r>
      <w:r w:rsidR="00483686" w:rsidRPr="00767A38">
        <w:rPr>
          <w:rFonts w:ascii="Times New Roman" w:hAnsi="Times New Roman"/>
        </w:rPr>
        <w:t xml:space="preserve">, </w:t>
      </w:r>
      <w:proofErr w:type="spellStart"/>
      <w:r w:rsidR="00483686" w:rsidRPr="00767A38">
        <w:rPr>
          <w:rFonts w:ascii="Times New Roman" w:eastAsia="Palatino Linotype" w:hAnsi="Times New Roman"/>
        </w:rPr>
        <w:t>ChemScore</w:t>
      </w:r>
      <w:proofErr w:type="spellEnd"/>
      <w:r w:rsidR="003027AE">
        <w:rPr>
          <w:rFonts w:ascii="Times New Roman" w:eastAsia="Palatino Linotype" w:hAnsi="Times New Roman"/>
        </w:rPr>
        <w:t xml:space="preserve"> </w:t>
      </w:r>
      <w:r w:rsidR="00483686" w:rsidRPr="00767A38">
        <w:rPr>
          <w:rFonts w:ascii="Times New Roman" w:eastAsia="Palatino Linotype" w:hAnsi="Times New Roman"/>
        </w:rPr>
        <w:t>(CS)</w:t>
      </w:r>
      <w:r w:rsidR="003027AE">
        <w:rPr>
          <w:rFonts w:ascii="Times New Roman" w:eastAsia="Palatino Linotype" w:hAnsi="Times New Roman"/>
        </w:rPr>
        <w:t xml:space="preserve"> </w:t>
      </w:r>
      <w:r w:rsidR="00483686" w:rsidRPr="00767A38">
        <w:rPr>
          <w:rFonts w:ascii="Times New Roman" w:eastAsia="Palatino Linotype" w:hAnsi="Times New Roman"/>
          <w:highlight w:val="white"/>
        </w:rPr>
        <w:fldChar w:fldCharType="begin" w:fldLock="1"/>
      </w:r>
      <w:r w:rsidR="00131813">
        <w:rPr>
          <w:rFonts w:ascii="Times New Roman" w:eastAsia="Palatino Linotype" w:hAnsi="Times New Roman"/>
          <w:highlight w:val="white"/>
        </w:rPr>
        <w:instrText>ADDIN CSL_CITATION {"citationItems":[{"id":"ITEM-1","itemData":{"DOI":"10.1023/A:1007996124545","ISSN":"0920654X","PMID":"9385547","abstract":"This paper describes the development of a simple empirical scoring function designed to estimate the free energy of binding for a protein-ligand complex when the 3D structure of the complex is known or can be approximated. The function uses simple contact terms to estimate lipophilic and metal-ligand binding contributions, a simple explicit form for hydrogen bonds and a term which penalises flexibility. The coefficients of each term are obtained using a regression based on 82 ligand-receptor complexes for which the binding affinity is known. The function reproduces the binding affinity of the complexes with a cross-validated error of 8.68 kJ/mol. Tests on internal consistency indicate that the coefficients obtained are stable to changes in the composition of the training set. The function is also tested on two test sets containing a further 20 and 10 complexes, respectively. The deficiencies of this type of function are discussed and it is compared to approaches by other workers.","author":[{"dropping-particle":"","family":"Eldridge","given":"Matthew D.","non-dropping-particle":"","parse-names":false,"suffix":""},{"dropping-particle":"","family":"Murray","given":"Christopher W.","non-dropping-particle":"","parse-names":false,"suffix":""},{"dropping-particle":"","family":"Auton","given":"Timothy R.","non-dropping-particle":"","parse-names":false,"suffix":""},{"dropping-particle":"V.","family":"Paolini","given":"Gaia","non-dropping-particle":"","parse-names":false,"suffix":""},{"dropping-particle":"","family":"Mee","given":"Roger P.","non-dropping-particle":"","parse-names":false,"suffix":""}],"container-title":"Journal of Computer-Aided Molecular Design","id":"ITEM-1","issue":"5","issued":{"date-parts":[["1997"]]},"page":"425-445","title":"Empirical scoring functions: I. The development of a fast empirical scoring function to estimate the binding affinity of ligands in receptor complexes","type":"article-journal","volume":"11"},"uris":["http://www.mendeley.com/documents/?uuid=b2efd0cb-8671-4a33-a181-5420db3b7546"]},{"id":"ITEM-2","itemData":{"ISSN":"1097-0134","PMID":"12910460","abstract":"The Chemscore function was implemented as a scoring function for the protein-ligand docking program GOLD, and its performance compared to the original Goldscore function and two consensus docking protocols, \"Goldscore-CS\" and \"Chemscore-GS,\" in terms of docking accuracy, prediction of binding affinities, and speed. In the \"Goldscore-CS\" protocol, dockings produced with the Goldscore function are scored and ranked with the Chemscore function; in the \"Chemscore-GS\" protocol, dockings produced with the Chemscore function are scored and ranked with the Goldscore function. Comparisons were made for a \"clean\" set of 224 protein-ligand complexes, and for two subsets of this set, one for which the ligands are \"drug-like,\" the other for which they are \"fragment-like.\" For \"drug-like\" and \"fragment-like\" ligands, the docking accuracies obtained with Chemscore and Goldscore functions are similar. For larger ligands, Goldscore gives superior results. Docking with the Chemscore function is up to three times faster than docking with the Goldscore function. Both combined docking protocols give significant improvements in docking accuracy over the use of the Goldscore or Chemscore function alone. \"Goldscore-CS\" gives success rates of up to 81% (top-ranked GOLD solution within 2.0 A of the experimental binding mode) for the \"clean list,\" but at the cost of long search times. For most virtual screening applications, \"Chemscore-GS\" seems optimal; search settings that give docking speeds of around 0.25-1.3 min/compound have success rates of about 78% for \"drug-like\" compounds and 85% for \"fragment-like\" compounds. In terms of producing binding energy estimates, the Goldscore function appears to perform better than the Chemscore function and the two consensus protocols, particularly for faster search settings. Even at docking speeds of around 1-2 min/compound, the Goldscore function predicts binding energies with a standard deviation of approximately 10.5 kJ/mol.","author":[{"dropping-particle":"","family":"Verdonk","given":"Marcel L","non-dropping-particle":"","parse-names":false,"suffix":""},{"dropping-particle":"","family":"Cole","given":"Jason C","non-dropping-particle":"","parse-names":false,"suffix":""},{"dropping-particle":"","family":"Hartshorn","given":"Michael J","non-dropping-particle":"","parse-names":false,"suffix":""},{"dropping-particle":"","family":"Murray","given":"Christopher W","non-dropping-particle":"","parse-names":false,"suffix":""},{"dropping-particle":"","family":"Taylor","given":"Richard D","non-dropping-particle":"","parse-names":false,"suffix":""}],"container-title":"Proteins","id":"ITEM-2","issue":"January","issued":{"date-parts":[["2003"]]},"page":"609-623","title":"Improved Protein–Ligand Docking Using GOLD Marcel","type":"article-journal","volume":"52"},"uris":["http://www.mendeley.com/documents/?uuid=812b6008-5f7d-42c9-a9fd-902599bab72d"]}],"mendeley":{"formattedCitation":"[34,35]","plainTextFormattedCitation":"[34,35]","previouslyFormattedCitation":"[34,35]"},"properties":{"noteIndex":0},"schema":"https://github.com/citation-style-language/schema/raw/master/csl-citation.json"}</w:instrText>
      </w:r>
      <w:r w:rsidR="00483686" w:rsidRPr="00767A38">
        <w:rPr>
          <w:rFonts w:ascii="Times New Roman" w:eastAsia="Palatino Linotype" w:hAnsi="Times New Roman"/>
          <w:highlight w:val="white"/>
        </w:rPr>
        <w:fldChar w:fldCharType="separate"/>
      </w:r>
      <w:r w:rsidR="00066076" w:rsidRPr="00066076">
        <w:rPr>
          <w:rFonts w:ascii="Times New Roman" w:eastAsia="Palatino Linotype" w:hAnsi="Times New Roman"/>
          <w:noProof/>
          <w:highlight w:val="white"/>
        </w:rPr>
        <w:t>[34,35]</w:t>
      </w:r>
      <w:r w:rsidR="00483686" w:rsidRPr="00767A38">
        <w:rPr>
          <w:rFonts w:ascii="Times New Roman" w:eastAsia="Palatino Linotype" w:hAnsi="Times New Roman"/>
          <w:highlight w:val="white"/>
        </w:rPr>
        <w:fldChar w:fldCharType="end"/>
      </w:r>
      <w:r w:rsidR="00483686" w:rsidRPr="00767A38">
        <w:rPr>
          <w:rFonts w:ascii="Times New Roman" w:eastAsia="Palatino Linotype" w:hAnsi="Times New Roman"/>
        </w:rPr>
        <w:t xml:space="preserve">, </w:t>
      </w:r>
      <w:proofErr w:type="spellStart"/>
      <w:r w:rsidR="00483686" w:rsidRPr="00767A38">
        <w:rPr>
          <w:rFonts w:ascii="Times New Roman" w:eastAsia="Palatino Linotype" w:hAnsi="Times New Roman"/>
        </w:rPr>
        <w:t>ChemPLP</w:t>
      </w:r>
      <w:proofErr w:type="spellEnd"/>
      <w:r w:rsidR="003027AE">
        <w:rPr>
          <w:rFonts w:ascii="Times New Roman" w:eastAsia="Palatino Linotype" w:hAnsi="Times New Roman"/>
        </w:rPr>
        <w:t xml:space="preserve"> </w:t>
      </w:r>
      <w:r w:rsidR="00483686" w:rsidRPr="00767A38">
        <w:rPr>
          <w:rFonts w:ascii="Times New Roman" w:eastAsia="Palatino Linotype" w:hAnsi="Times New Roman"/>
        </w:rPr>
        <w:t xml:space="preserve">(Piecewise Linear Potential) </w:t>
      </w:r>
      <w:r w:rsidR="00483686" w:rsidRPr="00767A38">
        <w:rPr>
          <w:rFonts w:ascii="Times New Roman" w:eastAsia="Palatino Linotype" w:hAnsi="Times New Roman"/>
          <w:highlight w:val="white"/>
        </w:rPr>
        <w:fldChar w:fldCharType="begin" w:fldLock="1"/>
      </w:r>
      <w:r w:rsidR="00131813">
        <w:rPr>
          <w:rFonts w:ascii="Times New Roman" w:eastAsia="Palatino Linotype" w:hAnsi="Times New Roman"/>
          <w:highlight w:val="white"/>
        </w:rPr>
        <w:instrText>ADDIN CSL_CITATION {"citationItems":[{"id":"ITEM-1","itemData":{"DOI":"10.1021/ci800298z","ISSN":"1549960X","PMID":"19125657","abstract":"In this paper we present two empirical scoring functions, PLANTS chemplp and PLANTSPLP, designed for our docking algorithm PLANTS (Protein-Ligand ANT System), which is based on ant colony optimization (ACO). They are related, regarding their functional form, to parts of already published scoring functions and force fields. The parametrization procedure described here was able to identify several parameter settings showing an excellent performance for the task of pose prediction on two test sets comprising 298 complexes in total. Up to 87% of the complexes of the Astex diverse set and 77% of the CCDC/Astex clean listnc (noncovalently bound complexes of the clean list) could be reproduced with root-mean-square deviations of less than 2 Å with respect to the experimentally determined structures. A comparison with the state-of-the-art docking tool GOLD clearly shows that this is, especially for the druglike Astex diverse set, an improvement in pose prediction performance. Additionally, optimized parameter settings for the search algorithm were identified, which can be used to balance pose prediction reliability and search speed. © 2009 American Chemical Society.","author":[{"dropping-particle":"","family":"Korb","given":"Oliver","non-dropping-particle":"","parse-names":false,"suffix":""},{"dropping-particle":"","family":"Stützle","given":"Thomas","non-dropping-particle":"","parse-names":false,"suffix":""},{"dropping-particle":"","family":"Exner","given":"Thomas E.","non-dropping-particle":"","parse-names":false,"suffix":""}],"container-title":"Journal of Chemical Information and Modeling","id":"ITEM-1","issue":"1","issued":{"date-parts":[["2009"]]},"page":"84-96","title":"Empirical scoring functions for advanced Protein-Ligand docking with PLANTS","type":"article-journal","volume":"49"},"uris":["http://www.mendeley.com/documents/?uuid=f0233bcd-7783-4835-b64b-b4477f4cc8ad"]}],"mendeley":{"formattedCitation":"[36]","plainTextFormattedCitation":"[36]","previouslyFormattedCitation":"[36]"},"properties":{"noteIndex":0},"schema":"https://github.com/citation-style-language/schema/raw/master/csl-citation.json"}</w:instrText>
      </w:r>
      <w:r w:rsidR="00483686" w:rsidRPr="00767A38">
        <w:rPr>
          <w:rFonts w:ascii="Times New Roman" w:eastAsia="Palatino Linotype" w:hAnsi="Times New Roman"/>
          <w:highlight w:val="white"/>
        </w:rPr>
        <w:fldChar w:fldCharType="separate"/>
      </w:r>
      <w:r w:rsidR="00066076" w:rsidRPr="00066076">
        <w:rPr>
          <w:rFonts w:ascii="Times New Roman" w:eastAsia="Palatino Linotype" w:hAnsi="Times New Roman"/>
          <w:noProof/>
          <w:highlight w:val="white"/>
        </w:rPr>
        <w:t>[36]</w:t>
      </w:r>
      <w:r w:rsidR="00483686" w:rsidRPr="00767A38">
        <w:rPr>
          <w:rFonts w:ascii="Times New Roman" w:eastAsia="Palatino Linotype" w:hAnsi="Times New Roman"/>
          <w:highlight w:val="white"/>
        </w:rPr>
        <w:fldChar w:fldCharType="end"/>
      </w:r>
      <w:r w:rsidR="00483686" w:rsidRPr="00767A38">
        <w:rPr>
          <w:rFonts w:ascii="Times New Roman" w:eastAsia="Palatino Linotype" w:hAnsi="Times New Roman"/>
        </w:rPr>
        <w:t xml:space="preserve"> and ASP</w:t>
      </w:r>
      <w:r w:rsidR="003027AE">
        <w:rPr>
          <w:rFonts w:ascii="Times New Roman" w:eastAsia="Palatino Linotype" w:hAnsi="Times New Roman"/>
        </w:rPr>
        <w:t xml:space="preserve"> </w:t>
      </w:r>
      <w:r w:rsidR="00483686" w:rsidRPr="00767A38">
        <w:rPr>
          <w:rFonts w:ascii="Times New Roman" w:eastAsia="Palatino Linotype" w:hAnsi="Times New Roman"/>
        </w:rPr>
        <w:t>(</w:t>
      </w:r>
      <w:proofErr w:type="spellStart"/>
      <w:r w:rsidR="00483686" w:rsidRPr="00767A38">
        <w:rPr>
          <w:rFonts w:ascii="Times New Roman" w:eastAsia="Palatino Linotype" w:hAnsi="Times New Roman"/>
        </w:rPr>
        <w:t>Astex</w:t>
      </w:r>
      <w:proofErr w:type="spellEnd"/>
      <w:r w:rsidR="00483686" w:rsidRPr="00767A38">
        <w:rPr>
          <w:rFonts w:ascii="Times New Roman" w:eastAsia="Palatino Linotype" w:hAnsi="Times New Roman"/>
        </w:rPr>
        <w:t xml:space="preserve"> Statistical Potential) </w:t>
      </w:r>
      <w:r w:rsidR="00483686" w:rsidRPr="00767A38">
        <w:rPr>
          <w:rFonts w:ascii="Times New Roman" w:eastAsia="Palatino Linotype" w:hAnsi="Times New Roman"/>
        </w:rPr>
        <w:fldChar w:fldCharType="begin" w:fldLock="1"/>
      </w:r>
      <w:r w:rsidR="00131813">
        <w:rPr>
          <w:rFonts w:ascii="Times New Roman" w:eastAsia="Palatino Linotype" w:hAnsi="Times New Roman"/>
        </w:rPr>
        <w:instrText>ADDIN CSL_CITATION {"citationItems":[{"id":"ITEM-1","itemData":{"DOI":"10.1002/prot.20588","ISSN":"08873585","PMID":"16106379","abstract":"We present a novel atom-atom potential derived from a database of protein-ligand complexes. First, we clarify the similarities and differences between two statistical potentials described in the literature, PMF and Drugscore. We highlight shortcomings caused by an important factor unaccounted for in their reference states, and describe a new potential, which we name the Astex Statistical Potential (ASP). ASP's reference state considers the difference in exposure of protein atom types towards ligand binding sites. We show that this new potential predicts binding affinities with an accuracy similar to that of Goldscore and Chemscore. We investigate the influence of the choice of reference state by constructing two additional statistical potentials that differ from ASP only in this respect. The reference states in these two potentials are defined along the lines of Drugscore and PMF. In docking experiments, the potential using the new reference state proposed for ASP gives better success rates than when these literature reference states were used; a success rate similar to the established scoring functions Goldscore and Chemscore is achieved with ASP. This is the case both for a large, general validation set of protein-ligand structures and for small test sets of actives against four pharmaceutically relevant targets. Virtual screening experiments for these targets show less discrimination between the different reference states in terms of enrichment. In addition, we describe how statistical potentials can be used in the construction of targeted scoring functions. Examples are given for cdk2, using four different targeted scoring functions, biased towards increasingly large target-specific databases. Using these targeted scoring functions, docking success rates as well as enrichments are significantly better than for the general ASP scoring function. Results improve with the number of structures used in the construction of the target scoring functions, thus illustrating that these targeted ASP potentials can be continuously improved as new structural data become available. © 2005 Wiley-Liss, Inc.","author":[{"dropping-particle":"","family":"Mooij","given":"Wijnand T.M.","non-dropping-particle":"","parse-names":false,"suffix":""},{"dropping-particle":"","family":"Verdonk","given":"Marcel L.","non-dropping-particle":"","parse-names":false,"suffix":""}],"container-title":"Proteins: Structure, Function and Genetics","id":"ITEM-1","issue":"2","issued":{"date-parts":[["2005"]]},"page":"272-287","title":"General and targeted statistical potentials for protein-ligand interactions","type":"article-journal","volume":"61"},"uris":["http://www.mendeley.com/documents/?uuid=a641175f-9fb3-4cab-a64e-9604abcb289d"]}],"mendeley":{"formattedCitation":"[37]","plainTextFormattedCitation":"[37]","previouslyFormattedCitation":"[37]"},"properties":{"noteIndex":0},"schema":"https://github.com/citation-style-language/schema/raw/master/csl-citation.json"}</w:instrText>
      </w:r>
      <w:r w:rsidR="00483686" w:rsidRPr="00767A38">
        <w:rPr>
          <w:rFonts w:ascii="Times New Roman" w:eastAsia="Palatino Linotype" w:hAnsi="Times New Roman"/>
        </w:rPr>
        <w:fldChar w:fldCharType="separate"/>
      </w:r>
      <w:r w:rsidR="00066076" w:rsidRPr="00066076">
        <w:rPr>
          <w:rFonts w:ascii="Times New Roman" w:eastAsia="Palatino Linotype" w:hAnsi="Times New Roman"/>
          <w:noProof/>
        </w:rPr>
        <w:t>[37]</w:t>
      </w:r>
      <w:r w:rsidR="00483686" w:rsidRPr="00767A38">
        <w:rPr>
          <w:rFonts w:ascii="Times New Roman" w:eastAsia="Palatino Linotype" w:hAnsi="Times New Roman"/>
        </w:rPr>
        <w:fldChar w:fldCharType="end"/>
      </w:r>
      <w:r w:rsidR="00483686" w:rsidRPr="00767A38">
        <w:rPr>
          <w:rFonts w:ascii="Times New Roman" w:eastAsia="Palatino Linotype" w:hAnsi="Times New Roman"/>
        </w:rPr>
        <w:t xml:space="preserve"> in the GOLD (</w:t>
      </w:r>
      <w:r w:rsidR="00483686" w:rsidRPr="00767A38">
        <w:rPr>
          <w:rFonts w:ascii="Times New Roman" w:hAnsi="Times New Roman"/>
        </w:rPr>
        <w:t>v2020.2.0)</w:t>
      </w:r>
      <w:r w:rsidR="00483686" w:rsidRPr="00767A38">
        <w:rPr>
          <w:rFonts w:ascii="Times New Roman" w:eastAsia="Palatino Linotype" w:hAnsi="Times New Roman"/>
        </w:rPr>
        <w:t xml:space="preserve"> docking algorithm were used; the robustness of the docking scaffold has been previously established </w:t>
      </w:r>
      <w:r w:rsidR="00483686" w:rsidRPr="00767A38">
        <w:rPr>
          <w:rFonts w:ascii="Times New Roman" w:eastAsia="Palatino Linotype" w:hAnsi="Times New Roman"/>
        </w:rPr>
        <w:fldChar w:fldCharType="begin" w:fldLock="1"/>
      </w:r>
      <w:r w:rsidR="00483686" w:rsidRPr="00767A38">
        <w:rPr>
          <w:rFonts w:ascii="Times New Roman" w:eastAsia="Palatino Linotype" w:hAnsi="Times New Roman"/>
        </w:rPr>
        <w:instrText>ADDIN CSL_CITATION {"citationItems":[{"id":"ITEM-1","itemData":{"DOI":"10.3390/ijms222111336","ISSN":"14220067","PMID":"34768766","abstract":"Tyrosyl</w:instrText>
      </w:r>
      <w:r w:rsidR="00483686" w:rsidRPr="00767A38">
        <w:rPr>
          <w:rFonts w:ascii="Cambria Math" w:eastAsia="Palatino Linotype" w:hAnsi="Cambria Math" w:cs="Cambria Math"/>
        </w:rPr>
        <w:instrText>‐</w:instrText>
      </w:r>
      <w:r w:rsidR="00483686" w:rsidRPr="00767A38">
        <w:rPr>
          <w:rFonts w:ascii="Times New Roman" w:eastAsia="Palatino Linotype" w:hAnsi="Times New Roman"/>
        </w:rPr>
        <w:instrText>DNA phosphodiesterase 1 (TDP1) catalyzes the cleavage of the phosphodiester bond between the tyrosine residue of topoisomerase 1 (TOP1) and the 3′ phosphate of DNA in the single</w:instrText>
      </w:r>
      <w:r w:rsidR="00483686" w:rsidRPr="00767A38">
        <w:rPr>
          <w:rFonts w:ascii="Cambria Math" w:eastAsia="Palatino Linotype" w:hAnsi="Cambria Math" w:cs="Cambria Math"/>
        </w:rPr>
        <w:instrText>‐</w:instrText>
      </w:r>
      <w:r w:rsidR="00483686" w:rsidRPr="00767A38">
        <w:rPr>
          <w:rFonts w:ascii="Times New Roman" w:eastAsia="Palatino Linotype" w:hAnsi="Times New Roman"/>
        </w:rPr>
        <w:instrText>strand break generated by TOP1. TDP1 promotes the cleavage of the stable DNA–TOP1 complexes with the TOP1 inhibitor topotecan, which is a clinically used anticancer drug. This article reports the synthesis and study of usnic acid thioether and sulfoxide derivatives that efficiently suppress TDP1 activity, with IC50 values in the 1.4–25.2 μM range. The structure of the heterocyclic substituent introduced into the dibenzofuran core affects the TDP1 inhibitory efficiency of the com-pounds. A five</w:instrText>
      </w:r>
      <w:r w:rsidR="00483686" w:rsidRPr="00767A38">
        <w:rPr>
          <w:rFonts w:ascii="Cambria Math" w:eastAsia="Palatino Linotype" w:hAnsi="Cambria Math" w:cs="Cambria Math"/>
        </w:rPr>
        <w:instrText>‐</w:instrText>
      </w:r>
      <w:r w:rsidR="00483686" w:rsidRPr="00767A38">
        <w:rPr>
          <w:rFonts w:ascii="Times New Roman" w:eastAsia="Palatino Linotype" w:hAnsi="Times New Roman"/>
        </w:rPr>
        <w:instrText>membered heterocyclic fragment was shown to be most pharmacophoric among the others. Sulfoxide derivatives were less cytotoxic than their thioester analogs. We observed an un-competitive type of inhibition for the four most effective inhibitors of TDP1. The anticancer effect of TOP1 inhibitors can be enhanced by the simultaneous inhibition of PARP1, TDP1, and TDP2. Some of the compounds inhibited not only TDP1 but also TDP2 and/or PARP1, but at significantly higher concentration ranges than TDP1. Leader compound 10a showed promising synergy on HeLa cells in conjunction with the TOP1 inhibitor topotecan.","author":[{"dropping-particle":"","family":"Dyrkheeva","given":"Nadezhda S.","non-dropping-particle":"","parse-names":false,"suffix":""},{"dropping-particle":"","family":"Filimonov","given":"Aleksandr S.","non-dropping-particle":"","parse-names":false,"suffix":""},{"dropping-particle":"","family":"Luzina","given":"Olga A.","non-dropping-particle":"","parse-names":false,"suffix":""},{"dropping-particle":"","family":"Orlova","given":"Kristina A.","non-dropping-particle":"","parse-names":false,"suffix":""},{"dropping-particle":"","family":"Chernyshova","given":"Irina A.","non-dropping-particle":"","parse-names":false,"suffix":""},{"dropping-particle":"","family":"Kornienko","given":"Tatyana E.","non-dropping-particle":"","parse-names":false,"suffix":""},{"dropping-particle":"","family":"Malakhova","given":"Anastasia A.","non-dropping-particle":"","parse-names":false,"suffix":""},{"dropping-particle":"","family":"Medvedev","given":"Sergey P.","non-dropping-particle":"","parse-names":false,"suffix":""},{"dropping-particle":"","family":"Zakharenko","given":"Alexandra L.","non-dropping-particle":"","parse-names":false,"suffix":""},{"dropping-particle":"","family":"Ilina","given":"Ekaterina S.","non-dropping-particle":"","parse-names":false,"suffix":""},{"dropping-particle":"","family":"Anarbaev","given":"Rashid O.","non-dropping-particle":"","parse-names":false,"suffix":""},{"dropping-particle":"","family":"Naumenko","given":"Konstantin N.","non-dropping-particle":"","parse-names":false,"suffix":""},{"dropping-particle":"V.","family":"Klabenkova","given":"Kristina","non-dropping-particle":"","parse-names":false,"suffix":""},{"dropping-particle":"","family":"Burakova","given":"Ekaterina A.","non-dropping-particle":"","parse-names":false,"suffix":""},{"dropping-particle":"","family":"Stetsenko","given":"Dmitry A.","non-dropping-particle":"","parse-names":false,"suffix":""},{"dropping-particle":"","family":"Zakian","given":"Suren M.","non-dropping-particle":"","parse-names":false,"suffix":""},{"dropping-particle":"","family":"Salakhutdinov","given":"Nariman F.","non-dropping-particle":"","parse-names":false,"suffix":""},{"dropping-particle":"","family":"Lavrik","given":"Olga I.","non-dropping-particle":"","parse-names":false,"suffix":""}],"container-title":"International Journal of Molecular Sciences","id":"ITEM-1","issue":"21","issued":{"date-parts":[["2021"]]},"title":"New hybrid compounds combining fragments of usnic acid and thioether are inhibitors of human enzymes TDP1, TDP2 and PARP1","type":"article-journal","volume":"22"},"uris":["http://www.mendeley.com/documents/?uuid=8854e889-9538-4b71-b408-b9cbcfb36a51"]}],"mendeley":{"formattedCitation":"[11]","plainTextFormattedCitation":"[11]","previouslyFormattedCitation":"[11]"},"properties":{"noteIndex":0},"schema":"https://github.com/citation-style-language/schema/raw/master/csl-citation.json"}</w:instrText>
      </w:r>
      <w:r w:rsidR="00483686" w:rsidRPr="00767A38">
        <w:rPr>
          <w:rFonts w:ascii="Times New Roman" w:eastAsia="Palatino Linotype" w:hAnsi="Times New Roman"/>
        </w:rPr>
        <w:fldChar w:fldCharType="separate"/>
      </w:r>
      <w:r w:rsidR="00483686" w:rsidRPr="00767A38">
        <w:rPr>
          <w:rFonts w:ascii="Times New Roman" w:eastAsia="Palatino Linotype" w:hAnsi="Times New Roman"/>
          <w:noProof/>
        </w:rPr>
        <w:t>[11]</w:t>
      </w:r>
      <w:r w:rsidR="00483686" w:rsidRPr="00767A38">
        <w:rPr>
          <w:rFonts w:ascii="Times New Roman" w:eastAsia="Palatino Linotype" w:hAnsi="Times New Roman"/>
        </w:rPr>
        <w:fldChar w:fldCharType="end"/>
      </w:r>
      <w:r w:rsidR="00483686" w:rsidRPr="00767A38">
        <w:rPr>
          <w:rFonts w:ascii="Times New Roman" w:eastAsia="Palatino Linotype" w:hAnsi="Times New Roman"/>
        </w:rPr>
        <w:t xml:space="preserve">. Furthermore, the GOLD docking algorithm is reported to be an excellent molecular modelling tool </w:t>
      </w:r>
      <w:r w:rsidR="00483686" w:rsidRPr="00767A38">
        <w:rPr>
          <w:rFonts w:ascii="Times New Roman" w:eastAsia="Palatino Linotype" w:hAnsi="Times New Roman"/>
        </w:rPr>
        <w:fldChar w:fldCharType="begin" w:fldLock="1"/>
      </w:r>
      <w:r w:rsidR="00131813">
        <w:rPr>
          <w:rFonts w:ascii="Times New Roman" w:eastAsia="Palatino Linotype" w:hAnsi="Times New Roman"/>
        </w:rPr>
        <w:instrText>ADDIN CSL_CITATION {"citationItems":[{"id":"ITEM-1","itemData":{"DOI":"10.1039/c6cp01555g","ISSN":"14639076","PMID":"27108770","abstract":"As one of the most popular computational approaches in modern structure-based drug design, molecular docking can be used not only to identify the correct conformation of a ligand within the target binding pocket but also to estimate the strength of the interaction between a target and a ligand. Nowadays, as a variety of docking programs are available for the scientific community, a comprehensive understanding of the advantages and limitations of each docking program is fundamentally important to conduct more reasonable docking studies and docking-based virtual screening. In the present study, based on an extensive dataset of 2002 protein-ligand complexes from the PDBbind database (version 2014), the performance of ten docking programs, including five commercial programs (LigandFit, Glide, GOLD, MOE Dock, and Surflex-Dock) and five academic programs (AutoDock, AutoDock Vina, LeDock, rDock, and UCSF DOCK), was systematically evaluated by examining the accuracies of binding pose prediction (sampling power) and binding affinity estimation (scoring power). Our results showed that GOLD and LeDock had the best sampling power (GOLD: 59.8% accuracy for the top scored poses; LeDock: 80.8% accuracy for the best poses) and AutoDock Vina had the best scoring power (rp/rs of 0.564/0.580 and 0.569/0.584 for the top scored poses and best poses), suggesting that the commercial programs did not show the expected better performance than the academic ones. Overall, the ligand binding poses could be identified in most cases by the evaluated docking programs but the ranks of the binding affinities for the entire dataset could not be well predicted by most docking programs. However, for some types of protein families, relatively high linear correlations between docking scores and experimental binding affinities could be achieved. To our knowledge, this study has been the most extensive evaluation of popular molecular docking programs in the last five years. It is expected that our work can offer useful information for the successful application of these docking tools to different requirements and targets.","author":[{"dropping-particle":"","family":"Wang","given":"Zhe","non-dropping-particle":"","parse-names":false,"suffix":""},{"dropping-particle":"","family":"Sun","given":"Huiyong","non-dropping-particle":"","parse-names":false,"suffix":""},{"dropping-particle":"","family":"Yao","given":"Xiaojun","non-dropping-particle":"","parse-names":false,"suffix":""},{"dropping-particle":"","family":"Li","given":"Dan","non-dropping-particle":"","parse-names":false,"suffix":""},{"dropping-particle":"","family":"Xu","given":"Lei","non-dropping-particle":"","parse-names":false,"suffix":""},{"dropping-particle":"","family":"Li","given":"Youyong","non-dropping-particle":"","parse-names":false,"suffix":""},{"dropping-particle":"","family":"Tian","given":"Sheng","non-dropping-particle":"","parse-names":false,"suffix":""},{"dropping-particle":"","family":"Hou","given":"Tingjun","non-dropping-particle":"","parse-names":false,"suffix":""}],"container-title":"Physical Chemistry Chemical Physics","id":"ITEM-1","issue":"18","issued":{"date-parts":[["2016"]]},"page":"12964-12975","publisher":"Royal Society of Chemistry","title":"Comprehensive evaluation of ten docking programs on a diverse set of protein-ligand complexes: The prediction accuracy of sampling power and scoring power","type":"article-journal","volume":"18"},"uris":["http://www.mendeley.com/documents/?uuid=eaa81541-889f-4e4f-8a00-de6bb284350e"]},{"id":"ITEM-2","itemData":{"DOI":"10.1021/jm001044l","ISSN":"00222623","PMID":"11123984","abstract":"Three different database docking programs (Dock, FlexX, Gold) have been used in combination with seven scoring functions (Chemscore, Dock, FlexX, Fresno, Gold, Pmf, Score) to assess the accuracy of virtual screening methods against two protein targets (thymidine kinase, estrogen receptor) of known three-dimensional structure. For both targets, it was generally possible to discriminate about 7 out of 10 true hits from a random database of 990 ligands. The use of consensus lists common to two or three scoring functions clearly enhances hit rates among the top 5% scorers from 10% (single scoring) to 25-40% (double scoring) and up to 65-70% (triple scoring). However, in all tested cases, no clear relationships could be found between docking and ranking accuracies. Moreover, predicting the absolute binding free energy of true hits was not possible whatever docking accuracy was achieved and scoring function used. As the best docking/consensus scoring combination varies with the selected target and the physicochemistry of target-ligand interactions, we propose a two-step protocol for screening large databases: (i) screening of a reduced dataset containing a few known ligands for deriving the optimal docking/ consensus scoring scheme, (ii) applying the latter parameters to the screening of the entire database.","author":[{"dropping-particle":"","family":"Bissantz","given":"C.","non-dropping-particle":"","parse-names":false,"suffix":""},{"dropping-particle":"","family":"Folkers","given":"G.","non-dropping-particle":"","parse-names":false,"suffix":""},{"dropping-particle":"","family":"Rognan","given":"D.","non-dropping-particle":"","parse-names":false,"suffix":""}],"container-title":"Journal of Medicinal Chemistry","id":"ITEM-2","issue":"25","issued":{"date-parts":[["2000"]]},"page":"4759-4767","title":"Protein-based virtual screening of chemical databases. 1. Evaluation of different docking/scoring combinations","type":"article-journal","volume":"43"},"uris":["http://www.mendeley.com/documents/?uuid=300d6044-f500-40f0-b081-85c6a3f98317"]}],"mendeley":{"formattedCitation":"[38,39]","plainTextFormattedCitation":"[38,39]","previouslyFormattedCitation":"[38,39]"},"properties":{"noteIndex":0},"schema":"https://github.com/citation-style-language/schema/raw/master/csl-citation.json"}</w:instrText>
      </w:r>
      <w:r w:rsidR="00483686" w:rsidRPr="00767A38">
        <w:rPr>
          <w:rFonts w:ascii="Times New Roman" w:eastAsia="Palatino Linotype" w:hAnsi="Times New Roman"/>
        </w:rPr>
        <w:fldChar w:fldCharType="separate"/>
      </w:r>
      <w:r w:rsidR="00066076" w:rsidRPr="00066076">
        <w:rPr>
          <w:rFonts w:ascii="Times New Roman" w:eastAsia="Palatino Linotype" w:hAnsi="Times New Roman"/>
          <w:noProof/>
        </w:rPr>
        <w:t>[38,39]</w:t>
      </w:r>
      <w:r w:rsidR="00483686" w:rsidRPr="00767A38">
        <w:rPr>
          <w:rFonts w:ascii="Times New Roman" w:eastAsia="Palatino Linotype" w:hAnsi="Times New Roman"/>
        </w:rPr>
        <w:fldChar w:fldCharType="end"/>
      </w:r>
      <w:r w:rsidR="00483686" w:rsidRPr="00767A38">
        <w:rPr>
          <w:rFonts w:ascii="Times New Roman" w:eastAsia="Palatino Linotype" w:hAnsi="Times New Roman"/>
        </w:rPr>
        <w:t xml:space="preserve">. The binding scores are given in </w:t>
      </w:r>
      <w:r w:rsidR="00483686" w:rsidRPr="003832AF">
        <w:rPr>
          <w:rFonts w:ascii="Times New Roman" w:eastAsia="Palatino Linotype" w:hAnsi="Times New Roman"/>
          <w:b/>
        </w:rPr>
        <w:t>Table S1</w:t>
      </w:r>
      <w:r w:rsidR="003832AF">
        <w:rPr>
          <w:rFonts w:ascii="Times New Roman" w:eastAsia="Palatino Linotype" w:hAnsi="Times New Roman"/>
          <w:b/>
        </w:rPr>
        <w:t xml:space="preserve"> </w:t>
      </w:r>
      <w:r w:rsidR="003832AF" w:rsidRPr="003832AF">
        <w:rPr>
          <w:rFonts w:ascii="Times New Roman" w:eastAsia="Palatino Linotype" w:hAnsi="Times New Roman"/>
        </w:rPr>
        <w:t>(</w:t>
      </w:r>
      <w:r w:rsidR="003832AF" w:rsidRPr="00F74C1D">
        <w:rPr>
          <w:rFonts w:ascii="Times New Roman" w:hAnsi="Times New Roman"/>
        </w:rPr>
        <w:t>see Supplementary</w:t>
      </w:r>
      <w:r w:rsidR="003832AF" w:rsidRPr="003832AF">
        <w:rPr>
          <w:rFonts w:ascii="Times New Roman" w:eastAsia="Palatino Linotype" w:hAnsi="Times New Roman"/>
        </w:rPr>
        <w:t>)</w:t>
      </w:r>
      <w:r w:rsidR="00483686" w:rsidRPr="003832AF">
        <w:rPr>
          <w:rFonts w:ascii="Times New Roman" w:eastAsia="Palatino Linotype" w:hAnsi="Times New Roman"/>
        </w:rPr>
        <w:t>;</w:t>
      </w:r>
      <w:r w:rsidR="00483686" w:rsidRPr="00767A38">
        <w:rPr>
          <w:rFonts w:ascii="Times New Roman" w:eastAsia="Palatino Linotype" w:hAnsi="Times New Roman"/>
        </w:rPr>
        <w:t xml:space="preserve"> very similar scores are predicted between the enantiomers and </w:t>
      </w:r>
      <w:r w:rsidR="00483686" w:rsidRPr="00767A38">
        <w:rPr>
          <w:rFonts w:ascii="Times New Roman" w:hAnsi="Times New Roman"/>
        </w:rPr>
        <w:t>diastereomers</w:t>
      </w:r>
      <w:r w:rsidR="00483686" w:rsidRPr="00767A38">
        <w:rPr>
          <w:rFonts w:ascii="Times New Roman" w:eastAsia="Palatino Linotype" w:hAnsi="Times New Roman"/>
        </w:rPr>
        <w:t>. Furthermor</w:t>
      </w:r>
      <w:r w:rsidR="00C64FB1">
        <w:rPr>
          <w:rFonts w:ascii="Times New Roman" w:eastAsia="Palatino Linotype" w:hAnsi="Times New Roman"/>
        </w:rPr>
        <w:t>e, the smaller ligands of the 16</w:t>
      </w:r>
      <w:r w:rsidR="00483686" w:rsidRPr="00767A38">
        <w:rPr>
          <w:rFonts w:ascii="Times New Roman" w:eastAsia="Palatino Linotype" w:hAnsi="Times New Roman"/>
        </w:rPr>
        <w:t xml:space="preserve"> series, as well as the </w:t>
      </w:r>
      <w:r w:rsidR="00483686" w:rsidRPr="00767A38">
        <w:rPr>
          <w:rFonts w:ascii="Times New Roman" w:eastAsia="Palatino Linotype" w:hAnsi="Times New Roman"/>
          <w:b/>
        </w:rPr>
        <w:t>15g</w:t>
      </w:r>
      <w:r w:rsidR="00483686" w:rsidRPr="00767A38">
        <w:rPr>
          <w:rFonts w:ascii="Times New Roman" w:eastAsia="Palatino Linotype" w:hAnsi="Times New Roman"/>
        </w:rPr>
        <w:t xml:space="preserve"> and </w:t>
      </w:r>
      <w:r w:rsidR="00483686" w:rsidRPr="00767A38">
        <w:rPr>
          <w:rFonts w:ascii="Times New Roman" w:eastAsia="Palatino Linotype" w:hAnsi="Times New Roman"/>
          <w:b/>
        </w:rPr>
        <w:t>16h</w:t>
      </w:r>
      <w:r w:rsidR="00BE7363" w:rsidRPr="00BE7363">
        <w:rPr>
          <w:rFonts w:ascii="Times New Roman" w:eastAsia="Palatino Linotype" w:hAnsi="Times New Roman"/>
        </w:rPr>
        <w:t>, which do not have</w:t>
      </w:r>
      <w:r w:rsidR="00CB62C5" w:rsidRPr="00AA570A">
        <w:rPr>
          <w:rFonts w:ascii="Times New Roman" w:eastAsia="Palatino Linotype" w:hAnsi="Times New Roman"/>
        </w:rPr>
        <w:t xml:space="preserve"> terpene moiet</w:t>
      </w:r>
      <w:r w:rsidR="00BE7363">
        <w:rPr>
          <w:rFonts w:ascii="Times New Roman" w:eastAsia="Palatino Linotype" w:hAnsi="Times New Roman"/>
        </w:rPr>
        <w:t>ies</w:t>
      </w:r>
      <w:r w:rsidR="00483686" w:rsidRPr="00767A38">
        <w:rPr>
          <w:rFonts w:ascii="Times New Roman" w:eastAsia="Palatino Linotype" w:hAnsi="Times New Roman"/>
        </w:rPr>
        <w:t>, have lower scores than th</w:t>
      </w:r>
      <w:r w:rsidR="00C64FB1">
        <w:rPr>
          <w:rFonts w:ascii="Times New Roman" w:eastAsia="Palatino Linotype" w:hAnsi="Times New Roman"/>
        </w:rPr>
        <w:t>eir larger counterparts in the 15</w:t>
      </w:r>
      <w:r w:rsidR="00483686" w:rsidRPr="00767A38">
        <w:rPr>
          <w:rFonts w:ascii="Times New Roman" w:eastAsia="Palatino Linotype" w:hAnsi="Times New Roman"/>
        </w:rPr>
        <w:t xml:space="preserve"> series. All the active derivatives have good scores as well as </w:t>
      </w:r>
      <w:r w:rsidR="00C64FB1">
        <w:rPr>
          <w:rFonts w:ascii="Times New Roman" w:eastAsia="Palatino Linotype" w:hAnsi="Times New Roman"/>
          <w:b/>
        </w:rPr>
        <w:t>15</w:t>
      </w:r>
      <w:r w:rsidR="00483686" w:rsidRPr="00767A38">
        <w:rPr>
          <w:rFonts w:ascii="Times New Roman" w:eastAsia="Palatino Linotype" w:hAnsi="Times New Roman"/>
          <w:b/>
        </w:rPr>
        <w:t>c</w:t>
      </w:r>
      <w:r w:rsidR="00483686" w:rsidRPr="00767A38">
        <w:rPr>
          <w:rFonts w:ascii="Times New Roman" w:eastAsia="Palatino Linotype" w:hAnsi="Times New Roman"/>
        </w:rPr>
        <w:t xml:space="preserve">, which </w:t>
      </w:r>
      <w:r w:rsidR="00CB62C5">
        <w:rPr>
          <w:rFonts w:ascii="Times New Roman" w:eastAsia="Palatino Linotype" w:hAnsi="Times New Roman"/>
        </w:rPr>
        <w:t xml:space="preserve">interestingly </w:t>
      </w:r>
      <w:r w:rsidR="00BE7363">
        <w:rPr>
          <w:rFonts w:ascii="Times New Roman" w:eastAsia="Palatino Linotype" w:hAnsi="Times New Roman"/>
        </w:rPr>
        <w:t>is</w:t>
      </w:r>
      <w:r w:rsidR="00483686" w:rsidRPr="00767A38">
        <w:rPr>
          <w:rFonts w:ascii="Times New Roman" w:eastAsia="Palatino Linotype" w:hAnsi="Times New Roman"/>
        </w:rPr>
        <w:t xml:space="preserve"> </w:t>
      </w:r>
      <w:proofErr w:type="spellStart"/>
      <w:r w:rsidR="00BE7363">
        <w:rPr>
          <w:rFonts w:ascii="Times New Roman" w:eastAsia="Palatino Linotype" w:hAnsi="Times New Roman"/>
        </w:rPr>
        <w:t>in</w:t>
      </w:r>
      <w:r w:rsidR="00483686" w:rsidRPr="00767A38">
        <w:rPr>
          <w:rFonts w:ascii="Times New Roman" w:eastAsia="Palatino Linotype" w:hAnsi="Times New Roman"/>
        </w:rPr>
        <w:t>activit</w:t>
      </w:r>
      <w:r w:rsidR="00BE7363">
        <w:rPr>
          <w:rFonts w:ascii="Times New Roman" w:eastAsia="Palatino Linotype" w:hAnsi="Times New Roman"/>
        </w:rPr>
        <w:t>e</w:t>
      </w:r>
      <w:proofErr w:type="spellEnd"/>
      <w:r w:rsidR="00483686" w:rsidRPr="00767A38">
        <w:rPr>
          <w:rFonts w:ascii="Times New Roman" w:eastAsia="Palatino Linotype" w:hAnsi="Times New Roman"/>
        </w:rPr>
        <w:t xml:space="preserve">. </w:t>
      </w:r>
    </w:p>
    <w:p w14:paraId="78F6E36A" w14:textId="538F64E0" w:rsidR="00483686" w:rsidRPr="00767A38" w:rsidRDefault="00483686" w:rsidP="00483686">
      <w:pPr>
        <w:pStyle w:val="MDPI31text"/>
        <w:spacing w:before="60" w:after="60"/>
        <w:ind w:left="0"/>
        <w:rPr>
          <w:rFonts w:ascii="Times New Roman" w:eastAsia="Palatino Linotype" w:hAnsi="Times New Roman"/>
        </w:rPr>
      </w:pPr>
      <w:r w:rsidRPr="00767A38">
        <w:rPr>
          <w:rFonts w:ascii="Times New Roman" w:eastAsia="Palatino Linotype" w:hAnsi="Times New Roman"/>
        </w:rPr>
        <w:t xml:space="preserve">When the predicted configurations of the ligands were </w:t>
      </w:r>
      <w:proofErr w:type="spellStart"/>
      <w:r w:rsidRPr="00767A38">
        <w:rPr>
          <w:rFonts w:ascii="Times New Roman" w:eastAsia="Palatino Linotype" w:hAnsi="Times New Roman"/>
        </w:rPr>
        <w:t>analysed</w:t>
      </w:r>
      <w:proofErr w:type="spellEnd"/>
      <w:r w:rsidRPr="00767A38">
        <w:rPr>
          <w:rFonts w:ascii="Times New Roman" w:eastAsia="Palatino Linotype" w:hAnsi="Times New Roman"/>
        </w:rPr>
        <w:t xml:space="preserve"> two main </w:t>
      </w:r>
      <w:r w:rsidR="00C64FB1">
        <w:rPr>
          <w:rFonts w:ascii="Times New Roman" w:eastAsia="Palatino Linotype" w:hAnsi="Times New Roman"/>
        </w:rPr>
        <w:t>binding modes appeared for the 15</w:t>
      </w:r>
      <w:r w:rsidRPr="00767A38">
        <w:rPr>
          <w:rFonts w:ascii="Times New Roman" w:eastAsia="Palatino Linotype" w:hAnsi="Times New Roman"/>
        </w:rPr>
        <w:t xml:space="preserve"> series, excluding </w:t>
      </w:r>
      <w:r w:rsidRPr="00767A38">
        <w:rPr>
          <w:rFonts w:ascii="Times New Roman" w:eastAsia="Palatino Linotype" w:hAnsi="Times New Roman"/>
          <w:b/>
        </w:rPr>
        <w:t>15g</w:t>
      </w:r>
      <w:r w:rsidRPr="00767A38">
        <w:rPr>
          <w:rFonts w:ascii="Times New Roman" w:eastAsia="Palatino Linotype" w:hAnsi="Times New Roman"/>
        </w:rPr>
        <w:t xml:space="preserve"> and </w:t>
      </w:r>
      <w:r w:rsidRPr="00767A38">
        <w:rPr>
          <w:rFonts w:ascii="Times New Roman" w:eastAsia="Palatino Linotype" w:hAnsi="Times New Roman"/>
          <w:b/>
        </w:rPr>
        <w:t>16h</w:t>
      </w:r>
      <w:r w:rsidRPr="00767A38">
        <w:rPr>
          <w:rFonts w:ascii="Times New Roman" w:eastAsia="Palatino Linotype" w:hAnsi="Times New Roman"/>
        </w:rPr>
        <w:t>;</w:t>
      </w:r>
      <w:r w:rsidRPr="00767A38">
        <w:rPr>
          <w:rFonts w:ascii="Times New Roman" w:eastAsia="Palatino Linotype" w:hAnsi="Times New Roman"/>
          <w:b/>
        </w:rPr>
        <w:t xml:space="preserve"> </w:t>
      </w:r>
      <w:r w:rsidRPr="00767A38">
        <w:rPr>
          <w:rFonts w:ascii="Times New Roman" w:eastAsia="Palatino Linotype" w:hAnsi="Times New Roman"/>
        </w:rPr>
        <w:t xml:space="preserve">e.g., for ligand </w:t>
      </w:r>
      <w:r w:rsidRPr="00767A38">
        <w:rPr>
          <w:rFonts w:ascii="Times New Roman" w:eastAsia="Palatino Linotype" w:hAnsi="Times New Roman"/>
          <w:b/>
        </w:rPr>
        <w:t>15fRS</w:t>
      </w:r>
      <w:r w:rsidRPr="00767A38">
        <w:rPr>
          <w:rFonts w:ascii="Times New Roman" w:eastAsia="Palatino Linotype" w:hAnsi="Times New Roman"/>
        </w:rPr>
        <w:t xml:space="preserve"> these two binding modes are shown in </w:t>
      </w:r>
      <w:r w:rsidR="00A64F3C" w:rsidRPr="002706E7">
        <w:rPr>
          <w:rFonts w:ascii="Times New Roman" w:eastAsia="Palatino Linotype" w:hAnsi="Times New Roman"/>
          <w:b/>
        </w:rPr>
        <w:t>Fig.</w:t>
      </w:r>
      <w:r w:rsidRPr="002706E7">
        <w:rPr>
          <w:rFonts w:ascii="Times New Roman" w:eastAsia="Palatino Linotype" w:hAnsi="Times New Roman"/>
          <w:b/>
        </w:rPr>
        <w:t xml:space="preserve"> 4</w:t>
      </w:r>
      <w:r w:rsidR="00BE7363">
        <w:rPr>
          <w:rFonts w:ascii="Times New Roman" w:eastAsia="Palatino Linotype" w:hAnsi="Times New Roman"/>
        </w:rPr>
        <w:t>;</w:t>
      </w:r>
      <w:r w:rsidR="00BE7363" w:rsidRPr="00767A38">
        <w:rPr>
          <w:rFonts w:ascii="Times New Roman" w:eastAsia="Palatino Linotype" w:hAnsi="Times New Roman"/>
        </w:rPr>
        <w:t xml:space="preserve"> </w:t>
      </w:r>
      <w:r w:rsidR="00BE7363">
        <w:rPr>
          <w:rFonts w:ascii="Times New Roman" w:eastAsia="Palatino Linotype" w:hAnsi="Times New Roman"/>
        </w:rPr>
        <w:t>a</w:t>
      </w:r>
      <w:r w:rsidR="00BE7363" w:rsidRPr="00767A38">
        <w:rPr>
          <w:rFonts w:ascii="Times New Roman" w:eastAsia="Palatino Linotype" w:hAnsi="Times New Roman"/>
        </w:rPr>
        <w:t xml:space="preserve">s </w:t>
      </w:r>
      <w:r w:rsidRPr="00767A38">
        <w:rPr>
          <w:rFonts w:ascii="Times New Roman" w:eastAsia="Palatino Linotype" w:hAnsi="Times New Roman"/>
        </w:rPr>
        <w:t xml:space="preserve">can be seen both configurations occupy the catalytic pocket and fit well into the binding site of the enzyme. The terpene </w:t>
      </w:r>
      <w:r w:rsidR="00860911">
        <w:rPr>
          <w:rFonts w:ascii="Times New Roman" w:eastAsia="Palatino Linotype" w:hAnsi="Times New Roman"/>
        </w:rPr>
        <w:t>fragment</w:t>
      </w:r>
      <w:r w:rsidRPr="00767A38">
        <w:rPr>
          <w:rFonts w:ascii="Times New Roman" w:eastAsia="Palatino Linotype" w:hAnsi="Times New Roman"/>
        </w:rPr>
        <w:t xml:space="preserve"> is either placed in a lipophilic groove close to the allosteric site (</w:t>
      </w:r>
      <w:r w:rsidR="00A64F3C" w:rsidRPr="00767A38">
        <w:rPr>
          <w:rFonts w:ascii="Times New Roman" w:eastAsia="Palatino Linotype" w:hAnsi="Times New Roman"/>
          <w:b/>
        </w:rPr>
        <w:t>Fig.</w:t>
      </w:r>
      <w:r w:rsidRPr="00767A38">
        <w:rPr>
          <w:rFonts w:ascii="Times New Roman" w:eastAsia="Palatino Linotype" w:hAnsi="Times New Roman"/>
          <w:b/>
        </w:rPr>
        <w:t xml:space="preserve"> 4A</w:t>
      </w:r>
      <w:r w:rsidRPr="00767A38">
        <w:rPr>
          <w:rFonts w:ascii="Times New Roman" w:eastAsia="Palatino Linotype" w:hAnsi="Times New Roman"/>
        </w:rPr>
        <w:t>) or into a cleft (</w:t>
      </w:r>
      <w:r w:rsidR="00A64F3C" w:rsidRPr="00767A38">
        <w:rPr>
          <w:rFonts w:ascii="Times New Roman" w:eastAsia="Palatino Linotype" w:hAnsi="Times New Roman"/>
          <w:b/>
        </w:rPr>
        <w:t>Fig.</w:t>
      </w:r>
      <w:r w:rsidRPr="00767A38">
        <w:rPr>
          <w:rFonts w:ascii="Times New Roman" w:eastAsia="Palatino Linotype" w:hAnsi="Times New Roman"/>
          <w:b/>
        </w:rPr>
        <w:t xml:space="preserve"> 4B</w:t>
      </w:r>
      <w:r w:rsidRPr="00767A38">
        <w:rPr>
          <w:rFonts w:ascii="Times New Roman" w:eastAsia="Palatino Linotype" w:hAnsi="Times New Roman"/>
        </w:rPr>
        <w:t xml:space="preserve">). In many cases for the configuration shown in </w:t>
      </w:r>
      <w:r w:rsidR="00BE7363" w:rsidRPr="00CF0B3B">
        <w:rPr>
          <w:rFonts w:ascii="Times New Roman" w:eastAsia="Palatino Linotype" w:hAnsi="Times New Roman"/>
          <w:b/>
        </w:rPr>
        <w:t>Fig</w:t>
      </w:r>
      <w:r w:rsidR="00BE7363">
        <w:rPr>
          <w:rFonts w:ascii="Times New Roman" w:eastAsia="Palatino Linotype" w:hAnsi="Times New Roman"/>
          <w:b/>
        </w:rPr>
        <w:t>.</w:t>
      </w:r>
      <w:r w:rsidR="00BE7363" w:rsidRPr="00CF0B3B">
        <w:rPr>
          <w:rFonts w:ascii="Times New Roman" w:eastAsia="Palatino Linotype" w:hAnsi="Times New Roman"/>
          <w:b/>
        </w:rPr>
        <w:t xml:space="preserve"> </w:t>
      </w:r>
      <w:r w:rsidR="000770DE">
        <w:rPr>
          <w:rFonts w:ascii="Times New Roman" w:eastAsia="Palatino Linotype" w:hAnsi="Times New Roman"/>
          <w:b/>
        </w:rPr>
        <w:t>4</w:t>
      </w:r>
      <w:r w:rsidR="000770DE" w:rsidRPr="00CF0B3B">
        <w:rPr>
          <w:rFonts w:ascii="Times New Roman" w:eastAsia="Palatino Linotype" w:hAnsi="Times New Roman"/>
          <w:b/>
        </w:rPr>
        <w:t>A</w:t>
      </w:r>
      <w:r w:rsidR="000770DE" w:rsidRPr="00767A38">
        <w:rPr>
          <w:rFonts w:ascii="Times New Roman" w:eastAsia="Palatino Linotype" w:hAnsi="Times New Roman"/>
        </w:rPr>
        <w:t xml:space="preserve"> </w:t>
      </w:r>
      <w:r w:rsidRPr="00767A38">
        <w:rPr>
          <w:rFonts w:ascii="Times New Roman" w:eastAsia="Palatino Linotype" w:hAnsi="Times New Roman"/>
        </w:rPr>
        <w:t xml:space="preserve">the terpene </w:t>
      </w:r>
      <w:r w:rsidR="00860911">
        <w:rPr>
          <w:rFonts w:ascii="Times New Roman" w:eastAsia="Palatino Linotype" w:hAnsi="Times New Roman"/>
        </w:rPr>
        <w:t>fragment</w:t>
      </w:r>
      <w:r w:rsidRPr="00767A38">
        <w:rPr>
          <w:rFonts w:ascii="Times New Roman" w:eastAsia="Palatino Linotype" w:hAnsi="Times New Roman"/>
        </w:rPr>
        <w:t xml:space="preserve"> is placed deeper in the groove further away from the allosteric site. The phenyl ring is either placed in the cleft (</w:t>
      </w:r>
      <w:r w:rsidR="00A64F3C" w:rsidRPr="00767A38">
        <w:rPr>
          <w:rFonts w:ascii="Times New Roman" w:eastAsia="Palatino Linotype" w:hAnsi="Times New Roman"/>
          <w:b/>
        </w:rPr>
        <w:t>Fig.</w:t>
      </w:r>
      <w:r w:rsidRPr="00767A38">
        <w:rPr>
          <w:rFonts w:ascii="Times New Roman" w:eastAsia="Palatino Linotype" w:hAnsi="Times New Roman"/>
          <w:b/>
        </w:rPr>
        <w:t xml:space="preserve"> 4A</w:t>
      </w:r>
      <w:r w:rsidRPr="00767A38">
        <w:rPr>
          <w:rFonts w:ascii="Times New Roman" w:eastAsia="Palatino Linotype" w:hAnsi="Times New Roman"/>
        </w:rPr>
        <w:t>) or in a shallow pocket on the side of the binding site (</w:t>
      </w:r>
      <w:r w:rsidR="00A64F3C" w:rsidRPr="00767A38">
        <w:rPr>
          <w:rFonts w:ascii="Times New Roman" w:eastAsia="Palatino Linotype" w:hAnsi="Times New Roman"/>
          <w:b/>
        </w:rPr>
        <w:t>Fig.</w:t>
      </w:r>
      <w:r w:rsidRPr="00767A38">
        <w:rPr>
          <w:rFonts w:ascii="Times New Roman" w:eastAsia="Palatino Linotype" w:hAnsi="Times New Roman"/>
          <w:b/>
        </w:rPr>
        <w:t xml:space="preserve"> 4B</w:t>
      </w:r>
      <w:r w:rsidRPr="00767A38">
        <w:rPr>
          <w:rFonts w:ascii="Times New Roman" w:eastAsia="Palatino Linotype" w:hAnsi="Times New Roman"/>
        </w:rPr>
        <w:t xml:space="preserve">). The configuration depicted in </w:t>
      </w:r>
      <w:r w:rsidR="00A64F3C" w:rsidRPr="00767A38">
        <w:rPr>
          <w:rFonts w:ascii="Times New Roman" w:eastAsia="Palatino Linotype" w:hAnsi="Times New Roman"/>
          <w:b/>
        </w:rPr>
        <w:t>Fig.</w:t>
      </w:r>
      <w:r w:rsidRPr="00767A38">
        <w:rPr>
          <w:rFonts w:ascii="Times New Roman" w:eastAsia="Palatino Linotype" w:hAnsi="Times New Roman"/>
          <w:b/>
        </w:rPr>
        <w:t xml:space="preserve"> 4A</w:t>
      </w:r>
      <w:r w:rsidRPr="00767A38">
        <w:rPr>
          <w:rFonts w:ascii="Times New Roman" w:eastAsia="Palatino Linotype" w:hAnsi="Times New Roman"/>
        </w:rPr>
        <w:t xml:space="preserve"> and </w:t>
      </w:r>
      <w:r w:rsidRPr="00767A38">
        <w:rPr>
          <w:rFonts w:ascii="Times New Roman" w:eastAsia="Palatino Linotype" w:hAnsi="Times New Roman"/>
          <w:b/>
        </w:rPr>
        <w:t>4C</w:t>
      </w:r>
      <w:r w:rsidRPr="00767A38">
        <w:rPr>
          <w:rFonts w:ascii="Times New Roman" w:eastAsia="Palatino Linotype" w:hAnsi="Times New Roman"/>
        </w:rPr>
        <w:t xml:space="preserve"> is predicted to have one hydrogen bonding with the side chain of Asn283 </w:t>
      </w:r>
      <w:r w:rsidRPr="00C64FB1">
        <w:rPr>
          <w:rFonts w:ascii="Times New Roman" w:eastAsia="Palatino Linotype" w:hAnsi="Times New Roman"/>
          <w:i/>
        </w:rPr>
        <w:t>via</w:t>
      </w:r>
      <w:r w:rsidR="00CF0B3B">
        <w:rPr>
          <w:rFonts w:ascii="Times New Roman" w:eastAsia="Palatino Linotype" w:hAnsi="Times New Roman"/>
        </w:rPr>
        <w:t xml:space="preserve"> the carbonyl group in the thiazolidin-4-one</w:t>
      </w:r>
      <w:r w:rsidRPr="00767A38">
        <w:rPr>
          <w:rFonts w:ascii="Times New Roman" w:eastAsia="Palatino Linotype" w:hAnsi="Times New Roman"/>
        </w:rPr>
        <w:t xml:space="preserve"> ring. Interestingly, no hydrogen bonding interaction were predicted for the binding mode shown in </w:t>
      </w:r>
      <w:r w:rsidR="00A64F3C" w:rsidRPr="00767A38">
        <w:rPr>
          <w:rFonts w:ascii="Times New Roman" w:eastAsia="Palatino Linotype" w:hAnsi="Times New Roman"/>
          <w:b/>
        </w:rPr>
        <w:t>Fig.</w:t>
      </w:r>
      <w:r w:rsidRPr="00767A38">
        <w:rPr>
          <w:rFonts w:ascii="Times New Roman" w:eastAsia="Palatino Linotype" w:hAnsi="Times New Roman"/>
          <w:b/>
        </w:rPr>
        <w:t xml:space="preserve"> 4B</w:t>
      </w:r>
      <w:r w:rsidRPr="00767A38">
        <w:rPr>
          <w:rFonts w:ascii="Times New Roman" w:eastAsia="Palatino Linotype" w:hAnsi="Times New Roman"/>
        </w:rPr>
        <w:t xml:space="preserve"> and </w:t>
      </w:r>
      <w:r w:rsidRPr="00767A38">
        <w:rPr>
          <w:rFonts w:ascii="Times New Roman" w:eastAsia="Palatino Linotype" w:hAnsi="Times New Roman"/>
          <w:b/>
        </w:rPr>
        <w:t>4D</w:t>
      </w:r>
      <w:r w:rsidRPr="00767A38">
        <w:rPr>
          <w:rFonts w:ascii="Times New Roman" w:eastAsia="Palatino Linotype" w:hAnsi="Times New Roman"/>
        </w:rPr>
        <w:t xml:space="preserve">, however a lone pair - π bond is </w:t>
      </w:r>
      <w:r w:rsidR="00BE7363">
        <w:rPr>
          <w:rFonts w:ascii="Times New Roman" w:eastAsia="Palatino Linotype" w:hAnsi="Times New Roman"/>
        </w:rPr>
        <w:t>predicted</w:t>
      </w:r>
      <w:r w:rsidR="00BE7363" w:rsidRPr="00767A38">
        <w:rPr>
          <w:rFonts w:ascii="Times New Roman" w:eastAsia="Palatino Linotype" w:hAnsi="Times New Roman"/>
        </w:rPr>
        <w:t xml:space="preserve"> </w:t>
      </w:r>
      <w:r w:rsidRPr="00767A38">
        <w:rPr>
          <w:rFonts w:ascii="Times New Roman" w:eastAsia="Palatino Linotype" w:hAnsi="Times New Roman"/>
        </w:rPr>
        <w:t>between the backbone carbonyl moiety of Pro461 and the phenyl ring.</w:t>
      </w:r>
      <w:r w:rsidRPr="00767A38">
        <w:rPr>
          <w:rFonts w:ascii="Times New Roman" w:eastAsia="Palatino Linotype" w:hAnsi="Times New Roman"/>
          <w:b/>
        </w:rPr>
        <w:t xml:space="preserve"> </w:t>
      </w:r>
    </w:p>
    <w:p w14:paraId="327F4FBF" w14:textId="3F1DC954" w:rsidR="00483686" w:rsidRPr="00767A38" w:rsidRDefault="00483686" w:rsidP="00483686">
      <w:pPr>
        <w:pStyle w:val="MDPI31text"/>
        <w:spacing w:before="60" w:after="60"/>
        <w:ind w:left="0"/>
        <w:rPr>
          <w:rFonts w:ascii="Times New Roman" w:eastAsia="Palatino Linotype" w:hAnsi="Times New Roman"/>
        </w:rPr>
      </w:pPr>
      <w:r w:rsidRPr="00767A38">
        <w:rPr>
          <w:rFonts w:ascii="Times New Roman" w:eastAsia="Palatino Linotype" w:hAnsi="Times New Roman"/>
        </w:rPr>
        <w:t xml:space="preserve">An allosteric binding site was suggested based on molecular dynamics simulations next to the catalytic site as shown in </w:t>
      </w:r>
      <w:r w:rsidR="00A64F3C" w:rsidRPr="00767A38">
        <w:rPr>
          <w:rFonts w:ascii="Times New Roman" w:eastAsia="Palatino Linotype" w:hAnsi="Times New Roman"/>
          <w:b/>
        </w:rPr>
        <w:t>Fig.</w:t>
      </w:r>
      <w:r w:rsidRPr="00767A38">
        <w:rPr>
          <w:rFonts w:ascii="Times New Roman" w:eastAsia="Palatino Linotype" w:hAnsi="Times New Roman"/>
          <w:b/>
        </w:rPr>
        <w:t xml:space="preserve"> 4A</w:t>
      </w:r>
      <w:r w:rsidRPr="00767A38">
        <w:rPr>
          <w:rFonts w:ascii="Times New Roman" w:hAnsi="Times New Roman"/>
        </w:rPr>
        <w:t xml:space="preserve"> </w:t>
      </w:r>
      <w:r w:rsidRPr="00767A38">
        <w:rPr>
          <w:rFonts w:ascii="Times New Roman" w:eastAsia="Palatino Linotype" w:hAnsi="Times New Roman"/>
        </w:rPr>
        <w:fldChar w:fldCharType="begin" w:fldLock="1"/>
      </w:r>
      <w:r w:rsidR="00131813">
        <w:rPr>
          <w:rFonts w:ascii="Times New Roman" w:eastAsia="Palatino Linotype" w:hAnsi="Times New Roman"/>
        </w:rPr>
        <w:instrText>ADDIN CSL_CITATION {"citationItems":[{"id":"ITEM-1","itemData":{"DOI":"10.1021/acs.jnatprod.6b00979","ISSN":"15206025","PMID":"27933897","abstract":"Tyrosyl-DNA phosphodiesterase 1 (TDP1) is a repair enzyme for stalled DNA-topoisomerase 1 (Top1) cleavage complexes and other 3′-end DNA lesions. TDP1 is a perspective target for anticancer therapy based on Top1-poison-mediated DNA damage. Several novel usnic acid derivatives with an enamine moiety have been synthesized and tested as inhibitors of TDP1. The enamines of usnic acid showed IC50 values in the range of 0.16 to 2.0 μM. These compounds revealed moderate cytotoxicity against human tumor MCF-7 cells. These new compounds enhanced the cytotoxicity of the established Top1 poison camptothecin by an order of magnitude.","author":[{"dropping-particle":"","family":"Zakharenko","given":"Alexandra","non-dropping-particle":"","parse-names":false,"suffix":""},{"dropping-particle":"","family":"Luzina","given":"Olga","non-dropping-particle":"","parse-names":false,"suffix":""},{"dropping-particle":"","family":"Koval","given":"Olga","non-dropping-particle":"","parse-names":false,"suffix":""},{"dropping-particle":"","family":"Nilov","given":"Dmitry","non-dropping-particle":"","parse-names":false,"suffix":""},{"dropping-particle":"","family":"Gushchina","given":"Irina","non-dropping-particle":"","parse-names":false,"suffix":""},{"dropping-particle":"","family":"Dyrkheeva","given":"Nadezhda","non-dropping-particle":"","parse-names":false,"suffix":""},{"dropping-particle":"","family":"Švedas","given":"Vytas","non-dropping-particle":"","parse-names":false,"suffix":""},{"dropping-particle":"","family":"Salakhutdinov","given":"Nariman","non-dropping-particle":"","parse-names":false,"suffix":""},{"dropping-particle":"","family":"Lavrik","given":"Olga","non-dropping-particle":"","parse-names":false,"suffix":""}],"container-title":"Journal of Natural Products","id":"ITEM-1","issue":"11","issued":{"date-parts":[["2016"]]},"page":"2961-2967","title":"Tyrosyl-DNA Phosphodiesterase 1 Inhibitors: Usnic Acid Enamines Enhance the Cytotoxic Effect of Camptothecin","type":"article-journal","volume":"79"},"uris":["http://www.mendeley.com/documents/?uuid=27c78261-1df9-47e7-b0d7-4b5edc768d65"]}],"mendeley":{"formattedCitation":"[40]","plainTextFormattedCitation":"[40]","previouslyFormattedCitation":"[40]"},"properties":{"noteIndex":0},"schema":"https://github.com/citation-style-language/schema/raw/master/csl-citation.json"}</w:instrText>
      </w:r>
      <w:r w:rsidRPr="00767A38">
        <w:rPr>
          <w:rFonts w:ascii="Times New Roman" w:eastAsia="Palatino Linotype" w:hAnsi="Times New Roman"/>
        </w:rPr>
        <w:fldChar w:fldCharType="separate"/>
      </w:r>
      <w:r w:rsidR="00066076" w:rsidRPr="00066076">
        <w:rPr>
          <w:rFonts w:ascii="Times New Roman" w:eastAsia="Palatino Linotype" w:hAnsi="Times New Roman"/>
          <w:noProof/>
        </w:rPr>
        <w:t>[40]</w:t>
      </w:r>
      <w:r w:rsidRPr="00767A38">
        <w:rPr>
          <w:rFonts w:ascii="Times New Roman" w:eastAsia="Palatino Linotype" w:hAnsi="Times New Roman"/>
        </w:rPr>
        <w:fldChar w:fldCharType="end"/>
      </w:r>
      <w:r w:rsidRPr="00767A38">
        <w:rPr>
          <w:rFonts w:ascii="Times New Roman" w:eastAsia="Palatino Linotype" w:hAnsi="Times New Roman"/>
        </w:rPr>
        <w:t xml:space="preserve">. Further evidence </w:t>
      </w:r>
      <w:r w:rsidR="002643E4">
        <w:rPr>
          <w:rFonts w:ascii="Times New Roman" w:eastAsia="Palatino Linotype" w:hAnsi="Times New Roman"/>
        </w:rPr>
        <w:t>for</w:t>
      </w:r>
      <w:r w:rsidR="002643E4" w:rsidRPr="00767A38">
        <w:rPr>
          <w:rFonts w:ascii="Times New Roman" w:eastAsia="Palatino Linotype" w:hAnsi="Times New Roman"/>
        </w:rPr>
        <w:t xml:space="preserve"> </w:t>
      </w:r>
      <w:r w:rsidRPr="00767A38">
        <w:rPr>
          <w:rFonts w:ascii="Times New Roman" w:eastAsia="Palatino Linotype" w:hAnsi="Times New Roman"/>
        </w:rPr>
        <w:t xml:space="preserve">this allosteric binding site was found in a combined molecular modelling and structurally activity relationship study of </w:t>
      </w:r>
      <w:proofErr w:type="spellStart"/>
      <w:r w:rsidRPr="00767A38">
        <w:rPr>
          <w:rFonts w:ascii="Times New Roman" w:eastAsia="Palatino Linotype" w:hAnsi="Times New Roman"/>
        </w:rPr>
        <w:t>usnic</w:t>
      </w:r>
      <w:proofErr w:type="spellEnd"/>
      <w:r w:rsidRPr="00767A38">
        <w:rPr>
          <w:rFonts w:ascii="Times New Roman" w:eastAsia="Palatino Linotype" w:hAnsi="Times New Roman"/>
        </w:rPr>
        <w:t xml:space="preserve"> acid derivatives </w:t>
      </w:r>
      <w:r w:rsidRPr="00767A38">
        <w:rPr>
          <w:rFonts w:ascii="Times New Roman" w:eastAsia="Palatino Linotype" w:hAnsi="Times New Roman"/>
        </w:rPr>
        <w:fldChar w:fldCharType="begin" w:fldLock="1"/>
      </w:r>
      <w:r w:rsidRPr="00767A38">
        <w:rPr>
          <w:rFonts w:ascii="Times New Roman" w:eastAsia="Palatino Linotype" w:hAnsi="Times New Roman"/>
        </w:rPr>
        <w:instrText>ADDIN CSL_CITATION {"citationItems":[{"id":"ITEM-1","itemData":{"DOI":"10.3390/ijms222111336","ISSN":"14220067","PMID":"34768766","abstract":"Tyrosyl</w:instrText>
      </w:r>
      <w:r w:rsidRPr="00767A38">
        <w:rPr>
          <w:rFonts w:ascii="Cambria Math" w:eastAsia="Palatino Linotype" w:hAnsi="Cambria Math" w:cs="Cambria Math"/>
        </w:rPr>
        <w:instrText>‐</w:instrText>
      </w:r>
      <w:r w:rsidRPr="00767A38">
        <w:rPr>
          <w:rFonts w:ascii="Times New Roman" w:eastAsia="Palatino Linotype" w:hAnsi="Times New Roman"/>
        </w:rPr>
        <w:instrText>DNA phosphodiesterase 1 (TDP1) catalyzes the cleavage of the phosphodiester bond between the tyrosine residue of topoisomerase 1 (TOP1) and the 3′ phosphate of DNA in the single</w:instrText>
      </w:r>
      <w:r w:rsidRPr="00767A38">
        <w:rPr>
          <w:rFonts w:ascii="Cambria Math" w:eastAsia="Palatino Linotype" w:hAnsi="Cambria Math" w:cs="Cambria Math"/>
        </w:rPr>
        <w:instrText>‐</w:instrText>
      </w:r>
      <w:r w:rsidRPr="00767A38">
        <w:rPr>
          <w:rFonts w:ascii="Times New Roman" w:eastAsia="Palatino Linotype" w:hAnsi="Times New Roman"/>
        </w:rPr>
        <w:instrText>strand break generated by TOP1. TDP1 promotes the cleavage of the stable DNA–TOP1 complexes with the TOP1 inhibitor topotecan, which is a clinically used anticancer drug. This article reports the synthesis and study of usnic acid thioether and sulfoxide derivatives that efficiently suppress TDP1 activity, with IC50 values in the 1.4–25.2 μM range. The structure of the heterocyclic substituent introduced into the dibenzofuran core affects the TDP1 inhibitory efficiency of the com-pounds. A five</w:instrText>
      </w:r>
      <w:r w:rsidRPr="00767A38">
        <w:rPr>
          <w:rFonts w:ascii="Cambria Math" w:eastAsia="Palatino Linotype" w:hAnsi="Cambria Math" w:cs="Cambria Math"/>
        </w:rPr>
        <w:instrText>‐</w:instrText>
      </w:r>
      <w:r w:rsidRPr="00767A38">
        <w:rPr>
          <w:rFonts w:ascii="Times New Roman" w:eastAsia="Palatino Linotype" w:hAnsi="Times New Roman"/>
        </w:rPr>
        <w:instrText>membered heterocyclic fragment was shown to be most pharmacophoric among the others. Sulfoxide derivatives were less cytotoxic than their thioester analogs. We observed an un-competitive type of inhibition for the four most effective inhibitors of TDP1. The anticancer effect of TOP1 inhibitors can be enhanced by the simultaneous inhibition of PARP1, TDP1, and TDP2. Some of the compounds inhibited not only TDP1 but also TDP2 and/or PARP1, but at significantly higher concentration ranges than TDP1. Leader compound 10a showed promising synergy on HeLa cells in conjunction with the TOP1 inhibitor topotecan.","author":[{"dropping-particle":"","family":"Dyrkheeva","given":"Nadezhda S.","non-dropping-particle":"","parse-names":false,"suffix":""},{"dropping-particle":"","family":"Filimonov","given":"Aleksandr S.","non-dropping-particle":"","parse-names":false,"suffix":""},{"dropping-particle":"","family":"Luzina","given":"Olga A.","non-dropping-particle":"","parse-names":false,"suffix":""},{"dropping-particle":"","family":"Orlova","given":"Kristina A.","non-dropping-particle":"","parse-names":false,"suffix":""},{"dropping-particle":"","family":"Chernyshova","given":"Irina A.","non-dropping-particle":"","parse-names":false,"suffix":""},{"dropping-particle":"","family":"Kornienko","given":"Tatyana E.","non-dropping-particle":"","parse-names":false,"suffix":""},{"dropping-particle":"","family":"Malakhova","given":"Anastasia A.","non-dropping-particle":"","parse-names":false,"suffix":""},{"dropping-particle":"","family":"Medvedev","given":"Sergey P.","non-dropping-particle":"","parse-names":false,"suffix":""},{"dropping-particle":"","family":"Zakharenko","given":"Alexandra L.","non-dropping-particle":"","parse-names":false,"suffix":""},{"dropping-particle":"","family":"Ilina","given":"Ekaterina S.","non-dropping-particle":"","parse-names":false,"suffix":""},{"dropping-particle":"","family":"Anarbaev","given":"Rashid O.","non-dropping-particle":"","parse-names":false,"suffix":""},{"dropping-particle":"","family":"Naumenko","given":"Konstantin N.","non-dropping-particle":"","parse-names":false,"suffix":""},{"dropping-particle":"V.","family":"Klabenkova","given":"Kristina","non-dropping-particle":"","parse-names":false,"suffix":""},{"dropping-particle":"","family":"Burakova","given":"Ekaterina A.","non-dropping-particle":"","parse-names":false,"suffix":""},{"dropping-particle":"","family":"Stetsenko","given":"Dmitry A.","non-dropping-particle":"","parse-names":false,"suffix":""},{"dropping-particle":"","family":"Zakian","given":"Suren M.","non-dropping-particle":"","parse-names":false,"suffix":""},{"dropping-particle":"","family":"Salakhutdinov","given":"Nariman F.","non-dropping-particle":"","parse-names":false,"suffix":""},{"dropping-particle":"","family":"Lavrik","given":"Olga I.","non-dropping-particle":"","parse-names":false,"suffix":""}],"container-title":"International Journal of Molecular Sciences","id":"ITEM-1","issue":"21","issued":{"date-parts":[["2021"]]},"title":"New hybrid compounds combining fragments of usnic acid and thioether are inhibitors of human enzymes TDP1, TDP2 and PARP1","type":"article-journal","volume":"22"},"uris":["http://www.mendeley.com/documents/?uuid=8854e889-9538-4b71-b408-b9cbcfb36a51"]}],"mendeley":{"formattedCitation":"[11]","plainTextFormattedCitation":"[11]","previouslyFormattedCitation":"[11]"},"properties":{"noteIndex":0},"schema":"https://github.com/citation-style-language/schema/raw/master/csl-citation.json"}</w:instrText>
      </w:r>
      <w:r w:rsidRPr="00767A38">
        <w:rPr>
          <w:rFonts w:ascii="Times New Roman" w:eastAsia="Palatino Linotype" w:hAnsi="Times New Roman"/>
        </w:rPr>
        <w:fldChar w:fldCharType="separate"/>
      </w:r>
      <w:r w:rsidRPr="00767A38">
        <w:rPr>
          <w:rFonts w:ascii="Times New Roman" w:eastAsia="Palatino Linotype" w:hAnsi="Times New Roman"/>
          <w:noProof/>
        </w:rPr>
        <w:t>[11]</w:t>
      </w:r>
      <w:r w:rsidRPr="00767A38">
        <w:rPr>
          <w:rFonts w:ascii="Times New Roman" w:eastAsia="Palatino Linotype" w:hAnsi="Times New Roman"/>
        </w:rPr>
        <w:fldChar w:fldCharType="end"/>
      </w:r>
      <w:r w:rsidRPr="00767A38">
        <w:rPr>
          <w:rFonts w:ascii="Times New Roman" w:eastAsia="Palatino Linotype" w:hAnsi="Times New Roman"/>
        </w:rPr>
        <w:t xml:space="preserve">. The modelling of the derivatives presented here did not show any special affinity for this allosteric pocket. </w:t>
      </w:r>
    </w:p>
    <w:p w14:paraId="59231E23" w14:textId="2DED34BF" w:rsidR="00483686" w:rsidRPr="00767A38" w:rsidRDefault="00483686" w:rsidP="00483686">
      <w:pPr>
        <w:pStyle w:val="MDPI31text"/>
        <w:spacing w:before="60" w:after="60"/>
        <w:ind w:left="0"/>
        <w:rPr>
          <w:rFonts w:ascii="Times New Roman" w:eastAsia="Palatino Linotype" w:hAnsi="Times New Roman"/>
        </w:rPr>
      </w:pPr>
      <w:r w:rsidRPr="00767A38">
        <w:rPr>
          <w:rFonts w:ascii="Times New Roman" w:eastAsia="Palatino Linotype" w:hAnsi="Times New Roman"/>
        </w:rPr>
        <w:t xml:space="preserve">Derivative </w:t>
      </w:r>
      <w:r w:rsidR="005757EB">
        <w:rPr>
          <w:rFonts w:ascii="Times New Roman" w:eastAsia="Palatino Linotype" w:hAnsi="Times New Roman"/>
          <w:b/>
        </w:rPr>
        <w:t>15</w:t>
      </w:r>
      <w:r w:rsidRPr="00767A38">
        <w:rPr>
          <w:rFonts w:ascii="Times New Roman" w:eastAsia="Palatino Linotype" w:hAnsi="Times New Roman"/>
          <w:b/>
        </w:rPr>
        <w:t>c</w:t>
      </w:r>
      <w:r w:rsidRPr="00767A38">
        <w:rPr>
          <w:rFonts w:ascii="Times New Roman" w:eastAsia="Palatino Linotype" w:hAnsi="Times New Roman"/>
        </w:rPr>
        <w:t>, which has activity &gt; 1</w:t>
      </w:r>
      <w:r w:rsidR="00977F92">
        <w:rPr>
          <w:rFonts w:ascii="Times New Roman" w:eastAsia="Palatino Linotype" w:hAnsi="Times New Roman"/>
        </w:rPr>
        <w:t>00</w:t>
      </w:r>
      <w:r w:rsidRPr="00767A38">
        <w:rPr>
          <w:rFonts w:ascii="Times New Roman" w:eastAsia="Palatino Linotype" w:hAnsi="Times New Roman"/>
        </w:rPr>
        <w:t xml:space="preserve"> </w:t>
      </w:r>
      <w:proofErr w:type="spellStart"/>
      <w:r w:rsidRPr="00767A38">
        <w:rPr>
          <w:rFonts w:ascii="Times New Roman" w:eastAsia="Palatino Linotype" w:hAnsi="Times New Roman"/>
        </w:rPr>
        <w:t>μM</w:t>
      </w:r>
      <w:proofErr w:type="spellEnd"/>
      <w:r w:rsidRPr="00767A38">
        <w:rPr>
          <w:rFonts w:ascii="Times New Roman" w:eastAsia="Palatino Linotype" w:hAnsi="Times New Roman"/>
        </w:rPr>
        <w:t>, did not display different binding mod</w:t>
      </w:r>
      <w:r w:rsidR="002706E7">
        <w:rPr>
          <w:rFonts w:ascii="Times New Roman" w:eastAsia="Palatino Linotype" w:hAnsi="Times New Roman"/>
        </w:rPr>
        <w:t xml:space="preserve">es than the </w:t>
      </w:r>
      <w:r w:rsidR="00BE7363">
        <w:rPr>
          <w:rFonts w:ascii="Times New Roman" w:eastAsia="Palatino Linotype" w:hAnsi="Times New Roman"/>
        </w:rPr>
        <w:t xml:space="preserve">other </w:t>
      </w:r>
      <w:r w:rsidR="002706E7">
        <w:rPr>
          <w:rFonts w:ascii="Times New Roman" w:eastAsia="Palatino Linotype" w:hAnsi="Times New Roman"/>
        </w:rPr>
        <w:t>active 15</w:t>
      </w:r>
      <w:r w:rsidRPr="00767A38">
        <w:rPr>
          <w:rFonts w:ascii="Times New Roman" w:eastAsia="Palatino Linotype" w:hAnsi="Times New Roman"/>
        </w:rPr>
        <w:t xml:space="preserve"> series </w:t>
      </w:r>
      <w:r w:rsidR="00BE7363">
        <w:rPr>
          <w:rFonts w:ascii="Times New Roman" w:eastAsia="Palatino Linotype" w:hAnsi="Times New Roman"/>
        </w:rPr>
        <w:t xml:space="preserve">members </w:t>
      </w:r>
      <w:r w:rsidRPr="00767A38">
        <w:rPr>
          <w:rFonts w:ascii="Times New Roman" w:eastAsia="Palatino Linotype" w:hAnsi="Times New Roman"/>
        </w:rPr>
        <w:t xml:space="preserve">so its lack of efficacy cannot be explained in term of its binding modes to </w:t>
      </w:r>
      <w:r w:rsidR="00BE7363" w:rsidRPr="00767A38">
        <w:rPr>
          <w:rFonts w:ascii="Times New Roman" w:eastAsia="Palatino Linotype" w:hAnsi="Times New Roman"/>
        </w:rPr>
        <w:t>T</w:t>
      </w:r>
      <w:r w:rsidR="00BE7363">
        <w:rPr>
          <w:rFonts w:ascii="Times New Roman" w:eastAsia="Palatino Linotype" w:hAnsi="Times New Roman"/>
        </w:rPr>
        <w:t>DP</w:t>
      </w:r>
      <w:r w:rsidR="00BE7363" w:rsidRPr="00767A38">
        <w:rPr>
          <w:rFonts w:ascii="Times New Roman" w:eastAsia="Palatino Linotype" w:hAnsi="Times New Roman"/>
        </w:rPr>
        <w:t>1</w:t>
      </w:r>
      <w:r w:rsidRPr="00767A38">
        <w:rPr>
          <w:rFonts w:ascii="Times New Roman" w:eastAsia="Palatino Linotype" w:hAnsi="Times New Roman"/>
        </w:rPr>
        <w:t>.</w:t>
      </w:r>
    </w:p>
    <w:p w14:paraId="3348170E" w14:textId="77777777" w:rsidR="00483686" w:rsidRPr="00767A38" w:rsidRDefault="00483686" w:rsidP="00483686">
      <w:pPr>
        <w:pStyle w:val="MDPI31text"/>
        <w:spacing w:before="60" w:after="60"/>
        <w:ind w:left="0"/>
        <w:rPr>
          <w:rFonts w:ascii="Times New Roman" w:eastAsia="Palatino Linotype" w:hAnsi="Times New Roman"/>
        </w:rPr>
      </w:pPr>
      <w:r w:rsidRPr="00767A38">
        <w:rPr>
          <w:rFonts w:ascii="Times New Roman" w:hAnsi="Times New Roman"/>
          <w:noProof/>
          <w:lang w:val="en-GB" w:eastAsia="en-GB" w:bidi="ar-SA"/>
        </w:rPr>
        <w:drawing>
          <wp:inline distT="0" distB="0" distL="0" distR="0" wp14:anchorId="3D5921FB" wp14:editId="1F797AD8">
            <wp:extent cx="2152650" cy="2047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2650" cy="2047875"/>
                    </a:xfrm>
                    <a:prstGeom prst="rect">
                      <a:avLst/>
                    </a:prstGeom>
                    <a:noFill/>
                    <a:ln>
                      <a:noFill/>
                    </a:ln>
                  </pic:spPr>
                </pic:pic>
              </a:graphicData>
            </a:graphic>
          </wp:inline>
        </w:drawing>
      </w:r>
      <w:r w:rsidRPr="00767A38">
        <w:rPr>
          <w:rFonts w:ascii="Times New Roman" w:hAnsi="Times New Roman"/>
          <w:noProof/>
        </w:rPr>
        <w:t xml:space="preserve"> </w:t>
      </w:r>
      <w:r w:rsidRPr="00767A38">
        <w:rPr>
          <w:rFonts w:ascii="Times New Roman" w:hAnsi="Times New Roman"/>
          <w:noProof/>
          <w:lang w:val="en-GB" w:eastAsia="en-GB" w:bidi="ar-SA"/>
        </w:rPr>
        <w:drawing>
          <wp:inline distT="0" distB="0" distL="0" distR="0" wp14:anchorId="126A7016" wp14:editId="185AB7A3">
            <wp:extent cx="1847850" cy="2047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6FA954F7" w14:textId="77777777" w:rsidR="00483686" w:rsidRPr="00767A38" w:rsidRDefault="00483686" w:rsidP="00483686">
      <w:pPr>
        <w:pStyle w:val="MDPI31text"/>
        <w:spacing w:before="60" w:after="60"/>
        <w:ind w:left="0"/>
        <w:rPr>
          <w:rFonts w:ascii="Times New Roman" w:eastAsia="Palatino Linotype" w:hAnsi="Times New Roman"/>
          <w:b/>
        </w:rPr>
      </w:pPr>
      <w:r w:rsidRPr="00767A38">
        <w:rPr>
          <w:rFonts w:ascii="Times New Roman" w:eastAsia="Palatino Linotype" w:hAnsi="Times New Roman"/>
          <w:b/>
        </w:rPr>
        <w:t xml:space="preserve">          </w:t>
      </w:r>
      <w:r w:rsidRPr="00767A38">
        <w:rPr>
          <w:rFonts w:ascii="Times New Roman" w:eastAsia="Palatino Linotype" w:hAnsi="Times New Roman"/>
          <w:b/>
        </w:rPr>
        <w:tab/>
      </w:r>
      <w:r w:rsidRPr="00767A38">
        <w:rPr>
          <w:rFonts w:ascii="Times New Roman" w:eastAsia="Palatino Linotype" w:hAnsi="Times New Roman"/>
          <w:b/>
        </w:rPr>
        <w:tab/>
        <w:t>A</w:t>
      </w:r>
      <w:r w:rsidRPr="00767A38">
        <w:rPr>
          <w:rFonts w:ascii="Times New Roman" w:eastAsia="Palatino Linotype" w:hAnsi="Times New Roman"/>
          <w:b/>
        </w:rPr>
        <w:tab/>
      </w:r>
      <w:r w:rsidRPr="00767A38">
        <w:rPr>
          <w:rFonts w:ascii="Times New Roman" w:eastAsia="Palatino Linotype" w:hAnsi="Times New Roman"/>
          <w:b/>
        </w:rPr>
        <w:tab/>
      </w:r>
      <w:r w:rsidRPr="00767A38">
        <w:rPr>
          <w:rFonts w:ascii="Times New Roman" w:eastAsia="Palatino Linotype" w:hAnsi="Times New Roman"/>
          <w:b/>
        </w:rPr>
        <w:tab/>
      </w:r>
      <w:r w:rsidRPr="00767A38">
        <w:rPr>
          <w:rFonts w:ascii="Times New Roman" w:eastAsia="Palatino Linotype" w:hAnsi="Times New Roman"/>
          <w:b/>
        </w:rPr>
        <w:tab/>
      </w:r>
      <w:r w:rsidRPr="00767A38">
        <w:rPr>
          <w:rFonts w:ascii="Times New Roman" w:eastAsia="Palatino Linotype" w:hAnsi="Times New Roman"/>
          <w:b/>
        </w:rPr>
        <w:tab/>
      </w:r>
      <w:r w:rsidRPr="00767A38">
        <w:rPr>
          <w:rFonts w:ascii="Times New Roman" w:eastAsia="Palatino Linotype" w:hAnsi="Times New Roman"/>
          <w:b/>
        </w:rPr>
        <w:tab/>
      </w:r>
      <w:r w:rsidRPr="00767A38">
        <w:rPr>
          <w:rFonts w:ascii="Times New Roman" w:eastAsia="Palatino Linotype" w:hAnsi="Times New Roman"/>
          <w:b/>
        </w:rPr>
        <w:tab/>
        <w:t>B</w:t>
      </w:r>
    </w:p>
    <w:p w14:paraId="4E2D829D" w14:textId="77777777" w:rsidR="00483686" w:rsidRPr="00767A38" w:rsidRDefault="00483686" w:rsidP="00483686">
      <w:pPr>
        <w:pStyle w:val="MDPI31text"/>
        <w:spacing w:before="60" w:after="60"/>
        <w:ind w:left="0"/>
        <w:rPr>
          <w:rFonts w:ascii="Times New Roman" w:eastAsia="Palatino Linotype" w:hAnsi="Times New Roman"/>
          <w:b/>
        </w:rPr>
      </w:pPr>
      <w:r w:rsidRPr="00767A38">
        <w:rPr>
          <w:rFonts w:ascii="Times New Roman" w:hAnsi="Times New Roman"/>
          <w:noProof/>
          <w:lang w:val="en-GB" w:eastAsia="en-GB" w:bidi="ar-SA"/>
        </w:rPr>
        <w:lastRenderedPageBreak/>
        <w:drawing>
          <wp:inline distT="0" distB="0" distL="0" distR="0" wp14:anchorId="6B43B22B" wp14:editId="1F17002D">
            <wp:extent cx="2066925" cy="2867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6925" cy="2867025"/>
                    </a:xfrm>
                    <a:prstGeom prst="rect">
                      <a:avLst/>
                    </a:prstGeom>
                    <a:noFill/>
                    <a:ln>
                      <a:noFill/>
                    </a:ln>
                  </pic:spPr>
                </pic:pic>
              </a:graphicData>
            </a:graphic>
          </wp:inline>
        </w:drawing>
      </w:r>
      <w:r w:rsidRPr="00767A38">
        <w:rPr>
          <w:rFonts w:ascii="Times New Roman" w:hAnsi="Times New Roman"/>
          <w:noProof/>
          <w:lang w:eastAsia="en-GB"/>
        </w:rPr>
        <w:t xml:space="preserve"> </w:t>
      </w:r>
      <w:r w:rsidRPr="00767A38">
        <w:rPr>
          <w:rFonts w:ascii="Times New Roman" w:hAnsi="Times New Roman"/>
          <w:noProof/>
          <w:lang w:val="en-GB" w:eastAsia="en-GB" w:bidi="ar-SA"/>
        </w:rPr>
        <w:drawing>
          <wp:inline distT="0" distB="0" distL="0" distR="0" wp14:anchorId="506E8F32" wp14:editId="3C784AA1">
            <wp:extent cx="2305050" cy="2838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5050" cy="2838450"/>
                    </a:xfrm>
                    <a:prstGeom prst="rect">
                      <a:avLst/>
                    </a:prstGeom>
                    <a:noFill/>
                    <a:ln>
                      <a:noFill/>
                    </a:ln>
                  </pic:spPr>
                </pic:pic>
              </a:graphicData>
            </a:graphic>
          </wp:inline>
        </w:drawing>
      </w:r>
    </w:p>
    <w:p w14:paraId="42F896AE" w14:textId="77777777" w:rsidR="00483686" w:rsidRPr="00767A38" w:rsidRDefault="00483686" w:rsidP="00483686">
      <w:pPr>
        <w:pStyle w:val="MDPI31text"/>
        <w:spacing w:before="60" w:after="60"/>
        <w:ind w:left="0"/>
        <w:rPr>
          <w:rFonts w:ascii="Times New Roman" w:eastAsia="Palatino Linotype" w:hAnsi="Times New Roman"/>
          <w:b/>
        </w:rPr>
      </w:pPr>
      <w:r w:rsidRPr="00767A38">
        <w:rPr>
          <w:rFonts w:ascii="Times New Roman" w:eastAsia="Palatino Linotype" w:hAnsi="Times New Roman"/>
          <w:b/>
        </w:rPr>
        <w:t xml:space="preserve">                 C</w:t>
      </w:r>
      <w:r w:rsidRPr="00767A38">
        <w:rPr>
          <w:rFonts w:ascii="Times New Roman" w:eastAsia="Palatino Linotype" w:hAnsi="Times New Roman"/>
          <w:b/>
        </w:rPr>
        <w:tab/>
      </w:r>
      <w:r w:rsidRPr="00767A38">
        <w:rPr>
          <w:rFonts w:ascii="Times New Roman" w:eastAsia="Palatino Linotype" w:hAnsi="Times New Roman"/>
          <w:b/>
        </w:rPr>
        <w:tab/>
      </w:r>
      <w:r w:rsidRPr="00767A38">
        <w:rPr>
          <w:rFonts w:ascii="Times New Roman" w:eastAsia="Palatino Linotype" w:hAnsi="Times New Roman"/>
          <w:b/>
        </w:rPr>
        <w:tab/>
      </w:r>
      <w:r w:rsidRPr="00767A38">
        <w:rPr>
          <w:rFonts w:ascii="Times New Roman" w:eastAsia="Palatino Linotype" w:hAnsi="Times New Roman"/>
          <w:b/>
        </w:rPr>
        <w:tab/>
        <w:t xml:space="preserve">             D</w:t>
      </w:r>
    </w:p>
    <w:p w14:paraId="55B95C4A" w14:textId="74C18131" w:rsidR="00483686" w:rsidRPr="00767A38" w:rsidRDefault="00A64F3C" w:rsidP="00483686">
      <w:pPr>
        <w:pStyle w:val="MDPI31text"/>
        <w:spacing w:before="60" w:after="60"/>
        <w:ind w:left="0"/>
        <w:rPr>
          <w:rFonts w:ascii="Times New Roman" w:eastAsia="Palatino Linotype" w:hAnsi="Times New Roman"/>
        </w:rPr>
      </w:pPr>
      <w:r w:rsidRPr="00767A38">
        <w:rPr>
          <w:rFonts w:ascii="Times New Roman" w:eastAsia="Palatino Linotype" w:hAnsi="Times New Roman"/>
          <w:b/>
        </w:rPr>
        <w:t>Fig.</w:t>
      </w:r>
      <w:r w:rsidR="00483686" w:rsidRPr="00767A38">
        <w:rPr>
          <w:rFonts w:ascii="Times New Roman" w:eastAsia="Palatino Linotype" w:hAnsi="Times New Roman"/>
          <w:b/>
        </w:rPr>
        <w:t xml:space="preserve"> 4. </w:t>
      </w:r>
      <w:r w:rsidR="00483686" w:rsidRPr="00767A38">
        <w:rPr>
          <w:rFonts w:ascii="Times New Roman" w:eastAsia="Palatino Linotype" w:hAnsi="Times New Roman"/>
        </w:rPr>
        <w:t xml:space="preserve">The docked pose of </w:t>
      </w:r>
      <w:r w:rsidR="00483686" w:rsidRPr="00767A38">
        <w:rPr>
          <w:rFonts w:ascii="Times New Roman" w:eastAsia="Palatino Linotype" w:hAnsi="Times New Roman"/>
          <w:b/>
        </w:rPr>
        <w:t xml:space="preserve">15fRS </w:t>
      </w:r>
      <w:r w:rsidR="00483686" w:rsidRPr="00767A38">
        <w:rPr>
          <w:rFonts w:ascii="Times New Roman" w:eastAsia="Palatino Linotype" w:hAnsi="Times New Roman"/>
        </w:rPr>
        <w:t xml:space="preserve">in the catalytic site of </w:t>
      </w:r>
      <w:r w:rsidR="002643E4" w:rsidRPr="00767A38">
        <w:rPr>
          <w:rFonts w:ascii="Times New Roman" w:eastAsia="Palatino Linotype" w:hAnsi="Times New Roman"/>
        </w:rPr>
        <w:t>T</w:t>
      </w:r>
      <w:r w:rsidR="002643E4">
        <w:rPr>
          <w:rFonts w:ascii="Times New Roman" w:eastAsia="Palatino Linotype" w:hAnsi="Times New Roman"/>
        </w:rPr>
        <w:t>DP</w:t>
      </w:r>
      <w:r w:rsidR="002643E4" w:rsidRPr="00767A38">
        <w:rPr>
          <w:rFonts w:ascii="Times New Roman" w:eastAsia="Palatino Linotype" w:hAnsi="Times New Roman"/>
        </w:rPr>
        <w:t>1</w:t>
      </w:r>
      <w:r w:rsidR="00483686" w:rsidRPr="00767A38">
        <w:rPr>
          <w:rFonts w:ascii="Times New Roman" w:eastAsia="Palatino Linotype" w:hAnsi="Times New Roman"/>
        </w:rPr>
        <w:t>; the ligand is shown in the ball-and-stick format. (</w:t>
      </w:r>
      <w:r w:rsidR="00483686" w:rsidRPr="00767A38">
        <w:rPr>
          <w:rFonts w:ascii="Times New Roman" w:eastAsia="Palatino Linotype" w:hAnsi="Times New Roman"/>
          <w:b/>
          <w:bCs/>
        </w:rPr>
        <w:t xml:space="preserve">A </w:t>
      </w:r>
      <w:r w:rsidR="00483686" w:rsidRPr="00767A38">
        <w:rPr>
          <w:rFonts w:ascii="Times New Roman" w:eastAsia="Palatino Linotype" w:hAnsi="Times New Roman"/>
          <w:bCs/>
        </w:rPr>
        <w:t>and</w:t>
      </w:r>
      <w:r w:rsidR="00483686" w:rsidRPr="00767A38">
        <w:rPr>
          <w:rFonts w:ascii="Times New Roman" w:eastAsia="Palatino Linotype" w:hAnsi="Times New Roman"/>
          <w:b/>
          <w:bCs/>
        </w:rPr>
        <w:t xml:space="preserve"> B</w:t>
      </w:r>
      <w:r w:rsidR="00483686" w:rsidRPr="00767A38">
        <w:rPr>
          <w:rFonts w:ascii="Times New Roman" w:eastAsia="Palatino Linotype" w:hAnsi="Times New Roman"/>
        </w:rPr>
        <w:t>) The co-</w:t>
      </w:r>
      <w:proofErr w:type="spellStart"/>
      <w:r w:rsidR="00483686" w:rsidRPr="00767A38">
        <w:rPr>
          <w:rFonts w:ascii="Times New Roman" w:eastAsia="Palatino Linotype" w:hAnsi="Times New Roman"/>
        </w:rPr>
        <w:t>crystallised</w:t>
      </w:r>
      <w:proofErr w:type="spellEnd"/>
      <w:r w:rsidR="00483686" w:rsidRPr="00767A38">
        <w:rPr>
          <w:rFonts w:ascii="Times New Roman" w:eastAsia="Palatino Linotype" w:hAnsi="Times New Roman"/>
        </w:rPr>
        <w:t xml:space="preserve"> ligand is depicted as green lines. The protein surface is rendered; blue depicts regions with a partial positive charge on the surface; red depicts regions with a partial negative charge and grey shows neutral areas. (</w:t>
      </w:r>
      <w:r w:rsidR="00483686" w:rsidRPr="00767A38">
        <w:rPr>
          <w:rFonts w:ascii="Times New Roman" w:eastAsia="Palatino Linotype" w:hAnsi="Times New Roman"/>
          <w:b/>
        </w:rPr>
        <w:t>A</w:t>
      </w:r>
      <w:r w:rsidR="00483686" w:rsidRPr="00767A38">
        <w:rPr>
          <w:rFonts w:ascii="Times New Roman" w:eastAsia="Palatino Linotype" w:hAnsi="Times New Roman"/>
        </w:rPr>
        <w:t xml:space="preserve">) The predicted configuration using the </w:t>
      </w:r>
      <w:proofErr w:type="spellStart"/>
      <w:r w:rsidR="00483686" w:rsidRPr="00767A38">
        <w:rPr>
          <w:rFonts w:ascii="Times New Roman" w:eastAsia="Palatino Linotype" w:hAnsi="Times New Roman"/>
        </w:rPr>
        <w:t>ChemPLP</w:t>
      </w:r>
      <w:proofErr w:type="spellEnd"/>
      <w:r w:rsidR="00483686" w:rsidRPr="00767A38">
        <w:rPr>
          <w:rFonts w:ascii="Times New Roman" w:eastAsia="Palatino Linotype" w:hAnsi="Times New Roman"/>
        </w:rPr>
        <w:t xml:space="preserve"> scoring function and (</w:t>
      </w:r>
      <w:r w:rsidR="00483686" w:rsidRPr="00767A38">
        <w:rPr>
          <w:rFonts w:ascii="Times New Roman" w:eastAsia="Palatino Linotype" w:hAnsi="Times New Roman"/>
          <w:b/>
        </w:rPr>
        <w:t>B</w:t>
      </w:r>
      <w:r w:rsidR="00483686" w:rsidRPr="00767A38">
        <w:rPr>
          <w:rFonts w:ascii="Times New Roman" w:eastAsia="Palatino Linotype" w:hAnsi="Times New Roman"/>
        </w:rPr>
        <w:t>) by the ASP scoring function. (</w:t>
      </w:r>
      <w:r w:rsidR="00483686" w:rsidRPr="00767A38">
        <w:rPr>
          <w:rFonts w:ascii="Times New Roman" w:eastAsia="Palatino Linotype" w:hAnsi="Times New Roman"/>
          <w:b/>
          <w:bCs/>
        </w:rPr>
        <w:t xml:space="preserve">C </w:t>
      </w:r>
      <w:r w:rsidR="00483686" w:rsidRPr="00767A38">
        <w:rPr>
          <w:rFonts w:ascii="Times New Roman" w:eastAsia="Palatino Linotype" w:hAnsi="Times New Roman"/>
          <w:bCs/>
        </w:rPr>
        <w:t>and</w:t>
      </w:r>
      <w:r w:rsidR="00483686" w:rsidRPr="00767A38">
        <w:rPr>
          <w:rFonts w:ascii="Times New Roman" w:eastAsia="Palatino Linotype" w:hAnsi="Times New Roman"/>
          <w:b/>
          <w:bCs/>
        </w:rPr>
        <w:t xml:space="preserve"> D</w:t>
      </w:r>
      <w:r w:rsidR="00483686" w:rsidRPr="00767A38">
        <w:rPr>
          <w:rFonts w:ascii="Times New Roman" w:eastAsia="Palatino Linotype" w:hAnsi="Times New Roman"/>
        </w:rPr>
        <w:t>) The catalytic amino acid residues His263 and His493 are shown as sticks as well as the Tyr204 making up the allosteric binding pocket. The adjacent amino acids (&lt; 6 Å), buttressing the ligand, are shown as lines. The hydrogens on the amino acids are not shown for clarity. (</w:t>
      </w:r>
      <w:r w:rsidR="00483686" w:rsidRPr="00767A38">
        <w:rPr>
          <w:rFonts w:ascii="Times New Roman" w:eastAsia="Palatino Linotype" w:hAnsi="Times New Roman"/>
          <w:b/>
        </w:rPr>
        <w:t>C</w:t>
      </w:r>
      <w:r w:rsidR="00483686" w:rsidRPr="00767A38">
        <w:rPr>
          <w:rFonts w:ascii="Times New Roman" w:eastAsia="Palatino Linotype" w:hAnsi="Times New Roman"/>
        </w:rPr>
        <w:t>) Hydrogen bonding (green line - 1.7 Å) is predicted between</w:t>
      </w:r>
      <w:r w:rsidR="00CF0B3B">
        <w:rPr>
          <w:rFonts w:ascii="Times New Roman" w:eastAsia="Palatino Linotype" w:hAnsi="Times New Roman"/>
        </w:rPr>
        <w:t xml:space="preserve"> the carbonyl group in the thiazolidine-4-one</w:t>
      </w:r>
      <w:r w:rsidR="00483686" w:rsidRPr="00767A38">
        <w:rPr>
          <w:rFonts w:ascii="Times New Roman" w:eastAsia="Palatino Linotype" w:hAnsi="Times New Roman"/>
        </w:rPr>
        <w:t xml:space="preserve"> ring and the side chain of Asn283. (</w:t>
      </w:r>
      <w:r w:rsidR="00483686" w:rsidRPr="00767A38">
        <w:rPr>
          <w:rFonts w:ascii="Times New Roman" w:eastAsia="Palatino Linotype" w:hAnsi="Times New Roman"/>
          <w:b/>
        </w:rPr>
        <w:t>D</w:t>
      </w:r>
      <w:r w:rsidR="00483686" w:rsidRPr="00767A38">
        <w:rPr>
          <w:rFonts w:ascii="Times New Roman" w:eastAsia="Palatino Linotype" w:hAnsi="Times New Roman"/>
        </w:rPr>
        <w:t xml:space="preserve">) The phenyl ring forms a lone pair - π bond (green lines ~3.5 Å) with the backbone carbonyl moiety of Pro461.       </w:t>
      </w:r>
    </w:p>
    <w:p w14:paraId="2CEC5559" w14:textId="77777777" w:rsidR="00A7776D" w:rsidRDefault="00483686" w:rsidP="00483686">
      <w:pPr>
        <w:pStyle w:val="MDPI31text"/>
        <w:spacing w:before="60" w:after="60"/>
        <w:ind w:left="0"/>
        <w:rPr>
          <w:rFonts w:ascii="Times New Roman" w:hAnsi="Times New Roman"/>
          <w:szCs w:val="24"/>
        </w:rPr>
      </w:pPr>
      <w:r w:rsidRPr="00DA7852">
        <w:rPr>
          <w:rFonts w:ascii="Times New Roman" w:eastAsia="Palatino Linotype" w:hAnsi="Times New Roman"/>
        </w:rPr>
        <w:t>The calculated molecular descriptors MW (molecular weight), log</w:t>
      </w:r>
      <w:r w:rsidRPr="00DA7852">
        <w:rPr>
          <w:rFonts w:ascii="Times New Roman" w:eastAsia="Palatino Linotype" w:hAnsi="Times New Roman"/>
          <w:i/>
        </w:rPr>
        <w:t xml:space="preserve"> P </w:t>
      </w:r>
      <w:r w:rsidRPr="00DA7852">
        <w:rPr>
          <w:rFonts w:ascii="Times New Roman" w:eastAsia="Palatino Linotype" w:hAnsi="Times New Roman"/>
        </w:rPr>
        <w:t xml:space="preserve">(water-octanol partition coefficient), HD (hydrogen bond donors), HA (hydrogen bond acceptors), PSA (polar surface area) and RB (rotatable bonds) are given in </w:t>
      </w:r>
      <w:r w:rsidRPr="003832AF">
        <w:rPr>
          <w:rFonts w:ascii="Times New Roman" w:eastAsia="Palatino Linotype" w:hAnsi="Times New Roman"/>
          <w:b/>
        </w:rPr>
        <w:t xml:space="preserve">Table </w:t>
      </w:r>
      <w:r w:rsidRPr="003832AF">
        <w:rPr>
          <w:rFonts w:ascii="Times New Roman" w:eastAsia="Palatino Linotype" w:hAnsi="Times New Roman"/>
          <w:b/>
          <w:bCs/>
        </w:rPr>
        <w:t>S2</w:t>
      </w:r>
      <w:r w:rsidR="003832AF" w:rsidRPr="003832AF">
        <w:rPr>
          <w:rFonts w:ascii="Times New Roman" w:eastAsia="Palatino Linotype" w:hAnsi="Times New Roman"/>
          <w:b/>
          <w:bCs/>
        </w:rPr>
        <w:t xml:space="preserve"> </w:t>
      </w:r>
      <w:r w:rsidR="003832AF">
        <w:rPr>
          <w:rFonts w:ascii="Times New Roman" w:eastAsia="Palatino Linotype" w:hAnsi="Times New Roman"/>
          <w:bCs/>
        </w:rPr>
        <w:t>(</w:t>
      </w:r>
      <w:r w:rsidR="003832AF" w:rsidRPr="00F74C1D">
        <w:rPr>
          <w:rFonts w:ascii="Times New Roman" w:hAnsi="Times New Roman"/>
        </w:rPr>
        <w:t>see Supplementary</w:t>
      </w:r>
      <w:r w:rsidR="003832AF">
        <w:rPr>
          <w:rFonts w:ascii="Times New Roman" w:eastAsia="Palatino Linotype" w:hAnsi="Times New Roman"/>
          <w:bCs/>
        </w:rPr>
        <w:t>)</w:t>
      </w:r>
      <w:r w:rsidRPr="00DA7852">
        <w:rPr>
          <w:rFonts w:ascii="Times New Roman" w:eastAsia="Palatino Linotype" w:hAnsi="Times New Roman"/>
        </w:rPr>
        <w:t xml:space="preserve">. The values of the molecular descriptors lie within lead-like chemical space for HD and PSA; drug-like for HA. In the case for RB, MW they span both lead- and drug-like spaces and finally the Log </w:t>
      </w:r>
      <w:r w:rsidRPr="00DA7852">
        <w:rPr>
          <w:rFonts w:ascii="Times New Roman" w:eastAsia="Palatino Linotype" w:hAnsi="Times New Roman"/>
          <w:i/>
        </w:rPr>
        <w:t>P</w:t>
      </w:r>
      <w:r w:rsidRPr="00DA7852">
        <w:rPr>
          <w:rFonts w:ascii="Times New Roman" w:eastAsia="Palatino Linotype" w:hAnsi="Times New Roman"/>
        </w:rPr>
        <w:t xml:space="preserve"> values are in lead-, drug and Known Drug Spaces (KDS) (for the definition of lead-like, drug-like and KDS regions see ref. </w:t>
      </w:r>
      <w:r w:rsidRPr="00DA7852">
        <w:rPr>
          <w:rFonts w:ascii="Times New Roman" w:eastAsia="Palatino Linotype" w:hAnsi="Times New Roman"/>
        </w:rPr>
        <w:fldChar w:fldCharType="begin" w:fldLock="1"/>
      </w:r>
      <w:r w:rsidR="00131813">
        <w:rPr>
          <w:rFonts w:ascii="Times New Roman" w:eastAsia="Palatino Linotype" w:hAnsi="Times New Roman"/>
        </w:rPr>
        <w:instrText xml:space="preserve">ADDIN CSL_CITATION {"citationItems":[{"id":"ITEM-1","itemData":{"DOI":"10.1002/minf.201200103","ISSN":"18681743","abstract":"High throughput screening (HTS) is extensively used to identify hit and lead compounds in drug discovery programmes. Designing quality screening libraries is a challenge in terms of water solubility, stability and potential oral bioavailability of the compounds. Wines are widely consumed and wine compounds are inherently water soluble, stable and relatively non-toxic. Furthermore, many wine compounds have been proved health-beneficial. To evaluate the feasibility to use wine compounds 3317 were collected from the literature. Their physiochemical properties were evaluated with main stream molecular descriptors. According to the results </w:instrText>
      </w:r>
      <w:r w:rsidR="00131813">
        <w:rPr>
          <w:rFonts w:ascii="Cambria Math" w:eastAsia="Palatino Linotype" w:hAnsi="Cambria Math" w:cs="Cambria Math"/>
        </w:rPr>
        <w:instrText>∼</w:instrText>
      </w:r>
      <w:r w:rsidR="00131813">
        <w:rPr>
          <w:rFonts w:ascii="Times New Roman" w:eastAsia="Palatino Linotype" w:hAnsi="Times New Roman"/>
        </w:rPr>
        <w:instrText>25% of the compounds are lead-like; nearly 80% lie within drug-like chemical space and finally 90% conform to known drug space (KDS). The rotatable bonds descriptor was the most effective defining lead-like space. The results suggest that many of the wine compounds are interesting and suitable candidates for screening libraries after suitable filtering. © 2012 Wiley-VCH Verlag GmbH&amp;Co.","author":[{"dropping-particle":"","family":"Zhu","given":"Feng","non-dropping-particle":"","parse-names":false,"suffix":""},{"dropping-particle":"","family":"Logan","given":"Gerard","non-dropping-particle":"","parse-names":false,"suffix":""},{"dropping-particle":"","family":"Reynisson","given":"Jóhannes","non-dropping-particle":"","parse-names":false,"suffix":""}],"container-title":"Molecular Informatics","id":"ITEM-1","issue":"11-12","issued":{"date-parts":[["2012"]]},"page":"847-855","title":"Wine compounds as a source for HTS screening collections. A feasibility study","type":"article-journal","volume":"31"},"uris":["http://www.mendeley.com/documents/?uuid=5166c0f4-f19d-4787-a58a-41409957ad14"]}],"mendeley":{"formattedCitation":"[41]","plainTextFormattedCitation":"[41]","previouslyFormattedCitation":"[41]"},"properties":{"noteIndex":0},"schema":"https://github.com/citation-style-language/schema/raw/master/csl-citation.json"}</w:instrText>
      </w:r>
      <w:r w:rsidRPr="00DA7852">
        <w:rPr>
          <w:rFonts w:ascii="Times New Roman" w:eastAsia="Palatino Linotype" w:hAnsi="Times New Roman"/>
        </w:rPr>
        <w:fldChar w:fldCharType="separate"/>
      </w:r>
      <w:r w:rsidR="00066076" w:rsidRPr="00066076">
        <w:rPr>
          <w:rFonts w:ascii="Times New Roman" w:eastAsia="Palatino Linotype" w:hAnsi="Times New Roman"/>
          <w:noProof/>
        </w:rPr>
        <w:t>[41]</w:t>
      </w:r>
      <w:r w:rsidRPr="00DA7852">
        <w:rPr>
          <w:rFonts w:ascii="Times New Roman" w:eastAsia="Palatino Linotype" w:hAnsi="Times New Roman"/>
        </w:rPr>
        <w:fldChar w:fldCharType="end"/>
      </w:r>
      <w:r w:rsidRPr="00DA7852">
        <w:rPr>
          <w:rFonts w:ascii="Times New Roman" w:eastAsia="Palatino Linotype" w:hAnsi="Times New Roman"/>
        </w:rPr>
        <w:t xml:space="preserve"> and </w:t>
      </w:r>
      <w:r w:rsidRPr="003832AF">
        <w:rPr>
          <w:rFonts w:ascii="Times New Roman" w:eastAsia="Palatino Linotype" w:hAnsi="Times New Roman"/>
          <w:b/>
        </w:rPr>
        <w:t>Table S3</w:t>
      </w:r>
      <w:r w:rsidR="003832AF">
        <w:rPr>
          <w:rFonts w:ascii="Times New Roman" w:eastAsia="Palatino Linotype" w:hAnsi="Times New Roman"/>
        </w:rPr>
        <w:t xml:space="preserve"> (</w:t>
      </w:r>
      <w:r w:rsidR="003832AF" w:rsidRPr="00F74C1D">
        <w:rPr>
          <w:rFonts w:ascii="Times New Roman" w:hAnsi="Times New Roman"/>
        </w:rPr>
        <w:t>see Supplementary</w:t>
      </w:r>
      <w:r w:rsidR="003832AF">
        <w:rPr>
          <w:rFonts w:ascii="Times New Roman" w:eastAsia="Palatino Linotype" w:hAnsi="Times New Roman"/>
        </w:rPr>
        <w:t>)</w:t>
      </w:r>
      <w:r w:rsidRPr="00DA7852">
        <w:rPr>
          <w:rFonts w:ascii="Times New Roman" w:eastAsia="Palatino Linotype" w:hAnsi="Times New Roman"/>
        </w:rPr>
        <w:t xml:space="preserve">). The enantiomers and </w:t>
      </w:r>
      <w:r w:rsidRPr="00DA7852">
        <w:rPr>
          <w:rFonts w:ascii="Times New Roman" w:hAnsi="Times New Roman"/>
          <w:szCs w:val="24"/>
        </w:rPr>
        <w:t xml:space="preserve">diastereomers have the same values for all the molecular descriptors except for Log </w:t>
      </w:r>
      <w:r w:rsidRPr="00DA7852">
        <w:rPr>
          <w:rFonts w:ascii="Times New Roman" w:hAnsi="Times New Roman"/>
          <w:i/>
          <w:szCs w:val="24"/>
        </w:rPr>
        <w:t>P</w:t>
      </w:r>
      <w:r w:rsidRPr="00DA7852">
        <w:rPr>
          <w:rFonts w:ascii="Times New Roman" w:hAnsi="Times New Roman"/>
          <w:szCs w:val="24"/>
        </w:rPr>
        <w:t xml:space="preserve"> and PSA, which are structure dependent. All the descriptors for the i</w:t>
      </w:r>
      <w:r w:rsidR="00A45DF6">
        <w:rPr>
          <w:rFonts w:ascii="Times New Roman" w:hAnsi="Times New Roman"/>
          <w:szCs w:val="24"/>
        </w:rPr>
        <w:t>nactive derivatives of series 16</w:t>
      </w:r>
      <w:r w:rsidRPr="00DA7852">
        <w:rPr>
          <w:rFonts w:ascii="Times New Roman" w:hAnsi="Times New Roman"/>
          <w:szCs w:val="24"/>
        </w:rPr>
        <w:t xml:space="preserve">, plus </w:t>
      </w:r>
      <w:r w:rsidRPr="00DA7852">
        <w:rPr>
          <w:rFonts w:ascii="Times New Roman" w:hAnsi="Times New Roman"/>
          <w:b/>
          <w:szCs w:val="24"/>
        </w:rPr>
        <w:t>15g</w:t>
      </w:r>
      <w:r w:rsidRPr="00DA7852">
        <w:rPr>
          <w:rFonts w:ascii="Times New Roman" w:hAnsi="Times New Roman"/>
          <w:szCs w:val="24"/>
        </w:rPr>
        <w:t xml:space="preserve"> and </w:t>
      </w:r>
      <w:r w:rsidRPr="00DA7852">
        <w:rPr>
          <w:rFonts w:ascii="Times New Roman" w:hAnsi="Times New Roman"/>
          <w:b/>
          <w:szCs w:val="24"/>
        </w:rPr>
        <w:t>16h</w:t>
      </w:r>
      <w:r w:rsidRPr="00DA7852">
        <w:rPr>
          <w:rFonts w:ascii="Times New Roman" w:hAnsi="Times New Roman"/>
          <w:szCs w:val="24"/>
        </w:rPr>
        <w:t xml:space="preserve">, have lower values than the active compounds in series 15. It is not possible to explain the lack of activity for </w:t>
      </w:r>
      <w:r w:rsidRPr="00DA7852">
        <w:rPr>
          <w:rFonts w:ascii="Times New Roman" w:hAnsi="Times New Roman"/>
          <w:b/>
          <w:szCs w:val="24"/>
        </w:rPr>
        <w:t xml:space="preserve">15c </w:t>
      </w:r>
      <w:r w:rsidRPr="00DA7852">
        <w:rPr>
          <w:rFonts w:ascii="Times New Roman" w:hAnsi="Times New Roman"/>
          <w:szCs w:val="24"/>
        </w:rPr>
        <w:t xml:space="preserve">based on its physicochemical properties, as they are practically the same as for </w:t>
      </w:r>
      <w:r w:rsidR="00A45DF6">
        <w:rPr>
          <w:rFonts w:ascii="Times New Roman" w:hAnsi="Times New Roman"/>
          <w:szCs w:val="24"/>
        </w:rPr>
        <w:t>the active compounds in series 15</w:t>
      </w:r>
      <w:r w:rsidRPr="00DA7852">
        <w:rPr>
          <w:rFonts w:ascii="Times New Roman" w:hAnsi="Times New Roman"/>
          <w:szCs w:val="24"/>
        </w:rPr>
        <w:t>.</w:t>
      </w:r>
    </w:p>
    <w:p w14:paraId="43165CDF" w14:textId="5A043220" w:rsidR="00483686" w:rsidRPr="00A7776D" w:rsidRDefault="00A7776D" w:rsidP="00483686">
      <w:pPr>
        <w:pStyle w:val="MDPI31text"/>
        <w:spacing w:before="60" w:after="60"/>
        <w:ind w:left="0"/>
        <w:rPr>
          <w:rFonts w:ascii="Times New Roman" w:hAnsi="Times New Roman"/>
          <w:color w:val="FF0000"/>
          <w:szCs w:val="24"/>
        </w:rPr>
      </w:pPr>
      <w:r>
        <w:rPr>
          <w:rFonts w:ascii="Times New Roman" w:hAnsi="Times New Roman"/>
          <w:color w:val="FF0000"/>
          <w:szCs w:val="24"/>
        </w:rPr>
        <w:t xml:space="preserve">JR: </w:t>
      </w:r>
      <w:r w:rsidRPr="00A7776D">
        <w:rPr>
          <w:rFonts w:ascii="Times New Roman" w:hAnsi="Times New Roman"/>
          <w:color w:val="FF0000"/>
          <w:szCs w:val="24"/>
        </w:rPr>
        <w:t>Either move to Supplementary or simply delete</w:t>
      </w:r>
      <w:r w:rsidR="00483686" w:rsidRPr="00A7776D">
        <w:rPr>
          <w:rFonts w:ascii="Times New Roman" w:hAnsi="Times New Roman"/>
          <w:color w:val="FF0000"/>
          <w:szCs w:val="24"/>
        </w:rPr>
        <w:t xml:space="preserve">  </w:t>
      </w:r>
    </w:p>
    <w:p w14:paraId="4BF5B69F" w14:textId="77777777" w:rsidR="00483686" w:rsidRPr="00A7776D" w:rsidRDefault="00483686" w:rsidP="00483686">
      <w:pPr>
        <w:pStyle w:val="MDPI31text"/>
        <w:spacing w:before="60" w:after="60"/>
        <w:ind w:left="0"/>
        <w:rPr>
          <w:rFonts w:ascii="Times New Roman" w:eastAsia="Palatino Linotype" w:hAnsi="Times New Roman"/>
          <w:highlight w:val="yellow"/>
        </w:rPr>
      </w:pPr>
      <w:r w:rsidRPr="00A7776D">
        <w:rPr>
          <w:rFonts w:ascii="Times New Roman" w:eastAsia="Palatino Linotype" w:hAnsi="Times New Roman"/>
          <w:highlight w:val="yellow"/>
        </w:rPr>
        <w:t>The Known Drug Indexes (KDIs) for the ligands were calculated to gauge the balance of the molecular descriptors (MW, log P, HD, HA, PSA and RB). This method is based on the analysis of drugs in clinical use, i.e., the statistical distribution of each descriptor is fitted to a Gaussian function and normalized to 1 resulting in a weighted index. Both the summation of the indexes (KDI</w:t>
      </w:r>
      <w:r w:rsidRPr="00A7776D">
        <w:rPr>
          <w:rFonts w:ascii="Times New Roman" w:eastAsia="Palatino Linotype" w:hAnsi="Times New Roman"/>
          <w:highlight w:val="yellow"/>
          <w:vertAlign w:val="subscript"/>
        </w:rPr>
        <w:t>2a</w:t>
      </w:r>
      <w:r w:rsidRPr="00A7776D">
        <w:rPr>
          <w:rFonts w:ascii="Times New Roman" w:eastAsia="Palatino Linotype" w:hAnsi="Times New Roman"/>
          <w:highlight w:val="yellow"/>
        </w:rPr>
        <w:t>) and multiplication (KDI</w:t>
      </w:r>
      <w:r w:rsidRPr="00A7776D">
        <w:rPr>
          <w:rFonts w:ascii="Times New Roman" w:eastAsia="Palatino Linotype" w:hAnsi="Times New Roman"/>
          <w:highlight w:val="yellow"/>
          <w:vertAlign w:val="subscript"/>
        </w:rPr>
        <w:t>2b</w:t>
      </w:r>
      <w:r w:rsidRPr="00A7776D">
        <w:rPr>
          <w:rFonts w:ascii="Times New Roman" w:eastAsia="Palatino Linotype" w:hAnsi="Times New Roman"/>
          <w:highlight w:val="yellow"/>
        </w:rPr>
        <w:t xml:space="preserve">) methods were used </w:t>
      </w:r>
      <w:r w:rsidRPr="00A7776D">
        <w:rPr>
          <w:rFonts w:ascii="Times New Roman" w:eastAsia="Palatino Linotype" w:hAnsi="Times New Roman"/>
          <w:highlight w:val="yellow"/>
        </w:rPr>
        <w:fldChar w:fldCharType="begin" w:fldLock="1"/>
      </w:r>
      <w:r w:rsidR="00131813" w:rsidRPr="00A7776D">
        <w:rPr>
          <w:rFonts w:ascii="Times New Roman" w:eastAsia="Palatino Linotype" w:hAnsi="Times New Roman"/>
          <w:highlight w:val="yellow"/>
        </w:rPr>
        <w:instrText>ADDIN CSL_CITATION {"citationItems":[{"id":"ITEM-1","itemData":{"DOI":"10.1002/minf.201800068","ISSN":"18681751","PMID":"30345657","abstract":"1880 known drugs were collected and analysed for their mainstream molecular descriptors: MW, log P, HA, HD, RB and PSA. The statistical distributions were fitted to Gaussian functions for each of the descriptors. This gave a mathematical tool to calculate a weighted score, or an Index, for each descriptor. Known Drug Indexes (KDIs) were derived either by summation or multiplication of the Indexes, giving one number for each molecule calculated. The KDI summation and multiplication methods give a theoretical maxima of 6 and 1 respectively. According to both methods, methysergide (5.89/0.90), amsacrine (5.89/0.89) and fluorometholone (5.88/0.88) have the scores of the most well-balanced pharmaceuticals. The KDIs are advantageous tools in identifying the most well-balanced screening compounds based on the properties of known drugs; the screening collection can be optimised to only include quality compounds, which in turn produce tractable hit and lead compounds from the screening campaign.","author":[{"dropping-particle":"","family":"Eurtivong","given":"Chatchakorn","non-dropping-particle":"","parse-names":false,"suffix":""},{"dropping-particle":"","family":"Reynisson","given":"Jóhannes","non-dropping-particle":"","parse-names":false,"suffix":""}],"container-title":"Molecular Informatics","id":"ITEM-1","issue":"3","issued":{"date-parts":[["2019"]]},"title":"The Development of a Weighted Index to Optimise Compound Libraries for High Throughput Screening","type":"article-journal","volume":"38"},"uris":["http://www.mendeley.com/documents/?uuid=0a5e5b8d-49f5-47f4-b417-823795d4c48c"]}],"mendeley":{"formattedCitation":"[42]","plainTextFormattedCitation":"[42]","previouslyFormattedCitation":"[42]"},"properties":{"noteIndex":0},"schema":"https://github.com/citation-style-language/schema/raw/master/csl-citation.json"}</w:instrText>
      </w:r>
      <w:r w:rsidRPr="00A7776D">
        <w:rPr>
          <w:rFonts w:ascii="Times New Roman" w:eastAsia="Palatino Linotype" w:hAnsi="Times New Roman"/>
          <w:highlight w:val="yellow"/>
        </w:rPr>
        <w:fldChar w:fldCharType="separate"/>
      </w:r>
      <w:r w:rsidR="00066076" w:rsidRPr="00A7776D">
        <w:rPr>
          <w:rFonts w:ascii="Times New Roman" w:eastAsia="Palatino Linotype" w:hAnsi="Times New Roman"/>
          <w:noProof/>
          <w:highlight w:val="yellow"/>
        </w:rPr>
        <w:t>[42]</w:t>
      </w:r>
      <w:r w:rsidRPr="00A7776D">
        <w:rPr>
          <w:rFonts w:ascii="Times New Roman" w:eastAsia="Palatino Linotype" w:hAnsi="Times New Roman"/>
          <w:highlight w:val="yellow"/>
        </w:rPr>
        <w:fldChar w:fldCharType="end"/>
      </w:r>
      <w:r w:rsidRPr="00A7776D">
        <w:rPr>
          <w:rFonts w:ascii="Times New Roman" w:eastAsia="Palatino Linotype" w:hAnsi="Times New Roman"/>
          <w:highlight w:val="yellow"/>
        </w:rPr>
        <w:t xml:space="preserve"> </w:t>
      </w:r>
      <w:r w:rsidRPr="00A7776D">
        <w:rPr>
          <w:rFonts w:ascii="Times New Roman" w:hAnsi="Times New Roman"/>
          <w:highlight w:val="yellow"/>
        </w:rPr>
        <w:t>as shown for KDI</w:t>
      </w:r>
      <w:r w:rsidRPr="00A7776D">
        <w:rPr>
          <w:rFonts w:ascii="Times New Roman" w:hAnsi="Times New Roman"/>
          <w:highlight w:val="yellow"/>
          <w:vertAlign w:val="subscript"/>
        </w:rPr>
        <w:t xml:space="preserve">2a </w:t>
      </w:r>
      <w:r w:rsidRPr="00A7776D">
        <w:rPr>
          <w:rFonts w:ascii="Times New Roman" w:hAnsi="Times New Roman"/>
          <w:highlight w:val="yellow"/>
        </w:rPr>
        <w:t xml:space="preserve">in Equation </w:t>
      </w:r>
      <w:r w:rsidRPr="00A7776D">
        <w:rPr>
          <w:rFonts w:ascii="Times New Roman" w:hAnsi="Times New Roman"/>
          <w:b/>
          <w:highlight w:val="yellow"/>
        </w:rPr>
        <w:t>1</w:t>
      </w:r>
      <w:r w:rsidRPr="00A7776D">
        <w:rPr>
          <w:rFonts w:ascii="Times New Roman" w:hAnsi="Times New Roman"/>
          <w:highlight w:val="yellow"/>
        </w:rPr>
        <w:t xml:space="preserve"> and for KDI</w:t>
      </w:r>
      <w:r w:rsidRPr="00A7776D">
        <w:rPr>
          <w:rFonts w:ascii="Times New Roman" w:hAnsi="Times New Roman"/>
          <w:highlight w:val="yellow"/>
          <w:vertAlign w:val="subscript"/>
        </w:rPr>
        <w:t xml:space="preserve">2b </w:t>
      </w:r>
      <w:r w:rsidRPr="00A7776D">
        <w:rPr>
          <w:rFonts w:ascii="Times New Roman" w:hAnsi="Times New Roman"/>
          <w:highlight w:val="yellow"/>
        </w:rPr>
        <w:t xml:space="preserve">in Equation </w:t>
      </w:r>
      <w:r w:rsidRPr="00A7776D">
        <w:rPr>
          <w:rFonts w:ascii="Times New Roman" w:hAnsi="Times New Roman"/>
          <w:b/>
          <w:highlight w:val="yellow"/>
        </w:rPr>
        <w:t>2</w:t>
      </w:r>
      <w:r w:rsidRPr="00A7776D">
        <w:rPr>
          <w:rFonts w:ascii="Times New Roman" w:hAnsi="Times New Roman"/>
          <w:highlight w:val="yellow"/>
        </w:rPr>
        <w:t xml:space="preserve">; the numerical results are given in </w:t>
      </w:r>
      <w:r w:rsidRPr="00A7776D">
        <w:rPr>
          <w:rFonts w:ascii="Times New Roman" w:hAnsi="Times New Roman"/>
          <w:b/>
          <w:highlight w:val="yellow"/>
        </w:rPr>
        <w:t>Table S2</w:t>
      </w:r>
      <w:r w:rsidRPr="00A7776D">
        <w:rPr>
          <w:rFonts w:ascii="Times New Roman" w:hAnsi="Times New Roman"/>
          <w:highlight w:val="yellow"/>
        </w:rPr>
        <w:t>.</w:t>
      </w:r>
      <w:r w:rsidRPr="00A7776D">
        <w:rPr>
          <w:rFonts w:ascii="Times New Roman" w:eastAsia="Palatino Linotype" w:hAnsi="Times New Roman"/>
          <w:highlight w:val="yellow"/>
        </w:rPr>
        <w:t xml:space="preserve"> </w:t>
      </w:r>
    </w:p>
    <w:p w14:paraId="2C6BC2E9" w14:textId="77777777" w:rsidR="00483686" w:rsidRPr="00A7776D" w:rsidRDefault="00483686" w:rsidP="00483686">
      <w:pPr>
        <w:pStyle w:val="MDPI31text"/>
        <w:spacing w:before="60" w:after="60"/>
        <w:ind w:left="0"/>
        <w:rPr>
          <w:rFonts w:ascii="Times New Roman" w:hAnsi="Times New Roman"/>
          <w:highlight w:val="yellow"/>
        </w:rPr>
      </w:pPr>
      <w:r w:rsidRPr="00A7776D">
        <w:rPr>
          <w:rFonts w:ascii="Times New Roman" w:hAnsi="Times New Roman"/>
          <w:highlight w:val="yellow"/>
        </w:rPr>
        <w:t>KDI</w:t>
      </w:r>
      <w:r w:rsidRPr="00A7776D">
        <w:rPr>
          <w:rFonts w:ascii="Times New Roman" w:hAnsi="Times New Roman"/>
          <w:highlight w:val="yellow"/>
          <w:vertAlign w:val="subscript"/>
        </w:rPr>
        <w:t>2a</w:t>
      </w:r>
      <w:r w:rsidRPr="00A7776D">
        <w:rPr>
          <w:rFonts w:ascii="Times New Roman" w:hAnsi="Times New Roman"/>
          <w:highlight w:val="yellow"/>
        </w:rPr>
        <w:t xml:space="preserve"> = I</w:t>
      </w:r>
      <w:r w:rsidRPr="00A7776D">
        <w:rPr>
          <w:rFonts w:ascii="Times New Roman" w:hAnsi="Times New Roman"/>
          <w:highlight w:val="yellow"/>
          <w:vertAlign w:val="subscript"/>
        </w:rPr>
        <w:t xml:space="preserve">MW </w:t>
      </w:r>
      <w:r w:rsidRPr="00A7776D">
        <w:rPr>
          <w:rFonts w:ascii="Times New Roman" w:hAnsi="Times New Roman"/>
          <w:highlight w:val="yellow"/>
        </w:rPr>
        <w:t xml:space="preserve">+ </w:t>
      </w:r>
      <w:proofErr w:type="spellStart"/>
      <w:r w:rsidRPr="00A7776D">
        <w:rPr>
          <w:rFonts w:ascii="Times New Roman" w:hAnsi="Times New Roman"/>
          <w:highlight w:val="yellow"/>
        </w:rPr>
        <w:t>I</w:t>
      </w:r>
      <w:r w:rsidRPr="00A7776D">
        <w:rPr>
          <w:rFonts w:ascii="Times New Roman" w:hAnsi="Times New Roman"/>
          <w:highlight w:val="yellow"/>
          <w:vertAlign w:val="subscript"/>
        </w:rPr>
        <w:t>log</w:t>
      </w:r>
      <w:proofErr w:type="spellEnd"/>
      <w:r w:rsidRPr="00A7776D">
        <w:rPr>
          <w:rFonts w:ascii="Times New Roman" w:hAnsi="Times New Roman"/>
          <w:highlight w:val="yellow"/>
          <w:vertAlign w:val="subscript"/>
        </w:rPr>
        <w:t xml:space="preserve"> P</w:t>
      </w:r>
      <w:r w:rsidRPr="00A7776D">
        <w:rPr>
          <w:rFonts w:ascii="Times New Roman" w:hAnsi="Times New Roman"/>
          <w:highlight w:val="yellow"/>
        </w:rPr>
        <w:t xml:space="preserve"> + I</w:t>
      </w:r>
      <w:r w:rsidRPr="00A7776D">
        <w:rPr>
          <w:rFonts w:ascii="Times New Roman" w:hAnsi="Times New Roman"/>
          <w:highlight w:val="yellow"/>
          <w:vertAlign w:val="subscript"/>
        </w:rPr>
        <w:t>HD</w:t>
      </w:r>
      <w:r w:rsidRPr="00A7776D">
        <w:rPr>
          <w:rFonts w:ascii="Times New Roman" w:hAnsi="Times New Roman"/>
          <w:highlight w:val="yellow"/>
        </w:rPr>
        <w:t>+ I</w:t>
      </w:r>
      <w:r w:rsidRPr="00A7776D">
        <w:rPr>
          <w:rFonts w:ascii="Times New Roman" w:hAnsi="Times New Roman"/>
          <w:highlight w:val="yellow"/>
          <w:vertAlign w:val="subscript"/>
        </w:rPr>
        <w:t>HA</w:t>
      </w:r>
      <w:r w:rsidRPr="00A7776D">
        <w:rPr>
          <w:rFonts w:ascii="Times New Roman" w:hAnsi="Times New Roman"/>
          <w:highlight w:val="yellow"/>
        </w:rPr>
        <w:t xml:space="preserve"> + I</w:t>
      </w:r>
      <w:r w:rsidRPr="00A7776D">
        <w:rPr>
          <w:rFonts w:ascii="Times New Roman" w:hAnsi="Times New Roman"/>
          <w:highlight w:val="yellow"/>
          <w:vertAlign w:val="subscript"/>
        </w:rPr>
        <w:t>RB</w:t>
      </w:r>
      <w:r w:rsidRPr="00A7776D">
        <w:rPr>
          <w:rFonts w:ascii="Times New Roman" w:hAnsi="Times New Roman"/>
          <w:highlight w:val="yellow"/>
        </w:rPr>
        <w:t xml:space="preserve"> + I</w:t>
      </w:r>
      <w:r w:rsidRPr="00A7776D">
        <w:rPr>
          <w:rFonts w:ascii="Times New Roman" w:hAnsi="Times New Roman"/>
          <w:highlight w:val="yellow"/>
          <w:vertAlign w:val="subscript"/>
        </w:rPr>
        <w:t xml:space="preserve">PSA              </w:t>
      </w:r>
      <w:proofErr w:type="gramStart"/>
      <w:r w:rsidRPr="00A7776D">
        <w:rPr>
          <w:rFonts w:ascii="Times New Roman" w:hAnsi="Times New Roman"/>
          <w:highlight w:val="yellow"/>
          <w:vertAlign w:val="subscript"/>
        </w:rPr>
        <w:t xml:space="preserve">   </w:t>
      </w:r>
      <w:r w:rsidR="00A45DF6" w:rsidRPr="00A7776D">
        <w:rPr>
          <w:rFonts w:ascii="Times New Roman" w:hAnsi="Times New Roman"/>
          <w:highlight w:val="yellow"/>
        </w:rPr>
        <w:t>(</w:t>
      </w:r>
      <w:proofErr w:type="gramEnd"/>
      <w:r w:rsidRPr="00A7776D">
        <w:rPr>
          <w:rFonts w:ascii="Times New Roman" w:hAnsi="Times New Roman"/>
          <w:b/>
          <w:highlight w:val="yellow"/>
        </w:rPr>
        <w:t>1</w:t>
      </w:r>
      <w:r w:rsidRPr="00A7776D">
        <w:rPr>
          <w:rFonts w:ascii="Times New Roman" w:hAnsi="Times New Roman"/>
          <w:highlight w:val="yellow"/>
        </w:rPr>
        <w:t>)</w:t>
      </w:r>
    </w:p>
    <w:p w14:paraId="3D21339F" w14:textId="77777777" w:rsidR="00483686" w:rsidRPr="00A7776D" w:rsidRDefault="00483686" w:rsidP="00483686">
      <w:pPr>
        <w:pStyle w:val="MDPI31text"/>
        <w:spacing w:before="60" w:after="60"/>
        <w:ind w:left="0"/>
        <w:rPr>
          <w:rFonts w:ascii="Times New Roman" w:hAnsi="Times New Roman"/>
          <w:highlight w:val="yellow"/>
        </w:rPr>
      </w:pPr>
      <w:r w:rsidRPr="00A7776D">
        <w:rPr>
          <w:rFonts w:ascii="Times New Roman" w:hAnsi="Times New Roman"/>
          <w:highlight w:val="yellow"/>
        </w:rPr>
        <w:t>KDI</w:t>
      </w:r>
      <w:r w:rsidRPr="00A7776D">
        <w:rPr>
          <w:rFonts w:ascii="Times New Roman" w:hAnsi="Times New Roman"/>
          <w:highlight w:val="yellow"/>
          <w:vertAlign w:val="subscript"/>
        </w:rPr>
        <w:t>2b</w:t>
      </w:r>
      <w:r w:rsidRPr="00A7776D">
        <w:rPr>
          <w:rFonts w:ascii="Times New Roman" w:hAnsi="Times New Roman"/>
          <w:highlight w:val="yellow"/>
        </w:rPr>
        <w:t xml:space="preserve"> = I</w:t>
      </w:r>
      <w:r w:rsidRPr="00A7776D">
        <w:rPr>
          <w:rFonts w:ascii="Times New Roman" w:hAnsi="Times New Roman"/>
          <w:highlight w:val="yellow"/>
          <w:vertAlign w:val="subscript"/>
        </w:rPr>
        <w:t xml:space="preserve">MW </w:t>
      </w:r>
      <w:r w:rsidRPr="00A7776D">
        <w:rPr>
          <w:rFonts w:ascii="Times New Roman" w:hAnsi="Times New Roman"/>
          <w:highlight w:val="yellow"/>
          <w:shd w:val="clear" w:color="auto" w:fill="FFFFFF"/>
        </w:rPr>
        <w:t>×</w:t>
      </w:r>
      <w:r w:rsidRPr="00A7776D">
        <w:rPr>
          <w:rFonts w:ascii="Times New Roman" w:hAnsi="Times New Roman"/>
          <w:highlight w:val="yellow"/>
        </w:rPr>
        <w:t xml:space="preserve"> </w:t>
      </w:r>
      <w:proofErr w:type="spellStart"/>
      <w:r w:rsidRPr="00A7776D">
        <w:rPr>
          <w:rFonts w:ascii="Times New Roman" w:hAnsi="Times New Roman"/>
          <w:highlight w:val="yellow"/>
        </w:rPr>
        <w:t>I</w:t>
      </w:r>
      <w:r w:rsidRPr="00A7776D">
        <w:rPr>
          <w:rFonts w:ascii="Times New Roman" w:hAnsi="Times New Roman"/>
          <w:highlight w:val="yellow"/>
          <w:vertAlign w:val="subscript"/>
        </w:rPr>
        <w:t>log</w:t>
      </w:r>
      <w:proofErr w:type="spellEnd"/>
      <w:r w:rsidRPr="00A7776D">
        <w:rPr>
          <w:rFonts w:ascii="Times New Roman" w:hAnsi="Times New Roman"/>
          <w:highlight w:val="yellow"/>
          <w:vertAlign w:val="subscript"/>
        </w:rPr>
        <w:t xml:space="preserve"> P</w:t>
      </w:r>
      <w:r w:rsidRPr="00A7776D">
        <w:rPr>
          <w:rFonts w:ascii="Times New Roman" w:hAnsi="Times New Roman"/>
          <w:highlight w:val="yellow"/>
        </w:rPr>
        <w:t xml:space="preserve"> </w:t>
      </w:r>
      <w:r w:rsidRPr="00A7776D">
        <w:rPr>
          <w:rFonts w:ascii="Times New Roman" w:hAnsi="Times New Roman"/>
          <w:highlight w:val="yellow"/>
          <w:shd w:val="clear" w:color="auto" w:fill="FFFFFF"/>
        </w:rPr>
        <w:t>×</w:t>
      </w:r>
      <w:r w:rsidRPr="00A7776D">
        <w:rPr>
          <w:rFonts w:ascii="Times New Roman" w:hAnsi="Times New Roman"/>
          <w:highlight w:val="yellow"/>
        </w:rPr>
        <w:t xml:space="preserve"> I</w:t>
      </w:r>
      <w:r w:rsidRPr="00A7776D">
        <w:rPr>
          <w:rFonts w:ascii="Times New Roman" w:hAnsi="Times New Roman"/>
          <w:highlight w:val="yellow"/>
          <w:vertAlign w:val="subscript"/>
        </w:rPr>
        <w:t>HD</w:t>
      </w:r>
      <w:r w:rsidRPr="00A7776D">
        <w:rPr>
          <w:rFonts w:ascii="Times New Roman" w:hAnsi="Times New Roman"/>
          <w:highlight w:val="yellow"/>
          <w:shd w:val="clear" w:color="auto" w:fill="FFFFFF"/>
        </w:rPr>
        <w:t>×</w:t>
      </w:r>
      <w:r w:rsidRPr="00A7776D">
        <w:rPr>
          <w:rFonts w:ascii="Times New Roman" w:hAnsi="Times New Roman"/>
          <w:highlight w:val="yellow"/>
        </w:rPr>
        <w:t xml:space="preserve"> I</w:t>
      </w:r>
      <w:r w:rsidRPr="00A7776D">
        <w:rPr>
          <w:rFonts w:ascii="Times New Roman" w:hAnsi="Times New Roman"/>
          <w:highlight w:val="yellow"/>
          <w:vertAlign w:val="subscript"/>
        </w:rPr>
        <w:t>HA</w:t>
      </w:r>
      <w:r w:rsidRPr="00A7776D">
        <w:rPr>
          <w:rFonts w:ascii="Times New Roman" w:hAnsi="Times New Roman"/>
          <w:highlight w:val="yellow"/>
        </w:rPr>
        <w:t xml:space="preserve"> </w:t>
      </w:r>
      <w:r w:rsidRPr="00A7776D">
        <w:rPr>
          <w:rFonts w:ascii="Times New Roman" w:hAnsi="Times New Roman"/>
          <w:highlight w:val="yellow"/>
          <w:shd w:val="clear" w:color="auto" w:fill="FFFFFF"/>
        </w:rPr>
        <w:t>×</w:t>
      </w:r>
      <w:r w:rsidRPr="00A7776D">
        <w:rPr>
          <w:rFonts w:ascii="Times New Roman" w:hAnsi="Times New Roman"/>
          <w:highlight w:val="yellow"/>
        </w:rPr>
        <w:t xml:space="preserve"> I</w:t>
      </w:r>
      <w:r w:rsidRPr="00A7776D">
        <w:rPr>
          <w:rFonts w:ascii="Times New Roman" w:hAnsi="Times New Roman"/>
          <w:highlight w:val="yellow"/>
          <w:vertAlign w:val="subscript"/>
        </w:rPr>
        <w:t>RB</w:t>
      </w:r>
      <w:r w:rsidRPr="00A7776D">
        <w:rPr>
          <w:rFonts w:ascii="Times New Roman" w:hAnsi="Times New Roman"/>
          <w:highlight w:val="yellow"/>
        </w:rPr>
        <w:t xml:space="preserve"> </w:t>
      </w:r>
      <w:r w:rsidRPr="00A7776D">
        <w:rPr>
          <w:rFonts w:ascii="Times New Roman" w:hAnsi="Times New Roman"/>
          <w:highlight w:val="yellow"/>
          <w:shd w:val="clear" w:color="auto" w:fill="FFFFFF"/>
        </w:rPr>
        <w:t>×</w:t>
      </w:r>
      <w:r w:rsidRPr="00A7776D">
        <w:rPr>
          <w:rFonts w:ascii="Times New Roman" w:hAnsi="Times New Roman"/>
          <w:highlight w:val="yellow"/>
        </w:rPr>
        <w:t xml:space="preserve"> I</w:t>
      </w:r>
      <w:r w:rsidRPr="00A7776D">
        <w:rPr>
          <w:rFonts w:ascii="Times New Roman" w:hAnsi="Times New Roman"/>
          <w:highlight w:val="yellow"/>
          <w:vertAlign w:val="subscript"/>
        </w:rPr>
        <w:t xml:space="preserve">PSA              </w:t>
      </w:r>
      <w:proofErr w:type="gramStart"/>
      <w:r w:rsidRPr="00A7776D">
        <w:rPr>
          <w:rFonts w:ascii="Times New Roman" w:hAnsi="Times New Roman"/>
          <w:highlight w:val="yellow"/>
          <w:vertAlign w:val="subscript"/>
        </w:rPr>
        <w:t xml:space="preserve">   </w:t>
      </w:r>
      <w:r w:rsidR="00A45DF6" w:rsidRPr="00A7776D">
        <w:rPr>
          <w:rFonts w:ascii="Times New Roman" w:hAnsi="Times New Roman"/>
          <w:highlight w:val="yellow"/>
        </w:rPr>
        <w:t>(</w:t>
      </w:r>
      <w:proofErr w:type="gramEnd"/>
      <w:r w:rsidRPr="00A7776D">
        <w:rPr>
          <w:rFonts w:ascii="Times New Roman" w:hAnsi="Times New Roman"/>
          <w:b/>
          <w:highlight w:val="yellow"/>
        </w:rPr>
        <w:t>2</w:t>
      </w:r>
      <w:r w:rsidRPr="00A7776D">
        <w:rPr>
          <w:rFonts w:ascii="Times New Roman" w:hAnsi="Times New Roman"/>
          <w:highlight w:val="yellow"/>
        </w:rPr>
        <w:t>)</w:t>
      </w:r>
    </w:p>
    <w:p w14:paraId="3DC61F79" w14:textId="3E86214C" w:rsidR="0029773D" w:rsidRPr="00DA7852" w:rsidRDefault="00483686" w:rsidP="00483686">
      <w:pPr>
        <w:pStyle w:val="MDPI31text"/>
        <w:spacing w:before="60" w:after="60"/>
        <w:ind w:left="0"/>
        <w:rPr>
          <w:rFonts w:ascii="Times New Roman" w:eastAsia="Palatino Linotype" w:hAnsi="Times New Roman"/>
        </w:rPr>
      </w:pPr>
      <w:r w:rsidRPr="00A7776D">
        <w:rPr>
          <w:rFonts w:ascii="Times New Roman" w:eastAsia="Palatino Linotype" w:hAnsi="Times New Roman"/>
          <w:highlight w:val="yellow"/>
        </w:rPr>
        <w:lastRenderedPageBreak/>
        <w:t>The KDI</w:t>
      </w:r>
      <w:r w:rsidRPr="00A7776D">
        <w:rPr>
          <w:rFonts w:ascii="Times New Roman" w:eastAsia="Palatino Linotype" w:hAnsi="Times New Roman"/>
          <w:highlight w:val="yellow"/>
          <w:vertAlign w:val="subscript"/>
        </w:rPr>
        <w:t xml:space="preserve">2a </w:t>
      </w:r>
      <w:r w:rsidRPr="00A7776D">
        <w:rPr>
          <w:rFonts w:ascii="Times New Roman" w:eastAsia="Palatino Linotype" w:hAnsi="Times New Roman"/>
          <w:highlight w:val="yellow"/>
        </w:rPr>
        <w:t>values for the ligands range from 3.63 to 4.90 with a theoretical maximum of 6 and the average of 4.08 (±1.27) for known drugs. The KDI</w:t>
      </w:r>
      <w:r w:rsidRPr="00A7776D">
        <w:rPr>
          <w:rFonts w:ascii="Times New Roman" w:eastAsia="Palatino Linotype" w:hAnsi="Times New Roman"/>
          <w:highlight w:val="yellow"/>
          <w:vertAlign w:val="subscript"/>
        </w:rPr>
        <w:t>2b</w:t>
      </w:r>
      <w:r w:rsidRPr="00A7776D">
        <w:rPr>
          <w:rFonts w:ascii="Times New Roman" w:eastAsia="Palatino Linotype" w:hAnsi="Times New Roman"/>
          <w:highlight w:val="yellow"/>
        </w:rPr>
        <w:t xml:space="preserve"> range is from 0.03 to 0.27, with a theoretical maximum of 1 and with KDS average of 0.18 (±0.20). Larger KDI</w:t>
      </w:r>
      <w:r w:rsidRPr="00A7776D">
        <w:rPr>
          <w:rFonts w:ascii="Times New Roman" w:eastAsia="Palatino Linotype" w:hAnsi="Times New Roman"/>
          <w:highlight w:val="yellow"/>
          <w:vertAlign w:val="subscript"/>
        </w:rPr>
        <w:t xml:space="preserve">2a/2b </w:t>
      </w:r>
      <w:r w:rsidRPr="00A7776D">
        <w:rPr>
          <w:rFonts w:ascii="Times New Roman" w:eastAsia="Palatino Linotype" w:hAnsi="Times New Roman"/>
          <w:highlight w:val="yellow"/>
        </w:rPr>
        <w:t xml:space="preserve">values are associated with better bioavailability </w:t>
      </w:r>
      <w:r w:rsidRPr="00A7776D">
        <w:rPr>
          <w:rFonts w:ascii="Times New Roman" w:eastAsia="Palatino Linotype" w:hAnsi="Times New Roman"/>
          <w:highlight w:val="yellow"/>
        </w:rPr>
        <w:fldChar w:fldCharType="begin" w:fldLock="1"/>
      </w:r>
      <w:r w:rsidR="00131813" w:rsidRPr="00A7776D">
        <w:rPr>
          <w:rFonts w:ascii="Times New Roman" w:eastAsia="Palatino Linotype" w:hAnsi="Times New Roman"/>
          <w:highlight w:val="yellow"/>
        </w:rPr>
        <w:instrText>ADDIN CSL_CITATION {"citationItems":[{"id":"ITEM-1","itemData":{"DOI":"10.1002/minf.201800068","ISSN":"18681751","PMID":"30345657","abstract":"1880 known drugs were collected and analysed for their mainstream molecular descriptors: MW, log P, HA, HD, RB and PSA. The statistical distributions were fitted to Gaussian functions for each of the descriptors. This gave a mathematical tool to calculate a weighted score, or an Index, for each descriptor. Known Drug Indexes (KDIs) were derived either by summation or multiplication of the Indexes, giving one number for each molecule calculated. The KDI summation and multiplication methods give a theoretical maxima of 6 and 1 respectively. According to both methods, methysergide (5.89/0.90), amsacrine (5.89/0.89) and fluorometholone (5.88/0.88) have the scores of the most well-balanced pharmaceuticals. The KDIs are advantageous tools in identifying the most well-balanced screening compounds based on the properties of known drugs; the screening collection can be optimised to only include quality compounds, which in turn produce tractable hit and lead compounds from the screening campaign.","author":[{"dropping-particle":"","family":"Eurtivong","given":"Chatchakorn","non-dropping-particle":"","parse-names":false,"suffix":""},{"dropping-particle":"","family":"Reynisson","given":"Jóhannes","non-dropping-particle":"","parse-names":false,"suffix":""}],"container-title":"Molecular Informatics","id":"ITEM-1","issue":"3","issued":{"date-parts":[["2019"]]},"title":"The Development of a Weighted Index to Optimise Compound Libraries for High Throughput Screening","type":"article-journal","volume":"38"},"uris":["http://www.mendeley.com/documents/?uuid=0a5e5b8d-49f5-47f4-b417-823795d4c48c"]}],"mendeley":{"formattedCitation":"[42]","plainTextFormattedCitation":"[42]","previouslyFormattedCitation":"[42]"},"properties":{"noteIndex":0},"schema":"https://github.com/citation-style-language/schema/raw/master/csl-citation.json"}</w:instrText>
      </w:r>
      <w:r w:rsidRPr="00A7776D">
        <w:rPr>
          <w:rFonts w:ascii="Times New Roman" w:eastAsia="Palatino Linotype" w:hAnsi="Times New Roman"/>
          <w:highlight w:val="yellow"/>
        </w:rPr>
        <w:fldChar w:fldCharType="separate"/>
      </w:r>
      <w:r w:rsidR="00066076" w:rsidRPr="00A7776D">
        <w:rPr>
          <w:rFonts w:ascii="Times New Roman" w:eastAsia="Palatino Linotype" w:hAnsi="Times New Roman"/>
          <w:noProof/>
          <w:highlight w:val="yellow"/>
        </w:rPr>
        <w:t>[42]</w:t>
      </w:r>
      <w:r w:rsidRPr="00A7776D">
        <w:rPr>
          <w:rFonts w:ascii="Times New Roman" w:eastAsia="Palatino Linotype" w:hAnsi="Times New Roman"/>
          <w:highlight w:val="yellow"/>
        </w:rPr>
        <w:fldChar w:fldCharType="end"/>
      </w:r>
      <w:r w:rsidRPr="00A7776D">
        <w:rPr>
          <w:rFonts w:ascii="Times New Roman" w:hAnsi="Times New Roman"/>
          <w:highlight w:val="yellow"/>
        </w:rPr>
        <w:t xml:space="preserve">. The KDIs for the 15 series (excluding </w:t>
      </w:r>
      <w:r w:rsidRPr="00A7776D">
        <w:rPr>
          <w:rFonts w:ascii="Times New Roman" w:hAnsi="Times New Roman"/>
          <w:b/>
          <w:szCs w:val="24"/>
          <w:highlight w:val="yellow"/>
        </w:rPr>
        <w:t>15g</w:t>
      </w:r>
      <w:r w:rsidRPr="00A7776D">
        <w:rPr>
          <w:rFonts w:ascii="Times New Roman" w:hAnsi="Times New Roman"/>
          <w:szCs w:val="24"/>
          <w:highlight w:val="yellow"/>
        </w:rPr>
        <w:t xml:space="preserve"> and </w:t>
      </w:r>
      <w:r w:rsidRPr="00A7776D">
        <w:rPr>
          <w:rFonts w:ascii="Times New Roman" w:hAnsi="Times New Roman"/>
          <w:b/>
          <w:szCs w:val="24"/>
          <w:highlight w:val="yellow"/>
        </w:rPr>
        <w:t>16h</w:t>
      </w:r>
      <w:r w:rsidRPr="00A7776D">
        <w:rPr>
          <w:rFonts w:ascii="Times New Roman" w:hAnsi="Times New Roman"/>
          <w:highlight w:val="yellow"/>
        </w:rPr>
        <w:t xml:space="preserve">) are considerably lower than for the 16 series. This can mainly be explained in terms of the high Log </w:t>
      </w:r>
      <w:r w:rsidRPr="00A7776D">
        <w:rPr>
          <w:rFonts w:ascii="Times New Roman" w:hAnsi="Times New Roman"/>
          <w:i/>
          <w:highlight w:val="yellow"/>
        </w:rPr>
        <w:t>P</w:t>
      </w:r>
      <w:r w:rsidRPr="00A7776D">
        <w:rPr>
          <w:rFonts w:ascii="Times New Roman" w:hAnsi="Times New Roman"/>
          <w:highlight w:val="yellow"/>
        </w:rPr>
        <w:t xml:space="preserve"> values of these ligands being &gt;5 and therefore in KDS.</w:t>
      </w:r>
    </w:p>
    <w:p w14:paraId="74B22E16" w14:textId="7105271D" w:rsidR="00483686" w:rsidRPr="00FC67DC" w:rsidRDefault="00483686" w:rsidP="00FC67DC">
      <w:pPr>
        <w:pStyle w:val="MDPI31text"/>
        <w:spacing w:before="60" w:after="60"/>
        <w:ind w:left="0"/>
        <w:rPr>
          <w:rFonts w:ascii="Times New Roman" w:hAnsi="Times New Roman"/>
        </w:rPr>
      </w:pPr>
      <w:r w:rsidRPr="00FC67DC">
        <w:rPr>
          <w:rFonts w:ascii="Times New Roman" w:hAnsi="Times New Roman"/>
        </w:rPr>
        <w:t>A group of disubstituted thiazolidin-4-ones with monoterpenoid and benzyl substituent</w:t>
      </w:r>
      <w:r w:rsidR="00164001">
        <w:rPr>
          <w:rFonts w:ascii="Times New Roman" w:hAnsi="Times New Roman"/>
        </w:rPr>
        <w:t>s</w:t>
      </w:r>
      <w:r w:rsidRPr="00FC67DC">
        <w:rPr>
          <w:rFonts w:ascii="Times New Roman" w:hAnsi="Times New Roman"/>
        </w:rPr>
        <w:t xml:space="preserve"> was synthesized. Some of the compounds </w:t>
      </w:r>
      <w:r w:rsidR="00164001">
        <w:rPr>
          <w:rFonts w:ascii="Times New Roman" w:hAnsi="Times New Roman"/>
        </w:rPr>
        <w:t>were</w:t>
      </w:r>
      <w:r w:rsidRPr="00FC67DC">
        <w:rPr>
          <w:rFonts w:ascii="Times New Roman" w:hAnsi="Times New Roman"/>
        </w:rPr>
        <w:t xml:space="preserve"> active</w:t>
      </w:r>
      <w:r w:rsidR="0050456A">
        <w:rPr>
          <w:rFonts w:ascii="Times New Roman" w:hAnsi="Times New Roman"/>
        </w:rPr>
        <w:t xml:space="preserve"> against TDP1</w:t>
      </w:r>
      <w:r w:rsidRPr="00FC67DC">
        <w:rPr>
          <w:rFonts w:ascii="Times New Roman" w:hAnsi="Times New Roman"/>
        </w:rPr>
        <w:t xml:space="preserve"> at low micromolar concentrations. </w:t>
      </w:r>
      <w:r w:rsidR="00164001">
        <w:rPr>
          <w:rFonts w:ascii="Times New Roman" w:hAnsi="Times New Roman"/>
        </w:rPr>
        <w:t>It is established that an a</w:t>
      </w:r>
      <w:r w:rsidR="00164001" w:rsidRPr="00FC67DC">
        <w:rPr>
          <w:rFonts w:ascii="Times New Roman" w:hAnsi="Times New Roman"/>
        </w:rPr>
        <w:t xml:space="preserve">romatic </w:t>
      </w:r>
      <w:r w:rsidRPr="00FC67DC">
        <w:rPr>
          <w:rFonts w:ascii="Times New Roman" w:hAnsi="Times New Roman"/>
        </w:rPr>
        <w:t>linker</w:t>
      </w:r>
      <w:r w:rsidR="00164001">
        <w:rPr>
          <w:rFonts w:ascii="Times New Roman" w:hAnsi="Times New Roman"/>
        </w:rPr>
        <w:t xml:space="preserve"> between the </w:t>
      </w:r>
      <w:r w:rsidR="00164001" w:rsidRPr="00FC67DC">
        <w:rPr>
          <w:rFonts w:ascii="Times New Roman" w:hAnsi="Times New Roman"/>
        </w:rPr>
        <w:t>thiazolidin-4-one</w:t>
      </w:r>
      <w:r w:rsidR="00164001">
        <w:rPr>
          <w:rFonts w:ascii="Times New Roman" w:hAnsi="Times New Roman"/>
        </w:rPr>
        <w:t xml:space="preserve"> central scaffold and the terpene fragment</w:t>
      </w:r>
      <w:r w:rsidRPr="00FC67DC">
        <w:rPr>
          <w:rFonts w:ascii="Times New Roman" w:hAnsi="Times New Roman"/>
        </w:rPr>
        <w:t xml:space="preserve"> is </w:t>
      </w:r>
      <w:r w:rsidR="00164001">
        <w:rPr>
          <w:rFonts w:ascii="Times New Roman" w:hAnsi="Times New Roman"/>
        </w:rPr>
        <w:t>required for activity for this class of ligands</w:t>
      </w:r>
      <w:r w:rsidRPr="00FC67DC">
        <w:rPr>
          <w:rFonts w:ascii="Times New Roman" w:hAnsi="Times New Roman"/>
        </w:rPr>
        <w:t xml:space="preserve"> </w:t>
      </w:r>
      <w:r w:rsidR="00164001">
        <w:rPr>
          <w:rFonts w:ascii="Times New Roman" w:hAnsi="Times New Roman"/>
        </w:rPr>
        <w:t xml:space="preserve">as shown by the </w:t>
      </w:r>
      <w:proofErr w:type="spellStart"/>
      <w:r w:rsidR="00164001">
        <w:rPr>
          <w:rFonts w:ascii="Times New Roman" w:hAnsi="Times New Roman"/>
        </w:rPr>
        <w:t>m</w:t>
      </w:r>
      <w:r w:rsidR="00164001" w:rsidRPr="00FC67DC">
        <w:rPr>
          <w:rFonts w:ascii="Times New Roman" w:hAnsi="Times New Roman"/>
        </w:rPr>
        <w:t>onoterpenyloxy</w:t>
      </w:r>
      <w:proofErr w:type="spellEnd"/>
      <w:r w:rsidR="00164001" w:rsidRPr="00FC67DC">
        <w:rPr>
          <w:rFonts w:ascii="Times New Roman" w:hAnsi="Times New Roman"/>
        </w:rPr>
        <w:t xml:space="preserve"> </w:t>
      </w:r>
      <w:r w:rsidRPr="00FC67DC">
        <w:rPr>
          <w:rFonts w:ascii="Times New Roman" w:hAnsi="Times New Roman"/>
        </w:rPr>
        <w:t xml:space="preserve">fragment replacement by </w:t>
      </w:r>
      <w:r w:rsidR="00164001">
        <w:rPr>
          <w:rFonts w:ascii="Times New Roman" w:hAnsi="Times New Roman"/>
        </w:rPr>
        <w:t xml:space="preserve">a </w:t>
      </w:r>
      <w:r w:rsidRPr="00FC67DC">
        <w:rPr>
          <w:rFonts w:ascii="Times New Roman" w:hAnsi="Times New Roman"/>
        </w:rPr>
        <w:t xml:space="preserve">methoxy </w:t>
      </w:r>
      <w:r w:rsidR="0050456A" w:rsidRPr="00FC67DC">
        <w:rPr>
          <w:rFonts w:ascii="Times New Roman" w:hAnsi="Times New Roman"/>
        </w:rPr>
        <w:t>group</w:t>
      </w:r>
      <w:r w:rsidR="003F7F3B">
        <w:rPr>
          <w:rFonts w:ascii="Times New Roman" w:hAnsi="Times New Roman"/>
        </w:rPr>
        <w:t xml:space="preserve"> </w:t>
      </w:r>
      <w:r w:rsidRPr="00FC67DC">
        <w:rPr>
          <w:rFonts w:ascii="Times New Roman" w:hAnsi="Times New Roman"/>
        </w:rPr>
        <w:t xml:space="preserve">or hydrogen. The structure of </w:t>
      </w:r>
      <w:r w:rsidR="002643E4">
        <w:rPr>
          <w:rFonts w:ascii="Times New Roman" w:hAnsi="Times New Roman"/>
        </w:rPr>
        <w:t xml:space="preserve">the </w:t>
      </w:r>
      <w:proofErr w:type="spellStart"/>
      <w:r w:rsidRPr="00FC67DC">
        <w:rPr>
          <w:rFonts w:ascii="Times New Roman" w:hAnsi="Times New Roman"/>
        </w:rPr>
        <w:t>monoterpenyl</w:t>
      </w:r>
      <w:proofErr w:type="spellEnd"/>
      <w:r w:rsidRPr="00FC67DC">
        <w:rPr>
          <w:rFonts w:ascii="Times New Roman" w:hAnsi="Times New Roman"/>
        </w:rPr>
        <w:t xml:space="preserve"> fragment (bicyclic, monocyclic, and linear) does have </w:t>
      </w:r>
      <w:r w:rsidR="00164001">
        <w:rPr>
          <w:rFonts w:ascii="Times New Roman" w:hAnsi="Times New Roman"/>
        </w:rPr>
        <w:t>minimal</w:t>
      </w:r>
      <w:r w:rsidR="00164001" w:rsidRPr="00FC67DC">
        <w:rPr>
          <w:rFonts w:ascii="Times New Roman" w:hAnsi="Times New Roman"/>
        </w:rPr>
        <w:t xml:space="preserve"> </w:t>
      </w:r>
      <w:r w:rsidRPr="00FC67DC">
        <w:rPr>
          <w:rFonts w:ascii="Times New Roman" w:hAnsi="Times New Roman"/>
        </w:rPr>
        <w:t xml:space="preserve">influence on the inhibitory activity, except of compound </w:t>
      </w:r>
      <w:r w:rsidRPr="00FC67DC">
        <w:rPr>
          <w:rFonts w:ascii="Times New Roman" w:hAnsi="Times New Roman"/>
          <w:b/>
        </w:rPr>
        <w:t>15c</w:t>
      </w:r>
      <w:r w:rsidRPr="00FC67DC">
        <w:rPr>
          <w:rFonts w:ascii="Times New Roman" w:hAnsi="Times New Roman"/>
        </w:rPr>
        <w:t xml:space="preserve">, which </w:t>
      </w:r>
      <w:r w:rsidR="0050456A">
        <w:rPr>
          <w:rFonts w:ascii="Times New Roman" w:hAnsi="Times New Roman"/>
        </w:rPr>
        <w:t>was inactive</w:t>
      </w:r>
      <w:r w:rsidRPr="00FC67DC">
        <w:rPr>
          <w:rFonts w:ascii="Times New Roman" w:hAnsi="Times New Roman"/>
        </w:rPr>
        <w:t>.</w:t>
      </w:r>
      <w:r w:rsidR="00164001">
        <w:rPr>
          <w:rFonts w:ascii="Times New Roman" w:hAnsi="Times New Roman"/>
        </w:rPr>
        <w:t xml:space="preserve"> Two main binding modes were predicted for the active</w:t>
      </w:r>
      <w:r w:rsidR="00926E0B">
        <w:rPr>
          <w:rFonts w:ascii="Times New Roman" w:hAnsi="Times New Roman"/>
        </w:rPr>
        <w:t xml:space="preserve"> derivatives effectively blocking access to the catalytic pocket.</w:t>
      </w:r>
      <w:r w:rsidR="002643E4">
        <w:rPr>
          <w:rFonts w:ascii="Times New Roman" w:hAnsi="Times New Roman"/>
        </w:rPr>
        <w:t xml:space="preserve"> </w:t>
      </w:r>
      <w:r w:rsidRPr="00FC67DC">
        <w:rPr>
          <w:rFonts w:ascii="Times New Roman" w:hAnsi="Times New Roman"/>
        </w:rPr>
        <w:t>The compounds are slightly toxic</w:t>
      </w:r>
      <w:r w:rsidR="00926E0B">
        <w:rPr>
          <w:rFonts w:ascii="Times New Roman" w:hAnsi="Times New Roman"/>
        </w:rPr>
        <w:t>,</w:t>
      </w:r>
      <w:r w:rsidRPr="00FC67DC">
        <w:rPr>
          <w:rFonts w:ascii="Times New Roman" w:hAnsi="Times New Roman"/>
        </w:rPr>
        <w:t xml:space="preserve"> or non-toxic</w:t>
      </w:r>
      <w:r w:rsidR="00926E0B">
        <w:rPr>
          <w:rFonts w:ascii="Times New Roman" w:hAnsi="Times New Roman"/>
        </w:rPr>
        <w:t>,</w:t>
      </w:r>
      <w:r w:rsidRPr="00FC67DC">
        <w:rPr>
          <w:rFonts w:ascii="Times New Roman" w:hAnsi="Times New Roman"/>
        </w:rPr>
        <w:t xml:space="preserve"> to cancerous HeLa and non-cancerous HEK293A </w:t>
      </w:r>
      <w:r w:rsidR="00926E0B" w:rsidRPr="00FC67DC">
        <w:rPr>
          <w:rFonts w:ascii="Times New Roman" w:hAnsi="Times New Roman"/>
        </w:rPr>
        <w:t>cell</w:t>
      </w:r>
      <w:r w:rsidR="00926E0B">
        <w:rPr>
          <w:rFonts w:ascii="Times New Roman" w:hAnsi="Times New Roman"/>
        </w:rPr>
        <w:t xml:space="preserve"> lines</w:t>
      </w:r>
      <w:r w:rsidR="00926E0B" w:rsidRPr="00FC67DC">
        <w:rPr>
          <w:rFonts w:ascii="Times New Roman" w:hAnsi="Times New Roman"/>
        </w:rPr>
        <w:t xml:space="preserve"> </w:t>
      </w:r>
      <w:r w:rsidRPr="00FC67DC">
        <w:rPr>
          <w:rFonts w:ascii="Times New Roman" w:hAnsi="Times New Roman"/>
        </w:rPr>
        <w:t>and at non-toxic concentrations increase</w:t>
      </w:r>
      <w:r w:rsidR="0050456A">
        <w:rPr>
          <w:rFonts w:ascii="Times New Roman" w:hAnsi="Times New Roman"/>
        </w:rPr>
        <w:t>d</w:t>
      </w:r>
      <w:r w:rsidRPr="00FC67DC">
        <w:rPr>
          <w:rFonts w:ascii="Times New Roman" w:hAnsi="Times New Roman"/>
        </w:rPr>
        <w:t xml:space="preserve"> the cytotoxicity of topotecan in </w:t>
      </w:r>
      <w:r w:rsidR="00926E0B">
        <w:rPr>
          <w:rFonts w:ascii="Times New Roman" w:hAnsi="Times New Roman"/>
        </w:rPr>
        <w:t xml:space="preserve">a </w:t>
      </w:r>
      <w:r w:rsidRPr="00FC67DC">
        <w:rPr>
          <w:rFonts w:ascii="Times New Roman" w:hAnsi="Times New Roman"/>
        </w:rPr>
        <w:t xml:space="preserve">dose-dependent manner. In sum, </w:t>
      </w:r>
      <w:r w:rsidR="00926E0B">
        <w:rPr>
          <w:rFonts w:ascii="Times New Roman" w:hAnsi="Times New Roman"/>
        </w:rPr>
        <w:t xml:space="preserve">both </w:t>
      </w:r>
      <w:r w:rsidRPr="00FC67DC">
        <w:rPr>
          <w:rFonts w:ascii="Times New Roman" w:hAnsi="Times New Roman"/>
        </w:rPr>
        <w:t xml:space="preserve">experimental and </w:t>
      </w:r>
      <w:r w:rsidRPr="00977F92">
        <w:rPr>
          <w:rFonts w:ascii="Times New Roman" w:hAnsi="Times New Roman"/>
          <w:i/>
        </w:rPr>
        <w:t>in silico</w:t>
      </w:r>
      <w:r w:rsidRPr="00FC67DC">
        <w:rPr>
          <w:rFonts w:ascii="Times New Roman" w:hAnsi="Times New Roman"/>
        </w:rPr>
        <w:t xml:space="preserve"> results </w:t>
      </w:r>
      <w:r w:rsidR="00926E0B">
        <w:rPr>
          <w:rFonts w:ascii="Times New Roman" w:hAnsi="Times New Roman"/>
        </w:rPr>
        <w:t>support the proposed mechanism of action for the</w:t>
      </w:r>
      <w:r w:rsidRPr="00FC67DC">
        <w:rPr>
          <w:rFonts w:ascii="Times New Roman" w:hAnsi="Times New Roman"/>
        </w:rPr>
        <w:t xml:space="preserve"> novel disubstituted thiazolidin-4-ones</w:t>
      </w:r>
      <w:r w:rsidR="00926E0B">
        <w:rPr>
          <w:rFonts w:ascii="Times New Roman" w:hAnsi="Times New Roman"/>
        </w:rPr>
        <w:t>.</w:t>
      </w:r>
      <w:r w:rsidRPr="00FC67DC">
        <w:rPr>
          <w:rFonts w:ascii="Times New Roman" w:hAnsi="Times New Roman"/>
        </w:rPr>
        <w:t xml:space="preserve"> </w:t>
      </w:r>
    </w:p>
    <w:p w14:paraId="729EE69E"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b/>
        </w:rPr>
        <w:t>Funding:</w:t>
      </w:r>
      <w:r w:rsidRPr="003E653A">
        <w:rPr>
          <w:rFonts w:ascii="Times New Roman" w:hAnsi="Times New Roman"/>
        </w:rPr>
        <w:t xml:space="preserve"> The research was supported by the Russian Scientific Foundation (grant 19-13-00040).</w:t>
      </w:r>
    </w:p>
    <w:p w14:paraId="55023980"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b/>
        </w:rPr>
        <w:t>Data Availability Statement:</w:t>
      </w:r>
      <w:r w:rsidRPr="003E653A">
        <w:rPr>
          <w:rFonts w:ascii="Times New Roman" w:hAnsi="Times New Roman"/>
        </w:rPr>
        <w:t xml:space="preserve"> The data presented in this study are available on request from the corresponding author.</w:t>
      </w:r>
    </w:p>
    <w:p w14:paraId="5164D850"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b/>
        </w:rPr>
        <w:t>Acknowledgements:</w:t>
      </w:r>
      <w:r w:rsidRPr="003E653A">
        <w:rPr>
          <w:rFonts w:ascii="Times New Roman" w:hAnsi="Times New Roman"/>
        </w:rPr>
        <w:t xml:space="preserve"> Authors would like to acknowledge the Multi-Access Chemical Research Center SB RAS for spectral and analytical measurements.</w:t>
      </w:r>
    </w:p>
    <w:p w14:paraId="24CB55B9" w14:textId="77777777" w:rsidR="00483686" w:rsidRPr="003E653A" w:rsidRDefault="00483686" w:rsidP="003E653A">
      <w:pPr>
        <w:pStyle w:val="MDPI31text"/>
        <w:spacing w:before="60" w:after="60"/>
        <w:ind w:left="0" w:firstLine="0"/>
        <w:rPr>
          <w:rFonts w:ascii="Times New Roman" w:hAnsi="Times New Roman"/>
          <w:b/>
        </w:rPr>
      </w:pPr>
      <w:r w:rsidRPr="003E653A">
        <w:rPr>
          <w:rFonts w:ascii="Times New Roman" w:hAnsi="Times New Roman"/>
          <w:b/>
        </w:rPr>
        <w:t xml:space="preserve">Conflict of Interest: </w:t>
      </w:r>
      <w:r w:rsidRPr="003E653A">
        <w:rPr>
          <w:rFonts w:ascii="Times New Roman" w:hAnsi="Times New Roman"/>
        </w:rPr>
        <w:t>there are no conflicts to declare.</w:t>
      </w:r>
    </w:p>
    <w:p w14:paraId="27A459D3"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b/>
        </w:rPr>
        <w:t>Abbreviations</w:t>
      </w:r>
    </w:p>
    <w:p w14:paraId="6716AF4B"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rPr>
        <w:t xml:space="preserve">DCC – </w:t>
      </w:r>
      <w:proofErr w:type="gramStart"/>
      <w:r w:rsidRPr="003E653A">
        <w:rPr>
          <w:rFonts w:ascii="Times New Roman" w:hAnsi="Times New Roman"/>
        </w:rPr>
        <w:t>N,N</w:t>
      </w:r>
      <w:proofErr w:type="gramEnd"/>
      <w:r w:rsidRPr="003E653A">
        <w:rPr>
          <w:rFonts w:ascii="Times New Roman" w:hAnsi="Times New Roman"/>
        </w:rPr>
        <w:t>’-</w:t>
      </w:r>
      <w:proofErr w:type="spellStart"/>
      <w:r w:rsidRPr="003E653A">
        <w:rPr>
          <w:rFonts w:ascii="Times New Roman" w:hAnsi="Times New Roman"/>
        </w:rPr>
        <w:t>Dicyclohexylcarbodiimide</w:t>
      </w:r>
      <w:proofErr w:type="spellEnd"/>
    </w:p>
    <w:p w14:paraId="6C4FC090"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rPr>
        <w:t>DCM – Dichloromethane</w:t>
      </w:r>
    </w:p>
    <w:p w14:paraId="4A9B38DE"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rPr>
        <w:t>DMP – Dess-Martin periodinane</w:t>
      </w:r>
    </w:p>
    <w:p w14:paraId="3FE16D7F"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rPr>
        <w:t>IBX – 2-Iodoxybenzoic acid</w:t>
      </w:r>
    </w:p>
    <w:p w14:paraId="46327A9A"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rPr>
        <w:t>NBS – N-</w:t>
      </w:r>
      <w:proofErr w:type="spellStart"/>
      <w:r w:rsidRPr="003E653A">
        <w:rPr>
          <w:rFonts w:ascii="Times New Roman" w:hAnsi="Times New Roman"/>
        </w:rPr>
        <w:t>Bromosuccinimide</w:t>
      </w:r>
      <w:proofErr w:type="spellEnd"/>
    </w:p>
    <w:p w14:paraId="19963B24"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rPr>
        <w:t>PCC – Pyridinium chlorochromate</w:t>
      </w:r>
    </w:p>
    <w:p w14:paraId="33679BB6" w14:textId="77777777" w:rsidR="00483686" w:rsidRPr="003E653A" w:rsidRDefault="00483686" w:rsidP="003E653A">
      <w:pPr>
        <w:pStyle w:val="MDPI31text"/>
        <w:spacing w:before="60" w:after="60"/>
        <w:ind w:left="0" w:firstLine="0"/>
        <w:rPr>
          <w:rFonts w:ascii="Times New Roman" w:hAnsi="Times New Roman"/>
        </w:rPr>
      </w:pPr>
      <w:r w:rsidRPr="003E653A">
        <w:rPr>
          <w:rFonts w:ascii="Times New Roman" w:hAnsi="Times New Roman"/>
        </w:rPr>
        <w:t>TDP1 – Tyrosyl-DNA-phosphodiesterase 1</w:t>
      </w:r>
    </w:p>
    <w:p w14:paraId="28CD6179" w14:textId="77777777" w:rsidR="00483686" w:rsidRDefault="00483686" w:rsidP="00483686">
      <w:pPr>
        <w:pStyle w:val="MDPI21heading1"/>
        <w:spacing w:after="240"/>
        <w:ind w:left="0"/>
      </w:pPr>
      <w:r w:rsidRPr="00B47821">
        <w:rPr>
          <w:rFonts w:ascii="Times New Roman" w:hAnsi="Times New Roman"/>
        </w:rPr>
        <w:t>References</w:t>
      </w:r>
    </w:p>
    <w:p w14:paraId="518A7A06" w14:textId="30EE4DFE" w:rsidR="00171237" w:rsidRPr="00171237" w:rsidRDefault="00483686" w:rsidP="00171237">
      <w:pPr>
        <w:autoSpaceDE w:val="0"/>
        <w:autoSpaceDN w:val="0"/>
        <w:adjustRightInd w:val="0"/>
        <w:ind w:left="640" w:hanging="640"/>
        <w:jc w:val="both"/>
        <w:rPr>
          <w:noProof/>
          <w:sz w:val="18"/>
          <w:szCs w:val="24"/>
        </w:rPr>
      </w:pPr>
      <w:r>
        <w:fldChar w:fldCharType="begin" w:fldLock="1"/>
      </w:r>
      <w:r>
        <w:instrText xml:space="preserve">ADDIN Mendeley Bibliography CSL_BIBLIOGRAPHY </w:instrText>
      </w:r>
      <w:r>
        <w:fldChar w:fldCharType="separate"/>
      </w:r>
      <w:r w:rsidR="00171237" w:rsidRPr="00171237">
        <w:rPr>
          <w:noProof/>
          <w:sz w:val="18"/>
          <w:szCs w:val="24"/>
        </w:rPr>
        <w:t xml:space="preserve">1. </w:t>
      </w:r>
      <w:r w:rsidR="00171237" w:rsidRPr="00171237">
        <w:rPr>
          <w:noProof/>
          <w:sz w:val="18"/>
          <w:szCs w:val="24"/>
        </w:rPr>
        <w:tab/>
        <w:t xml:space="preserve">Curtin, N.J.; Szabo, C. Molecular Aspects of Medicine Therapeutic applications of PARP inhibitors : Anticancer therapy and beyond. </w:t>
      </w:r>
      <w:r w:rsidR="00171237" w:rsidRPr="00171237">
        <w:rPr>
          <w:i/>
          <w:iCs/>
          <w:noProof/>
          <w:sz w:val="18"/>
          <w:szCs w:val="24"/>
        </w:rPr>
        <w:t>J. Mol. Asp. Med.</w:t>
      </w:r>
      <w:r w:rsidR="00171237" w:rsidRPr="00171237">
        <w:rPr>
          <w:noProof/>
          <w:sz w:val="18"/>
          <w:szCs w:val="24"/>
        </w:rPr>
        <w:t xml:space="preserve"> </w:t>
      </w:r>
      <w:r w:rsidR="00171237" w:rsidRPr="00171237">
        <w:rPr>
          <w:b/>
          <w:bCs/>
          <w:noProof/>
          <w:sz w:val="18"/>
          <w:szCs w:val="24"/>
        </w:rPr>
        <w:t>2013</w:t>
      </w:r>
      <w:r w:rsidR="00171237" w:rsidRPr="00171237">
        <w:rPr>
          <w:noProof/>
          <w:sz w:val="18"/>
          <w:szCs w:val="24"/>
        </w:rPr>
        <w:t xml:space="preserve">, </w:t>
      </w:r>
      <w:r w:rsidR="00171237" w:rsidRPr="00171237">
        <w:rPr>
          <w:i/>
          <w:iCs/>
          <w:noProof/>
          <w:sz w:val="18"/>
          <w:szCs w:val="24"/>
        </w:rPr>
        <w:t>44</w:t>
      </w:r>
      <w:r w:rsidR="00171237" w:rsidRPr="00171237">
        <w:rPr>
          <w:noProof/>
          <w:sz w:val="18"/>
          <w:szCs w:val="24"/>
        </w:rPr>
        <w:t>, doi:10.1016/j.mam.2013.01.006.</w:t>
      </w:r>
    </w:p>
    <w:p w14:paraId="4878129E"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 </w:t>
      </w:r>
      <w:r w:rsidRPr="00171237">
        <w:rPr>
          <w:noProof/>
          <w:sz w:val="18"/>
          <w:szCs w:val="24"/>
        </w:rPr>
        <w:tab/>
        <w:t xml:space="preserve">Prakash, A.; Garcia-Moreno, J.F.; Brown, J.A.L.; Bourke, E. Clinically applicable inhibitors impacting genome stability. </w:t>
      </w:r>
      <w:r w:rsidRPr="00171237">
        <w:rPr>
          <w:i/>
          <w:iCs/>
          <w:noProof/>
          <w:sz w:val="18"/>
          <w:szCs w:val="24"/>
        </w:rPr>
        <w:t>Molecules</w:t>
      </w:r>
      <w:r w:rsidRPr="00171237">
        <w:rPr>
          <w:noProof/>
          <w:sz w:val="18"/>
          <w:szCs w:val="24"/>
        </w:rPr>
        <w:t xml:space="preserve"> </w:t>
      </w:r>
      <w:r w:rsidRPr="00171237">
        <w:rPr>
          <w:b/>
          <w:bCs/>
          <w:noProof/>
          <w:sz w:val="18"/>
          <w:szCs w:val="24"/>
        </w:rPr>
        <w:t>2018</w:t>
      </w:r>
      <w:r w:rsidRPr="00171237">
        <w:rPr>
          <w:noProof/>
          <w:sz w:val="18"/>
          <w:szCs w:val="24"/>
        </w:rPr>
        <w:t xml:space="preserve">, </w:t>
      </w:r>
      <w:r w:rsidRPr="00171237">
        <w:rPr>
          <w:i/>
          <w:iCs/>
          <w:noProof/>
          <w:sz w:val="18"/>
          <w:szCs w:val="24"/>
        </w:rPr>
        <w:t>23</w:t>
      </w:r>
      <w:r w:rsidRPr="00171237">
        <w:rPr>
          <w:noProof/>
          <w:sz w:val="18"/>
          <w:szCs w:val="24"/>
        </w:rPr>
        <w:t>, 1–66, doi:10.3390/molecules23051166.</w:t>
      </w:r>
    </w:p>
    <w:p w14:paraId="416F1A74"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 </w:t>
      </w:r>
      <w:r w:rsidRPr="00171237">
        <w:rPr>
          <w:noProof/>
          <w:sz w:val="18"/>
          <w:szCs w:val="24"/>
        </w:rPr>
        <w:tab/>
        <w:t xml:space="preserve">Matsumoto, Y. Development and Evolution of DNA-Dependent Protein Kinase Inhibitors toward Cancer Therapy. </w:t>
      </w:r>
      <w:r w:rsidRPr="00171237">
        <w:rPr>
          <w:i/>
          <w:iCs/>
          <w:noProof/>
          <w:sz w:val="18"/>
          <w:szCs w:val="24"/>
        </w:rPr>
        <w:t>Mol. Sci.</w:t>
      </w:r>
      <w:r w:rsidRPr="00171237">
        <w:rPr>
          <w:noProof/>
          <w:sz w:val="18"/>
          <w:szCs w:val="24"/>
        </w:rPr>
        <w:t xml:space="preserve"> </w:t>
      </w:r>
      <w:r w:rsidRPr="00171237">
        <w:rPr>
          <w:b/>
          <w:bCs/>
          <w:noProof/>
          <w:sz w:val="18"/>
          <w:szCs w:val="24"/>
        </w:rPr>
        <w:t>2022</w:t>
      </w:r>
      <w:r w:rsidRPr="00171237">
        <w:rPr>
          <w:noProof/>
          <w:sz w:val="18"/>
          <w:szCs w:val="24"/>
        </w:rPr>
        <w:t xml:space="preserve">, </w:t>
      </w:r>
      <w:r w:rsidRPr="00171237">
        <w:rPr>
          <w:i/>
          <w:iCs/>
          <w:noProof/>
          <w:sz w:val="18"/>
          <w:szCs w:val="24"/>
        </w:rPr>
        <w:t>23</w:t>
      </w:r>
      <w:r w:rsidRPr="00171237">
        <w:rPr>
          <w:noProof/>
          <w:sz w:val="18"/>
          <w:szCs w:val="24"/>
        </w:rPr>
        <w:t>, 1–24.</w:t>
      </w:r>
    </w:p>
    <w:p w14:paraId="5E56B2EC"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4. </w:t>
      </w:r>
      <w:r w:rsidRPr="00171237">
        <w:rPr>
          <w:noProof/>
          <w:sz w:val="18"/>
          <w:szCs w:val="24"/>
        </w:rPr>
        <w:tab/>
        <w:t xml:space="preserve">Alemi, F.; Malakoti, F.; Vaghari-Tabari, M.; Soleimanpour, J.; Shabestani, N.; Sadigh, A.R.; Khelghati, N.; Asemi, Z.; Ahmadi, Y.; Yousefi, B. DNA damage response signaling pathways as important targets for combination therapy and chemotherapy sensitization in osteosarcoma. </w:t>
      </w:r>
      <w:r w:rsidRPr="00171237">
        <w:rPr>
          <w:i/>
          <w:iCs/>
          <w:noProof/>
          <w:sz w:val="18"/>
          <w:szCs w:val="24"/>
        </w:rPr>
        <w:t>J. Cell. Physiol.</w:t>
      </w:r>
      <w:r w:rsidRPr="00171237">
        <w:rPr>
          <w:noProof/>
          <w:sz w:val="18"/>
          <w:szCs w:val="24"/>
        </w:rPr>
        <w:t xml:space="preserve"> </w:t>
      </w:r>
      <w:r w:rsidRPr="00171237">
        <w:rPr>
          <w:b/>
          <w:bCs/>
          <w:noProof/>
          <w:sz w:val="18"/>
          <w:szCs w:val="24"/>
        </w:rPr>
        <w:t>2022</w:t>
      </w:r>
      <w:r w:rsidRPr="00171237">
        <w:rPr>
          <w:noProof/>
          <w:sz w:val="18"/>
          <w:szCs w:val="24"/>
        </w:rPr>
        <w:t>, 1–13, doi:10.1002/jcp.30721.</w:t>
      </w:r>
    </w:p>
    <w:p w14:paraId="3F1AFF52"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5. </w:t>
      </w:r>
      <w:r w:rsidRPr="00171237">
        <w:rPr>
          <w:noProof/>
          <w:sz w:val="18"/>
          <w:szCs w:val="24"/>
        </w:rPr>
        <w:tab/>
        <w:t xml:space="preserve">Comeaux, E.Q.; Van Waardenburg, R.C.A.M. Tyrosyl-DNA phosphodiesterase I resolves both naturally and chemically induced DNA adducts and its potential as a therapeutic target. </w:t>
      </w:r>
      <w:r w:rsidRPr="00171237">
        <w:rPr>
          <w:i/>
          <w:iCs/>
          <w:noProof/>
          <w:sz w:val="18"/>
          <w:szCs w:val="24"/>
        </w:rPr>
        <w:t>Drug Metab. Rev.</w:t>
      </w:r>
      <w:r w:rsidRPr="00171237">
        <w:rPr>
          <w:noProof/>
          <w:sz w:val="18"/>
          <w:szCs w:val="24"/>
        </w:rPr>
        <w:t xml:space="preserve"> </w:t>
      </w:r>
      <w:r w:rsidRPr="00171237">
        <w:rPr>
          <w:b/>
          <w:bCs/>
          <w:noProof/>
          <w:sz w:val="18"/>
          <w:szCs w:val="24"/>
        </w:rPr>
        <w:t>2014</w:t>
      </w:r>
      <w:r w:rsidRPr="00171237">
        <w:rPr>
          <w:noProof/>
          <w:sz w:val="18"/>
          <w:szCs w:val="24"/>
        </w:rPr>
        <w:t xml:space="preserve">, </w:t>
      </w:r>
      <w:r w:rsidRPr="00171237">
        <w:rPr>
          <w:i/>
          <w:iCs/>
          <w:noProof/>
          <w:sz w:val="18"/>
          <w:szCs w:val="24"/>
        </w:rPr>
        <w:t>46</w:t>
      </w:r>
      <w:r w:rsidRPr="00171237">
        <w:rPr>
          <w:noProof/>
          <w:sz w:val="18"/>
          <w:szCs w:val="24"/>
        </w:rPr>
        <w:t>, 494–507, doi:10.3109/03602532.2014.971957.</w:t>
      </w:r>
    </w:p>
    <w:p w14:paraId="09C1C2BC"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6. </w:t>
      </w:r>
      <w:r w:rsidRPr="00171237">
        <w:rPr>
          <w:noProof/>
          <w:sz w:val="18"/>
          <w:szCs w:val="24"/>
        </w:rPr>
        <w:tab/>
        <w:t xml:space="preserve">Pommier, Y.; Huang, S. yin N.; Gao, R.; Das, B.B.; Murai, J.; Marchand, C. Tyrosyl-DNA-phosphodiesterases (TDP1 and TDP2). </w:t>
      </w:r>
      <w:r w:rsidRPr="00171237">
        <w:rPr>
          <w:i/>
          <w:iCs/>
          <w:noProof/>
          <w:sz w:val="18"/>
          <w:szCs w:val="24"/>
        </w:rPr>
        <w:t>DNA Repair (Amst).</w:t>
      </w:r>
      <w:r w:rsidRPr="00171237">
        <w:rPr>
          <w:noProof/>
          <w:sz w:val="18"/>
          <w:szCs w:val="24"/>
        </w:rPr>
        <w:t xml:space="preserve"> </w:t>
      </w:r>
      <w:r w:rsidRPr="00171237">
        <w:rPr>
          <w:b/>
          <w:bCs/>
          <w:noProof/>
          <w:sz w:val="18"/>
          <w:szCs w:val="24"/>
        </w:rPr>
        <w:t>2014</w:t>
      </w:r>
      <w:r w:rsidRPr="00171237">
        <w:rPr>
          <w:noProof/>
          <w:sz w:val="18"/>
          <w:szCs w:val="24"/>
        </w:rPr>
        <w:t xml:space="preserve">, </w:t>
      </w:r>
      <w:r w:rsidRPr="00171237">
        <w:rPr>
          <w:i/>
          <w:iCs/>
          <w:noProof/>
          <w:sz w:val="18"/>
          <w:szCs w:val="24"/>
        </w:rPr>
        <w:t>19</w:t>
      </w:r>
      <w:r w:rsidRPr="00171237">
        <w:rPr>
          <w:noProof/>
          <w:sz w:val="18"/>
          <w:szCs w:val="24"/>
        </w:rPr>
        <w:t>, 114–129, doi:10.1016/j.dnarep.2014.03.020.</w:t>
      </w:r>
    </w:p>
    <w:p w14:paraId="695866E2"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7. </w:t>
      </w:r>
      <w:r w:rsidRPr="00171237">
        <w:rPr>
          <w:noProof/>
          <w:sz w:val="18"/>
          <w:szCs w:val="24"/>
        </w:rPr>
        <w:tab/>
        <w:t xml:space="preserve">Jain, A.; Vaidya, A.; Ravichandran, V.; Kashaw, S.; Agrawal, R. Recent developments and biological activities of thiazolidinone derivatives: a review. </w:t>
      </w:r>
      <w:r w:rsidRPr="00171237">
        <w:rPr>
          <w:i/>
          <w:iCs/>
          <w:noProof/>
          <w:sz w:val="18"/>
          <w:szCs w:val="24"/>
        </w:rPr>
        <w:t>Bioorganic Med. Chem.</w:t>
      </w:r>
      <w:r w:rsidRPr="00171237">
        <w:rPr>
          <w:noProof/>
          <w:sz w:val="18"/>
          <w:szCs w:val="24"/>
        </w:rPr>
        <w:t xml:space="preserve"> </w:t>
      </w:r>
      <w:r w:rsidRPr="00171237">
        <w:rPr>
          <w:b/>
          <w:bCs/>
          <w:noProof/>
          <w:sz w:val="18"/>
          <w:szCs w:val="24"/>
        </w:rPr>
        <w:t>2012</w:t>
      </w:r>
      <w:r w:rsidRPr="00171237">
        <w:rPr>
          <w:noProof/>
          <w:sz w:val="18"/>
          <w:szCs w:val="24"/>
        </w:rPr>
        <w:t xml:space="preserve">, </w:t>
      </w:r>
      <w:r w:rsidRPr="00171237">
        <w:rPr>
          <w:i/>
          <w:iCs/>
          <w:noProof/>
          <w:sz w:val="18"/>
          <w:szCs w:val="24"/>
        </w:rPr>
        <w:t>20</w:t>
      </w:r>
      <w:r w:rsidRPr="00171237">
        <w:rPr>
          <w:noProof/>
          <w:sz w:val="18"/>
          <w:szCs w:val="24"/>
        </w:rPr>
        <w:t xml:space="preserve">, 3378–3395, </w:t>
      </w:r>
      <w:r w:rsidRPr="00171237">
        <w:rPr>
          <w:noProof/>
          <w:sz w:val="18"/>
          <w:szCs w:val="24"/>
        </w:rPr>
        <w:lastRenderedPageBreak/>
        <w:t>doi:10.1016/j.bmc.2012.03.069.</w:t>
      </w:r>
    </w:p>
    <w:p w14:paraId="7F6FDBF7"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8. </w:t>
      </w:r>
      <w:r w:rsidRPr="00171237">
        <w:rPr>
          <w:noProof/>
          <w:sz w:val="18"/>
          <w:szCs w:val="24"/>
        </w:rPr>
        <w:tab/>
        <w:t xml:space="preserve">Kaur, S.; Kaur, R.; Bhatia, R.; Kumar, K.; Singh, V.; Shankar, R.; Kaur, R.; Rawal, R. Synthetic and medicinal perspective of thiazolidinones : a review. </w:t>
      </w:r>
      <w:r w:rsidRPr="00171237">
        <w:rPr>
          <w:i/>
          <w:iCs/>
          <w:noProof/>
          <w:sz w:val="18"/>
          <w:szCs w:val="24"/>
        </w:rPr>
        <w:t>Bioorg. Chem.</w:t>
      </w:r>
      <w:r w:rsidRPr="00171237">
        <w:rPr>
          <w:noProof/>
          <w:sz w:val="18"/>
          <w:szCs w:val="24"/>
        </w:rPr>
        <w:t xml:space="preserve"> </w:t>
      </w:r>
      <w:r w:rsidRPr="00171237">
        <w:rPr>
          <w:b/>
          <w:bCs/>
          <w:noProof/>
          <w:sz w:val="18"/>
          <w:szCs w:val="24"/>
        </w:rPr>
        <w:t>2017</w:t>
      </w:r>
      <w:r w:rsidRPr="00171237">
        <w:rPr>
          <w:noProof/>
          <w:sz w:val="18"/>
          <w:szCs w:val="24"/>
        </w:rPr>
        <w:t xml:space="preserve">, </w:t>
      </w:r>
      <w:r w:rsidRPr="00171237">
        <w:rPr>
          <w:i/>
          <w:iCs/>
          <w:noProof/>
          <w:sz w:val="18"/>
          <w:szCs w:val="24"/>
        </w:rPr>
        <w:t>75</w:t>
      </w:r>
      <w:r w:rsidRPr="00171237">
        <w:rPr>
          <w:noProof/>
          <w:sz w:val="18"/>
          <w:szCs w:val="24"/>
        </w:rPr>
        <w:t>, 406–423, doi:10.1016/j.bioorg.2017.10.014.</w:t>
      </w:r>
    </w:p>
    <w:p w14:paraId="01569A34"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9. </w:t>
      </w:r>
      <w:r w:rsidRPr="00171237">
        <w:rPr>
          <w:noProof/>
          <w:sz w:val="18"/>
          <w:szCs w:val="24"/>
        </w:rPr>
        <w:tab/>
        <w:t xml:space="preserve">Borisova, M.S.; Ivankin, D.I.; Sokolov, D.N.; Luzina, O.A.; Rybalova, T. V.; Tolstikova, T.G.; Salakhutdinov, N.F. Synthesis, antiulcerative, and anti-inflammatory activities of new campholenic derivatives-1,3-thiazolidin-4-ones, 1,3-thiazolidine-2,4-diones, and 1,3-thiazinan-4-ones. </w:t>
      </w:r>
      <w:r w:rsidRPr="00171237">
        <w:rPr>
          <w:i/>
          <w:iCs/>
          <w:noProof/>
          <w:sz w:val="18"/>
          <w:szCs w:val="24"/>
        </w:rPr>
        <w:t>Chem. Pap.</w:t>
      </w:r>
      <w:r w:rsidRPr="00171237">
        <w:rPr>
          <w:noProof/>
          <w:sz w:val="18"/>
          <w:szCs w:val="24"/>
        </w:rPr>
        <w:t xml:space="preserve"> </w:t>
      </w:r>
      <w:r w:rsidRPr="00171237">
        <w:rPr>
          <w:b/>
          <w:bCs/>
          <w:noProof/>
          <w:sz w:val="18"/>
          <w:szCs w:val="24"/>
        </w:rPr>
        <w:t>2021</w:t>
      </w:r>
      <w:r w:rsidRPr="00171237">
        <w:rPr>
          <w:noProof/>
          <w:sz w:val="18"/>
          <w:szCs w:val="24"/>
        </w:rPr>
        <w:t xml:space="preserve">, </w:t>
      </w:r>
      <w:r w:rsidRPr="00171237">
        <w:rPr>
          <w:i/>
          <w:iCs/>
          <w:noProof/>
          <w:sz w:val="18"/>
          <w:szCs w:val="24"/>
        </w:rPr>
        <w:t>75</w:t>
      </w:r>
      <w:r w:rsidRPr="00171237">
        <w:rPr>
          <w:noProof/>
          <w:sz w:val="18"/>
          <w:szCs w:val="24"/>
        </w:rPr>
        <w:t>, 5503–5514, doi:10.1007/s11696-021-01741-5.</w:t>
      </w:r>
    </w:p>
    <w:p w14:paraId="72667FF3"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10. </w:t>
      </w:r>
      <w:r w:rsidRPr="00171237">
        <w:rPr>
          <w:noProof/>
          <w:sz w:val="18"/>
          <w:szCs w:val="24"/>
        </w:rPr>
        <w:tab/>
        <w:t xml:space="preserve">Sirivolu, V.R.; Vernekar, S.K. V.; Marchand, C.; Naumova, A.; Chergui, A.; Renaud, A.; Stephen, A.G.; Chen, F.; Sham, Y.Y.; Pommier, Y.; et al. 5-Arylidenethioxothiazolidinones as Inhibitors of Tyrosyl-DNA Phosphodiesterase i. </w:t>
      </w:r>
      <w:r w:rsidRPr="00171237">
        <w:rPr>
          <w:i/>
          <w:iCs/>
          <w:noProof/>
          <w:sz w:val="18"/>
          <w:szCs w:val="24"/>
        </w:rPr>
        <w:t>J. Med. Chem.</w:t>
      </w:r>
      <w:r w:rsidRPr="00171237">
        <w:rPr>
          <w:noProof/>
          <w:sz w:val="18"/>
          <w:szCs w:val="24"/>
        </w:rPr>
        <w:t xml:space="preserve"> </w:t>
      </w:r>
      <w:r w:rsidRPr="00171237">
        <w:rPr>
          <w:b/>
          <w:bCs/>
          <w:noProof/>
          <w:sz w:val="18"/>
          <w:szCs w:val="24"/>
        </w:rPr>
        <w:t>2012</w:t>
      </w:r>
      <w:r w:rsidRPr="00171237">
        <w:rPr>
          <w:noProof/>
          <w:sz w:val="18"/>
          <w:szCs w:val="24"/>
        </w:rPr>
        <w:t xml:space="preserve">, </w:t>
      </w:r>
      <w:r w:rsidRPr="00171237">
        <w:rPr>
          <w:i/>
          <w:iCs/>
          <w:noProof/>
          <w:sz w:val="18"/>
          <w:szCs w:val="24"/>
        </w:rPr>
        <w:t>55</w:t>
      </w:r>
      <w:r w:rsidRPr="00171237">
        <w:rPr>
          <w:noProof/>
          <w:sz w:val="18"/>
          <w:szCs w:val="24"/>
        </w:rPr>
        <w:t>, 8671–8684, doi:10.1021/jm3008773.</w:t>
      </w:r>
    </w:p>
    <w:p w14:paraId="61477CEC"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11. </w:t>
      </w:r>
      <w:r w:rsidRPr="00171237">
        <w:rPr>
          <w:noProof/>
          <w:sz w:val="18"/>
          <w:szCs w:val="24"/>
        </w:rPr>
        <w:tab/>
        <w:t xml:space="preserve">Dyrkheeva, N.S.; Filimonov, A.S.; Luzina, O.A.; Orlova, K.A.; Chernyshova, I.A.; Kornienko, T.E.; Malakhova, A.A.; Medvedev, S.P.; Zakharenko, A.L.; Ilina, E.S.; et al. New hybrid compounds combining fragments of usnic acid and thioether are inhibitors of human enzymes TDP1, TDP2 and PARP1. </w:t>
      </w:r>
      <w:r w:rsidRPr="00171237">
        <w:rPr>
          <w:i/>
          <w:iCs/>
          <w:noProof/>
          <w:sz w:val="18"/>
          <w:szCs w:val="24"/>
        </w:rPr>
        <w:t>Int. J. Mol. Sci.</w:t>
      </w:r>
      <w:r w:rsidRPr="00171237">
        <w:rPr>
          <w:noProof/>
          <w:sz w:val="18"/>
          <w:szCs w:val="24"/>
        </w:rPr>
        <w:t xml:space="preserve"> </w:t>
      </w:r>
      <w:r w:rsidRPr="00171237">
        <w:rPr>
          <w:b/>
          <w:bCs/>
          <w:noProof/>
          <w:sz w:val="18"/>
          <w:szCs w:val="24"/>
        </w:rPr>
        <w:t>2021</w:t>
      </w:r>
      <w:r w:rsidRPr="00171237">
        <w:rPr>
          <w:noProof/>
          <w:sz w:val="18"/>
          <w:szCs w:val="24"/>
        </w:rPr>
        <w:t xml:space="preserve">, </w:t>
      </w:r>
      <w:r w:rsidRPr="00171237">
        <w:rPr>
          <w:i/>
          <w:iCs/>
          <w:noProof/>
          <w:sz w:val="18"/>
          <w:szCs w:val="24"/>
        </w:rPr>
        <w:t>22</w:t>
      </w:r>
      <w:r w:rsidRPr="00171237">
        <w:rPr>
          <w:noProof/>
          <w:sz w:val="18"/>
          <w:szCs w:val="24"/>
        </w:rPr>
        <w:t>, doi:10.3390/ijms222111336.</w:t>
      </w:r>
    </w:p>
    <w:p w14:paraId="0E90417B"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12. </w:t>
      </w:r>
      <w:r w:rsidRPr="00171237">
        <w:rPr>
          <w:noProof/>
          <w:sz w:val="18"/>
          <w:szCs w:val="24"/>
        </w:rPr>
        <w:tab/>
        <w:t xml:space="preserve">Dyrkheeva, N.S.; Filimonov, A.S.; Luzina, O.A.; Zakharenko, A.L.; Ilina, E.S.; Malakhova, A.A.; Medvedev, S.P.; Reynisson, J.; Volcho, K.P.; Zakian, S.M.; et al. New hybrid compounds combining fragments of usnic acid and monoterpenoids for effective tyrosyl-dna phosphodiesterase 1 inhibition. </w:t>
      </w:r>
      <w:r w:rsidRPr="00171237">
        <w:rPr>
          <w:i/>
          <w:iCs/>
          <w:noProof/>
          <w:sz w:val="18"/>
          <w:szCs w:val="24"/>
        </w:rPr>
        <w:t>Biomolecules</w:t>
      </w:r>
      <w:r w:rsidRPr="00171237">
        <w:rPr>
          <w:noProof/>
          <w:sz w:val="18"/>
          <w:szCs w:val="24"/>
        </w:rPr>
        <w:t xml:space="preserve"> </w:t>
      </w:r>
      <w:r w:rsidRPr="00171237">
        <w:rPr>
          <w:b/>
          <w:bCs/>
          <w:noProof/>
          <w:sz w:val="18"/>
          <w:szCs w:val="24"/>
        </w:rPr>
        <w:t>2021</w:t>
      </w:r>
      <w:r w:rsidRPr="00171237">
        <w:rPr>
          <w:noProof/>
          <w:sz w:val="18"/>
          <w:szCs w:val="24"/>
        </w:rPr>
        <w:t xml:space="preserve">, </w:t>
      </w:r>
      <w:r w:rsidRPr="00171237">
        <w:rPr>
          <w:i/>
          <w:iCs/>
          <w:noProof/>
          <w:sz w:val="18"/>
          <w:szCs w:val="24"/>
        </w:rPr>
        <w:t>11</w:t>
      </w:r>
      <w:r w:rsidRPr="00171237">
        <w:rPr>
          <w:noProof/>
          <w:sz w:val="18"/>
          <w:szCs w:val="24"/>
        </w:rPr>
        <w:t>, 1–23, doi:10.3390/biom11070973.</w:t>
      </w:r>
    </w:p>
    <w:p w14:paraId="4F2CB3B2"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13. </w:t>
      </w:r>
      <w:r w:rsidRPr="00171237">
        <w:rPr>
          <w:noProof/>
          <w:sz w:val="18"/>
          <w:szCs w:val="24"/>
        </w:rPr>
        <w:tab/>
        <w:t xml:space="preserve">Khomenko, T.M.; Zakharenko, A.L.; Chepanova, A.A.; Ilina, E.S.; Zakharova, O.D.; Kaledin, V.I.; Nikolin, V.P.; Popova, N.A.; Korchagina, D. V.; Reynisson, J.; et al. Promising new inhibitors of tyrosyl-DNA phosphodiesterase I (Tdp 1) combining 4- arylcoumarin and monoterpenoid moieties as components of complex antitumor therapy. </w:t>
      </w:r>
      <w:r w:rsidRPr="00171237">
        <w:rPr>
          <w:i/>
          <w:iCs/>
          <w:noProof/>
          <w:sz w:val="18"/>
          <w:szCs w:val="24"/>
        </w:rPr>
        <w:t>Int. J. Mol. Sci.</w:t>
      </w:r>
      <w:r w:rsidRPr="00171237">
        <w:rPr>
          <w:noProof/>
          <w:sz w:val="18"/>
          <w:szCs w:val="24"/>
        </w:rPr>
        <w:t xml:space="preserve"> </w:t>
      </w:r>
      <w:r w:rsidRPr="00171237">
        <w:rPr>
          <w:b/>
          <w:bCs/>
          <w:noProof/>
          <w:sz w:val="18"/>
          <w:szCs w:val="24"/>
        </w:rPr>
        <w:t>2020</w:t>
      </w:r>
      <w:r w:rsidRPr="00171237">
        <w:rPr>
          <w:noProof/>
          <w:sz w:val="18"/>
          <w:szCs w:val="24"/>
        </w:rPr>
        <w:t xml:space="preserve">, </w:t>
      </w:r>
      <w:r w:rsidRPr="00171237">
        <w:rPr>
          <w:i/>
          <w:iCs/>
          <w:noProof/>
          <w:sz w:val="18"/>
          <w:szCs w:val="24"/>
        </w:rPr>
        <w:t>21</w:t>
      </w:r>
      <w:r w:rsidRPr="00171237">
        <w:rPr>
          <w:noProof/>
          <w:sz w:val="18"/>
          <w:szCs w:val="24"/>
        </w:rPr>
        <w:t>, doi:10.3390/ijms21010126.</w:t>
      </w:r>
    </w:p>
    <w:p w14:paraId="00F68D5B"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14. </w:t>
      </w:r>
      <w:r w:rsidRPr="00171237">
        <w:rPr>
          <w:noProof/>
          <w:sz w:val="18"/>
          <w:szCs w:val="24"/>
        </w:rPr>
        <w:tab/>
        <w:t xml:space="preserve">Luzina, O.; Filimonov, A.; Zakharenko, A.; Chepanova, A.; Zakharova, O.; Ilina, E.; Dyrkheeva, N.; Likhatskaya, G.; Salakhutdinov, N.; Lavrik, O. Usnic Acid Conjugates with Monoterpenoids as Potent Tyrosyl-DNA Phosphodiesterase 1 Inhibitors. </w:t>
      </w:r>
      <w:r w:rsidRPr="00171237">
        <w:rPr>
          <w:i/>
          <w:iCs/>
          <w:noProof/>
          <w:sz w:val="18"/>
          <w:szCs w:val="24"/>
        </w:rPr>
        <w:t>J. Nat. Prod.</w:t>
      </w:r>
      <w:r w:rsidRPr="00171237">
        <w:rPr>
          <w:noProof/>
          <w:sz w:val="18"/>
          <w:szCs w:val="24"/>
        </w:rPr>
        <w:t xml:space="preserve"> </w:t>
      </w:r>
      <w:r w:rsidRPr="00171237">
        <w:rPr>
          <w:b/>
          <w:bCs/>
          <w:noProof/>
          <w:sz w:val="18"/>
          <w:szCs w:val="24"/>
        </w:rPr>
        <w:t>2020</w:t>
      </w:r>
      <w:r w:rsidRPr="00171237">
        <w:rPr>
          <w:noProof/>
          <w:sz w:val="18"/>
          <w:szCs w:val="24"/>
        </w:rPr>
        <w:t xml:space="preserve">, </w:t>
      </w:r>
      <w:r w:rsidRPr="00171237">
        <w:rPr>
          <w:i/>
          <w:iCs/>
          <w:noProof/>
          <w:sz w:val="18"/>
          <w:szCs w:val="24"/>
        </w:rPr>
        <w:t>83</w:t>
      </w:r>
      <w:r w:rsidRPr="00171237">
        <w:rPr>
          <w:noProof/>
          <w:sz w:val="18"/>
          <w:szCs w:val="24"/>
        </w:rPr>
        <w:t>, 2320–2329, doi:10.1021/acs.jnatprod.9b01089.</w:t>
      </w:r>
    </w:p>
    <w:p w14:paraId="0D999FCC"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15. </w:t>
      </w:r>
      <w:r w:rsidRPr="00171237">
        <w:rPr>
          <w:noProof/>
          <w:sz w:val="18"/>
          <w:szCs w:val="24"/>
        </w:rPr>
        <w:tab/>
        <w:t xml:space="preserve">Munkuev, A.A.; Mozhaitsev, E.S.; Chepanova, A.A.; Suslov, E. V.; Korchagina, D. V.; Zakharova, O.D.; Ilina, E.S.; Dyrkheeva, N.S.; Zakharenko, A.L.; Reynisson, J.; et al. Novel tdp1 inhibitors based on adamantane connected with monoterpene moieties via heterocyclic fragments. </w:t>
      </w:r>
      <w:r w:rsidRPr="00171237">
        <w:rPr>
          <w:i/>
          <w:iCs/>
          <w:noProof/>
          <w:sz w:val="18"/>
          <w:szCs w:val="24"/>
        </w:rPr>
        <w:t>Molecules</w:t>
      </w:r>
      <w:r w:rsidRPr="00171237">
        <w:rPr>
          <w:noProof/>
          <w:sz w:val="18"/>
          <w:szCs w:val="24"/>
        </w:rPr>
        <w:t xml:space="preserve"> </w:t>
      </w:r>
      <w:r w:rsidRPr="00171237">
        <w:rPr>
          <w:b/>
          <w:bCs/>
          <w:noProof/>
          <w:sz w:val="18"/>
          <w:szCs w:val="24"/>
        </w:rPr>
        <w:t>2021</w:t>
      </w:r>
      <w:r w:rsidRPr="00171237">
        <w:rPr>
          <w:noProof/>
          <w:sz w:val="18"/>
          <w:szCs w:val="24"/>
        </w:rPr>
        <w:t xml:space="preserve">, </w:t>
      </w:r>
      <w:r w:rsidRPr="00171237">
        <w:rPr>
          <w:i/>
          <w:iCs/>
          <w:noProof/>
          <w:sz w:val="18"/>
          <w:szCs w:val="24"/>
        </w:rPr>
        <w:t>26</w:t>
      </w:r>
      <w:r w:rsidRPr="00171237">
        <w:rPr>
          <w:noProof/>
          <w:sz w:val="18"/>
          <w:szCs w:val="24"/>
        </w:rPr>
        <w:t>, 1–23, doi:10.3390/molecules26113128.</w:t>
      </w:r>
    </w:p>
    <w:p w14:paraId="59941061"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16. </w:t>
      </w:r>
      <w:r w:rsidRPr="00171237">
        <w:rPr>
          <w:noProof/>
          <w:sz w:val="18"/>
          <w:szCs w:val="24"/>
        </w:rPr>
        <w:tab/>
        <w:t xml:space="preserve">Il, I. V; Dyrkheeva, N.S.; Zakharenko, A.L.; Sidorenko, A.Y.; Li-zhulanov, N.S.; Korchagina, D. V; Chand, R.; Ayine-tora, D.M.; Chepanova, A.A.; Zakharova, O.D.; et al. Design, Synthesis, and Biological Investigation of Novel Classes of 3-Carene-Derived Potent Inhibitors of TDP1. </w:t>
      </w:r>
      <w:r w:rsidRPr="00171237">
        <w:rPr>
          <w:b/>
          <w:bCs/>
          <w:noProof/>
          <w:sz w:val="18"/>
          <w:szCs w:val="24"/>
        </w:rPr>
        <w:t>2020</w:t>
      </w:r>
      <w:r w:rsidRPr="00171237">
        <w:rPr>
          <w:noProof/>
          <w:sz w:val="18"/>
          <w:szCs w:val="24"/>
        </w:rPr>
        <w:t xml:space="preserve">, </w:t>
      </w:r>
      <w:r w:rsidRPr="00171237">
        <w:rPr>
          <w:i/>
          <w:iCs/>
          <w:noProof/>
          <w:sz w:val="18"/>
          <w:szCs w:val="24"/>
        </w:rPr>
        <w:t>25</w:t>
      </w:r>
      <w:r w:rsidRPr="00171237">
        <w:rPr>
          <w:noProof/>
          <w:sz w:val="18"/>
          <w:szCs w:val="24"/>
        </w:rPr>
        <w:t>, 1–22.</w:t>
      </w:r>
    </w:p>
    <w:p w14:paraId="20453238"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17. </w:t>
      </w:r>
      <w:r w:rsidRPr="00171237">
        <w:rPr>
          <w:noProof/>
          <w:sz w:val="18"/>
          <w:szCs w:val="24"/>
        </w:rPr>
        <w:tab/>
        <w:t xml:space="preserve">Munkuev, A.A.; Dyrkheeva, N.S.; Kornienko, T.E.; Ilina, E.S.; Ivankin, D.I.; Suslov, E. V; Korchagina, D. V; Gatilov, Y. V; Zakharenko, A.L.; Malakhova, A.A.; et al. Adamantane-Monoterpenoid Conjugates Linked via Heterocyclic Linkers Enhance the Cytotoxic Effect of Topotecan. </w:t>
      </w:r>
      <w:r w:rsidRPr="00171237">
        <w:rPr>
          <w:b/>
          <w:bCs/>
          <w:noProof/>
          <w:sz w:val="18"/>
          <w:szCs w:val="24"/>
        </w:rPr>
        <w:t>2022</w:t>
      </w:r>
      <w:r w:rsidRPr="00171237">
        <w:rPr>
          <w:noProof/>
          <w:sz w:val="18"/>
          <w:szCs w:val="24"/>
        </w:rPr>
        <w:t>.</w:t>
      </w:r>
    </w:p>
    <w:p w14:paraId="19A44977"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18. </w:t>
      </w:r>
      <w:r w:rsidRPr="00171237">
        <w:rPr>
          <w:noProof/>
          <w:sz w:val="18"/>
          <w:szCs w:val="24"/>
        </w:rPr>
        <w:tab/>
        <w:t xml:space="preserve">Gawrońska-Grzywacz, M.; Popiołek, Ł.; Natorska-Chomicka, D.; Piatkowska-CHMIEL, I.; Izdebska, M.; Herbet, M.; Iwan, M.; Korga, A.; Dudka, J.; Wujec, M. Novel 2,3-disubstituted 1,3-thiazolidin-4-one derivatives as potential antitumor agents in renal cell adenocarcinoma. </w:t>
      </w:r>
      <w:r w:rsidRPr="00171237">
        <w:rPr>
          <w:i/>
          <w:iCs/>
          <w:noProof/>
          <w:sz w:val="18"/>
          <w:szCs w:val="24"/>
        </w:rPr>
        <w:t>Oncol. Rep.</w:t>
      </w:r>
      <w:r w:rsidRPr="00171237">
        <w:rPr>
          <w:noProof/>
          <w:sz w:val="18"/>
          <w:szCs w:val="24"/>
        </w:rPr>
        <w:t xml:space="preserve"> </w:t>
      </w:r>
      <w:r w:rsidRPr="00171237">
        <w:rPr>
          <w:b/>
          <w:bCs/>
          <w:noProof/>
          <w:sz w:val="18"/>
          <w:szCs w:val="24"/>
        </w:rPr>
        <w:t>2019</w:t>
      </w:r>
      <w:r w:rsidRPr="00171237">
        <w:rPr>
          <w:noProof/>
          <w:sz w:val="18"/>
          <w:szCs w:val="24"/>
        </w:rPr>
        <w:t xml:space="preserve">, </w:t>
      </w:r>
      <w:r w:rsidRPr="00171237">
        <w:rPr>
          <w:i/>
          <w:iCs/>
          <w:noProof/>
          <w:sz w:val="18"/>
          <w:szCs w:val="24"/>
        </w:rPr>
        <w:t>41</w:t>
      </w:r>
      <w:r w:rsidRPr="00171237">
        <w:rPr>
          <w:noProof/>
          <w:sz w:val="18"/>
          <w:szCs w:val="24"/>
        </w:rPr>
        <w:t>, 693–701, doi:10.3892/or.2018.6800.</w:t>
      </w:r>
    </w:p>
    <w:p w14:paraId="4EA319C5"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19. </w:t>
      </w:r>
      <w:r w:rsidRPr="00171237">
        <w:rPr>
          <w:noProof/>
          <w:sz w:val="18"/>
          <w:szCs w:val="24"/>
        </w:rPr>
        <w:tab/>
        <w:t xml:space="preserve">Suthar, S.K.; Jaiswal, V.; Lohan, S.; Bansal, S.; Chaudhary, A.; Tiwari, A.; Alex, A.T.; Joseph, A. Novel quinolone substituted thiazolidin-4-ones as anti-inflammatory, anticancer agents: Design, synthesis and biological screening. </w:t>
      </w:r>
      <w:r w:rsidRPr="00171237">
        <w:rPr>
          <w:i/>
          <w:iCs/>
          <w:noProof/>
          <w:sz w:val="18"/>
          <w:szCs w:val="24"/>
        </w:rPr>
        <w:t>Eur. J. Med. Chem.</w:t>
      </w:r>
      <w:r w:rsidRPr="00171237">
        <w:rPr>
          <w:noProof/>
          <w:sz w:val="18"/>
          <w:szCs w:val="24"/>
        </w:rPr>
        <w:t xml:space="preserve"> </w:t>
      </w:r>
      <w:r w:rsidRPr="00171237">
        <w:rPr>
          <w:b/>
          <w:bCs/>
          <w:noProof/>
          <w:sz w:val="18"/>
          <w:szCs w:val="24"/>
        </w:rPr>
        <w:t>2013</w:t>
      </w:r>
      <w:r w:rsidRPr="00171237">
        <w:rPr>
          <w:noProof/>
          <w:sz w:val="18"/>
          <w:szCs w:val="24"/>
        </w:rPr>
        <w:t xml:space="preserve">, </w:t>
      </w:r>
      <w:r w:rsidRPr="00171237">
        <w:rPr>
          <w:i/>
          <w:iCs/>
          <w:noProof/>
          <w:sz w:val="18"/>
          <w:szCs w:val="24"/>
        </w:rPr>
        <w:t>63</w:t>
      </w:r>
      <w:r w:rsidRPr="00171237">
        <w:rPr>
          <w:noProof/>
          <w:sz w:val="18"/>
          <w:szCs w:val="24"/>
        </w:rPr>
        <w:t>, 589–602, doi:10.1016/j.ejmech.2013.03.011.</w:t>
      </w:r>
    </w:p>
    <w:p w14:paraId="6220759A"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20. </w:t>
      </w:r>
      <w:r w:rsidRPr="00171237">
        <w:rPr>
          <w:noProof/>
          <w:sz w:val="18"/>
          <w:szCs w:val="24"/>
        </w:rPr>
        <w:tab/>
        <w:t xml:space="preserve">Suslov, E. V.; Mozhaytsev, E.S.; Korchagina, D. V.; Bormotov, N.I.; Yarovaya, O.I.; Volcho, K.P.; Serova, O.A.; Agafonov, A.P.; Maksyutov, R.A.; Shishkina, L.N.; et al. New chemical agents based on adamantane-monoterpene conjugates against orthopoxvirus infections. </w:t>
      </w:r>
      <w:r w:rsidRPr="00171237">
        <w:rPr>
          <w:i/>
          <w:iCs/>
          <w:noProof/>
          <w:sz w:val="18"/>
          <w:szCs w:val="24"/>
        </w:rPr>
        <w:t>RSC Med. Chem.</w:t>
      </w:r>
      <w:r w:rsidRPr="00171237">
        <w:rPr>
          <w:noProof/>
          <w:sz w:val="18"/>
          <w:szCs w:val="24"/>
        </w:rPr>
        <w:t xml:space="preserve"> </w:t>
      </w:r>
      <w:r w:rsidRPr="00171237">
        <w:rPr>
          <w:b/>
          <w:bCs/>
          <w:noProof/>
          <w:sz w:val="18"/>
          <w:szCs w:val="24"/>
        </w:rPr>
        <w:t>2020</w:t>
      </w:r>
      <w:r w:rsidRPr="00171237">
        <w:rPr>
          <w:noProof/>
          <w:sz w:val="18"/>
          <w:szCs w:val="24"/>
        </w:rPr>
        <w:t xml:space="preserve">, </w:t>
      </w:r>
      <w:r w:rsidRPr="00171237">
        <w:rPr>
          <w:i/>
          <w:iCs/>
          <w:noProof/>
          <w:sz w:val="18"/>
          <w:szCs w:val="24"/>
        </w:rPr>
        <w:t>11</w:t>
      </w:r>
      <w:r w:rsidRPr="00171237">
        <w:rPr>
          <w:noProof/>
          <w:sz w:val="18"/>
          <w:szCs w:val="24"/>
        </w:rPr>
        <w:t>, 1185–1195, doi:10.1039/d0md00108b.</w:t>
      </w:r>
    </w:p>
    <w:p w14:paraId="124C8963"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21. </w:t>
      </w:r>
      <w:r w:rsidRPr="00171237">
        <w:rPr>
          <w:noProof/>
          <w:sz w:val="18"/>
          <w:szCs w:val="24"/>
        </w:rPr>
        <w:tab/>
        <w:t xml:space="preserve">Hanessian, S.; Cooke, N.G.; DeHoff, B.; Sakito, Y. The Total Synthesis of (+)-Ionomycin. </w:t>
      </w:r>
      <w:r w:rsidRPr="00171237">
        <w:rPr>
          <w:i/>
          <w:iCs/>
          <w:noProof/>
          <w:sz w:val="18"/>
          <w:szCs w:val="24"/>
        </w:rPr>
        <w:t>J. Am. Chem. Soc.</w:t>
      </w:r>
      <w:r w:rsidRPr="00171237">
        <w:rPr>
          <w:noProof/>
          <w:sz w:val="18"/>
          <w:szCs w:val="24"/>
        </w:rPr>
        <w:t xml:space="preserve"> </w:t>
      </w:r>
      <w:r w:rsidRPr="00171237">
        <w:rPr>
          <w:b/>
          <w:bCs/>
          <w:noProof/>
          <w:sz w:val="18"/>
          <w:szCs w:val="24"/>
        </w:rPr>
        <w:t>1990</w:t>
      </w:r>
      <w:r w:rsidRPr="00171237">
        <w:rPr>
          <w:noProof/>
          <w:sz w:val="18"/>
          <w:szCs w:val="24"/>
        </w:rPr>
        <w:t xml:space="preserve">, </w:t>
      </w:r>
      <w:r w:rsidRPr="00171237">
        <w:rPr>
          <w:i/>
          <w:iCs/>
          <w:noProof/>
          <w:sz w:val="18"/>
          <w:szCs w:val="24"/>
        </w:rPr>
        <w:t>112</w:t>
      </w:r>
      <w:r w:rsidRPr="00171237">
        <w:rPr>
          <w:noProof/>
          <w:sz w:val="18"/>
          <w:szCs w:val="24"/>
        </w:rPr>
        <w:t>, 5276–5290, doi:10.1021/ja00169a041.</w:t>
      </w:r>
    </w:p>
    <w:p w14:paraId="1D3F58C8"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22. </w:t>
      </w:r>
      <w:r w:rsidRPr="00171237">
        <w:rPr>
          <w:noProof/>
          <w:sz w:val="18"/>
          <w:szCs w:val="24"/>
        </w:rPr>
        <w:tab/>
        <w:t xml:space="preserve">Odinokov, V.N.; Yakovleva, M.P.; Sultanov, R.M.; Serebryakov, E.P.; Dzhemilev, U.M.; Tolstikov, G.A.; Branch, U. Insect pheromones and their analogues. </w:t>
      </w:r>
      <w:r w:rsidRPr="00171237">
        <w:rPr>
          <w:i/>
          <w:iCs/>
          <w:noProof/>
          <w:sz w:val="18"/>
          <w:szCs w:val="24"/>
        </w:rPr>
        <w:t>Chem. Nat. Compd.</w:t>
      </w:r>
      <w:r w:rsidRPr="00171237">
        <w:rPr>
          <w:noProof/>
          <w:sz w:val="18"/>
          <w:szCs w:val="24"/>
        </w:rPr>
        <w:t xml:space="preserve"> </w:t>
      </w:r>
      <w:r w:rsidRPr="00171237">
        <w:rPr>
          <w:b/>
          <w:bCs/>
          <w:noProof/>
          <w:sz w:val="18"/>
          <w:szCs w:val="24"/>
        </w:rPr>
        <w:t>1992</w:t>
      </w:r>
      <w:r w:rsidRPr="00171237">
        <w:rPr>
          <w:noProof/>
          <w:sz w:val="18"/>
          <w:szCs w:val="24"/>
        </w:rPr>
        <w:t xml:space="preserve">, </w:t>
      </w:r>
      <w:r w:rsidRPr="00171237">
        <w:rPr>
          <w:i/>
          <w:iCs/>
          <w:noProof/>
          <w:sz w:val="18"/>
          <w:szCs w:val="24"/>
        </w:rPr>
        <w:t>27</w:t>
      </w:r>
      <w:r w:rsidRPr="00171237">
        <w:rPr>
          <w:noProof/>
          <w:sz w:val="18"/>
          <w:szCs w:val="24"/>
        </w:rPr>
        <w:t>, 500–502, doi:10.1007/BF00636582.</w:t>
      </w:r>
    </w:p>
    <w:p w14:paraId="223DC4E1"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23. </w:t>
      </w:r>
      <w:r w:rsidRPr="00171237">
        <w:rPr>
          <w:noProof/>
          <w:sz w:val="18"/>
          <w:szCs w:val="24"/>
        </w:rPr>
        <w:tab/>
        <w:t xml:space="preserve">Akgun, B.; Hall, D. Supporting information. Fast and tight boronate formation for click bioorthogonal conjugation. </w:t>
      </w:r>
      <w:r w:rsidRPr="00171237">
        <w:rPr>
          <w:i/>
          <w:iCs/>
          <w:noProof/>
          <w:sz w:val="18"/>
          <w:szCs w:val="24"/>
        </w:rPr>
        <w:t>Angew. Chemie</w:t>
      </w:r>
      <w:r w:rsidRPr="00171237">
        <w:rPr>
          <w:noProof/>
          <w:sz w:val="18"/>
          <w:szCs w:val="24"/>
        </w:rPr>
        <w:t xml:space="preserve"> 1–160.</w:t>
      </w:r>
    </w:p>
    <w:p w14:paraId="36B6A582"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24. </w:t>
      </w:r>
      <w:r w:rsidRPr="00171237">
        <w:rPr>
          <w:noProof/>
          <w:sz w:val="18"/>
          <w:szCs w:val="24"/>
        </w:rPr>
        <w:tab/>
        <w:t xml:space="preserve">Guerrero, A.; Ramos, V.E.; López, S.; Alvarez, J.M.; Domínguez, A.; Coca-Abia, M.M.; Bosch, M.P.; Quero, C. Enantioselective Synthesis and Activity of All Diastereoisomers of (E)-Phytal, a Pheromone Component of the Moroccan Locust, Dociostaurus maroccanus. </w:t>
      </w:r>
      <w:r w:rsidRPr="00171237">
        <w:rPr>
          <w:i/>
          <w:iCs/>
          <w:noProof/>
          <w:sz w:val="18"/>
          <w:szCs w:val="24"/>
        </w:rPr>
        <w:t>J. Agric. Food Chem.</w:t>
      </w:r>
      <w:r w:rsidRPr="00171237">
        <w:rPr>
          <w:noProof/>
          <w:sz w:val="18"/>
          <w:szCs w:val="24"/>
        </w:rPr>
        <w:t xml:space="preserve"> </w:t>
      </w:r>
      <w:r w:rsidRPr="00171237">
        <w:rPr>
          <w:b/>
          <w:bCs/>
          <w:noProof/>
          <w:sz w:val="18"/>
          <w:szCs w:val="24"/>
        </w:rPr>
        <w:t>2019</w:t>
      </w:r>
      <w:r w:rsidRPr="00171237">
        <w:rPr>
          <w:noProof/>
          <w:sz w:val="18"/>
          <w:szCs w:val="24"/>
        </w:rPr>
        <w:t xml:space="preserve">, </w:t>
      </w:r>
      <w:r w:rsidRPr="00171237">
        <w:rPr>
          <w:i/>
          <w:iCs/>
          <w:noProof/>
          <w:sz w:val="18"/>
          <w:szCs w:val="24"/>
        </w:rPr>
        <w:t>67</w:t>
      </w:r>
      <w:r w:rsidRPr="00171237">
        <w:rPr>
          <w:noProof/>
          <w:sz w:val="18"/>
          <w:szCs w:val="24"/>
        </w:rPr>
        <w:t xml:space="preserve">, 72–80, </w:t>
      </w:r>
      <w:r w:rsidRPr="00171237">
        <w:rPr>
          <w:noProof/>
          <w:sz w:val="18"/>
          <w:szCs w:val="24"/>
        </w:rPr>
        <w:lastRenderedPageBreak/>
        <w:t>doi:10.1021/acs.jafc.8b06346.</w:t>
      </w:r>
    </w:p>
    <w:p w14:paraId="17F847CB"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25. </w:t>
      </w:r>
      <w:r w:rsidRPr="00171237">
        <w:rPr>
          <w:noProof/>
          <w:sz w:val="18"/>
          <w:szCs w:val="24"/>
        </w:rPr>
        <w:tab/>
        <w:t xml:space="preserve">Srikrishna, A.; Gowri, V.; Neetu, G. Enantioselective syntheses of diquinane and (cis, anti, cis)-linear triquinanes. </w:t>
      </w:r>
      <w:r w:rsidRPr="00171237">
        <w:rPr>
          <w:i/>
          <w:iCs/>
          <w:noProof/>
          <w:sz w:val="18"/>
          <w:szCs w:val="24"/>
        </w:rPr>
        <w:t>Tetrahedron Asymmetry</w:t>
      </w:r>
      <w:r w:rsidRPr="00171237">
        <w:rPr>
          <w:noProof/>
          <w:sz w:val="18"/>
          <w:szCs w:val="24"/>
        </w:rPr>
        <w:t xml:space="preserve"> </w:t>
      </w:r>
      <w:r w:rsidRPr="00171237">
        <w:rPr>
          <w:b/>
          <w:bCs/>
          <w:noProof/>
          <w:sz w:val="18"/>
          <w:szCs w:val="24"/>
        </w:rPr>
        <w:t>2010</w:t>
      </w:r>
      <w:r w:rsidRPr="00171237">
        <w:rPr>
          <w:noProof/>
          <w:sz w:val="18"/>
          <w:szCs w:val="24"/>
        </w:rPr>
        <w:t xml:space="preserve">, </w:t>
      </w:r>
      <w:r w:rsidRPr="00171237">
        <w:rPr>
          <w:i/>
          <w:iCs/>
          <w:noProof/>
          <w:sz w:val="18"/>
          <w:szCs w:val="24"/>
        </w:rPr>
        <w:t>21</w:t>
      </w:r>
      <w:r w:rsidRPr="00171237">
        <w:rPr>
          <w:noProof/>
          <w:sz w:val="18"/>
          <w:szCs w:val="24"/>
        </w:rPr>
        <w:t>, 202–207, doi:10.1016/j.tetasy.2010.01.014.</w:t>
      </w:r>
    </w:p>
    <w:p w14:paraId="2AE6E8E0"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26. </w:t>
      </w:r>
      <w:r w:rsidRPr="00171237">
        <w:rPr>
          <w:noProof/>
          <w:sz w:val="18"/>
          <w:szCs w:val="24"/>
        </w:rPr>
        <w:tab/>
        <w:t xml:space="preserve">Lopez, L.; Mele, G.; Fiandanese, V.; Cardellicchio, C.; Nacci, A. Aminium salts catalyzed rearrangement of a=pinene and p-ionone oxides. </w:t>
      </w:r>
      <w:r w:rsidRPr="00171237">
        <w:rPr>
          <w:i/>
          <w:iCs/>
          <w:noProof/>
          <w:sz w:val="18"/>
          <w:szCs w:val="24"/>
        </w:rPr>
        <w:t>Tetrahedron Lett.</w:t>
      </w:r>
      <w:r w:rsidRPr="00171237">
        <w:rPr>
          <w:noProof/>
          <w:sz w:val="18"/>
          <w:szCs w:val="24"/>
        </w:rPr>
        <w:t xml:space="preserve"> </w:t>
      </w:r>
      <w:r w:rsidRPr="00171237">
        <w:rPr>
          <w:b/>
          <w:bCs/>
          <w:noProof/>
          <w:sz w:val="18"/>
          <w:szCs w:val="24"/>
        </w:rPr>
        <w:t>1994</w:t>
      </w:r>
      <w:r w:rsidRPr="00171237">
        <w:rPr>
          <w:noProof/>
          <w:sz w:val="18"/>
          <w:szCs w:val="24"/>
        </w:rPr>
        <w:t xml:space="preserve">, </w:t>
      </w:r>
      <w:r w:rsidRPr="00171237">
        <w:rPr>
          <w:i/>
          <w:iCs/>
          <w:noProof/>
          <w:sz w:val="18"/>
          <w:szCs w:val="24"/>
        </w:rPr>
        <w:t>50</w:t>
      </w:r>
      <w:r w:rsidRPr="00171237">
        <w:rPr>
          <w:noProof/>
          <w:sz w:val="18"/>
          <w:szCs w:val="24"/>
        </w:rPr>
        <w:t>, 9097–9106.</w:t>
      </w:r>
    </w:p>
    <w:p w14:paraId="7780A0B4"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27. </w:t>
      </w:r>
      <w:r w:rsidRPr="00171237">
        <w:rPr>
          <w:noProof/>
          <w:sz w:val="18"/>
          <w:szCs w:val="24"/>
        </w:rPr>
        <w:tab/>
        <w:t>Chapuis, C.; Brauchli, R. Preparation of Campholenal Analogues: Chirons for the lipophilic moiety of sandalwood</w:t>
      </w:r>
      <w:r w:rsidRPr="00171237">
        <w:rPr>
          <w:rFonts w:ascii="Cambria Math" w:hAnsi="Cambria Math" w:cs="Cambria Math"/>
          <w:noProof/>
          <w:sz w:val="18"/>
          <w:szCs w:val="24"/>
        </w:rPr>
        <w:t>‐</w:t>
      </w:r>
      <w:r w:rsidRPr="00171237">
        <w:rPr>
          <w:noProof/>
          <w:sz w:val="18"/>
          <w:szCs w:val="24"/>
        </w:rPr>
        <w:t xml:space="preserve">like odorant alcohols. </w:t>
      </w:r>
      <w:r w:rsidRPr="00171237">
        <w:rPr>
          <w:i/>
          <w:iCs/>
          <w:noProof/>
          <w:sz w:val="18"/>
          <w:szCs w:val="24"/>
        </w:rPr>
        <w:t>Helv. Chim. Acta</w:t>
      </w:r>
      <w:r w:rsidRPr="00171237">
        <w:rPr>
          <w:noProof/>
          <w:sz w:val="18"/>
          <w:szCs w:val="24"/>
        </w:rPr>
        <w:t xml:space="preserve"> </w:t>
      </w:r>
      <w:r w:rsidRPr="00171237">
        <w:rPr>
          <w:b/>
          <w:bCs/>
          <w:noProof/>
          <w:sz w:val="18"/>
          <w:szCs w:val="24"/>
        </w:rPr>
        <w:t>1992</w:t>
      </w:r>
      <w:r w:rsidRPr="00171237">
        <w:rPr>
          <w:noProof/>
          <w:sz w:val="18"/>
          <w:szCs w:val="24"/>
        </w:rPr>
        <w:t xml:space="preserve">, </w:t>
      </w:r>
      <w:r w:rsidRPr="00171237">
        <w:rPr>
          <w:i/>
          <w:iCs/>
          <w:noProof/>
          <w:sz w:val="18"/>
          <w:szCs w:val="24"/>
        </w:rPr>
        <w:t>75</w:t>
      </w:r>
      <w:r w:rsidRPr="00171237">
        <w:rPr>
          <w:noProof/>
          <w:sz w:val="18"/>
          <w:szCs w:val="24"/>
        </w:rPr>
        <w:t>, 1527–1546, doi:10.1002/hlca.19920750507.</w:t>
      </w:r>
    </w:p>
    <w:p w14:paraId="1CA21699"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28. </w:t>
      </w:r>
      <w:r w:rsidRPr="00171237">
        <w:rPr>
          <w:noProof/>
          <w:sz w:val="18"/>
          <w:szCs w:val="24"/>
        </w:rPr>
        <w:tab/>
        <w:t xml:space="preserve">V. N. Odinokov, G. Yu. Ishmuratov, R. Ya. Kharisov, S.I.L.&amp; G.A.T. Synthesis of ethyl 3,7,11-trimethyl-2,4-dodecadienoate (hydroprene) from 4-methyltetrahydropyran. </w:t>
      </w:r>
      <w:r w:rsidRPr="00171237">
        <w:rPr>
          <w:i/>
          <w:iCs/>
          <w:noProof/>
          <w:sz w:val="18"/>
          <w:szCs w:val="24"/>
        </w:rPr>
        <w:t>Bull. Acad. Sci. USSR Div. Chem. Sci.</w:t>
      </w:r>
      <w:r w:rsidRPr="00171237">
        <w:rPr>
          <w:noProof/>
          <w:sz w:val="18"/>
          <w:szCs w:val="24"/>
        </w:rPr>
        <w:t xml:space="preserve"> </w:t>
      </w:r>
      <w:r w:rsidRPr="00171237">
        <w:rPr>
          <w:b/>
          <w:bCs/>
          <w:noProof/>
          <w:sz w:val="18"/>
          <w:szCs w:val="24"/>
        </w:rPr>
        <w:t>1989</w:t>
      </w:r>
      <w:r w:rsidRPr="00171237">
        <w:rPr>
          <w:noProof/>
          <w:sz w:val="18"/>
          <w:szCs w:val="24"/>
        </w:rPr>
        <w:t xml:space="preserve">, </w:t>
      </w:r>
      <w:r w:rsidRPr="00171237">
        <w:rPr>
          <w:i/>
          <w:iCs/>
          <w:noProof/>
          <w:sz w:val="18"/>
          <w:szCs w:val="24"/>
        </w:rPr>
        <w:t>38</w:t>
      </w:r>
      <w:r w:rsidRPr="00171237">
        <w:rPr>
          <w:noProof/>
          <w:sz w:val="18"/>
          <w:szCs w:val="24"/>
        </w:rPr>
        <w:t>, 1768–1770.</w:t>
      </w:r>
    </w:p>
    <w:p w14:paraId="1149B324"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29. </w:t>
      </w:r>
      <w:r w:rsidRPr="00171237">
        <w:rPr>
          <w:noProof/>
          <w:sz w:val="18"/>
          <w:szCs w:val="24"/>
        </w:rPr>
        <w:tab/>
        <w:t xml:space="preserve">Evgenii Mozhaitsev, Evgenii Suslov*, Yuliya Demidova, Dina Korchagina, Konstantin Volcho, Alexandra Zakharenko, Inna Vasil’eva, Maksim Kupryushkin, Arina Chepanova, Daniel Moscoh Ayine-Tora, Jóhannes Reynisson, N.S. and O.L. The Development of Tyrosyl-DNA Phosphodyesterase 1 (TDP1) Inhibitors Based on the Amines Combining Aromatic/Heteroaromatic and Monoterpenoid Moieties. </w:t>
      </w:r>
      <w:r w:rsidRPr="00171237">
        <w:rPr>
          <w:i/>
          <w:iCs/>
          <w:noProof/>
          <w:sz w:val="18"/>
          <w:szCs w:val="24"/>
        </w:rPr>
        <w:t>Lett. Drug Des. Discov.</w:t>
      </w:r>
      <w:r w:rsidRPr="00171237">
        <w:rPr>
          <w:noProof/>
          <w:sz w:val="18"/>
          <w:szCs w:val="24"/>
        </w:rPr>
        <w:t xml:space="preserve"> </w:t>
      </w:r>
      <w:r w:rsidRPr="00171237">
        <w:rPr>
          <w:b/>
          <w:bCs/>
          <w:noProof/>
          <w:sz w:val="18"/>
          <w:szCs w:val="24"/>
        </w:rPr>
        <w:t>2019</w:t>
      </w:r>
      <w:r w:rsidRPr="00171237">
        <w:rPr>
          <w:noProof/>
          <w:sz w:val="18"/>
          <w:szCs w:val="24"/>
        </w:rPr>
        <w:t xml:space="preserve">, </w:t>
      </w:r>
      <w:r w:rsidRPr="00171237">
        <w:rPr>
          <w:i/>
          <w:iCs/>
          <w:noProof/>
          <w:sz w:val="18"/>
          <w:szCs w:val="24"/>
        </w:rPr>
        <w:t>16</w:t>
      </w:r>
      <w:r w:rsidRPr="00171237">
        <w:rPr>
          <w:noProof/>
          <w:sz w:val="18"/>
          <w:szCs w:val="24"/>
        </w:rPr>
        <w:t>, 597–605, doi:10.2174/1570180816666181220121042.</w:t>
      </w:r>
    </w:p>
    <w:p w14:paraId="536A3176"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30. </w:t>
      </w:r>
      <w:r w:rsidRPr="00171237">
        <w:rPr>
          <w:noProof/>
          <w:sz w:val="18"/>
          <w:szCs w:val="24"/>
        </w:rPr>
        <w:tab/>
        <w:t xml:space="preserve">Zakharenko, A.; Khomenko, T.; Zhukova, S.; Koval, O.; Zakharova, O.; Anarbaev, R.; Lebedeva, N.; Korchagina, D.; Komarova, N.; Vasiliev, V.; et al. Synthesis and biological evaluation of novel tyrosyl-DNA phosphodiesterase 1 inhibitors with a benzopentathiepine moiety. </w:t>
      </w:r>
      <w:r w:rsidRPr="00171237">
        <w:rPr>
          <w:i/>
          <w:iCs/>
          <w:noProof/>
          <w:sz w:val="18"/>
          <w:szCs w:val="24"/>
        </w:rPr>
        <w:t>Bioorganic Med. Chem.</w:t>
      </w:r>
      <w:r w:rsidRPr="00171237">
        <w:rPr>
          <w:noProof/>
          <w:sz w:val="18"/>
          <w:szCs w:val="24"/>
        </w:rPr>
        <w:t xml:space="preserve"> </w:t>
      </w:r>
      <w:r w:rsidRPr="00171237">
        <w:rPr>
          <w:b/>
          <w:bCs/>
          <w:noProof/>
          <w:sz w:val="18"/>
          <w:szCs w:val="24"/>
        </w:rPr>
        <w:t>2015</w:t>
      </w:r>
      <w:r w:rsidRPr="00171237">
        <w:rPr>
          <w:noProof/>
          <w:sz w:val="18"/>
          <w:szCs w:val="24"/>
        </w:rPr>
        <w:t xml:space="preserve">, </w:t>
      </w:r>
      <w:r w:rsidRPr="00171237">
        <w:rPr>
          <w:i/>
          <w:iCs/>
          <w:noProof/>
          <w:sz w:val="18"/>
          <w:szCs w:val="24"/>
        </w:rPr>
        <w:t>23</w:t>
      </w:r>
      <w:r w:rsidRPr="00171237">
        <w:rPr>
          <w:noProof/>
          <w:sz w:val="18"/>
          <w:szCs w:val="24"/>
        </w:rPr>
        <w:t>, 2044–2052, doi:10.1016/j.bmc.2015.03.020.</w:t>
      </w:r>
    </w:p>
    <w:p w14:paraId="2BF85D5A"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31. </w:t>
      </w:r>
      <w:r w:rsidRPr="00171237">
        <w:rPr>
          <w:noProof/>
          <w:sz w:val="18"/>
          <w:szCs w:val="24"/>
        </w:rPr>
        <w:tab/>
        <w:t xml:space="preserve">Huang, R.Y.; Pei, L.; Liu, Q.; Chen, S.; Dou, H.; Shu, G.; Yuan, Z.X.; Lin, J.; Peng, G.; Zhang, W.; et al. Isobologram analysis: A comprehensive review of methodology and current research. </w:t>
      </w:r>
      <w:r w:rsidRPr="00171237">
        <w:rPr>
          <w:i/>
          <w:iCs/>
          <w:noProof/>
          <w:sz w:val="18"/>
          <w:szCs w:val="24"/>
        </w:rPr>
        <w:t>Front. Pharmacol.</w:t>
      </w:r>
      <w:r w:rsidRPr="00171237">
        <w:rPr>
          <w:noProof/>
          <w:sz w:val="18"/>
          <w:szCs w:val="24"/>
        </w:rPr>
        <w:t xml:space="preserve"> </w:t>
      </w:r>
      <w:r w:rsidRPr="00171237">
        <w:rPr>
          <w:b/>
          <w:bCs/>
          <w:noProof/>
          <w:sz w:val="18"/>
          <w:szCs w:val="24"/>
        </w:rPr>
        <w:t>2019</w:t>
      </w:r>
      <w:r w:rsidRPr="00171237">
        <w:rPr>
          <w:noProof/>
          <w:sz w:val="18"/>
          <w:szCs w:val="24"/>
        </w:rPr>
        <w:t xml:space="preserve">, </w:t>
      </w:r>
      <w:r w:rsidRPr="00171237">
        <w:rPr>
          <w:i/>
          <w:iCs/>
          <w:noProof/>
          <w:sz w:val="18"/>
          <w:szCs w:val="24"/>
        </w:rPr>
        <w:t>10</w:t>
      </w:r>
      <w:r w:rsidRPr="00171237">
        <w:rPr>
          <w:noProof/>
          <w:sz w:val="18"/>
          <w:szCs w:val="24"/>
        </w:rPr>
        <w:t>, 1–12, doi:10.3389/fphar.2019.01222.</w:t>
      </w:r>
    </w:p>
    <w:p w14:paraId="7222053B"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32. </w:t>
      </w:r>
      <w:r w:rsidRPr="00171237">
        <w:rPr>
          <w:noProof/>
          <w:sz w:val="18"/>
          <w:szCs w:val="24"/>
        </w:rPr>
        <w:tab/>
        <w:t xml:space="preserve">Zhao, X.Z.; Kiselev, E.; Lountos, G.T.; Wang, W.; Tropea, J.E.; Needle, D.; Hilimire, T.A.; Schneekloth, J.S.; Waugh, D.S.; Pommier, Y.; et al. Small molecule microarray identifies inhibitors of tyrosyl-DNA phosphodiesterase 1 that simultaneously access the catalytic pocket and two substrate binding sites. </w:t>
      </w:r>
      <w:r w:rsidRPr="00171237">
        <w:rPr>
          <w:i/>
          <w:iCs/>
          <w:noProof/>
          <w:sz w:val="18"/>
          <w:szCs w:val="24"/>
        </w:rPr>
        <w:t>Chem. Sci.</w:t>
      </w:r>
      <w:r w:rsidRPr="00171237">
        <w:rPr>
          <w:noProof/>
          <w:sz w:val="18"/>
          <w:szCs w:val="24"/>
        </w:rPr>
        <w:t xml:space="preserve"> </w:t>
      </w:r>
      <w:r w:rsidRPr="00171237">
        <w:rPr>
          <w:b/>
          <w:bCs/>
          <w:noProof/>
          <w:sz w:val="18"/>
          <w:szCs w:val="24"/>
        </w:rPr>
        <w:t>2021</w:t>
      </w:r>
      <w:r w:rsidRPr="00171237">
        <w:rPr>
          <w:noProof/>
          <w:sz w:val="18"/>
          <w:szCs w:val="24"/>
        </w:rPr>
        <w:t xml:space="preserve">, </w:t>
      </w:r>
      <w:r w:rsidRPr="00171237">
        <w:rPr>
          <w:i/>
          <w:iCs/>
          <w:noProof/>
          <w:sz w:val="18"/>
          <w:szCs w:val="24"/>
        </w:rPr>
        <w:t>12</w:t>
      </w:r>
      <w:r w:rsidRPr="00171237">
        <w:rPr>
          <w:noProof/>
          <w:sz w:val="18"/>
          <w:szCs w:val="24"/>
        </w:rPr>
        <w:t>, 3876–3884, doi:10.1039/d0sc05411a.</w:t>
      </w:r>
    </w:p>
    <w:p w14:paraId="1E2FA9D6"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33. </w:t>
      </w:r>
      <w:r w:rsidRPr="00171237">
        <w:rPr>
          <w:noProof/>
          <w:sz w:val="18"/>
          <w:szCs w:val="24"/>
        </w:rPr>
        <w:tab/>
        <w:t xml:space="preserve">Gereth Jones, Peter Willett, Robert C. Glen, Andrew R. Leach,  and R.T. Development and Validation of a Genetic Algorithm for Flexible Docking. </w:t>
      </w:r>
      <w:r w:rsidRPr="00171237">
        <w:rPr>
          <w:i/>
          <w:iCs/>
          <w:noProof/>
          <w:sz w:val="18"/>
          <w:szCs w:val="24"/>
        </w:rPr>
        <w:t>J. Mol. Biol.</w:t>
      </w:r>
      <w:r w:rsidRPr="00171237">
        <w:rPr>
          <w:noProof/>
          <w:sz w:val="18"/>
          <w:szCs w:val="24"/>
        </w:rPr>
        <w:t xml:space="preserve"> </w:t>
      </w:r>
      <w:r w:rsidRPr="00171237">
        <w:rPr>
          <w:b/>
          <w:bCs/>
          <w:noProof/>
          <w:sz w:val="18"/>
          <w:szCs w:val="24"/>
        </w:rPr>
        <w:t>1997</w:t>
      </w:r>
      <w:r w:rsidRPr="00171237">
        <w:rPr>
          <w:noProof/>
          <w:sz w:val="18"/>
          <w:szCs w:val="24"/>
        </w:rPr>
        <w:t xml:space="preserve">, </w:t>
      </w:r>
      <w:r w:rsidRPr="00171237">
        <w:rPr>
          <w:i/>
          <w:iCs/>
          <w:noProof/>
          <w:sz w:val="18"/>
          <w:szCs w:val="24"/>
        </w:rPr>
        <w:t>267</w:t>
      </w:r>
      <w:r w:rsidRPr="00171237">
        <w:rPr>
          <w:noProof/>
          <w:sz w:val="18"/>
          <w:szCs w:val="24"/>
        </w:rPr>
        <w:t>, 727–748.</w:t>
      </w:r>
    </w:p>
    <w:p w14:paraId="259344E5"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34. </w:t>
      </w:r>
      <w:r w:rsidRPr="00171237">
        <w:rPr>
          <w:noProof/>
          <w:sz w:val="18"/>
          <w:szCs w:val="24"/>
        </w:rPr>
        <w:tab/>
        <w:t xml:space="preserve">Eldridge, M.D.; Murray, C.W.; Auton, T.R.; Paolini, G. V.; Mee, R.P. Empirical scoring functions: I. The development of a fast empirical scoring function to estimate the binding affinity of ligands in receptor complexes. </w:t>
      </w:r>
      <w:r w:rsidRPr="00171237">
        <w:rPr>
          <w:i/>
          <w:iCs/>
          <w:noProof/>
          <w:sz w:val="18"/>
          <w:szCs w:val="24"/>
        </w:rPr>
        <w:t>J. Comput. Aided. Mol. Des.</w:t>
      </w:r>
      <w:r w:rsidRPr="00171237">
        <w:rPr>
          <w:noProof/>
          <w:sz w:val="18"/>
          <w:szCs w:val="24"/>
        </w:rPr>
        <w:t xml:space="preserve"> </w:t>
      </w:r>
      <w:r w:rsidRPr="00171237">
        <w:rPr>
          <w:b/>
          <w:bCs/>
          <w:noProof/>
          <w:sz w:val="18"/>
          <w:szCs w:val="24"/>
        </w:rPr>
        <w:t>1997</w:t>
      </w:r>
      <w:r w:rsidRPr="00171237">
        <w:rPr>
          <w:noProof/>
          <w:sz w:val="18"/>
          <w:szCs w:val="24"/>
        </w:rPr>
        <w:t xml:space="preserve">, </w:t>
      </w:r>
      <w:r w:rsidRPr="00171237">
        <w:rPr>
          <w:i/>
          <w:iCs/>
          <w:noProof/>
          <w:sz w:val="18"/>
          <w:szCs w:val="24"/>
        </w:rPr>
        <w:t>11</w:t>
      </w:r>
      <w:r w:rsidRPr="00171237">
        <w:rPr>
          <w:noProof/>
          <w:sz w:val="18"/>
          <w:szCs w:val="24"/>
        </w:rPr>
        <w:t>, 425–445, doi:10.1023/A:1007996124545.</w:t>
      </w:r>
    </w:p>
    <w:p w14:paraId="1DC6C9FA"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35. </w:t>
      </w:r>
      <w:r w:rsidRPr="00171237">
        <w:rPr>
          <w:noProof/>
          <w:sz w:val="18"/>
          <w:szCs w:val="24"/>
        </w:rPr>
        <w:tab/>
        <w:t xml:space="preserve">Verdonk, M.L.; Cole, J.C.; Hartshorn, M.J.; Murray, C.W.; Taylor, R.D. Improved Protein–Ligand Docking Using GOLD Marcel. </w:t>
      </w:r>
      <w:r w:rsidRPr="00171237">
        <w:rPr>
          <w:i/>
          <w:iCs/>
          <w:noProof/>
          <w:sz w:val="18"/>
          <w:szCs w:val="24"/>
        </w:rPr>
        <w:t>Proteins</w:t>
      </w:r>
      <w:r w:rsidRPr="00171237">
        <w:rPr>
          <w:noProof/>
          <w:sz w:val="18"/>
          <w:szCs w:val="24"/>
        </w:rPr>
        <w:t xml:space="preserve"> </w:t>
      </w:r>
      <w:r w:rsidRPr="00171237">
        <w:rPr>
          <w:b/>
          <w:bCs/>
          <w:noProof/>
          <w:sz w:val="18"/>
          <w:szCs w:val="24"/>
        </w:rPr>
        <w:t>2003</w:t>
      </w:r>
      <w:r w:rsidRPr="00171237">
        <w:rPr>
          <w:noProof/>
          <w:sz w:val="18"/>
          <w:szCs w:val="24"/>
        </w:rPr>
        <w:t xml:space="preserve">, </w:t>
      </w:r>
      <w:r w:rsidRPr="00171237">
        <w:rPr>
          <w:i/>
          <w:iCs/>
          <w:noProof/>
          <w:sz w:val="18"/>
          <w:szCs w:val="24"/>
        </w:rPr>
        <w:t>52</w:t>
      </w:r>
      <w:r w:rsidRPr="00171237">
        <w:rPr>
          <w:noProof/>
          <w:sz w:val="18"/>
          <w:szCs w:val="24"/>
        </w:rPr>
        <w:t>, 609–623.</w:t>
      </w:r>
    </w:p>
    <w:p w14:paraId="6E3F4BEB"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36. </w:t>
      </w:r>
      <w:r w:rsidRPr="00171237">
        <w:rPr>
          <w:noProof/>
          <w:sz w:val="18"/>
          <w:szCs w:val="24"/>
        </w:rPr>
        <w:tab/>
        <w:t xml:space="preserve">Korb, O.; Stützle, T.; Exner, T.E. Empirical scoring functions for advanced Protein-Ligand docking with PLANTS. </w:t>
      </w:r>
      <w:r w:rsidRPr="00171237">
        <w:rPr>
          <w:i/>
          <w:iCs/>
          <w:noProof/>
          <w:sz w:val="18"/>
          <w:szCs w:val="24"/>
        </w:rPr>
        <w:t>J. Chem. Inf. Model.</w:t>
      </w:r>
      <w:r w:rsidRPr="00171237">
        <w:rPr>
          <w:noProof/>
          <w:sz w:val="18"/>
          <w:szCs w:val="24"/>
        </w:rPr>
        <w:t xml:space="preserve"> </w:t>
      </w:r>
      <w:r w:rsidRPr="00171237">
        <w:rPr>
          <w:b/>
          <w:bCs/>
          <w:noProof/>
          <w:sz w:val="18"/>
          <w:szCs w:val="24"/>
        </w:rPr>
        <w:t>2009</w:t>
      </w:r>
      <w:r w:rsidRPr="00171237">
        <w:rPr>
          <w:noProof/>
          <w:sz w:val="18"/>
          <w:szCs w:val="24"/>
        </w:rPr>
        <w:t xml:space="preserve">, </w:t>
      </w:r>
      <w:r w:rsidRPr="00171237">
        <w:rPr>
          <w:i/>
          <w:iCs/>
          <w:noProof/>
          <w:sz w:val="18"/>
          <w:szCs w:val="24"/>
        </w:rPr>
        <w:t>49</w:t>
      </w:r>
      <w:r w:rsidRPr="00171237">
        <w:rPr>
          <w:noProof/>
          <w:sz w:val="18"/>
          <w:szCs w:val="24"/>
        </w:rPr>
        <w:t>, 84–96, doi:10.1021/ci800298z.</w:t>
      </w:r>
    </w:p>
    <w:p w14:paraId="0D5056E2"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37. </w:t>
      </w:r>
      <w:r w:rsidRPr="00171237">
        <w:rPr>
          <w:noProof/>
          <w:sz w:val="18"/>
          <w:szCs w:val="24"/>
        </w:rPr>
        <w:tab/>
        <w:t xml:space="preserve">Mooij, W.T.M.; Verdonk, M.L. General and targeted statistical potentials for protein-ligand interactions. </w:t>
      </w:r>
      <w:r w:rsidRPr="00171237">
        <w:rPr>
          <w:i/>
          <w:iCs/>
          <w:noProof/>
          <w:sz w:val="18"/>
          <w:szCs w:val="24"/>
        </w:rPr>
        <w:t>Proteins Struct. Funct. Genet.</w:t>
      </w:r>
      <w:r w:rsidRPr="00171237">
        <w:rPr>
          <w:noProof/>
          <w:sz w:val="18"/>
          <w:szCs w:val="24"/>
        </w:rPr>
        <w:t xml:space="preserve"> </w:t>
      </w:r>
      <w:r w:rsidRPr="00171237">
        <w:rPr>
          <w:b/>
          <w:bCs/>
          <w:noProof/>
          <w:sz w:val="18"/>
          <w:szCs w:val="24"/>
        </w:rPr>
        <w:t>2005</w:t>
      </w:r>
      <w:r w:rsidRPr="00171237">
        <w:rPr>
          <w:noProof/>
          <w:sz w:val="18"/>
          <w:szCs w:val="24"/>
        </w:rPr>
        <w:t xml:space="preserve">, </w:t>
      </w:r>
      <w:r w:rsidRPr="00171237">
        <w:rPr>
          <w:i/>
          <w:iCs/>
          <w:noProof/>
          <w:sz w:val="18"/>
          <w:szCs w:val="24"/>
        </w:rPr>
        <w:t>61</w:t>
      </w:r>
      <w:r w:rsidRPr="00171237">
        <w:rPr>
          <w:noProof/>
          <w:sz w:val="18"/>
          <w:szCs w:val="24"/>
        </w:rPr>
        <w:t>, 272–287, doi:10.1002/prot.20588.</w:t>
      </w:r>
    </w:p>
    <w:p w14:paraId="5E21CDC7"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38. </w:t>
      </w:r>
      <w:r w:rsidRPr="00171237">
        <w:rPr>
          <w:noProof/>
          <w:sz w:val="18"/>
          <w:szCs w:val="24"/>
        </w:rPr>
        <w:tab/>
        <w:t xml:space="preserve">Wang, Z.; Sun, H.; Yao, X.; Li, D.; Xu, L.; Li, Y.; Tian, S.; Hou, T. Comprehensive evaluation of ten docking programs on a diverse set of protein-ligand complexes: The prediction accuracy of sampling power and scoring power. </w:t>
      </w:r>
      <w:r w:rsidRPr="00171237">
        <w:rPr>
          <w:i/>
          <w:iCs/>
          <w:noProof/>
          <w:sz w:val="18"/>
          <w:szCs w:val="24"/>
        </w:rPr>
        <w:t>Phys. Chem. Chem. Phys.</w:t>
      </w:r>
      <w:r w:rsidRPr="00171237">
        <w:rPr>
          <w:noProof/>
          <w:sz w:val="18"/>
          <w:szCs w:val="24"/>
        </w:rPr>
        <w:t xml:space="preserve"> </w:t>
      </w:r>
      <w:r w:rsidRPr="00171237">
        <w:rPr>
          <w:b/>
          <w:bCs/>
          <w:noProof/>
          <w:sz w:val="18"/>
          <w:szCs w:val="24"/>
        </w:rPr>
        <w:t>2016</w:t>
      </w:r>
      <w:r w:rsidRPr="00171237">
        <w:rPr>
          <w:noProof/>
          <w:sz w:val="18"/>
          <w:szCs w:val="24"/>
        </w:rPr>
        <w:t xml:space="preserve">, </w:t>
      </w:r>
      <w:r w:rsidRPr="00171237">
        <w:rPr>
          <w:i/>
          <w:iCs/>
          <w:noProof/>
          <w:sz w:val="18"/>
          <w:szCs w:val="24"/>
        </w:rPr>
        <w:t>18</w:t>
      </w:r>
      <w:r w:rsidRPr="00171237">
        <w:rPr>
          <w:noProof/>
          <w:sz w:val="18"/>
          <w:szCs w:val="24"/>
        </w:rPr>
        <w:t>, 12964–12975, doi:10.1039/c6cp01555g.</w:t>
      </w:r>
    </w:p>
    <w:p w14:paraId="51E0358A"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39. </w:t>
      </w:r>
      <w:r w:rsidRPr="00171237">
        <w:rPr>
          <w:noProof/>
          <w:sz w:val="18"/>
          <w:szCs w:val="24"/>
        </w:rPr>
        <w:tab/>
        <w:t xml:space="preserve">Bissantz, C.; Folkers, G.; Rognan, D. Protein-based virtual screening of chemical databases. 1. Evaluation of different docking/scoring combinations. </w:t>
      </w:r>
      <w:r w:rsidRPr="00171237">
        <w:rPr>
          <w:i/>
          <w:iCs/>
          <w:noProof/>
          <w:sz w:val="18"/>
          <w:szCs w:val="24"/>
        </w:rPr>
        <w:t>J. Med. Chem.</w:t>
      </w:r>
      <w:r w:rsidRPr="00171237">
        <w:rPr>
          <w:noProof/>
          <w:sz w:val="18"/>
          <w:szCs w:val="24"/>
        </w:rPr>
        <w:t xml:space="preserve"> </w:t>
      </w:r>
      <w:r w:rsidRPr="00171237">
        <w:rPr>
          <w:b/>
          <w:bCs/>
          <w:noProof/>
          <w:sz w:val="18"/>
          <w:szCs w:val="24"/>
        </w:rPr>
        <w:t>2000</w:t>
      </w:r>
      <w:r w:rsidRPr="00171237">
        <w:rPr>
          <w:noProof/>
          <w:sz w:val="18"/>
          <w:szCs w:val="24"/>
        </w:rPr>
        <w:t xml:space="preserve">, </w:t>
      </w:r>
      <w:r w:rsidRPr="00171237">
        <w:rPr>
          <w:i/>
          <w:iCs/>
          <w:noProof/>
          <w:sz w:val="18"/>
          <w:szCs w:val="24"/>
        </w:rPr>
        <w:t>43</w:t>
      </w:r>
      <w:r w:rsidRPr="00171237">
        <w:rPr>
          <w:noProof/>
          <w:sz w:val="18"/>
          <w:szCs w:val="24"/>
        </w:rPr>
        <w:t>, 4759–4767, doi:10.1021/jm001044l.</w:t>
      </w:r>
    </w:p>
    <w:p w14:paraId="2172DEB4"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40. </w:t>
      </w:r>
      <w:r w:rsidRPr="00171237">
        <w:rPr>
          <w:noProof/>
          <w:sz w:val="18"/>
          <w:szCs w:val="24"/>
        </w:rPr>
        <w:tab/>
        <w:t xml:space="preserve">Zakharenko, A.; Luzina, O.; Koval, O.; Nilov, D.; Gushchina, I.; Dyrkheeva, N.; Švedas, V.; Salakhutdinov, N.; Lavrik, O. Tyrosyl-DNA Phosphodiesterase 1 Inhibitors: Usnic Acid Enamines Enhance the Cytotoxic Effect of Camptothecin. </w:t>
      </w:r>
      <w:r w:rsidRPr="00171237">
        <w:rPr>
          <w:i/>
          <w:iCs/>
          <w:noProof/>
          <w:sz w:val="18"/>
          <w:szCs w:val="24"/>
        </w:rPr>
        <w:t>J. Nat. Prod.</w:t>
      </w:r>
      <w:r w:rsidRPr="00171237">
        <w:rPr>
          <w:noProof/>
          <w:sz w:val="18"/>
          <w:szCs w:val="24"/>
        </w:rPr>
        <w:t xml:space="preserve"> </w:t>
      </w:r>
      <w:r w:rsidRPr="00171237">
        <w:rPr>
          <w:b/>
          <w:bCs/>
          <w:noProof/>
          <w:sz w:val="18"/>
          <w:szCs w:val="24"/>
        </w:rPr>
        <w:t>2016</w:t>
      </w:r>
      <w:r w:rsidRPr="00171237">
        <w:rPr>
          <w:noProof/>
          <w:sz w:val="18"/>
          <w:szCs w:val="24"/>
        </w:rPr>
        <w:t xml:space="preserve">, </w:t>
      </w:r>
      <w:r w:rsidRPr="00171237">
        <w:rPr>
          <w:i/>
          <w:iCs/>
          <w:noProof/>
          <w:sz w:val="18"/>
          <w:szCs w:val="24"/>
        </w:rPr>
        <w:t>79</w:t>
      </w:r>
      <w:r w:rsidRPr="00171237">
        <w:rPr>
          <w:noProof/>
          <w:sz w:val="18"/>
          <w:szCs w:val="24"/>
        </w:rPr>
        <w:t>, 2961–2967, doi:10.1021/acs.jnatprod.6b00979.</w:t>
      </w:r>
    </w:p>
    <w:p w14:paraId="4ED664A0" w14:textId="77777777" w:rsidR="00171237" w:rsidRPr="00171237" w:rsidRDefault="00171237" w:rsidP="00171237">
      <w:pPr>
        <w:autoSpaceDE w:val="0"/>
        <w:autoSpaceDN w:val="0"/>
        <w:adjustRightInd w:val="0"/>
        <w:ind w:left="640" w:hanging="640"/>
        <w:jc w:val="both"/>
        <w:rPr>
          <w:noProof/>
          <w:sz w:val="18"/>
          <w:szCs w:val="24"/>
        </w:rPr>
      </w:pPr>
      <w:r w:rsidRPr="00171237">
        <w:rPr>
          <w:noProof/>
          <w:sz w:val="18"/>
          <w:szCs w:val="24"/>
        </w:rPr>
        <w:t xml:space="preserve">41. </w:t>
      </w:r>
      <w:r w:rsidRPr="00171237">
        <w:rPr>
          <w:noProof/>
          <w:sz w:val="18"/>
          <w:szCs w:val="24"/>
        </w:rPr>
        <w:tab/>
        <w:t xml:space="preserve">Zhu, F.; Logan, G.; Reynisson, J. Wine compounds as a source for HTS screening collections. A feasibility study. </w:t>
      </w:r>
      <w:r w:rsidRPr="00171237">
        <w:rPr>
          <w:i/>
          <w:iCs/>
          <w:noProof/>
          <w:sz w:val="18"/>
          <w:szCs w:val="24"/>
        </w:rPr>
        <w:t>Mol. Inform.</w:t>
      </w:r>
      <w:r w:rsidRPr="00171237">
        <w:rPr>
          <w:noProof/>
          <w:sz w:val="18"/>
          <w:szCs w:val="24"/>
        </w:rPr>
        <w:t xml:space="preserve"> </w:t>
      </w:r>
      <w:r w:rsidRPr="00171237">
        <w:rPr>
          <w:b/>
          <w:bCs/>
          <w:noProof/>
          <w:sz w:val="18"/>
          <w:szCs w:val="24"/>
        </w:rPr>
        <w:t>2012</w:t>
      </w:r>
      <w:r w:rsidRPr="00171237">
        <w:rPr>
          <w:noProof/>
          <w:sz w:val="18"/>
          <w:szCs w:val="24"/>
        </w:rPr>
        <w:t xml:space="preserve">, </w:t>
      </w:r>
      <w:r w:rsidRPr="00171237">
        <w:rPr>
          <w:i/>
          <w:iCs/>
          <w:noProof/>
          <w:sz w:val="18"/>
          <w:szCs w:val="24"/>
        </w:rPr>
        <w:t>31</w:t>
      </w:r>
      <w:r w:rsidRPr="00171237">
        <w:rPr>
          <w:noProof/>
          <w:sz w:val="18"/>
          <w:szCs w:val="24"/>
        </w:rPr>
        <w:t>, 847–855, doi:10.1002/minf.201200103.</w:t>
      </w:r>
    </w:p>
    <w:p w14:paraId="04B05460" w14:textId="7538FB02" w:rsidR="0029773D" w:rsidRDefault="00171237" w:rsidP="0052635A">
      <w:pPr>
        <w:autoSpaceDE w:val="0"/>
        <w:autoSpaceDN w:val="0"/>
        <w:adjustRightInd w:val="0"/>
        <w:ind w:left="640" w:hanging="640"/>
        <w:jc w:val="both"/>
      </w:pPr>
      <w:r w:rsidRPr="00171237">
        <w:rPr>
          <w:noProof/>
          <w:sz w:val="18"/>
          <w:szCs w:val="24"/>
        </w:rPr>
        <w:t xml:space="preserve">42. </w:t>
      </w:r>
      <w:r w:rsidRPr="00171237">
        <w:rPr>
          <w:noProof/>
          <w:sz w:val="18"/>
          <w:szCs w:val="24"/>
        </w:rPr>
        <w:tab/>
        <w:t xml:space="preserve">Eurtivong, C.; Reynisson, J. The Development of a Weighted Index to Optimise Compound Libraries for High Throughput Screening. </w:t>
      </w:r>
      <w:r w:rsidRPr="00171237">
        <w:rPr>
          <w:i/>
          <w:iCs/>
          <w:noProof/>
          <w:sz w:val="18"/>
          <w:szCs w:val="24"/>
        </w:rPr>
        <w:t>Mol. Inform.</w:t>
      </w:r>
      <w:r w:rsidRPr="00171237">
        <w:rPr>
          <w:noProof/>
          <w:sz w:val="18"/>
          <w:szCs w:val="24"/>
        </w:rPr>
        <w:t xml:space="preserve"> </w:t>
      </w:r>
      <w:r w:rsidRPr="00171237">
        <w:rPr>
          <w:b/>
          <w:bCs/>
          <w:noProof/>
          <w:sz w:val="18"/>
          <w:szCs w:val="24"/>
        </w:rPr>
        <w:t>2019</w:t>
      </w:r>
      <w:r w:rsidRPr="00171237">
        <w:rPr>
          <w:noProof/>
          <w:sz w:val="18"/>
          <w:szCs w:val="24"/>
        </w:rPr>
        <w:t xml:space="preserve">, </w:t>
      </w:r>
      <w:r w:rsidRPr="00171237">
        <w:rPr>
          <w:i/>
          <w:iCs/>
          <w:noProof/>
          <w:sz w:val="18"/>
          <w:szCs w:val="24"/>
        </w:rPr>
        <w:t>38</w:t>
      </w:r>
      <w:r w:rsidRPr="00171237">
        <w:rPr>
          <w:noProof/>
          <w:sz w:val="18"/>
          <w:szCs w:val="24"/>
        </w:rPr>
        <w:t>, doi:10.1002/minf.201800068.</w:t>
      </w:r>
      <w:r w:rsidR="00483686">
        <w:fldChar w:fldCharType="end"/>
      </w:r>
    </w:p>
    <w:sectPr w:rsidR="0029773D">
      <w:headerReference w:type="even" r:id="rId61"/>
      <w:headerReference w:type="default" r:id="rId62"/>
      <w:headerReference w:type="first" r:id="rId63"/>
      <w:footnotePr>
        <w:numFmt w:val="chicago"/>
      </w:footnotePr>
      <w:type w:val="nextColumn"/>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25EE1" w14:textId="77777777" w:rsidR="00FB0250" w:rsidRDefault="00FB0250">
      <w:r>
        <w:separator/>
      </w:r>
    </w:p>
    <w:p w14:paraId="51BE9C9A" w14:textId="77777777" w:rsidR="00FB0250" w:rsidRDefault="00FB0250"/>
  </w:endnote>
  <w:endnote w:type="continuationSeparator" w:id="0">
    <w:p w14:paraId="1A820B71" w14:textId="77777777" w:rsidR="00FB0250" w:rsidRDefault="00FB0250">
      <w:r>
        <w:continuationSeparator/>
      </w:r>
    </w:p>
    <w:p w14:paraId="09FDA880" w14:textId="77777777" w:rsidR="00FB0250" w:rsidRDefault="00FB0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E6913AF8-8E25-46E1-A818-538CDFF924BB}"/>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F3590F0-A6D3-4174-A01B-5D21AFAA190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3" w:fontKey="{66A4EC31-7206-48AE-822E-9E9735CE4139}"/>
    <w:embedBold r:id="rId4" w:fontKey="{F3A9BEE6-5A9F-42C3-8DC1-F24F2BC66DAA}"/>
    <w:embedItalic r:id="rId5" w:fontKey="{2FECDC27-618C-48CC-B51A-22A09B88A6C4}"/>
  </w:font>
  <w:font w:name="Calibri">
    <w:panose1 w:val="020F0502020204030204"/>
    <w:charset w:val="00"/>
    <w:family w:val="swiss"/>
    <w:pitch w:val="variable"/>
    <w:sig w:usb0="E4002EFF" w:usb1="C000247B" w:usb2="00000009" w:usb3="00000000" w:csb0="000001FF" w:csb1="00000000"/>
    <w:embedRegular r:id="rId6" w:fontKey="{C6311538-D155-4135-97C8-B763CF017A91}"/>
    <w:embedBold r:id="rId7" w:fontKey="{6C25BD8D-B030-4A69-A2A2-91DDEB1F8203}"/>
  </w:font>
  <w:font w:name="Cordia New">
    <w:panose1 w:val="020B0304020202020204"/>
    <w:charset w:val="DE"/>
    <w:family w:val="roman"/>
    <w:notTrueType/>
    <w:pitch w:val="variable"/>
    <w:sig w:usb0="01000001" w:usb1="00000000" w:usb2="00000000" w:usb3="00000000" w:csb0="00010000" w:csb1="00000000"/>
    <w:embedRegular r:id="rId8" w:fontKey="{DF484474-B170-4DA6-A80E-3BCAC6079FAE}"/>
  </w:font>
  <w:font w:name="Consolas">
    <w:panose1 w:val="020B0609020204030204"/>
    <w:charset w:val="00"/>
    <w:family w:val="modern"/>
    <w:pitch w:val="fixed"/>
    <w:sig w:usb0="E00006FF" w:usb1="0000FCFF" w:usb2="00000001" w:usb3="00000000" w:csb0="0000019F" w:csb1="00000000"/>
    <w:embedRegular r:id="rId9" w:fontKey="{2821F461-8BD2-4598-A64D-073E79B7EB4A}"/>
  </w:font>
  <w:font w:name="Cambria Math">
    <w:panose1 w:val="02040503050406030204"/>
    <w:charset w:val="00"/>
    <w:family w:val="roman"/>
    <w:pitch w:val="variable"/>
    <w:sig w:usb0="E00006FF" w:usb1="420024FF" w:usb2="02000000" w:usb3="00000000" w:csb0="0000019F" w:csb1="00000000"/>
    <w:embedRegular r:id="rId10" w:fontKey="{1E50C5AA-E865-4C59-8720-E837747A526D}"/>
  </w:font>
  <w:font w:name="Cambria">
    <w:panose1 w:val="02040503050406030204"/>
    <w:charset w:val="00"/>
    <w:family w:val="roman"/>
    <w:pitch w:val="variable"/>
    <w:sig w:usb0="E00006FF" w:usb1="420024FF" w:usb2="02000000" w:usb3="00000000" w:csb0="0000019F" w:csb1="00000000"/>
    <w:embedRegular r:id="rId11" w:fontKey="{F1E7A33B-6DE5-4C75-9465-137858B07D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94274" w14:textId="77777777" w:rsidR="00FB0250" w:rsidRDefault="00FB0250">
      <w:pPr>
        <w:pStyle w:val="Footer"/>
        <w:rPr>
          <w:lang w:val="en-GB"/>
        </w:rPr>
      </w:pPr>
      <w:r>
        <w:rPr>
          <w:lang w:val="en-GB" w:eastAsia="en-GB"/>
        </w:rPr>
        <w:drawing>
          <wp:inline distT="0" distB="0" distL="0" distR="0" wp14:anchorId="46EB5A0E" wp14:editId="4DEAA96C">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14:paraId="4CA73D66" w14:textId="77777777" w:rsidR="00FB0250" w:rsidRDefault="00FB0250"/>
  </w:footnote>
  <w:footnote w:type="continuationSeparator" w:id="0">
    <w:p w14:paraId="4526D565" w14:textId="77777777" w:rsidR="00FB0250" w:rsidRDefault="00FB0250">
      <w:r>
        <w:continuationSeparator/>
      </w:r>
    </w:p>
    <w:p w14:paraId="7DD56864" w14:textId="77777777" w:rsidR="00FB0250" w:rsidRDefault="00FB02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17DD" w14:textId="7D3752B8" w:rsidR="002B6F18" w:rsidRDefault="002B6F18">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364C8C">
      <w:rPr>
        <w:rStyle w:val="PageNumber"/>
        <w:i w:val="0"/>
      </w:rPr>
      <w:t>8</w:t>
    </w:r>
    <w:r>
      <w:rPr>
        <w:rStyle w:val="PageNumber"/>
        <w:i w:val="0"/>
      </w:rPr>
      <w:fldChar w:fldCharType="end"/>
    </w:r>
    <w:r>
      <w:tab/>
      <w:t>D. Ivankin et al./ Bioorganic &amp; Medicinal Chemistry Letters 00 (</w:t>
    </w:r>
    <w:r>
      <w:rPr>
        <w:rFonts w:hint="eastAsia"/>
        <w:lang w:eastAsia="zh-CN"/>
      </w:rPr>
      <w:t>20</w:t>
    </w:r>
    <w:r>
      <w:rPr>
        <w:lang w:eastAsia="zh-CN"/>
      </w:rPr>
      <w:t>22</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E891" w14:textId="73D1E6DF" w:rsidR="002B6F18" w:rsidRDefault="002B6F18">
    <w:pPr>
      <w:pStyle w:val="Header"/>
      <w:tabs>
        <w:tab w:val="center" w:pos="4920"/>
      </w:tabs>
    </w:pPr>
    <w:r>
      <w:rPr>
        <w:i w:val="0"/>
        <w:iCs/>
      </w:rPr>
      <w:tab/>
    </w:r>
    <w:r>
      <w:t>D. Ivankin et al./ Bioorganic &amp; Medicinal Chemistry Letters 00 (</w:t>
    </w:r>
    <w:r>
      <w:rPr>
        <w:rFonts w:hint="eastAsia"/>
        <w:lang w:eastAsia="zh-CN"/>
      </w:rPr>
      <w:t>20</w:t>
    </w:r>
    <w:r>
      <w:rPr>
        <w:lang w:eastAsia="zh-CN"/>
      </w:rPr>
      <w:t>22</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364C8C">
      <w:rPr>
        <w:rStyle w:val="PageNumber"/>
        <w:i w:val="0"/>
      </w:rPr>
      <w:t>9</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1200"/>
      <w:gridCol w:w="5760"/>
      <w:gridCol w:w="1920"/>
    </w:tblGrid>
    <w:tr w:rsidR="002B6F18" w14:paraId="35A06C39" w14:textId="77777777">
      <w:trPr>
        <w:trHeight w:val="1438"/>
      </w:trPr>
      <w:tc>
        <w:tcPr>
          <w:tcW w:w="1200" w:type="dxa"/>
        </w:tcPr>
        <w:p w14:paraId="3E218489" w14:textId="33DD9BBB" w:rsidR="002B6F18" w:rsidRDefault="002B6F18">
          <w:pPr>
            <w:pStyle w:val="Header"/>
            <w:rPr>
              <w:sz w:val="10"/>
            </w:rPr>
          </w:pPr>
        </w:p>
      </w:tc>
      <w:tc>
        <w:tcPr>
          <w:tcW w:w="5760" w:type="dxa"/>
        </w:tcPr>
        <w:p w14:paraId="53B06146" w14:textId="19C19E2B" w:rsidR="002B6F18" w:rsidRDefault="002B6F18" w:rsidP="006300BB">
          <w:pPr>
            <w:pStyle w:val="Header"/>
            <w:jc w:val="center"/>
            <w:rPr>
              <w:i w:val="0"/>
              <w:iCs/>
              <w:sz w:val="18"/>
            </w:rPr>
          </w:pPr>
        </w:p>
      </w:tc>
      <w:tc>
        <w:tcPr>
          <w:tcW w:w="1920" w:type="dxa"/>
        </w:tcPr>
        <w:p w14:paraId="30909492" w14:textId="77777777" w:rsidR="002B6F18" w:rsidRDefault="002B6F18">
          <w:pPr>
            <w:pStyle w:val="Header"/>
            <w:jc w:val="right"/>
            <w:rPr>
              <w:sz w:val="10"/>
            </w:rPr>
          </w:pPr>
        </w:p>
      </w:tc>
    </w:tr>
  </w:tbl>
  <w:p w14:paraId="66648F9C" w14:textId="77777777" w:rsidR="002B6F18" w:rsidRDefault="002B6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8B468F5"/>
    <w:multiLevelType w:val="hybridMultilevel"/>
    <w:tmpl w:val="3FB688F2"/>
    <w:lvl w:ilvl="0" w:tplc="4858CE42">
      <w:start w:val="1"/>
      <w:numFmt w:val="bullet"/>
      <w:pStyle w:val="MDPI38bullet"/>
      <w:lvlText w:val=""/>
      <w:lvlJc w:val="left"/>
      <w:pPr>
        <w:ind w:left="3033" w:hanging="425"/>
      </w:pPr>
      <w:rPr>
        <w:rFonts w:ascii="Symbol" w:hAnsi="Symbol" w:hint="default"/>
        <w:b w:val="0"/>
        <w:i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3A66122"/>
    <w:multiLevelType w:val="hybridMultilevel"/>
    <w:tmpl w:val="FD986F3E"/>
    <w:lvl w:ilvl="0" w:tplc="FDA65CD0">
      <w:start w:val="1"/>
      <w:numFmt w:val="decimal"/>
      <w:pStyle w:val="MDPI71FootNotes"/>
      <w:lvlText w:val="%1."/>
      <w:lvlJc w:val="left"/>
      <w:pPr>
        <w:ind w:left="425" w:hanging="425"/>
      </w:pPr>
      <w:rPr>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2172AF"/>
    <w:multiLevelType w:val="hybridMultilevel"/>
    <w:tmpl w:val="17BCEA46"/>
    <w:lvl w:ilvl="0" w:tplc="AB2649D0">
      <w:start w:val="1"/>
      <w:numFmt w:val="decimal"/>
      <w:pStyle w:val="MDPI71References"/>
      <w:lvlText w:val="%1."/>
      <w:lvlJc w:val="left"/>
      <w:pPr>
        <w:ind w:left="425" w:hanging="425"/>
      </w:pPr>
      <w:rPr>
        <w:b w:val="0"/>
        <w:i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B777DBA"/>
    <w:multiLevelType w:val="hybridMultilevel"/>
    <w:tmpl w:val="687AA282"/>
    <w:lvl w:ilvl="0" w:tplc="19EE4730">
      <w:start w:val="1"/>
      <w:numFmt w:val="decimal"/>
      <w:pStyle w:val="MDPI37itemize"/>
      <w:lvlText w:val="%1."/>
      <w:lvlJc w:val="left"/>
      <w:pPr>
        <w:ind w:left="3033" w:hanging="425"/>
      </w:pPr>
      <w:rPr>
        <w:b w:val="0"/>
        <w:i w:val="0"/>
        <w:sz w:val="20"/>
        <w:vertAlign w:val="baseline"/>
      </w:rPr>
    </w:lvl>
    <w:lvl w:ilvl="1" w:tplc="04090019">
      <w:start w:val="1"/>
      <w:numFmt w:val="lowerLetter"/>
      <w:lvlText w:val="%2."/>
      <w:lvlJc w:val="left"/>
      <w:pPr>
        <w:ind w:left="4048" w:hanging="360"/>
      </w:pPr>
    </w:lvl>
    <w:lvl w:ilvl="2" w:tplc="0409001B">
      <w:start w:val="1"/>
      <w:numFmt w:val="lowerRoman"/>
      <w:lvlText w:val="%3."/>
      <w:lvlJc w:val="right"/>
      <w:pPr>
        <w:ind w:left="4768" w:hanging="180"/>
      </w:pPr>
    </w:lvl>
    <w:lvl w:ilvl="3" w:tplc="0409000F">
      <w:start w:val="1"/>
      <w:numFmt w:val="decimal"/>
      <w:lvlText w:val="%4."/>
      <w:lvlJc w:val="left"/>
      <w:pPr>
        <w:ind w:left="5488" w:hanging="360"/>
      </w:pPr>
    </w:lvl>
    <w:lvl w:ilvl="4" w:tplc="04090019">
      <w:start w:val="1"/>
      <w:numFmt w:val="lowerLetter"/>
      <w:lvlText w:val="%5."/>
      <w:lvlJc w:val="left"/>
      <w:pPr>
        <w:ind w:left="6208" w:hanging="360"/>
      </w:pPr>
    </w:lvl>
    <w:lvl w:ilvl="5" w:tplc="0409001B">
      <w:start w:val="1"/>
      <w:numFmt w:val="lowerRoman"/>
      <w:lvlText w:val="%6."/>
      <w:lvlJc w:val="right"/>
      <w:pPr>
        <w:ind w:left="6928" w:hanging="180"/>
      </w:pPr>
    </w:lvl>
    <w:lvl w:ilvl="6" w:tplc="0409000F">
      <w:start w:val="1"/>
      <w:numFmt w:val="decimal"/>
      <w:lvlText w:val="%7."/>
      <w:lvlJc w:val="left"/>
      <w:pPr>
        <w:ind w:left="7648" w:hanging="360"/>
      </w:pPr>
    </w:lvl>
    <w:lvl w:ilvl="7" w:tplc="04090019">
      <w:start w:val="1"/>
      <w:numFmt w:val="lowerLetter"/>
      <w:lvlText w:val="%8."/>
      <w:lvlJc w:val="left"/>
      <w:pPr>
        <w:ind w:left="8368" w:hanging="360"/>
      </w:pPr>
    </w:lvl>
    <w:lvl w:ilvl="8" w:tplc="0409001B">
      <w:start w:val="1"/>
      <w:numFmt w:val="lowerRoman"/>
      <w:lvlText w:val="%9."/>
      <w:lvlJc w:val="right"/>
      <w:pPr>
        <w:ind w:left="9088" w:hanging="180"/>
      </w:p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814FD2"/>
    <w:multiLevelType w:val="singleLevel"/>
    <w:tmpl w:val="00528FE6"/>
    <w:lvl w:ilvl="0">
      <w:start w:val="1"/>
      <w:numFmt w:val="decimal"/>
      <w:lvlText w:val="%1."/>
      <w:legacy w:legacy="1" w:legacySpace="0" w:legacyIndent="283"/>
      <w:lvlJc w:val="left"/>
      <w:pPr>
        <w:ind w:left="283" w:hanging="283"/>
      </w:pPr>
    </w:lvl>
  </w:abstractNum>
  <w:num w:numId="1">
    <w:abstractNumId w:val="9"/>
  </w:num>
  <w:num w:numId="2">
    <w:abstractNumId w:val="9"/>
  </w:num>
  <w:num w:numId="3">
    <w:abstractNumId w:val="9"/>
  </w:num>
  <w:num w:numId="4">
    <w:abstractNumId w:val="9"/>
  </w:num>
  <w:num w:numId="5">
    <w:abstractNumId w:val="0"/>
  </w:num>
  <w:num w:numId="6">
    <w:abstractNumId w:val="4"/>
  </w:num>
  <w:num w:numId="7">
    <w:abstractNumId w:val="10"/>
  </w:num>
  <w:num w:numId="8">
    <w:abstractNumId w:val="2"/>
  </w:num>
  <w:num w:numId="9">
    <w:abstractNumId w:val="7"/>
  </w:num>
  <w:num w:numId="10">
    <w:abstractNumId w:val="15"/>
  </w:num>
  <w:num w:numId="11">
    <w:abstractNumId w:val="14"/>
  </w:num>
  <w:num w:numId="12">
    <w:abstractNumId w:val="9"/>
  </w:num>
  <w:num w:numId="13">
    <w:abstractNumId w:val="9"/>
  </w:num>
  <w:num w:numId="14">
    <w:abstractNumId w:val="9"/>
  </w:num>
  <w:num w:numId="15">
    <w:abstractNumId w:val="9"/>
  </w:num>
  <w:num w:numId="16">
    <w:abstractNumId w:val="0"/>
  </w:num>
  <w:num w:numId="17">
    <w:abstractNumId w:val="4"/>
  </w:num>
  <w:num w:numId="18">
    <w:abstractNumId w:val="10"/>
  </w:num>
  <w:num w:numId="19">
    <w:abstractNumId w:val="2"/>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2"/>
  </w:num>
  <w:num w:numId="27">
    <w:abstractNumId w:val="13"/>
  </w:num>
  <w:num w:numId="28">
    <w:abstractNumId w:val="5"/>
  </w:num>
  <w:num w:numId="29">
    <w:abstractNumId w:val="8"/>
  </w:num>
  <w:num w:numId="30">
    <w:abstractNumId w:val="11"/>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7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D3"/>
    <w:rsid w:val="00020D16"/>
    <w:rsid w:val="0002378B"/>
    <w:rsid w:val="000453AF"/>
    <w:rsid w:val="00066076"/>
    <w:rsid w:val="000770DE"/>
    <w:rsid w:val="000A0514"/>
    <w:rsid w:val="000B2411"/>
    <w:rsid w:val="00104C8C"/>
    <w:rsid w:val="0012791B"/>
    <w:rsid w:val="00131813"/>
    <w:rsid w:val="00133164"/>
    <w:rsid w:val="00144D20"/>
    <w:rsid w:val="00151F40"/>
    <w:rsid w:val="00164001"/>
    <w:rsid w:val="00171237"/>
    <w:rsid w:val="001810F4"/>
    <w:rsid w:val="00182C16"/>
    <w:rsid w:val="001B17A6"/>
    <w:rsid w:val="001C1427"/>
    <w:rsid w:val="001C3F42"/>
    <w:rsid w:val="001E42A6"/>
    <w:rsid w:val="00216B3F"/>
    <w:rsid w:val="002237AB"/>
    <w:rsid w:val="00237234"/>
    <w:rsid w:val="00253BF4"/>
    <w:rsid w:val="00257864"/>
    <w:rsid w:val="002643E4"/>
    <w:rsid w:val="002706E7"/>
    <w:rsid w:val="00287DB5"/>
    <w:rsid w:val="00287F91"/>
    <w:rsid w:val="00293B5D"/>
    <w:rsid w:val="0029773D"/>
    <w:rsid w:val="002A1411"/>
    <w:rsid w:val="002B3C15"/>
    <w:rsid w:val="002B6F18"/>
    <w:rsid w:val="002B7689"/>
    <w:rsid w:val="002C4FD0"/>
    <w:rsid w:val="003027AE"/>
    <w:rsid w:val="00303832"/>
    <w:rsid w:val="0034541D"/>
    <w:rsid w:val="00364C8C"/>
    <w:rsid w:val="003832AF"/>
    <w:rsid w:val="00397D52"/>
    <w:rsid w:val="003E04BB"/>
    <w:rsid w:val="003E1604"/>
    <w:rsid w:val="003E653A"/>
    <w:rsid w:val="003F7F3B"/>
    <w:rsid w:val="00401B9F"/>
    <w:rsid w:val="00430FB0"/>
    <w:rsid w:val="004409A4"/>
    <w:rsid w:val="00442048"/>
    <w:rsid w:val="00480BBB"/>
    <w:rsid w:val="00483686"/>
    <w:rsid w:val="004C4C05"/>
    <w:rsid w:val="004E0A4E"/>
    <w:rsid w:val="004F5E28"/>
    <w:rsid w:val="0050456A"/>
    <w:rsid w:val="0052635A"/>
    <w:rsid w:val="005757EB"/>
    <w:rsid w:val="00592848"/>
    <w:rsid w:val="005A3991"/>
    <w:rsid w:val="005B1C2E"/>
    <w:rsid w:val="005D7393"/>
    <w:rsid w:val="00623043"/>
    <w:rsid w:val="006300BB"/>
    <w:rsid w:val="00632604"/>
    <w:rsid w:val="00633A6C"/>
    <w:rsid w:val="00672DDC"/>
    <w:rsid w:val="006F2D82"/>
    <w:rsid w:val="006F3FC5"/>
    <w:rsid w:val="00721A53"/>
    <w:rsid w:val="00743248"/>
    <w:rsid w:val="007440E7"/>
    <w:rsid w:val="00750877"/>
    <w:rsid w:val="00753CF4"/>
    <w:rsid w:val="00767A38"/>
    <w:rsid w:val="007858FE"/>
    <w:rsid w:val="00793F84"/>
    <w:rsid w:val="007952A2"/>
    <w:rsid w:val="007A7099"/>
    <w:rsid w:val="007B276B"/>
    <w:rsid w:val="007C40D2"/>
    <w:rsid w:val="007D0C67"/>
    <w:rsid w:val="007D1BD3"/>
    <w:rsid w:val="007D432E"/>
    <w:rsid w:val="00821EF2"/>
    <w:rsid w:val="00826F1E"/>
    <w:rsid w:val="008462CB"/>
    <w:rsid w:val="008605D3"/>
    <w:rsid w:val="00860911"/>
    <w:rsid w:val="008619F1"/>
    <w:rsid w:val="008700F3"/>
    <w:rsid w:val="008B4C47"/>
    <w:rsid w:val="008C6C6F"/>
    <w:rsid w:val="008E1447"/>
    <w:rsid w:val="008F33FC"/>
    <w:rsid w:val="008F6BA8"/>
    <w:rsid w:val="00900EE6"/>
    <w:rsid w:val="00906C64"/>
    <w:rsid w:val="00910695"/>
    <w:rsid w:val="0091234D"/>
    <w:rsid w:val="00914C23"/>
    <w:rsid w:val="00926E0B"/>
    <w:rsid w:val="00941C26"/>
    <w:rsid w:val="00974AB1"/>
    <w:rsid w:val="00977F92"/>
    <w:rsid w:val="0098234C"/>
    <w:rsid w:val="009960C5"/>
    <w:rsid w:val="0099709A"/>
    <w:rsid w:val="009B02F7"/>
    <w:rsid w:val="009B091E"/>
    <w:rsid w:val="009B60D4"/>
    <w:rsid w:val="009B70FE"/>
    <w:rsid w:val="009F3C18"/>
    <w:rsid w:val="00A45DF6"/>
    <w:rsid w:val="00A64F3C"/>
    <w:rsid w:val="00A72FF8"/>
    <w:rsid w:val="00A7776D"/>
    <w:rsid w:val="00A86D14"/>
    <w:rsid w:val="00AA570A"/>
    <w:rsid w:val="00AB7A3F"/>
    <w:rsid w:val="00AC0691"/>
    <w:rsid w:val="00AC3F3A"/>
    <w:rsid w:val="00AD43A4"/>
    <w:rsid w:val="00AE4FDB"/>
    <w:rsid w:val="00B16D43"/>
    <w:rsid w:val="00B33CEB"/>
    <w:rsid w:val="00B37D57"/>
    <w:rsid w:val="00B47821"/>
    <w:rsid w:val="00B86AA7"/>
    <w:rsid w:val="00BA3FE4"/>
    <w:rsid w:val="00BC659D"/>
    <w:rsid w:val="00BD2C5D"/>
    <w:rsid w:val="00BE7363"/>
    <w:rsid w:val="00C22521"/>
    <w:rsid w:val="00C27C1A"/>
    <w:rsid w:val="00C4446A"/>
    <w:rsid w:val="00C64FB1"/>
    <w:rsid w:val="00C734EE"/>
    <w:rsid w:val="00CA7D16"/>
    <w:rsid w:val="00CB62C5"/>
    <w:rsid w:val="00CC63C5"/>
    <w:rsid w:val="00CD3828"/>
    <w:rsid w:val="00CF0B3B"/>
    <w:rsid w:val="00D6423E"/>
    <w:rsid w:val="00D96DC5"/>
    <w:rsid w:val="00DA612D"/>
    <w:rsid w:val="00DA7852"/>
    <w:rsid w:val="00DE184C"/>
    <w:rsid w:val="00E0171B"/>
    <w:rsid w:val="00E057CF"/>
    <w:rsid w:val="00E12491"/>
    <w:rsid w:val="00E25159"/>
    <w:rsid w:val="00E461E3"/>
    <w:rsid w:val="00E80CAB"/>
    <w:rsid w:val="00EB483B"/>
    <w:rsid w:val="00EB7785"/>
    <w:rsid w:val="00EF53E0"/>
    <w:rsid w:val="00EF63CB"/>
    <w:rsid w:val="00F01495"/>
    <w:rsid w:val="00F07FF6"/>
    <w:rsid w:val="00F11B27"/>
    <w:rsid w:val="00F16DE3"/>
    <w:rsid w:val="00F240B0"/>
    <w:rsid w:val="00F41935"/>
    <w:rsid w:val="00F455CF"/>
    <w:rsid w:val="00F46840"/>
    <w:rsid w:val="00F470A6"/>
    <w:rsid w:val="00F47266"/>
    <w:rsid w:val="00F71BB0"/>
    <w:rsid w:val="00F72D65"/>
    <w:rsid w:val="00F74C1D"/>
    <w:rsid w:val="00F8754C"/>
    <w:rsid w:val="00FB0250"/>
    <w:rsid w:val="00FC67DC"/>
    <w:rsid w:val="00FE33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shapelayout>
  </w:shapeDefaults>
  <w:decimalSymbol w:val="."/>
  <w:listSeparator w:val=","/>
  <w14:docId w14:val="4AD750C3"/>
  <w15:docId w15:val="{CE49B7A5-A37D-4DEC-93BB-77556AA7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Heading2">
    <w:name w:val="heading 2"/>
    <w:basedOn w:val="Normal"/>
    <w:link w:val="Heading2Char"/>
    <w:uiPriority w:val="9"/>
    <w:semiHidden/>
    <w:unhideWhenUsed/>
    <w:qFormat/>
    <w:rsid w:val="00483686"/>
    <w:pPr>
      <w:widowControl/>
      <w:spacing w:before="100" w:beforeAutospacing="1" w:after="100" w:afterAutospacing="1"/>
      <w:outlineLvl w:val="1"/>
    </w:pPr>
    <w:rPr>
      <w:rFonts w:eastAsia="Times New Roman"/>
      <w:b/>
      <w:bCs/>
      <w:sz w:val="36"/>
      <w:szCs w:val="36"/>
      <w:lang w:val="ru-RU" w:eastAsia="ru-RU"/>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basedOn w:val="DefaultParagraphFont"/>
    <w:semiHidden/>
    <w:rPr>
      <w:vertAlign w:val="superscript"/>
    </w:rPr>
  </w:style>
  <w:style w:type="paragraph" w:styleId="Header">
    <w:name w:val="header"/>
    <w:link w:val="HeaderChar"/>
    <w:uiPriority w:val="99"/>
    <w:semiHidden/>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link w:val="FootnoteTextChar"/>
    <w:uiPriority w:val="99"/>
    <w:semiHidden/>
    <w:rPr>
      <w:rFonts w:ascii="Univers" w:hAnsi="Univers"/>
    </w:rPr>
  </w:style>
  <w:style w:type="character" w:styleId="Hyperlink">
    <w:name w:val="Hyperlink"/>
    <w:basedOn w:val="DefaultParagraphFont"/>
    <w:uiPriority w:val="99"/>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1"/>
    <w:uiPriority w:val="99"/>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link w:val="CommentTextChar1"/>
    <w:uiPriority w:val="99"/>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MDPI12title">
    <w:name w:val="MDPI_1.2_title"/>
    <w:next w:val="Normal"/>
    <w:uiPriority w:val="99"/>
    <w:qFormat/>
    <w:rsid w:val="00753CF4"/>
    <w:pPr>
      <w:adjustRightInd w:val="0"/>
      <w:snapToGrid w:val="0"/>
      <w:spacing w:after="240" w:line="240" w:lineRule="atLeast"/>
    </w:pPr>
    <w:rPr>
      <w:rFonts w:ascii="Palatino Linotype" w:eastAsia="Times New Roman" w:hAnsi="Palatino Linotype"/>
      <w:b/>
      <w:color w:val="000000"/>
      <w:sz w:val="36"/>
      <w:lang w:eastAsia="de-DE" w:bidi="en-US"/>
    </w:rPr>
  </w:style>
  <w:style w:type="paragraph" w:customStyle="1" w:styleId="MDPI13authornames">
    <w:name w:val="MDPI_1.3_authornames"/>
    <w:next w:val="Normal"/>
    <w:uiPriority w:val="99"/>
    <w:qFormat/>
    <w:rsid w:val="00753CF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6affiliation">
    <w:name w:val="MDPI_1.6_affiliation"/>
    <w:uiPriority w:val="99"/>
    <w:qFormat/>
    <w:rsid w:val="00753CF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uiPriority w:val="99"/>
    <w:qFormat/>
    <w:rsid w:val="00753CF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uiPriority w:val="99"/>
    <w:qFormat/>
    <w:rsid w:val="00753CF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31text">
    <w:name w:val="MDPI_3.1_text"/>
    <w:uiPriority w:val="99"/>
    <w:qFormat/>
    <w:rsid w:val="00F47266"/>
    <w:pPr>
      <w:adjustRightInd w:val="0"/>
      <w:snapToGrid w:val="0"/>
      <w:spacing w:line="228" w:lineRule="auto"/>
      <w:ind w:left="2608" w:firstLine="425"/>
      <w:jc w:val="both"/>
    </w:pPr>
    <w:rPr>
      <w:rFonts w:ascii="Palatino Linotype" w:eastAsia="Times New Roman" w:hAnsi="Palatino Linotype"/>
      <w:color w:val="000000"/>
      <w:szCs w:val="22"/>
      <w:lang w:eastAsia="de-DE" w:bidi="en-US"/>
    </w:rPr>
  </w:style>
  <w:style w:type="paragraph" w:customStyle="1" w:styleId="MDPI21heading1">
    <w:name w:val="MDPI_2.1_heading1"/>
    <w:uiPriority w:val="99"/>
    <w:qFormat/>
    <w:rsid w:val="00F47266"/>
    <w:pPr>
      <w:adjustRightInd w:val="0"/>
      <w:snapToGrid w:val="0"/>
      <w:spacing w:before="240" w:after="60" w:line="228" w:lineRule="auto"/>
      <w:ind w:left="2608"/>
      <w:outlineLvl w:val="0"/>
    </w:pPr>
    <w:rPr>
      <w:rFonts w:ascii="Palatino Linotype" w:eastAsia="Times New Roman" w:hAnsi="Palatino Linotype"/>
      <w:b/>
      <w:color w:val="000000"/>
      <w:szCs w:val="22"/>
      <w:lang w:eastAsia="de-DE" w:bidi="en-US"/>
    </w:rPr>
  </w:style>
  <w:style w:type="character" w:customStyle="1" w:styleId="CommentTextChar1">
    <w:name w:val="Comment Text Char1"/>
    <w:basedOn w:val="DefaultParagraphFont"/>
    <w:link w:val="CommentText"/>
    <w:uiPriority w:val="99"/>
    <w:semiHidden/>
    <w:rsid w:val="00483686"/>
    <w:rPr>
      <w:lang w:val="en-GB"/>
    </w:rPr>
  </w:style>
  <w:style w:type="paragraph" w:customStyle="1" w:styleId="MDPI42tablebody">
    <w:name w:val="MDPI_4.2_table_body"/>
    <w:uiPriority w:val="99"/>
    <w:qFormat/>
    <w:rsid w:val="00483686"/>
    <w:pPr>
      <w:adjustRightInd w:val="0"/>
      <w:snapToGrid w:val="0"/>
      <w:spacing w:line="260" w:lineRule="atLeast"/>
      <w:jc w:val="center"/>
    </w:pPr>
    <w:rPr>
      <w:rFonts w:ascii="Palatino Linotype" w:eastAsia="Times New Roman" w:hAnsi="Palatino Linotype"/>
      <w:color w:val="000000"/>
      <w:lang w:eastAsia="de-DE" w:bidi="en-US"/>
    </w:rPr>
  </w:style>
  <w:style w:type="paragraph" w:customStyle="1" w:styleId="MDPI22heading2">
    <w:name w:val="MDPI_2.2_heading2"/>
    <w:uiPriority w:val="99"/>
    <w:qFormat/>
    <w:rsid w:val="00483686"/>
    <w:pPr>
      <w:adjustRightInd w:val="0"/>
      <w:snapToGrid w:val="0"/>
      <w:spacing w:before="60" w:after="60" w:line="228" w:lineRule="auto"/>
      <w:ind w:left="2608"/>
      <w:outlineLvl w:val="1"/>
    </w:pPr>
    <w:rPr>
      <w:rFonts w:ascii="Palatino Linotype" w:eastAsia="Times New Roman" w:hAnsi="Palatino Linotype"/>
      <w:i/>
      <w:noProof/>
      <w:color w:val="000000"/>
      <w:szCs w:val="22"/>
      <w:lang w:eastAsia="de-DE" w:bidi="en-US"/>
    </w:rPr>
  </w:style>
  <w:style w:type="table" w:styleId="TableGrid">
    <w:name w:val="Table Grid"/>
    <w:basedOn w:val="TableNormal"/>
    <w:uiPriority w:val="59"/>
    <w:rsid w:val="00483686"/>
    <w:pPr>
      <w:spacing w:line="260" w:lineRule="atLeast"/>
      <w:jc w:val="both"/>
    </w:pPr>
    <w:rPr>
      <w:rFonts w:ascii="Palatino Linotype" w:hAnsi="Palatino Linotype" w:cs="Calibri"/>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83686"/>
    <w:rPr>
      <w:rFonts w:eastAsia="Times New Roman"/>
      <w:b/>
      <w:bCs/>
      <w:sz w:val="36"/>
      <w:szCs w:val="36"/>
      <w:lang w:val="ru-RU" w:eastAsia="ru-RU"/>
    </w:rPr>
  </w:style>
  <w:style w:type="paragraph" w:styleId="HTMLPreformatted">
    <w:name w:val="HTML Preformatted"/>
    <w:basedOn w:val="Normal"/>
    <w:link w:val="HTMLPreformattedChar"/>
    <w:uiPriority w:val="99"/>
    <w:unhideWhenUsed/>
    <w:rsid w:val="004836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ru-RU" w:eastAsia="ru-RU"/>
    </w:rPr>
  </w:style>
  <w:style w:type="character" w:customStyle="1" w:styleId="HTMLPreformattedChar">
    <w:name w:val="HTML Preformatted Char"/>
    <w:basedOn w:val="DefaultParagraphFont"/>
    <w:link w:val="HTMLPreformatted"/>
    <w:uiPriority w:val="99"/>
    <w:rsid w:val="00483686"/>
    <w:rPr>
      <w:rFonts w:ascii="Courier New" w:eastAsia="Times New Roman" w:hAnsi="Courier New" w:cs="Courier New"/>
      <w:lang w:val="ru-RU" w:eastAsia="ru-RU"/>
    </w:rPr>
  </w:style>
  <w:style w:type="paragraph" w:styleId="NormalWeb">
    <w:name w:val="Normal (Web)"/>
    <w:basedOn w:val="Normal"/>
    <w:uiPriority w:val="99"/>
    <w:semiHidden/>
    <w:unhideWhenUsed/>
    <w:rsid w:val="00483686"/>
    <w:pPr>
      <w:widowControl/>
      <w:spacing w:line="260" w:lineRule="atLeast"/>
      <w:jc w:val="both"/>
    </w:pPr>
    <w:rPr>
      <w:rFonts w:ascii="Palatino Linotype" w:hAnsi="Palatino Linotype"/>
      <w:noProof/>
      <w:color w:val="000000"/>
      <w:szCs w:val="24"/>
      <w:lang w:val="en-US" w:eastAsia="zh-CN"/>
    </w:rPr>
  </w:style>
  <w:style w:type="character" w:customStyle="1" w:styleId="FootnoteTextChar">
    <w:name w:val="Footnote Text Char"/>
    <w:basedOn w:val="DefaultParagraphFont"/>
    <w:link w:val="FootnoteText"/>
    <w:uiPriority w:val="99"/>
    <w:semiHidden/>
    <w:rsid w:val="00483686"/>
    <w:rPr>
      <w:rFonts w:ascii="Univers" w:hAnsi="Univers"/>
      <w:lang w:val="en-GB"/>
    </w:rPr>
  </w:style>
  <w:style w:type="character" w:customStyle="1" w:styleId="HeaderChar">
    <w:name w:val="Header Char"/>
    <w:basedOn w:val="DefaultParagraphFont"/>
    <w:link w:val="Header"/>
    <w:uiPriority w:val="99"/>
    <w:semiHidden/>
    <w:rsid w:val="00483686"/>
    <w:rPr>
      <w:i/>
      <w:noProof/>
      <w:sz w:val="16"/>
    </w:rPr>
  </w:style>
  <w:style w:type="character" w:customStyle="1" w:styleId="FooterChar">
    <w:name w:val="Footer Char"/>
    <w:basedOn w:val="DefaultParagraphFont"/>
    <w:link w:val="Footer"/>
    <w:uiPriority w:val="99"/>
    <w:semiHidden/>
    <w:rsid w:val="00483686"/>
    <w:rPr>
      <w:noProof/>
      <w:sz w:val="16"/>
    </w:rPr>
  </w:style>
  <w:style w:type="paragraph" w:styleId="EndnoteText">
    <w:name w:val="endnote text"/>
    <w:basedOn w:val="Normal"/>
    <w:link w:val="EndnoteTextChar"/>
    <w:uiPriority w:val="99"/>
    <w:semiHidden/>
    <w:unhideWhenUsed/>
    <w:rsid w:val="00483686"/>
    <w:pPr>
      <w:widowControl/>
      <w:jc w:val="both"/>
    </w:pPr>
    <w:rPr>
      <w:rFonts w:ascii="Palatino Linotype" w:hAnsi="Palatino Linotype"/>
      <w:noProof/>
      <w:color w:val="000000"/>
      <w:lang w:val="en-US" w:eastAsia="zh-CN"/>
    </w:rPr>
  </w:style>
  <w:style w:type="character" w:customStyle="1" w:styleId="EndnoteTextChar">
    <w:name w:val="Endnote Text Char"/>
    <w:basedOn w:val="DefaultParagraphFont"/>
    <w:link w:val="EndnoteText"/>
    <w:uiPriority w:val="99"/>
    <w:semiHidden/>
    <w:rsid w:val="00483686"/>
    <w:rPr>
      <w:rFonts w:ascii="Palatino Linotype" w:hAnsi="Palatino Linotype"/>
      <w:noProof/>
      <w:color w:val="000000"/>
      <w:lang w:eastAsia="zh-CN"/>
    </w:rPr>
  </w:style>
  <w:style w:type="paragraph" w:styleId="BodyText">
    <w:name w:val="Body Text"/>
    <w:link w:val="BodyTextChar"/>
    <w:uiPriority w:val="1"/>
    <w:semiHidden/>
    <w:unhideWhenUsed/>
    <w:qFormat/>
    <w:rsid w:val="00483686"/>
    <w:pPr>
      <w:spacing w:after="120" w:line="340" w:lineRule="atLeast"/>
      <w:jc w:val="both"/>
    </w:pPr>
    <w:rPr>
      <w:rFonts w:ascii="Palatino Linotype" w:hAnsi="Palatino Linotype"/>
      <w:color w:val="000000"/>
      <w:sz w:val="24"/>
      <w:lang w:eastAsia="de-DE"/>
    </w:rPr>
  </w:style>
  <w:style w:type="character" w:customStyle="1" w:styleId="BodyTextChar">
    <w:name w:val="Body Text Char"/>
    <w:basedOn w:val="DefaultParagraphFont"/>
    <w:link w:val="BodyText"/>
    <w:uiPriority w:val="1"/>
    <w:semiHidden/>
    <w:rsid w:val="00483686"/>
    <w:rPr>
      <w:rFonts w:ascii="Palatino Linotype" w:hAnsi="Palatino Linotype"/>
      <w:color w:val="000000"/>
      <w:sz w:val="24"/>
      <w:lang w:eastAsia="de-DE"/>
    </w:rPr>
  </w:style>
  <w:style w:type="character" w:customStyle="1" w:styleId="CommentSubjectChar1">
    <w:name w:val="Comment Subject Char1"/>
    <w:basedOn w:val="CommentTextChar1"/>
    <w:link w:val="CommentSubject"/>
    <w:uiPriority w:val="99"/>
    <w:semiHidden/>
    <w:rsid w:val="00483686"/>
    <w:rPr>
      <w:b/>
      <w:bCs/>
      <w:lang w:val="en-GB"/>
    </w:rPr>
  </w:style>
  <w:style w:type="character" w:customStyle="1" w:styleId="BalloonTextChar1">
    <w:name w:val="Balloon Text Char1"/>
    <w:basedOn w:val="DefaultParagraphFont"/>
    <w:link w:val="BalloonText"/>
    <w:uiPriority w:val="99"/>
    <w:rsid w:val="00483686"/>
    <w:rPr>
      <w:rFonts w:ascii="Tahoma" w:hAnsi="Tahoma" w:cs="Tahoma"/>
      <w:sz w:val="16"/>
      <w:szCs w:val="16"/>
      <w:lang w:val="en-GB"/>
    </w:rPr>
  </w:style>
  <w:style w:type="paragraph" w:styleId="Revision">
    <w:name w:val="Revision"/>
    <w:uiPriority w:val="99"/>
    <w:semiHidden/>
    <w:rsid w:val="00483686"/>
    <w:rPr>
      <w:rFonts w:ascii="Palatino Linotype" w:hAnsi="Palatino Linotype"/>
      <w:noProof/>
      <w:color w:val="000000"/>
      <w:lang w:eastAsia="zh-CN"/>
    </w:rPr>
  </w:style>
  <w:style w:type="paragraph" w:styleId="ListParagraph">
    <w:name w:val="List Paragraph"/>
    <w:basedOn w:val="Normal"/>
    <w:uiPriority w:val="34"/>
    <w:qFormat/>
    <w:rsid w:val="00483686"/>
    <w:pPr>
      <w:widowControl/>
      <w:spacing w:after="200" w:line="276" w:lineRule="auto"/>
      <w:ind w:left="720"/>
      <w:contextualSpacing/>
    </w:pPr>
    <w:rPr>
      <w:rFonts w:eastAsiaTheme="minorHAnsi" w:cstheme="minorBidi"/>
      <w:sz w:val="24"/>
      <w:szCs w:val="22"/>
      <w:lang w:val="ru-RU"/>
    </w:rPr>
  </w:style>
  <w:style w:type="paragraph" w:styleId="Bibliography">
    <w:name w:val="Bibliography"/>
    <w:basedOn w:val="Normal"/>
    <w:next w:val="Normal"/>
    <w:uiPriority w:val="37"/>
    <w:semiHidden/>
    <w:unhideWhenUsed/>
    <w:rsid w:val="00483686"/>
    <w:pPr>
      <w:widowControl/>
      <w:spacing w:line="260" w:lineRule="atLeast"/>
      <w:jc w:val="both"/>
    </w:pPr>
    <w:rPr>
      <w:rFonts w:ascii="Palatino Linotype" w:hAnsi="Palatino Linotype"/>
      <w:noProof/>
      <w:color w:val="000000"/>
      <w:lang w:val="en-US" w:eastAsia="zh-CN"/>
    </w:rPr>
  </w:style>
  <w:style w:type="paragraph" w:customStyle="1" w:styleId="MDPI11articletype">
    <w:name w:val="MDPI_1.1_article_type"/>
    <w:next w:val="Normal"/>
    <w:uiPriority w:val="99"/>
    <w:qFormat/>
    <w:rsid w:val="00483686"/>
    <w:pPr>
      <w:adjustRightInd w:val="0"/>
      <w:snapToGrid w:val="0"/>
      <w:spacing w:before="240"/>
    </w:pPr>
    <w:rPr>
      <w:rFonts w:ascii="Palatino Linotype" w:eastAsia="Times New Roman" w:hAnsi="Palatino Linotype"/>
      <w:i/>
      <w:color w:val="000000"/>
      <w:szCs w:val="22"/>
      <w:lang w:eastAsia="de-DE" w:bidi="en-US"/>
    </w:rPr>
  </w:style>
  <w:style w:type="paragraph" w:customStyle="1" w:styleId="MDPI14history">
    <w:name w:val="MDPI_1.4_history"/>
    <w:basedOn w:val="Normal"/>
    <w:next w:val="Normal"/>
    <w:uiPriority w:val="99"/>
    <w:qFormat/>
    <w:rsid w:val="00483686"/>
    <w:pPr>
      <w:widowControl/>
      <w:adjustRightInd w:val="0"/>
      <w:snapToGrid w:val="0"/>
      <w:spacing w:line="240" w:lineRule="atLeast"/>
      <w:ind w:right="113"/>
    </w:pPr>
    <w:rPr>
      <w:rFonts w:ascii="Palatino Linotype" w:eastAsia="Times New Roman" w:hAnsi="Palatino Linotype"/>
      <w:color w:val="000000"/>
      <w:sz w:val="14"/>
      <w:lang w:val="en-US" w:eastAsia="de-DE" w:bidi="en-US"/>
    </w:rPr>
  </w:style>
  <w:style w:type="paragraph" w:customStyle="1" w:styleId="MDPI19line">
    <w:name w:val="MDPI_1.9_line"/>
    <w:uiPriority w:val="99"/>
    <w:qFormat/>
    <w:rsid w:val="0048368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customStyle="1" w:styleId="MDPIheaderjournallogo">
    <w:name w:val="MDPI_header_journal_logo"/>
    <w:uiPriority w:val="99"/>
    <w:qFormat/>
    <w:rsid w:val="0048368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3textspaceafter">
    <w:name w:val="MDPI_3.3_text_space_after"/>
    <w:uiPriority w:val="99"/>
    <w:qFormat/>
    <w:rsid w:val="00483686"/>
    <w:pPr>
      <w:adjustRightInd w:val="0"/>
      <w:snapToGrid w:val="0"/>
      <w:spacing w:after="240" w:line="228" w:lineRule="auto"/>
      <w:ind w:left="2608"/>
      <w:jc w:val="both"/>
    </w:pPr>
    <w:rPr>
      <w:rFonts w:ascii="Palatino Linotype" w:eastAsia="Times New Roman" w:hAnsi="Palatino Linotype"/>
      <w:color w:val="000000"/>
      <w:szCs w:val="22"/>
      <w:lang w:eastAsia="de-DE" w:bidi="en-US"/>
    </w:rPr>
  </w:style>
  <w:style w:type="paragraph" w:customStyle="1" w:styleId="MDPI34textspacebefore">
    <w:name w:val="MDPI_3.4_text_space_before"/>
    <w:uiPriority w:val="99"/>
    <w:qFormat/>
    <w:rsid w:val="00483686"/>
    <w:pPr>
      <w:adjustRightInd w:val="0"/>
      <w:snapToGrid w:val="0"/>
      <w:spacing w:before="240" w:line="228" w:lineRule="auto"/>
      <w:ind w:left="2608"/>
      <w:jc w:val="both"/>
    </w:pPr>
    <w:rPr>
      <w:rFonts w:ascii="Palatino Linotype" w:eastAsia="Times New Roman" w:hAnsi="Palatino Linotype"/>
      <w:color w:val="000000"/>
      <w:szCs w:val="22"/>
      <w:lang w:eastAsia="de-DE" w:bidi="en-US"/>
    </w:rPr>
  </w:style>
  <w:style w:type="paragraph" w:customStyle="1" w:styleId="MDPI35textbeforelist">
    <w:name w:val="MDPI_3.5_text_before_list"/>
    <w:uiPriority w:val="99"/>
    <w:qFormat/>
    <w:rsid w:val="00483686"/>
    <w:pPr>
      <w:adjustRightInd w:val="0"/>
      <w:snapToGrid w:val="0"/>
      <w:spacing w:line="228" w:lineRule="auto"/>
      <w:ind w:left="2608" w:firstLine="425"/>
      <w:jc w:val="both"/>
    </w:pPr>
    <w:rPr>
      <w:rFonts w:ascii="Palatino Linotype" w:eastAsia="Times New Roman" w:hAnsi="Palatino Linotype"/>
      <w:color w:val="000000"/>
      <w:szCs w:val="22"/>
      <w:lang w:eastAsia="de-DE" w:bidi="en-US"/>
    </w:rPr>
  </w:style>
  <w:style w:type="paragraph" w:customStyle="1" w:styleId="MDPI36textafterlist">
    <w:name w:val="MDPI_3.6_text_after_list"/>
    <w:uiPriority w:val="99"/>
    <w:qFormat/>
    <w:rsid w:val="00483686"/>
    <w:pPr>
      <w:adjustRightInd w:val="0"/>
      <w:snapToGrid w:val="0"/>
      <w:spacing w:before="120" w:line="228" w:lineRule="auto"/>
      <w:ind w:left="2608"/>
      <w:jc w:val="both"/>
    </w:pPr>
    <w:rPr>
      <w:rFonts w:ascii="Palatino Linotype" w:eastAsia="Times New Roman" w:hAnsi="Palatino Linotype"/>
      <w:color w:val="000000"/>
      <w:szCs w:val="22"/>
      <w:lang w:eastAsia="de-DE" w:bidi="en-US"/>
    </w:rPr>
  </w:style>
  <w:style w:type="paragraph" w:customStyle="1" w:styleId="MDPI37itemize">
    <w:name w:val="MDPI_3.7_itemize"/>
    <w:uiPriority w:val="99"/>
    <w:qFormat/>
    <w:rsid w:val="00483686"/>
    <w:pPr>
      <w:numPr>
        <w:numId w:val="3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uiPriority w:val="99"/>
    <w:qFormat/>
    <w:rsid w:val="00483686"/>
    <w:pPr>
      <w:numPr>
        <w:numId w:val="3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uiPriority w:val="99"/>
    <w:qFormat/>
    <w:rsid w:val="00483686"/>
    <w:pPr>
      <w:adjustRightInd w:val="0"/>
      <w:snapToGrid w:val="0"/>
      <w:spacing w:before="120" w:after="120" w:line="260" w:lineRule="atLeast"/>
      <w:ind w:left="709"/>
      <w:jc w:val="center"/>
    </w:pPr>
    <w:rPr>
      <w:rFonts w:ascii="Palatino Linotype" w:eastAsia="Times New Roman" w:hAnsi="Palatino Linotype"/>
      <w:color w:val="000000"/>
      <w:szCs w:val="22"/>
      <w:lang w:eastAsia="de-DE" w:bidi="en-US"/>
    </w:rPr>
  </w:style>
  <w:style w:type="paragraph" w:customStyle="1" w:styleId="MDPI3aequationnumber">
    <w:name w:val="MDPI_3.a_equation_number"/>
    <w:uiPriority w:val="99"/>
    <w:qFormat/>
    <w:rsid w:val="00483686"/>
    <w:pPr>
      <w:snapToGrid w:val="0"/>
      <w:spacing w:before="120" w:after="120"/>
      <w:jc w:val="right"/>
    </w:pPr>
    <w:rPr>
      <w:rFonts w:ascii="Palatino Linotype" w:eastAsia="Times New Roman" w:hAnsi="Palatino Linotype"/>
      <w:color w:val="000000"/>
      <w:szCs w:val="22"/>
      <w:lang w:eastAsia="de-DE" w:bidi="en-US"/>
    </w:rPr>
  </w:style>
  <w:style w:type="paragraph" w:customStyle="1" w:styleId="MDPI41tablecaption">
    <w:name w:val="MDPI_4.1_table_caption"/>
    <w:uiPriority w:val="99"/>
    <w:qFormat/>
    <w:rsid w:val="00483686"/>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3tablefooter">
    <w:name w:val="MDPI_4.3_table_footer"/>
    <w:next w:val="MDPI31text"/>
    <w:uiPriority w:val="99"/>
    <w:qFormat/>
    <w:rsid w:val="00483686"/>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uiPriority w:val="99"/>
    <w:qFormat/>
    <w:rsid w:val="00483686"/>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uiPriority w:val="99"/>
    <w:qFormat/>
    <w:rsid w:val="00483686"/>
    <w:pPr>
      <w:adjustRightInd w:val="0"/>
      <w:snapToGrid w:val="0"/>
      <w:spacing w:before="240" w:after="120"/>
      <w:jc w:val="center"/>
    </w:pPr>
    <w:rPr>
      <w:rFonts w:ascii="Palatino Linotype" w:eastAsia="Times New Roman" w:hAnsi="Palatino Linotype"/>
      <w:color w:val="000000"/>
      <w:lang w:eastAsia="de-DE" w:bidi="en-US"/>
    </w:rPr>
  </w:style>
  <w:style w:type="paragraph" w:customStyle="1" w:styleId="MDPI81theorem">
    <w:name w:val="MDPI_8.1_theorem"/>
    <w:uiPriority w:val="99"/>
    <w:qFormat/>
    <w:rsid w:val="00483686"/>
    <w:pPr>
      <w:adjustRightInd w:val="0"/>
      <w:snapToGrid w:val="0"/>
      <w:spacing w:line="228" w:lineRule="auto"/>
      <w:ind w:left="2608"/>
      <w:jc w:val="both"/>
    </w:pPr>
    <w:rPr>
      <w:rFonts w:ascii="Palatino Linotype" w:eastAsia="Times New Roman" w:hAnsi="Palatino Linotype"/>
      <w:i/>
      <w:color w:val="000000"/>
      <w:szCs w:val="22"/>
      <w:lang w:eastAsia="de-DE" w:bidi="en-US"/>
    </w:rPr>
  </w:style>
  <w:style w:type="paragraph" w:customStyle="1" w:styleId="MDPI82proof">
    <w:name w:val="MDPI_8.2_proof"/>
    <w:uiPriority w:val="99"/>
    <w:qFormat/>
    <w:rsid w:val="00483686"/>
    <w:pPr>
      <w:adjustRightInd w:val="0"/>
      <w:snapToGrid w:val="0"/>
      <w:spacing w:line="228" w:lineRule="auto"/>
      <w:ind w:left="2608"/>
      <w:jc w:val="both"/>
    </w:pPr>
    <w:rPr>
      <w:rFonts w:ascii="Palatino Linotype" w:eastAsia="Times New Roman" w:hAnsi="Palatino Linotype"/>
      <w:color w:val="000000"/>
      <w:szCs w:val="22"/>
      <w:lang w:eastAsia="de-DE" w:bidi="en-US"/>
    </w:rPr>
  </w:style>
  <w:style w:type="paragraph" w:customStyle="1" w:styleId="MDPIfooterfirstpage">
    <w:name w:val="MDPI_footer_firstpage"/>
    <w:uiPriority w:val="99"/>
    <w:qFormat/>
    <w:rsid w:val="00483686"/>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uiPriority w:val="99"/>
    <w:qFormat/>
    <w:rsid w:val="00483686"/>
    <w:pPr>
      <w:adjustRightInd w:val="0"/>
      <w:snapToGrid w:val="0"/>
      <w:spacing w:before="60" w:after="60" w:line="228" w:lineRule="auto"/>
      <w:ind w:left="2608"/>
      <w:outlineLvl w:val="2"/>
    </w:pPr>
    <w:rPr>
      <w:rFonts w:ascii="Palatino Linotype" w:eastAsia="Times New Roman" w:hAnsi="Palatino Linotype"/>
      <w:color w:val="000000"/>
      <w:szCs w:val="22"/>
      <w:lang w:eastAsia="de-DE" w:bidi="en-US"/>
    </w:rPr>
  </w:style>
  <w:style w:type="paragraph" w:customStyle="1" w:styleId="MDPI71References">
    <w:name w:val="MDPI_7.1_References"/>
    <w:uiPriority w:val="99"/>
    <w:qFormat/>
    <w:rsid w:val="00483686"/>
    <w:pPr>
      <w:numPr>
        <w:numId w:val="34"/>
      </w:numPr>
      <w:adjustRightInd w:val="0"/>
      <w:snapToGrid w:val="0"/>
      <w:spacing w:line="228" w:lineRule="auto"/>
      <w:jc w:val="both"/>
    </w:pPr>
    <w:rPr>
      <w:rFonts w:ascii="Palatino Linotype" w:eastAsia="Times New Roman" w:hAnsi="Palatino Linotype"/>
      <w:color w:val="000000"/>
      <w:sz w:val="18"/>
      <w:lang w:eastAsia="de-DE" w:bidi="en-US"/>
    </w:rPr>
  </w:style>
  <w:style w:type="paragraph" w:customStyle="1" w:styleId="MDPI61Citation">
    <w:name w:val="MDPI_6.1_Citation"/>
    <w:uiPriority w:val="99"/>
    <w:qFormat/>
    <w:rsid w:val="00483686"/>
    <w:pPr>
      <w:adjustRightInd w:val="0"/>
      <w:snapToGrid w:val="0"/>
      <w:spacing w:line="240" w:lineRule="atLeast"/>
      <w:ind w:right="113"/>
    </w:pPr>
    <w:rPr>
      <w:rFonts w:ascii="Palatino Linotype" w:hAnsi="Palatino Linotype" w:cs="Cordia New"/>
      <w:sz w:val="14"/>
      <w:szCs w:val="22"/>
      <w:lang w:eastAsia="zh-CN"/>
    </w:rPr>
  </w:style>
  <w:style w:type="paragraph" w:customStyle="1" w:styleId="MDPI62BackMatter">
    <w:name w:val="MDPI_6.2_BackMatter"/>
    <w:uiPriority w:val="99"/>
    <w:qFormat/>
    <w:rsid w:val="00483686"/>
    <w:pPr>
      <w:adjustRightInd w:val="0"/>
      <w:snapToGrid w:val="0"/>
      <w:spacing w:after="120" w:line="228" w:lineRule="auto"/>
      <w:ind w:left="2608"/>
      <w:jc w:val="both"/>
    </w:pPr>
    <w:rPr>
      <w:rFonts w:ascii="Palatino Linotype" w:eastAsia="Times New Roman" w:hAnsi="Palatino Linotype"/>
      <w:color w:val="000000"/>
      <w:sz w:val="18"/>
      <w:lang w:bidi="en-US"/>
    </w:rPr>
  </w:style>
  <w:style w:type="paragraph" w:customStyle="1" w:styleId="MDPI63Notes">
    <w:name w:val="MDPI_6.3_Notes"/>
    <w:uiPriority w:val="99"/>
    <w:qFormat/>
    <w:rsid w:val="00483686"/>
    <w:pPr>
      <w:adjustRightInd w:val="0"/>
      <w:snapToGrid w:val="0"/>
      <w:spacing w:after="120" w:line="240" w:lineRule="atLeast"/>
      <w:ind w:right="113"/>
    </w:pPr>
    <w:rPr>
      <w:rFonts w:ascii="Palatino Linotype" w:hAnsi="Palatino Linotype"/>
      <w:color w:val="000000"/>
      <w:sz w:val="14"/>
      <w:lang w:bidi="en-US"/>
    </w:rPr>
  </w:style>
  <w:style w:type="paragraph" w:customStyle="1" w:styleId="MDPI15academiceditor">
    <w:name w:val="MDPI_1.5_academic_editor"/>
    <w:uiPriority w:val="99"/>
    <w:qFormat/>
    <w:rsid w:val="00483686"/>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uiPriority w:val="99"/>
    <w:qFormat/>
    <w:rsid w:val="0048368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uiPriority w:val="99"/>
    <w:qFormat/>
    <w:rsid w:val="00483686"/>
    <w:pPr>
      <w:adjustRightInd w:val="0"/>
      <w:snapToGrid w:val="0"/>
      <w:spacing w:before="240" w:after="120" w:line="260" w:lineRule="atLeast"/>
      <w:jc w:val="center"/>
    </w:pPr>
    <w:rPr>
      <w:rFonts w:ascii="Palatino Linotype" w:hAnsi="Palatino Linotype" w:cs="Cordia New"/>
      <w:noProof/>
      <w:color w:val="000000"/>
      <w:sz w:val="18"/>
      <w:szCs w:val="22"/>
      <w:lang w:eastAsia="zh-CN" w:bidi="en-US"/>
    </w:rPr>
  </w:style>
  <w:style w:type="paragraph" w:customStyle="1" w:styleId="MDPI511onefigurecaption">
    <w:name w:val="MDPI_5.1.1_one_figure_caption"/>
    <w:uiPriority w:val="99"/>
    <w:qFormat/>
    <w:rsid w:val="00483686"/>
    <w:pPr>
      <w:adjustRightInd w:val="0"/>
      <w:snapToGrid w:val="0"/>
      <w:spacing w:before="240" w:after="120" w:line="260" w:lineRule="atLeast"/>
      <w:jc w:val="center"/>
    </w:pPr>
    <w:rPr>
      <w:rFonts w:ascii="Palatino Linotype" w:hAnsi="Palatino Linotype"/>
      <w:noProof/>
      <w:color w:val="000000"/>
      <w:sz w:val="18"/>
      <w:lang w:eastAsia="zh-CN" w:bidi="en-US"/>
    </w:rPr>
  </w:style>
  <w:style w:type="paragraph" w:customStyle="1" w:styleId="MDPI72Copyright">
    <w:name w:val="MDPI_7.2_Copyright"/>
    <w:uiPriority w:val="99"/>
    <w:qFormat/>
    <w:rsid w:val="00483686"/>
    <w:pPr>
      <w:adjustRightInd w:val="0"/>
      <w:snapToGrid w:val="0"/>
      <w:spacing w:before="240" w:line="240" w:lineRule="atLeast"/>
      <w:ind w:right="113"/>
    </w:pPr>
    <w:rPr>
      <w:rFonts w:ascii="Palatino Linotype" w:eastAsia="Times New Roman" w:hAnsi="Palatino Linotype"/>
      <w:noProof/>
      <w:color w:val="000000"/>
      <w:spacing w:val="-2"/>
      <w:sz w:val="14"/>
      <w:lang w:val="en-GB" w:eastAsia="en-GB"/>
    </w:rPr>
  </w:style>
  <w:style w:type="paragraph" w:customStyle="1" w:styleId="MDPI73CopyrightImage">
    <w:name w:val="MDPI_7.3_CopyrightImage"/>
    <w:uiPriority w:val="99"/>
    <w:rsid w:val="0048368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uiPriority w:val="99"/>
    <w:qFormat/>
    <w:rsid w:val="00483686"/>
    <w:pPr>
      <w:adjustRightInd w:val="0"/>
      <w:snapToGrid w:val="0"/>
      <w:spacing w:before="120" w:after="120"/>
      <w:jc w:val="center"/>
    </w:pPr>
    <w:rPr>
      <w:rFonts w:ascii="Palatino Linotype" w:eastAsia="Times New Roman" w:hAnsi="Palatino Linotype"/>
      <w:color w:val="000000"/>
      <w:szCs w:val="22"/>
      <w:lang w:eastAsia="de-DE" w:bidi="en-US"/>
    </w:rPr>
  </w:style>
  <w:style w:type="paragraph" w:customStyle="1" w:styleId="MDPIfooter">
    <w:name w:val="MDPI_footer"/>
    <w:uiPriority w:val="99"/>
    <w:qFormat/>
    <w:rsid w:val="0048368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uiPriority w:val="99"/>
    <w:qFormat/>
    <w:rsid w:val="0048368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uiPriority w:val="99"/>
    <w:rsid w:val="00483686"/>
    <w:pPr>
      <w:snapToGrid w:val="0"/>
      <w:spacing w:after="240"/>
    </w:pPr>
    <w:rPr>
      <w:rFonts w:ascii="Palatino Linotype" w:eastAsia="Times New Roman" w:hAnsi="Palatino Linotype"/>
      <w:color w:val="000000"/>
      <w:sz w:val="18"/>
      <w:lang w:eastAsia="de-DE" w:bidi="en-US"/>
    </w:rPr>
  </w:style>
  <w:style w:type="paragraph" w:customStyle="1" w:styleId="MDPIheadermdpilogo">
    <w:name w:val="MDPI_header_mdpi_logo"/>
    <w:uiPriority w:val="99"/>
    <w:qFormat/>
    <w:rsid w:val="00483686"/>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uiPriority w:val="99"/>
    <w:qFormat/>
    <w:rsid w:val="00483686"/>
    <w:pPr>
      <w:snapToGrid w:val="0"/>
      <w:spacing w:line="260" w:lineRule="atLeast"/>
      <w:ind w:left="425" w:right="425" w:firstLine="284"/>
      <w:jc w:val="both"/>
    </w:pPr>
    <w:rPr>
      <w:rFonts w:eastAsia="Times New Roman"/>
      <w:noProof/>
      <w:color w:val="000000"/>
      <w:sz w:val="22"/>
      <w:szCs w:val="22"/>
      <w:lang w:eastAsia="de-DE" w:bidi="en-US"/>
    </w:rPr>
  </w:style>
  <w:style w:type="paragraph" w:customStyle="1" w:styleId="MDPItitle">
    <w:name w:val="MDPI_title"/>
    <w:uiPriority w:val="99"/>
    <w:qFormat/>
    <w:rsid w:val="00483686"/>
    <w:pPr>
      <w:adjustRightInd w:val="0"/>
      <w:snapToGrid w:val="0"/>
      <w:spacing w:after="240" w:line="260" w:lineRule="atLeast"/>
      <w:jc w:val="both"/>
    </w:pPr>
    <w:rPr>
      <w:rFonts w:ascii="Palatino Linotype" w:eastAsia="Times New Roman" w:hAnsi="Palatino Linotype"/>
      <w:b/>
      <w:color w:val="000000"/>
      <w:sz w:val="36"/>
      <w:lang w:eastAsia="de-DE" w:bidi="en-US"/>
    </w:rPr>
  </w:style>
  <w:style w:type="paragraph" w:customStyle="1" w:styleId="MsoFootnoteText0">
    <w:name w:val="MsoFootnoteText"/>
    <w:basedOn w:val="NormalWeb"/>
    <w:uiPriority w:val="99"/>
    <w:qFormat/>
    <w:rsid w:val="00483686"/>
    <w:rPr>
      <w:rFonts w:ascii="Times New Roman" w:hAnsi="Times New Roman"/>
    </w:rPr>
  </w:style>
  <w:style w:type="paragraph" w:customStyle="1" w:styleId="MDPI71FootNotes">
    <w:name w:val="MDPI_7.1_FootNotes"/>
    <w:uiPriority w:val="99"/>
    <w:qFormat/>
    <w:rsid w:val="00483686"/>
    <w:pPr>
      <w:numPr>
        <w:numId w:val="36"/>
      </w:numPr>
      <w:adjustRightInd w:val="0"/>
      <w:snapToGrid w:val="0"/>
      <w:spacing w:line="228" w:lineRule="auto"/>
    </w:pPr>
    <w:rPr>
      <w:rFonts w:ascii="Palatino Linotype" w:eastAsiaTheme="minorEastAsia" w:hAnsi="Palatino Linotype"/>
      <w:noProof/>
      <w:color w:val="000000"/>
      <w:sz w:val="18"/>
      <w:lang w:eastAsia="zh-CN"/>
    </w:rPr>
  </w:style>
  <w:style w:type="character" w:styleId="LineNumber">
    <w:name w:val="line number"/>
    <w:uiPriority w:val="99"/>
    <w:semiHidden/>
    <w:unhideWhenUsed/>
    <w:rsid w:val="00483686"/>
    <w:rPr>
      <w:rFonts w:ascii="Palatino Linotype" w:hAnsi="Palatino Linotype" w:hint="default"/>
      <w:sz w:val="16"/>
    </w:rPr>
  </w:style>
  <w:style w:type="character" w:styleId="PlaceholderText">
    <w:name w:val="Placeholder Text"/>
    <w:uiPriority w:val="99"/>
    <w:semiHidden/>
    <w:rsid w:val="00483686"/>
    <w:rPr>
      <w:color w:val="808080"/>
    </w:rPr>
  </w:style>
  <w:style w:type="character" w:customStyle="1" w:styleId="1">
    <w:name w:val="Неразрешенное упоминание1"/>
    <w:uiPriority w:val="99"/>
    <w:semiHidden/>
    <w:rsid w:val="00483686"/>
    <w:rPr>
      <w:color w:val="605E5C"/>
      <w:shd w:val="clear" w:color="auto" w:fill="E1DFDD"/>
    </w:rPr>
  </w:style>
  <w:style w:type="character" w:customStyle="1" w:styleId="apple-converted-space">
    <w:name w:val="apple-converted-space"/>
    <w:rsid w:val="00483686"/>
  </w:style>
  <w:style w:type="character" w:customStyle="1" w:styleId="HTML1">
    <w:name w:val="Стандартный HTML Знак1"/>
    <w:basedOn w:val="DefaultParagraphFont"/>
    <w:uiPriority w:val="99"/>
    <w:semiHidden/>
    <w:rsid w:val="00483686"/>
    <w:rPr>
      <w:rFonts w:ascii="Consolas" w:hAnsi="Consolas" w:cs="Consolas" w:hint="default"/>
      <w:noProof/>
      <w:color w:val="000000"/>
    </w:rPr>
  </w:style>
  <w:style w:type="character" w:customStyle="1" w:styleId="kgnlhe">
    <w:name w:val="kgnlhe"/>
    <w:basedOn w:val="DefaultParagraphFont"/>
    <w:rsid w:val="00483686"/>
  </w:style>
  <w:style w:type="table" w:customStyle="1" w:styleId="Mdeck5tablebodythreelines">
    <w:name w:val="M_deck_5_table_body_three_lines"/>
    <w:basedOn w:val="TableNormal"/>
    <w:uiPriority w:val="99"/>
    <w:rsid w:val="00483686"/>
    <w:pPr>
      <w:adjustRightInd w:val="0"/>
      <w:snapToGrid w:val="0"/>
      <w:spacing w:line="300" w:lineRule="exact"/>
      <w:jc w:val="center"/>
    </w:pPr>
    <w:rPr>
      <w:lang w:val="de-DE" w:eastAsia="de-DE"/>
    </w:rPr>
    <w:tblPr>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rsid w:val="00483686"/>
    <w:pPr>
      <w:adjustRightInd w:val="0"/>
      <w:snapToGrid w:val="0"/>
      <w:jc w:val="center"/>
    </w:pPr>
    <w:rPr>
      <w:rFonts w:ascii="Palatino Linotype" w:hAnsi="Palatino Linotype" w:cs="Calibri"/>
      <w:color w:val="000000"/>
      <w:lang w:eastAsia="zh-CN"/>
    </w:rPr>
    <w:tblPr>
      <w:tblBorders>
        <w:top w:val="single" w:sz="8" w:space="0" w:color="auto"/>
        <w:bottom w:val="single" w:sz="8" w:space="0" w:color="auto"/>
      </w:tblBorders>
    </w:tblPr>
    <w:tcPr>
      <w:vAlign w:val="center"/>
    </w:tcPr>
    <w:tblStylePr w:type="firstRow">
      <w:rPr>
        <w:rFonts w:ascii="Palatino Linotype" w:hAnsi="Palatino Linotype" w:hint="default"/>
        <w:b/>
        <w:i w:val="0"/>
        <w:sz w:val="20"/>
        <w:szCs w:val="20"/>
      </w:rPr>
      <w:tblPr/>
      <w:tcPr>
        <w:tcBorders>
          <w:bottom w:val="single" w:sz="4" w:space="0" w:color="auto"/>
        </w:tcBorders>
      </w:tcPr>
    </w:tblStylePr>
  </w:style>
  <w:style w:type="table" w:customStyle="1" w:styleId="41">
    <w:name w:val="Таблица простая 41"/>
    <w:basedOn w:val="TableNormal"/>
    <w:uiPriority w:val="44"/>
    <w:rsid w:val="00483686"/>
    <w:rPr>
      <w:rFonts w:ascii="Calibri" w:hAnsi="Calibri"/>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
    <w:name w:val="MDPI_Table"/>
    <w:basedOn w:val="TableNormal"/>
    <w:uiPriority w:val="99"/>
    <w:rsid w:val="00483686"/>
    <w:rPr>
      <w:rFonts w:ascii="Palatino Linotype" w:hAnsi="Palatino Linotype" w:cs="Calibri"/>
      <w:color w:val="000000"/>
      <w:lang w:val="en-CA"/>
    </w:rPr>
    <w:tblPr>
      <w:tblCellMar>
        <w:left w:w="0" w:type="dxa"/>
        <w:right w:w="0" w:type="dxa"/>
      </w:tblCellMar>
    </w:tblPr>
  </w:style>
  <w:style w:type="paragraph" w:customStyle="1" w:styleId="MDPI32textnoindent">
    <w:name w:val="MDPI_3.2_text_no_indent"/>
    <w:basedOn w:val="MDPI31text"/>
    <w:uiPriority w:val="99"/>
    <w:qFormat/>
    <w:rsid w:val="00483686"/>
    <w:pPr>
      <w:ind w:firstLine="0"/>
    </w:pPr>
  </w:style>
  <w:style w:type="character" w:styleId="Strong">
    <w:name w:val="Strong"/>
    <w:basedOn w:val="DefaultParagraphFont"/>
    <w:uiPriority w:val="22"/>
    <w:qFormat/>
    <w:rsid w:val="004836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124193">
      <w:bodyDiv w:val="1"/>
      <w:marLeft w:val="0"/>
      <w:marRight w:val="0"/>
      <w:marTop w:val="0"/>
      <w:marBottom w:val="0"/>
      <w:divBdr>
        <w:top w:val="none" w:sz="0" w:space="0" w:color="auto"/>
        <w:left w:val="none" w:sz="0" w:space="0" w:color="auto"/>
        <w:bottom w:val="none" w:sz="0" w:space="0" w:color="auto"/>
        <w:right w:val="none" w:sz="0" w:space="0" w:color="auto"/>
      </w:divBdr>
    </w:div>
    <w:div w:id="379668153">
      <w:bodyDiv w:val="1"/>
      <w:marLeft w:val="0"/>
      <w:marRight w:val="0"/>
      <w:marTop w:val="0"/>
      <w:marBottom w:val="0"/>
      <w:divBdr>
        <w:top w:val="none" w:sz="0" w:space="0" w:color="auto"/>
        <w:left w:val="none" w:sz="0" w:space="0" w:color="auto"/>
        <w:bottom w:val="none" w:sz="0" w:space="0" w:color="auto"/>
        <w:right w:val="none" w:sz="0" w:space="0" w:color="auto"/>
      </w:divBdr>
      <w:divsChild>
        <w:div w:id="2135978722">
          <w:marLeft w:val="0"/>
          <w:marRight w:val="0"/>
          <w:marTop w:val="0"/>
          <w:marBottom w:val="0"/>
          <w:divBdr>
            <w:top w:val="none" w:sz="0" w:space="0" w:color="auto"/>
            <w:left w:val="none" w:sz="0" w:space="0" w:color="auto"/>
            <w:bottom w:val="none" w:sz="0" w:space="0" w:color="auto"/>
            <w:right w:val="none" w:sz="0" w:space="0" w:color="auto"/>
          </w:divBdr>
        </w:div>
      </w:divsChild>
    </w:div>
    <w:div w:id="1256016495">
      <w:bodyDiv w:val="1"/>
      <w:marLeft w:val="0"/>
      <w:marRight w:val="0"/>
      <w:marTop w:val="0"/>
      <w:marBottom w:val="0"/>
      <w:divBdr>
        <w:top w:val="none" w:sz="0" w:space="0" w:color="auto"/>
        <w:left w:val="none" w:sz="0" w:space="0" w:color="auto"/>
        <w:bottom w:val="none" w:sz="0" w:space="0" w:color="auto"/>
        <w:right w:val="none" w:sz="0" w:space="0" w:color="auto"/>
      </w:divBdr>
    </w:div>
    <w:div w:id="1267343512">
      <w:bodyDiv w:val="1"/>
      <w:marLeft w:val="0"/>
      <w:marRight w:val="0"/>
      <w:marTop w:val="0"/>
      <w:marBottom w:val="0"/>
      <w:divBdr>
        <w:top w:val="none" w:sz="0" w:space="0" w:color="auto"/>
        <w:left w:val="none" w:sz="0" w:space="0" w:color="auto"/>
        <w:bottom w:val="none" w:sz="0" w:space="0" w:color="auto"/>
        <w:right w:val="none" w:sz="0" w:space="0" w:color="auto"/>
      </w:divBdr>
    </w:div>
    <w:div w:id="1299262343">
      <w:bodyDiv w:val="1"/>
      <w:marLeft w:val="0"/>
      <w:marRight w:val="0"/>
      <w:marTop w:val="0"/>
      <w:marBottom w:val="0"/>
      <w:divBdr>
        <w:top w:val="none" w:sz="0" w:space="0" w:color="auto"/>
        <w:left w:val="none" w:sz="0" w:space="0" w:color="auto"/>
        <w:bottom w:val="none" w:sz="0" w:space="0" w:color="auto"/>
        <w:right w:val="none" w:sz="0" w:space="0" w:color="auto"/>
      </w:divBdr>
    </w:div>
    <w:div w:id="1401368939">
      <w:bodyDiv w:val="1"/>
      <w:marLeft w:val="0"/>
      <w:marRight w:val="0"/>
      <w:marTop w:val="0"/>
      <w:marBottom w:val="0"/>
      <w:divBdr>
        <w:top w:val="none" w:sz="0" w:space="0" w:color="auto"/>
        <w:left w:val="none" w:sz="0" w:space="0" w:color="auto"/>
        <w:bottom w:val="none" w:sz="0" w:space="0" w:color="auto"/>
        <w:right w:val="none" w:sz="0" w:space="0" w:color="auto"/>
      </w:divBdr>
    </w:div>
    <w:div w:id="1587768811">
      <w:bodyDiv w:val="1"/>
      <w:marLeft w:val="0"/>
      <w:marRight w:val="0"/>
      <w:marTop w:val="0"/>
      <w:marBottom w:val="0"/>
      <w:divBdr>
        <w:top w:val="none" w:sz="0" w:space="0" w:color="auto"/>
        <w:left w:val="none" w:sz="0" w:space="0" w:color="auto"/>
        <w:bottom w:val="none" w:sz="0" w:space="0" w:color="auto"/>
        <w:right w:val="none" w:sz="0" w:space="0" w:color="auto"/>
      </w:divBdr>
    </w:div>
    <w:div w:id="1714227364">
      <w:bodyDiv w:val="1"/>
      <w:marLeft w:val="0"/>
      <w:marRight w:val="0"/>
      <w:marTop w:val="0"/>
      <w:marBottom w:val="0"/>
      <w:divBdr>
        <w:top w:val="none" w:sz="0" w:space="0" w:color="auto"/>
        <w:left w:val="none" w:sz="0" w:space="0" w:color="auto"/>
        <w:bottom w:val="none" w:sz="0" w:space="0" w:color="auto"/>
        <w:right w:val="none" w:sz="0" w:space="0" w:color="auto"/>
      </w:divBdr>
    </w:div>
    <w:div w:id="1719428696">
      <w:bodyDiv w:val="1"/>
      <w:marLeft w:val="0"/>
      <w:marRight w:val="0"/>
      <w:marTop w:val="0"/>
      <w:marBottom w:val="0"/>
      <w:divBdr>
        <w:top w:val="none" w:sz="0" w:space="0" w:color="auto"/>
        <w:left w:val="none" w:sz="0" w:space="0" w:color="auto"/>
        <w:bottom w:val="none" w:sz="0" w:space="0" w:color="auto"/>
        <w:right w:val="none" w:sz="0" w:space="0" w:color="auto"/>
      </w:divBdr>
      <w:divsChild>
        <w:div w:id="1972203871">
          <w:marLeft w:val="0"/>
          <w:marRight w:val="0"/>
          <w:marTop w:val="0"/>
          <w:marBottom w:val="0"/>
          <w:divBdr>
            <w:top w:val="none" w:sz="0" w:space="0" w:color="auto"/>
            <w:left w:val="none" w:sz="0" w:space="0" w:color="auto"/>
            <w:bottom w:val="none" w:sz="0" w:space="0" w:color="auto"/>
            <w:right w:val="none" w:sz="0" w:space="0" w:color="auto"/>
          </w:divBdr>
        </w:div>
      </w:divsChild>
    </w:div>
    <w:div w:id="1839886767">
      <w:bodyDiv w:val="1"/>
      <w:marLeft w:val="0"/>
      <w:marRight w:val="0"/>
      <w:marTop w:val="0"/>
      <w:marBottom w:val="0"/>
      <w:divBdr>
        <w:top w:val="none" w:sz="0" w:space="0" w:color="auto"/>
        <w:left w:val="none" w:sz="0" w:space="0" w:color="auto"/>
        <w:bottom w:val="none" w:sz="0" w:space="0" w:color="auto"/>
        <w:right w:val="none" w:sz="0" w:space="0" w:color="auto"/>
      </w:divBdr>
    </w:div>
    <w:div w:id="209087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55" Type="http://schemas.openxmlformats.org/officeDocument/2006/relationships/image" Target="media/image23.emf"/><Relationship Id="rId63"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endnotes" Target="endnotes.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image" Target="media/image25.png"/><Relationship Id="rId5" Type="http://schemas.openxmlformats.org/officeDocument/2006/relationships/customXml" Target="../customXml/item4.xml"/><Relationship Id="rId61" Type="http://schemas.openxmlformats.org/officeDocument/2006/relationships/header" Target="header1.xml"/><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1.emf"/><Relationship Id="rId3" Type="http://schemas.openxmlformats.org/officeDocument/2006/relationships/customXml" Target="../customXml/item2.xml"/><Relationship Id="rId12" Type="http://schemas.openxmlformats.org/officeDocument/2006/relationships/hyperlink" Target="mailto:volcho@nioch.nsc.ru"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png"/><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jpeg"/><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7.png"/><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FA0AC7398944A81C2B38F597E841F" ma:contentTypeVersion="14" ma:contentTypeDescription="Create a new document." ma:contentTypeScope="" ma:versionID="74a9830cd246b959e9ea5dd411d11301">
  <xsd:schema xmlns:xsd="http://www.w3.org/2001/XMLSchema" xmlns:xs="http://www.w3.org/2001/XMLSchema" xmlns:p="http://schemas.microsoft.com/office/2006/metadata/properties" xmlns:ns3="6039e5af-7712-4a96-9c49-6750862d3ad1" xmlns:ns4="c91442bd-646f-44c4-8f62-19716a08ea33" targetNamespace="http://schemas.microsoft.com/office/2006/metadata/properties" ma:root="true" ma:fieldsID="d479109c8cd944367cf0d4b52d67776b" ns3:_="" ns4:_="">
    <xsd:import namespace="6039e5af-7712-4a96-9c49-6750862d3ad1"/>
    <xsd:import namespace="c91442bd-646f-44c4-8f62-19716a08ea3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9e5af-7712-4a96-9c49-6750862d3a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1442bd-646f-44c4-8f62-19716a08e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Name.XSL" StyleName="GOST - Nam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8E59C3-CCBC-438A-8B81-08D1012F4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9e5af-7712-4a96-9c49-6750862d3ad1"/>
    <ds:schemaRef ds:uri="c91442bd-646f-44c4-8f62-19716a08e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2ECF6-2B47-4602-A940-C4920C9925AD}">
  <ds:schemaRefs>
    <ds:schemaRef ds:uri="http://schemas.openxmlformats.org/officeDocument/2006/bibliography"/>
  </ds:schemaRefs>
</ds:datastoreItem>
</file>

<file path=customXml/itemProps3.xml><?xml version="1.0" encoding="utf-8"?>
<ds:datastoreItem xmlns:ds="http://schemas.openxmlformats.org/officeDocument/2006/customXml" ds:itemID="{CEBD927B-FD5D-4C50-AABE-5DAED58D9D1E}">
  <ds:schemaRefs>
    <ds:schemaRef ds:uri="http://schemas.microsoft.com/sharepoint/v3/contenttype/forms"/>
  </ds:schemaRefs>
</ds:datastoreItem>
</file>

<file path=customXml/itemProps4.xml><?xml version="1.0" encoding="utf-8"?>
<ds:datastoreItem xmlns:ds="http://schemas.openxmlformats.org/officeDocument/2006/customXml" ds:itemID="{1A856C7E-7479-4C17-AE3C-8D61DB3E99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11</Pages>
  <Words>25505</Words>
  <Characters>145382</Characters>
  <Application>Microsoft Office Word</Application>
  <DocSecurity>0</DocSecurity>
  <Lines>1211</Lines>
  <Paragraphs>341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Article</vt:lpstr>
      <vt:lpstr>Article</vt:lpstr>
    </vt:vector>
  </TitlesOfParts>
  <Company>Hewlett-Packard Company</Company>
  <LinksUpToDate>false</LinksUpToDate>
  <CharactersWithSpaces>170546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Sophie Martin</cp:lastModifiedBy>
  <cp:revision>2</cp:revision>
  <cp:lastPrinted>2011-11-22T03:26:00Z</cp:lastPrinted>
  <dcterms:created xsi:type="dcterms:W3CDTF">2022-08-19T09:50:00Z</dcterms:created>
  <dcterms:modified xsi:type="dcterms:W3CDTF">2022-08-19T09:50:00Z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http://www.zotero.org/styles/molecules</vt:lpwstr>
  </property>
  <property fmtid="{D5CDD505-2E9C-101B-9397-08002B2CF9AE}" pid="4" name="Mendeley Unique User Id_1">
    <vt:lpwstr>530ed9ed-7f6a-3164-8871-ff67c87bf142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http://www.zotero.org/styles/molecules</vt:lpwstr>
  </property>
  <property fmtid="{D5CDD505-2E9C-101B-9397-08002B2CF9AE}" pid="22" name="Mendeley Recent Style Name 8_1">
    <vt:lpwstr>Molecules</vt:lpwstr>
  </property>
  <property fmtid="{D5CDD505-2E9C-101B-9397-08002B2CF9AE}" pid="23" name="Mendeley Recent Style Id 9_1">
    <vt:lpwstr>http://www.zotero.org/styles/gost-r-7-0-5-2008-numeric</vt:lpwstr>
  </property>
  <property fmtid="{D5CDD505-2E9C-101B-9397-08002B2CF9AE}" pid="24" name="Mendeley Recent Style Name 9_1">
    <vt:lpwstr>Russian GOST R 7.0.5-2008 (numeric)</vt:lpwstr>
  </property>
  <property fmtid="{D5CDD505-2E9C-101B-9397-08002B2CF9AE}" pid="25" name="ContentTypeId">
    <vt:lpwstr>0x010100518FA0AC7398944A81C2B38F597E841F</vt:lpwstr>
  </property>
</Properties>
</file>